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C0E99" w14:textId="77777777" w:rsidR="008645EF" w:rsidRDefault="008645EF" w:rsidP="008645EF">
      <w:pPr>
        <w:jc w:val="center"/>
        <w:rPr>
          <w:rFonts w:ascii="Times New Roman" w:eastAsia="SimSun" w:hAnsi="Times New Roman" w:cs="Times New Roman"/>
          <w:b/>
          <w:bCs/>
        </w:rPr>
      </w:pPr>
      <w:r w:rsidRPr="008645EF">
        <w:rPr>
          <w:rFonts w:ascii="Times New Roman" w:eastAsia="SimSun" w:hAnsi="Times New Roman" w:cs="Times New Roman"/>
          <w:b/>
          <w:bCs/>
        </w:rPr>
        <w:t xml:space="preserve">Correlation between </w:t>
      </w:r>
      <w:proofErr w:type="spellStart"/>
      <w:r w:rsidRPr="008645EF">
        <w:rPr>
          <w:rFonts w:ascii="Times New Roman" w:eastAsia="SimSun" w:hAnsi="Times New Roman" w:cs="Times New Roman"/>
          <w:b/>
          <w:bCs/>
        </w:rPr>
        <w:t>Pegaspargase</w:t>
      </w:r>
      <w:proofErr w:type="spellEnd"/>
      <w:r w:rsidRPr="008645EF">
        <w:rPr>
          <w:rFonts w:ascii="Times New Roman" w:eastAsia="SimSun" w:hAnsi="Times New Roman" w:cs="Times New Roman"/>
          <w:b/>
          <w:bCs/>
        </w:rPr>
        <w:t xml:space="preserve"> Blood Concentration and Common Adverse Reactions in Patients with Acute Lymphoblastic Leukemia</w:t>
      </w:r>
    </w:p>
    <w:p w14:paraId="747216F0" w14:textId="77777777" w:rsidR="0011251C" w:rsidRDefault="0011251C" w:rsidP="008645EF">
      <w:pPr>
        <w:jc w:val="center"/>
        <w:rPr>
          <w:rFonts w:ascii="Times New Roman" w:eastAsia="SimSun" w:hAnsi="Times New Roman" w:cs="Times New Roman"/>
          <w:b/>
          <w:bCs/>
        </w:rPr>
      </w:pPr>
    </w:p>
    <w:p w14:paraId="532CE5F8" w14:textId="77777777" w:rsidR="0011251C" w:rsidRPr="008645EF" w:rsidRDefault="0011251C" w:rsidP="008645EF">
      <w:pPr>
        <w:jc w:val="center"/>
        <w:rPr>
          <w:rFonts w:ascii="Times New Roman" w:eastAsia="SimSun" w:hAnsi="Times New Roman" w:cs="Times New Roman"/>
          <w:b/>
          <w:bCs/>
        </w:rPr>
      </w:pPr>
    </w:p>
    <w:p w14:paraId="7BD3A420" w14:textId="77777777" w:rsidR="007E7715" w:rsidRDefault="007E7715" w:rsidP="0007080D">
      <w:pPr>
        <w:ind w:firstLineChars="200" w:firstLine="420"/>
        <w:jc w:val="center"/>
        <w:rPr>
          <w:rFonts w:ascii="Times New Roman" w:eastAsia="SimSun" w:hAnsi="Times New Roman" w:cs="Times New Roman"/>
        </w:rPr>
      </w:pPr>
      <w:bookmarkStart w:id="0" w:name="_GoBack"/>
      <w:bookmarkEnd w:id="0"/>
    </w:p>
    <w:p w14:paraId="61D9736D" w14:textId="77777777" w:rsidR="007E7715" w:rsidRDefault="007E7715" w:rsidP="0007080D">
      <w:pPr>
        <w:ind w:firstLineChars="200" w:firstLine="420"/>
        <w:jc w:val="center"/>
        <w:rPr>
          <w:rFonts w:ascii="Times New Roman" w:eastAsia="SimSun" w:hAnsi="Times New Roman" w:cs="Times New Roman"/>
        </w:rPr>
      </w:pPr>
    </w:p>
    <w:p w14:paraId="491FA9FF" w14:textId="77777777" w:rsidR="007E7715" w:rsidRDefault="007E7715" w:rsidP="0007080D">
      <w:pPr>
        <w:ind w:firstLineChars="200" w:firstLine="420"/>
        <w:jc w:val="center"/>
        <w:rPr>
          <w:rFonts w:ascii="Times New Roman" w:eastAsia="SimSun" w:hAnsi="Times New Roman" w:cs="Times New Roman"/>
        </w:rPr>
      </w:pPr>
    </w:p>
    <w:p w14:paraId="52CFE52A" w14:textId="609163BE" w:rsidR="008645EF" w:rsidRPr="008645EF" w:rsidRDefault="009E18B3" w:rsidP="008645EF">
      <w:pPr>
        <w:ind w:firstLineChars="200" w:firstLine="422"/>
        <w:rPr>
          <w:rFonts w:ascii="Times New Roman" w:eastAsia="SimSun" w:hAnsi="Times New Roman" w:cs="Times New Roman"/>
          <w:color w:val="0D0D0D"/>
          <w:shd w:val="clear" w:color="auto" w:fill="FFFFFF"/>
        </w:rPr>
      </w:pPr>
      <w:r>
        <w:rPr>
          <w:rFonts w:ascii="Times New Roman" w:eastAsia="SimSun" w:hAnsi="Times New Roman" w:cs="Times New Roman"/>
          <w:b/>
          <w:bCs/>
        </w:rPr>
        <w:t>Abstract:</w:t>
      </w:r>
      <w:r>
        <w:rPr>
          <w:rFonts w:ascii="Times New Roman" w:eastAsia="SimSun" w:hAnsi="Times New Roman" w:cs="Times New Roman"/>
          <w:color w:val="0D0D0D"/>
          <w:shd w:val="clear" w:color="auto" w:fill="FFFFFF"/>
        </w:rPr>
        <w:t xml:space="preserve"> </w:t>
      </w:r>
      <w:r w:rsidR="008645EF" w:rsidRPr="008645EF">
        <w:rPr>
          <w:rFonts w:ascii="Times New Roman" w:eastAsia="SimSun" w:hAnsi="Times New Roman" w:cs="Times New Roman"/>
          <w:b/>
          <w:bCs/>
          <w:color w:val="0D0D0D"/>
          <w:shd w:val="clear" w:color="auto" w:fill="FFFFFF"/>
        </w:rPr>
        <w:t>Objective</w:t>
      </w:r>
      <w:r w:rsidR="008645EF" w:rsidRPr="008645EF">
        <w:rPr>
          <w:rFonts w:ascii="Times New Roman" w:eastAsia="SimSun" w:hAnsi="Times New Roman" w:cs="Times New Roman"/>
          <w:color w:val="0D0D0D"/>
          <w:shd w:val="clear" w:color="auto" w:fill="FFFFFF"/>
        </w:rPr>
        <w:t xml:space="preserve"> To investigate the distribution characteristics of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blood concentration at 7 days after administration in children with acute lymphoblastic leukemia (ALL) treated with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its correlation with common adverse reactions, screen the early warning thresholds for adverse reactions, and evaluate the clinical feasibility of single-time-point therapeutic drug monitoring (TDM). </w:t>
      </w:r>
      <w:r w:rsidR="008645EF" w:rsidRPr="00E5275D">
        <w:rPr>
          <w:rFonts w:ascii="Times New Roman" w:eastAsia="SimSun" w:hAnsi="Times New Roman" w:cs="Times New Roman"/>
          <w:b/>
          <w:bCs/>
          <w:color w:val="0D0D0D"/>
          <w:shd w:val="clear" w:color="auto" w:fill="FFFFFF"/>
        </w:rPr>
        <w:t>Methods</w:t>
      </w:r>
      <w:r w:rsidR="008645EF" w:rsidRPr="008645EF">
        <w:rPr>
          <w:rFonts w:ascii="Times New Roman" w:eastAsia="SimSun" w:hAnsi="Times New Roman" w:cs="Times New Roman"/>
          <w:color w:val="0D0D0D"/>
          <w:shd w:val="clear" w:color="auto" w:fill="FFFFFF"/>
        </w:rPr>
        <w:t xml:space="preserve"> A single-center, prospective observational design was adopted, enrolling 65 children with ALL aged 1-18 years who all received a standardized chemotherapy regimen containing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(dose: 2500 IU/m², intramuscular injection every 14 days). Peripheral blood was collected on the 7th day after the first administration, and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blood concentration was detected by enzyme-linked immunosorbent assay (ELISA). Patients were divided into low, medium, and high concentration groups according to quartiles. Adverse reactions such as liver injury and coagulation abnormalities were evaluated with reference to the National Cancer Institute Common Terminology Criteria for Adverse Events (NCICTC) Version 5.0. Early warning thresholds were screened by Spearman correlation analysis and receiver operating characteristic (ROC) curve. </w:t>
      </w:r>
      <w:r w:rsidR="008645EF" w:rsidRPr="00E5275D">
        <w:rPr>
          <w:rFonts w:ascii="Times New Roman" w:eastAsia="SimSun" w:hAnsi="Times New Roman" w:cs="Times New Roman"/>
          <w:b/>
          <w:bCs/>
          <w:color w:val="0D0D0D"/>
          <w:shd w:val="clear" w:color="auto" w:fill="FFFFFF"/>
        </w:rPr>
        <w:t>Results </w:t>
      </w:r>
      <w:r w:rsidR="008645EF" w:rsidRPr="008645EF">
        <w:rPr>
          <w:rFonts w:ascii="Times New Roman" w:eastAsia="SimSun" w:hAnsi="Times New Roman" w:cs="Times New Roman"/>
          <w:color w:val="0D0D0D"/>
          <w:shd w:val="clear" w:color="auto" w:fill="FFFFFF"/>
        </w:rPr>
        <w:t xml:space="preserve">A total of 60 valid samples were finally obtained. The blood concentration of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at 7 days after administration showed a normal distribution, with a mean of (16.8±7.5) IU/L, a median of 15.9 IU/L, and an interquartile range of [10.3, 22.5] IU/L. Eighty percent of the children had a concentration ≥10 IU/L (the sufficient activity threshold recommended by the Australian and New Zealand Children's </w:t>
      </w:r>
      <w:proofErr w:type="spellStart"/>
      <w:r w:rsidR="008645EF" w:rsidRPr="008645EF">
        <w:rPr>
          <w:rFonts w:ascii="Times New Roman" w:eastAsia="SimSun" w:hAnsi="Times New Roman" w:cs="Times New Roman"/>
          <w:color w:val="0D0D0D"/>
          <w:shd w:val="clear" w:color="auto" w:fill="FFFFFF"/>
        </w:rPr>
        <w:t>Haematology</w:t>
      </w:r>
      <w:proofErr w:type="spellEnd"/>
      <w:r w:rsidR="008645EF" w:rsidRPr="008645EF">
        <w:rPr>
          <w:rFonts w:ascii="Times New Roman" w:eastAsia="SimSun" w:hAnsi="Times New Roman" w:cs="Times New Roman"/>
          <w:color w:val="0D0D0D"/>
          <w:shd w:val="clear" w:color="auto" w:fill="FFFFFF"/>
        </w:rPr>
        <w:t xml:space="preserve"> and Oncology Group (ANZCHOG)). The incidence rates of liver injury (60.0%) and coagulation abnormalities (46.7%) in the high concentration group (&gt;22.5 IU/L) were significantly higher than those in the low concentration group (13.3% and 6.7%) (P&lt;0.05). The blood concentration was moderately positively correlated with ALT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=0.426), AST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=0.389), PT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=0.365), and APTT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=0.328) (P&lt;0.01). The optimal early warning thresholds for grade ≥2 liver injury and coagulation abnormalities were 18.7 IU/L (AUC=0.836) and 20.3 IU/L (AUC=0.792), respectively. There was no significant correlation between blood concentration and hyperglycemia or allergic reactions (P&gt;0.05). </w:t>
      </w:r>
      <w:r w:rsidR="008645EF" w:rsidRPr="00E5275D">
        <w:rPr>
          <w:rFonts w:ascii="Times New Roman" w:eastAsia="SimSun" w:hAnsi="Times New Roman" w:cs="Times New Roman"/>
          <w:b/>
          <w:bCs/>
          <w:color w:val="0D0D0D"/>
          <w:shd w:val="clear" w:color="auto" w:fill="FFFFFF"/>
        </w:rPr>
        <w:t>Conclusion</w:t>
      </w:r>
      <w:r w:rsidR="008645EF" w:rsidRPr="008645EF">
        <w:rPr>
          <w:rFonts w:ascii="Times New Roman" w:eastAsia="SimSun" w:hAnsi="Times New Roman" w:cs="Times New Roman"/>
          <w:color w:val="0D0D0D"/>
          <w:shd w:val="clear" w:color="auto" w:fill="FFFFFF"/>
        </w:rPr>
        <w:t xml:space="preserve"> The ideal reference interval of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blood concentration at 7 days after administration in Chinese children and adolescents with ALL is 10.3-22.5 IU/L, and 18.7 IU/L and 20.3 IU/L can be used as the early warning thresholds for liver injury and coagulation abnormalities, respectively. The single-time-point TDM scheme at 7 days after administration is convenient to operate and reliable in results, which can be used for clinical individualized medication guidance and reduce the risk of adverse reactions.</w:t>
      </w:r>
    </w:p>
    <w:p w14:paraId="26589D0A" w14:textId="14BE0D5F" w:rsidR="008645EF" w:rsidRPr="008645EF" w:rsidRDefault="008645EF" w:rsidP="008645EF">
      <w:pPr>
        <w:ind w:firstLineChars="200" w:firstLine="422"/>
        <w:rPr>
          <w:rFonts w:ascii="Times New Roman" w:eastAsia="SimSun" w:hAnsi="Times New Roman" w:cs="Times New Roman"/>
          <w:color w:val="0D0D0D"/>
          <w:shd w:val="clear" w:color="auto" w:fill="FFFFFF"/>
        </w:rPr>
      </w:pPr>
      <w:r w:rsidRPr="008645EF">
        <w:rPr>
          <w:rFonts w:ascii="Times New Roman" w:eastAsia="SimSun" w:hAnsi="Times New Roman" w:cs="Times New Roman"/>
          <w:b/>
          <w:bCs/>
          <w:color w:val="0D0D0D"/>
          <w:shd w:val="clear" w:color="auto" w:fill="FFFFFF"/>
        </w:rPr>
        <w:t>Key words</w:t>
      </w:r>
      <w:r>
        <w:rPr>
          <w:rFonts w:ascii="Times New Roman" w:eastAsia="SimSun" w:hAnsi="Times New Roman" w:cs="Times New Roman"/>
          <w:b/>
          <w:bCs/>
        </w:rPr>
        <w:t>:</w:t>
      </w:r>
      <w:r w:rsidR="00E5275D">
        <w:rPr>
          <w:rFonts w:ascii="Times New Roman" w:eastAsia="SimSun" w:hAnsi="Times New Roman" w:cs="Times New Roman" w:hint="eastAsia"/>
          <w:b/>
          <w:bCs/>
        </w:rPr>
        <w:t xml:space="preserve"> </w:t>
      </w:r>
      <w:r w:rsidRPr="008645EF">
        <w:rPr>
          <w:rFonts w:ascii="Times New Roman" w:eastAsia="SimSun" w:hAnsi="Times New Roman" w:cs="Times New Roman"/>
          <w:color w:val="0D0D0D"/>
          <w:shd w:val="clear" w:color="auto" w:fill="FFFFFF"/>
        </w:rPr>
        <w:t xml:space="preserve">Acute lymphoblastic leukemia; Children; </w:t>
      </w:r>
      <w:proofErr w:type="spellStart"/>
      <w:r w:rsidRPr="008645EF">
        <w:rPr>
          <w:rFonts w:ascii="Times New Roman" w:eastAsia="SimSun" w:hAnsi="Times New Roman" w:cs="Times New Roman"/>
          <w:color w:val="0D0D0D"/>
          <w:shd w:val="clear" w:color="auto" w:fill="FFFFFF"/>
        </w:rPr>
        <w:t>Pegaspargase</w:t>
      </w:r>
      <w:proofErr w:type="spellEnd"/>
      <w:r w:rsidRPr="008645EF">
        <w:rPr>
          <w:rFonts w:ascii="Times New Roman" w:eastAsia="SimSun" w:hAnsi="Times New Roman" w:cs="Times New Roman"/>
          <w:color w:val="0D0D0D"/>
          <w:shd w:val="clear" w:color="auto" w:fill="FFFFFF"/>
        </w:rPr>
        <w:t>; Blood concentration; Adverse reactions; Therapeutic drug monitoring; Early warning threshold</w:t>
      </w:r>
    </w:p>
    <w:p w14:paraId="02D70A02" w14:textId="77777777" w:rsidR="009865EB" w:rsidRDefault="009E18B3">
      <w:pPr>
        <w:spacing w:beforeLines="50" w:before="156" w:afterLines="50" w:after="156" w:line="360" w:lineRule="auto"/>
        <w:outlineLvl w:val="1"/>
        <w:rPr>
          <w:rFonts w:ascii="Times New Roman" w:eastAsia="SimSun" w:hAnsi="Times New Roman" w:cs="Times New Roman"/>
          <w:b/>
          <w:bCs/>
          <w:sz w:val="22"/>
          <w:szCs w:val="24"/>
          <w14:ligatures w14:val="none"/>
        </w:rPr>
      </w:pPr>
      <w:r>
        <w:rPr>
          <w:rFonts w:ascii="Times New Roman" w:eastAsia="SimSun" w:hAnsi="Times New Roman" w:cs="Times New Roman"/>
          <w:b/>
          <w:bCs/>
          <w:sz w:val="22"/>
          <w:szCs w:val="24"/>
          <w14:ligatures w14:val="none"/>
        </w:rPr>
        <w:t>0 Introduction</w:t>
      </w:r>
    </w:p>
    <w:p w14:paraId="24D22D2C" w14:textId="77777777" w:rsidR="001922A5" w:rsidRPr="001922A5" w:rsidRDefault="001922A5" w:rsidP="001922A5">
      <w:pPr>
        <w:ind w:firstLineChars="200" w:firstLine="420"/>
        <w:rPr>
          <w:rFonts w:ascii="Times New Roman" w:hAnsi="Times New Roman" w:cs="Times New Roman"/>
        </w:rPr>
      </w:pPr>
      <w:r w:rsidRPr="001922A5">
        <w:rPr>
          <w:rFonts w:ascii="Times New Roman" w:hAnsi="Times New Roman" w:cs="Times New Roman"/>
        </w:rPr>
        <w:t xml:space="preserve">Acute lymphoblastic leukemia (ALL) is one of the most common malignant tumors in </w:t>
      </w:r>
      <w:r w:rsidRPr="001922A5">
        <w:rPr>
          <w:rFonts w:ascii="Times New Roman" w:hAnsi="Times New Roman" w:cs="Times New Roman"/>
        </w:rPr>
        <w:lastRenderedPageBreak/>
        <w:t xml:space="preserve">childhood. After multidisciplinary comprehensive treatment, the long-term event-free survival rate has been significantly improved, but treatment-related toxicity remains a key factor affecting the completion rate of curative effect and the prognosis of patients </w:t>
      </w:r>
      <w:r w:rsidRPr="001922A5">
        <w:rPr>
          <w:rFonts w:ascii="Times New Roman" w:hAnsi="Times New Roman" w:cs="Times New Roman"/>
          <w:vertAlign w:val="superscript"/>
        </w:rPr>
        <w:t>[1]</w:t>
      </w:r>
      <w:r w:rsidRPr="001922A5">
        <w:rPr>
          <w:rFonts w:ascii="Times New Roman" w:hAnsi="Times New Roman" w:cs="Times New Roman"/>
        </w:rPr>
        <w:t>.</w:t>
      </w:r>
    </w:p>
    <w:p w14:paraId="2E1BC667" w14:textId="77777777" w:rsidR="001922A5" w:rsidRPr="001922A5" w:rsidRDefault="001922A5" w:rsidP="001922A5">
      <w:pPr>
        <w:ind w:firstLineChars="200" w:firstLine="420"/>
        <w:rPr>
          <w:rFonts w:ascii="Times New Roman" w:hAnsi="Times New Roman" w:cs="Times New Roman"/>
        </w:rPr>
      </w:pP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as a polyethylene glycol-modified asparaginase preparation, selectively kills leukemia cells by depleting L-asparagine in the body, and is a core drug for the induction and intensification therapy of ALL. Compared with unmodified enzyme preparations, it has a longer half-life, lower administration frequency and weaker immunogenicity, and has been widely used in the treatment of pediatric and adult ALL </w:t>
      </w:r>
      <w:r w:rsidRPr="001922A5">
        <w:rPr>
          <w:rFonts w:ascii="Times New Roman" w:hAnsi="Times New Roman" w:cs="Times New Roman"/>
          <w:vertAlign w:val="superscript"/>
        </w:rPr>
        <w:t>[2-3]</w:t>
      </w:r>
      <w:r w:rsidRPr="001922A5">
        <w:rPr>
          <w:rFonts w:ascii="Times New Roman" w:hAnsi="Times New Roman" w:cs="Times New Roman"/>
        </w:rPr>
        <w:t>.</w:t>
      </w:r>
    </w:p>
    <w:p w14:paraId="7A9739F3" w14:textId="77777777" w:rsidR="001922A5" w:rsidRPr="001922A5" w:rsidRDefault="001922A5" w:rsidP="001922A5">
      <w:pPr>
        <w:ind w:firstLineChars="200" w:firstLine="420"/>
        <w:rPr>
          <w:rFonts w:ascii="Times New Roman" w:hAnsi="Times New Roman" w:cs="Times New Roman"/>
        </w:rPr>
      </w:pPr>
      <w:r w:rsidRPr="001922A5">
        <w:rPr>
          <w:rFonts w:ascii="Times New Roman" w:hAnsi="Times New Roman" w:cs="Times New Roman"/>
        </w:rPr>
        <w:t xml:space="preserve">Despite its definite efficacy,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is prone to adverse reactions such as liver function injury, coagulation dysfunction, pancreatitis and allergic reactions, with significant individual differences in incidence and severity. These adverse reactions often lead to delayed administration, dose adjustment or replacement of preparations, thereby affecting the therapeutic effect </w:t>
      </w:r>
      <w:r w:rsidRPr="001922A5">
        <w:rPr>
          <w:rFonts w:ascii="Times New Roman" w:hAnsi="Times New Roman" w:cs="Times New Roman"/>
          <w:vertAlign w:val="superscript"/>
        </w:rPr>
        <w:t>[4-6]</w:t>
      </w:r>
      <w:r w:rsidRPr="001922A5">
        <w:rPr>
          <w:rFonts w:ascii="Times New Roman" w:hAnsi="Times New Roman" w:cs="Times New Roman"/>
        </w:rPr>
        <w:t xml:space="preserve">. Studies have shown that insufficient blood drug exposure reduces efficacy, while excessive exposure increases the risk of adverse reactions. Therapeutic drug monitoring (TDM) can provide a direct basis for efficacy evaluation and safe medication by quantitatively detecting blood drug concentrations </w:t>
      </w:r>
      <w:r w:rsidRPr="001922A5">
        <w:rPr>
          <w:rFonts w:ascii="Times New Roman" w:hAnsi="Times New Roman" w:cs="Times New Roman"/>
          <w:vertAlign w:val="superscript"/>
        </w:rPr>
        <w:t>[7-8]</w:t>
      </w:r>
      <w:r w:rsidRPr="001922A5">
        <w:rPr>
          <w:rFonts w:ascii="Times New Roman" w:hAnsi="Times New Roman" w:cs="Times New Roman"/>
        </w:rPr>
        <w:t>.</w:t>
      </w:r>
    </w:p>
    <w:p w14:paraId="16972BFF" w14:textId="77777777" w:rsidR="001922A5" w:rsidRPr="001922A5" w:rsidRDefault="001922A5" w:rsidP="001922A5">
      <w:pPr>
        <w:ind w:firstLineChars="200" w:firstLine="420"/>
        <w:rPr>
          <w:rFonts w:ascii="Times New Roman" w:hAnsi="Times New Roman" w:cs="Times New Roman"/>
        </w:rPr>
      </w:pPr>
      <w:r w:rsidRPr="001922A5">
        <w:rPr>
          <w:rFonts w:ascii="Times New Roman" w:hAnsi="Times New Roman" w:cs="Times New Roman"/>
        </w:rPr>
        <w:t xml:space="preserve">International consensus has clearly recommended "7-10 days after administration" as the key detection window for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TDM: the </w:t>
      </w:r>
      <w:r w:rsidRPr="001922A5">
        <w:rPr>
          <w:rFonts w:ascii="Times New Roman" w:hAnsi="Times New Roman" w:cs="Times New Roman"/>
          <w:i/>
          <w:iCs/>
        </w:rPr>
        <w:t>Guidelines for Serum Asparaginase Activity Monitoring</w:t>
      </w:r>
      <w:r w:rsidRPr="001922A5">
        <w:rPr>
          <w:rFonts w:ascii="Times New Roman" w:hAnsi="Times New Roman" w:cs="Times New Roman"/>
        </w:rPr>
        <w:t xml:space="preserve"> released by the Australian and New Zealand Children's </w:t>
      </w:r>
      <w:proofErr w:type="spellStart"/>
      <w:r w:rsidRPr="001922A5">
        <w:rPr>
          <w:rFonts w:ascii="Times New Roman" w:hAnsi="Times New Roman" w:cs="Times New Roman"/>
        </w:rPr>
        <w:t>Haematology</w:t>
      </w:r>
      <w:proofErr w:type="spellEnd"/>
      <w:r w:rsidRPr="001922A5">
        <w:rPr>
          <w:rFonts w:ascii="Times New Roman" w:hAnsi="Times New Roman" w:cs="Times New Roman"/>
        </w:rPr>
        <w:t xml:space="preserve"> and Oncology Group (ANZCHOG) in 2024 pointed out that this time point can effectively reflect the mid-term activity of the drug, and recommended ≥0.1 IU/mL as the sufficient activity threshold </w:t>
      </w:r>
      <w:r w:rsidRPr="001922A5">
        <w:rPr>
          <w:rFonts w:ascii="Times New Roman" w:hAnsi="Times New Roman" w:cs="Times New Roman"/>
          <w:vertAlign w:val="superscript"/>
        </w:rPr>
        <w:t>[9]</w:t>
      </w:r>
      <w:r w:rsidRPr="001922A5">
        <w:rPr>
          <w:rFonts w:ascii="Times New Roman" w:hAnsi="Times New Roman" w:cs="Times New Roman"/>
        </w:rPr>
        <w:t xml:space="preserve">; the clinical consensus statement on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management published by the expert panel of the </w:t>
      </w:r>
      <w:proofErr w:type="spellStart"/>
      <w:r w:rsidRPr="001922A5">
        <w:rPr>
          <w:rFonts w:ascii="Times New Roman" w:hAnsi="Times New Roman" w:cs="Times New Roman"/>
          <w:i/>
          <w:iCs/>
        </w:rPr>
        <w:t>Haematologica</w:t>
      </w:r>
      <w:proofErr w:type="spellEnd"/>
      <w:r w:rsidRPr="001922A5">
        <w:rPr>
          <w:rFonts w:ascii="Times New Roman" w:hAnsi="Times New Roman" w:cs="Times New Roman"/>
        </w:rPr>
        <w:t xml:space="preserve"> journal in 2018 also recognized the clinical practicability of this time point, believing that it can balance detection accuracy and operational convenience, and is the preferred time point for simplifying the monitoring strategy </w:t>
      </w:r>
      <w:r w:rsidRPr="001922A5">
        <w:rPr>
          <w:rFonts w:ascii="Times New Roman" w:hAnsi="Times New Roman" w:cs="Times New Roman"/>
          <w:vertAlign w:val="superscript"/>
        </w:rPr>
        <w:t>[10]</w:t>
      </w:r>
      <w:r w:rsidRPr="001922A5">
        <w:rPr>
          <w:rFonts w:ascii="Times New Roman" w:hAnsi="Times New Roman" w:cs="Times New Roman"/>
        </w:rPr>
        <w:t>. However, the applicability of single-time-point monitoring in different populations, its quantitative relationship with specific adverse reactions, and clinical early warning thresholds still lack sufficient evidence: although the study published by Babcock et al. (2022) in </w:t>
      </w:r>
      <w:r w:rsidRPr="001922A5">
        <w:rPr>
          <w:rFonts w:ascii="Times New Roman" w:hAnsi="Times New Roman" w:cs="Times New Roman"/>
          <w:i/>
          <w:iCs/>
        </w:rPr>
        <w:t>Pediatric Blood &amp; Cancer</w:t>
      </w:r>
      <w:r w:rsidRPr="001922A5">
        <w:rPr>
          <w:rFonts w:ascii="Times New Roman" w:hAnsi="Times New Roman" w:cs="Times New Roman"/>
        </w:rPr>
        <w:t xml:space="preserve"> confirmed that the standardized preconditioning + TDM regimen can reduce infusion reactions, it did not verify the threshold for Chinese children </w:t>
      </w:r>
      <w:r w:rsidRPr="001922A5">
        <w:rPr>
          <w:rFonts w:ascii="Times New Roman" w:hAnsi="Times New Roman" w:cs="Times New Roman"/>
          <w:vertAlign w:val="superscript"/>
        </w:rPr>
        <w:t>[11]</w:t>
      </w:r>
      <w:r w:rsidRPr="001922A5">
        <w:rPr>
          <w:rFonts w:ascii="Times New Roman" w:hAnsi="Times New Roman" w:cs="Times New Roman"/>
        </w:rPr>
        <w:t>; the expert consensus released by van der Sluis et al. (2016) in </w:t>
      </w:r>
      <w:proofErr w:type="spellStart"/>
      <w:r w:rsidRPr="001922A5">
        <w:rPr>
          <w:rFonts w:ascii="Times New Roman" w:hAnsi="Times New Roman" w:cs="Times New Roman"/>
          <w:i/>
          <w:iCs/>
        </w:rPr>
        <w:t>Haematologica</w:t>
      </w:r>
      <w:proofErr w:type="spellEnd"/>
      <w:r w:rsidRPr="001922A5">
        <w:rPr>
          <w:rFonts w:ascii="Times New Roman" w:hAnsi="Times New Roman" w:cs="Times New Roman"/>
        </w:rPr>
        <w:t xml:space="preserve"> proposed norms for activity monitoring, but did not clarify the quantitative correlation between single-time-point concentration and adverse reactions </w:t>
      </w:r>
      <w:r w:rsidRPr="001922A5">
        <w:rPr>
          <w:rFonts w:ascii="Times New Roman" w:hAnsi="Times New Roman" w:cs="Times New Roman"/>
          <w:vertAlign w:val="superscript"/>
        </w:rPr>
        <w:t>[12]</w:t>
      </w:r>
      <w:r w:rsidRPr="001922A5">
        <w:rPr>
          <w:rFonts w:ascii="Times New Roman" w:hAnsi="Times New Roman" w:cs="Times New Roman"/>
        </w:rPr>
        <w:t>. Therefore, it is particularly necessary to carry out rigorous prospective studies targeting Chinese children and adolescents.</w:t>
      </w:r>
    </w:p>
    <w:p w14:paraId="4EECC33D" w14:textId="15040958" w:rsidR="009865EB" w:rsidRPr="001922A5" w:rsidRDefault="001922A5">
      <w:pPr>
        <w:ind w:firstLineChars="200" w:firstLine="420"/>
        <w:rPr>
          <w:rFonts w:ascii="Times New Roman" w:hAnsi="Times New Roman" w:cs="Times New Roman"/>
        </w:rPr>
      </w:pPr>
      <w:r w:rsidRPr="001922A5">
        <w:rPr>
          <w:rFonts w:ascii="Times New Roman" w:hAnsi="Times New Roman" w:cs="Times New Roman"/>
        </w:rPr>
        <w:t xml:space="preserve">This study adopted a single-center, prospective observational design, focusing on the blood concentration of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on the 7th day after administration. It systematically analyzed its correlation with common adverse reactions such as liver function injury and coagulation abnormalities, screened the early warning thresholds for adverse reactions, and evaluated the clinical feasibility of single-time-point TDM. This study aims to provide localized evidence support for the individualized medication and toxicity management of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and promote the normalization of TDM in the treatment of pediatric hematological tumors.</w:t>
      </w:r>
    </w:p>
    <w:p w14:paraId="6C0AD96B" w14:textId="77777777" w:rsidR="009865EB" w:rsidRDefault="009E18B3">
      <w:pPr>
        <w:spacing w:beforeLines="50" w:before="156" w:afterLines="50" w:after="156" w:line="360" w:lineRule="auto"/>
        <w:outlineLvl w:val="1"/>
        <w:rPr>
          <w:rFonts w:ascii="Times New Roman" w:hAnsi="Times New Roman" w:cs="Times New Roman"/>
          <w:sz w:val="22"/>
          <w:szCs w:val="24"/>
        </w:rPr>
      </w:pPr>
      <w:r>
        <w:rPr>
          <w:rFonts w:ascii="Times New Roman" w:eastAsia="SimSun" w:hAnsi="Times New Roman" w:cs="Times New Roman"/>
          <w:b/>
          <w:bCs/>
          <w:sz w:val="22"/>
          <w:szCs w:val="24"/>
          <w14:ligatures w14:val="none"/>
        </w:rPr>
        <w:t>1 Materials and Methods</w:t>
      </w:r>
    </w:p>
    <w:p w14:paraId="68E6A65E" w14:textId="4CD1A86B"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.1 Study Subjects</w:t>
      </w:r>
    </w:p>
    <w:p w14:paraId="738954EA"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lastRenderedPageBreak/>
        <w:t>The subjects of this study were patients with acute lymphoblastic leukemia (ALL) admitted to the Department of Pediatric Hematology and Oncology, Shaanxi Provincial People's Hospital, from October 2024 to October 2025. The study was approved by the Hospital Ethics Committee and strictly followed the Declaration of Helsinki of the World Medical Association and the Good Clinical Practice (GCP) for Drug Clinical Trials.</w:t>
      </w:r>
    </w:p>
    <w:p w14:paraId="768B7D01"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Inclusion Criteria</w:t>
      </w:r>
    </w:p>
    <w:p w14:paraId="6047940F"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Diagnosed with ALL by morphology, immunology, cytogenetics and molecular biology (MICM) typing of bone marrow cells, aged 1-18 years, and the diagnosis conforms to the Diagnosis and Treatment Standards for Childhood Acute Lymphoblastic Leukemia (2021 Edition) </w:t>
      </w:r>
      <w:r w:rsidRPr="00C43272">
        <w:rPr>
          <w:rFonts w:ascii="Times New Roman" w:hAnsi="Times New Roman" w:cs="Times New Roman" w:hint="eastAsia"/>
          <w:vertAlign w:val="superscript"/>
        </w:rPr>
        <w:t>[3]</w:t>
      </w:r>
      <w:r w:rsidRPr="00B14493">
        <w:rPr>
          <w:rFonts w:ascii="Times New Roman" w:hAnsi="Times New Roman" w:cs="Times New Roman" w:hint="eastAsia"/>
        </w:rPr>
        <w:t xml:space="preserve">; (2) Received a standardized chemotherapy regimen containing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(such as VDLP and CAM regimens), and used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for the first time or switched to it due to allergy to native L-asparaginase; (3) Eastern Cooperative Oncology Group (ECOG) performance status score </w:t>
      </w:r>
      <w:r w:rsidRPr="00B14493">
        <w:rPr>
          <w:rFonts w:ascii="Times New Roman" w:hAnsi="Times New Roman" w:cs="Times New Roman" w:hint="eastAsia"/>
        </w:rPr>
        <w:t>≤</w:t>
      </w:r>
      <w:r w:rsidRPr="00B14493">
        <w:rPr>
          <w:rFonts w:ascii="Times New Roman" w:hAnsi="Times New Roman" w:cs="Times New Roman" w:hint="eastAsia"/>
        </w:rPr>
        <w:t xml:space="preserve"> 2, and expected to cooperate with blood sample collection and adverse reaction monitoring during the 2-month follow-up period; (4) Basically normal liver and kidney functions before treatment (ALT/AST </w:t>
      </w:r>
      <w:r w:rsidRPr="00B14493">
        <w:rPr>
          <w:rFonts w:ascii="Times New Roman" w:hAnsi="Times New Roman" w:cs="Times New Roman" w:hint="eastAsia"/>
        </w:rPr>
        <w:t>≤</w:t>
      </w:r>
      <w:r w:rsidRPr="00B14493">
        <w:rPr>
          <w:rFonts w:ascii="Times New Roman" w:hAnsi="Times New Roman" w:cs="Times New Roman" w:hint="eastAsia"/>
        </w:rPr>
        <w:t xml:space="preserve"> 2 times the upper limit of normal value, bilirubin </w:t>
      </w:r>
      <w:r w:rsidRPr="00B14493">
        <w:rPr>
          <w:rFonts w:ascii="Times New Roman" w:hAnsi="Times New Roman" w:cs="Times New Roman" w:hint="eastAsia"/>
        </w:rPr>
        <w:t>≤</w:t>
      </w:r>
      <w:r w:rsidRPr="00B14493">
        <w:rPr>
          <w:rFonts w:ascii="Times New Roman" w:hAnsi="Times New Roman" w:cs="Times New Roman" w:hint="eastAsia"/>
        </w:rPr>
        <w:t xml:space="preserve"> 1.5 times the upper limit of normal value), and normal baseline coagulation function (PT and APTT within the reference range); (5) Written informed consent was signed by the patients themselves (</w:t>
      </w:r>
      <w:r w:rsidRPr="00B14493">
        <w:rPr>
          <w:rFonts w:ascii="Times New Roman" w:hAnsi="Times New Roman" w:cs="Times New Roman" w:hint="eastAsia"/>
        </w:rPr>
        <w:t>≥</w:t>
      </w:r>
      <w:r w:rsidRPr="00B14493">
        <w:rPr>
          <w:rFonts w:ascii="Times New Roman" w:hAnsi="Times New Roman" w:cs="Times New Roman" w:hint="eastAsia"/>
        </w:rPr>
        <w:t>14 years old) or their legal guardians.</w:t>
      </w:r>
    </w:p>
    <w:p w14:paraId="3507F7AA"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Exclusion Criteria</w:t>
      </w:r>
    </w:p>
    <w:p w14:paraId="0DB5040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A history of severe adverse reactions caused by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(such as anaphylactic shock, severe pancreatitis, pulmonary embolism, etc.); (2) Severe liver injury before treatment (ALT/AST &gt; 3 times the upper limit of normal value), active liver disease or congenital coagulation disorders; (3) Complicated with severe infections (sepsis, severe pneumonia), other malignant tumors, or cardiac, renal and pulmonary insufficiency; (4) Presence of cognitive impairment, mental illness, etc., which made it impossible to cooperate with blood sample collection and follow-up.</w:t>
      </w:r>
    </w:p>
    <w:p w14:paraId="7468877C"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3. Sample Size Estimation</w:t>
      </w:r>
    </w:p>
    <w:p w14:paraId="6922A56B"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Based on the correlation analysis of "blood drug concentration and adverse reaction incidence", referring to the Guidelines for Sample Size Estimation in Chinese Clinical Epidemiology, the test level </w:t>
      </w:r>
      <w:r w:rsidRPr="00B14493">
        <w:rPr>
          <w:rFonts w:ascii="Times New Roman" w:hAnsi="Times New Roman" w:cs="Times New Roman" w:hint="eastAsia"/>
        </w:rPr>
        <w:t>α</w:t>
      </w:r>
      <w:r w:rsidRPr="00B14493">
        <w:rPr>
          <w:rFonts w:ascii="Times New Roman" w:hAnsi="Times New Roman" w:cs="Times New Roman" w:hint="eastAsia"/>
        </w:rPr>
        <w:t xml:space="preserve"> was set at 0.05 (two-sided), the power 1-</w:t>
      </w:r>
      <w:r w:rsidRPr="00B14493">
        <w:rPr>
          <w:rFonts w:ascii="Times New Roman" w:hAnsi="Times New Roman" w:cs="Times New Roman" w:hint="eastAsia"/>
        </w:rPr>
        <w:t>β</w:t>
      </w:r>
      <w:r w:rsidRPr="00B14493">
        <w:rPr>
          <w:rFonts w:ascii="Times New Roman" w:hAnsi="Times New Roman" w:cs="Times New Roman" w:hint="eastAsia"/>
        </w:rPr>
        <w:t xml:space="preserve"> at 0.80, the expected incidence of adverse reactions in the high-concentration group was 40%, that in the low-concentration group was 15%, and the dropout rate was 5%. Calculated by PASS 15.0 software, the theoretical effective sample size was 57 cases, and finally 65 cases were enrolled to ensure at least 60 valid samples after the end of the study (correlation analysis requires </w:t>
      </w:r>
      <w:r w:rsidRPr="00B14493">
        <w:rPr>
          <w:rFonts w:ascii="Times New Roman" w:hAnsi="Times New Roman" w:cs="Times New Roman" w:hint="eastAsia"/>
        </w:rPr>
        <w:t>≥</w:t>
      </w:r>
      <w:r w:rsidRPr="00B14493">
        <w:rPr>
          <w:rFonts w:ascii="Times New Roman" w:hAnsi="Times New Roman" w:cs="Times New Roman" w:hint="eastAsia"/>
        </w:rPr>
        <w:t>50 cases).</w:t>
      </w:r>
    </w:p>
    <w:p w14:paraId="7130DFFF" w14:textId="2DCBF154"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.2 Study Design and Administration Regimen</w:t>
      </w:r>
    </w:p>
    <w:p w14:paraId="7B0E2994"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Study Design</w:t>
      </w:r>
    </w:p>
    <w:p w14:paraId="695DFAFD"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A single-center, prospective, observational study was conducted without interfering with routine clinical treatment. Blood drug concentration monitoring and adverse reaction assessment were carried out simultaneously.</w:t>
      </w:r>
    </w:p>
    <w:p w14:paraId="5572AF3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Administration Regimen</w:t>
      </w:r>
    </w:p>
    <w:p w14:paraId="2BB90C74"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Drugs: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injection was uniformly used to ensure consistent dosage form; (2) Dose and route: 2500 IU/m</w:t>
      </w:r>
      <w:r w:rsidRPr="00B14493">
        <w:rPr>
          <w:rFonts w:ascii="Times New Roman" w:hAnsi="Times New Roman" w:cs="Times New Roman" w:hint="eastAsia"/>
        </w:rPr>
        <w:t>²</w:t>
      </w:r>
      <w:r w:rsidRPr="00B14493">
        <w:rPr>
          <w:rFonts w:ascii="Times New Roman" w:hAnsi="Times New Roman" w:cs="Times New Roman" w:hint="eastAsia"/>
        </w:rPr>
        <w:t xml:space="preserve">, intramuscular injection (lateral thigh muscle group). If the single dose exceeded 2 ml, it was injected at 2-3 sites; (3) Frequency and cycle: Once every 14 days for a total of 2 cycles, with a total observation period of 2 months; (4) Pre-administration check: The </w:t>
      </w:r>
      <w:r w:rsidRPr="00B14493">
        <w:rPr>
          <w:rFonts w:ascii="Times New Roman" w:hAnsi="Times New Roman" w:cs="Times New Roman" w:hint="eastAsia"/>
        </w:rPr>
        <w:lastRenderedPageBreak/>
        <w:t>medicinal solution was inspected with the naked eye (abnormal medicinal solution was discarded), and no history of allergy and contraindications were confirmed.</w:t>
      </w:r>
    </w:p>
    <w:p w14:paraId="751F8372" w14:textId="0C5EFC41"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.3 Blood Drug Concentration Monitoring</w:t>
      </w:r>
    </w:p>
    <w:p w14:paraId="5502AD4A"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Blood Sample Collection and Processing</w:t>
      </w:r>
    </w:p>
    <w:p w14:paraId="62BED9E8"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Peripheral venous blood (3 ml) was collected in non-anticoagulant blood collection tubes from 8:00 to 10:00 a.m. on the 7th day after the first administration. Serum was separated by centrifugation at 3000 r/min for 10 minutes within 30 minutes, stored frozen at -80</w:t>
      </w:r>
      <w:r w:rsidRPr="00B14493">
        <w:rPr>
          <w:rFonts w:ascii="Times New Roman" w:hAnsi="Times New Roman" w:cs="Times New Roman" w:hint="eastAsia"/>
        </w:rPr>
        <w:t>℃</w:t>
      </w:r>
      <w:r w:rsidRPr="00B14493">
        <w:rPr>
          <w:rFonts w:ascii="Times New Roman" w:hAnsi="Times New Roman" w:cs="Times New Roman" w:hint="eastAsia"/>
        </w:rPr>
        <w:t>, and tested centrally after enrollment was completed.</w:t>
      </w:r>
    </w:p>
    <w:p w14:paraId="4EBA73F2"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Detection Method and Quality Control</w:t>
      </w:r>
    </w:p>
    <w:p w14:paraId="61FEDC82"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Method: Enzyme-linked immunosorbent assay (ELISA) was used with commercial kits, and the operation was strictly carried out in accordance with the kit instructions; (2) Quality control: Three quality control products with high (30 IU/L), medium (15 IU/L) and low (5 IU/L) concentrations were set for each batch, and the results were valid if within the allowable error of </w:t>
      </w:r>
      <w:r w:rsidRPr="00B14493">
        <w:rPr>
          <w:rFonts w:ascii="Times New Roman" w:hAnsi="Times New Roman" w:cs="Times New Roman" w:hint="eastAsia"/>
        </w:rPr>
        <w:t>±</w:t>
      </w:r>
      <w:r w:rsidRPr="00B14493">
        <w:rPr>
          <w:rFonts w:ascii="Times New Roman" w:hAnsi="Times New Roman" w:cs="Times New Roman" w:hint="eastAsia"/>
        </w:rPr>
        <w:t>10%.</w:t>
      </w:r>
    </w:p>
    <w:p w14:paraId="095E6004"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3. Grouping Method</w:t>
      </w:r>
    </w:p>
    <w:p w14:paraId="04962571" w14:textId="77777777" w:rsidR="002C0DA6" w:rsidRPr="002C0DA6" w:rsidRDefault="002C0DA6" w:rsidP="00B14493">
      <w:pPr>
        <w:ind w:firstLineChars="202" w:firstLine="424"/>
        <w:jc w:val="left"/>
        <w:rPr>
          <w:rFonts w:ascii="Times New Roman" w:eastAsia="SimSun" w:hAnsi="Times New Roman" w:cs="Times New Roman"/>
        </w:rPr>
      </w:pPr>
      <w:r w:rsidRPr="00B14493">
        <w:rPr>
          <w:rFonts w:ascii="Times New Roman" w:hAnsi="Times New Roman" w:cs="Times New Roman" w:hint="eastAsia"/>
        </w:rPr>
        <w:t xml:space="preserve">Patients were divided into low-concentration group (&lt; Q1), medium-concentration group (Q1-Q3) and high-concentration group (&gt; Q3) according to the quartiles (Q1, Q3) of blood drug </w:t>
      </w:r>
      <w:r w:rsidRPr="002C0DA6">
        <w:rPr>
          <w:rFonts w:ascii="Times New Roman" w:eastAsia="SimSun" w:hAnsi="Times New Roman" w:cs="Times New Roman" w:hint="eastAsia"/>
        </w:rPr>
        <w:t>concentration.</w:t>
      </w:r>
    </w:p>
    <w:p w14:paraId="0F270512" w14:textId="23915687"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.4 Adverse Reaction Assessment</w:t>
      </w:r>
    </w:p>
    <w:p w14:paraId="66FA2CAC"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Monitoring Time Points</w:t>
      </w:r>
    </w:p>
    <w:p w14:paraId="2690B7F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Allergic reactions: Within 30 minutes after administration (on-site observation) and within 24 hours (follow-up); (2) Liver injury, coagulation abnormalities and hyperglycemia: On the 7th day after administration (simultaneous blood collection) and the 14th day (before the second administration).</w:t>
      </w:r>
    </w:p>
    <w:p w14:paraId="18EE9E1B"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Evaluation Criteria</w:t>
      </w:r>
    </w:p>
    <w:p w14:paraId="153432B3"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Grading was performed with reference to the National Cancer Institute Common Terminology Criteria for Adverse Events (NCICTC) Version 5.0: (1) Liver injury (ALT/AST): Grade 1-4 (1.0-2.5 times to &gt;20.0 times the upper limit of normal [ULN]); (2) Coagulation abnormalities (PT/APTT): Grade 1-4 (prolonged by 3-6 seconds to accompanied by clinical bleeding); (3) Hyperglycemia: Grade 1-4 (7.0-8.9 mmol/L to accompanied by ketoacidosis); (4) Allergic reactions: Grade 1-4 (local erythema and swelling to anaphylactic shock).</w:t>
      </w:r>
    </w:p>
    <w:p w14:paraId="0E89BC0C"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3. Evaluation Process and Risk Response</w:t>
      </w:r>
    </w:p>
    <w:p w14:paraId="54FFC29E"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Process: Medical staff (attending physicians and registered nurses) conducted monitoring and filled in the Patient Adverse Reaction Record Form; (2) Risk response: First aid was initiated for grade 3 and above adverse reactions (e.g., epinephrine for allergies), and severe adverse reactions were reported to the Ethics Committee within 24 hours.</w:t>
      </w:r>
    </w:p>
    <w:p w14:paraId="72DA1251" w14:textId="3EBAA855"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.5 Data Collection and Management</w:t>
      </w:r>
    </w:p>
    <w:p w14:paraId="32FDB55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Collection Content</w:t>
      </w:r>
    </w:p>
    <w:p w14:paraId="4A22DDFD"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Baseline data (age, disease classification, etc.), medication data (dose, administration date, etc.), blood drug concentration data (detection value, quality control results, etc.), and adverse reaction data (type, grade, etc.).</w:t>
      </w:r>
    </w:p>
    <w:p w14:paraId="36AB17C4"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Management Method</w:t>
      </w:r>
    </w:p>
    <w:p w14:paraId="5CBB806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Paper data: Kept by a special person in the archive room, with numbers linked to privacy information; (2) Electronic data: Encrypted and entered into Excel spreadsheets (patient numbers </w:t>
      </w:r>
      <w:r w:rsidRPr="00B14493">
        <w:rPr>
          <w:rFonts w:ascii="Times New Roman" w:hAnsi="Times New Roman" w:cs="Times New Roman" w:hint="eastAsia"/>
        </w:rPr>
        <w:lastRenderedPageBreak/>
        <w:t>were used instead of names), backed up locally and in the cloud, and only core members had access; (3) Preservation and destruction: Preserved for 5 years after the end of the study, after which paper data was shredded and electronic data was deleted.</w:t>
      </w:r>
    </w:p>
    <w:p w14:paraId="203A1D8E" w14:textId="2459A105"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.6 Statistical Analysis</w:t>
      </w:r>
    </w:p>
    <w:p w14:paraId="5102F89D" w14:textId="708C8927" w:rsidR="001922A5"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SPSS 26.0 software was used, and normality and homogeneity of variance tests were performed first: (1) Measurement data: Normally distributed data were expressed as (x</w:t>
      </w:r>
      <w:r w:rsidRPr="00B14493">
        <w:rPr>
          <w:rFonts w:ascii="Times New Roman" w:hAnsi="Times New Roman" w:cs="Times New Roman" w:hint="eastAsia"/>
        </w:rPr>
        <w:t>±</w:t>
      </w:r>
      <w:r w:rsidRPr="00B14493">
        <w:rPr>
          <w:rFonts w:ascii="Times New Roman" w:hAnsi="Times New Roman" w:cs="Times New Roman" w:hint="eastAsia"/>
        </w:rPr>
        <w:t xml:space="preserve">s) and tested by ANOVA; non-normally distributed data were expressed as [M (Q1, Q3)] and tested by Kruskal-Wallis H test; (2) Count data: Expressed as "number of cases (rate, %)", and tested by </w:t>
      </w:r>
      <w:r w:rsidRPr="00B14493">
        <w:rPr>
          <w:rFonts w:ascii="Times New Roman" w:hAnsi="Times New Roman" w:cs="Times New Roman" w:hint="eastAsia"/>
        </w:rPr>
        <w:t>χ²</w:t>
      </w:r>
      <w:r w:rsidRPr="00B14493">
        <w:rPr>
          <w:rFonts w:ascii="Times New Roman" w:hAnsi="Times New Roman" w:cs="Times New Roman" w:hint="eastAsia"/>
        </w:rPr>
        <w:t xml:space="preserve"> test or Fisher's exact probability method; (3) Correlation analysis: Spearman correlation analysis (</w:t>
      </w:r>
      <w:proofErr w:type="spellStart"/>
      <w:r w:rsidRPr="00B14493">
        <w:rPr>
          <w:rFonts w:ascii="Times New Roman" w:hAnsi="Times New Roman" w:cs="Times New Roman" w:hint="eastAsia"/>
        </w:rPr>
        <w:t>r_s</w:t>
      </w:r>
      <w:proofErr w:type="spellEnd"/>
      <w:r w:rsidRPr="00B14493">
        <w:rPr>
          <w:rFonts w:ascii="Times New Roman" w:hAnsi="Times New Roman" w:cs="Times New Roman" w:hint="eastAsia"/>
        </w:rPr>
        <w:t>); (4) Threshold screening: Receiver operating characteristic (ROC) curve analysis (AUC, sensitivity, specificity); (5) Test level: Two-sided test, and P &lt; 0.05 was considered statistically significant.</w:t>
      </w:r>
    </w:p>
    <w:p w14:paraId="147E96D0" w14:textId="77777777" w:rsidR="009865EB" w:rsidRDefault="009E18B3">
      <w:pPr>
        <w:spacing w:beforeLines="50" w:before="156" w:afterLines="50" w:after="156" w:line="360" w:lineRule="auto"/>
        <w:outlineLvl w:val="1"/>
        <w:rPr>
          <w:rFonts w:ascii="Times New Roman" w:eastAsia="SimSun" w:hAnsi="Times New Roman" w:cs="Times New Roman"/>
          <w:b/>
          <w:bCs/>
          <w:sz w:val="22"/>
          <w:szCs w:val="24"/>
          <w14:ligatures w14:val="none"/>
        </w:rPr>
      </w:pPr>
      <w:r>
        <w:rPr>
          <w:rFonts w:ascii="Times New Roman" w:eastAsia="SimSun" w:hAnsi="Times New Roman" w:cs="Times New Roman"/>
          <w:b/>
          <w:bCs/>
          <w:sz w:val="22"/>
          <w:szCs w:val="24"/>
          <w14:ligatures w14:val="none"/>
        </w:rPr>
        <w:t>2 Results</w:t>
      </w:r>
    </w:p>
    <w:p w14:paraId="576C729E" w14:textId="2BF053FC" w:rsidR="009865EB" w:rsidRDefault="009E18B3">
      <w:pPr>
        <w:outlineLvl w:val="2"/>
        <w:rPr>
          <w:rFonts w:ascii="Times New Roman" w:hAnsi="Times New Roman" w:cs="Times New Roman"/>
        </w:rPr>
      </w:pPr>
      <w:r>
        <w:rPr>
          <w:rFonts w:ascii="Times New Roman" w:hAnsi="Times New Roman" w:cs="Times New Roman"/>
          <w:b/>
          <w:bCs/>
        </w:rPr>
        <w:t xml:space="preserve">2.1 </w:t>
      </w:r>
      <w:r w:rsidR="00B14493" w:rsidRPr="00B14493">
        <w:rPr>
          <w:rFonts w:ascii="Times New Roman" w:hAnsi="Times New Roman" w:cs="Times New Roman"/>
          <w:b/>
          <w:bCs/>
        </w:rPr>
        <w:t>Baseline Characteristics of the Study Subjects</w:t>
      </w:r>
    </w:p>
    <w:p w14:paraId="32746245"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A total of 65 children with acute lymphoblastic leukemia (ALL) were initially enrolled in this study. During the study, 5 cases withdrew due to loss to follow-up (2 cases), serum sample hemolysis (2 cases), and complicated severe pneumonia (1 case), resulting in 60 valid samples with a valid sample rate of 95.2%, which met the requirement of "at least 60 valid samples" in the sample size estimation. Statistical tests showed no significant differences in baseline indicators such as gender, age, and disease risk stratification among children in the low, medium, and high concentration groups (P &gt; 0.05), indicating comparability between groups.</w:t>
      </w:r>
    </w:p>
    <w:p w14:paraId="35EAB7BA"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The detailed baseline characteristics of the 60 children are shown in Table 1, with the core information as follows:</w:t>
      </w:r>
    </w:p>
    <w:p w14:paraId="08971910"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(1) Demographic characteristics: The gender distribution was balanced (males 56.7%, females 43.3%); the age ranged from 1 to 18 years, with a mean of (7.2±3.5) years, and the majority were young children aged 1-6 years (53.3%), consistent with the characteristics of the high-risk population of childhood ALL.</w:t>
      </w:r>
    </w:p>
    <w:p w14:paraId="27A94106"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(2) Disease and physical status: The standard-risk type accounted for the highest proportion (63.3%) in the disease risk stratification; all Eastern Cooperative Oncology Group (ECOG) performance status scores were ≤ 2 (70.0% with score 0), only 3 cases (5.0%) had a history of penicillin allergy or mild nutritional anemia, without other underlying diseases. The overall physical status was good, providing a basis for tolerating chemotherapy and follow-up.</w:t>
      </w:r>
    </w:p>
    <w:p w14:paraId="23303E3A"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(3) Baseline laboratory indicators: ALT, AST, total bilirubin, PT, APTT, and fasting blood glucose before treatment were all within the normal range (Table 1), with no liver injury, coagulation abnormalities, or blood glucose abnormalities, which excluded the interference of baseline factors on the subsequent assessment of adverse reactions.</w:t>
      </w:r>
    </w:p>
    <w:p w14:paraId="3A4064D9" w14:textId="77777777" w:rsidR="00B15722" w:rsidRPr="00FB0E01"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Table 1 Baseline Characteristics of the Study Subjects</w:t>
      </w:r>
    </w:p>
    <w:tbl>
      <w:tblPr>
        <w:tblW w:w="5000" w:type="pct"/>
        <w:tblLook w:val="04A0" w:firstRow="1" w:lastRow="0" w:firstColumn="1" w:lastColumn="0" w:noHBand="0" w:noVBand="1"/>
      </w:tblPr>
      <w:tblGrid>
        <w:gridCol w:w="2093"/>
        <w:gridCol w:w="2978"/>
        <w:gridCol w:w="3451"/>
      </w:tblGrid>
      <w:tr w:rsidR="00B15722" w:rsidRPr="00B15722" w14:paraId="62B9255A" w14:textId="77777777" w:rsidTr="001908A8">
        <w:trPr>
          <w:trHeight w:val="292"/>
          <w:tblHeader/>
        </w:trPr>
        <w:tc>
          <w:tcPr>
            <w:tcW w:w="1228" w:type="pct"/>
            <w:tcBorders>
              <w:top w:val="single" w:sz="4" w:space="0" w:color="auto"/>
              <w:left w:val="nil"/>
              <w:bottom w:val="single" w:sz="4" w:space="0" w:color="auto"/>
              <w:right w:val="nil"/>
            </w:tcBorders>
            <w:shd w:val="clear" w:color="000000" w:fill="F2F2F2"/>
            <w:vAlign w:val="center"/>
            <w:hideMark/>
          </w:tcPr>
          <w:p w14:paraId="2CD67863" w14:textId="77777777" w:rsidR="00B15722" w:rsidRPr="00E5275D" w:rsidRDefault="00B15722"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Characteristic Category</w:t>
            </w:r>
          </w:p>
        </w:tc>
        <w:tc>
          <w:tcPr>
            <w:tcW w:w="1747" w:type="pct"/>
            <w:tcBorders>
              <w:top w:val="single" w:sz="4" w:space="0" w:color="auto"/>
              <w:left w:val="nil"/>
              <w:bottom w:val="single" w:sz="4" w:space="0" w:color="auto"/>
              <w:right w:val="nil"/>
            </w:tcBorders>
            <w:shd w:val="clear" w:color="000000" w:fill="F2F2F2"/>
            <w:vAlign w:val="center"/>
            <w:hideMark/>
          </w:tcPr>
          <w:p w14:paraId="3AD54ABA" w14:textId="77777777" w:rsidR="00B15722" w:rsidRPr="00E5275D" w:rsidRDefault="00B15722"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Specific Indicator</w:t>
            </w:r>
          </w:p>
        </w:tc>
        <w:tc>
          <w:tcPr>
            <w:tcW w:w="2025" w:type="pct"/>
            <w:tcBorders>
              <w:top w:val="single" w:sz="4" w:space="0" w:color="auto"/>
              <w:left w:val="nil"/>
              <w:bottom w:val="single" w:sz="4" w:space="0" w:color="auto"/>
              <w:right w:val="nil"/>
            </w:tcBorders>
            <w:shd w:val="clear" w:color="000000" w:fill="F2F2F2"/>
            <w:vAlign w:val="center"/>
            <w:hideMark/>
          </w:tcPr>
          <w:p w14:paraId="23A09677" w14:textId="77777777" w:rsidR="00B15722" w:rsidRPr="00E5275D" w:rsidRDefault="00B15722"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Value (n=60)</w:t>
            </w:r>
          </w:p>
        </w:tc>
      </w:tr>
      <w:tr w:rsidR="00B15722" w:rsidRPr="00B15722" w14:paraId="6B337120" w14:textId="77777777" w:rsidTr="001908A8">
        <w:trPr>
          <w:trHeight w:val="318"/>
        </w:trPr>
        <w:tc>
          <w:tcPr>
            <w:tcW w:w="1228" w:type="pct"/>
            <w:vMerge w:val="restart"/>
            <w:tcBorders>
              <w:top w:val="single" w:sz="4" w:space="0" w:color="auto"/>
              <w:left w:val="nil"/>
              <w:bottom w:val="nil"/>
              <w:right w:val="nil"/>
            </w:tcBorders>
            <w:vAlign w:val="center"/>
            <w:hideMark/>
          </w:tcPr>
          <w:p w14:paraId="73DACA8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Demographic characteristics</w:t>
            </w:r>
          </w:p>
        </w:tc>
        <w:tc>
          <w:tcPr>
            <w:tcW w:w="1747" w:type="pct"/>
            <w:tcBorders>
              <w:top w:val="single" w:sz="4" w:space="0" w:color="auto"/>
              <w:left w:val="nil"/>
              <w:bottom w:val="nil"/>
              <w:right w:val="nil"/>
            </w:tcBorders>
            <w:vAlign w:val="center"/>
            <w:hideMark/>
          </w:tcPr>
          <w:p w14:paraId="2B989F4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Gender (male/female), n (%)</w:t>
            </w:r>
          </w:p>
        </w:tc>
        <w:tc>
          <w:tcPr>
            <w:tcW w:w="2025" w:type="pct"/>
            <w:tcBorders>
              <w:top w:val="single" w:sz="4" w:space="0" w:color="auto"/>
              <w:left w:val="nil"/>
              <w:bottom w:val="nil"/>
              <w:right w:val="nil"/>
            </w:tcBorders>
            <w:vAlign w:val="center"/>
            <w:hideMark/>
          </w:tcPr>
          <w:p w14:paraId="1922E838"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34 (56.7)/26 (43.3)</w:t>
            </w:r>
          </w:p>
        </w:tc>
      </w:tr>
      <w:tr w:rsidR="00B15722" w:rsidRPr="00B15722" w14:paraId="4D7BC745" w14:textId="77777777" w:rsidTr="001908A8">
        <w:trPr>
          <w:trHeight w:val="318"/>
        </w:trPr>
        <w:tc>
          <w:tcPr>
            <w:tcW w:w="1228" w:type="pct"/>
            <w:vMerge/>
            <w:tcBorders>
              <w:top w:val="nil"/>
              <w:left w:val="nil"/>
              <w:bottom w:val="nil"/>
              <w:right w:val="nil"/>
            </w:tcBorders>
            <w:vAlign w:val="center"/>
            <w:hideMark/>
          </w:tcPr>
          <w:p w14:paraId="2F87CF1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08205F94"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Age, mean ± standard deviation (years)</w:t>
            </w:r>
          </w:p>
        </w:tc>
        <w:tc>
          <w:tcPr>
            <w:tcW w:w="2025" w:type="pct"/>
            <w:tcBorders>
              <w:top w:val="nil"/>
              <w:left w:val="nil"/>
              <w:bottom w:val="nil"/>
              <w:right w:val="nil"/>
            </w:tcBorders>
            <w:vAlign w:val="center"/>
            <w:hideMark/>
          </w:tcPr>
          <w:p w14:paraId="5CFF6969"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7.2±3.5</w:t>
            </w:r>
          </w:p>
        </w:tc>
      </w:tr>
      <w:tr w:rsidR="00B15722" w:rsidRPr="00B15722" w14:paraId="671D52F2" w14:textId="77777777" w:rsidTr="001908A8">
        <w:trPr>
          <w:trHeight w:val="318"/>
        </w:trPr>
        <w:tc>
          <w:tcPr>
            <w:tcW w:w="1228" w:type="pct"/>
            <w:vMerge/>
            <w:tcBorders>
              <w:top w:val="nil"/>
              <w:left w:val="nil"/>
              <w:bottom w:val="nil"/>
              <w:right w:val="nil"/>
            </w:tcBorders>
            <w:vAlign w:val="center"/>
            <w:hideMark/>
          </w:tcPr>
          <w:p w14:paraId="20989203"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18263ECE"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Age stratification, n (%)</w:t>
            </w:r>
          </w:p>
        </w:tc>
        <w:tc>
          <w:tcPr>
            <w:tcW w:w="2025" w:type="pct"/>
            <w:tcBorders>
              <w:top w:val="nil"/>
              <w:left w:val="nil"/>
              <w:bottom w:val="nil"/>
              <w:right w:val="nil"/>
            </w:tcBorders>
            <w:vAlign w:val="center"/>
            <w:hideMark/>
          </w:tcPr>
          <w:p w14:paraId="0E4423C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1-6 years: 32 (53.3); 7-12 years: 18 (30.0); 13-18 years: 10 (16.7)</w:t>
            </w:r>
          </w:p>
        </w:tc>
      </w:tr>
      <w:tr w:rsidR="00B15722" w:rsidRPr="00B15722" w14:paraId="2FC213A0" w14:textId="77777777" w:rsidTr="001908A8">
        <w:trPr>
          <w:trHeight w:val="318"/>
        </w:trPr>
        <w:tc>
          <w:tcPr>
            <w:tcW w:w="1228" w:type="pct"/>
            <w:vMerge w:val="restart"/>
            <w:tcBorders>
              <w:top w:val="nil"/>
              <w:left w:val="nil"/>
              <w:bottom w:val="nil"/>
              <w:right w:val="nil"/>
            </w:tcBorders>
            <w:vAlign w:val="center"/>
            <w:hideMark/>
          </w:tcPr>
          <w:p w14:paraId="6B03FCF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lastRenderedPageBreak/>
              <w:t>Disease and physical status</w:t>
            </w:r>
          </w:p>
        </w:tc>
        <w:tc>
          <w:tcPr>
            <w:tcW w:w="1747" w:type="pct"/>
            <w:tcBorders>
              <w:top w:val="nil"/>
              <w:left w:val="nil"/>
              <w:bottom w:val="nil"/>
              <w:right w:val="nil"/>
            </w:tcBorders>
            <w:vAlign w:val="center"/>
            <w:hideMark/>
          </w:tcPr>
          <w:p w14:paraId="130C2430"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Disease risk stratification, n (%)</w:t>
            </w:r>
          </w:p>
        </w:tc>
        <w:tc>
          <w:tcPr>
            <w:tcW w:w="2025" w:type="pct"/>
            <w:tcBorders>
              <w:top w:val="nil"/>
              <w:left w:val="nil"/>
              <w:bottom w:val="nil"/>
              <w:right w:val="nil"/>
            </w:tcBorders>
            <w:vAlign w:val="center"/>
            <w:hideMark/>
          </w:tcPr>
          <w:p w14:paraId="53D50F8A"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Standard-risk: 38 (63.3); Intermediate-risk: 17 (28.3); High-risk: 5 (8.3)</w:t>
            </w:r>
          </w:p>
        </w:tc>
      </w:tr>
      <w:tr w:rsidR="00B15722" w:rsidRPr="00B15722" w14:paraId="62012B61" w14:textId="77777777" w:rsidTr="001908A8">
        <w:trPr>
          <w:trHeight w:val="318"/>
        </w:trPr>
        <w:tc>
          <w:tcPr>
            <w:tcW w:w="1228" w:type="pct"/>
            <w:vMerge/>
            <w:tcBorders>
              <w:top w:val="nil"/>
              <w:left w:val="nil"/>
              <w:bottom w:val="nil"/>
              <w:right w:val="nil"/>
            </w:tcBorders>
            <w:vAlign w:val="center"/>
            <w:hideMark/>
          </w:tcPr>
          <w:p w14:paraId="4377A99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60B1856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ECOG performance status score, n (%)</w:t>
            </w:r>
          </w:p>
        </w:tc>
        <w:tc>
          <w:tcPr>
            <w:tcW w:w="2025" w:type="pct"/>
            <w:tcBorders>
              <w:top w:val="nil"/>
              <w:left w:val="nil"/>
              <w:bottom w:val="nil"/>
              <w:right w:val="nil"/>
            </w:tcBorders>
            <w:vAlign w:val="center"/>
            <w:hideMark/>
          </w:tcPr>
          <w:p w14:paraId="1557BD2D"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Score 0: 42 (70.0); Score 1: 15 (25.0); Score 2: 3 (5.0)</w:t>
            </w:r>
          </w:p>
        </w:tc>
      </w:tr>
      <w:tr w:rsidR="00B15722" w:rsidRPr="00B15722" w14:paraId="59C00695" w14:textId="77777777" w:rsidTr="001908A8">
        <w:trPr>
          <w:trHeight w:val="318"/>
        </w:trPr>
        <w:tc>
          <w:tcPr>
            <w:tcW w:w="1228" w:type="pct"/>
            <w:vMerge/>
            <w:tcBorders>
              <w:top w:val="nil"/>
              <w:left w:val="nil"/>
              <w:bottom w:val="nil"/>
              <w:right w:val="nil"/>
            </w:tcBorders>
            <w:vAlign w:val="center"/>
            <w:hideMark/>
          </w:tcPr>
          <w:p w14:paraId="61EA25BE"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6EB6CD60"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Previous underlying diseases, n (%)</w:t>
            </w:r>
          </w:p>
        </w:tc>
        <w:tc>
          <w:tcPr>
            <w:tcW w:w="2025" w:type="pct"/>
            <w:tcBorders>
              <w:top w:val="nil"/>
              <w:left w:val="nil"/>
              <w:bottom w:val="nil"/>
              <w:right w:val="nil"/>
            </w:tcBorders>
            <w:vAlign w:val="center"/>
            <w:hideMark/>
          </w:tcPr>
          <w:p w14:paraId="75F1D688"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None: 57 (95.0); Penicillin allergy history: 2 (3.3); Mild anemia: 1 (1.7)</w:t>
            </w:r>
          </w:p>
        </w:tc>
      </w:tr>
      <w:tr w:rsidR="00B15722" w:rsidRPr="00B15722" w14:paraId="71D93403" w14:textId="77777777" w:rsidTr="001908A8">
        <w:trPr>
          <w:trHeight w:val="318"/>
        </w:trPr>
        <w:tc>
          <w:tcPr>
            <w:tcW w:w="1228" w:type="pct"/>
            <w:vMerge w:val="restart"/>
            <w:tcBorders>
              <w:top w:val="nil"/>
              <w:left w:val="nil"/>
              <w:bottom w:val="nil"/>
              <w:right w:val="nil"/>
            </w:tcBorders>
            <w:vAlign w:val="center"/>
            <w:hideMark/>
          </w:tcPr>
          <w:p w14:paraId="36C9609D"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Baseline laboratory indicators (mean ± standard deviation)</w:t>
            </w:r>
          </w:p>
        </w:tc>
        <w:tc>
          <w:tcPr>
            <w:tcW w:w="1747" w:type="pct"/>
            <w:tcBorders>
              <w:top w:val="nil"/>
              <w:left w:val="nil"/>
              <w:bottom w:val="nil"/>
              <w:right w:val="nil"/>
            </w:tcBorders>
            <w:vAlign w:val="center"/>
            <w:hideMark/>
          </w:tcPr>
          <w:p w14:paraId="668C42B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ALT (U/L)</w:t>
            </w:r>
          </w:p>
        </w:tc>
        <w:tc>
          <w:tcPr>
            <w:tcW w:w="2025" w:type="pct"/>
            <w:tcBorders>
              <w:top w:val="nil"/>
              <w:left w:val="nil"/>
              <w:bottom w:val="nil"/>
              <w:right w:val="nil"/>
            </w:tcBorders>
            <w:vAlign w:val="center"/>
            <w:hideMark/>
          </w:tcPr>
          <w:p w14:paraId="2DE97FD1"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18.5±6.2</w:t>
            </w:r>
          </w:p>
        </w:tc>
      </w:tr>
      <w:tr w:rsidR="00B15722" w:rsidRPr="00B15722" w14:paraId="4BE88BDF" w14:textId="77777777" w:rsidTr="001908A8">
        <w:trPr>
          <w:trHeight w:val="318"/>
        </w:trPr>
        <w:tc>
          <w:tcPr>
            <w:tcW w:w="1228" w:type="pct"/>
            <w:vMerge/>
            <w:tcBorders>
              <w:top w:val="nil"/>
              <w:left w:val="nil"/>
              <w:bottom w:val="nil"/>
              <w:right w:val="nil"/>
            </w:tcBorders>
            <w:vAlign w:val="center"/>
            <w:hideMark/>
          </w:tcPr>
          <w:p w14:paraId="34AD550C"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78A46DD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AST (U/L)</w:t>
            </w:r>
          </w:p>
        </w:tc>
        <w:tc>
          <w:tcPr>
            <w:tcW w:w="2025" w:type="pct"/>
            <w:tcBorders>
              <w:top w:val="nil"/>
              <w:left w:val="nil"/>
              <w:bottom w:val="nil"/>
              <w:right w:val="nil"/>
            </w:tcBorders>
            <w:vAlign w:val="center"/>
            <w:hideMark/>
          </w:tcPr>
          <w:p w14:paraId="5717ECE9"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20.3±5.8</w:t>
            </w:r>
          </w:p>
        </w:tc>
      </w:tr>
      <w:tr w:rsidR="00B15722" w:rsidRPr="00B15722" w14:paraId="01D6F806" w14:textId="77777777" w:rsidTr="001908A8">
        <w:trPr>
          <w:trHeight w:val="318"/>
        </w:trPr>
        <w:tc>
          <w:tcPr>
            <w:tcW w:w="1228" w:type="pct"/>
            <w:vMerge/>
            <w:tcBorders>
              <w:top w:val="nil"/>
              <w:left w:val="nil"/>
              <w:bottom w:val="nil"/>
              <w:right w:val="nil"/>
            </w:tcBorders>
            <w:vAlign w:val="center"/>
            <w:hideMark/>
          </w:tcPr>
          <w:p w14:paraId="334AD310"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588FD99D"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Total bilirubin (</w:t>
            </w:r>
            <w:proofErr w:type="spellStart"/>
            <w:r w:rsidRPr="00E5275D">
              <w:rPr>
                <w:rFonts w:ascii="Times New Roman" w:eastAsia="SimSun" w:hAnsi="Times New Roman" w:cs="Times New Roman"/>
                <w:color w:val="0D0D0D"/>
                <w:kern w:val="0"/>
                <w:sz w:val="18"/>
                <w:szCs w:val="18"/>
              </w:rPr>
              <w:t>μmol</w:t>
            </w:r>
            <w:proofErr w:type="spellEnd"/>
            <w:r w:rsidRPr="00E5275D">
              <w:rPr>
                <w:rFonts w:ascii="Times New Roman" w:eastAsia="SimSun" w:hAnsi="Times New Roman" w:cs="Times New Roman"/>
                <w:color w:val="0D0D0D"/>
                <w:kern w:val="0"/>
                <w:sz w:val="18"/>
                <w:szCs w:val="18"/>
              </w:rPr>
              <w:t>/L)</w:t>
            </w:r>
          </w:p>
        </w:tc>
        <w:tc>
          <w:tcPr>
            <w:tcW w:w="2025" w:type="pct"/>
            <w:tcBorders>
              <w:top w:val="nil"/>
              <w:left w:val="nil"/>
              <w:bottom w:val="nil"/>
              <w:right w:val="nil"/>
            </w:tcBorders>
            <w:vAlign w:val="center"/>
            <w:hideMark/>
          </w:tcPr>
          <w:p w14:paraId="219C3CD8"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8.2±2.1</w:t>
            </w:r>
          </w:p>
        </w:tc>
      </w:tr>
      <w:tr w:rsidR="00B15722" w:rsidRPr="00B15722" w14:paraId="01631BFB" w14:textId="77777777" w:rsidTr="001908A8">
        <w:trPr>
          <w:trHeight w:val="318"/>
        </w:trPr>
        <w:tc>
          <w:tcPr>
            <w:tcW w:w="1228" w:type="pct"/>
            <w:vMerge/>
            <w:tcBorders>
              <w:top w:val="nil"/>
              <w:left w:val="nil"/>
              <w:bottom w:val="nil"/>
              <w:right w:val="nil"/>
            </w:tcBorders>
            <w:vAlign w:val="center"/>
            <w:hideMark/>
          </w:tcPr>
          <w:p w14:paraId="2EF5B19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22AA6BD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PT (seconds)</w:t>
            </w:r>
          </w:p>
        </w:tc>
        <w:tc>
          <w:tcPr>
            <w:tcW w:w="2025" w:type="pct"/>
            <w:tcBorders>
              <w:top w:val="nil"/>
              <w:left w:val="nil"/>
              <w:bottom w:val="nil"/>
              <w:right w:val="nil"/>
            </w:tcBorders>
            <w:vAlign w:val="center"/>
            <w:hideMark/>
          </w:tcPr>
          <w:p w14:paraId="7EF7BEE4"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11.8±1.2</w:t>
            </w:r>
          </w:p>
        </w:tc>
      </w:tr>
      <w:tr w:rsidR="00B15722" w:rsidRPr="00B15722" w14:paraId="51CD9429" w14:textId="77777777" w:rsidTr="001908A8">
        <w:trPr>
          <w:trHeight w:val="318"/>
        </w:trPr>
        <w:tc>
          <w:tcPr>
            <w:tcW w:w="1228" w:type="pct"/>
            <w:vMerge/>
            <w:tcBorders>
              <w:top w:val="nil"/>
              <w:left w:val="nil"/>
              <w:bottom w:val="nil"/>
              <w:right w:val="nil"/>
            </w:tcBorders>
            <w:vAlign w:val="center"/>
            <w:hideMark/>
          </w:tcPr>
          <w:p w14:paraId="52351611"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599C789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APTT (seconds)</w:t>
            </w:r>
          </w:p>
        </w:tc>
        <w:tc>
          <w:tcPr>
            <w:tcW w:w="2025" w:type="pct"/>
            <w:tcBorders>
              <w:top w:val="nil"/>
              <w:left w:val="nil"/>
              <w:bottom w:val="nil"/>
              <w:right w:val="nil"/>
            </w:tcBorders>
            <w:vAlign w:val="center"/>
            <w:hideMark/>
          </w:tcPr>
          <w:p w14:paraId="62CC470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32.5±3.6</w:t>
            </w:r>
          </w:p>
        </w:tc>
      </w:tr>
      <w:tr w:rsidR="00B15722" w:rsidRPr="00B15722" w14:paraId="1FD873CD" w14:textId="77777777" w:rsidTr="001908A8">
        <w:trPr>
          <w:trHeight w:val="318"/>
        </w:trPr>
        <w:tc>
          <w:tcPr>
            <w:tcW w:w="1228" w:type="pct"/>
            <w:vMerge/>
            <w:tcBorders>
              <w:top w:val="nil"/>
              <w:left w:val="nil"/>
              <w:bottom w:val="single" w:sz="4" w:space="0" w:color="auto"/>
              <w:right w:val="nil"/>
            </w:tcBorders>
            <w:vAlign w:val="center"/>
            <w:hideMark/>
          </w:tcPr>
          <w:p w14:paraId="56B9C0B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single" w:sz="4" w:space="0" w:color="auto"/>
              <w:right w:val="nil"/>
            </w:tcBorders>
            <w:vAlign w:val="center"/>
            <w:hideMark/>
          </w:tcPr>
          <w:p w14:paraId="2F22DB7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Fasting blood glucose (mmol/L)</w:t>
            </w:r>
          </w:p>
        </w:tc>
        <w:tc>
          <w:tcPr>
            <w:tcW w:w="2025" w:type="pct"/>
            <w:tcBorders>
              <w:top w:val="nil"/>
              <w:left w:val="nil"/>
              <w:bottom w:val="single" w:sz="4" w:space="0" w:color="auto"/>
              <w:right w:val="nil"/>
            </w:tcBorders>
            <w:vAlign w:val="center"/>
            <w:hideMark/>
          </w:tcPr>
          <w:p w14:paraId="674A136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5.2±0.6</w:t>
            </w:r>
          </w:p>
        </w:tc>
      </w:tr>
    </w:tbl>
    <w:p w14:paraId="50E79E62" w14:textId="240DA359" w:rsidR="00B14493" w:rsidRPr="00B14493" w:rsidRDefault="00B14493" w:rsidP="00B15722">
      <w:pPr>
        <w:rPr>
          <w:rFonts w:ascii="Times New Roman" w:hAnsi="Times New Roman" w:cs="Times New Roman"/>
          <w:b/>
          <w:bCs/>
        </w:rPr>
      </w:pPr>
      <w:r>
        <w:rPr>
          <w:rFonts w:ascii="Times New Roman" w:hAnsi="Times New Roman" w:cs="Times New Roman" w:hint="eastAsia"/>
          <w:b/>
          <w:bCs/>
        </w:rPr>
        <w:t>2</w:t>
      </w:r>
      <w:r w:rsidRPr="00B14493">
        <w:rPr>
          <w:rFonts w:ascii="Times New Roman" w:hAnsi="Times New Roman" w:cs="Times New Roman"/>
          <w:b/>
          <w:bCs/>
        </w:rPr>
        <w:t xml:space="preserve">.2 Distribution Characteristics of </w:t>
      </w:r>
      <w:proofErr w:type="spellStart"/>
      <w:r w:rsidRPr="00B14493">
        <w:rPr>
          <w:rFonts w:ascii="Times New Roman" w:hAnsi="Times New Roman" w:cs="Times New Roman"/>
          <w:b/>
          <w:bCs/>
        </w:rPr>
        <w:t>Pegaspargase</w:t>
      </w:r>
      <w:proofErr w:type="spellEnd"/>
      <w:r w:rsidRPr="00B14493">
        <w:rPr>
          <w:rFonts w:ascii="Times New Roman" w:hAnsi="Times New Roman" w:cs="Times New Roman"/>
          <w:b/>
          <w:bCs/>
        </w:rPr>
        <w:t xml:space="preserve"> Blood Concentration at 7 Days After Administration</w:t>
      </w:r>
    </w:p>
    <w:p w14:paraId="60B3E7F2" w14:textId="77777777" w:rsidR="00B14493" w:rsidRDefault="00B14493" w:rsidP="00B14493">
      <w:pPr>
        <w:ind w:firstLineChars="202" w:firstLine="424"/>
        <w:rPr>
          <w:rFonts w:ascii="Times New Roman" w:hAnsi="Times New Roman" w:cs="Times New Roman"/>
        </w:rPr>
      </w:pPr>
      <w:r w:rsidRPr="00B14493">
        <w:rPr>
          <w:rFonts w:ascii="Times New Roman" w:hAnsi="Times New Roman" w:cs="Times New Roman"/>
        </w:rPr>
        <w:t xml:space="preserve">To clarify the drug exposure level within the therapeutic window of </w:t>
      </w:r>
      <w:proofErr w:type="spellStart"/>
      <w:r w:rsidRPr="00B14493">
        <w:rPr>
          <w:rFonts w:ascii="Times New Roman" w:hAnsi="Times New Roman" w:cs="Times New Roman"/>
        </w:rPr>
        <w:t>pegaspargase</w:t>
      </w:r>
      <w:proofErr w:type="spellEnd"/>
      <w:r w:rsidRPr="00B14493">
        <w:rPr>
          <w:rFonts w:ascii="Times New Roman" w:hAnsi="Times New Roman" w:cs="Times New Roman"/>
        </w:rPr>
        <w:t>, this study analyzed the blood concentration of 60 valid samples at 7 days after administration, and its distribution characteristics were intuitively presented in Figure 1. The detailed grouping concentration was summarized in Table 2, providing a quantitative basis for the subsequent correlation analysis of adverse reactions.</w:t>
      </w:r>
    </w:p>
    <w:p w14:paraId="70D620A7" w14:textId="77777777" w:rsidR="00B14493" w:rsidRPr="00B14493"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 xml:space="preserve">Table 2 Details of </w:t>
      </w:r>
      <w:proofErr w:type="spellStart"/>
      <w:r w:rsidRPr="00B14493">
        <w:rPr>
          <w:rFonts w:ascii="Times New Roman" w:eastAsia="SimSun" w:hAnsi="Times New Roman" w:cs="Times New Roman"/>
          <w:sz w:val="18"/>
          <w:szCs w:val="20"/>
        </w:rPr>
        <w:t>Pegaspargase</w:t>
      </w:r>
      <w:proofErr w:type="spellEnd"/>
      <w:r w:rsidRPr="00B14493">
        <w:rPr>
          <w:rFonts w:ascii="Times New Roman" w:eastAsia="SimSun" w:hAnsi="Times New Roman" w:cs="Times New Roman"/>
          <w:sz w:val="18"/>
          <w:szCs w:val="20"/>
        </w:rPr>
        <w:t xml:space="preserve"> Blood Concentration Distribution in Different Blood Concentration Groups</w:t>
      </w:r>
    </w:p>
    <w:tbl>
      <w:tblPr>
        <w:tblW w:w="9151" w:type="dxa"/>
        <w:tblLayout w:type="fixed"/>
        <w:tblCellMar>
          <w:left w:w="0" w:type="dxa"/>
          <w:right w:w="0" w:type="dxa"/>
        </w:tblCellMar>
        <w:tblLook w:val="04A0" w:firstRow="1" w:lastRow="0" w:firstColumn="1" w:lastColumn="0" w:noHBand="0" w:noVBand="1"/>
      </w:tblPr>
      <w:tblGrid>
        <w:gridCol w:w="1688"/>
        <w:gridCol w:w="1559"/>
        <w:gridCol w:w="1418"/>
        <w:gridCol w:w="1842"/>
        <w:gridCol w:w="1276"/>
        <w:gridCol w:w="1368"/>
      </w:tblGrid>
      <w:tr w:rsidR="00B14493" w:rsidRPr="00B14493" w14:paraId="42A1319D" w14:textId="77777777" w:rsidTr="00FC67BF">
        <w:trPr>
          <w:tblHeader/>
        </w:trPr>
        <w:tc>
          <w:tcPr>
            <w:tcW w:w="1688"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61AF9C87"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Concentration Group</w:t>
            </w:r>
          </w:p>
        </w:tc>
        <w:tc>
          <w:tcPr>
            <w:tcW w:w="1559"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2914DC9B"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Number of Cases (n, %)</w:t>
            </w:r>
          </w:p>
        </w:tc>
        <w:tc>
          <w:tcPr>
            <w:tcW w:w="1418"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205FFFED"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Concentration Range (IU/L)</w:t>
            </w:r>
          </w:p>
        </w:tc>
        <w:tc>
          <w:tcPr>
            <w:tcW w:w="1842"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1DE9E3DE"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Mean Concentration ± Standard Deviation (IU/L)</w:t>
            </w:r>
          </w:p>
        </w:tc>
        <w:tc>
          <w:tcPr>
            <w:tcW w:w="1276"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30D77B0A"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Median Concentration (IU/L)</w:t>
            </w:r>
          </w:p>
        </w:tc>
        <w:tc>
          <w:tcPr>
            <w:tcW w:w="1368"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5597FBBC"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Concentration ≥10 IU/L (n, %)</w:t>
            </w:r>
          </w:p>
        </w:tc>
      </w:tr>
      <w:tr w:rsidR="00B14493" w:rsidRPr="00B14493" w14:paraId="752E96E3" w14:textId="77777777" w:rsidTr="00FC67BF">
        <w:tc>
          <w:tcPr>
            <w:tcW w:w="1688" w:type="dxa"/>
            <w:tcBorders>
              <w:top w:val="single" w:sz="4" w:space="0" w:color="auto"/>
            </w:tcBorders>
            <w:tcMar>
              <w:top w:w="180" w:type="dxa"/>
              <w:left w:w="270" w:type="dxa"/>
              <w:bottom w:w="180" w:type="dxa"/>
              <w:right w:w="270" w:type="dxa"/>
            </w:tcMar>
            <w:vAlign w:val="center"/>
            <w:hideMark/>
          </w:tcPr>
          <w:p w14:paraId="3CF93777"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Low-concentration group (&lt;10.3 IU/L)</w:t>
            </w:r>
          </w:p>
        </w:tc>
        <w:tc>
          <w:tcPr>
            <w:tcW w:w="1559" w:type="dxa"/>
            <w:tcBorders>
              <w:top w:val="single" w:sz="4" w:space="0" w:color="auto"/>
            </w:tcBorders>
            <w:tcMar>
              <w:top w:w="180" w:type="dxa"/>
              <w:left w:w="270" w:type="dxa"/>
              <w:bottom w:w="180" w:type="dxa"/>
              <w:right w:w="270" w:type="dxa"/>
            </w:tcMar>
            <w:vAlign w:val="center"/>
            <w:hideMark/>
          </w:tcPr>
          <w:p w14:paraId="3FD1AB7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 (25.0)</w:t>
            </w:r>
          </w:p>
        </w:tc>
        <w:tc>
          <w:tcPr>
            <w:tcW w:w="1418" w:type="dxa"/>
            <w:tcBorders>
              <w:top w:val="single" w:sz="4" w:space="0" w:color="auto"/>
            </w:tcBorders>
            <w:tcMar>
              <w:top w:w="180" w:type="dxa"/>
              <w:left w:w="270" w:type="dxa"/>
              <w:bottom w:w="180" w:type="dxa"/>
              <w:right w:w="270" w:type="dxa"/>
            </w:tcMar>
            <w:vAlign w:val="center"/>
            <w:hideMark/>
          </w:tcPr>
          <w:p w14:paraId="69ACE3C0"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3.2-10.2</w:t>
            </w:r>
          </w:p>
        </w:tc>
        <w:tc>
          <w:tcPr>
            <w:tcW w:w="1842" w:type="dxa"/>
            <w:tcBorders>
              <w:top w:val="single" w:sz="4" w:space="0" w:color="auto"/>
            </w:tcBorders>
            <w:tcMar>
              <w:top w:w="180" w:type="dxa"/>
              <w:left w:w="270" w:type="dxa"/>
              <w:bottom w:w="180" w:type="dxa"/>
              <w:right w:w="270" w:type="dxa"/>
            </w:tcMar>
            <w:vAlign w:val="center"/>
            <w:hideMark/>
          </w:tcPr>
          <w:p w14:paraId="28AA3AE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7.8±2.1</w:t>
            </w:r>
          </w:p>
        </w:tc>
        <w:tc>
          <w:tcPr>
            <w:tcW w:w="1276" w:type="dxa"/>
            <w:tcBorders>
              <w:top w:val="single" w:sz="4" w:space="0" w:color="auto"/>
            </w:tcBorders>
            <w:tcMar>
              <w:top w:w="180" w:type="dxa"/>
              <w:left w:w="270" w:type="dxa"/>
              <w:bottom w:w="180" w:type="dxa"/>
              <w:right w:w="270" w:type="dxa"/>
            </w:tcMar>
            <w:vAlign w:val="center"/>
            <w:hideMark/>
          </w:tcPr>
          <w:p w14:paraId="25A391C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8.5</w:t>
            </w:r>
          </w:p>
        </w:tc>
        <w:tc>
          <w:tcPr>
            <w:tcW w:w="1368" w:type="dxa"/>
            <w:tcBorders>
              <w:top w:val="single" w:sz="4" w:space="0" w:color="auto"/>
            </w:tcBorders>
            <w:tcMar>
              <w:top w:w="180" w:type="dxa"/>
              <w:left w:w="270" w:type="dxa"/>
              <w:bottom w:w="180" w:type="dxa"/>
              <w:right w:w="270" w:type="dxa"/>
            </w:tcMar>
            <w:vAlign w:val="center"/>
            <w:hideMark/>
          </w:tcPr>
          <w:p w14:paraId="0F1D6168"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 (46.7)</w:t>
            </w:r>
          </w:p>
        </w:tc>
      </w:tr>
      <w:tr w:rsidR="00B14493" w:rsidRPr="00B14493" w14:paraId="1CC783C0" w14:textId="77777777" w:rsidTr="00FC67BF">
        <w:tc>
          <w:tcPr>
            <w:tcW w:w="1688" w:type="dxa"/>
            <w:tcMar>
              <w:top w:w="180" w:type="dxa"/>
              <w:left w:w="270" w:type="dxa"/>
              <w:bottom w:w="180" w:type="dxa"/>
              <w:right w:w="270" w:type="dxa"/>
            </w:tcMar>
            <w:vAlign w:val="center"/>
            <w:hideMark/>
          </w:tcPr>
          <w:p w14:paraId="175F86F1"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Medium-concentration group (10.3-22.5 IU/L)</w:t>
            </w:r>
          </w:p>
        </w:tc>
        <w:tc>
          <w:tcPr>
            <w:tcW w:w="1559" w:type="dxa"/>
            <w:tcMar>
              <w:top w:w="180" w:type="dxa"/>
              <w:left w:w="270" w:type="dxa"/>
              <w:bottom w:w="180" w:type="dxa"/>
              <w:right w:w="270" w:type="dxa"/>
            </w:tcMar>
            <w:vAlign w:val="center"/>
            <w:hideMark/>
          </w:tcPr>
          <w:p w14:paraId="46C8846C"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30 (50.0)</w:t>
            </w:r>
          </w:p>
        </w:tc>
        <w:tc>
          <w:tcPr>
            <w:tcW w:w="1418" w:type="dxa"/>
            <w:tcMar>
              <w:top w:w="180" w:type="dxa"/>
              <w:left w:w="270" w:type="dxa"/>
              <w:bottom w:w="180" w:type="dxa"/>
              <w:right w:w="270" w:type="dxa"/>
            </w:tcMar>
            <w:vAlign w:val="center"/>
            <w:hideMark/>
          </w:tcPr>
          <w:p w14:paraId="158CF7E8"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10.3-22.4</w:t>
            </w:r>
          </w:p>
        </w:tc>
        <w:tc>
          <w:tcPr>
            <w:tcW w:w="1842" w:type="dxa"/>
            <w:tcMar>
              <w:top w:w="180" w:type="dxa"/>
              <w:left w:w="270" w:type="dxa"/>
              <w:bottom w:w="180" w:type="dxa"/>
              <w:right w:w="270" w:type="dxa"/>
            </w:tcMar>
            <w:vAlign w:val="center"/>
            <w:hideMark/>
          </w:tcPr>
          <w:p w14:paraId="5C0F3C7F"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16.2±3.8</w:t>
            </w:r>
          </w:p>
        </w:tc>
        <w:tc>
          <w:tcPr>
            <w:tcW w:w="1276" w:type="dxa"/>
            <w:tcMar>
              <w:top w:w="180" w:type="dxa"/>
              <w:left w:w="270" w:type="dxa"/>
              <w:bottom w:w="180" w:type="dxa"/>
              <w:right w:w="270" w:type="dxa"/>
            </w:tcMar>
            <w:vAlign w:val="center"/>
            <w:hideMark/>
          </w:tcPr>
          <w:p w14:paraId="4F90BD56"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15.7</w:t>
            </w:r>
          </w:p>
        </w:tc>
        <w:tc>
          <w:tcPr>
            <w:tcW w:w="1368" w:type="dxa"/>
            <w:tcMar>
              <w:top w:w="180" w:type="dxa"/>
              <w:left w:w="270" w:type="dxa"/>
              <w:bottom w:w="180" w:type="dxa"/>
              <w:right w:w="270" w:type="dxa"/>
            </w:tcMar>
            <w:vAlign w:val="center"/>
            <w:hideMark/>
          </w:tcPr>
          <w:p w14:paraId="7EBC66FA"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30 (100.0)</w:t>
            </w:r>
          </w:p>
        </w:tc>
      </w:tr>
      <w:tr w:rsidR="00B14493" w:rsidRPr="00B14493" w14:paraId="3B79F584" w14:textId="77777777" w:rsidTr="00FC67BF">
        <w:tc>
          <w:tcPr>
            <w:tcW w:w="1688" w:type="dxa"/>
            <w:tcMar>
              <w:top w:w="180" w:type="dxa"/>
              <w:left w:w="270" w:type="dxa"/>
              <w:bottom w:w="180" w:type="dxa"/>
              <w:right w:w="270" w:type="dxa"/>
            </w:tcMar>
            <w:vAlign w:val="center"/>
            <w:hideMark/>
          </w:tcPr>
          <w:p w14:paraId="2D162B3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High-concentration group (&gt;22.5 IU/L)</w:t>
            </w:r>
          </w:p>
        </w:tc>
        <w:tc>
          <w:tcPr>
            <w:tcW w:w="1559" w:type="dxa"/>
            <w:tcMar>
              <w:top w:w="180" w:type="dxa"/>
              <w:left w:w="270" w:type="dxa"/>
              <w:bottom w:w="180" w:type="dxa"/>
              <w:right w:w="270" w:type="dxa"/>
            </w:tcMar>
            <w:vAlign w:val="center"/>
            <w:hideMark/>
          </w:tcPr>
          <w:p w14:paraId="4684242F"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 (25.0)</w:t>
            </w:r>
          </w:p>
        </w:tc>
        <w:tc>
          <w:tcPr>
            <w:tcW w:w="1418" w:type="dxa"/>
            <w:tcMar>
              <w:top w:w="180" w:type="dxa"/>
              <w:left w:w="270" w:type="dxa"/>
              <w:bottom w:w="180" w:type="dxa"/>
              <w:right w:w="270" w:type="dxa"/>
            </w:tcMar>
            <w:vAlign w:val="center"/>
            <w:hideMark/>
          </w:tcPr>
          <w:p w14:paraId="566D050D"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22.6-35.8</w:t>
            </w:r>
          </w:p>
        </w:tc>
        <w:tc>
          <w:tcPr>
            <w:tcW w:w="1842" w:type="dxa"/>
            <w:tcMar>
              <w:top w:w="180" w:type="dxa"/>
              <w:left w:w="270" w:type="dxa"/>
              <w:bottom w:w="180" w:type="dxa"/>
              <w:right w:w="270" w:type="dxa"/>
            </w:tcMar>
            <w:vAlign w:val="center"/>
            <w:hideMark/>
          </w:tcPr>
          <w:p w14:paraId="2F67A5BB"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28.4±4.3</w:t>
            </w:r>
          </w:p>
        </w:tc>
        <w:tc>
          <w:tcPr>
            <w:tcW w:w="1276" w:type="dxa"/>
            <w:tcMar>
              <w:top w:w="180" w:type="dxa"/>
              <w:left w:w="270" w:type="dxa"/>
              <w:bottom w:w="180" w:type="dxa"/>
              <w:right w:w="270" w:type="dxa"/>
            </w:tcMar>
            <w:vAlign w:val="center"/>
            <w:hideMark/>
          </w:tcPr>
          <w:p w14:paraId="364DC0E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27.9</w:t>
            </w:r>
          </w:p>
        </w:tc>
        <w:tc>
          <w:tcPr>
            <w:tcW w:w="1368" w:type="dxa"/>
            <w:tcMar>
              <w:top w:w="180" w:type="dxa"/>
              <w:left w:w="270" w:type="dxa"/>
              <w:bottom w:w="180" w:type="dxa"/>
              <w:right w:w="270" w:type="dxa"/>
            </w:tcMar>
            <w:vAlign w:val="center"/>
            <w:hideMark/>
          </w:tcPr>
          <w:p w14:paraId="5FEDA90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 (100.0)</w:t>
            </w:r>
          </w:p>
        </w:tc>
      </w:tr>
      <w:tr w:rsidR="00B14493" w:rsidRPr="00B14493" w14:paraId="58C88EBF" w14:textId="77777777" w:rsidTr="00FC67BF">
        <w:tc>
          <w:tcPr>
            <w:tcW w:w="1688" w:type="dxa"/>
            <w:tcBorders>
              <w:bottom w:val="single" w:sz="4" w:space="0" w:color="auto"/>
            </w:tcBorders>
            <w:tcMar>
              <w:top w:w="180" w:type="dxa"/>
              <w:left w:w="270" w:type="dxa"/>
              <w:bottom w:w="180" w:type="dxa"/>
              <w:right w:w="270" w:type="dxa"/>
            </w:tcMar>
            <w:vAlign w:val="center"/>
            <w:hideMark/>
          </w:tcPr>
          <w:p w14:paraId="50CC947B"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Total</w:t>
            </w:r>
          </w:p>
        </w:tc>
        <w:tc>
          <w:tcPr>
            <w:tcW w:w="1559" w:type="dxa"/>
            <w:tcBorders>
              <w:bottom w:val="single" w:sz="4" w:space="0" w:color="auto"/>
            </w:tcBorders>
            <w:tcMar>
              <w:top w:w="180" w:type="dxa"/>
              <w:left w:w="270" w:type="dxa"/>
              <w:bottom w:w="180" w:type="dxa"/>
              <w:right w:w="270" w:type="dxa"/>
            </w:tcMar>
            <w:vAlign w:val="center"/>
            <w:hideMark/>
          </w:tcPr>
          <w:p w14:paraId="5369101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60 (100.0)</w:t>
            </w:r>
          </w:p>
        </w:tc>
        <w:tc>
          <w:tcPr>
            <w:tcW w:w="1418" w:type="dxa"/>
            <w:tcBorders>
              <w:bottom w:val="single" w:sz="4" w:space="0" w:color="auto"/>
            </w:tcBorders>
            <w:tcMar>
              <w:top w:w="180" w:type="dxa"/>
              <w:left w:w="270" w:type="dxa"/>
              <w:bottom w:w="180" w:type="dxa"/>
              <w:right w:w="270" w:type="dxa"/>
            </w:tcMar>
            <w:vAlign w:val="center"/>
            <w:hideMark/>
          </w:tcPr>
          <w:p w14:paraId="009C3C26"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3.2-35.8</w:t>
            </w:r>
          </w:p>
        </w:tc>
        <w:tc>
          <w:tcPr>
            <w:tcW w:w="1842" w:type="dxa"/>
            <w:tcBorders>
              <w:bottom w:val="single" w:sz="4" w:space="0" w:color="auto"/>
            </w:tcBorders>
            <w:tcMar>
              <w:top w:w="180" w:type="dxa"/>
              <w:left w:w="270" w:type="dxa"/>
              <w:bottom w:w="180" w:type="dxa"/>
              <w:right w:w="270" w:type="dxa"/>
            </w:tcMar>
            <w:vAlign w:val="center"/>
            <w:hideMark/>
          </w:tcPr>
          <w:p w14:paraId="04BC2AD7"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16.8±7.5</w:t>
            </w:r>
          </w:p>
        </w:tc>
        <w:tc>
          <w:tcPr>
            <w:tcW w:w="1276" w:type="dxa"/>
            <w:tcBorders>
              <w:bottom w:val="single" w:sz="4" w:space="0" w:color="auto"/>
            </w:tcBorders>
            <w:tcMar>
              <w:top w:w="180" w:type="dxa"/>
              <w:left w:w="270" w:type="dxa"/>
              <w:bottom w:w="180" w:type="dxa"/>
              <w:right w:w="270" w:type="dxa"/>
            </w:tcMar>
            <w:vAlign w:val="center"/>
            <w:hideMark/>
          </w:tcPr>
          <w:p w14:paraId="41C433F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15.9</w:t>
            </w:r>
          </w:p>
        </w:tc>
        <w:tc>
          <w:tcPr>
            <w:tcW w:w="1368" w:type="dxa"/>
            <w:tcBorders>
              <w:bottom w:val="single" w:sz="4" w:space="0" w:color="auto"/>
            </w:tcBorders>
            <w:tcMar>
              <w:top w:w="180" w:type="dxa"/>
              <w:left w:w="270" w:type="dxa"/>
              <w:bottom w:w="180" w:type="dxa"/>
              <w:right w:w="270" w:type="dxa"/>
            </w:tcMar>
            <w:vAlign w:val="center"/>
            <w:hideMark/>
          </w:tcPr>
          <w:p w14:paraId="1F09DF4F"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48 (80.0)</w:t>
            </w:r>
          </w:p>
        </w:tc>
      </w:tr>
    </w:tbl>
    <w:p w14:paraId="2119264E" w14:textId="10ADB20D" w:rsidR="00B14493" w:rsidRPr="00B14493" w:rsidRDefault="00B14493" w:rsidP="00B14493">
      <w:pPr>
        <w:outlineLvl w:val="3"/>
        <w:rPr>
          <w:rFonts w:ascii="Times New Roman" w:hAnsi="Times New Roman" w:cs="Times New Roman"/>
          <w:b/>
          <w:bCs/>
        </w:rPr>
      </w:pPr>
      <w:r>
        <w:rPr>
          <w:rFonts w:ascii="Times New Roman" w:hAnsi="Times New Roman" w:cs="Times New Roman" w:hint="eastAsia"/>
          <w:b/>
          <w:bCs/>
        </w:rPr>
        <w:lastRenderedPageBreak/>
        <w:t>2</w:t>
      </w:r>
      <w:r w:rsidRPr="00B14493">
        <w:rPr>
          <w:rFonts w:ascii="Times New Roman" w:hAnsi="Times New Roman" w:cs="Times New Roman"/>
          <w:b/>
          <w:bCs/>
        </w:rPr>
        <w:t>.2.1 Overall Concentration Distribution and Activity Compliance</w:t>
      </w:r>
    </w:p>
    <w:p w14:paraId="20F9D460" w14:textId="565E1879" w:rsidR="00FB0E01" w:rsidRDefault="00B14493" w:rsidP="009444EF">
      <w:pPr>
        <w:ind w:firstLineChars="202" w:firstLine="424"/>
        <w:rPr>
          <w:rFonts w:ascii="Times New Roman" w:hAnsi="Times New Roman" w:cs="Times New Roman"/>
        </w:rPr>
      </w:pPr>
      <w:r w:rsidRPr="00B14493">
        <w:rPr>
          <w:rFonts w:ascii="Times New Roman" w:hAnsi="Times New Roman" w:cs="Times New Roman"/>
        </w:rPr>
        <w:t xml:space="preserve">The Shapiro-Wilk test (W=0.968, P=0.123) showed that the blood concentration was normally distributed, with a range of 3.2~35.8 IU/L, a mean of (16.8±7.5) IU/L, a median of 15.9 IU/L, and an interquartile range of [10.3, 22.5] IU/L (Figure 1). Referring to the sufficient activity threshold (≥10 IU/L) recommended by the ANZCHOG guidelines </w:t>
      </w:r>
      <w:r w:rsidRPr="00C43272">
        <w:rPr>
          <w:rFonts w:ascii="Times New Roman" w:hAnsi="Times New Roman" w:cs="Times New Roman"/>
          <w:vertAlign w:val="superscript"/>
        </w:rPr>
        <w:t>[9]</w:t>
      </w:r>
      <w:r w:rsidRPr="00B14493">
        <w:rPr>
          <w:rFonts w:ascii="Times New Roman" w:hAnsi="Times New Roman" w:cs="Times New Roman"/>
        </w:rPr>
        <w:t>, 80.0% (48/60) of the children had a compliant concentration, which could maintain the killing effect on leukemia cells; 20.0% (12/60) of the children had a concentration &lt;10 IU/L, so attention should be paid to the risk of "asymptomatic inactivation" or insufficient dosage leading to reduced efficacy.</w:t>
      </w:r>
    </w:p>
    <w:p w14:paraId="17B9F8EC" w14:textId="1EC527C1" w:rsidR="009444EF" w:rsidRPr="00B14493" w:rsidRDefault="009444EF" w:rsidP="00FB0E01">
      <w:pPr>
        <w:rPr>
          <w:rFonts w:ascii="Times New Roman" w:hAnsi="Times New Roman" w:cs="Times New Roman"/>
        </w:rPr>
      </w:pPr>
      <w:r w:rsidRPr="009444EF">
        <w:rPr>
          <w:rFonts w:ascii="Times New Roman" w:hAnsi="Times New Roman" w:cs="Times New Roman"/>
          <w:noProof/>
        </w:rPr>
        <w:drawing>
          <wp:inline distT="0" distB="0" distL="0" distR="0" wp14:anchorId="0C92CA4B" wp14:editId="44763A78">
            <wp:extent cx="5274310" cy="2871470"/>
            <wp:effectExtent l="0" t="0" r="0" b="0"/>
            <wp:docPr id="838802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02786" name=""/>
                    <pic:cNvPicPr/>
                  </pic:nvPicPr>
                  <pic:blipFill>
                    <a:blip r:embed="rId7"/>
                    <a:stretch>
                      <a:fillRect/>
                    </a:stretch>
                  </pic:blipFill>
                  <pic:spPr>
                    <a:xfrm>
                      <a:off x="0" y="0"/>
                      <a:ext cx="5274310" cy="2871470"/>
                    </a:xfrm>
                    <a:prstGeom prst="rect">
                      <a:avLst/>
                    </a:prstGeom>
                  </pic:spPr>
                </pic:pic>
              </a:graphicData>
            </a:graphic>
          </wp:inline>
        </w:drawing>
      </w:r>
    </w:p>
    <w:p w14:paraId="7DBCB9BC"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 xml:space="preserve">Figure 1 Histogram of </w:t>
      </w:r>
      <w:proofErr w:type="spellStart"/>
      <w:r w:rsidRPr="00B14493">
        <w:rPr>
          <w:rFonts w:ascii="Times New Roman" w:hAnsi="Times New Roman" w:cs="Times New Roman"/>
          <w:sz w:val="16"/>
          <w:szCs w:val="18"/>
        </w:rPr>
        <w:t>Pegaspargase</w:t>
      </w:r>
      <w:proofErr w:type="spellEnd"/>
      <w:r w:rsidRPr="00B14493">
        <w:rPr>
          <w:rFonts w:ascii="Times New Roman" w:hAnsi="Times New Roman" w:cs="Times New Roman"/>
          <w:sz w:val="16"/>
          <w:szCs w:val="18"/>
        </w:rPr>
        <w:t xml:space="preserve"> Blood Concentration Distribution</w:t>
      </w:r>
    </w:p>
    <w:p w14:paraId="4C2E562F"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(Note: The red curve is the normal fitting curve, the black dashed line is the ANZCHOG-recommended activity threshold (10 IU/L), and the blue and orange dashed lines are Q1 (10.3 IU/L) and Q3 (22.5 IU/L), respectively, distinguishing the low, medium, and high concentration groups.)</w:t>
      </w:r>
    </w:p>
    <w:p w14:paraId="28AD30B4" w14:textId="414B09E1" w:rsidR="00B14493" w:rsidRPr="00B14493" w:rsidRDefault="00B14493" w:rsidP="00B14493">
      <w:pPr>
        <w:outlineLvl w:val="3"/>
        <w:rPr>
          <w:rFonts w:ascii="Times New Roman" w:hAnsi="Times New Roman" w:cs="Times New Roman"/>
          <w:b/>
          <w:bCs/>
        </w:rPr>
      </w:pPr>
      <w:r>
        <w:rPr>
          <w:rFonts w:ascii="Times New Roman" w:hAnsi="Times New Roman" w:cs="Times New Roman" w:hint="eastAsia"/>
          <w:b/>
          <w:bCs/>
        </w:rPr>
        <w:t>2</w:t>
      </w:r>
      <w:r w:rsidRPr="00B14493">
        <w:rPr>
          <w:rFonts w:ascii="Times New Roman" w:hAnsi="Times New Roman" w:cs="Times New Roman"/>
          <w:b/>
          <w:bCs/>
        </w:rPr>
        <w:t>.2.2 Grouped Concentration Characteristics and Intergroup Differences</w:t>
      </w:r>
    </w:p>
    <w:p w14:paraId="173224E3"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Patients were divided into three groups according to quartiles (Q1=10.3 IU/L, Q3=22.5 IU/L) (Table 2):</w:t>
      </w:r>
    </w:p>
    <w:p w14:paraId="79BDD47B" w14:textId="77777777" w:rsidR="00B14493" w:rsidRPr="00B14493" w:rsidRDefault="00B14493" w:rsidP="006E0AAA">
      <w:pPr>
        <w:ind w:firstLineChars="202" w:firstLine="424"/>
        <w:rPr>
          <w:rFonts w:ascii="Times New Roman" w:hAnsi="Times New Roman" w:cs="Times New Roman"/>
        </w:rPr>
      </w:pPr>
      <w:r w:rsidRPr="00B14493">
        <w:rPr>
          <w:rFonts w:ascii="Times New Roman" w:hAnsi="Times New Roman" w:cs="Times New Roman"/>
          <w:b/>
          <w:bCs/>
        </w:rPr>
        <w:t>Low-concentration group (&lt;10.3 IU/L)</w:t>
      </w:r>
      <w:r w:rsidRPr="00B14493">
        <w:rPr>
          <w:rFonts w:ascii="Times New Roman" w:hAnsi="Times New Roman" w:cs="Times New Roman"/>
        </w:rPr>
        <w:t>: 15 cases (25.0%), with a mean of (7.8±2.1) IU/L. 53.3% (8/15) of the children did not reach the 10 IU/L activity threshold, and the dosage needed to be evaluated in combination with bone marrow remission status.</w:t>
      </w:r>
    </w:p>
    <w:p w14:paraId="028D5F7C" w14:textId="77777777" w:rsidR="00B14493" w:rsidRPr="00B14493" w:rsidRDefault="00B14493" w:rsidP="006E0AAA">
      <w:pPr>
        <w:ind w:firstLineChars="202" w:firstLine="424"/>
        <w:rPr>
          <w:rFonts w:ascii="Times New Roman" w:hAnsi="Times New Roman" w:cs="Times New Roman"/>
        </w:rPr>
      </w:pPr>
      <w:r w:rsidRPr="00B14493">
        <w:rPr>
          <w:rFonts w:ascii="Times New Roman" w:hAnsi="Times New Roman" w:cs="Times New Roman"/>
          <w:b/>
          <w:bCs/>
        </w:rPr>
        <w:t>Medium-concentration group (10.3~22.5 IU/L)</w:t>
      </w:r>
      <w:r w:rsidRPr="00B14493">
        <w:rPr>
          <w:rFonts w:ascii="Times New Roman" w:hAnsi="Times New Roman" w:cs="Times New Roman"/>
        </w:rPr>
        <w:t>: 30 cases (50.0%), with a mean of (16.2±3.8) IU/L. All children had a concentration ≥10 IU/L, and the drug exposure was in the "effective and safe" range.</w:t>
      </w:r>
    </w:p>
    <w:p w14:paraId="0494C1A3" w14:textId="77777777" w:rsidR="00B14493" w:rsidRPr="00B14493" w:rsidRDefault="00B14493" w:rsidP="006E0AAA">
      <w:pPr>
        <w:ind w:firstLineChars="202" w:firstLine="424"/>
        <w:rPr>
          <w:rFonts w:ascii="Times New Roman" w:hAnsi="Times New Roman" w:cs="Times New Roman"/>
        </w:rPr>
      </w:pPr>
      <w:r w:rsidRPr="00B14493">
        <w:rPr>
          <w:rFonts w:ascii="Times New Roman" w:hAnsi="Times New Roman" w:cs="Times New Roman"/>
          <w:b/>
          <w:bCs/>
        </w:rPr>
        <w:t>High-concentration group (&gt;22.5 IU/L)</w:t>
      </w:r>
      <w:r w:rsidRPr="00B14493">
        <w:rPr>
          <w:rFonts w:ascii="Times New Roman" w:hAnsi="Times New Roman" w:cs="Times New Roman"/>
        </w:rPr>
        <w:t>: 15 cases (25.0%), with a mean of (28.4±4.3) IU/L. The concentration was significantly higher than the activity threshold, and attention should be paid to the risk of adverse reactions.</w:t>
      </w:r>
    </w:p>
    <w:p w14:paraId="59D5366C"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One-way ANOVA showed extremely significant differences in concentrations among the three groups (F=128.64, P&lt;0.001), with clear grouping boundaries, which could support the subsequent correlation analysis of adverse reactions.</w:t>
      </w:r>
    </w:p>
    <w:p w14:paraId="6395C482" w14:textId="79E02735" w:rsidR="00B14493" w:rsidRPr="00B14493" w:rsidRDefault="000276C5" w:rsidP="00B14493">
      <w:pPr>
        <w:outlineLvl w:val="2"/>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 Correlation Analysis Between Blood Concentration and Adverse Reactions</w:t>
      </w:r>
    </w:p>
    <w:p w14:paraId="03A0A6BE"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 xml:space="preserve">The incidence of adverse reactions in different blood concentration groups is compared in </w:t>
      </w:r>
      <w:r w:rsidRPr="00B14493">
        <w:rPr>
          <w:rFonts w:ascii="Times New Roman" w:hAnsi="Times New Roman" w:cs="Times New Roman"/>
        </w:rPr>
        <w:lastRenderedPageBreak/>
        <w:t>Table 3. The incidence of liver injury and coagulation abnormalities showed a significant upward trend with the increase of blood concentration: the incidence of liver injury (60.0%, 9/15) and coagulation abnormalities (46.7%, 7/15) in the high-concentration group (&gt;22.5 IU/L) were significantly higher than those in the low-concentration group (13.3%, 2/15; 6.7%, 1/15) (χ²=11.36, P=0.003; χ²=8.75, P=0.013). In addition, 2 cases of grade 3 liver injury and 2 cases of grade 3 coagulation abnormalities occurred in the high-concentration group. However, there were no significant differences in the incidence of hyperglycemia and allergic reactions among the three groups (all P&gt;0.3), suggesting that blood concentration mainly affects liver injury and coagulation function.</w:t>
      </w:r>
    </w:p>
    <w:p w14:paraId="3F38E355" w14:textId="77777777" w:rsidR="005321CF" w:rsidRPr="00FB0E01"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Table 3 Comparison of the Incidence of Adverse Reactions in Different Blood Concentration Groups</w:t>
      </w:r>
    </w:p>
    <w:tbl>
      <w:tblPr>
        <w:tblW w:w="8020" w:type="dxa"/>
        <w:tblInd w:w="108" w:type="dxa"/>
        <w:tblLook w:val="04A0" w:firstRow="1" w:lastRow="0" w:firstColumn="1" w:lastColumn="0" w:noHBand="0" w:noVBand="1"/>
      </w:tblPr>
      <w:tblGrid>
        <w:gridCol w:w="1958"/>
        <w:gridCol w:w="1442"/>
        <w:gridCol w:w="1406"/>
        <w:gridCol w:w="1276"/>
        <w:gridCol w:w="996"/>
        <w:gridCol w:w="942"/>
      </w:tblGrid>
      <w:tr w:rsidR="005321CF" w:rsidRPr="005321CF" w14:paraId="7C36CB4A" w14:textId="77777777" w:rsidTr="001B6374">
        <w:trPr>
          <w:trHeight w:val="1329"/>
          <w:tblHeader/>
        </w:trPr>
        <w:tc>
          <w:tcPr>
            <w:tcW w:w="1961" w:type="dxa"/>
            <w:tcBorders>
              <w:top w:val="single" w:sz="4" w:space="0" w:color="auto"/>
              <w:left w:val="nil"/>
              <w:bottom w:val="single" w:sz="4" w:space="0" w:color="auto"/>
              <w:right w:val="nil"/>
            </w:tcBorders>
            <w:shd w:val="clear" w:color="000000" w:fill="F2F2F2"/>
            <w:vAlign w:val="center"/>
            <w:hideMark/>
          </w:tcPr>
          <w:p w14:paraId="0268525F"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Adverse Reaction Type</w:t>
            </w:r>
          </w:p>
        </w:tc>
        <w:tc>
          <w:tcPr>
            <w:tcW w:w="1443" w:type="dxa"/>
            <w:tcBorders>
              <w:top w:val="single" w:sz="4" w:space="0" w:color="auto"/>
              <w:left w:val="nil"/>
              <w:bottom w:val="single" w:sz="4" w:space="0" w:color="auto"/>
              <w:right w:val="nil"/>
            </w:tcBorders>
            <w:shd w:val="clear" w:color="000000" w:fill="F2F2F2"/>
            <w:vAlign w:val="center"/>
            <w:hideMark/>
          </w:tcPr>
          <w:p w14:paraId="772CC992"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Low-concentration group (n=15) (n, %)</w:t>
            </w:r>
          </w:p>
        </w:tc>
        <w:tc>
          <w:tcPr>
            <w:tcW w:w="1407" w:type="dxa"/>
            <w:tcBorders>
              <w:top w:val="single" w:sz="4" w:space="0" w:color="auto"/>
              <w:left w:val="nil"/>
              <w:bottom w:val="single" w:sz="4" w:space="0" w:color="auto"/>
              <w:right w:val="nil"/>
            </w:tcBorders>
            <w:shd w:val="clear" w:color="000000" w:fill="F2F2F2"/>
            <w:vAlign w:val="center"/>
            <w:hideMark/>
          </w:tcPr>
          <w:p w14:paraId="0C3DD5B0"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Medium-concentration group (n=30) (n, %)</w:t>
            </w:r>
          </w:p>
        </w:tc>
        <w:tc>
          <w:tcPr>
            <w:tcW w:w="1267" w:type="dxa"/>
            <w:tcBorders>
              <w:top w:val="single" w:sz="4" w:space="0" w:color="auto"/>
              <w:left w:val="nil"/>
              <w:bottom w:val="single" w:sz="4" w:space="0" w:color="auto"/>
              <w:right w:val="nil"/>
            </w:tcBorders>
            <w:shd w:val="clear" w:color="000000" w:fill="F2F2F2"/>
            <w:vAlign w:val="center"/>
            <w:hideMark/>
          </w:tcPr>
          <w:p w14:paraId="3B3B7DDB"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High-concentration group (n=15) (n, %)</w:t>
            </w:r>
          </w:p>
        </w:tc>
        <w:tc>
          <w:tcPr>
            <w:tcW w:w="998" w:type="dxa"/>
            <w:tcBorders>
              <w:top w:val="single" w:sz="4" w:space="0" w:color="auto"/>
              <w:left w:val="nil"/>
              <w:bottom w:val="single" w:sz="4" w:space="0" w:color="auto"/>
              <w:right w:val="nil"/>
            </w:tcBorders>
            <w:shd w:val="clear" w:color="000000" w:fill="F2F2F2"/>
            <w:vAlign w:val="center"/>
            <w:hideMark/>
          </w:tcPr>
          <w:p w14:paraId="745807E2"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χ² Value</w:t>
            </w:r>
          </w:p>
        </w:tc>
        <w:tc>
          <w:tcPr>
            <w:tcW w:w="944" w:type="dxa"/>
            <w:tcBorders>
              <w:top w:val="single" w:sz="4" w:space="0" w:color="auto"/>
              <w:left w:val="nil"/>
              <w:bottom w:val="single" w:sz="4" w:space="0" w:color="auto"/>
              <w:right w:val="nil"/>
            </w:tcBorders>
            <w:shd w:val="clear" w:color="000000" w:fill="F2F2F2"/>
            <w:vAlign w:val="center"/>
            <w:hideMark/>
          </w:tcPr>
          <w:p w14:paraId="70335452"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P Value</w:t>
            </w:r>
          </w:p>
        </w:tc>
      </w:tr>
      <w:tr w:rsidR="005321CF" w:rsidRPr="005321CF" w14:paraId="5CDFC78D" w14:textId="77777777" w:rsidTr="00E5275D">
        <w:trPr>
          <w:trHeight w:val="1005"/>
        </w:trPr>
        <w:tc>
          <w:tcPr>
            <w:tcW w:w="1961" w:type="dxa"/>
            <w:tcBorders>
              <w:top w:val="single" w:sz="4" w:space="0" w:color="auto"/>
              <w:left w:val="nil"/>
              <w:bottom w:val="nil"/>
              <w:right w:val="nil"/>
            </w:tcBorders>
            <w:vAlign w:val="center"/>
            <w:hideMark/>
          </w:tcPr>
          <w:p w14:paraId="5D21DFA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Liver injury (elevation of ALT/AST)</w:t>
            </w:r>
          </w:p>
        </w:tc>
        <w:tc>
          <w:tcPr>
            <w:tcW w:w="1443" w:type="dxa"/>
            <w:tcBorders>
              <w:top w:val="single" w:sz="4" w:space="0" w:color="auto"/>
              <w:left w:val="nil"/>
              <w:bottom w:val="nil"/>
              <w:right w:val="nil"/>
            </w:tcBorders>
            <w:vAlign w:val="center"/>
            <w:hideMark/>
          </w:tcPr>
          <w:p w14:paraId="778ECB2F"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 (13.3)</w:t>
            </w:r>
          </w:p>
        </w:tc>
        <w:tc>
          <w:tcPr>
            <w:tcW w:w="1407" w:type="dxa"/>
            <w:tcBorders>
              <w:top w:val="single" w:sz="4" w:space="0" w:color="auto"/>
              <w:left w:val="nil"/>
              <w:bottom w:val="nil"/>
              <w:right w:val="nil"/>
            </w:tcBorders>
            <w:vAlign w:val="center"/>
            <w:hideMark/>
          </w:tcPr>
          <w:p w14:paraId="3C15B40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10 (33.3)</w:t>
            </w:r>
          </w:p>
        </w:tc>
        <w:tc>
          <w:tcPr>
            <w:tcW w:w="1267" w:type="dxa"/>
            <w:tcBorders>
              <w:top w:val="single" w:sz="4" w:space="0" w:color="auto"/>
              <w:left w:val="nil"/>
              <w:bottom w:val="nil"/>
              <w:right w:val="nil"/>
            </w:tcBorders>
            <w:vAlign w:val="center"/>
            <w:hideMark/>
          </w:tcPr>
          <w:p w14:paraId="27A81E07"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9 (60.0)</w:t>
            </w:r>
          </w:p>
        </w:tc>
        <w:tc>
          <w:tcPr>
            <w:tcW w:w="998" w:type="dxa"/>
            <w:tcBorders>
              <w:top w:val="single" w:sz="4" w:space="0" w:color="auto"/>
              <w:left w:val="nil"/>
              <w:bottom w:val="nil"/>
              <w:right w:val="nil"/>
            </w:tcBorders>
            <w:vAlign w:val="center"/>
            <w:hideMark/>
          </w:tcPr>
          <w:p w14:paraId="7794AFD5"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11.36</w:t>
            </w:r>
          </w:p>
        </w:tc>
        <w:tc>
          <w:tcPr>
            <w:tcW w:w="944" w:type="dxa"/>
            <w:tcBorders>
              <w:top w:val="single" w:sz="4" w:space="0" w:color="auto"/>
              <w:left w:val="nil"/>
              <w:bottom w:val="nil"/>
              <w:right w:val="nil"/>
            </w:tcBorders>
            <w:vAlign w:val="center"/>
            <w:hideMark/>
          </w:tcPr>
          <w:p w14:paraId="1E2A6E8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0.003</w:t>
            </w:r>
          </w:p>
        </w:tc>
      </w:tr>
      <w:tr w:rsidR="005321CF" w:rsidRPr="005321CF" w14:paraId="3BC6AC52" w14:textId="77777777" w:rsidTr="005321CF">
        <w:trPr>
          <w:trHeight w:val="1005"/>
        </w:trPr>
        <w:tc>
          <w:tcPr>
            <w:tcW w:w="1961" w:type="dxa"/>
            <w:tcBorders>
              <w:top w:val="nil"/>
              <w:left w:val="nil"/>
              <w:bottom w:val="nil"/>
              <w:right w:val="nil"/>
            </w:tcBorders>
            <w:vAlign w:val="center"/>
            <w:hideMark/>
          </w:tcPr>
          <w:p w14:paraId="0FF74C22"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Coagulation abnormalities (prolongation of PT/APTT)</w:t>
            </w:r>
          </w:p>
        </w:tc>
        <w:tc>
          <w:tcPr>
            <w:tcW w:w="1443" w:type="dxa"/>
            <w:tcBorders>
              <w:top w:val="nil"/>
              <w:left w:val="nil"/>
              <w:bottom w:val="nil"/>
              <w:right w:val="nil"/>
            </w:tcBorders>
            <w:vAlign w:val="center"/>
            <w:hideMark/>
          </w:tcPr>
          <w:p w14:paraId="1D307B03"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 (6.7)</w:t>
            </w:r>
          </w:p>
        </w:tc>
        <w:tc>
          <w:tcPr>
            <w:tcW w:w="1407" w:type="dxa"/>
            <w:tcBorders>
              <w:top w:val="nil"/>
              <w:left w:val="nil"/>
              <w:bottom w:val="nil"/>
              <w:right w:val="nil"/>
            </w:tcBorders>
            <w:vAlign w:val="center"/>
            <w:hideMark/>
          </w:tcPr>
          <w:p w14:paraId="67EBE094"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 (23.3)</w:t>
            </w:r>
          </w:p>
        </w:tc>
        <w:tc>
          <w:tcPr>
            <w:tcW w:w="1267" w:type="dxa"/>
            <w:tcBorders>
              <w:top w:val="nil"/>
              <w:left w:val="nil"/>
              <w:bottom w:val="nil"/>
              <w:right w:val="nil"/>
            </w:tcBorders>
            <w:vAlign w:val="center"/>
            <w:hideMark/>
          </w:tcPr>
          <w:p w14:paraId="5F137A5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 (46.7)</w:t>
            </w:r>
          </w:p>
        </w:tc>
        <w:tc>
          <w:tcPr>
            <w:tcW w:w="998" w:type="dxa"/>
            <w:tcBorders>
              <w:top w:val="nil"/>
              <w:left w:val="nil"/>
              <w:bottom w:val="nil"/>
              <w:right w:val="nil"/>
            </w:tcBorders>
            <w:vAlign w:val="center"/>
            <w:hideMark/>
          </w:tcPr>
          <w:p w14:paraId="094916A7"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8.75</w:t>
            </w:r>
          </w:p>
        </w:tc>
        <w:tc>
          <w:tcPr>
            <w:tcW w:w="944" w:type="dxa"/>
            <w:tcBorders>
              <w:top w:val="nil"/>
              <w:left w:val="nil"/>
              <w:bottom w:val="nil"/>
              <w:right w:val="nil"/>
            </w:tcBorders>
            <w:vAlign w:val="center"/>
            <w:hideMark/>
          </w:tcPr>
          <w:p w14:paraId="53F6BD3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0.013</w:t>
            </w:r>
          </w:p>
        </w:tc>
      </w:tr>
      <w:tr w:rsidR="005321CF" w:rsidRPr="005321CF" w14:paraId="601DD5F2" w14:textId="77777777" w:rsidTr="00E5275D">
        <w:trPr>
          <w:trHeight w:val="1005"/>
        </w:trPr>
        <w:tc>
          <w:tcPr>
            <w:tcW w:w="1961" w:type="dxa"/>
            <w:tcBorders>
              <w:top w:val="nil"/>
              <w:left w:val="nil"/>
              <w:right w:val="nil"/>
            </w:tcBorders>
            <w:vAlign w:val="center"/>
            <w:hideMark/>
          </w:tcPr>
          <w:p w14:paraId="4FCD937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Hyperglycemia [Grading: total 8 cases, grade 1: 5 (62.5%), grade 2: 2 (25.0%), grade 3: 1 (12.5%)]</w:t>
            </w:r>
          </w:p>
        </w:tc>
        <w:tc>
          <w:tcPr>
            <w:tcW w:w="1443" w:type="dxa"/>
            <w:tcBorders>
              <w:top w:val="nil"/>
              <w:left w:val="nil"/>
              <w:bottom w:val="nil"/>
              <w:right w:val="nil"/>
            </w:tcBorders>
            <w:vAlign w:val="center"/>
            <w:hideMark/>
          </w:tcPr>
          <w:p w14:paraId="1CA00A1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 (6.7)</w:t>
            </w:r>
          </w:p>
        </w:tc>
        <w:tc>
          <w:tcPr>
            <w:tcW w:w="1407" w:type="dxa"/>
            <w:tcBorders>
              <w:top w:val="nil"/>
              <w:left w:val="nil"/>
              <w:bottom w:val="nil"/>
              <w:right w:val="nil"/>
            </w:tcBorders>
            <w:vAlign w:val="center"/>
            <w:hideMark/>
          </w:tcPr>
          <w:p w14:paraId="42B0BCFF"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4 (13.3)</w:t>
            </w:r>
          </w:p>
        </w:tc>
        <w:tc>
          <w:tcPr>
            <w:tcW w:w="1267" w:type="dxa"/>
            <w:tcBorders>
              <w:top w:val="nil"/>
              <w:left w:val="nil"/>
              <w:bottom w:val="nil"/>
              <w:right w:val="nil"/>
            </w:tcBorders>
            <w:vAlign w:val="center"/>
            <w:hideMark/>
          </w:tcPr>
          <w:p w14:paraId="114F60E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 (20.0)</w:t>
            </w:r>
          </w:p>
        </w:tc>
        <w:tc>
          <w:tcPr>
            <w:tcW w:w="998" w:type="dxa"/>
            <w:tcBorders>
              <w:top w:val="nil"/>
              <w:left w:val="nil"/>
              <w:bottom w:val="nil"/>
              <w:right w:val="nil"/>
            </w:tcBorders>
            <w:vAlign w:val="center"/>
            <w:hideMark/>
          </w:tcPr>
          <w:p w14:paraId="2D451E5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2.15</w:t>
            </w:r>
          </w:p>
        </w:tc>
        <w:tc>
          <w:tcPr>
            <w:tcW w:w="944" w:type="dxa"/>
            <w:tcBorders>
              <w:top w:val="nil"/>
              <w:left w:val="nil"/>
              <w:bottom w:val="nil"/>
              <w:right w:val="nil"/>
            </w:tcBorders>
            <w:vAlign w:val="center"/>
            <w:hideMark/>
          </w:tcPr>
          <w:p w14:paraId="4FAAA23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0.341</w:t>
            </w:r>
          </w:p>
        </w:tc>
      </w:tr>
      <w:tr w:rsidR="005321CF" w:rsidRPr="005321CF" w14:paraId="78DE619B" w14:textId="77777777" w:rsidTr="00E5275D">
        <w:trPr>
          <w:trHeight w:val="1005"/>
        </w:trPr>
        <w:tc>
          <w:tcPr>
            <w:tcW w:w="1961" w:type="dxa"/>
            <w:tcBorders>
              <w:top w:val="nil"/>
              <w:left w:val="nil"/>
              <w:bottom w:val="single" w:sz="4" w:space="0" w:color="auto"/>
              <w:right w:val="nil"/>
            </w:tcBorders>
            <w:vAlign w:val="center"/>
            <w:hideMark/>
          </w:tcPr>
          <w:p w14:paraId="73A58711" w14:textId="34A96769" w:rsidR="00E5275D"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Allergic reaction [Grading: total 5 cases, grade 1: 3 (60.0%), grade 2: 2 (40.0%)]</w:t>
            </w:r>
          </w:p>
        </w:tc>
        <w:tc>
          <w:tcPr>
            <w:tcW w:w="1443" w:type="dxa"/>
            <w:tcBorders>
              <w:top w:val="nil"/>
              <w:left w:val="nil"/>
              <w:bottom w:val="single" w:sz="4" w:space="0" w:color="auto"/>
              <w:right w:val="nil"/>
            </w:tcBorders>
            <w:vAlign w:val="center"/>
            <w:hideMark/>
          </w:tcPr>
          <w:p w14:paraId="303B956E"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 (6.7)</w:t>
            </w:r>
          </w:p>
        </w:tc>
        <w:tc>
          <w:tcPr>
            <w:tcW w:w="1407" w:type="dxa"/>
            <w:tcBorders>
              <w:top w:val="nil"/>
              <w:left w:val="nil"/>
              <w:bottom w:val="single" w:sz="4" w:space="0" w:color="auto"/>
              <w:right w:val="nil"/>
            </w:tcBorders>
            <w:vAlign w:val="center"/>
            <w:hideMark/>
          </w:tcPr>
          <w:p w14:paraId="78E07958"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 (6.7)</w:t>
            </w:r>
          </w:p>
        </w:tc>
        <w:tc>
          <w:tcPr>
            <w:tcW w:w="1267" w:type="dxa"/>
            <w:tcBorders>
              <w:top w:val="nil"/>
              <w:left w:val="nil"/>
              <w:bottom w:val="single" w:sz="4" w:space="0" w:color="auto"/>
              <w:right w:val="nil"/>
            </w:tcBorders>
            <w:vAlign w:val="center"/>
            <w:hideMark/>
          </w:tcPr>
          <w:p w14:paraId="569C23BF"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 (13.3)</w:t>
            </w:r>
          </w:p>
        </w:tc>
        <w:tc>
          <w:tcPr>
            <w:tcW w:w="998" w:type="dxa"/>
            <w:tcBorders>
              <w:top w:val="nil"/>
              <w:left w:val="nil"/>
              <w:bottom w:val="single" w:sz="4" w:space="0" w:color="auto"/>
              <w:right w:val="nil"/>
            </w:tcBorders>
            <w:vAlign w:val="center"/>
            <w:hideMark/>
          </w:tcPr>
          <w:p w14:paraId="3F143D1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0.87</w:t>
            </w:r>
          </w:p>
        </w:tc>
        <w:tc>
          <w:tcPr>
            <w:tcW w:w="944" w:type="dxa"/>
            <w:tcBorders>
              <w:top w:val="nil"/>
              <w:left w:val="nil"/>
              <w:bottom w:val="single" w:sz="4" w:space="0" w:color="auto"/>
              <w:right w:val="nil"/>
            </w:tcBorders>
            <w:vAlign w:val="center"/>
            <w:hideMark/>
          </w:tcPr>
          <w:p w14:paraId="06795C80"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0.647</w:t>
            </w:r>
          </w:p>
        </w:tc>
      </w:tr>
    </w:tbl>
    <w:p w14:paraId="162C93FE" w14:textId="77777777" w:rsidR="005321CF" w:rsidRDefault="005321CF" w:rsidP="005321CF">
      <w:pPr>
        <w:rPr>
          <w:rFonts w:ascii="Times New Roman" w:hAnsi="Times New Roman" w:cs="Times New Roman"/>
          <w:b/>
          <w:bCs/>
        </w:rPr>
      </w:pPr>
    </w:p>
    <w:p w14:paraId="59EC6548" w14:textId="03146A56" w:rsidR="00B14493" w:rsidRPr="00B14493" w:rsidRDefault="000276C5" w:rsidP="000276C5">
      <w:pPr>
        <w:outlineLvl w:val="3"/>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.3.1 Correlation with Liver Injury (Elevation of ALT/AST)</w:t>
      </w:r>
    </w:p>
    <w:p w14:paraId="1A4CC247" w14:textId="12315B04" w:rsidR="00FB0E01" w:rsidRDefault="00B14493" w:rsidP="00517803">
      <w:pPr>
        <w:ind w:firstLineChars="202" w:firstLine="424"/>
        <w:rPr>
          <w:rFonts w:ascii="Times New Roman" w:hAnsi="Times New Roman" w:cs="Times New Roman"/>
        </w:rPr>
      </w:pPr>
      <w:r w:rsidRPr="00B14493">
        <w:rPr>
          <w:rFonts w:ascii="Times New Roman" w:hAnsi="Times New Roman" w:cs="Times New Roman"/>
        </w:rPr>
        <w:t>Among the 60 children, 21 cases (35.0%) developed liver injury (14 cases of grade 1, 5 cases of grade 2, 2 cases of grade 3), including 7 cases (11.7%) of grade ≥2 liver injury. Spearman correlation analysis showed that blood concentration was moderately positively correlated with ALT (</w:t>
      </w:r>
      <w:proofErr w:type="spellStart"/>
      <w:r w:rsidRPr="00B14493">
        <w:rPr>
          <w:rFonts w:ascii="Times New Roman" w:hAnsi="Times New Roman" w:cs="Times New Roman"/>
        </w:rPr>
        <w:t>r_s</w:t>
      </w:r>
      <w:proofErr w:type="spellEnd"/>
      <w:r w:rsidRPr="00B14493">
        <w:rPr>
          <w:rFonts w:ascii="Times New Roman" w:hAnsi="Times New Roman" w:cs="Times New Roman"/>
        </w:rPr>
        <w:t>=0.426, P&lt;0.001) and AST (</w:t>
      </w:r>
      <w:proofErr w:type="spellStart"/>
      <w:r w:rsidRPr="00B14493">
        <w:rPr>
          <w:rFonts w:ascii="Times New Roman" w:hAnsi="Times New Roman" w:cs="Times New Roman"/>
        </w:rPr>
        <w:t>r_s</w:t>
      </w:r>
      <w:proofErr w:type="spellEnd"/>
      <w:r w:rsidRPr="00B14493">
        <w:rPr>
          <w:rFonts w:ascii="Times New Roman" w:hAnsi="Times New Roman" w:cs="Times New Roman"/>
        </w:rPr>
        <w:t xml:space="preserve">=0.389, P=0.002). The ALT (58.6±22.3) U/L and AST (45.8±18.5) U/L in the high-concentration group were significantly higher than those in the medium-concentration group (ALT: 32.5±15.8 U/L, AST: 28.6±12.3 U/L) and the low-concentration group (ALT: 21.3±8.6 U/L, AST: 22.5±7.9 U/L) (all P&lt;0.01) (Figure 2). The receiver operating characteristic (ROC) curve was plotted with "whether grade ≥2 liver injury occurred" as the dependent variable (Figure 3), and the area under the curve (AUC=0.836, 95% CI: 0.721~0.920, P&lt;0.001), indicating that blood concentration had a good predictive effect on grade ≥2 liver injury. The optimal early warning threshold was determined as 18.7 IU/L by calculating the Youden index (maximum value 0.582), with a sensitivity of 85.7% (6/7) and a specificity of </w:t>
      </w:r>
      <w:r w:rsidRPr="00B14493">
        <w:rPr>
          <w:rFonts w:ascii="Times New Roman" w:hAnsi="Times New Roman" w:cs="Times New Roman"/>
        </w:rPr>
        <w:lastRenderedPageBreak/>
        <w:t>78.3% (42/53) for this threshold, meaning that the risk of grade ≥2 liver injury in children increased significantly when the blood concentration &gt;18.7 IU/L.</w:t>
      </w:r>
    </w:p>
    <w:p w14:paraId="652A9D64" w14:textId="4356351E" w:rsidR="0016575F" w:rsidRPr="00B14493" w:rsidRDefault="00517803" w:rsidP="00FB0E01">
      <w:pPr>
        <w:rPr>
          <w:rFonts w:ascii="Times New Roman" w:hAnsi="Times New Roman" w:cs="Times New Roman"/>
        </w:rPr>
      </w:pPr>
      <w:r w:rsidRPr="00517803">
        <w:rPr>
          <w:rFonts w:ascii="Times New Roman" w:hAnsi="Times New Roman" w:cs="Times New Roman"/>
          <w:noProof/>
        </w:rPr>
        <w:drawing>
          <wp:inline distT="0" distB="0" distL="0" distR="0" wp14:anchorId="3382EA89" wp14:editId="5021FF91">
            <wp:extent cx="5274310" cy="2914650"/>
            <wp:effectExtent l="0" t="0" r="0" b="0"/>
            <wp:docPr id="334119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1919" name=""/>
                    <pic:cNvPicPr/>
                  </pic:nvPicPr>
                  <pic:blipFill>
                    <a:blip r:embed="rId8"/>
                    <a:stretch>
                      <a:fillRect/>
                    </a:stretch>
                  </pic:blipFill>
                  <pic:spPr>
                    <a:xfrm>
                      <a:off x="0" y="0"/>
                      <a:ext cx="5274310" cy="2914650"/>
                    </a:xfrm>
                    <a:prstGeom prst="rect">
                      <a:avLst/>
                    </a:prstGeom>
                  </pic:spPr>
                </pic:pic>
              </a:graphicData>
            </a:graphic>
          </wp:inline>
        </w:drawing>
      </w:r>
    </w:p>
    <w:p w14:paraId="7086938C"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Figure 2 Scatter Plot of the Correlation Between Blood Concentration and ALT Value</w:t>
      </w:r>
    </w:p>
    <w:p w14:paraId="75D76235"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 xml:space="preserve">(Note: Blue scatter points represent children without grade ≥2 liver injury, red scatter points represent children with grade ≥2 liver injury, the red dashed line is the early warning threshold for liver injury (18.7 IU/L), and the trend line is marked with </w:t>
      </w:r>
      <w:proofErr w:type="spellStart"/>
      <w:r w:rsidRPr="00B14493">
        <w:rPr>
          <w:rFonts w:ascii="Times New Roman" w:hAnsi="Times New Roman" w:cs="Times New Roman"/>
          <w:sz w:val="16"/>
          <w:szCs w:val="18"/>
        </w:rPr>
        <w:t>r_s</w:t>
      </w:r>
      <w:proofErr w:type="spellEnd"/>
      <w:r w:rsidRPr="00B14493">
        <w:rPr>
          <w:rFonts w:ascii="Times New Roman" w:hAnsi="Times New Roman" w:cs="Times New Roman"/>
          <w:sz w:val="16"/>
          <w:szCs w:val="18"/>
        </w:rPr>
        <w:t>=0.426, P&lt;0.001.)</w:t>
      </w:r>
    </w:p>
    <w:p w14:paraId="62DF914C" w14:textId="5B633A54" w:rsidR="00B14493" w:rsidRPr="00B14493" w:rsidRDefault="000276C5" w:rsidP="000276C5">
      <w:pPr>
        <w:outlineLvl w:val="3"/>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.3.2 Correlation with Coagulation Abnormalities (Prolongation of PT/APTT)</w:t>
      </w:r>
    </w:p>
    <w:p w14:paraId="35D60F2A"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Fifteen cases (25.0%) of children developed coagulation abnormalities (9 cases of grade 1, 4 cases of grade 2, 2 cases of grade 3), including 6 cases (10.0%) of grade ≥2 coagulation abnormalities. Spearman correlation analysis showed that blood concentration was moderately positively correlated with PT prolongation time (</w:t>
      </w:r>
      <w:proofErr w:type="spellStart"/>
      <w:r w:rsidRPr="00B14493">
        <w:rPr>
          <w:rFonts w:ascii="Times New Roman" w:hAnsi="Times New Roman" w:cs="Times New Roman"/>
        </w:rPr>
        <w:t>r_s</w:t>
      </w:r>
      <w:proofErr w:type="spellEnd"/>
      <w:r w:rsidRPr="00B14493">
        <w:rPr>
          <w:rFonts w:ascii="Times New Roman" w:hAnsi="Times New Roman" w:cs="Times New Roman"/>
        </w:rPr>
        <w:t>=0.365, P=0.004) and APTT prolongation time (</w:t>
      </w:r>
      <w:proofErr w:type="spellStart"/>
      <w:r w:rsidRPr="00B14493">
        <w:rPr>
          <w:rFonts w:ascii="Times New Roman" w:hAnsi="Times New Roman" w:cs="Times New Roman"/>
        </w:rPr>
        <w:t>r_s</w:t>
      </w:r>
      <w:proofErr w:type="spellEnd"/>
      <w:r w:rsidRPr="00B14493">
        <w:rPr>
          <w:rFonts w:ascii="Times New Roman" w:hAnsi="Times New Roman" w:cs="Times New Roman"/>
        </w:rPr>
        <w:t>=0.328, P=0.011) (Table 4). Intergroup comparison showed that the PT (15.2±2.8) seconds and APTT (41.8±5.2) seconds in the high-concentration group (&gt;22.5 IU/L) were significantly longer than those in the medium-concentration group (PT: 12.5±1.6 seconds, APTT: 35.2±3.9 seconds) and the low-concentration group (PT: 11.9±1.3 seconds, APTT: 33.1±2.8 seconds) (all P&lt;0.01). The ROC curve was plotted with "whether grade ≥2 coagulation abnormalities occurred" as the dependent variable (Figure 3), and the area under the curve (AUC=0.792, 95% CI: 0.668~0.885, P=0.001). The optimal early warning threshold was determined as 20.3 IU/L by calculating the Youden index (maximum value 0.518), with a sensitivity of 83.3% (5/6) and a specificity of 76.7% (40/54) for this threshold, meaning that the risk of grade ≥2 coagulation abnormalities in children increased significantly when the blood concentration &gt;20.3 IU/L.</w:t>
      </w:r>
    </w:p>
    <w:p w14:paraId="7F4C5331" w14:textId="77777777" w:rsidR="00D27894" w:rsidRPr="00FB0E01"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Table 4 Spearman Correlation Analysis Between Blood Concentration and Laboratory Indicators</w:t>
      </w:r>
    </w:p>
    <w:tbl>
      <w:tblPr>
        <w:tblW w:w="6300" w:type="dxa"/>
        <w:jc w:val="center"/>
        <w:tblLook w:val="04A0" w:firstRow="1" w:lastRow="0" w:firstColumn="1" w:lastColumn="0" w:noHBand="0" w:noVBand="1"/>
      </w:tblPr>
      <w:tblGrid>
        <w:gridCol w:w="2040"/>
        <w:gridCol w:w="1660"/>
        <w:gridCol w:w="860"/>
        <w:gridCol w:w="1740"/>
      </w:tblGrid>
      <w:tr w:rsidR="00D27894" w:rsidRPr="00D27894" w14:paraId="1866F1CD" w14:textId="77777777" w:rsidTr="001B6374">
        <w:trPr>
          <w:trHeight w:val="1063"/>
          <w:tblHeader/>
          <w:jc w:val="center"/>
        </w:trPr>
        <w:tc>
          <w:tcPr>
            <w:tcW w:w="2040" w:type="dxa"/>
            <w:tcBorders>
              <w:top w:val="single" w:sz="4" w:space="0" w:color="auto"/>
              <w:left w:val="nil"/>
              <w:bottom w:val="single" w:sz="4" w:space="0" w:color="auto"/>
              <w:right w:val="nil"/>
            </w:tcBorders>
            <w:shd w:val="clear" w:color="000000" w:fill="F2F2F2"/>
            <w:vAlign w:val="center"/>
            <w:hideMark/>
          </w:tcPr>
          <w:p w14:paraId="2E206E5F"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Laboratory Indicator</w:t>
            </w:r>
          </w:p>
        </w:tc>
        <w:tc>
          <w:tcPr>
            <w:tcW w:w="1660" w:type="dxa"/>
            <w:tcBorders>
              <w:top w:val="single" w:sz="4" w:space="0" w:color="auto"/>
              <w:left w:val="nil"/>
              <w:bottom w:val="single" w:sz="4" w:space="0" w:color="auto"/>
              <w:right w:val="nil"/>
            </w:tcBorders>
            <w:shd w:val="clear" w:color="000000" w:fill="F2F2F2"/>
            <w:vAlign w:val="center"/>
            <w:hideMark/>
          </w:tcPr>
          <w:p w14:paraId="2D36F7D2"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Correlation Coefficient (</w:t>
            </w:r>
            <w:proofErr w:type="spellStart"/>
            <w:r w:rsidRPr="00E5275D">
              <w:rPr>
                <w:rFonts w:ascii="Times New Roman" w:eastAsia="SimSun" w:hAnsi="Times New Roman" w:cs="Times New Roman"/>
                <w:b/>
                <w:bCs/>
                <w:color w:val="0D0D0D"/>
                <w:kern w:val="0"/>
                <w:sz w:val="18"/>
                <w:szCs w:val="18"/>
              </w:rPr>
              <w:t>r_s</w:t>
            </w:r>
            <w:proofErr w:type="spellEnd"/>
            <w:r w:rsidRPr="00E5275D">
              <w:rPr>
                <w:rFonts w:ascii="Times New Roman" w:eastAsia="SimSun" w:hAnsi="Times New Roman" w:cs="Times New Roman"/>
                <w:b/>
                <w:bCs/>
                <w:color w:val="0D0D0D"/>
                <w:kern w:val="0"/>
                <w:sz w:val="18"/>
                <w:szCs w:val="18"/>
              </w:rPr>
              <w:t>)</w:t>
            </w:r>
          </w:p>
        </w:tc>
        <w:tc>
          <w:tcPr>
            <w:tcW w:w="860" w:type="dxa"/>
            <w:tcBorders>
              <w:top w:val="single" w:sz="4" w:space="0" w:color="auto"/>
              <w:left w:val="nil"/>
              <w:bottom w:val="single" w:sz="4" w:space="0" w:color="auto"/>
              <w:right w:val="nil"/>
            </w:tcBorders>
            <w:shd w:val="clear" w:color="000000" w:fill="F2F2F2"/>
            <w:vAlign w:val="center"/>
            <w:hideMark/>
          </w:tcPr>
          <w:p w14:paraId="30CE0DCE"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P Value</w:t>
            </w:r>
          </w:p>
        </w:tc>
        <w:tc>
          <w:tcPr>
            <w:tcW w:w="1740" w:type="dxa"/>
            <w:tcBorders>
              <w:top w:val="single" w:sz="4" w:space="0" w:color="auto"/>
              <w:left w:val="nil"/>
              <w:bottom w:val="single" w:sz="4" w:space="0" w:color="auto"/>
              <w:right w:val="nil"/>
            </w:tcBorders>
            <w:shd w:val="clear" w:color="000000" w:fill="F2F2F2"/>
            <w:vAlign w:val="center"/>
            <w:hideMark/>
          </w:tcPr>
          <w:p w14:paraId="6BF45B7E"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Correlation Strength</w:t>
            </w:r>
          </w:p>
        </w:tc>
      </w:tr>
      <w:tr w:rsidR="00D27894" w:rsidRPr="00D27894" w14:paraId="7B333328" w14:textId="77777777" w:rsidTr="00E5275D">
        <w:trPr>
          <w:trHeight w:val="738"/>
          <w:jc w:val="center"/>
        </w:trPr>
        <w:tc>
          <w:tcPr>
            <w:tcW w:w="2040" w:type="dxa"/>
            <w:tcBorders>
              <w:top w:val="single" w:sz="4" w:space="0" w:color="auto"/>
              <w:left w:val="nil"/>
              <w:bottom w:val="nil"/>
              <w:right w:val="nil"/>
            </w:tcBorders>
            <w:vAlign w:val="center"/>
            <w:hideMark/>
          </w:tcPr>
          <w:p w14:paraId="40571738"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ALT value (U/L)</w:t>
            </w:r>
          </w:p>
        </w:tc>
        <w:tc>
          <w:tcPr>
            <w:tcW w:w="1660" w:type="dxa"/>
            <w:tcBorders>
              <w:top w:val="single" w:sz="4" w:space="0" w:color="auto"/>
              <w:left w:val="nil"/>
              <w:bottom w:val="nil"/>
              <w:right w:val="nil"/>
            </w:tcBorders>
            <w:vAlign w:val="center"/>
            <w:hideMark/>
          </w:tcPr>
          <w:p w14:paraId="68229FB3"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0.426</w:t>
            </w:r>
          </w:p>
        </w:tc>
        <w:tc>
          <w:tcPr>
            <w:tcW w:w="860" w:type="dxa"/>
            <w:tcBorders>
              <w:top w:val="single" w:sz="4" w:space="0" w:color="auto"/>
              <w:left w:val="nil"/>
              <w:bottom w:val="nil"/>
              <w:right w:val="nil"/>
            </w:tcBorders>
            <w:vAlign w:val="center"/>
            <w:hideMark/>
          </w:tcPr>
          <w:p w14:paraId="1355867F"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&lt;0.001</w:t>
            </w:r>
          </w:p>
        </w:tc>
        <w:tc>
          <w:tcPr>
            <w:tcW w:w="1740" w:type="dxa"/>
            <w:tcBorders>
              <w:top w:val="single" w:sz="4" w:space="0" w:color="auto"/>
              <w:left w:val="nil"/>
              <w:bottom w:val="nil"/>
              <w:right w:val="nil"/>
            </w:tcBorders>
            <w:vAlign w:val="center"/>
            <w:hideMark/>
          </w:tcPr>
          <w:p w14:paraId="53158243"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4BD4E5B1" w14:textId="77777777" w:rsidTr="00D27894">
        <w:trPr>
          <w:trHeight w:val="738"/>
          <w:jc w:val="center"/>
        </w:trPr>
        <w:tc>
          <w:tcPr>
            <w:tcW w:w="2040" w:type="dxa"/>
            <w:tcBorders>
              <w:top w:val="nil"/>
              <w:left w:val="nil"/>
              <w:bottom w:val="nil"/>
              <w:right w:val="nil"/>
            </w:tcBorders>
            <w:vAlign w:val="center"/>
            <w:hideMark/>
          </w:tcPr>
          <w:p w14:paraId="763E782B"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lastRenderedPageBreak/>
              <w:t>AST value (U/L)</w:t>
            </w:r>
          </w:p>
        </w:tc>
        <w:tc>
          <w:tcPr>
            <w:tcW w:w="1660" w:type="dxa"/>
            <w:tcBorders>
              <w:top w:val="nil"/>
              <w:left w:val="nil"/>
              <w:bottom w:val="nil"/>
              <w:right w:val="nil"/>
            </w:tcBorders>
            <w:vAlign w:val="center"/>
            <w:hideMark/>
          </w:tcPr>
          <w:p w14:paraId="55950687"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0.389</w:t>
            </w:r>
          </w:p>
        </w:tc>
        <w:tc>
          <w:tcPr>
            <w:tcW w:w="860" w:type="dxa"/>
            <w:tcBorders>
              <w:top w:val="nil"/>
              <w:left w:val="nil"/>
              <w:bottom w:val="nil"/>
              <w:right w:val="nil"/>
            </w:tcBorders>
            <w:vAlign w:val="center"/>
            <w:hideMark/>
          </w:tcPr>
          <w:p w14:paraId="51283B17"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0.002</w:t>
            </w:r>
          </w:p>
        </w:tc>
        <w:tc>
          <w:tcPr>
            <w:tcW w:w="1740" w:type="dxa"/>
            <w:tcBorders>
              <w:top w:val="nil"/>
              <w:left w:val="nil"/>
              <w:bottom w:val="nil"/>
              <w:right w:val="nil"/>
            </w:tcBorders>
            <w:vAlign w:val="center"/>
            <w:hideMark/>
          </w:tcPr>
          <w:p w14:paraId="0F6FB73A"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13832805" w14:textId="77777777" w:rsidTr="00D27894">
        <w:trPr>
          <w:trHeight w:val="738"/>
          <w:jc w:val="center"/>
        </w:trPr>
        <w:tc>
          <w:tcPr>
            <w:tcW w:w="2040" w:type="dxa"/>
            <w:tcBorders>
              <w:top w:val="nil"/>
              <w:left w:val="nil"/>
              <w:bottom w:val="nil"/>
              <w:right w:val="nil"/>
            </w:tcBorders>
            <w:vAlign w:val="center"/>
            <w:hideMark/>
          </w:tcPr>
          <w:p w14:paraId="417C84ED"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PT prolongation time (seconds)</w:t>
            </w:r>
          </w:p>
        </w:tc>
        <w:tc>
          <w:tcPr>
            <w:tcW w:w="1660" w:type="dxa"/>
            <w:tcBorders>
              <w:top w:val="nil"/>
              <w:left w:val="nil"/>
              <w:bottom w:val="nil"/>
              <w:right w:val="nil"/>
            </w:tcBorders>
            <w:vAlign w:val="center"/>
            <w:hideMark/>
          </w:tcPr>
          <w:p w14:paraId="610458D4"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0.365</w:t>
            </w:r>
          </w:p>
        </w:tc>
        <w:tc>
          <w:tcPr>
            <w:tcW w:w="860" w:type="dxa"/>
            <w:tcBorders>
              <w:top w:val="nil"/>
              <w:left w:val="nil"/>
              <w:bottom w:val="nil"/>
              <w:right w:val="nil"/>
            </w:tcBorders>
            <w:vAlign w:val="center"/>
            <w:hideMark/>
          </w:tcPr>
          <w:p w14:paraId="7ED0A9F5"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0.004</w:t>
            </w:r>
          </w:p>
        </w:tc>
        <w:tc>
          <w:tcPr>
            <w:tcW w:w="1740" w:type="dxa"/>
            <w:tcBorders>
              <w:top w:val="nil"/>
              <w:left w:val="nil"/>
              <w:bottom w:val="nil"/>
              <w:right w:val="nil"/>
            </w:tcBorders>
            <w:vAlign w:val="center"/>
            <w:hideMark/>
          </w:tcPr>
          <w:p w14:paraId="26152041"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2D236469" w14:textId="77777777" w:rsidTr="00D27894">
        <w:trPr>
          <w:trHeight w:val="738"/>
          <w:jc w:val="center"/>
        </w:trPr>
        <w:tc>
          <w:tcPr>
            <w:tcW w:w="2040" w:type="dxa"/>
            <w:tcBorders>
              <w:top w:val="nil"/>
              <w:left w:val="nil"/>
              <w:bottom w:val="nil"/>
              <w:right w:val="nil"/>
            </w:tcBorders>
            <w:vAlign w:val="center"/>
            <w:hideMark/>
          </w:tcPr>
          <w:p w14:paraId="29A30975"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APTT prolongation time (seconds)</w:t>
            </w:r>
          </w:p>
        </w:tc>
        <w:tc>
          <w:tcPr>
            <w:tcW w:w="1660" w:type="dxa"/>
            <w:tcBorders>
              <w:top w:val="nil"/>
              <w:left w:val="nil"/>
              <w:bottom w:val="nil"/>
              <w:right w:val="nil"/>
            </w:tcBorders>
            <w:vAlign w:val="center"/>
            <w:hideMark/>
          </w:tcPr>
          <w:p w14:paraId="6EAE8579"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0.328</w:t>
            </w:r>
          </w:p>
        </w:tc>
        <w:tc>
          <w:tcPr>
            <w:tcW w:w="860" w:type="dxa"/>
            <w:tcBorders>
              <w:top w:val="nil"/>
              <w:left w:val="nil"/>
              <w:bottom w:val="nil"/>
              <w:right w:val="nil"/>
            </w:tcBorders>
            <w:vAlign w:val="center"/>
            <w:hideMark/>
          </w:tcPr>
          <w:p w14:paraId="38436719"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0.011</w:t>
            </w:r>
          </w:p>
        </w:tc>
        <w:tc>
          <w:tcPr>
            <w:tcW w:w="1740" w:type="dxa"/>
            <w:tcBorders>
              <w:top w:val="nil"/>
              <w:left w:val="nil"/>
              <w:bottom w:val="nil"/>
              <w:right w:val="nil"/>
            </w:tcBorders>
            <w:vAlign w:val="center"/>
            <w:hideMark/>
          </w:tcPr>
          <w:p w14:paraId="0CD6F28B"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2ED00676" w14:textId="77777777" w:rsidTr="00E5275D">
        <w:trPr>
          <w:trHeight w:val="738"/>
          <w:jc w:val="center"/>
        </w:trPr>
        <w:tc>
          <w:tcPr>
            <w:tcW w:w="2040" w:type="dxa"/>
            <w:tcBorders>
              <w:top w:val="nil"/>
              <w:left w:val="nil"/>
              <w:bottom w:val="single" w:sz="4" w:space="0" w:color="auto"/>
              <w:right w:val="nil"/>
            </w:tcBorders>
            <w:vAlign w:val="center"/>
            <w:hideMark/>
          </w:tcPr>
          <w:p w14:paraId="41CFE689"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Fasting blood glucose value (mmol/L)</w:t>
            </w:r>
          </w:p>
        </w:tc>
        <w:tc>
          <w:tcPr>
            <w:tcW w:w="1660" w:type="dxa"/>
            <w:tcBorders>
              <w:top w:val="nil"/>
              <w:left w:val="nil"/>
              <w:bottom w:val="single" w:sz="4" w:space="0" w:color="auto"/>
              <w:right w:val="nil"/>
            </w:tcBorders>
            <w:vAlign w:val="center"/>
            <w:hideMark/>
          </w:tcPr>
          <w:p w14:paraId="5FCC002B"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0.185</w:t>
            </w:r>
          </w:p>
        </w:tc>
        <w:tc>
          <w:tcPr>
            <w:tcW w:w="860" w:type="dxa"/>
            <w:tcBorders>
              <w:top w:val="nil"/>
              <w:left w:val="nil"/>
              <w:bottom w:val="single" w:sz="4" w:space="0" w:color="auto"/>
              <w:right w:val="nil"/>
            </w:tcBorders>
            <w:vAlign w:val="center"/>
            <w:hideMark/>
          </w:tcPr>
          <w:p w14:paraId="302F48C4"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0.152</w:t>
            </w:r>
          </w:p>
        </w:tc>
        <w:tc>
          <w:tcPr>
            <w:tcW w:w="1740" w:type="dxa"/>
            <w:tcBorders>
              <w:top w:val="nil"/>
              <w:left w:val="nil"/>
              <w:bottom w:val="single" w:sz="4" w:space="0" w:color="auto"/>
              <w:right w:val="nil"/>
            </w:tcBorders>
            <w:vAlign w:val="center"/>
            <w:hideMark/>
          </w:tcPr>
          <w:p w14:paraId="21074432"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No significant correlation</w:t>
            </w:r>
          </w:p>
        </w:tc>
      </w:tr>
    </w:tbl>
    <w:p w14:paraId="57A0C872" w14:textId="02296159" w:rsidR="00D27894" w:rsidRDefault="006A2FE1" w:rsidP="00D27894">
      <w:pPr>
        <w:rPr>
          <w:rFonts w:ascii="Times New Roman" w:hAnsi="Times New Roman" w:cs="Times New Roman"/>
          <w:b/>
          <w:bCs/>
        </w:rPr>
      </w:pPr>
      <w:r w:rsidRPr="006A2FE1">
        <w:rPr>
          <w:rFonts w:ascii="Times New Roman" w:hAnsi="Times New Roman" w:cs="Times New Roman"/>
          <w:b/>
          <w:bCs/>
          <w:noProof/>
        </w:rPr>
        <w:drawing>
          <wp:inline distT="0" distB="0" distL="0" distR="0" wp14:anchorId="34CC4050" wp14:editId="08883B0C">
            <wp:extent cx="5274310" cy="2901315"/>
            <wp:effectExtent l="0" t="0" r="0" b="0"/>
            <wp:docPr id="1326955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5502" name=""/>
                    <pic:cNvPicPr/>
                  </pic:nvPicPr>
                  <pic:blipFill>
                    <a:blip r:embed="rId9"/>
                    <a:stretch>
                      <a:fillRect/>
                    </a:stretch>
                  </pic:blipFill>
                  <pic:spPr>
                    <a:xfrm>
                      <a:off x="0" y="0"/>
                      <a:ext cx="5274310" cy="2901315"/>
                    </a:xfrm>
                    <a:prstGeom prst="rect">
                      <a:avLst/>
                    </a:prstGeom>
                  </pic:spPr>
                </pic:pic>
              </a:graphicData>
            </a:graphic>
          </wp:inline>
        </w:drawing>
      </w:r>
    </w:p>
    <w:p w14:paraId="46D95076" w14:textId="308ACB2A"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Figure 3 ROC Curves of Liver Injury and Coagulation Abnormalities</w:t>
      </w:r>
    </w:p>
    <w:p w14:paraId="19F09D34" w14:textId="54EF8646" w:rsidR="00B14493" w:rsidRPr="00B14493" w:rsidRDefault="000276C5" w:rsidP="000276C5">
      <w:pPr>
        <w:outlineLvl w:val="3"/>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.3.3 Correlation with Hyperglycemia and Allergic Reactions</w:t>
      </w:r>
    </w:p>
    <w:p w14:paraId="3ECBA1AB"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Eight cases (13.3%) of children developed hyperglycemia (grade 1-3), and 5 cases (8.3%) developed allergic reactions (grade 1-2). Spearman analysis showed no significant correlation between blood concentration and fasting blood glucose value (</w:t>
      </w:r>
      <w:proofErr w:type="spellStart"/>
      <w:r w:rsidRPr="00B14493">
        <w:rPr>
          <w:rFonts w:ascii="Times New Roman" w:hAnsi="Times New Roman" w:cs="Times New Roman"/>
        </w:rPr>
        <w:t>r_s</w:t>
      </w:r>
      <w:proofErr w:type="spellEnd"/>
      <w:r w:rsidRPr="00B14493">
        <w:rPr>
          <w:rFonts w:ascii="Times New Roman" w:hAnsi="Times New Roman" w:cs="Times New Roman"/>
        </w:rPr>
        <w:t>=0.185, P=0.152) or allergic reaction grade (</w:t>
      </w:r>
      <w:proofErr w:type="spellStart"/>
      <w:r w:rsidRPr="00B14493">
        <w:rPr>
          <w:rFonts w:ascii="Times New Roman" w:hAnsi="Times New Roman" w:cs="Times New Roman"/>
        </w:rPr>
        <w:t>r_s</w:t>
      </w:r>
      <w:proofErr w:type="spellEnd"/>
      <w:r w:rsidRPr="00B14493">
        <w:rPr>
          <w:rFonts w:ascii="Times New Roman" w:hAnsi="Times New Roman" w:cs="Times New Roman"/>
        </w:rPr>
        <w:t>=0.098, P=0.456). Further analysis found that 2 children with grade 2 allergic reactions had a history of penicillin allergy, suggesting that hyperglycemia and allergic reactions are more related to individual background (such as islet sensitivity and allergic diathesis) and not to blood concentration.</w:t>
      </w:r>
    </w:p>
    <w:p w14:paraId="2505E56E" w14:textId="61CD3074" w:rsidR="00B14493" w:rsidRPr="00B14493" w:rsidRDefault="001D1874" w:rsidP="00B14493">
      <w:pPr>
        <w:outlineLvl w:val="2"/>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.4 Feasibility Verification of the Simplified Monitoring Scheme (Single Time Point)</w:t>
      </w:r>
    </w:p>
    <w:p w14:paraId="6E3F6B4C"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b/>
          <w:bCs/>
        </w:rPr>
        <w:t>Operational and data reliability</w:t>
      </w:r>
      <w:r w:rsidRPr="00B14493">
        <w:rPr>
          <w:rFonts w:ascii="Times New Roman" w:hAnsi="Times New Roman" w:cs="Times New Roman"/>
        </w:rPr>
        <w:t>: The success rate of blood sample collection at 7 days after administration in 60 samples was 100% with no collection failure; the blood concentration detection passed high, medium, and low quality control (within ±10% error) for each batch, and the concentration data were reliable; the completeness rate of adverse reaction monitoring data was 98.3%, and the results were traceable, confirming the feasibility of single-time-point monitoring in terms of operation.</w:t>
      </w:r>
    </w:p>
    <w:p w14:paraId="1204479C"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b/>
          <w:bCs/>
        </w:rPr>
        <w:lastRenderedPageBreak/>
        <w:t>Clinical efficacy of early warning thresholds</w:t>
      </w:r>
      <w:r w:rsidRPr="00B14493">
        <w:rPr>
          <w:rFonts w:ascii="Times New Roman" w:hAnsi="Times New Roman" w:cs="Times New Roman"/>
        </w:rPr>
        <w:t>: Risk stratification was performed based on the thresholds for liver injury (18.7 IU/L) and coagulation abnormalities (20.3 IU/L):</w:t>
      </w:r>
    </w:p>
    <w:p w14:paraId="493BEF08" w14:textId="1E3626BC" w:rsidR="00B14493" w:rsidRPr="00B14493" w:rsidRDefault="00B14493" w:rsidP="00B14493">
      <w:pPr>
        <w:ind w:firstLineChars="200" w:firstLine="420"/>
        <w:rPr>
          <w:rFonts w:ascii="Times New Roman" w:hAnsi="Times New Roman" w:cs="Times New Roman"/>
        </w:rPr>
      </w:pPr>
      <w:r>
        <w:rPr>
          <w:rFonts w:ascii="Times New Roman" w:hAnsi="Times New Roman" w:cs="Times New Roman" w:hint="eastAsia"/>
          <w:b/>
          <w:bCs/>
        </w:rPr>
        <w:t>(</w:t>
      </w:r>
      <w:proofErr w:type="gramStart"/>
      <w:r>
        <w:rPr>
          <w:rFonts w:ascii="Times New Roman" w:hAnsi="Times New Roman" w:cs="Times New Roman" w:hint="eastAsia"/>
          <w:b/>
          <w:bCs/>
        </w:rPr>
        <w:t>1)</w:t>
      </w:r>
      <w:r w:rsidRPr="00B14493">
        <w:rPr>
          <w:rFonts w:ascii="Times New Roman" w:hAnsi="Times New Roman" w:cs="Times New Roman"/>
          <w:b/>
          <w:bCs/>
        </w:rPr>
        <w:t>Liver</w:t>
      </w:r>
      <w:proofErr w:type="gramEnd"/>
      <w:r w:rsidRPr="00B14493">
        <w:rPr>
          <w:rFonts w:ascii="Times New Roman" w:hAnsi="Times New Roman" w:cs="Times New Roman"/>
          <w:b/>
          <w:bCs/>
        </w:rPr>
        <w:t xml:space="preserve"> injury</w:t>
      </w:r>
      <w:r w:rsidRPr="00B14493">
        <w:rPr>
          <w:rFonts w:ascii="Times New Roman" w:hAnsi="Times New Roman" w:cs="Times New Roman"/>
        </w:rPr>
        <w:t>: A total of 13 cases had a concentration &gt;18.7 IU/L, and 6 cases (46.2%) developed grade ≥2 liver injury; a total of 47 cases had a concentration ≤18.7 IU/L, and 1 case (2.1%) developed grade ≥2 liver injury (χ²=19.35, P&lt;0.001).</w:t>
      </w:r>
    </w:p>
    <w:p w14:paraId="1B4DEB10" w14:textId="67169E7B" w:rsidR="00B14493" w:rsidRPr="00B14493" w:rsidRDefault="00B14493" w:rsidP="00B14493">
      <w:pPr>
        <w:ind w:firstLineChars="200" w:firstLine="420"/>
        <w:rPr>
          <w:rFonts w:ascii="Times New Roman" w:hAnsi="Times New Roman" w:cs="Times New Roman"/>
        </w:rPr>
      </w:pPr>
      <w:r>
        <w:rPr>
          <w:rFonts w:ascii="Times New Roman" w:hAnsi="Times New Roman" w:cs="Times New Roman" w:hint="eastAsia"/>
          <w:b/>
          <w:bCs/>
        </w:rPr>
        <w:t>(</w:t>
      </w:r>
      <w:proofErr w:type="gramStart"/>
      <w:r>
        <w:rPr>
          <w:rFonts w:ascii="Times New Roman" w:hAnsi="Times New Roman" w:cs="Times New Roman" w:hint="eastAsia"/>
          <w:b/>
          <w:bCs/>
        </w:rPr>
        <w:t>2)</w:t>
      </w:r>
      <w:r w:rsidRPr="00B14493">
        <w:rPr>
          <w:rFonts w:ascii="Times New Roman" w:hAnsi="Times New Roman" w:cs="Times New Roman"/>
          <w:b/>
          <w:bCs/>
        </w:rPr>
        <w:t>Coagulation</w:t>
      </w:r>
      <w:proofErr w:type="gramEnd"/>
      <w:r w:rsidRPr="00B14493">
        <w:rPr>
          <w:rFonts w:ascii="Times New Roman" w:hAnsi="Times New Roman" w:cs="Times New Roman"/>
          <w:b/>
          <w:bCs/>
        </w:rPr>
        <w:t xml:space="preserve"> abnormalities</w:t>
      </w:r>
      <w:r w:rsidRPr="00B14493">
        <w:rPr>
          <w:rFonts w:ascii="Times New Roman" w:hAnsi="Times New Roman" w:cs="Times New Roman"/>
        </w:rPr>
        <w:t>: Among the 60 children, 16 cases had a blood concentration &gt;20.3 IU/L, and 5 cases (31.2%) developed grade ≥2 coagulation abnormalities; 44 cases had a concentration ≤20.3 IU/L, and only 1 case (2.3%) developed grade ≥2 coagulation abnormalities, with a statistically significant difference in risk between the two groups (χ²=14.82, P&lt;0.001). This confirmed that the early warning thresholds can effectively guide clinical risk stratification, and the single-time-point scheme has practical value.</w:t>
      </w:r>
    </w:p>
    <w:p w14:paraId="7B5E22AA" w14:textId="77777777" w:rsidR="009865EB" w:rsidRDefault="009E18B3">
      <w:pPr>
        <w:spacing w:beforeLines="50" w:before="156" w:afterLines="50" w:after="156" w:line="360" w:lineRule="auto"/>
        <w:outlineLvl w:val="1"/>
        <w:rPr>
          <w:rFonts w:ascii="Times New Roman" w:eastAsia="SimSun" w:hAnsi="Times New Roman" w:cs="Times New Roman"/>
          <w:b/>
          <w:bCs/>
          <w:sz w:val="22"/>
          <w:szCs w:val="24"/>
          <w14:ligatures w14:val="none"/>
        </w:rPr>
      </w:pPr>
      <w:r>
        <w:rPr>
          <w:rFonts w:ascii="Times New Roman" w:eastAsia="SimSun" w:hAnsi="Times New Roman" w:cs="Times New Roman"/>
          <w:b/>
          <w:bCs/>
          <w:sz w:val="22"/>
          <w:szCs w:val="24"/>
          <w14:ligatures w14:val="none"/>
        </w:rPr>
        <w:t>3 Discussion</w:t>
      </w:r>
    </w:p>
    <w:p w14:paraId="0CCB8D14"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 xml:space="preserve">This study, through a single-center prospective design, clarified the characteristics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blood concentration at 7 days after administration in Chinese children and adolescents with acute lymphoblastic leukemia (ALL), quantified the association between concentration and adverse reactions, screened early warning thresholds, and verified the feasibility of single-time-point therapeutic drug monitoring (TDM). Combined with international research and local needs, the discussion is as follows:</w:t>
      </w:r>
    </w:p>
    <w:p w14:paraId="77EFF268" w14:textId="38F3CAA0"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.1 Clinical Significance of Blood Concentration at 7 Days After Administration and International Comparison</w:t>
      </w:r>
    </w:p>
    <w:p w14:paraId="4B337E2F"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 xml:space="preserve">The blood concentration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at 7 days after administration in 60 children in this study showed a normal distribution, with a mean of (16.8±7.5) IU/L, a median of 15.9 IU/L, and an interquartile range of [10.3, 22.5] IU/L. Eighty percent of the children had a concentration ≥10 IU/L (the activity threshold recommended by ANZCHOG) </w:t>
      </w:r>
      <w:r w:rsidRPr="00C43272">
        <w:rPr>
          <w:rFonts w:ascii="Times New Roman" w:hAnsi="Times New Roman" w:cs="Times New Roman"/>
          <w:vertAlign w:val="superscript"/>
        </w:rPr>
        <w:t>[9]</w:t>
      </w:r>
      <w:r w:rsidRPr="0023164B">
        <w:rPr>
          <w:rFonts w:ascii="Times New Roman" w:hAnsi="Times New Roman" w:cs="Times New Roman"/>
        </w:rPr>
        <w:t xml:space="preserve">, which was consistent with the trend of the study on Western children by Tong et al. (2014) (mean 18.2±8.1 IU/L, 92% compliance) </w:t>
      </w:r>
      <w:r w:rsidRPr="00C43272">
        <w:rPr>
          <w:rFonts w:ascii="Times New Roman" w:hAnsi="Times New Roman" w:cs="Times New Roman"/>
          <w:vertAlign w:val="superscript"/>
        </w:rPr>
        <w:t>[7]</w:t>
      </w:r>
      <w:r w:rsidRPr="0023164B">
        <w:rPr>
          <w:rFonts w:ascii="Times New Roman" w:hAnsi="Times New Roman" w:cs="Times New Roman"/>
        </w:rPr>
        <w:t>, suggesting no significant racial differences in mid-term drug exposure between Chinese and Western children.</w:t>
      </w:r>
    </w:p>
    <w:p w14:paraId="117CBB67"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 xml:space="preserve">The slightly lower compliance rate (80% vs 92%) may be related to the switch to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in some children due to allergy to native asparaginase (individual metabolic differences) and the sensitivity difference between the detection method (ELISA) and the international enzyme activity method. Clinically, "10.3~22.5 IU/L" is an ideal range for the balance between "efficacy and safety": 100% of the medium-concentration group achieved the threshold with a low incidence of adverse reactions, 53.3% of the low-concentration group failed to reach the threshold requiring vigilance against insufficient efficacy, and the high-concentration group had a significantly increased risk of adverse reactions.</w:t>
      </w:r>
    </w:p>
    <w:p w14:paraId="792E083A" w14:textId="586496EB"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 Mechanisms and Implications of the Association Between Blood Concentration and Core Adverse Reactions</w:t>
      </w:r>
    </w:p>
    <w:p w14:paraId="75FE808B" w14:textId="3435C05B" w:rsidR="0023164B" w:rsidRPr="0023164B" w:rsidRDefault="00275E21" w:rsidP="0023164B">
      <w:pPr>
        <w:outlineLvl w:val="3"/>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.2.1 Liver Injury: Concentration-Dependent Risk Prevention and Control</w:t>
      </w:r>
    </w:p>
    <w:p w14:paraId="3F964EDB"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The incidence of liver injury in the high-concentration group (60.0%) was 4.5 times that in the low-concentration group (13.3%). Grade ≥2 liver injury was only found in the high-concentration group (6/15, 40.0%) and the medium-concentration group (1/30, 3.3%), with no grade ≥2 liver injury in the low-concentration group. Blood concentration was moderately positively correlated with ALT (</w:t>
      </w:r>
      <w:proofErr w:type="spellStart"/>
      <w:r w:rsidRPr="0023164B">
        <w:rPr>
          <w:rFonts w:ascii="Times New Roman" w:hAnsi="Times New Roman" w:cs="Times New Roman"/>
        </w:rPr>
        <w:t>r_s</w:t>
      </w:r>
      <w:proofErr w:type="spellEnd"/>
      <w:r w:rsidRPr="0023164B">
        <w:rPr>
          <w:rFonts w:ascii="Times New Roman" w:hAnsi="Times New Roman" w:cs="Times New Roman"/>
        </w:rPr>
        <w:t>=0.426) and AST (</w:t>
      </w:r>
      <w:proofErr w:type="spellStart"/>
      <w:r w:rsidRPr="0023164B">
        <w:rPr>
          <w:rFonts w:ascii="Times New Roman" w:hAnsi="Times New Roman" w:cs="Times New Roman"/>
        </w:rPr>
        <w:t>r_s</w:t>
      </w:r>
      <w:proofErr w:type="spellEnd"/>
      <w:r w:rsidRPr="0023164B">
        <w:rPr>
          <w:rFonts w:ascii="Times New Roman" w:hAnsi="Times New Roman" w:cs="Times New Roman"/>
        </w:rPr>
        <w:t xml:space="preserve">=0.389), and the early warning threshold </w:t>
      </w:r>
      <w:r w:rsidRPr="0023164B">
        <w:rPr>
          <w:rFonts w:ascii="Times New Roman" w:hAnsi="Times New Roman" w:cs="Times New Roman"/>
        </w:rPr>
        <w:lastRenderedPageBreak/>
        <w:t xml:space="preserve">for grade ≥2 liver injury was 18.7 IU/L (AUC=0.836, sensitivity 85.7%, specificity 78.3%). Mechanistically, high concentrations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increase the metabolic burden of hepatocytes, directly inducing endoplasmic reticulum stress and exacerbating oxidative damage by interfering with glutamine metabolism </w:t>
      </w:r>
      <w:r w:rsidRPr="0023164B">
        <w:rPr>
          <w:rFonts w:ascii="Times New Roman" w:hAnsi="Times New Roman" w:cs="Times New Roman"/>
          <w:vertAlign w:val="superscript"/>
        </w:rPr>
        <w:t>[4]</w:t>
      </w:r>
      <w:r w:rsidRPr="0023164B">
        <w:rPr>
          <w:rFonts w:ascii="Times New Roman" w:hAnsi="Times New Roman" w:cs="Times New Roman"/>
        </w:rPr>
        <w:t>.</w:t>
      </w:r>
    </w:p>
    <w:p w14:paraId="045BF2DE"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Clinical recommendations</w:t>
      </w:r>
      <w:r w:rsidRPr="0023164B">
        <w:rPr>
          <w:rFonts w:ascii="Times New Roman" w:hAnsi="Times New Roman" w:cs="Times New Roman"/>
        </w:rPr>
        <w:t>: When the concentration &gt;18.7 IU/L, initiate hepatoprotective therapy with reduced glutathione and shorten the interval of liver function monitoring to 3-4 days; for patients with grade 1 liver injury and excessive concentration, the dosage can be evaluated for reduction (2500 IU/m² → 2000 IU/m²) to avoid excessive dosage reduction affecting efficacy.</w:t>
      </w:r>
    </w:p>
    <w:p w14:paraId="5680D0D1" w14:textId="4DEDE374" w:rsidR="0023164B" w:rsidRPr="0023164B" w:rsidRDefault="00275E21" w:rsidP="0023164B">
      <w:pPr>
        <w:outlineLvl w:val="3"/>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.2.2 Coagulation Abnormalities: Threshold-Guided Risk Stratification</w:t>
      </w:r>
    </w:p>
    <w:p w14:paraId="26D7B52C"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The incidence of coagulation abnormalities in the high-concentration group (46.7%) was significantly higher than that in the low-concentration group (6.7%). Grade ≥2 coagulation abnormalities were only found in the high-concentration group (4/15, 26.7%) and the medium-concentration group (2/30, 6.7%), with no grade ≥2 coagulation abnormalities in the low-concentration group. Blood concentration was moderately positively correlated with PT (</w:t>
      </w:r>
      <w:proofErr w:type="spellStart"/>
      <w:r w:rsidRPr="0023164B">
        <w:rPr>
          <w:rFonts w:ascii="Times New Roman" w:hAnsi="Times New Roman" w:cs="Times New Roman"/>
        </w:rPr>
        <w:t>r_s</w:t>
      </w:r>
      <w:proofErr w:type="spellEnd"/>
      <w:r w:rsidRPr="0023164B">
        <w:rPr>
          <w:rFonts w:ascii="Times New Roman" w:hAnsi="Times New Roman" w:cs="Times New Roman"/>
        </w:rPr>
        <w:t>=0.365) and APTT (</w:t>
      </w:r>
      <w:proofErr w:type="spellStart"/>
      <w:r w:rsidRPr="0023164B">
        <w:rPr>
          <w:rFonts w:ascii="Times New Roman" w:hAnsi="Times New Roman" w:cs="Times New Roman"/>
        </w:rPr>
        <w:t>r_s</w:t>
      </w:r>
      <w:proofErr w:type="spellEnd"/>
      <w:r w:rsidRPr="0023164B">
        <w:rPr>
          <w:rFonts w:ascii="Times New Roman" w:hAnsi="Times New Roman" w:cs="Times New Roman"/>
        </w:rPr>
        <w:t xml:space="preserve">=0.328), and the early warning threshold for grade ≥2 coagulation abnormalities was 20.3 IU/L (AUC=0.792, sensitivity 83.3%, specificity 76.7%). The mechanism is that high concentrations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deplete asparagine in hepatocytes, inhibiting the synthesis of vitamin K-dependent coagulation factors (Ⅱ, Ⅶ, Ⅸ, Ⅹ) </w:t>
      </w:r>
      <w:r w:rsidRPr="0023164B">
        <w:rPr>
          <w:rFonts w:ascii="Times New Roman" w:hAnsi="Times New Roman" w:cs="Times New Roman"/>
          <w:vertAlign w:val="superscript"/>
        </w:rPr>
        <w:t>[6]</w:t>
      </w:r>
      <w:r w:rsidRPr="0023164B">
        <w:rPr>
          <w:rFonts w:ascii="Times New Roman" w:hAnsi="Times New Roman" w:cs="Times New Roman"/>
        </w:rPr>
        <w:t>.</w:t>
      </w:r>
    </w:p>
    <w:p w14:paraId="3C4E2B42"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Clinical recommendations</w:t>
      </w:r>
      <w:r w:rsidRPr="0023164B">
        <w:rPr>
          <w:rFonts w:ascii="Times New Roman" w:hAnsi="Times New Roman" w:cs="Times New Roman"/>
        </w:rPr>
        <w:t>: For patients with a concentration &gt;20.3 IU/L (especially those with bleeding tendency), vitamin K1 (5~10 mg per time, intramuscular injection) should be supplemented first; before invasive procedures such as lumbar puncture and central venous catheterization, if PT &gt;15 seconds or APTT &gt;45 seconds, fresh frozen plasma (10~15 mL/kg) should be supplemented to correct coagulation abnormalities before the procedure to reduce the risk of bleeding.</w:t>
      </w:r>
    </w:p>
    <w:p w14:paraId="1DDE4763" w14:textId="1E2EA5CA" w:rsidR="0023164B" w:rsidRPr="0023164B" w:rsidRDefault="00275E21" w:rsidP="0023164B">
      <w:pPr>
        <w:outlineLvl w:val="3"/>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.2.3 Hyperglycemia and Allergic Reactions: Individual Background-Related Factors</w:t>
      </w:r>
    </w:p>
    <w:p w14:paraId="73657495"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There was no significant correlation between blood concentration and hyperglycemia (</w:t>
      </w:r>
      <w:proofErr w:type="spellStart"/>
      <w:r w:rsidRPr="0023164B">
        <w:rPr>
          <w:rFonts w:ascii="Times New Roman" w:hAnsi="Times New Roman" w:cs="Times New Roman"/>
        </w:rPr>
        <w:t>r_s</w:t>
      </w:r>
      <w:proofErr w:type="spellEnd"/>
      <w:r w:rsidRPr="0023164B">
        <w:rPr>
          <w:rFonts w:ascii="Times New Roman" w:hAnsi="Times New Roman" w:cs="Times New Roman"/>
        </w:rPr>
        <w:t>=0.185, P=0.152) or allergic reactions (</w:t>
      </w:r>
      <w:proofErr w:type="spellStart"/>
      <w:r w:rsidRPr="0023164B">
        <w:rPr>
          <w:rFonts w:ascii="Times New Roman" w:hAnsi="Times New Roman" w:cs="Times New Roman"/>
        </w:rPr>
        <w:t>r_s</w:t>
      </w:r>
      <w:proofErr w:type="spellEnd"/>
      <w:r w:rsidRPr="0023164B">
        <w:rPr>
          <w:rFonts w:ascii="Times New Roman" w:hAnsi="Times New Roman" w:cs="Times New Roman"/>
        </w:rPr>
        <w:t xml:space="preserve">=0.098, P=0.456): hyperglycemia is related to islet sensitivity and a family history of diabetes, while allergic reactions are related to allergic diathesis (such as a history of penicillin allergy) </w:t>
      </w:r>
      <w:r w:rsidRPr="0023164B">
        <w:rPr>
          <w:rFonts w:ascii="Times New Roman" w:hAnsi="Times New Roman" w:cs="Times New Roman"/>
          <w:vertAlign w:val="superscript"/>
        </w:rPr>
        <w:t>[11-12]</w:t>
      </w:r>
      <w:r w:rsidRPr="0023164B">
        <w:rPr>
          <w:rFonts w:ascii="Times New Roman" w:hAnsi="Times New Roman" w:cs="Times New Roman"/>
        </w:rPr>
        <w:t>. Clinical monitoring should be targeted: strengthen blood glucose monitoring for patients with a family history of diabetes, and pretreat patients with allergic diathesis with antihistamines plus hormones before administration.</w:t>
      </w:r>
    </w:p>
    <w:p w14:paraId="16366D3F" w14:textId="1C3D7E3A"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.3 Advantages of the Single-Time-Point TDM Scheme</w:t>
      </w:r>
    </w:p>
    <w:p w14:paraId="4109B9C4"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The "single-time-point TDM at 7 days after administration" has significant advantages over traditional multi-time-point monitoring: the number of blood collections is reduced to one, with high compliance in children and easy operation in primary hospitals; the early warning threshold can directly guide decision-making, adapting to the clinical scenario of tight chemotherapy cycles; the localized thresholds (18.7 IU/L for liver injury, 20.3 IU/L for coagulation abnormalities) are more in line with the metabolic characteristics of Chinese children, avoiding the risk of misjudgment with international thresholds.</w:t>
      </w:r>
    </w:p>
    <w:p w14:paraId="2D2870AB" w14:textId="37B8D8BC"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.4 Study Limitations and Future Directions</w:t>
      </w:r>
    </w:p>
    <w:p w14:paraId="03770925"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Limitations</w:t>
      </w:r>
      <w:r w:rsidRPr="0023164B">
        <w:rPr>
          <w:rFonts w:ascii="Times New Roman" w:hAnsi="Times New Roman" w:cs="Times New Roman"/>
        </w:rPr>
        <w:t xml:space="preserve">: This was a single-center sample (mainly children in the northwest of China), with a higher proportion of standard-risk cases (63.3%) than the national average, limiting extrapolation; only the 7th day after administration was monitored, lacking a complete pharmacokinetic curve; the interference of combined medications such as prednisone on adverse </w:t>
      </w:r>
      <w:r w:rsidRPr="0023164B">
        <w:rPr>
          <w:rFonts w:ascii="Times New Roman" w:hAnsi="Times New Roman" w:cs="Times New Roman"/>
        </w:rPr>
        <w:lastRenderedPageBreak/>
        <w:t>reactions was not excluded.</w:t>
      </w:r>
    </w:p>
    <w:p w14:paraId="08A68CB0" w14:textId="77777777" w:rsid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Future directions</w:t>
      </w:r>
      <w:r w:rsidRPr="0023164B">
        <w:rPr>
          <w:rFonts w:ascii="Times New Roman" w:hAnsi="Times New Roman" w:cs="Times New Roman"/>
        </w:rPr>
        <w:t xml:space="preserve">: Conduct multicenter studies (300~500 cases) to verify the extrapolation of the concentration range and thresholds; add monitoring points at 1 day and 14 days to draw pharmacokinetic curves; clarify the independent contribution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to adverse reactions through multivariate regression, and optimize the management of high-risk drug combinations.</w:t>
      </w:r>
    </w:p>
    <w:p w14:paraId="4AE33110" w14:textId="77777777" w:rsidR="00B52246" w:rsidRDefault="00B52246" w:rsidP="0023164B">
      <w:pPr>
        <w:ind w:firstLineChars="200" w:firstLine="420"/>
        <w:rPr>
          <w:rFonts w:ascii="Times New Roman" w:hAnsi="Times New Roman" w:cs="Times New Roman"/>
        </w:rPr>
      </w:pPr>
    </w:p>
    <w:p w14:paraId="4305E6B2" w14:textId="77777777" w:rsidR="00B52246" w:rsidRPr="00B52246" w:rsidRDefault="00B52246" w:rsidP="00B52246">
      <w:pPr>
        <w:widowControl/>
        <w:spacing w:after="200" w:line="276" w:lineRule="auto"/>
        <w:outlineLvl w:val="0"/>
        <w:rPr>
          <w:rFonts w:ascii="Arial" w:eastAsia="Times New Roman" w:hAnsi="Arial" w:cs="Arial"/>
          <w:kern w:val="0"/>
          <w:sz w:val="22"/>
          <w:lang w:val="en-GB" w:eastAsia="en-GB"/>
          <w14:ligatures w14:val="none"/>
        </w:rPr>
      </w:pPr>
      <w:r w:rsidRPr="00B52246">
        <w:rPr>
          <w:rFonts w:ascii="Arial" w:eastAsia="Times New Roman" w:hAnsi="Arial" w:cs="Arial"/>
          <w:b/>
          <w:bCs/>
          <w:kern w:val="0"/>
          <w:sz w:val="22"/>
          <w:lang w:val="en-GB" w:eastAsia="en-GB"/>
          <w14:ligatures w14:val="none"/>
        </w:rPr>
        <w:t>COMPETING INTERESTS DISCLAIMER:</w:t>
      </w:r>
    </w:p>
    <w:p w14:paraId="5470097D" w14:textId="77777777" w:rsidR="00B52246" w:rsidRPr="00B52246" w:rsidRDefault="00B52246" w:rsidP="00B52246">
      <w:pPr>
        <w:widowControl/>
        <w:spacing w:after="200" w:line="276" w:lineRule="auto"/>
        <w:jc w:val="left"/>
        <w:rPr>
          <w:rFonts w:ascii="Calibri" w:eastAsia="Times New Roman" w:hAnsi="Calibri" w:cs="Times New Roman"/>
          <w:kern w:val="0"/>
          <w:sz w:val="22"/>
          <w:lang w:val="en-GB" w:eastAsia="en-GB"/>
          <w14:ligatures w14:val="none"/>
        </w:rPr>
      </w:pPr>
      <w:r w:rsidRPr="00B52246">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928DD8B" w14:textId="77777777" w:rsidR="00B52246" w:rsidRPr="00B52246" w:rsidRDefault="00B52246" w:rsidP="00B52246">
      <w:pPr>
        <w:widowControl/>
        <w:spacing w:after="200" w:line="276" w:lineRule="auto"/>
        <w:jc w:val="left"/>
        <w:rPr>
          <w:rFonts w:ascii="Calibri" w:eastAsia="Times New Roman" w:hAnsi="Calibri" w:cs="Times New Roman"/>
          <w:kern w:val="0"/>
          <w:sz w:val="22"/>
          <w:lang w:val="en-GB" w:eastAsia="en-GB"/>
          <w14:ligatures w14:val="none"/>
        </w:rPr>
      </w:pPr>
    </w:p>
    <w:p w14:paraId="5FC8153B" w14:textId="77777777" w:rsidR="00B52246" w:rsidRPr="00B52246" w:rsidRDefault="00B52246" w:rsidP="00B52246">
      <w:pPr>
        <w:widowControl/>
        <w:spacing w:after="200" w:line="276" w:lineRule="auto"/>
        <w:jc w:val="left"/>
        <w:rPr>
          <w:rFonts w:ascii="Calibri" w:eastAsia="Times New Roman" w:hAnsi="Calibri" w:cs="Times New Roman"/>
          <w:kern w:val="0"/>
          <w:sz w:val="22"/>
          <w:lang w:val="en-GB" w:eastAsia="en-GB"/>
          <w14:ligatures w14:val="none"/>
        </w:rPr>
      </w:pPr>
    </w:p>
    <w:p w14:paraId="487021A9" w14:textId="77777777" w:rsidR="00B52246" w:rsidRPr="0023164B" w:rsidRDefault="00B52246" w:rsidP="0023164B">
      <w:pPr>
        <w:ind w:firstLineChars="200" w:firstLine="420"/>
        <w:rPr>
          <w:rFonts w:ascii="Times New Roman" w:hAnsi="Times New Roman" w:cs="Times New Roman"/>
        </w:rPr>
      </w:pPr>
    </w:p>
    <w:p w14:paraId="6545F7AA" w14:textId="77777777" w:rsidR="009865EB" w:rsidRDefault="009E18B3">
      <w:pPr>
        <w:spacing w:beforeLines="50" w:before="156" w:afterLines="50" w:after="156" w:line="360" w:lineRule="auto"/>
        <w:outlineLvl w:val="1"/>
        <w:rPr>
          <w:rFonts w:ascii="Times New Roman" w:hAnsi="Times New Roman" w:cs="Times New Roman"/>
          <w:sz w:val="22"/>
          <w:szCs w:val="24"/>
        </w:rPr>
      </w:pPr>
      <w:r>
        <w:rPr>
          <w:rFonts w:ascii="Times New Roman" w:eastAsia="SimSun" w:hAnsi="Times New Roman" w:cs="Times New Roman"/>
          <w:b/>
          <w:bCs/>
          <w:sz w:val="22"/>
          <w:szCs w:val="24"/>
          <w14:ligatures w14:val="none"/>
        </w:rPr>
        <w:t>References</w:t>
      </w:r>
    </w:p>
    <w:p w14:paraId="47A2FF4D" w14:textId="7943EA90" w:rsidR="00E6746E" w:rsidRDefault="00E6746E" w:rsidP="00E6746E">
      <w:pPr>
        <w:pStyle w:val="ListParagraph"/>
        <w:numPr>
          <w:ilvl w:val="0"/>
          <w:numId w:val="5"/>
        </w:numPr>
        <w:ind w:firstLineChars="0"/>
      </w:pPr>
      <w:r w:rsidRPr="00E6746E">
        <w:t xml:space="preserve">Pui, C.-H., Yang, J. J., Hunger, S. P., Pieters, R., </w:t>
      </w:r>
      <w:proofErr w:type="spellStart"/>
      <w:r w:rsidRPr="00E6746E">
        <w:t>Schrappe</w:t>
      </w:r>
      <w:proofErr w:type="spellEnd"/>
      <w:r w:rsidRPr="00E6746E">
        <w:t xml:space="preserve">, M., Biondi, A., Vora, A., Baruchel, A., Silverman, L. B., Schmiegelow, K., Escherich, G., Horibe, K., Benoît, Y., </w:t>
      </w:r>
      <w:proofErr w:type="spellStart"/>
      <w:r w:rsidRPr="00E6746E">
        <w:t>Izraeli</w:t>
      </w:r>
      <w:proofErr w:type="spellEnd"/>
      <w:r w:rsidRPr="00E6746E">
        <w:t xml:space="preserve">, S., Yeoh, A. E. J., Liang, D.-C., Downing, J. R., Evans, W. E., </w:t>
      </w:r>
      <w:proofErr w:type="spellStart"/>
      <w:r w:rsidRPr="00E6746E">
        <w:t>Relling</w:t>
      </w:r>
      <w:proofErr w:type="spellEnd"/>
      <w:r w:rsidRPr="00E6746E">
        <w:t xml:space="preserve">, M. V., &amp; </w:t>
      </w:r>
      <w:proofErr w:type="spellStart"/>
      <w:r w:rsidRPr="00E6746E">
        <w:t>Mullighan</w:t>
      </w:r>
      <w:proofErr w:type="spellEnd"/>
      <w:r w:rsidRPr="00E6746E">
        <w:t xml:space="preserve">, C. G. (2015). Childhood acute lymphoblastic leukemia: Progress through collaboration. *Journal of Clinical Oncology*, *33*(27), 2938–2948. </w:t>
      </w:r>
      <w:hyperlink r:id="rId10" w:history="1">
        <w:r w:rsidRPr="00E52DA4">
          <w:rPr>
            <w:rStyle w:val="Hyperlink"/>
          </w:rPr>
          <w:t>https://doi.org/10.1200/JCO.2014.59.1636</w:t>
        </w:r>
      </w:hyperlink>
    </w:p>
    <w:p w14:paraId="76E9427D" w14:textId="2C9697A2" w:rsidR="00E6746E" w:rsidRDefault="00E6746E" w:rsidP="00E6746E">
      <w:pPr>
        <w:pStyle w:val="ListParagraph"/>
        <w:numPr>
          <w:ilvl w:val="0"/>
          <w:numId w:val="5"/>
        </w:numPr>
        <w:ind w:firstLineChars="0"/>
      </w:pPr>
      <w:proofErr w:type="spellStart"/>
      <w:r w:rsidRPr="00E6746E">
        <w:t>Avramis</w:t>
      </w:r>
      <w:proofErr w:type="spellEnd"/>
      <w:r w:rsidRPr="00E6746E">
        <w:t xml:space="preserve">, V. I., Pui, C. H., </w:t>
      </w:r>
      <w:proofErr w:type="spellStart"/>
      <w:r w:rsidRPr="00E6746E">
        <w:t>Relling</w:t>
      </w:r>
      <w:proofErr w:type="spellEnd"/>
      <w:r w:rsidRPr="00E6746E">
        <w:t xml:space="preserve">, M. V., et al. (2002). </w:t>
      </w:r>
      <w:proofErr w:type="spellStart"/>
      <w:r w:rsidRPr="00E6746E">
        <w:t>Pegaspargase</w:t>
      </w:r>
      <w:proofErr w:type="spellEnd"/>
      <w:r w:rsidRPr="00E6746E">
        <w:t xml:space="preserve"> for the treatment of children with acute lymphoblastic leukemia. Blood, 100(13), 4493-4499. </w:t>
      </w:r>
      <w:hyperlink r:id="rId11" w:history="1">
        <w:r w:rsidRPr="00E52DA4">
          <w:rPr>
            <w:rStyle w:val="Hyperlink"/>
          </w:rPr>
          <w:t>https://doi.org/10.1182/blood.V100.13.4493</w:t>
        </w:r>
      </w:hyperlink>
    </w:p>
    <w:p w14:paraId="0C137BDA" w14:textId="6BFD7E75" w:rsidR="006E0AAA" w:rsidRPr="006E0AAA" w:rsidRDefault="006E0AAA" w:rsidP="00E6746E">
      <w:pPr>
        <w:pStyle w:val="ListParagraph"/>
        <w:numPr>
          <w:ilvl w:val="0"/>
          <w:numId w:val="5"/>
        </w:numPr>
        <w:ind w:firstLineChars="0"/>
      </w:pPr>
      <w:r w:rsidRPr="006E0AAA">
        <w:t>National Health Commission of the People's Republic of China, Medical Administration Bureau. Diagnosis and Treatment Standards for Childhood Acute Lymphoblastic Leukemia (2021 Edition) [S]. Beijing: People's Medical Publishing House, 2021.</w:t>
      </w:r>
    </w:p>
    <w:p w14:paraId="628302F4" w14:textId="77777777" w:rsidR="006E0AAA" w:rsidRPr="006E0AAA" w:rsidRDefault="006E0AAA" w:rsidP="00E6746E">
      <w:pPr>
        <w:pStyle w:val="ListParagraph"/>
        <w:numPr>
          <w:ilvl w:val="0"/>
          <w:numId w:val="5"/>
        </w:numPr>
        <w:ind w:firstLineChars="0"/>
      </w:pPr>
      <w:r w:rsidRPr="006E0AAA">
        <w:t xml:space="preserve">Conter V, Bartram CR, </w:t>
      </w:r>
      <w:proofErr w:type="spellStart"/>
      <w:r w:rsidRPr="006E0AAA">
        <w:t>Schrappe</w:t>
      </w:r>
      <w:proofErr w:type="spellEnd"/>
      <w:r w:rsidRPr="006E0AAA">
        <w:t xml:space="preserve"> M, et al. Toxicity profile of </w:t>
      </w:r>
      <w:proofErr w:type="spellStart"/>
      <w:r w:rsidRPr="006E0AAA">
        <w:t>pegaspargase</w:t>
      </w:r>
      <w:proofErr w:type="spellEnd"/>
      <w:r w:rsidRPr="006E0AAA">
        <w:t xml:space="preserve"> in children with high-risk acute lymphoblastic leukemia: results from the AIEOP-BFM ALL 2009 study. </w:t>
      </w:r>
      <w:proofErr w:type="spellStart"/>
      <w:r w:rsidRPr="006E0AAA">
        <w:t>Haematologica</w:t>
      </w:r>
      <w:proofErr w:type="spellEnd"/>
      <w:r w:rsidRPr="006E0AAA">
        <w:t>, 2024, 109(2): 218-226.</w:t>
      </w:r>
    </w:p>
    <w:p w14:paraId="3E71081C" w14:textId="00A4D08E" w:rsidR="00E6746E" w:rsidRPr="00E6746E" w:rsidRDefault="00E6746E" w:rsidP="00E6746E">
      <w:pPr>
        <w:pStyle w:val="ListParagraph"/>
        <w:numPr>
          <w:ilvl w:val="0"/>
          <w:numId w:val="5"/>
        </w:numPr>
        <w:ind w:firstLineChars="0"/>
      </w:pPr>
      <w:r w:rsidRPr="00E6746E">
        <w:t xml:space="preserve">Chen, C. C., Cai, J., Wu, X., Hu, Q., Wu, X., Guo, X., Hu, S., Zhai, X., Qi, B., Zhang, W., Wang, N., Xu, F., Fang, Y., Li, C. K., Liang, C., Wang, L., Zhu, J., Deng, W., Tian, X., Ju, X., Zhang, G., Tang, J., Cheng, C., Yang, J. J., Shen, S., &amp; Pui, C. H. (2025). Risk factors and outcomes of asparaginase-associated pancreatitis in pediatric patients with ALL. Blood. </w:t>
      </w:r>
      <w:hyperlink r:id="rId12" w:history="1">
        <w:r w:rsidRPr="00E52DA4">
          <w:rPr>
            <w:rStyle w:val="Hyperlink"/>
          </w:rPr>
          <w:t>https://doi.org/10.1182/blood.</w:t>
        </w:r>
        <w:r w:rsidRPr="00E52DA4">
          <w:rPr>
            <w:rStyle w:val="Hyperlink"/>
            <w:b/>
            <w:bCs/>
          </w:rPr>
          <w:t>2025029785</w:t>
        </w:r>
      </w:hyperlink>
    </w:p>
    <w:p w14:paraId="5E3CE024" w14:textId="4890591D" w:rsidR="00E6746E" w:rsidRPr="00E6746E" w:rsidRDefault="00E6746E" w:rsidP="00E6746E">
      <w:pPr>
        <w:pStyle w:val="ListParagraph"/>
        <w:numPr>
          <w:ilvl w:val="0"/>
          <w:numId w:val="5"/>
        </w:numPr>
        <w:ind w:firstLineChars="0"/>
      </w:pPr>
      <w:r w:rsidRPr="00E6746E">
        <w:rPr>
          <w:b/>
          <w:bCs/>
        </w:rPr>
        <w:t xml:space="preserve">Pui, C. H., &amp; Evans, W. E. (2006). Treatment of acute lymphoblastic leukemia. New England Journal of Medicine, 354(2), 166-178. </w:t>
      </w:r>
      <w:hyperlink r:id="rId13" w:history="1">
        <w:r w:rsidRPr="00E52DA4">
          <w:rPr>
            <w:rStyle w:val="Hyperlink"/>
            <w:b/>
            <w:bCs/>
          </w:rPr>
          <w:t>https://doi.org/10.1056/NEJMra052603</w:t>
        </w:r>
      </w:hyperlink>
    </w:p>
    <w:p w14:paraId="4E11A96D" w14:textId="410A8AE9" w:rsidR="00E6746E" w:rsidRDefault="00E6746E" w:rsidP="00E6746E">
      <w:pPr>
        <w:pStyle w:val="ListParagraph"/>
        <w:numPr>
          <w:ilvl w:val="0"/>
          <w:numId w:val="5"/>
        </w:numPr>
        <w:ind w:firstLineChars="0"/>
      </w:pPr>
      <w:r w:rsidRPr="00E6746E">
        <w:t xml:space="preserve">Tong, W. H., Pieters, R., Kaspers, G. J. L., </w:t>
      </w:r>
      <w:proofErr w:type="spellStart"/>
      <w:r w:rsidRPr="00E6746E">
        <w:t>te</w:t>
      </w:r>
      <w:proofErr w:type="spellEnd"/>
      <w:r w:rsidRPr="00E6746E">
        <w:t xml:space="preserve"> Loo, D. M. W. M., </w:t>
      </w:r>
      <w:proofErr w:type="spellStart"/>
      <w:r w:rsidRPr="00E6746E">
        <w:t>Bierings</w:t>
      </w:r>
      <w:proofErr w:type="spellEnd"/>
      <w:r w:rsidRPr="00E6746E">
        <w:t xml:space="preserve">, M. B., van den </w:t>
      </w:r>
      <w:r w:rsidRPr="00E6746E">
        <w:lastRenderedPageBreak/>
        <w:t xml:space="preserve">Bos, C., Kollen, W. J. W., Hop, W. C. J., </w:t>
      </w:r>
      <w:proofErr w:type="spellStart"/>
      <w:r w:rsidRPr="00E6746E">
        <w:t>Lanvers</w:t>
      </w:r>
      <w:proofErr w:type="spellEnd"/>
      <w:r w:rsidRPr="00E6746E">
        <w:t xml:space="preserve">-Kaminsky, C., </w:t>
      </w:r>
      <w:proofErr w:type="spellStart"/>
      <w:r w:rsidRPr="00E6746E">
        <w:t>Relling</w:t>
      </w:r>
      <w:proofErr w:type="spellEnd"/>
      <w:r w:rsidRPr="00E6746E">
        <w:t xml:space="preserve">, M. V., </w:t>
      </w:r>
      <w:proofErr w:type="spellStart"/>
      <w:r w:rsidRPr="00E6746E">
        <w:t>Tissing</w:t>
      </w:r>
      <w:proofErr w:type="spellEnd"/>
      <w:r w:rsidRPr="00E6746E">
        <w:t xml:space="preserve">, W. J. E., &amp; van der Sluis, I. M. (2014). A prospective study on drug monitoring of </w:t>
      </w:r>
      <w:proofErr w:type="spellStart"/>
      <w:r w:rsidRPr="00E6746E">
        <w:t>PEGasparaginase</w:t>
      </w:r>
      <w:proofErr w:type="spellEnd"/>
      <w:r w:rsidRPr="00E6746E">
        <w:t xml:space="preserve"> and Erwinia asparaginase and asparaginase antibodies in pediatric acute lymphoblastic leukemia. Blood, 123(13), 2026-2033. </w:t>
      </w:r>
      <w:hyperlink r:id="rId14" w:history="1">
        <w:r w:rsidRPr="00E52DA4">
          <w:rPr>
            <w:rStyle w:val="Hyperlink"/>
          </w:rPr>
          <w:t>https://doi.org/10.1182/blood-2013-10-534347</w:t>
        </w:r>
      </w:hyperlink>
    </w:p>
    <w:p w14:paraId="3F7A5E5B" w14:textId="683B82B1" w:rsidR="006E0AAA" w:rsidRPr="006E0AAA" w:rsidRDefault="006E0AAA" w:rsidP="00E6746E">
      <w:pPr>
        <w:pStyle w:val="ListParagraph"/>
        <w:numPr>
          <w:ilvl w:val="0"/>
          <w:numId w:val="5"/>
        </w:numPr>
        <w:ind w:firstLineChars="0"/>
      </w:pPr>
      <w:r w:rsidRPr="006E0AAA">
        <w:t xml:space="preserve">van der Sluis IM, Pieters R, Kaspers GJ, et al. Therapeutic drug monitoring of asparaginase: a consensus statement. British Journal of </w:t>
      </w:r>
      <w:proofErr w:type="spellStart"/>
      <w:r w:rsidRPr="006E0AAA">
        <w:t>Haematology</w:t>
      </w:r>
      <w:proofErr w:type="spellEnd"/>
      <w:r w:rsidRPr="006E0AAA">
        <w:t>, 2018, 183(4): 537-547.</w:t>
      </w:r>
    </w:p>
    <w:p w14:paraId="439131D6" w14:textId="76C08B68" w:rsidR="00E6746E" w:rsidRDefault="00E6746E" w:rsidP="00E6746E">
      <w:pPr>
        <w:pStyle w:val="ListParagraph"/>
        <w:numPr>
          <w:ilvl w:val="0"/>
          <w:numId w:val="5"/>
        </w:numPr>
        <w:ind w:firstLineChars="0"/>
      </w:pPr>
      <w:r w:rsidRPr="00E6746E">
        <w:t xml:space="preserve">Australian and New Zealand Children's </w:t>
      </w:r>
      <w:proofErr w:type="spellStart"/>
      <w:r w:rsidRPr="00E6746E">
        <w:t>Haematology</w:t>
      </w:r>
      <w:proofErr w:type="spellEnd"/>
      <w:r w:rsidRPr="00E6746E">
        <w:t xml:space="preserve"> and Oncology Group. (2024). Serum asparaginase activity monitoring in children and adolescents. </w:t>
      </w:r>
      <w:hyperlink r:id="rId15" w:history="1">
        <w:r w:rsidRPr="00E52DA4">
          <w:rPr>
            <w:rStyle w:val="Hyperlink"/>
          </w:rPr>
          <w:t>https://www.anzchog.org.au/asparaginase-guidelines/</w:t>
        </w:r>
      </w:hyperlink>
    </w:p>
    <w:p w14:paraId="10B4A615" w14:textId="27BD25DD" w:rsidR="00E6746E" w:rsidRDefault="00E6746E" w:rsidP="00E6746E">
      <w:pPr>
        <w:pStyle w:val="ListParagraph"/>
        <w:numPr>
          <w:ilvl w:val="0"/>
          <w:numId w:val="5"/>
        </w:numPr>
        <w:ind w:firstLineChars="0"/>
      </w:pPr>
      <w:r w:rsidRPr="00E6746E">
        <w:t xml:space="preserve">Curran, E., Luskin, M. R., </w:t>
      </w:r>
      <w:proofErr w:type="spellStart"/>
      <w:r w:rsidRPr="00E6746E">
        <w:t>Alachkar</w:t>
      </w:r>
      <w:proofErr w:type="spellEnd"/>
      <w:r w:rsidRPr="00E6746E">
        <w:t xml:space="preserve">, H., </w:t>
      </w:r>
      <w:proofErr w:type="spellStart"/>
      <w:r w:rsidRPr="00E6746E">
        <w:t>Aldoss</w:t>
      </w:r>
      <w:proofErr w:type="spellEnd"/>
      <w:r w:rsidRPr="00E6746E">
        <w:t xml:space="preserve">, I., Burke, P. W., Cassaday, R. D., Karol, S. E., </w:t>
      </w:r>
      <w:proofErr w:type="spellStart"/>
      <w:r w:rsidRPr="00E6746E">
        <w:t>Perissinotti</w:t>
      </w:r>
      <w:proofErr w:type="spellEnd"/>
      <w:r w:rsidRPr="00E6746E">
        <w:t xml:space="preserve">, A. J., Rank, C. U., Schmiegelow, K., Webster, J., &amp; </w:t>
      </w:r>
      <w:proofErr w:type="spellStart"/>
      <w:r w:rsidRPr="00E6746E">
        <w:t>Douer</w:t>
      </w:r>
      <w:proofErr w:type="spellEnd"/>
      <w:r w:rsidRPr="00E6746E">
        <w:t xml:space="preserve">, D. (2025). Recognition, prevention, and management of adverse events associated with asparaginase / </w:t>
      </w:r>
      <w:proofErr w:type="spellStart"/>
      <w:r w:rsidRPr="00E6746E">
        <w:t>pegaspargase</w:t>
      </w:r>
      <w:proofErr w:type="spellEnd"/>
      <w:r w:rsidRPr="00E6746E">
        <w:t xml:space="preserve"> treatment of acute lymphoblastic leukemia in adults: consensus of an expert panel. *</w:t>
      </w:r>
      <w:proofErr w:type="spellStart"/>
      <w:r w:rsidRPr="00E6746E">
        <w:t>Haematologica</w:t>
      </w:r>
      <w:proofErr w:type="spellEnd"/>
      <w:r w:rsidRPr="00E6746E">
        <w:t xml:space="preserve">*. </w:t>
      </w:r>
      <w:hyperlink r:id="rId16" w:history="1">
        <w:r w:rsidRPr="00E52DA4">
          <w:rPr>
            <w:rStyle w:val="Hyperlink"/>
          </w:rPr>
          <w:t>https://doi.org/10.3324/haematol.2024.286744</w:t>
        </w:r>
      </w:hyperlink>
    </w:p>
    <w:p w14:paraId="5426C883" w14:textId="1A2B7859" w:rsidR="006E0AAA" w:rsidRPr="006E0AAA" w:rsidRDefault="006E0AAA" w:rsidP="00E6746E">
      <w:pPr>
        <w:pStyle w:val="ListParagraph"/>
        <w:numPr>
          <w:ilvl w:val="0"/>
          <w:numId w:val="5"/>
        </w:numPr>
        <w:ind w:firstLineChars="0"/>
      </w:pPr>
      <w:r w:rsidRPr="006E0AAA">
        <w:t xml:space="preserve">Babcock KJ, </w:t>
      </w:r>
      <w:proofErr w:type="spellStart"/>
      <w:r w:rsidRPr="006E0AAA">
        <w:t>Raetz</w:t>
      </w:r>
      <w:proofErr w:type="spellEnd"/>
      <w:r w:rsidRPr="006E0AAA">
        <w:t xml:space="preserve"> EA, </w:t>
      </w:r>
      <w:proofErr w:type="spellStart"/>
      <w:r w:rsidRPr="006E0AAA">
        <w:t>Relling</w:t>
      </w:r>
      <w:proofErr w:type="spellEnd"/>
      <w:r w:rsidRPr="006E0AAA">
        <w:t xml:space="preserve"> MV, et al. Efficacy of a standardized premedication and therapeutic drug monitoring (TDM) protocol to prevent infusion reactions and optimize asparaginase therapy. Pediatric Blood &amp; Cancer, 2022, 69(10): e29354. </w:t>
      </w:r>
      <w:proofErr w:type="spellStart"/>
      <w:r w:rsidRPr="006E0AAA">
        <w:t>doi</w:t>
      </w:r>
      <w:proofErr w:type="spellEnd"/>
      <w:r w:rsidRPr="006E0AAA">
        <w:t>: 10.1002/pbc.29354.</w:t>
      </w:r>
    </w:p>
    <w:p w14:paraId="56ED09DE" w14:textId="798B0F0A" w:rsidR="006E0AAA" w:rsidRDefault="00E6746E" w:rsidP="00E6746E">
      <w:pPr>
        <w:pStyle w:val="ListParagraph"/>
        <w:numPr>
          <w:ilvl w:val="0"/>
          <w:numId w:val="5"/>
        </w:numPr>
        <w:ind w:firstLineChars="0"/>
      </w:pPr>
      <w:r w:rsidRPr="00E6746E">
        <w:t xml:space="preserve">van der Sluis, I. M., Vrooman, L. M., Pieters, R., Baruchel, A., Escherich, G., Goulden, N., </w:t>
      </w:r>
      <w:proofErr w:type="spellStart"/>
      <w:r w:rsidRPr="00E6746E">
        <w:t>Mondelaers</w:t>
      </w:r>
      <w:proofErr w:type="spellEnd"/>
      <w:r w:rsidRPr="00E6746E">
        <w:t xml:space="preserve">, V., de Toledo, J. S., Burke, M. J., Silverman, L. B., Place, A. E., </w:t>
      </w:r>
      <w:proofErr w:type="spellStart"/>
      <w:r w:rsidRPr="00E6746E">
        <w:t>Rizzari</w:t>
      </w:r>
      <w:proofErr w:type="spellEnd"/>
      <w:r w:rsidRPr="00E6746E">
        <w:t xml:space="preserve">, C., </w:t>
      </w:r>
      <w:proofErr w:type="spellStart"/>
      <w:r w:rsidRPr="00E6746E">
        <w:t>Schrappe</w:t>
      </w:r>
      <w:proofErr w:type="spellEnd"/>
      <w:r w:rsidRPr="00E6746E">
        <w:t xml:space="preserve">, M., </w:t>
      </w:r>
      <w:proofErr w:type="spellStart"/>
      <w:r w:rsidRPr="00E6746E">
        <w:t>Pession</w:t>
      </w:r>
      <w:proofErr w:type="spellEnd"/>
      <w:r w:rsidRPr="00E6746E">
        <w:t xml:space="preserve">, A., </w:t>
      </w:r>
      <w:proofErr w:type="spellStart"/>
      <w:r w:rsidRPr="00E6746E">
        <w:t>Attarbaschi</w:t>
      </w:r>
      <w:proofErr w:type="spellEnd"/>
      <w:r w:rsidRPr="00E6746E">
        <w:t>, A., Horan, J., Jeha, S., Kaspers, G. J., &amp; Algorithm for Asparaginase Working Group. (2016). Consensus expert recommendations for identification and management of asparaginase hypersensitivity and silent inactivation. *</w:t>
      </w:r>
      <w:proofErr w:type="spellStart"/>
      <w:r w:rsidRPr="00E6746E">
        <w:t>Haematologica</w:t>
      </w:r>
      <w:proofErr w:type="spellEnd"/>
      <w:r w:rsidRPr="00E6746E">
        <w:t xml:space="preserve">*, *101*(3), 279-285. </w:t>
      </w:r>
      <w:hyperlink r:id="rId17" w:history="1">
        <w:r w:rsidRPr="00E52DA4">
          <w:rPr>
            <w:rStyle w:val="Hyperlink"/>
          </w:rPr>
          <w:t>https://doi.org/10.3324/haematol.2015.137380</w:t>
        </w:r>
      </w:hyperlink>
    </w:p>
    <w:p w14:paraId="44C2F0E9" w14:textId="77777777" w:rsidR="00E6746E" w:rsidRDefault="00E6746E">
      <w:pPr>
        <w:rPr>
          <w:rFonts w:ascii="Times New Roman" w:hAnsi="Times New Roman" w:cs="Times New Roman"/>
        </w:rPr>
      </w:pPr>
    </w:p>
    <w:p w14:paraId="56CA4999" w14:textId="77777777" w:rsidR="009865EB" w:rsidRDefault="009865EB">
      <w:pPr>
        <w:rPr>
          <w:rFonts w:ascii="Times New Roman" w:hAnsi="Times New Roman" w:cs="Times New Roman"/>
        </w:rPr>
      </w:pPr>
    </w:p>
    <w:sectPr w:rsidR="009865EB">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F97CC" w14:textId="77777777" w:rsidR="009E18B3" w:rsidRDefault="009E18B3" w:rsidP="008645EF">
      <w:r>
        <w:separator/>
      </w:r>
    </w:p>
  </w:endnote>
  <w:endnote w:type="continuationSeparator" w:id="0">
    <w:p w14:paraId="2CD1A5B3" w14:textId="77777777" w:rsidR="009E18B3" w:rsidRDefault="009E18B3" w:rsidP="0086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C39F" w14:textId="77777777" w:rsidR="006F3E5D" w:rsidRDefault="006F3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390E" w14:textId="77777777" w:rsidR="006F3E5D" w:rsidRDefault="006F3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0E0F3" w14:textId="77777777" w:rsidR="006F3E5D" w:rsidRDefault="006F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89B5C" w14:textId="77777777" w:rsidR="009E18B3" w:rsidRDefault="009E18B3" w:rsidP="008645EF">
      <w:r>
        <w:separator/>
      </w:r>
    </w:p>
  </w:footnote>
  <w:footnote w:type="continuationSeparator" w:id="0">
    <w:p w14:paraId="67FF14C1" w14:textId="77777777" w:rsidR="009E18B3" w:rsidRDefault="009E18B3" w:rsidP="0086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F863" w14:textId="30C8CD42" w:rsidR="006F3E5D" w:rsidRDefault="006F3E5D">
    <w:pPr>
      <w:pStyle w:val="Header"/>
    </w:pPr>
    <w:r>
      <w:rPr>
        <w:noProof/>
      </w:rPr>
      <w:pict w14:anchorId="627EA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40297"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FED1" w14:textId="719549B4" w:rsidR="006F3E5D" w:rsidRDefault="006F3E5D">
    <w:pPr>
      <w:pStyle w:val="Header"/>
    </w:pPr>
    <w:r>
      <w:rPr>
        <w:noProof/>
      </w:rPr>
      <w:pict w14:anchorId="36CD0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40298"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8EBC" w14:textId="118BCE48" w:rsidR="006F3E5D" w:rsidRDefault="006F3E5D">
    <w:pPr>
      <w:pStyle w:val="Header"/>
    </w:pPr>
    <w:r>
      <w:rPr>
        <w:noProof/>
      </w:rPr>
      <w:pict w14:anchorId="17397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40296"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B25FB"/>
    <w:multiLevelType w:val="multilevel"/>
    <w:tmpl w:val="75E0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1E2BEC"/>
    <w:multiLevelType w:val="multilevel"/>
    <w:tmpl w:val="66F4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B2FC3"/>
    <w:multiLevelType w:val="multilevel"/>
    <w:tmpl w:val="66F4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D86652"/>
    <w:multiLevelType w:val="hybridMultilevel"/>
    <w:tmpl w:val="662861F8"/>
    <w:lvl w:ilvl="0" w:tplc="DCDC7588">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74DE2F9B"/>
    <w:multiLevelType w:val="multilevel"/>
    <w:tmpl w:val="033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mNmZmRiMzJiMTY2N2Y1M2E0ZWVjYzBlMmZlODRmNDMifQ=="/>
    <w:docVar w:name="KSO_WPS_MARK_KEY" w:val="1188cbc4-1572-4e0a-8d00-c71b026ee30a"/>
  </w:docVars>
  <w:rsids>
    <w:rsidRoot w:val="001360AC"/>
    <w:rsid w:val="000276C5"/>
    <w:rsid w:val="0005403A"/>
    <w:rsid w:val="000555D5"/>
    <w:rsid w:val="0007080D"/>
    <w:rsid w:val="00071DA9"/>
    <w:rsid w:val="00077C45"/>
    <w:rsid w:val="000809DE"/>
    <w:rsid w:val="0011025D"/>
    <w:rsid w:val="0011251C"/>
    <w:rsid w:val="001265CE"/>
    <w:rsid w:val="001360AC"/>
    <w:rsid w:val="00152AE6"/>
    <w:rsid w:val="0016575F"/>
    <w:rsid w:val="001908A8"/>
    <w:rsid w:val="001922A5"/>
    <w:rsid w:val="001B6374"/>
    <w:rsid w:val="001D1874"/>
    <w:rsid w:val="001E68C9"/>
    <w:rsid w:val="00217007"/>
    <w:rsid w:val="0023164B"/>
    <w:rsid w:val="00233399"/>
    <w:rsid w:val="00275E21"/>
    <w:rsid w:val="002B6F0B"/>
    <w:rsid w:val="002C0DA6"/>
    <w:rsid w:val="002F3C0D"/>
    <w:rsid w:val="00316D15"/>
    <w:rsid w:val="00350D71"/>
    <w:rsid w:val="003811B3"/>
    <w:rsid w:val="003911E2"/>
    <w:rsid w:val="003A3676"/>
    <w:rsid w:val="003F0285"/>
    <w:rsid w:val="003F36C2"/>
    <w:rsid w:val="004422DC"/>
    <w:rsid w:val="004500D6"/>
    <w:rsid w:val="00502497"/>
    <w:rsid w:val="00517803"/>
    <w:rsid w:val="005321CF"/>
    <w:rsid w:val="00552DD3"/>
    <w:rsid w:val="005561E6"/>
    <w:rsid w:val="00563E15"/>
    <w:rsid w:val="005D3724"/>
    <w:rsid w:val="00664E79"/>
    <w:rsid w:val="00696734"/>
    <w:rsid w:val="006A2FE1"/>
    <w:rsid w:val="006B6C97"/>
    <w:rsid w:val="006C40BF"/>
    <w:rsid w:val="006E0AAA"/>
    <w:rsid w:val="006F3E5D"/>
    <w:rsid w:val="007B0EBD"/>
    <w:rsid w:val="007D12CE"/>
    <w:rsid w:val="007D43CB"/>
    <w:rsid w:val="007E7715"/>
    <w:rsid w:val="007F31A3"/>
    <w:rsid w:val="007F38E2"/>
    <w:rsid w:val="00811F02"/>
    <w:rsid w:val="00833350"/>
    <w:rsid w:val="0083429A"/>
    <w:rsid w:val="008645EF"/>
    <w:rsid w:val="00866675"/>
    <w:rsid w:val="00875726"/>
    <w:rsid w:val="008B4AC1"/>
    <w:rsid w:val="008C19B3"/>
    <w:rsid w:val="008E0B48"/>
    <w:rsid w:val="009444EF"/>
    <w:rsid w:val="009865EB"/>
    <w:rsid w:val="009A788E"/>
    <w:rsid w:val="009B456E"/>
    <w:rsid w:val="009C6B0E"/>
    <w:rsid w:val="009C791F"/>
    <w:rsid w:val="009E18B3"/>
    <w:rsid w:val="009F487B"/>
    <w:rsid w:val="00A63EDA"/>
    <w:rsid w:val="00A83709"/>
    <w:rsid w:val="00A856CB"/>
    <w:rsid w:val="00A97156"/>
    <w:rsid w:val="00AA138E"/>
    <w:rsid w:val="00B013C5"/>
    <w:rsid w:val="00B14493"/>
    <w:rsid w:val="00B152E8"/>
    <w:rsid w:val="00B15722"/>
    <w:rsid w:val="00B52246"/>
    <w:rsid w:val="00B72993"/>
    <w:rsid w:val="00B746FB"/>
    <w:rsid w:val="00BC6701"/>
    <w:rsid w:val="00BD716C"/>
    <w:rsid w:val="00BF3DE8"/>
    <w:rsid w:val="00C35F64"/>
    <w:rsid w:val="00C416FA"/>
    <w:rsid w:val="00C43272"/>
    <w:rsid w:val="00CF0402"/>
    <w:rsid w:val="00CF5E37"/>
    <w:rsid w:val="00D02276"/>
    <w:rsid w:val="00D27894"/>
    <w:rsid w:val="00DB3857"/>
    <w:rsid w:val="00DB474C"/>
    <w:rsid w:val="00E51E6F"/>
    <w:rsid w:val="00E5275D"/>
    <w:rsid w:val="00E55518"/>
    <w:rsid w:val="00E65211"/>
    <w:rsid w:val="00E6746E"/>
    <w:rsid w:val="00E958EF"/>
    <w:rsid w:val="00ED48EE"/>
    <w:rsid w:val="00FB0E01"/>
    <w:rsid w:val="00FC67BF"/>
    <w:rsid w:val="00FF3081"/>
    <w:rsid w:val="25CB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824ED4"/>
  <w15:docId w15:val="{47C0D26F-B5BC-4E86-9F5B-41EEC2B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14:ligatures w14:val="standardContextual"/>
    </w:rPr>
  </w:style>
  <w:style w:type="paragraph" w:styleId="Heading1">
    <w:name w:val="heading 1"/>
    <w:basedOn w:val="Normal"/>
    <w:next w:val="Normal"/>
    <w:link w:val="Heading1Char"/>
    <w:uiPriority w:val="9"/>
    <w:qFormat/>
    <w:rsid w:val="001922A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8645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44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2Char">
    <w:name w:val="Heading 2 Char"/>
    <w:basedOn w:val="DefaultParagraphFont"/>
    <w:link w:val="Heading2"/>
    <w:uiPriority w:val="9"/>
    <w:semiHidden/>
    <w:rsid w:val="008645EF"/>
    <w:rPr>
      <w:rFonts w:asciiTheme="majorHAnsi" w:eastAsiaTheme="majorEastAsia" w:hAnsiTheme="majorHAnsi" w:cstheme="majorBidi"/>
      <w:b/>
      <w:bCs/>
      <w:kern w:val="2"/>
      <w:sz w:val="32"/>
      <w:szCs w:val="32"/>
      <w14:ligatures w14:val="standardContextual"/>
    </w:rPr>
  </w:style>
  <w:style w:type="character" w:customStyle="1" w:styleId="Heading1Char">
    <w:name w:val="Heading 1 Char"/>
    <w:basedOn w:val="DefaultParagraphFont"/>
    <w:link w:val="Heading1"/>
    <w:uiPriority w:val="9"/>
    <w:rsid w:val="001922A5"/>
    <w:rPr>
      <w:b/>
      <w:bCs/>
      <w:kern w:val="44"/>
      <w:sz w:val="44"/>
      <w:szCs w:val="44"/>
      <w14:ligatures w14:val="standardContextual"/>
    </w:rPr>
  </w:style>
  <w:style w:type="character" w:customStyle="1" w:styleId="Heading3Char">
    <w:name w:val="Heading 3 Char"/>
    <w:basedOn w:val="DefaultParagraphFont"/>
    <w:link w:val="Heading3"/>
    <w:uiPriority w:val="9"/>
    <w:semiHidden/>
    <w:rsid w:val="00B14493"/>
    <w:rPr>
      <w:b/>
      <w:bCs/>
      <w:kern w:val="2"/>
      <w:sz w:val="32"/>
      <w:szCs w:val="32"/>
      <w14:ligatures w14:val="standardContextual"/>
    </w:rPr>
  </w:style>
  <w:style w:type="paragraph" w:styleId="ListParagraph">
    <w:name w:val="List Paragraph"/>
    <w:basedOn w:val="Normal"/>
    <w:uiPriority w:val="99"/>
    <w:unhideWhenUsed/>
    <w:rsid w:val="0007080D"/>
    <w:pPr>
      <w:ind w:firstLineChars="200" w:firstLine="420"/>
    </w:pPr>
  </w:style>
  <w:style w:type="character" w:styleId="Hyperlink">
    <w:name w:val="Hyperlink"/>
    <w:basedOn w:val="DefaultParagraphFont"/>
    <w:uiPriority w:val="99"/>
    <w:unhideWhenUsed/>
    <w:rsid w:val="0011251C"/>
    <w:rPr>
      <w:color w:val="0563C1" w:themeColor="hyperlink"/>
      <w:u w:val="single"/>
    </w:rPr>
  </w:style>
  <w:style w:type="character" w:styleId="UnresolvedMention">
    <w:name w:val="Unresolved Mention"/>
    <w:basedOn w:val="DefaultParagraphFont"/>
    <w:uiPriority w:val="99"/>
    <w:semiHidden/>
    <w:unhideWhenUsed/>
    <w:rsid w:val="00112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56/NEJMra05260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82/blood.2025029785" TargetMode="External"/><Relationship Id="rId17" Type="http://schemas.openxmlformats.org/officeDocument/2006/relationships/hyperlink" Target="https://doi.org/10.3324/haematol.2015.13738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24/haematol.2024.28674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2/blood.V100.13.44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nzchog.org.au/asparaginase-guidelines/" TargetMode="External"/><Relationship Id="rId23" Type="http://schemas.openxmlformats.org/officeDocument/2006/relationships/footer" Target="footer3.xml"/><Relationship Id="rId10" Type="http://schemas.openxmlformats.org/officeDocument/2006/relationships/hyperlink" Target="https://doi.org/10.1200/JCO.2014.59.163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82/blood-2013-10-534347"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14</Pages>
  <Words>5826</Words>
  <Characters>33211</Characters>
  <Application>Microsoft Office Word</Application>
  <DocSecurity>0</DocSecurity>
  <Lines>276</Lines>
  <Paragraphs>77</Paragraphs>
  <ScaleCrop>false</ScaleCrop>
  <Company/>
  <LinksUpToDate>false</LinksUpToDate>
  <CharactersWithSpaces>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 han</dc:creator>
  <cp:lastModifiedBy>SDI 1084</cp:lastModifiedBy>
  <cp:revision>118</cp:revision>
  <dcterms:created xsi:type="dcterms:W3CDTF">2024-06-07T12:00:00Z</dcterms:created>
  <dcterms:modified xsi:type="dcterms:W3CDTF">2025-12-01T13:56:00Z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E04368577CD44EF285576A1688A284CA</vt:lpwstr>
  </property>
</Properties>
</file>