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9843" w14:textId="019D023A" w:rsidR="00754C9A" w:rsidRDefault="00717BEC" w:rsidP="00441B6F">
      <w:pPr>
        <w:pStyle w:val="Title"/>
        <w:spacing w:after="0"/>
        <w:jc w:val="both"/>
        <w:rPr>
          <w:rFonts w:ascii="Arial" w:hAnsi="Arial" w:cs="Arial"/>
          <w:i/>
          <w:iCs/>
          <w:sz w:val="18"/>
          <w:szCs w:val="8"/>
        </w:rPr>
      </w:pPr>
      <w:r w:rsidRPr="00717BEC">
        <w:rPr>
          <w:rFonts w:ascii="Arial" w:hAnsi="Arial" w:cs="Arial"/>
          <w:i/>
          <w:iCs/>
          <w:sz w:val="18"/>
          <w:szCs w:val="8"/>
        </w:rPr>
        <w:t xml:space="preserve">Short Research </w:t>
      </w:r>
      <w:r>
        <w:rPr>
          <w:rFonts w:ascii="Arial" w:hAnsi="Arial" w:cs="Arial"/>
          <w:i/>
          <w:iCs/>
          <w:sz w:val="18"/>
          <w:szCs w:val="8"/>
        </w:rPr>
        <w:t>Article</w:t>
      </w:r>
    </w:p>
    <w:p w14:paraId="045154DB" w14:textId="77777777" w:rsidR="00717BEC" w:rsidRPr="00717BEC" w:rsidRDefault="00717BEC" w:rsidP="00441B6F">
      <w:pPr>
        <w:pStyle w:val="Title"/>
        <w:spacing w:after="0"/>
        <w:jc w:val="both"/>
        <w:rPr>
          <w:rFonts w:ascii="Arial" w:hAnsi="Arial" w:cs="Arial"/>
          <w:i/>
          <w:iCs/>
          <w:sz w:val="18"/>
          <w:szCs w:val="8"/>
        </w:rPr>
      </w:pPr>
    </w:p>
    <w:p w14:paraId="396F203A" w14:textId="0C5E083B" w:rsidR="00163BC4" w:rsidRPr="00163BC4" w:rsidRDefault="005E2CFD" w:rsidP="000C1357">
      <w:pPr>
        <w:pStyle w:val="Author"/>
        <w:spacing w:line="240" w:lineRule="auto"/>
        <w:rPr>
          <w:rFonts w:ascii="Arial" w:hAnsi="Arial" w:cs="Arial"/>
          <w:bCs/>
          <w:iCs/>
          <w:kern w:val="28"/>
          <w:sz w:val="36"/>
        </w:rPr>
      </w:pPr>
      <w:r w:rsidRPr="005E2CFD">
        <w:rPr>
          <w:rFonts w:ascii="Arial" w:hAnsi="Arial" w:cs="Arial"/>
          <w:bCs/>
          <w:iCs/>
          <w:kern w:val="28"/>
          <w:sz w:val="36"/>
        </w:rPr>
        <w:t>ANALYSING RATIONALITY OF PRESCRIPTION WITH ANTIMICROBIALS IN PAEDIATRIC DEPARTMENT DIAGNOSED WITH RESPIRATORY TRACT INFECTION</w:t>
      </w:r>
    </w:p>
    <w:p w14:paraId="714E6E9B" w14:textId="7BD0465C" w:rsidR="00B01FCD" w:rsidRPr="00FB3A86" w:rsidRDefault="00B01FCD" w:rsidP="00441B6F">
      <w:pPr>
        <w:pStyle w:val="Copyright"/>
        <w:spacing w:after="0" w:line="240" w:lineRule="auto"/>
        <w:jc w:val="both"/>
        <w:rPr>
          <w:rFonts w:ascii="Arial" w:hAnsi="Arial" w:cs="Arial"/>
        </w:rPr>
        <w:sectPr w:rsidR="00B01FCD" w:rsidRPr="00FB3A86" w:rsidSect="002D39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8F61682" w14:textId="1A1250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3CA70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03A76" w14:textId="77777777" w:rsidTr="001E44FE">
        <w:tc>
          <w:tcPr>
            <w:tcW w:w="9576" w:type="dxa"/>
            <w:shd w:val="clear" w:color="auto" w:fill="F2F2F2"/>
          </w:tcPr>
          <w:p w14:paraId="5973D40B" w14:textId="3D168F3B"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Cs/>
                <w:szCs w:val="22"/>
                <w:lang w:val="en-IN"/>
              </w:rPr>
              <w:t>Respiratory tract infections (RTIs) remain one of the leading causes of paediatric morbidity in South India and are frequently associated with inappropriate antibiotic use.</w:t>
            </w:r>
          </w:p>
          <w:p w14:paraId="4B9A9478" w14:textId="5274C74F"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Objective:</w:t>
            </w:r>
            <w:r w:rsidRPr="008E41A5">
              <w:rPr>
                <w:rFonts w:ascii="Arial" w:eastAsia="Calibri" w:hAnsi="Arial" w:cs="Arial"/>
                <w:bCs/>
                <w:szCs w:val="22"/>
                <w:lang w:val="en-IN"/>
              </w:rPr>
              <w:t xml:space="preserve"> To evaluate the rationality of antibiotic prescriptions among paediatric inpatients diagnosed with RTIs using the Modified Kunin’s Criteria in a tertiary care hospital in South India.</w:t>
            </w:r>
          </w:p>
          <w:p w14:paraId="043E9DB5" w14:textId="55A8B09A"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M</w:t>
            </w:r>
            <w:r>
              <w:rPr>
                <w:rFonts w:ascii="Arial" w:eastAsia="Calibri" w:hAnsi="Arial" w:cs="Arial"/>
                <w:b/>
                <w:szCs w:val="22"/>
                <w:lang w:val="en-IN"/>
              </w:rPr>
              <w:t>ethodology</w:t>
            </w:r>
            <w:r w:rsidRPr="008E41A5">
              <w:rPr>
                <w:rFonts w:ascii="Arial" w:eastAsia="Calibri" w:hAnsi="Arial" w:cs="Arial"/>
                <w:b/>
                <w:szCs w:val="22"/>
                <w:lang w:val="en-IN"/>
              </w:rPr>
              <w:t>:</w:t>
            </w:r>
            <w:r w:rsidRPr="008E41A5">
              <w:rPr>
                <w:rFonts w:ascii="Arial" w:eastAsia="Calibri" w:hAnsi="Arial" w:cs="Arial"/>
                <w:bCs/>
                <w:szCs w:val="22"/>
                <w:lang w:val="en-IN"/>
              </w:rPr>
              <w:t xml:space="preserve"> This was a prospective cross-sectional study conducted over six months, including 150 paediatric inpatients aged 0–12 years diagnosed with RTIs. Prescription patterns were assessed using the Modified Kunin’s Criteria. Data regarding demographic characteristics, clinical diagnosis, and antimicrobial use were analysed.</w:t>
            </w:r>
          </w:p>
          <w:p w14:paraId="7134E19F" w14:textId="763A8FE5"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Results:</w:t>
            </w:r>
            <w:r w:rsidR="00F236BF">
              <w:rPr>
                <w:rFonts w:ascii="Arial" w:eastAsia="Calibri" w:hAnsi="Arial" w:cs="Arial"/>
                <w:b/>
                <w:szCs w:val="22"/>
                <w:lang w:val="en-IN"/>
              </w:rPr>
              <w:t xml:space="preserve"> </w:t>
            </w:r>
            <w:r w:rsidRPr="008E41A5">
              <w:rPr>
                <w:rFonts w:ascii="Arial" w:eastAsia="Calibri" w:hAnsi="Arial" w:cs="Arial"/>
                <w:bCs/>
                <w:szCs w:val="22"/>
                <w:lang w:val="en-IN"/>
              </w:rPr>
              <w:t>Children aged 9–12 years constituted the majority of the study population, with a male predominance. Pneumonia was the most frequently d</w:t>
            </w:r>
            <w:bookmarkStart w:id="0" w:name="_GoBack"/>
            <w:bookmarkEnd w:id="0"/>
            <w:r w:rsidRPr="008E41A5">
              <w:rPr>
                <w:rFonts w:ascii="Arial" w:eastAsia="Calibri" w:hAnsi="Arial" w:cs="Arial"/>
                <w:bCs/>
                <w:szCs w:val="22"/>
                <w:lang w:val="en-IN"/>
              </w:rPr>
              <w:t>iagnosed RTI, followed by tonsillitis and bronchiolitis. Antibiotics were prescribed to 76.67% of patients, with Ceftriaxone–Sulbactam and Amoxicillin–Clavulanate being the most commonly used agents. Antiviral drugs accounted for 23.33% of prescriptions. Based on Modified Kunin’s Criteria, 75.4% of prescriptions were appropriate, while 24.7% were inappropriate. The major causes of inappropriate use included empirical therapy without culture confirmation and selection of suboptimal antibiotics.</w:t>
            </w:r>
          </w:p>
          <w:p w14:paraId="799A1763" w14:textId="2875C455" w:rsidR="00505F06" w:rsidRPr="008E41A5" w:rsidRDefault="008E41A5" w:rsidP="00441B6F">
            <w:pPr>
              <w:pStyle w:val="Body"/>
              <w:spacing w:after="0"/>
              <w:rPr>
                <w:rFonts w:ascii="Arial" w:eastAsia="Calibri" w:hAnsi="Arial" w:cs="Arial"/>
                <w:bCs/>
                <w:szCs w:val="22"/>
                <w:lang w:val="en-IN"/>
              </w:rPr>
            </w:pPr>
            <w:r w:rsidRPr="008E41A5">
              <w:rPr>
                <w:rFonts w:ascii="Arial" w:eastAsia="Calibri" w:hAnsi="Arial" w:cs="Arial"/>
                <w:b/>
                <w:szCs w:val="22"/>
                <w:lang w:val="en-IN"/>
              </w:rPr>
              <w:t>Conclusion:</w:t>
            </w:r>
            <w:r w:rsidRPr="008E41A5">
              <w:rPr>
                <w:rFonts w:ascii="Arial" w:eastAsia="Calibri" w:hAnsi="Arial" w:cs="Arial"/>
                <w:bCs/>
                <w:szCs w:val="22"/>
                <w:lang w:val="en-IN"/>
              </w:rPr>
              <w:t xml:space="preserve"> Although most prescriptions adhered to rational antimicrobial use, nearly one-fourth were inappropriate. These findings highlight the need for continuous prescription audits, strict adherence to antimicrobial stewardship principles, and increased utilization of culture-sensitivity testing to improve antibiotic prescribing practices in paediatric RTIs</w:t>
            </w:r>
            <w:r>
              <w:rPr>
                <w:rFonts w:ascii="Arial" w:eastAsia="Calibri" w:hAnsi="Arial" w:cs="Arial"/>
                <w:bCs/>
                <w:szCs w:val="22"/>
                <w:lang w:val="en-IN"/>
              </w:rPr>
              <w:t>.</w:t>
            </w:r>
          </w:p>
        </w:tc>
      </w:tr>
    </w:tbl>
    <w:p w14:paraId="7D4F8054" w14:textId="77777777" w:rsidR="00636EB2" w:rsidRDefault="00636EB2" w:rsidP="00441B6F">
      <w:pPr>
        <w:pStyle w:val="Body"/>
        <w:spacing w:after="0"/>
        <w:rPr>
          <w:rFonts w:ascii="Arial" w:hAnsi="Arial" w:cs="Arial"/>
          <w:i/>
        </w:rPr>
      </w:pPr>
    </w:p>
    <w:p w14:paraId="59F425F3" w14:textId="19C20FF9" w:rsidR="00B52896" w:rsidRPr="00A35773" w:rsidRDefault="00A24E7E" w:rsidP="00A35773">
      <w:pPr>
        <w:pStyle w:val="Body"/>
        <w:spacing w:after="0"/>
        <w:rPr>
          <w:rFonts w:ascii="Arial" w:hAnsi="Arial" w:cs="Arial"/>
          <w:i/>
        </w:rPr>
      </w:pPr>
      <w:r>
        <w:rPr>
          <w:rFonts w:ascii="Arial" w:hAnsi="Arial" w:cs="Arial"/>
          <w:i/>
        </w:rPr>
        <w:t xml:space="preserve">Keywords: </w:t>
      </w:r>
      <w:r w:rsidR="00F236BF" w:rsidRPr="00F236BF">
        <w:rPr>
          <w:rFonts w:ascii="Arial" w:hAnsi="Arial" w:cs="Arial"/>
          <w:i/>
        </w:rPr>
        <w:t>{Pediatric respiratory infections; Antimicrobial rationality; Antibiotic resistance; Kunin’s criteria; Prescription audit; Antimicrobial stewardship</w:t>
      </w:r>
      <w:r w:rsidRPr="00F236BF">
        <w:rPr>
          <w:rFonts w:ascii="Arial" w:hAnsi="Arial" w:cs="Arial"/>
          <w:i/>
        </w:rPr>
        <w:t>}</w:t>
      </w:r>
      <w:r w:rsidR="0066510A">
        <w:rPr>
          <w:rFonts w:ascii="Arial" w:hAnsi="Arial" w:cs="Arial"/>
          <w:i/>
        </w:rPr>
        <w:t xml:space="preserve"> </w:t>
      </w:r>
    </w:p>
    <w:p w14:paraId="0660BC3D" w14:textId="77777777" w:rsidR="0024282C" w:rsidRDefault="0024282C" w:rsidP="00441B6F">
      <w:pPr>
        <w:pStyle w:val="Body"/>
        <w:spacing w:after="0"/>
        <w:rPr>
          <w:rFonts w:ascii="Arial" w:hAnsi="Arial" w:cs="Arial"/>
          <w:i/>
          <w:sz w:val="18"/>
        </w:rPr>
      </w:pPr>
    </w:p>
    <w:p w14:paraId="48222549" w14:textId="77777777" w:rsidR="00505F06" w:rsidRPr="00A24E7E" w:rsidRDefault="00505F06" w:rsidP="00441B6F">
      <w:pPr>
        <w:pStyle w:val="Body"/>
        <w:spacing w:after="0"/>
        <w:rPr>
          <w:rFonts w:ascii="Arial" w:hAnsi="Arial" w:cs="Arial"/>
          <w:i/>
        </w:rPr>
      </w:pPr>
    </w:p>
    <w:p w14:paraId="60FD330A" w14:textId="3C8F7B9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9BF872" w14:textId="77777777" w:rsidR="00790ADA" w:rsidRPr="00FB3A86" w:rsidRDefault="00790ADA" w:rsidP="00441B6F">
      <w:pPr>
        <w:pStyle w:val="AbstHead"/>
        <w:spacing w:after="0"/>
        <w:jc w:val="both"/>
        <w:rPr>
          <w:rFonts w:ascii="Arial" w:hAnsi="Arial" w:cs="Arial"/>
        </w:rPr>
      </w:pPr>
    </w:p>
    <w:p w14:paraId="3EB57972" w14:textId="77777777" w:rsidR="00416AB4" w:rsidRPr="00416AB4" w:rsidRDefault="00416AB4" w:rsidP="007F5278">
      <w:pPr>
        <w:rPr>
          <w:rFonts w:ascii="Arial" w:hAnsi="Arial" w:cs="Arial"/>
        </w:rPr>
      </w:pPr>
      <w:r w:rsidRPr="00416AB4">
        <w:rPr>
          <w:rFonts w:ascii="Arial" w:hAnsi="Arial" w:cs="Arial"/>
        </w:rPr>
        <w:t xml:space="preserve">Respiratory tract infections (RTIs) are among the most common infectious diseases encountered in </w:t>
      </w:r>
      <w:proofErr w:type="spellStart"/>
      <w:r w:rsidRPr="00416AB4">
        <w:rPr>
          <w:rFonts w:ascii="Arial" w:hAnsi="Arial" w:cs="Arial"/>
        </w:rPr>
        <w:t>paediatric</w:t>
      </w:r>
      <w:proofErr w:type="spellEnd"/>
      <w:r w:rsidRPr="00416AB4">
        <w:rPr>
          <w:rFonts w:ascii="Arial" w:hAnsi="Arial" w:cs="Arial"/>
        </w:rPr>
        <w:t xml:space="preserve"> clinical practice, ranging from mild upper respiratory illnesses to severe lower respiratory conditions requiring hospitalization, in developed as well as developing countries</w:t>
      </w:r>
      <w:r w:rsidRPr="00416AB4">
        <w:rPr>
          <w:rFonts w:ascii="Arial" w:hAnsi="Arial" w:cs="Arial"/>
          <w:b/>
          <w:bCs/>
        </w:rPr>
        <w:t>.</w:t>
      </w:r>
      <w:r w:rsidRPr="00416AB4">
        <w:rPr>
          <w:rFonts w:ascii="Arial" w:hAnsi="Arial" w:cs="Arial"/>
        </w:rPr>
        <w:t xml:space="preserve"> In contrast to just 3% in developed nations, they account for 20% of under-five deaths in India. About 1.7 million children under the age of five died worldwide in 2010, with India accounting for 23% of those deaths </w:t>
      </w:r>
      <w:r w:rsidRPr="00416AB4">
        <w:rPr>
          <w:rFonts w:ascii="Arial" w:hAnsi="Arial" w:cs="Arial"/>
          <w:vertAlign w:val="superscript"/>
        </w:rPr>
        <w:t>1</w:t>
      </w:r>
      <w:r w:rsidRPr="00416AB4">
        <w:rPr>
          <w:rFonts w:ascii="Arial" w:hAnsi="Arial" w:cs="Arial"/>
        </w:rPr>
        <w:t>.</w:t>
      </w:r>
    </w:p>
    <w:p w14:paraId="5300EB12" w14:textId="77777777" w:rsidR="00416AB4" w:rsidRPr="00416AB4" w:rsidRDefault="00416AB4" w:rsidP="007F5278">
      <w:pPr>
        <w:rPr>
          <w:rFonts w:ascii="Arial" w:hAnsi="Arial" w:cs="Arial"/>
        </w:rPr>
      </w:pPr>
      <w:r w:rsidRPr="00416AB4">
        <w:rPr>
          <w:rFonts w:ascii="Arial" w:hAnsi="Arial" w:cs="Arial"/>
        </w:rPr>
        <w:t xml:space="preserve">Respiratory tract infections affecting </w:t>
      </w:r>
      <w:proofErr w:type="spellStart"/>
      <w:r w:rsidRPr="00416AB4">
        <w:rPr>
          <w:rFonts w:ascii="Arial" w:hAnsi="Arial" w:cs="Arial"/>
        </w:rPr>
        <w:t>paediatric</w:t>
      </w:r>
      <w:proofErr w:type="spellEnd"/>
      <w:r w:rsidRPr="00416AB4">
        <w:rPr>
          <w:rFonts w:ascii="Arial" w:hAnsi="Arial" w:cs="Arial"/>
        </w:rPr>
        <w:t xml:space="preserve"> population include wide range of pathological conditions like bronchiolitis, pneumonia, bronchitis, laryngotracheobronchitis (Croup), acute sinusitis, otitis media, rhinitis etc. They may originate from bacteria </w:t>
      </w:r>
      <w:r w:rsidRPr="00416AB4">
        <w:rPr>
          <w:rFonts w:ascii="Arial" w:hAnsi="Arial" w:cs="Arial"/>
          <w:i/>
          <w:iCs/>
        </w:rPr>
        <w:t>(H. influenzae, Streptococci, pneumococci</w:t>
      </w:r>
      <w:r w:rsidRPr="00416AB4">
        <w:rPr>
          <w:rFonts w:ascii="Arial" w:hAnsi="Arial" w:cs="Arial"/>
        </w:rPr>
        <w:t>, etc.) or viruses (</w:t>
      </w:r>
      <w:r w:rsidRPr="00416AB4">
        <w:rPr>
          <w:rFonts w:ascii="Arial" w:hAnsi="Arial" w:cs="Arial"/>
          <w:i/>
          <w:iCs/>
        </w:rPr>
        <w:t>adenovirus, rotavirus, rhinovirus</w:t>
      </w:r>
      <w:r w:rsidRPr="00416AB4">
        <w:rPr>
          <w:rFonts w:ascii="Arial" w:hAnsi="Arial" w:cs="Arial"/>
        </w:rPr>
        <w:t xml:space="preserve">, etc.) </w:t>
      </w:r>
      <w:r w:rsidRPr="00416AB4">
        <w:rPr>
          <w:rFonts w:ascii="Arial" w:hAnsi="Arial" w:cs="Arial"/>
          <w:vertAlign w:val="superscript"/>
        </w:rPr>
        <w:t>2</w:t>
      </w:r>
      <w:r w:rsidRPr="00416AB4">
        <w:rPr>
          <w:rFonts w:ascii="Arial" w:hAnsi="Arial" w:cs="Arial"/>
        </w:rPr>
        <w:t xml:space="preserve">. Among all infectious diseases, lower respiratory tract infections (LRTIs) are the greatest cause of death worldwide. They are common and linked to notable rates of morbidity and mortality in children </w:t>
      </w:r>
      <w:r w:rsidRPr="00416AB4">
        <w:rPr>
          <w:rFonts w:ascii="Arial" w:hAnsi="Arial" w:cs="Arial"/>
          <w:vertAlign w:val="superscript"/>
        </w:rPr>
        <w:t>3</w:t>
      </w:r>
      <w:r w:rsidRPr="00416AB4">
        <w:rPr>
          <w:rFonts w:ascii="Arial" w:hAnsi="Arial" w:cs="Arial"/>
        </w:rPr>
        <w:t>.</w:t>
      </w:r>
      <w:r w:rsidRPr="00416AB4">
        <w:rPr>
          <w:rFonts w:ascii="Arial" w:hAnsi="Arial" w:cs="Arial"/>
          <w:vertAlign w:val="superscript"/>
        </w:rPr>
        <w:t xml:space="preserve"> </w:t>
      </w:r>
      <w:r w:rsidRPr="00416AB4">
        <w:rPr>
          <w:rFonts w:ascii="Arial" w:hAnsi="Arial" w:cs="Arial"/>
        </w:rPr>
        <w:t xml:space="preserve">Pneumonia and bronchitis are the most frequent LRTIs. Pneumonia is the primary </w:t>
      </w:r>
      <w:r w:rsidRPr="00416AB4">
        <w:rPr>
          <w:rFonts w:ascii="Arial" w:hAnsi="Arial" w:cs="Arial"/>
        </w:rPr>
        <w:lastRenderedPageBreak/>
        <w:t xml:space="preserve">infectious cause of </w:t>
      </w:r>
      <w:proofErr w:type="spellStart"/>
      <w:r w:rsidRPr="00416AB4">
        <w:rPr>
          <w:rFonts w:ascii="Arial" w:hAnsi="Arial" w:cs="Arial"/>
        </w:rPr>
        <w:t>paediatric</w:t>
      </w:r>
      <w:proofErr w:type="spellEnd"/>
      <w:r w:rsidRPr="00416AB4">
        <w:rPr>
          <w:rFonts w:ascii="Arial" w:hAnsi="Arial" w:cs="Arial"/>
        </w:rPr>
        <w:t xml:space="preserve"> mortality globally, making up 15% of all </w:t>
      </w:r>
      <w:proofErr w:type="spellStart"/>
      <w:r w:rsidRPr="00416AB4">
        <w:rPr>
          <w:rFonts w:ascii="Arial" w:hAnsi="Arial" w:cs="Arial"/>
        </w:rPr>
        <w:t>paediatric</w:t>
      </w:r>
      <w:proofErr w:type="spellEnd"/>
      <w:r w:rsidRPr="00416AB4">
        <w:rPr>
          <w:rFonts w:ascii="Arial" w:hAnsi="Arial" w:cs="Arial"/>
        </w:rPr>
        <w:t xml:space="preserve"> fatalities under the age of five</w:t>
      </w:r>
      <w:r w:rsidRPr="00416AB4">
        <w:rPr>
          <w:rFonts w:ascii="Arial" w:hAnsi="Arial" w:cs="Arial"/>
          <w:vertAlign w:val="superscript"/>
        </w:rPr>
        <w:t xml:space="preserve"> 4</w:t>
      </w:r>
      <w:r w:rsidRPr="00416AB4">
        <w:rPr>
          <w:rFonts w:ascii="Arial" w:hAnsi="Arial" w:cs="Arial"/>
        </w:rPr>
        <w:t>.</w:t>
      </w:r>
    </w:p>
    <w:p w14:paraId="6546F784" w14:textId="77777777" w:rsidR="00416AB4" w:rsidRPr="00416AB4" w:rsidRDefault="00416AB4" w:rsidP="007F5278">
      <w:pPr>
        <w:rPr>
          <w:rFonts w:ascii="Arial" w:hAnsi="Arial" w:cs="Arial"/>
        </w:rPr>
      </w:pPr>
      <w:r w:rsidRPr="00416AB4">
        <w:rPr>
          <w:rFonts w:ascii="Arial" w:hAnsi="Arial" w:cs="Arial"/>
        </w:rPr>
        <w:t xml:space="preserve">Majority of these infections has underlying viral etiology, which hardly needs an antibiotic prescription. Despite this, antibiotics are prescribed irrationally for even nonspecific symptoms such as sore throat, common cold, and rhinitis for which therapeutic benefit is meagre. But these unfounded antibiotic prescriptions can lead to emergence of resistance patterns which threatens effective therapy </w:t>
      </w:r>
      <w:r w:rsidRPr="00416AB4">
        <w:rPr>
          <w:rFonts w:ascii="Arial" w:hAnsi="Arial" w:cs="Arial"/>
          <w:vertAlign w:val="superscript"/>
        </w:rPr>
        <w:t>6,7</w:t>
      </w:r>
      <w:r w:rsidRPr="00416AB4">
        <w:rPr>
          <w:rFonts w:ascii="Arial" w:hAnsi="Arial" w:cs="Arial"/>
        </w:rPr>
        <w:t>.</w:t>
      </w:r>
    </w:p>
    <w:p w14:paraId="6E9264F5" w14:textId="77777777" w:rsidR="00416AB4" w:rsidRDefault="00416AB4" w:rsidP="007F5278">
      <w:pPr>
        <w:rPr>
          <w:rFonts w:ascii="Arial" w:hAnsi="Arial" w:cs="Arial"/>
        </w:rPr>
      </w:pPr>
      <w:r w:rsidRPr="00416AB4">
        <w:rPr>
          <w:rFonts w:ascii="Arial" w:hAnsi="Arial" w:cs="Arial"/>
        </w:rPr>
        <w:t xml:space="preserve">Given this context, the objective of the study was to evaluate the rationality of treatment for respiratory tract infections in children and to examine the prescription patterns of medications using the Modified Kunin's rationality criteria </w:t>
      </w:r>
      <w:r w:rsidRPr="00416AB4">
        <w:rPr>
          <w:rFonts w:ascii="Arial" w:hAnsi="Arial" w:cs="Arial"/>
          <w:vertAlign w:val="superscript"/>
        </w:rPr>
        <w:t>5,8</w:t>
      </w:r>
      <w:r w:rsidRPr="00416AB4">
        <w:rPr>
          <w:rFonts w:ascii="Arial" w:hAnsi="Arial" w:cs="Arial"/>
        </w:rPr>
        <w:t>.</w:t>
      </w:r>
    </w:p>
    <w:p w14:paraId="13B1C532" w14:textId="77777777" w:rsidR="007F5278" w:rsidRPr="00416AB4" w:rsidRDefault="007F5278" w:rsidP="007F5278">
      <w:pPr>
        <w:rPr>
          <w:rFonts w:ascii="Arial" w:hAnsi="Arial" w:cs="Arial"/>
        </w:rPr>
      </w:pPr>
    </w:p>
    <w:p w14:paraId="342DE37E" w14:textId="1389FBA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F7D243A" w14:textId="77777777" w:rsidR="00790ADA" w:rsidRPr="00FB3A86" w:rsidRDefault="00790ADA" w:rsidP="00441B6F">
      <w:pPr>
        <w:pStyle w:val="AbstHead"/>
        <w:spacing w:after="0"/>
        <w:jc w:val="both"/>
        <w:rPr>
          <w:rFonts w:ascii="Arial" w:hAnsi="Arial" w:cs="Arial"/>
        </w:rPr>
      </w:pPr>
    </w:p>
    <w:p w14:paraId="09225C19" w14:textId="77777777" w:rsidR="007F5278" w:rsidRDefault="007F5278" w:rsidP="007F5278">
      <w:pPr>
        <w:rPr>
          <w:rFonts w:ascii="Arial" w:hAnsi="Arial" w:cs="Arial"/>
          <w:b/>
          <w:bCs/>
          <w:sz w:val="22"/>
          <w:szCs w:val="22"/>
          <w:lang w:val="en-IN"/>
        </w:rPr>
      </w:pPr>
      <w:r w:rsidRPr="007F5278">
        <w:rPr>
          <w:rFonts w:ascii="Arial" w:hAnsi="Arial" w:cs="Arial"/>
          <w:b/>
          <w:bCs/>
          <w:sz w:val="22"/>
          <w:szCs w:val="22"/>
          <w:lang w:val="en-IN"/>
        </w:rPr>
        <w:t>2.1. Study design and ethical considerations</w:t>
      </w:r>
    </w:p>
    <w:p w14:paraId="0E29887D" w14:textId="77777777" w:rsidR="008B5488" w:rsidRPr="007F5278" w:rsidRDefault="008B5488" w:rsidP="007F5278">
      <w:pPr>
        <w:rPr>
          <w:rFonts w:ascii="Arial" w:hAnsi="Arial" w:cs="Arial"/>
          <w:b/>
          <w:bCs/>
          <w:sz w:val="22"/>
          <w:szCs w:val="22"/>
          <w:lang w:val="en-IN"/>
        </w:rPr>
      </w:pPr>
    </w:p>
    <w:p w14:paraId="0633DF89" w14:textId="77777777" w:rsidR="007F5278" w:rsidRPr="008B5488" w:rsidRDefault="007F5278" w:rsidP="007F5278">
      <w:pPr>
        <w:rPr>
          <w:rFonts w:ascii="Arial" w:hAnsi="Arial" w:cs="Arial"/>
          <w:b/>
          <w:bCs/>
          <w:u w:val="single"/>
          <w:lang w:val="en-IN"/>
        </w:rPr>
      </w:pPr>
      <w:r w:rsidRPr="008B5488">
        <w:rPr>
          <w:rFonts w:ascii="Arial" w:hAnsi="Arial" w:cs="Arial"/>
          <w:b/>
          <w:bCs/>
          <w:u w:val="single"/>
          <w:lang w:val="en-IN"/>
        </w:rPr>
        <w:t>2.1.1. Study design</w:t>
      </w:r>
    </w:p>
    <w:p w14:paraId="0F1343F1" w14:textId="77777777" w:rsidR="007F5278" w:rsidRDefault="007F5278" w:rsidP="007F5278">
      <w:pPr>
        <w:rPr>
          <w:rFonts w:ascii="Arial" w:hAnsi="Arial" w:cs="Arial"/>
          <w:lang w:val="en-IN"/>
        </w:rPr>
      </w:pPr>
      <w:r w:rsidRPr="007F5278">
        <w:rPr>
          <w:rFonts w:ascii="Arial" w:hAnsi="Arial" w:cs="Arial"/>
          <w:lang w:val="en-IN"/>
        </w:rPr>
        <w:t>This prospective, cross-sectional, descriptive study was conducted over a period of six months, from January to June 2024, in the Paediatrics Department of a tertiary care research centre in South India.</w:t>
      </w:r>
    </w:p>
    <w:p w14:paraId="083421E0" w14:textId="77777777" w:rsidR="008B5488" w:rsidRPr="007F5278" w:rsidRDefault="008B5488" w:rsidP="007F5278">
      <w:pPr>
        <w:rPr>
          <w:rFonts w:ascii="Arial" w:hAnsi="Arial" w:cs="Arial"/>
          <w:lang w:val="en-IN"/>
        </w:rPr>
      </w:pPr>
    </w:p>
    <w:p w14:paraId="71223EBA" w14:textId="77777777" w:rsidR="007F5278" w:rsidRPr="008B5488" w:rsidRDefault="007F5278" w:rsidP="007F5278">
      <w:pPr>
        <w:rPr>
          <w:rFonts w:ascii="Arial" w:hAnsi="Arial" w:cs="Arial"/>
          <w:b/>
          <w:bCs/>
          <w:u w:val="single"/>
          <w:lang w:val="en-IN"/>
        </w:rPr>
      </w:pPr>
      <w:r w:rsidRPr="008B5488">
        <w:rPr>
          <w:rFonts w:ascii="Arial" w:hAnsi="Arial" w:cs="Arial"/>
          <w:b/>
          <w:bCs/>
          <w:u w:val="single"/>
          <w:lang w:val="en-IN"/>
        </w:rPr>
        <w:t>2.1.2. Ethical approval and consent</w:t>
      </w:r>
    </w:p>
    <w:p w14:paraId="49CD5F07" w14:textId="77777777" w:rsidR="007F5278" w:rsidRDefault="007F5278" w:rsidP="007F5278">
      <w:pPr>
        <w:rPr>
          <w:rFonts w:ascii="Arial" w:hAnsi="Arial" w:cs="Arial"/>
          <w:lang w:val="en-IN"/>
        </w:rPr>
      </w:pPr>
      <w:r w:rsidRPr="007F5278">
        <w:rPr>
          <w:rFonts w:ascii="Arial" w:hAnsi="Arial" w:cs="Arial"/>
          <w:lang w:val="en-IN"/>
        </w:rPr>
        <w:t>Ethical clearance was obtained from the Institutional Ethics Committee prior to study initiation (IERB No: 83-2024). Written informed consent was obtained from parents or legal guardians of all enrolled children, and assent was also obtained from children aged seven years and above, in accordance with institutional ethical guidelines.</w:t>
      </w:r>
    </w:p>
    <w:p w14:paraId="2E86D372" w14:textId="77777777" w:rsidR="008B5488" w:rsidRPr="007F5278" w:rsidRDefault="008B5488" w:rsidP="007F5278">
      <w:pPr>
        <w:rPr>
          <w:rFonts w:ascii="Arial" w:hAnsi="Arial" w:cs="Arial"/>
          <w:lang w:val="en-IN"/>
        </w:rPr>
      </w:pPr>
    </w:p>
    <w:p w14:paraId="66C37A50"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2.2. Study population and sample size</w:t>
      </w:r>
    </w:p>
    <w:p w14:paraId="63FC089F" w14:textId="77777777" w:rsidR="008B5488" w:rsidRPr="008B5488" w:rsidRDefault="008B5488" w:rsidP="007F5278">
      <w:pPr>
        <w:rPr>
          <w:rFonts w:ascii="Arial" w:hAnsi="Arial" w:cs="Arial"/>
          <w:b/>
          <w:bCs/>
          <w:lang w:val="en-IN"/>
        </w:rPr>
      </w:pPr>
    </w:p>
    <w:p w14:paraId="7438490B" w14:textId="77777777" w:rsidR="007F5278" w:rsidRDefault="007F5278" w:rsidP="007F5278">
      <w:pPr>
        <w:rPr>
          <w:rFonts w:ascii="Arial" w:hAnsi="Arial" w:cs="Arial"/>
          <w:lang w:val="en-IN"/>
        </w:rPr>
      </w:pPr>
      <w:r w:rsidRPr="007F5278">
        <w:rPr>
          <w:rFonts w:ascii="Arial" w:hAnsi="Arial" w:cs="Arial"/>
          <w:lang w:val="en-IN"/>
        </w:rPr>
        <w:t xml:space="preserve">Considering an acute respiratory infection (ARI) prevalence in India of 0.3%–5.6%, the minimum required sample size was calculated as 103 </w:t>
      </w:r>
      <w:r w:rsidRPr="007F5278">
        <w:rPr>
          <w:rFonts w:ascii="Arial" w:hAnsi="Arial" w:cs="Arial"/>
          <w:vertAlign w:val="superscript"/>
          <w:lang w:val="en-IN"/>
        </w:rPr>
        <w:t>9</w:t>
      </w:r>
      <w:r w:rsidRPr="007F5278">
        <w:rPr>
          <w:rFonts w:ascii="Arial" w:hAnsi="Arial" w:cs="Arial"/>
          <w:lang w:val="en-IN"/>
        </w:rPr>
        <w:t>; however, a total of 150 paediatric inpatients aged 0–12 years, of either gender, who were clinically diagnosed with respiratory tract infections (RTIs) and prescribed antimicrobial therapy during hospitalisation, were enrolled.</w:t>
      </w:r>
      <w:r w:rsidRPr="007F5278">
        <w:rPr>
          <w:rFonts w:ascii="Arial" w:hAnsi="Arial" w:cs="Arial"/>
          <w:lang w:val="en-IN"/>
        </w:rPr>
        <w:br/>
        <w:t>Patients with incomplete or unreliable prescription records, those with significant comorbid conditions, children managed exclusively on an outpatient basis, and those whose caregivers declined participation were excluded.</w:t>
      </w:r>
      <w:r w:rsidRPr="007F5278">
        <w:rPr>
          <w:rFonts w:ascii="Arial" w:hAnsi="Arial" w:cs="Arial"/>
          <w:lang w:val="en-IN"/>
        </w:rPr>
        <w:br/>
        <w:t>The final sample size of 150 was based on feasibility and the average monthly admission rate of paediatric RTIs in the preceding year, ensuring an adequate number of participants for meaningful analysis.</w:t>
      </w:r>
    </w:p>
    <w:p w14:paraId="707F4BDF" w14:textId="77777777" w:rsidR="008B5488" w:rsidRPr="007F5278" w:rsidRDefault="008B5488" w:rsidP="007F5278">
      <w:pPr>
        <w:rPr>
          <w:rFonts w:ascii="Arial" w:hAnsi="Arial" w:cs="Arial"/>
          <w:lang w:val="en-IN"/>
        </w:rPr>
      </w:pPr>
    </w:p>
    <w:p w14:paraId="2E57201C"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2.3. Data collection and study variables</w:t>
      </w:r>
    </w:p>
    <w:p w14:paraId="007B8B09" w14:textId="77777777" w:rsidR="008B5488" w:rsidRPr="008B5488" w:rsidRDefault="008B5488" w:rsidP="007F5278">
      <w:pPr>
        <w:rPr>
          <w:rFonts w:ascii="Arial" w:hAnsi="Arial" w:cs="Arial"/>
          <w:b/>
          <w:bCs/>
          <w:lang w:val="en-IN"/>
        </w:rPr>
      </w:pPr>
    </w:p>
    <w:p w14:paraId="5F77A86A" w14:textId="77777777" w:rsidR="007F5278" w:rsidRPr="007F5278" w:rsidRDefault="007F5278" w:rsidP="007F5278">
      <w:pPr>
        <w:rPr>
          <w:rFonts w:ascii="Arial" w:hAnsi="Arial" w:cs="Arial"/>
          <w:lang w:val="en-IN"/>
        </w:rPr>
      </w:pPr>
      <w:r w:rsidRPr="007F5278">
        <w:rPr>
          <w:rFonts w:ascii="Arial" w:hAnsi="Arial" w:cs="Arial"/>
          <w:lang w:val="en-IN"/>
        </w:rPr>
        <w:t>Data collection was carried out using a structured proforma designed to capture demographic details, history of illness, clinical diagnosis, antimicrobial prescriptions, and the use of ancillary or adjuvant medications. Information was obtained from patient case records, treatment charts, and caregiver interviews to ensure accuracy and completeness.</w:t>
      </w:r>
    </w:p>
    <w:p w14:paraId="0C84C6F9" w14:textId="77777777" w:rsidR="007F5278" w:rsidRDefault="007F5278" w:rsidP="007F5278">
      <w:pPr>
        <w:rPr>
          <w:rFonts w:ascii="Arial" w:hAnsi="Arial" w:cs="Arial"/>
          <w:lang w:val="en-IN"/>
        </w:rPr>
      </w:pPr>
      <w:r w:rsidRPr="007F5278">
        <w:rPr>
          <w:rFonts w:ascii="Arial" w:hAnsi="Arial" w:cs="Arial"/>
          <w:lang w:val="en-IN"/>
        </w:rPr>
        <w:t xml:space="preserve">The primary outcome variable was the appropriateness of antimicrobial prescriptions, assessed using the </w:t>
      </w:r>
      <w:r w:rsidRPr="007F5278">
        <w:rPr>
          <w:rFonts w:ascii="Arial" w:hAnsi="Arial" w:cs="Arial"/>
          <w:i/>
          <w:iCs/>
          <w:lang w:val="en-IN"/>
        </w:rPr>
        <w:t>Modified Kunin’s Criteria</w:t>
      </w:r>
      <w:r w:rsidRPr="007F5278">
        <w:rPr>
          <w:rFonts w:ascii="Arial" w:hAnsi="Arial" w:cs="Arial"/>
          <w:lang w:val="en-IN"/>
        </w:rPr>
        <w:t xml:space="preserve"> (Categories I–VI), which classify antimicrobial use from “appropriate therapy” to “inappropriate” or “</w:t>
      </w:r>
      <w:proofErr w:type="spellStart"/>
      <w:r w:rsidRPr="007F5278">
        <w:rPr>
          <w:rFonts w:ascii="Arial" w:hAnsi="Arial" w:cs="Arial"/>
          <w:lang w:val="en-IN"/>
        </w:rPr>
        <w:t>unassessable</w:t>
      </w:r>
      <w:proofErr w:type="spellEnd"/>
      <w:r w:rsidRPr="007F5278">
        <w:rPr>
          <w:rFonts w:ascii="Arial" w:hAnsi="Arial" w:cs="Arial"/>
          <w:lang w:val="en-IN"/>
        </w:rPr>
        <w:t xml:space="preserve">.” Prescriptions under Criteria I and II were considered rational, while those under Criteria III–VI were deemed inappropriate </w:t>
      </w:r>
      <w:r w:rsidRPr="007F5278">
        <w:rPr>
          <w:rFonts w:ascii="Arial" w:hAnsi="Arial" w:cs="Arial"/>
          <w:vertAlign w:val="superscript"/>
          <w:lang w:val="en-IN"/>
        </w:rPr>
        <w:t>5,6</w:t>
      </w:r>
      <w:r w:rsidRPr="007F5278">
        <w:rPr>
          <w:rFonts w:ascii="Arial" w:hAnsi="Arial" w:cs="Arial"/>
          <w:lang w:val="en-IN"/>
        </w:rPr>
        <w:t>.</w:t>
      </w:r>
      <w:r w:rsidRPr="007F5278">
        <w:rPr>
          <w:rFonts w:ascii="Arial" w:hAnsi="Arial" w:cs="Arial"/>
          <w:lang w:val="en-IN"/>
        </w:rPr>
        <w:br/>
        <w:t>Other variables included patient age, sex, type of RTI diagnosed, type of antimicrobial prescribed (antibiotic or antiviral), and prescription pattern (monotherapy or polytherapy).</w:t>
      </w:r>
    </w:p>
    <w:p w14:paraId="2E16745D" w14:textId="77777777" w:rsidR="008B5488" w:rsidRPr="007F5278" w:rsidRDefault="008B5488" w:rsidP="007F5278">
      <w:pPr>
        <w:rPr>
          <w:rFonts w:ascii="Arial" w:hAnsi="Arial" w:cs="Arial"/>
          <w:lang w:val="en-IN"/>
        </w:rPr>
      </w:pPr>
    </w:p>
    <w:p w14:paraId="5CD1F77A"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2.4. Sampling and data analysis</w:t>
      </w:r>
    </w:p>
    <w:p w14:paraId="74C0D9EE" w14:textId="77777777" w:rsidR="008B5488" w:rsidRPr="008B5488" w:rsidRDefault="008B5488" w:rsidP="007F5278">
      <w:pPr>
        <w:rPr>
          <w:rFonts w:ascii="Arial" w:hAnsi="Arial" w:cs="Arial"/>
          <w:b/>
          <w:bCs/>
          <w:sz w:val="22"/>
          <w:szCs w:val="22"/>
          <w:lang w:val="en-IN"/>
        </w:rPr>
      </w:pPr>
    </w:p>
    <w:p w14:paraId="7E0FE5EC" w14:textId="77777777" w:rsidR="007F5278" w:rsidRPr="007F5278" w:rsidRDefault="007F5278" w:rsidP="007F5278">
      <w:pPr>
        <w:rPr>
          <w:rFonts w:ascii="Arial" w:hAnsi="Arial" w:cs="Arial"/>
          <w:lang w:val="en-IN"/>
        </w:rPr>
      </w:pPr>
      <w:r w:rsidRPr="007F5278">
        <w:rPr>
          <w:rFonts w:ascii="Arial" w:hAnsi="Arial" w:cs="Arial"/>
          <w:lang w:val="en-IN"/>
        </w:rPr>
        <w:t>To minimise selection bias, consecutive sampling was employed, and only patients with complete prescription records were included. Data were entered into Microsoft Excel and analysed descriptively. Frequencies and percentages were calculated for categorical variables, while the prevalence of prescribing patterns and rationality assessment across Kunin’s categories was reported with corresponding 95% confidence intervals (CIs).</w:t>
      </w:r>
    </w:p>
    <w:p w14:paraId="62F47964" w14:textId="77777777" w:rsidR="008B5488" w:rsidRDefault="008B5488" w:rsidP="00441B6F">
      <w:pPr>
        <w:pStyle w:val="Head1"/>
        <w:spacing w:after="0"/>
        <w:jc w:val="both"/>
        <w:rPr>
          <w:rFonts w:ascii="Arial" w:hAnsi="Arial" w:cs="Arial"/>
        </w:rPr>
      </w:pPr>
    </w:p>
    <w:p w14:paraId="7D6EFA54" w14:textId="26769D1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5865158" w14:textId="77777777" w:rsidR="00790ADA" w:rsidRPr="00FB3A86" w:rsidRDefault="00790ADA" w:rsidP="00441B6F">
      <w:pPr>
        <w:pStyle w:val="Head1"/>
        <w:spacing w:after="0"/>
        <w:jc w:val="both"/>
        <w:rPr>
          <w:rFonts w:ascii="Arial" w:hAnsi="Arial" w:cs="Arial"/>
        </w:rPr>
      </w:pPr>
    </w:p>
    <w:p w14:paraId="4F7EF9BD" w14:textId="77777777" w:rsidR="00387FE5" w:rsidRDefault="00387FE5" w:rsidP="00387FE5">
      <w:pPr>
        <w:tabs>
          <w:tab w:val="left" w:pos="284"/>
        </w:tabs>
        <w:rPr>
          <w:rFonts w:ascii="Arial" w:hAnsi="Arial" w:cs="Arial"/>
        </w:rPr>
      </w:pPr>
      <w:r w:rsidRPr="00387FE5">
        <w:rPr>
          <w:rFonts w:ascii="Arial" w:hAnsi="Arial" w:cs="Arial"/>
        </w:rPr>
        <w:t xml:space="preserve">A total of 150 </w:t>
      </w:r>
      <w:proofErr w:type="spellStart"/>
      <w:r w:rsidRPr="00387FE5">
        <w:rPr>
          <w:rFonts w:ascii="Arial" w:hAnsi="Arial" w:cs="Arial"/>
        </w:rPr>
        <w:t>paediatric</w:t>
      </w:r>
      <w:proofErr w:type="spellEnd"/>
      <w:r w:rsidRPr="00387FE5">
        <w:rPr>
          <w:rFonts w:ascii="Arial" w:hAnsi="Arial" w:cs="Arial"/>
        </w:rPr>
        <w:t xml:space="preserve"> patients diagnosed with respiratory tract infections were enrolled in the study, with a participation rate of 100%. Among them, 92 (61.3%) were male and 58 (38.7%) were female, as depicted in Figure 1. </w:t>
      </w:r>
    </w:p>
    <w:p w14:paraId="5DE2A144" w14:textId="77777777" w:rsidR="00387FE5" w:rsidRDefault="00387FE5" w:rsidP="00387FE5">
      <w:pPr>
        <w:tabs>
          <w:tab w:val="left" w:pos="284"/>
        </w:tabs>
        <w:rPr>
          <w:rFonts w:ascii="Arial" w:hAnsi="Arial" w:cs="Arial"/>
        </w:rPr>
      </w:pPr>
    </w:p>
    <w:p w14:paraId="426A5996" w14:textId="263D8508" w:rsidR="00387FE5" w:rsidRDefault="00387FE5" w:rsidP="00387FE5">
      <w:pPr>
        <w:tabs>
          <w:tab w:val="left" w:pos="284"/>
        </w:tabs>
        <w:rPr>
          <w:rFonts w:ascii="Arial" w:hAnsi="Arial" w:cs="Arial"/>
        </w:rPr>
      </w:pPr>
      <w:r w:rsidRPr="00547B60">
        <w:rPr>
          <w:b/>
          <w:bCs/>
          <w:noProof/>
        </w:rPr>
        <w:drawing>
          <wp:inline distT="0" distB="0" distL="0" distR="0" wp14:anchorId="21254326" wp14:editId="145FFE30">
            <wp:extent cx="4663440" cy="1992269"/>
            <wp:effectExtent l="0" t="0" r="0" b="0"/>
            <wp:docPr id="18835025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1643" cy="1995773"/>
                    </a:xfrm>
                    <a:prstGeom prst="rect">
                      <a:avLst/>
                    </a:prstGeom>
                    <a:noFill/>
                    <a:ln>
                      <a:noFill/>
                    </a:ln>
                  </pic:spPr>
                </pic:pic>
              </a:graphicData>
            </a:graphic>
          </wp:inline>
        </w:drawing>
      </w:r>
    </w:p>
    <w:p w14:paraId="78C221D9" w14:textId="7777777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1. Patient distribution based on gender</w:t>
      </w:r>
    </w:p>
    <w:p w14:paraId="1033F904" w14:textId="77777777" w:rsidR="00387FE5" w:rsidRDefault="00387FE5" w:rsidP="00387FE5">
      <w:pPr>
        <w:tabs>
          <w:tab w:val="left" w:pos="284"/>
        </w:tabs>
        <w:rPr>
          <w:rFonts w:ascii="Arial" w:hAnsi="Arial" w:cs="Arial"/>
        </w:rPr>
      </w:pPr>
    </w:p>
    <w:p w14:paraId="1E866C87" w14:textId="24B6B469" w:rsidR="00387FE5" w:rsidRDefault="00387FE5" w:rsidP="00387FE5">
      <w:pPr>
        <w:tabs>
          <w:tab w:val="left" w:pos="284"/>
        </w:tabs>
        <w:rPr>
          <w:rFonts w:ascii="Arial" w:hAnsi="Arial" w:cs="Arial"/>
        </w:rPr>
      </w:pPr>
      <w:r w:rsidRPr="00387FE5">
        <w:rPr>
          <w:rFonts w:ascii="Arial" w:hAnsi="Arial" w:cs="Arial"/>
        </w:rPr>
        <w:t>Age-wise distribution showed that 26 patients (17.3%) were less than one year old, 37 (24.7%) were between 1–4 years, 35 (23.3%) were between 5–8 years, and 52 (34.7%) belonged to the 9–12 years age group, with the highest representation observed in the 9–12 years category (Figure 2).</w:t>
      </w:r>
    </w:p>
    <w:p w14:paraId="1920D3DE" w14:textId="77777777" w:rsidR="00387FE5" w:rsidRDefault="00387FE5" w:rsidP="00387FE5">
      <w:pPr>
        <w:tabs>
          <w:tab w:val="left" w:pos="284"/>
        </w:tabs>
        <w:rPr>
          <w:rFonts w:ascii="Arial" w:hAnsi="Arial" w:cs="Arial"/>
        </w:rPr>
      </w:pPr>
    </w:p>
    <w:p w14:paraId="5169474C" w14:textId="17AE82BE" w:rsidR="00387FE5" w:rsidRDefault="00387FE5" w:rsidP="00387FE5">
      <w:pPr>
        <w:tabs>
          <w:tab w:val="left" w:pos="284"/>
        </w:tabs>
        <w:rPr>
          <w:rFonts w:ascii="Arial" w:hAnsi="Arial" w:cs="Arial"/>
        </w:rPr>
      </w:pPr>
      <w:r w:rsidRPr="00547B60">
        <w:rPr>
          <w:b/>
          <w:bCs/>
          <w:noProof/>
        </w:rPr>
        <w:drawing>
          <wp:inline distT="0" distB="0" distL="0" distR="0" wp14:anchorId="1CDA6E72" wp14:editId="027E7A6D">
            <wp:extent cx="4587240" cy="2220106"/>
            <wp:effectExtent l="0" t="0" r="0" b="0"/>
            <wp:docPr id="716463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6906" cy="2224784"/>
                    </a:xfrm>
                    <a:prstGeom prst="rect">
                      <a:avLst/>
                    </a:prstGeom>
                    <a:noFill/>
                    <a:ln>
                      <a:noFill/>
                    </a:ln>
                  </pic:spPr>
                </pic:pic>
              </a:graphicData>
            </a:graphic>
          </wp:inline>
        </w:drawing>
      </w:r>
    </w:p>
    <w:p w14:paraId="26C9A440" w14:textId="77777777" w:rsidR="00387FE5" w:rsidRDefault="00387FE5" w:rsidP="00387FE5">
      <w:pPr>
        <w:tabs>
          <w:tab w:val="left" w:pos="284"/>
        </w:tabs>
        <w:rPr>
          <w:rFonts w:ascii="Arial" w:hAnsi="Arial" w:cs="Arial"/>
        </w:rPr>
      </w:pPr>
    </w:p>
    <w:p w14:paraId="0AA982CF" w14:textId="7777777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lastRenderedPageBreak/>
        <w:t>Figure 2. Patient distribution based on age group</w:t>
      </w:r>
    </w:p>
    <w:p w14:paraId="48DD3E25" w14:textId="77777777" w:rsidR="00387FE5" w:rsidRDefault="00387FE5" w:rsidP="00387FE5">
      <w:pPr>
        <w:tabs>
          <w:tab w:val="left" w:pos="284"/>
        </w:tabs>
        <w:rPr>
          <w:rFonts w:ascii="Arial" w:hAnsi="Arial" w:cs="Arial"/>
        </w:rPr>
      </w:pPr>
    </w:p>
    <w:p w14:paraId="115AA176" w14:textId="77777777" w:rsidR="00387FE5" w:rsidRPr="00387FE5" w:rsidRDefault="00387FE5" w:rsidP="00387FE5">
      <w:pPr>
        <w:tabs>
          <w:tab w:val="left" w:pos="284"/>
        </w:tabs>
        <w:rPr>
          <w:rFonts w:ascii="Arial" w:hAnsi="Arial" w:cs="Arial"/>
        </w:rPr>
      </w:pPr>
    </w:p>
    <w:p w14:paraId="25FE341D" w14:textId="77777777" w:rsidR="00387FE5" w:rsidRDefault="00387FE5" w:rsidP="00387FE5">
      <w:pPr>
        <w:tabs>
          <w:tab w:val="left" w:pos="284"/>
        </w:tabs>
        <w:rPr>
          <w:rFonts w:ascii="Arial" w:hAnsi="Arial" w:cs="Arial"/>
        </w:rPr>
      </w:pPr>
      <w:r w:rsidRPr="00387FE5">
        <w:rPr>
          <w:rFonts w:ascii="Arial" w:hAnsi="Arial" w:cs="Arial"/>
        </w:rPr>
        <w:t>The distribution of respiratory tract infections revealed that pneumonia was the most common diagnosis, accounting for 88 cases (58.7%), followed by tonsillitis (11.3%), bronchiolitis (6.7%), viral fever (6%), pharyngitis (5.3%), and bronchitis (4.7%). Less common conditions included croup (4%), tracheitis (1.3%), influenza (1.3%), and sinusitis (0.7%), as shown in Figure 3.</w:t>
      </w:r>
    </w:p>
    <w:p w14:paraId="2D7BEE52" w14:textId="77777777" w:rsidR="00387FE5" w:rsidRDefault="00387FE5" w:rsidP="00387FE5">
      <w:pPr>
        <w:tabs>
          <w:tab w:val="left" w:pos="284"/>
        </w:tabs>
        <w:rPr>
          <w:rFonts w:ascii="Arial" w:hAnsi="Arial" w:cs="Arial"/>
        </w:rPr>
      </w:pPr>
    </w:p>
    <w:p w14:paraId="56DBF26E" w14:textId="77777777" w:rsidR="00387FE5" w:rsidRDefault="00387FE5" w:rsidP="00387FE5">
      <w:pPr>
        <w:tabs>
          <w:tab w:val="left" w:pos="284"/>
        </w:tabs>
        <w:rPr>
          <w:rFonts w:ascii="Arial" w:hAnsi="Arial" w:cs="Arial"/>
        </w:rPr>
      </w:pPr>
    </w:p>
    <w:p w14:paraId="3A34CBF0" w14:textId="5EAC2792" w:rsidR="00387FE5" w:rsidRDefault="00387FE5" w:rsidP="00387FE5">
      <w:pPr>
        <w:tabs>
          <w:tab w:val="left" w:pos="284"/>
        </w:tabs>
        <w:rPr>
          <w:rFonts w:ascii="Arial" w:hAnsi="Arial" w:cs="Arial"/>
        </w:rPr>
      </w:pPr>
      <w:r w:rsidRPr="000648CB">
        <w:rPr>
          <w:rFonts w:ascii="Times New Roman" w:hAnsi="Times New Roman"/>
          <w:noProof/>
          <w:sz w:val="24"/>
          <w:szCs w:val="24"/>
        </w:rPr>
        <w:drawing>
          <wp:inline distT="0" distB="0" distL="0" distR="0" wp14:anchorId="0D76FDB5" wp14:editId="020CB698">
            <wp:extent cx="4869180" cy="3045212"/>
            <wp:effectExtent l="0" t="0" r="0" b="0"/>
            <wp:docPr id="333612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4190" cy="3048345"/>
                    </a:xfrm>
                    <a:prstGeom prst="rect">
                      <a:avLst/>
                    </a:prstGeom>
                    <a:noFill/>
                    <a:ln>
                      <a:noFill/>
                    </a:ln>
                  </pic:spPr>
                </pic:pic>
              </a:graphicData>
            </a:graphic>
          </wp:inline>
        </w:drawing>
      </w:r>
    </w:p>
    <w:p w14:paraId="53B2515C" w14:textId="77777777" w:rsidR="00387FE5" w:rsidRDefault="00387FE5" w:rsidP="00387FE5">
      <w:pPr>
        <w:tabs>
          <w:tab w:val="left" w:pos="284"/>
        </w:tabs>
        <w:rPr>
          <w:rFonts w:ascii="Arial" w:hAnsi="Arial" w:cs="Arial"/>
        </w:rPr>
      </w:pPr>
    </w:p>
    <w:p w14:paraId="375CFB47" w14:textId="7284BCD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3. Patient distribution based on various respiratory tract infections</w:t>
      </w:r>
    </w:p>
    <w:p w14:paraId="792FF12E" w14:textId="77777777" w:rsidR="00387FE5" w:rsidRDefault="00387FE5" w:rsidP="00387FE5">
      <w:pPr>
        <w:tabs>
          <w:tab w:val="left" w:pos="284"/>
        </w:tabs>
        <w:rPr>
          <w:rFonts w:ascii="Arial" w:hAnsi="Arial" w:cs="Arial"/>
        </w:rPr>
      </w:pPr>
      <w:r w:rsidRPr="00387FE5">
        <w:rPr>
          <w:rFonts w:ascii="Arial" w:hAnsi="Arial" w:cs="Arial"/>
        </w:rPr>
        <w:t>Regarding prescribing patterns, monotherapy was observed in 124 children (82.7%), while polytherapy involving two or more antimicrobials was administered in 26 children (17.3%) (Figure 4).</w:t>
      </w:r>
    </w:p>
    <w:p w14:paraId="26C9F114" w14:textId="77777777" w:rsidR="00387FE5" w:rsidRDefault="00387FE5" w:rsidP="00387FE5">
      <w:pPr>
        <w:tabs>
          <w:tab w:val="left" w:pos="284"/>
        </w:tabs>
        <w:rPr>
          <w:rFonts w:ascii="Arial" w:hAnsi="Arial" w:cs="Arial"/>
        </w:rPr>
      </w:pPr>
    </w:p>
    <w:p w14:paraId="51D7C782" w14:textId="6DE8EEC9" w:rsidR="00387FE5" w:rsidRDefault="00387FE5" w:rsidP="00387FE5">
      <w:pPr>
        <w:tabs>
          <w:tab w:val="left" w:pos="284"/>
        </w:tabs>
        <w:rPr>
          <w:rFonts w:ascii="Arial" w:hAnsi="Arial" w:cs="Arial"/>
        </w:rPr>
      </w:pPr>
      <w:r w:rsidRPr="001A0788">
        <w:rPr>
          <w:rFonts w:ascii="Times New Roman" w:hAnsi="Times New Roman"/>
          <w:noProof/>
          <w:sz w:val="24"/>
          <w:szCs w:val="24"/>
        </w:rPr>
        <w:lastRenderedPageBreak/>
        <w:drawing>
          <wp:inline distT="0" distB="0" distL="0" distR="0" wp14:anchorId="1C1D93BA" wp14:editId="4EC33BAF">
            <wp:extent cx="4785360" cy="2218423"/>
            <wp:effectExtent l="0" t="0" r="0" b="0"/>
            <wp:docPr id="6294594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4810" cy="2222804"/>
                    </a:xfrm>
                    <a:prstGeom prst="rect">
                      <a:avLst/>
                    </a:prstGeom>
                    <a:noFill/>
                    <a:ln>
                      <a:noFill/>
                    </a:ln>
                  </pic:spPr>
                </pic:pic>
              </a:graphicData>
            </a:graphic>
          </wp:inline>
        </w:drawing>
      </w:r>
    </w:p>
    <w:p w14:paraId="736A16A8" w14:textId="77777777" w:rsidR="00387FE5" w:rsidRPr="00387FE5" w:rsidRDefault="00387FE5" w:rsidP="0073484E">
      <w:pPr>
        <w:pStyle w:val="ListParagraph"/>
        <w:spacing w:after="0" w:line="240" w:lineRule="auto"/>
        <w:ind w:left="357"/>
        <w:jc w:val="both"/>
        <w:rPr>
          <w:rFonts w:ascii="Arial" w:hAnsi="Arial" w:cs="Arial"/>
          <w:b/>
          <w:bCs/>
          <w:sz w:val="20"/>
          <w:szCs w:val="20"/>
        </w:rPr>
      </w:pPr>
      <w:r w:rsidRPr="00387FE5">
        <w:rPr>
          <w:rFonts w:ascii="Arial" w:hAnsi="Arial" w:cs="Arial"/>
          <w:b/>
          <w:bCs/>
          <w:sz w:val="20"/>
          <w:szCs w:val="20"/>
        </w:rPr>
        <w:t>Figure 4. Patient distribution based on monotherapy &amp; polytherapy of antimicrobials</w:t>
      </w:r>
    </w:p>
    <w:p w14:paraId="288EF5AC" w14:textId="77777777" w:rsidR="00387FE5" w:rsidRDefault="00387FE5" w:rsidP="00387FE5">
      <w:pPr>
        <w:tabs>
          <w:tab w:val="left" w:pos="284"/>
        </w:tabs>
        <w:rPr>
          <w:rFonts w:ascii="Arial" w:hAnsi="Arial" w:cs="Arial"/>
        </w:rPr>
      </w:pPr>
    </w:p>
    <w:p w14:paraId="1FCCEAA8" w14:textId="77777777" w:rsidR="0073484E" w:rsidRDefault="00387FE5" w:rsidP="00387FE5">
      <w:pPr>
        <w:tabs>
          <w:tab w:val="left" w:pos="284"/>
        </w:tabs>
        <w:rPr>
          <w:rFonts w:ascii="Arial" w:hAnsi="Arial" w:cs="Arial"/>
        </w:rPr>
      </w:pPr>
      <w:r w:rsidRPr="00387FE5">
        <w:rPr>
          <w:rFonts w:ascii="Arial" w:hAnsi="Arial" w:cs="Arial"/>
        </w:rPr>
        <w:t xml:space="preserve"> Antibiotics were prescribed more frequently than antivirals, with 115 patients (76.7%) receiving antibiotics and 35 patients (23.3%) receiving antivirals (Figure 5).</w:t>
      </w:r>
    </w:p>
    <w:p w14:paraId="294E64B9" w14:textId="77777777" w:rsidR="0073484E" w:rsidRDefault="0073484E" w:rsidP="00387FE5">
      <w:pPr>
        <w:tabs>
          <w:tab w:val="left" w:pos="284"/>
        </w:tabs>
        <w:rPr>
          <w:rFonts w:ascii="Arial" w:hAnsi="Arial" w:cs="Arial"/>
        </w:rPr>
      </w:pPr>
    </w:p>
    <w:p w14:paraId="5616FACA" w14:textId="10FC7BAA" w:rsidR="0073484E" w:rsidRDefault="0073484E" w:rsidP="00387FE5">
      <w:pPr>
        <w:tabs>
          <w:tab w:val="left" w:pos="284"/>
        </w:tabs>
        <w:rPr>
          <w:rFonts w:ascii="Arial" w:hAnsi="Arial" w:cs="Arial"/>
        </w:rPr>
      </w:pPr>
      <w:r w:rsidRPr="001A0788">
        <w:rPr>
          <w:rFonts w:ascii="Times New Roman" w:hAnsi="Times New Roman"/>
          <w:noProof/>
          <w:sz w:val="24"/>
          <w:szCs w:val="24"/>
        </w:rPr>
        <w:drawing>
          <wp:inline distT="0" distB="0" distL="0" distR="0" wp14:anchorId="4120D02C" wp14:editId="5DD0B87F">
            <wp:extent cx="3870960" cy="2264644"/>
            <wp:effectExtent l="0" t="0" r="0" b="0"/>
            <wp:docPr id="18545263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0480" cy="2270214"/>
                    </a:xfrm>
                    <a:prstGeom prst="rect">
                      <a:avLst/>
                    </a:prstGeom>
                    <a:noFill/>
                    <a:ln>
                      <a:noFill/>
                    </a:ln>
                  </pic:spPr>
                </pic:pic>
              </a:graphicData>
            </a:graphic>
          </wp:inline>
        </w:drawing>
      </w:r>
    </w:p>
    <w:p w14:paraId="202DE6F4" w14:textId="5B13D797" w:rsidR="0073484E" w:rsidRDefault="0073484E" w:rsidP="0073484E">
      <w:pPr>
        <w:spacing w:line="480" w:lineRule="auto"/>
        <w:jc w:val="both"/>
        <w:rPr>
          <w:rFonts w:ascii="Arial" w:hAnsi="Arial" w:cs="Arial"/>
          <w:b/>
          <w:bCs/>
        </w:rPr>
      </w:pPr>
      <w:r>
        <w:rPr>
          <w:rFonts w:ascii="Arial" w:hAnsi="Arial" w:cs="Arial"/>
        </w:rPr>
        <w:t xml:space="preserve">  </w:t>
      </w:r>
      <w:r w:rsidRPr="0073484E">
        <w:rPr>
          <w:rFonts w:ascii="Arial" w:hAnsi="Arial" w:cs="Arial"/>
          <w:b/>
          <w:bCs/>
        </w:rPr>
        <w:t>Figure 5. Patient distribution based on prescribed antimicrobials</w:t>
      </w:r>
    </w:p>
    <w:p w14:paraId="3EF03CDA" w14:textId="77777777" w:rsidR="00A35773" w:rsidRPr="0073484E" w:rsidRDefault="00A35773" w:rsidP="0073484E">
      <w:pPr>
        <w:spacing w:line="480" w:lineRule="auto"/>
        <w:jc w:val="both"/>
        <w:rPr>
          <w:rFonts w:ascii="Arial" w:hAnsi="Arial" w:cs="Arial"/>
          <w:b/>
          <w:bCs/>
        </w:rPr>
      </w:pPr>
    </w:p>
    <w:p w14:paraId="4CD16AF8" w14:textId="77777777" w:rsidR="0073484E" w:rsidRDefault="00387FE5" w:rsidP="00387FE5">
      <w:pPr>
        <w:tabs>
          <w:tab w:val="left" w:pos="284"/>
        </w:tabs>
        <w:rPr>
          <w:rFonts w:ascii="Arial" w:hAnsi="Arial" w:cs="Arial"/>
        </w:rPr>
      </w:pPr>
      <w:r w:rsidRPr="00387FE5">
        <w:rPr>
          <w:rFonts w:ascii="Arial" w:hAnsi="Arial" w:cs="Arial"/>
        </w:rPr>
        <w:t xml:space="preserve"> Among the antibiotics, Ceftriaxone with Sulbactam was the most commonly prescribed (51.3%), followed by Amoxicillin with Potassium Clavulanate (38%), Azithromycin (21.3%), and Amikacin (10.7%). Other antibiotics such as Piperacillin–Tazobactam, Cefepime, Vancomycin, Metronidazole, Cephalexin, and others were used in smaller proportions, as detailed in Table 1.</w:t>
      </w:r>
    </w:p>
    <w:p w14:paraId="2D080BD2" w14:textId="77777777" w:rsidR="0073484E" w:rsidRDefault="0073484E" w:rsidP="00387FE5">
      <w:pPr>
        <w:tabs>
          <w:tab w:val="left" w:pos="284"/>
        </w:tabs>
        <w:rPr>
          <w:rFonts w:ascii="Arial" w:hAnsi="Arial" w:cs="Arial"/>
        </w:rPr>
      </w:pPr>
    </w:p>
    <w:p w14:paraId="6D04FDA2" w14:textId="77777777" w:rsidR="00A35773" w:rsidRDefault="00A35773" w:rsidP="00387FE5">
      <w:pPr>
        <w:tabs>
          <w:tab w:val="left" w:pos="284"/>
        </w:tabs>
        <w:rPr>
          <w:rFonts w:ascii="Arial" w:hAnsi="Arial" w:cs="Arial"/>
        </w:rPr>
      </w:pPr>
    </w:p>
    <w:p w14:paraId="1A74DE9F" w14:textId="77777777" w:rsidR="00A35773" w:rsidRDefault="00A35773" w:rsidP="00387FE5">
      <w:pPr>
        <w:tabs>
          <w:tab w:val="left" w:pos="284"/>
        </w:tabs>
        <w:rPr>
          <w:rFonts w:ascii="Arial" w:hAnsi="Arial" w:cs="Arial"/>
        </w:rPr>
      </w:pPr>
    </w:p>
    <w:p w14:paraId="66CFD271" w14:textId="77777777" w:rsidR="00A35773" w:rsidRDefault="00A35773" w:rsidP="00387FE5">
      <w:pPr>
        <w:tabs>
          <w:tab w:val="left" w:pos="284"/>
        </w:tabs>
        <w:rPr>
          <w:rFonts w:ascii="Arial" w:hAnsi="Arial" w:cs="Arial"/>
        </w:rPr>
      </w:pPr>
    </w:p>
    <w:p w14:paraId="37C5DE2C" w14:textId="77777777" w:rsidR="00A35773" w:rsidRDefault="00A35773" w:rsidP="00387FE5">
      <w:pPr>
        <w:tabs>
          <w:tab w:val="left" w:pos="284"/>
        </w:tabs>
        <w:rPr>
          <w:rFonts w:ascii="Arial" w:hAnsi="Arial" w:cs="Arial"/>
        </w:rPr>
      </w:pPr>
    </w:p>
    <w:p w14:paraId="0BABA952" w14:textId="77777777" w:rsidR="00A35773" w:rsidRDefault="00A35773" w:rsidP="00387FE5">
      <w:pPr>
        <w:tabs>
          <w:tab w:val="left" w:pos="284"/>
        </w:tabs>
        <w:rPr>
          <w:rFonts w:ascii="Arial" w:hAnsi="Arial" w:cs="Arial"/>
        </w:rPr>
      </w:pPr>
    </w:p>
    <w:p w14:paraId="0F44D821" w14:textId="77777777" w:rsidR="0073484E" w:rsidRPr="0073484E" w:rsidRDefault="0073484E" w:rsidP="0073484E">
      <w:pPr>
        <w:rPr>
          <w:rFonts w:ascii="Arial" w:hAnsi="Arial" w:cs="Arial"/>
          <w:b/>
          <w:bCs/>
          <w:sz w:val="24"/>
          <w:szCs w:val="24"/>
        </w:rPr>
      </w:pPr>
      <w:r w:rsidRPr="0073484E">
        <w:rPr>
          <w:rFonts w:ascii="Arial" w:hAnsi="Arial" w:cs="Arial"/>
          <w:b/>
          <w:bCs/>
        </w:rPr>
        <w:t>Table 1. Antibiotics used in Respiratory tract infections</w:t>
      </w:r>
    </w:p>
    <w:p w14:paraId="4B85B253" w14:textId="77777777" w:rsidR="0073484E" w:rsidRDefault="0073484E" w:rsidP="00387FE5">
      <w:pPr>
        <w:tabs>
          <w:tab w:val="left" w:pos="284"/>
        </w:tabs>
        <w:rPr>
          <w:rFonts w:ascii="Arial" w:hAnsi="Arial" w:cs="Arial"/>
        </w:rPr>
      </w:pPr>
    </w:p>
    <w:p w14:paraId="47884F3A" w14:textId="77777777" w:rsidR="0073484E" w:rsidRDefault="0073484E" w:rsidP="00387FE5">
      <w:pPr>
        <w:tabs>
          <w:tab w:val="left" w:pos="284"/>
        </w:tabs>
        <w:rPr>
          <w:rFonts w:ascii="Arial" w:hAnsi="Arial" w:cs="Arial"/>
        </w:rPr>
      </w:pPr>
    </w:p>
    <w:tbl>
      <w:tblPr>
        <w:tblStyle w:val="TableGrid"/>
        <w:tblW w:w="8702" w:type="dxa"/>
        <w:tblLook w:val="04A0" w:firstRow="1" w:lastRow="0" w:firstColumn="1" w:lastColumn="0" w:noHBand="0" w:noVBand="1"/>
      </w:tblPr>
      <w:tblGrid>
        <w:gridCol w:w="4861"/>
        <w:gridCol w:w="1843"/>
        <w:gridCol w:w="1998"/>
      </w:tblGrid>
      <w:tr w:rsidR="0073484E" w:rsidRPr="00E67880" w14:paraId="104515FD" w14:textId="77777777" w:rsidTr="0075207F">
        <w:trPr>
          <w:trHeight w:val="944"/>
        </w:trPr>
        <w:tc>
          <w:tcPr>
            <w:tcW w:w="4861" w:type="dxa"/>
            <w:hideMark/>
          </w:tcPr>
          <w:p w14:paraId="3B0E530F"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NAME OF ANTIBIOTICS</w:t>
            </w:r>
          </w:p>
        </w:tc>
        <w:tc>
          <w:tcPr>
            <w:tcW w:w="1843" w:type="dxa"/>
            <w:hideMark/>
          </w:tcPr>
          <w:p w14:paraId="2F9528E9"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FREQUENCY</w:t>
            </w:r>
          </w:p>
          <w:p w14:paraId="084F50E8" w14:textId="77777777" w:rsidR="0073484E" w:rsidRPr="0073484E" w:rsidRDefault="0073484E" w:rsidP="0073484E">
            <w:pPr>
              <w:spacing w:line="480" w:lineRule="auto"/>
              <w:jc w:val="center"/>
              <w:rPr>
                <w:rFonts w:ascii="Arial" w:eastAsia="Times New Roman" w:hAnsi="Arial" w:cs="Arial"/>
                <w:b/>
                <w:bCs/>
                <w:sz w:val="20"/>
                <w:szCs w:val="20"/>
                <w:lang w:eastAsia="en-IN"/>
              </w:rPr>
            </w:pPr>
          </w:p>
          <w:p w14:paraId="65DF9B16"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n=150</w:t>
            </w:r>
          </w:p>
        </w:tc>
        <w:tc>
          <w:tcPr>
            <w:tcW w:w="1998" w:type="dxa"/>
            <w:hideMark/>
          </w:tcPr>
          <w:p w14:paraId="4E4D8DC8"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PERCENTAGE (%)</w:t>
            </w:r>
          </w:p>
        </w:tc>
      </w:tr>
      <w:tr w:rsidR="0073484E" w:rsidRPr="00E67880" w14:paraId="67A8920A" w14:textId="77777777" w:rsidTr="0075207F">
        <w:trPr>
          <w:trHeight w:val="595"/>
        </w:trPr>
        <w:tc>
          <w:tcPr>
            <w:tcW w:w="4861" w:type="dxa"/>
            <w:hideMark/>
          </w:tcPr>
          <w:p w14:paraId="456946B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CEFTRIAXONE + SULBACTAM</w:t>
            </w:r>
          </w:p>
        </w:tc>
        <w:tc>
          <w:tcPr>
            <w:tcW w:w="1843" w:type="dxa"/>
            <w:noWrap/>
            <w:hideMark/>
          </w:tcPr>
          <w:p w14:paraId="72CA3F4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77</w:t>
            </w:r>
          </w:p>
        </w:tc>
        <w:tc>
          <w:tcPr>
            <w:tcW w:w="1998" w:type="dxa"/>
            <w:noWrap/>
            <w:hideMark/>
          </w:tcPr>
          <w:p w14:paraId="53EA897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51.33</w:t>
            </w:r>
          </w:p>
        </w:tc>
      </w:tr>
      <w:tr w:rsidR="0073484E" w:rsidRPr="00E67880" w14:paraId="1E1ED2FE" w14:textId="77777777" w:rsidTr="0075207F">
        <w:trPr>
          <w:trHeight w:val="501"/>
        </w:trPr>
        <w:tc>
          <w:tcPr>
            <w:tcW w:w="4861" w:type="dxa"/>
            <w:hideMark/>
          </w:tcPr>
          <w:p w14:paraId="48F7747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AMOXICILLIN + POTASSIUM CLAVULANATE</w:t>
            </w:r>
          </w:p>
        </w:tc>
        <w:tc>
          <w:tcPr>
            <w:tcW w:w="1843" w:type="dxa"/>
            <w:noWrap/>
            <w:hideMark/>
          </w:tcPr>
          <w:p w14:paraId="583C6D4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57</w:t>
            </w:r>
          </w:p>
        </w:tc>
        <w:tc>
          <w:tcPr>
            <w:tcW w:w="1998" w:type="dxa"/>
            <w:noWrap/>
            <w:hideMark/>
          </w:tcPr>
          <w:p w14:paraId="2138E10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38</w:t>
            </w:r>
          </w:p>
        </w:tc>
      </w:tr>
      <w:tr w:rsidR="0073484E" w:rsidRPr="00E67880" w14:paraId="5A5402E0" w14:textId="77777777" w:rsidTr="0075207F">
        <w:trPr>
          <w:trHeight w:val="381"/>
        </w:trPr>
        <w:tc>
          <w:tcPr>
            <w:tcW w:w="4861" w:type="dxa"/>
            <w:noWrap/>
            <w:hideMark/>
          </w:tcPr>
          <w:p w14:paraId="1F912C3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AZITHROMYCIN</w:t>
            </w:r>
          </w:p>
        </w:tc>
        <w:tc>
          <w:tcPr>
            <w:tcW w:w="1843" w:type="dxa"/>
            <w:noWrap/>
            <w:hideMark/>
          </w:tcPr>
          <w:p w14:paraId="1F5B3BC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32</w:t>
            </w:r>
          </w:p>
        </w:tc>
        <w:tc>
          <w:tcPr>
            <w:tcW w:w="1998" w:type="dxa"/>
            <w:noWrap/>
            <w:hideMark/>
          </w:tcPr>
          <w:p w14:paraId="0A1172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21.33</w:t>
            </w:r>
          </w:p>
        </w:tc>
      </w:tr>
      <w:tr w:rsidR="0073484E" w:rsidRPr="00E67880" w14:paraId="2A0079DC" w14:textId="77777777" w:rsidTr="0075207F">
        <w:trPr>
          <w:trHeight w:val="343"/>
        </w:trPr>
        <w:tc>
          <w:tcPr>
            <w:tcW w:w="4861" w:type="dxa"/>
            <w:hideMark/>
          </w:tcPr>
          <w:p w14:paraId="63FF2FA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AMIKACIN</w:t>
            </w:r>
          </w:p>
        </w:tc>
        <w:tc>
          <w:tcPr>
            <w:tcW w:w="1843" w:type="dxa"/>
            <w:noWrap/>
            <w:hideMark/>
          </w:tcPr>
          <w:p w14:paraId="4FD30EA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16</w:t>
            </w:r>
          </w:p>
        </w:tc>
        <w:tc>
          <w:tcPr>
            <w:tcW w:w="1998" w:type="dxa"/>
            <w:noWrap/>
            <w:hideMark/>
          </w:tcPr>
          <w:p w14:paraId="6EE6DED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10.67</w:t>
            </w:r>
          </w:p>
        </w:tc>
      </w:tr>
      <w:tr w:rsidR="0073484E" w:rsidRPr="00E67880" w14:paraId="79AF282B" w14:textId="77777777" w:rsidTr="0075207F">
        <w:trPr>
          <w:trHeight w:val="343"/>
        </w:trPr>
        <w:tc>
          <w:tcPr>
            <w:tcW w:w="4861" w:type="dxa"/>
          </w:tcPr>
          <w:p w14:paraId="6F4FC1F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PIPERACILLIN + TAZOBACTUM</w:t>
            </w:r>
          </w:p>
        </w:tc>
        <w:tc>
          <w:tcPr>
            <w:tcW w:w="1843" w:type="dxa"/>
            <w:noWrap/>
          </w:tcPr>
          <w:p w14:paraId="61D100C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8</w:t>
            </w:r>
          </w:p>
        </w:tc>
        <w:tc>
          <w:tcPr>
            <w:tcW w:w="1998" w:type="dxa"/>
            <w:noWrap/>
          </w:tcPr>
          <w:p w14:paraId="2A181A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5.33</w:t>
            </w:r>
          </w:p>
        </w:tc>
      </w:tr>
      <w:tr w:rsidR="0073484E" w:rsidRPr="00E67880" w14:paraId="71795D06" w14:textId="77777777" w:rsidTr="0075207F">
        <w:trPr>
          <w:trHeight w:val="446"/>
        </w:trPr>
        <w:tc>
          <w:tcPr>
            <w:tcW w:w="4861" w:type="dxa"/>
            <w:hideMark/>
          </w:tcPr>
          <w:p w14:paraId="4FA5051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CEFEPIME</w:t>
            </w:r>
          </w:p>
        </w:tc>
        <w:tc>
          <w:tcPr>
            <w:tcW w:w="1843" w:type="dxa"/>
            <w:noWrap/>
            <w:hideMark/>
          </w:tcPr>
          <w:p w14:paraId="08C0120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998" w:type="dxa"/>
            <w:noWrap/>
            <w:hideMark/>
          </w:tcPr>
          <w:p w14:paraId="4B7F660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52E1AF1D" w14:textId="77777777" w:rsidTr="0075207F">
        <w:trPr>
          <w:trHeight w:val="343"/>
        </w:trPr>
        <w:tc>
          <w:tcPr>
            <w:tcW w:w="4861" w:type="dxa"/>
            <w:noWrap/>
            <w:hideMark/>
          </w:tcPr>
          <w:p w14:paraId="57F2AA8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VANCOMYCIN HCl</w:t>
            </w:r>
          </w:p>
        </w:tc>
        <w:tc>
          <w:tcPr>
            <w:tcW w:w="1843" w:type="dxa"/>
            <w:noWrap/>
            <w:hideMark/>
          </w:tcPr>
          <w:p w14:paraId="13843CD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w:t>
            </w:r>
          </w:p>
        </w:tc>
        <w:tc>
          <w:tcPr>
            <w:tcW w:w="1998" w:type="dxa"/>
            <w:noWrap/>
            <w:hideMark/>
          </w:tcPr>
          <w:p w14:paraId="531E77A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3.33</w:t>
            </w:r>
          </w:p>
        </w:tc>
      </w:tr>
      <w:tr w:rsidR="0073484E" w:rsidRPr="00E67880" w14:paraId="3F2666C1" w14:textId="77777777" w:rsidTr="0075207F">
        <w:trPr>
          <w:trHeight w:val="343"/>
        </w:trPr>
        <w:tc>
          <w:tcPr>
            <w:tcW w:w="4861" w:type="dxa"/>
            <w:hideMark/>
          </w:tcPr>
          <w:p w14:paraId="3707DD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METRONIDAZOLE</w:t>
            </w:r>
          </w:p>
        </w:tc>
        <w:tc>
          <w:tcPr>
            <w:tcW w:w="1843" w:type="dxa"/>
            <w:noWrap/>
            <w:hideMark/>
          </w:tcPr>
          <w:p w14:paraId="43BAFC8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w:t>
            </w:r>
          </w:p>
        </w:tc>
        <w:tc>
          <w:tcPr>
            <w:tcW w:w="1998" w:type="dxa"/>
            <w:noWrap/>
            <w:hideMark/>
          </w:tcPr>
          <w:p w14:paraId="7777849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r>
      <w:tr w:rsidR="0073484E" w:rsidRPr="00E67880" w14:paraId="49316F1B" w14:textId="77777777" w:rsidTr="0075207F">
        <w:trPr>
          <w:trHeight w:val="343"/>
        </w:trPr>
        <w:tc>
          <w:tcPr>
            <w:tcW w:w="4861" w:type="dxa"/>
            <w:noWrap/>
            <w:hideMark/>
          </w:tcPr>
          <w:p w14:paraId="3F40C21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CEPHALEXIN</w:t>
            </w:r>
          </w:p>
        </w:tc>
        <w:tc>
          <w:tcPr>
            <w:tcW w:w="1843" w:type="dxa"/>
            <w:noWrap/>
            <w:hideMark/>
          </w:tcPr>
          <w:p w14:paraId="3263E81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3DCBA97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11718B9" w14:textId="77777777" w:rsidTr="0075207F">
        <w:trPr>
          <w:trHeight w:val="343"/>
        </w:trPr>
        <w:tc>
          <w:tcPr>
            <w:tcW w:w="4861" w:type="dxa"/>
            <w:noWrap/>
            <w:hideMark/>
          </w:tcPr>
          <w:p w14:paraId="08804B1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CEFOTAXIME</w:t>
            </w:r>
          </w:p>
        </w:tc>
        <w:tc>
          <w:tcPr>
            <w:tcW w:w="1843" w:type="dxa"/>
            <w:noWrap/>
            <w:hideMark/>
          </w:tcPr>
          <w:p w14:paraId="3CCD2A2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25D7565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2800381C" w14:textId="77777777" w:rsidTr="0075207F">
        <w:trPr>
          <w:trHeight w:val="343"/>
        </w:trPr>
        <w:tc>
          <w:tcPr>
            <w:tcW w:w="4861" w:type="dxa"/>
            <w:hideMark/>
          </w:tcPr>
          <w:p w14:paraId="7E1C4CF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BENZATHINE PENICILLIN G</w:t>
            </w:r>
          </w:p>
        </w:tc>
        <w:tc>
          <w:tcPr>
            <w:tcW w:w="1843" w:type="dxa"/>
            <w:noWrap/>
            <w:hideMark/>
          </w:tcPr>
          <w:p w14:paraId="1EC299A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2A8E167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7F029963" w14:textId="77777777" w:rsidTr="0075207F">
        <w:trPr>
          <w:trHeight w:val="343"/>
        </w:trPr>
        <w:tc>
          <w:tcPr>
            <w:tcW w:w="4861" w:type="dxa"/>
            <w:hideMark/>
          </w:tcPr>
          <w:p w14:paraId="2B75471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LEVOFLOXACIN</w:t>
            </w:r>
          </w:p>
        </w:tc>
        <w:tc>
          <w:tcPr>
            <w:tcW w:w="1843" w:type="dxa"/>
            <w:noWrap/>
            <w:hideMark/>
          </w:tcPr>
          <w:p w14:paraId="4D350AA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06E7A07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6191FC39" w14:textId="77777777" w:rsidTr="0075207F">
        <w:trPr>
          <w:trHeight w:val="343"/>
        </w:trPr>
        <w:tc>
          <w:tcPr>
            <w:tcW w:w="4861" w:type="dxa"/>
            <w:noWrap/>
            <w:hideMark/>
          </w:tcPr>
          <w:p w14:paraId="21C36DB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DOXICYCLINE</w:t>
            </w:r>
          </w:p>
        </w:tc>
        <w:tc>
          <w:tcPr>
            <w:tcW w:w="1843" w:type="dxa"/>
            <w:noWrap/>
            <w:hideMark/>
          </w:tcPr>
          <w:p w14:paraId="6154DDF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0FD460C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8B3F479" w14:textId="77777777" w:rsidTr="0075207F">
        <w:trPr>
          <w:trHeight w:val="343"/>
        </w:trPr>
        <w:tc>
          <w:tcPr>
            <w:tcW w:w="4861" w:type="dxa"/>
            <w:hideMark/>
          </w:tcPr>
          <w:p w14:paraId="3886048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CEFUROXIME</w:t>
            </w:r>
          </w:p>
        </w:tc>
        <w:tc>
          <w:tcPr>
            <w:tcW w:w="1843" w:type="dxa"/>
            <w:noWrap/>
            <w:hideMark/>
          </w:tcPr>
          <w:p w14:paraId="08697A0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w:t>
            </w:r>
          </w:p>
        </w:tc>
        <w:tc>
          <w:tcPr>
            <w:tcW w:w="1998" w:type="dxa"/>
            <w:noWrap/>
            <w:hideMark/>
          </w:tcPr>
          <w:p w14:paraId="517A379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0.67</w:t>
            </w:r>
          </w:p>
        </w:tc>
      </w:tr>
      <w:tr w:rsidR="0073484E" w:rsidRPr="00E67880" w14:paraId="4D81775C" w14:textId="77777777" w:rsidTr="0075207F">
        <w:trPr>
          <w:trHeight w:val="343"/>
        </w:trPr>
        <w:tc>
          <w:tcPr>
            <w:tcW w:w="4861" w:type="dxa"/>
            <w:hideMark/>
          </w:tcPr>
          <w:p w14:paraId="0AB6A48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AZTREONAM</w:t>
            </w:r>
          </w:p>
        </w:tc>
        <w:tc>
          <w:tcPr>
            <w:tcW w:w="1843" w:type="dxa"/>
            <w:noWrap/>
            <w:hideMark/>
          </w:tcPr>
          <w:p w14:paraId="1BD23EA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w:t>
            </w:r>
          </w:p>
        </w:tc>
        <w:tc>
          <w:tcPr>
            <w:tcW w:w="1998" w:type="dxa"/>
            <w:noWrap/>
            <w:hideMark/>
          </w:tcPr>
          <w:p w14:paraId="6BB9AF2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0.67</w:t>
            </w:r>
          </w:p>
        </w:tc>
      </w:tr>
    </w:tbl>
    <w:p w14:paraId="0A609970" w14:textId="77777777" w:rsidR="0073484E" w:rsidRDefault="0073484E" w:rsidP="00387FE5">
      <w:pPr>
        <w:tabs>
          <w:tab w:val="left" w:pos="284"/>
        </w:tabs>
        <w:rPr>
          <w:rFonts w:ascii="Arial" w:hAnsi="Arial" w:cs="Arial"/>
        </w:rPr>
      </w:pPr>
    </w:p>
    <w:p w14:paraId="1801AF46" w14:textId="77777777" w:rsidR="0073484E" w:rsidRDefault="00387FE5" w:rsidP="00387FE5">
      <w:pPr>
        <w:tabs>
          <w:tab w:val="left" w:pos="284"/>
        </w:tabs>
        <w:rPr>
          <w:rFonts w:ascii="Arial" w:hAnsi="Arial" w:cs="Arial"/>
        </w:rPr>
      </w:pPr>
      <w:r w:rsidRPr="00387FE5">
        <w:rPr>
          <w:rFonts w:ascii="Arial" w:hAnsi="Arial" w:cs="Arial"/>
        </w:rPr>
        <w:t xml:space="preserve"> Among antivirals, Oseltamivir phosphate was the most commonly used (19.3%), followed by Acyclovir (3.3%) and Zanamivir (0.7%) (Table 2).</w:t>
      </w:r>
    </w:p>
    <w:p w14:paraId="6172F02C" w14:textId="77777777" w:rsidR="0073484E" w:rsidRDefault="0073484E" w:rsidP="00387FE5">
      <w:pPr>
        <w:tabs>
          <w:tab w:val="left" w:pos="284"/>
        </w:tabs>
        <w:rPr>
          <w:rFonts w:ascii="Arial" w:hAnsi="Arial" w:cs="Arial"/>
        </w:rPr>
      </w:pPr>
    </w:p>
    <w:p w14:paraId="138FDFA4" w14:textId="206E6291" w:rsidR="0073484E" w:rsidRPr="0073484E" w:rsidRDefault="0073484E" w:rsidP="0073484E">
      <w:pPr>
        <w:rPr>
          <w:rFonts w:ascii="Arial" w:hAnsi="Arial" w:cs="Arial"/>
          <w:b/>
          <w:bCs/>
          <w:sz w:val="24"/>
          <w:szCs w:val="24"/>
        </w:rPr>
      </w:pPr>
      <w:r w:rsidRPr="0073484E">
        <w:rPr>
          <w:rFonts w:ascii="Arial" w:hAnsi="Arial" w:cs="Arial"/>
          <w:b/>
          <w:bCs/>
        </w:rPr>
        <w:t>Table 2. Antivirals used in Respiratory tract infections</w:t>
      </w:r>
    </w:p>
    <w:p w14:paraId="350385E1" w14:textId="77777777" w:rsidR="0073484E" w:rsidRDefault="0073484E" w:rsidP="00387FE5">
      <w:pPr>
        <w:tabs>
          <w:tab w:val="left" w:pos="284"/>
        </w:tabs>
        <w:rPr>
          <w:rFonts w:ascii="Arial" w:hAnsi="Arial" w:cs="Arial"/>
        </w:rPr>
      </w:pPr>
    </w:p>
    <w:tbl>
      <w:tblPr>
        <w:tblW w:w="8479" w:type="dxa"/>
        <w:tblInd w:w="-5" w:type="dxa"/>
        <w:tblLook w:val="04A0" w:firstRow="1" w:lastRow="0" w:firstColumn="1" w:lastColumn="0" w:noHBand="0" w:noVBand="1"/>
      </w:tblPr>
      <w:tblGrid>
        <w:gridCol w:w="4621"/>
        <w:gridCol w:w="1744"/>
        <w:gridCol w:w="2114"/>
      </w:tblGrid>
      <w:tr w:rsidR="0073484E" w:rsidRPr="00E67880" w14:paraId="216D90B8" w14:textId="77777777" w:rsidTr="0075207F">
        <w:trPr>
          <w:trHeight w:val="619"/>
        </w:trPr>
        <w:tc>
          <w:tcPr>
            <w:tcW w:w="4621" w:type="dxa"/>
            <w:tcBorders>
              <w:top w:val="single" w:sz="4" w:space="0" w:color="auto"/>
              <w:left w:val="single" w:sz="4" w:space="0" w:color="auto"/>
              <w:bottom w:val="single" w:sz="4" w:space="0" w:color="auto"/>
              <w:right w:val="single" w:sz="4" w:space="0" w:color="auto"/>
            </w:tcBorders>
            <w:vAlign w:val="center"/>
            <w:hideMark/>
          </w:tcPr>
          <w:p w14:paraId="25C147AA"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ANTIVIRAL DRUGS</w:t>
            </w:r>
          </w:p>
        </w:tc>
        <w:tc>
          <w:tcPr>
            <w:tcW w:w="1744" w:type="dxa"/>
            <w:tcBorders>
              <w:top w:val="single" w:sz="4" w:space="0" w:color="auto"/>
              <w:left w:val="nil"/>
              <w:bottom w:val="single" w:sz="4" w:space="0" w:color="auto"/>
              <w:right w:val="single" w:sz="4" w:space="0" w:color="auto"/>
            </w:tcBorders>
            <w:shd w:val="clear" w:color="000000" w:fill="FFFFFF"/>
            <w:vAlign w:val="center"/>
            <w:hideMark/>
          </w:tcPr>
          <w:p w14:paraId="02E711B7"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FREQUENCY</w:t>
            </w:r>
          </w:p>
          <w:p w14:paraId="759F3B7F"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(n=150)</w:t>
            </w:r>
          </w:p>
        </w:tc>
        <w:tc>
          <w:tcPr>
            <w:tcW w:w="2114" w:type="dxa"/>
            <w:tcBorders>
              <w:top w:val="single" w:sz="4" w:space="0" w:color="auto"/>
              <w:left w:val="nil"/>
              <w:bottom w:val="single" w:sz="4" w:space="0" w:color="auto"/>
              <w:right w:val="single" w:sz="4" w:space="0" w:color="auto"/>
            </w:tcBorders>
            <w:shd w:val="clear" w:color="000000" w:fill="FFFFFF"/>
            <w:vAlign w:val="center"/>
            <w:hideMark/>
          </w:tcPr>
          <w:p w14:paraId="78BA62CF"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PERCENTAGE (%)</w:t>
            </w:r>
          </w:p>
        </w:tc>
      </w:tr>
      <w:tr w:rsidR="0073484E" w:rsidRPr="00E67880" w14:paraId="3E7D4EAB" w14:textId="77777777" w:rsidTr="0075207F">
        <w:trPr>
          <w:trHeight w:val="610"/>
        </w:trPr>
        <w:tc>
          <w:tcPr>
            <w:tcW w:w="4621" w:type="dxa"/>
            <w:tcBorders>
              <w:top w:val="nil"/>
              <w:left w:val="single" w:sz="4" w:space="0" w:color="auto"/>
              <w:bottom w:val="single" w:sz="4" w:space="0" w:color="auto"/>
              <w:right w:val="single" w:sz="4" w:space="0" w:color="auto"/>
            </w:tcBorders>
            <w:noWrap/>
            <w:vAlign w:val="center"/>
            <w:hideMark/>
          </w:tcPr>
          <w:p w14:paraId="03559D84"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OTHERS</w:t>
            </w:r>
          </w:p>
        </w:tc>
        <w:tc>
          <w:tcPr>
            <w:tcW w:w="1744" w:type="dxa"/>
            <w:tcBorders>
              <w:top w:val="nil"/>
              <w:left w:val="nil"/>
              <w:bottom w:val="single" w:sz="4" w:space="0" w:color="auto"/>
              <w:right w:val="single" w:sz="4" w:space="0" w:color="auto"/>
            </w:tcBorders>
            <w:shd w:val="clear" w:color="000000" w:fill="FFFFFF"/>
            <w:noWrap/>
            <w:vAlign w:val="center"/>
            <w:hideMark/>
          </w:tcPr>
          <w:p w14:paraId="06888D0D"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115</w:t>
            </w:r>
          </w:p>
        </w:tc>
        <w:tc>
          <w:tcPr>
            <w:tcW w:w="2114" w:type="dxa"/>
            <w:tcBorders>
              <w:top w:val="nil"/>
              <w:left w:val="nil"/>
              <w:bottom w:val="single" w:sz="4" w:space="0" w:color="auto"/>
              <w:right w:val="single" w:sz="4" w:space="0" w:color="auto"/>
            </w:tcBorders>
            <w:shd w:val="clear" w:color="000000" w:fill="FFFFFF"/>
            <w:noWrap/>
            <w:vAlign w:val="center"/>
            <w:hideMark/>
          </w:tcPr>
          <w:p w14:paraId="3F97D2C3"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76.7</w:t>
            </w:r>
          </w:p>
        </w:tc>
      </w:tr>
      <w:tr w:rsidR="0073484E" w:rsidRPr="00E67880" w14:paraId="7A39A8D2" w14:textId="77777777" w:rsidTr="0075207F">
        <w:trPr>
          <w:trHeight w:val="328"/>
        </w:trPr>
        <w:tc>
          <w:tcPr>
            <w:tcW w:w="4621" w:type="dxa"/>
            <w:tcBorders>
              <w:top w:val="nil"/>
              <w:left w:val="single" w:sz="4" w:space="0" w:color="auto"/>
              <w:bottom w:val="single" w:sz="4" w:space="0" w:color="auto"/>
              <w:right w:val="single" w:sz="4" w:space="0" w:color="auto"/>
            </w:tcBorders>
            <w:vAlign w:val="center"/>
            <w:hideMark/>
          </w:tcPr>
          <w:p w14:paraId="683FC91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ACYCLOVIR</w:t>
            </w:r>
          </w:p>
        </w:tc>
        <w:tc>
          <w:tcPr>
            <w:tcW w:w="1744" w:type="dxa"/>
            <w:tcBorders>
              <w:top w:val="nil"/>
              <w:left w:val="nil"/>
              <w:bottom w:val="single" w:sz="4" w:space="0" w:color="auto"/>
              <w:right w:val="single" w:sz="4" w:space="0" w:color="auto"/>
            </w:tcBorders>
            <w:shd w:val="clear" w:color="000000" w:fill="FFFFFF"/>
            <w:noWrap/>
            <w:vAlign w:val="center"/>
            <w:hideMark/>
          </w:tcPr>
          <w:p w14:paraId="72116DEF"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5</w:t>
            </w:r>
          </w:p>
        </w:tc>
        <w:tc>
          <w:tcPr>
            <w:tcW w:w="2114" w:type="dxa"/>
            <w:tcBorders>
              <w:top w:val="nil"/>
              <w:left w:val="nil"/>
              <w:bottom w:val="single" w:sz="4" w:space="0" w:color="auto"/>
              <w:right w:val="single" w:sz="4" w:space="0" w:color="auto"/>
            </w:tcBorders>
            <w:shd w:val="clear" w:color="000000" w:fill="FFFFFF"/>
            <w:noWrap/>
            <w:vAlign w:val="center"/>
            <w:hideMark/>
          </w:tcPr>
          <w:p w14:paraId="21B36515"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3.3</w:t>
            </w:r>
          </w:p>
        </w:tc>
      </w:tr>
      <w:tr w:rsidR="0073484E" w:rsidRPr="00E67880" w14:paraId="0657D92F" w14:textId="77777777" w:rsidTr="0075207F">
        <w:trPr>
          <w:trHeight w:val="385"/>
        </w:trPr>
        <w:tc>
          <w:tcPr>
            <w:tcW w:w="4621" w:type="dxa"/>
            <w:tcBorders>
              <w:top w:val="nil"/>
              <w:left w:val="single" w:sz="4" w:space="0" w:color="auto"/>
              <w:bottom w:val="single" w:sz="4" w:space="0" w:color="auto"/>
              <w:right w:val="single" w:sz="4" w:space="0" w:color="auto"/>
            </w:tcBorders>
            <w:vAlign w:val="center"/>
            <w:hideMark/>
          </w:tcPr>
          <w:p w14:paraId="110E8A76"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lastRenderedPageBreak/>
              <w:t>OSELTAMIVIR PHOSPHATE</w:t>
            </w:r>
          </w:p>
        </w:tc>
        <w:tc>
          <w:tcPr>
            <w:tcW w:w="1744" w:type="dxa"/>
            <w:tcBorders>
              <w:top w:val="nil"/>
              <w:left w:val="nil"/>
              <w:bottom w:val="single" w:sz="4" w:space="0" w:color="auto"/>
              <w:right w:val="single" w:sz="4" w:space="0" w:color="auto"/>
            </w:tcBorders>
            <w:shd w:val="clear" w:color="000000" w:fill="FFFFFF"/>
            <w:noWrap/>
            <w:vAlign w:val="center"/>
            <w:hideMark/>
          </w:tcPr>
          <w:p w14:paraId="75E2823E"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29</w:t>
            </w:r>
          </w:p>
        </w:tc>
        <w:tc>
          <w:tcPr>
            <w:tcW w:w="2114" w:type="dxa"/>
            <w:tcBorders>
              <w:top w:val="nil"/>
              <w:left w:val="nil"/>
              <w:bottom w:val="single" w:sz="4" w:space="0" w:color="auto"/>
              <w:right w:val="single" w:sz="4" w:space="0" w:color="auto"/>
            </w:tcBorders>
            <w:shd w:val="clear" w:color="000000" w:fill="FFFFFF"/>
            <w:noWrap/>
            <w:vAlign w:val="center"/>
            <w:hideMark/>
          </w:tcPr>
          <w:p w14:paraId="0DAB7944"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19.33</w:t>
            </w:r>
          </w:p>
        </w:tc>
      </w:tr>
      <w:tr w:rsidR="0073484E" w:rsidRPr="00E67880" w14:paraId="3330FF20" w14:textId="77777777" w:rsidTr="0075207F">
        <w:trPr>
          <w:trHeight w:val="225"/>
        </w:trPr>
        <w:tc>
          <w:tcPr>
            <w:tcW w:w="4621" w:type="dxa"/>
            <w:tcBorders>
              <w:top w:val="nil"/>
              <w:left w:val="single" w:sz="4" w:space="0" w:color="auto"/>
              <w:bottom w:val="single" w:sz="4" w:space="0" w:color="auto"/>
              <w:right w:val="single" w:sz="4" w:space="0" w:color="auto"/>
            </w:tcBorders>
            <w:vAlign w:val="center"/>
            <w:hideMark/>
          </w:tcPr>
          <w:p w14:paraId="73338B6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ZANAMIVIR</w:t>
            </w:r>
          </w:p>
        </w:tc>
        <w:tc>
          <w:tcPr>
            <w:tcW w:w="1744" w:type="dxa"/>
            <w:tcBorders>
              <w:top w:val="nil"/>
              <w:left w:val="nil"/>
              <w:bottom w:val="single" w:sz="4" w:space="0" w:color="auto"/>
              <w:right w:val="single" w:sz="4" w:space="0" w:color="auto"/>
            </w:tcBorders>
            <w:shd w:val="clear" w:color="000000" w:fill="FFFFFF"/>
            <w:noWrap/>
            <w:vAlign w:val="center"/>
            <w:hideMark/>
          </w:tcPr>
          <w:p w14:paraId="1B7707FE"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w:t>
            </w:r>
          </w:p>
        </w:tc>
        <w:tc>
          <w:tcPr>
            <w:tcW w:w="2114" w:type="dxa"/>
            <w:tcBorders>
              <w:top w:val="nil"/>
              <w:left w:val="nil"/>
              <w:bottom w:val="single" w:sz="4" w:space="0" w:color="auto"/>
              <w:right w:val="single" w:sz="4" w:space="0" w:color="auto"/>
            </w:tcBorders>
            <w:shd w:val="clear" w:color="000000" w:fill="FFFFFF"/>
            <w:noWrap/>
            <w:vAlign w:val="center"/>
            <w:hideMark/>
          </w:tcPr>
          <w:p w14:paraId="407A6993"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0.7</w:t>
            </w:r>
          </w:p>
        </w:tc>
      </w:tr>
      <w:tr w:rsidR="0073484E" w:rsidRPr="00E67880" w14:paraId="65F32D00" w14:textId="77777777" w:rsidTr="0075207F">
        <w:trPr>
          <w:trHeight w:val="497"/>
        </w:trPr>
        <w:tc>
          <w:tcPr>
            <w:tcW w:w="4621" w:type="dxa"/>
            <w:tcBorders>
              <w:top w:val="nil"/>
              <w:left w:val="single" w:sz="4" w:space="0" w:color="auto"/>
              <w:bottom w:val="single" w:sz="4" w:space="0" w:color="auto"/>
              <w:right w:val="single" w:sz="4" w:space="0" w:color="auto"/>
            </w:tcBorders>
            <w:shd w:val="clear" w:color="000000" w:fill="FFFFFF"/>
            <w:vAlign w:val="center"/>
            <w:hideMark/>
          </w:tcPr>
          <w:p w14:paraId="79B8367A"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TOTAL</w:t>
            </w:r>
          </w:p>
        </w:tc>
        <w:tc>
          <w:tcPr>
            <w:tcW w:w="1744" w:type="dxa"/>
            <w:tcBorders>
              <w:top w:val="nil"/>
              <w:left w:val="nil"/>
              <w:bottom w:val="single" w:sz="4" w:space="0" w:color="auto"/>
              <w:right w:val="single" w:sz="4" w:space="0" w:color="auto"/>
            </w:tcBorders>
            <w:shd w:val="clear" w:color="000000" w:fill="FFFFFF"/>
            <w:noWrap/>
            <w:vAlign w:val="center"/>
            <w:hideMark/>
          </w:tcPr>
          <w:p w14:paraId="2B0EEDF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150</w:t>
            </w:r>
          </w:p>
        </w:tc>
        <w:tc>
          <w:tcPr>
            <w:tcW w:w="2114" w:type="dxa"/>
            <w:tcBorders>
              <w:top w:val="nil"/>
              <w:left w:val="nil"/>
              <w:bottom w:val="single" w:sz="4" w:space="0" w:color="auto"/>
              <w:right w:val="single" w:sz="4" w:space="0" w:color="auto"/>
            </w:tcBorders>
            <w:shd w:val="clear" w:color="000000" w:fill="FFFFFF"/>
            <w:noWrap/>
            <w:vAlign w:val="center"/>
            <w:hideMark/>
          </w:tcPr>
          <w:p w14:paraId="76CB07B2"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100.0</w:t>
            </w:r>
          </w:p>
        </w:tc>
      </w:tr>
    </w:tbl>
    <w:p w14:paraId="546BB0C6" w14:textId="77777777" w:rsidR="0073484E" w:rsidRDefault="0073484E" w:rsidP="00387FE5">
      <w:pPr>
        <w:tabs>
          <w:tab w:val="left" w:pos="284"/>
        </w:tabs>
        <w:rPr>
          <w:rFonts w:ascii="Arial" w:hAnsi="Arial" w:cs="Arial"/>
        </w:rPr>
      </w:pPr>
    </w:p>
    <w:p w14:paraId="2421F170" w14:textId="7B1AF666" w:rsidR="00387FE5" w:rsidRDefault="00387FE5" w:rsidP="00387FE5">
      <w:pPr>
        <w:tabs>
          <w:tab w:val="left" w:pos="284"/>
        </w:tabs>
        <w:rPr>
          <w:rFonts w:ascii="Arial" w:hAnsi="Arial" w:cs="Arial"/>
        </w:rPr>
      </w:pPr>
      <w:r w:rsidRPr="00387FE5">
        <w:rPr>
          <w:rFonts w:ascii="Arial" w:hAnsi="Arial" w:cs="Arial"/>
        </w:rPr>
        <w:t xml:space="preserve"> Ancillary medications such as Acetaminophen (88.7%), Guaifenesin–Terbutaline–Bromhexine combinations (33.3%), and inhaled Budesonide (10.7%) were also frequently prescribed, as shown in Table 3.</w:t>
      </w:r>
    </w:p>
    <w:p w14:paraId="3F2DA0E2" w14:textId="77777777" w:rsidR="0073484E" w:rsidRDefault="0073484E" w:rsidP="00387FE5">
      <w:pPr>
        <w:tabs>
          <w:tab w:val="left" w:pos="284"/>
        </w:tabs>
        <w:rPr>
          <w:rFonts w:ascii="Arial" w:hAnsi="Arial" w:cs="Arial"/>
        </w:rPr>
      </w:pPr>
    </w:p>
    <w:p w14:paraId="0D48C955" w14:textId="3EE2FE39" w:rsidR="0073484E" w:rsidRPr="0073484E" w:rsidRDefault="0073484E" w:rsidP="0073484E">
      <w:pPr>
        <w:tabs>
          <w:tab w:val="left" w:pos="284"/>
        </w:tabs>
        <w:spacing w:line="360" w:lineRule="auto"/>
        <w:rPr>
          <w:rFonts w:ascii="Arial" w:hAnsi="Arial" w:cs="Arial"/>
          <w:b/>
          <w:bCs/>
        </w:rPr>
      </w:pPr>
      <w:r w:rsidRPr="0073484E">
        <w:rPr>
          <w:rFonts w:ascii="Arial" w:hAnsi="Arial" w:cs="Arial"/>
          <w:b/>
          <w:bCs/>
        </w:rPr>
        <w:t>Table 3. Ancillary medications used in respiratory tract infections</w:t>
      </w:r>
    </w:p>
    <w:p w14:paraId="5FF3BC2D" w14:textId="77777777" w:rsidR="0073484E" w:rsidRDefault="0073484E" w:rsidP="00387FE5">
      <w:pPr>
        <w:tabs>
          <w:tab w:val="left" w:pos="284"/>
        </w:tabs>
        <w:rPr>
          <w:rFonts w:ascii="Arial" w:hAnsi="Arial" w:cs="Arial"/>
        </w:rPr>
      </w:pPr>
    </w:p>
    <w:tbl>
      <w:tblPr>
        <w:tblStyle w:val="TableGrid"/>
        <w:tblW w:w="9021" w:type="dxa"/>
        <w:tblInd w:w="-5" w:type="dxa"/>
        <w:tblLook w:val="04A0" w:firstRow="1" w:lastRow="0" w:firstColumn="1" w:lastColumn="0" w:noHBand="0" w:noVBand="1"/>
      </w:tblPr>
      <w:tblGrid>
        <w:gridCol w:w="5528"/>
        <w:gridCol w:w="1676"/>
        <w:gridCol w:w="1817"/>
      </w:tblGrid>
      <w:tr w:rsidR="0073484E" w:rsidRPr="00E67880" w14:paraId="7031BE57" w14:textId="77777777" w:rsidTr="0073484E">
        <w:trPr>
          <w:trHeight w:val="232"/>
        </w:trPr>
        <w:tc>
          <w:tcPr>
            <w:tcW w:w="5528" w:type="dxa"/>
            <w:noWrap/>
            <w:hideMark/>
          </w:tcPr>
          <w:p w14:paraId="680F969B"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ANCILLARY MEDICATIONS</w:t>
            </w:r>
          </w:p>
        </w:tc>
        <w:tc>
          <w:tcPr>
            <w:tcW w:w="1676" w:type="dxa"/>
            <w:noWrap/>
            <w:hideMark/>
          </w:tcPr>
          <w:p w14:paraId="39119AFD"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FREQUENCY</w:t>
            </w:r>
          </w:p>
          <w:p w14:paraId="7373BE37"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(n=150)</w:t>
            </w:r>
          </w:p>
        </w:tc>
        <w:tc>
          <w:tcPr>
            <w:tcW w:w="1817" w:type="dxa"/>
            <w:noWrap/>
            <w:hideMark/>
          </w:tcPr>
          <w:p w14:paraId="3A5529CF"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PERCENTAGE (%)</w:t>
            </w:r>
          </w:p>
        </w:tc>
      </w:tr>
      <w:tr w:rsidR="0073484E" w:rsidRPr="00E67880" w14:paraId="19E2449A" w14:textId="77777777" w:rsidTr="0073484E">
        <w:trPr>
          <w:trHeight w:val="225"/>
        </w:trPr>
        <w:tc>
          <w:tcPr>
            <w:tcW w:w="5528" w:type="dxa"/>
            <w:noWrap/>
            <w:hideMark/>
          </w:tcPr>
          <w:p w14:paraId="3F600F22"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ACETAMINOPHEN</w:t>
            </w:r>
          </w:p>
        </w:tc>
        <w:tc>
          <w:tcPr>
            <w:tcW w:w="1676" w:type="dxa"/>
            <w:noWrap/>
            <w:hideMark/>
          </w:tcPr>
          <w:p w14:paraId="63316B2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c>
          <w:tcPr>
            <w:tcW w:w="1817" w:type="dxa"/>
            <w:noWrap/>
            <w:hideMark/>
          </w:tcPr>
          <w:p w14:paraId="79E9D02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88.67</w:t>
            </w:r>
          </w:p>
        </w:tc>
      </w:tr>
      <w:tr w:rsidR="0073484E" w:rsidRPr="00E67880" w14:paraId="161B1698" w14:textId="77777777" w:rsidTr="0073484E">
        <w:trPr>
          <w:trHeight w:val="225"/>
        </w:trPr>
        <w:tc>
          <w:tcPr>
            <w:tcW w:w="5528" w:type="dxa"/>
            <w:noWrap/>
            <w:hideMark/>
          </w:tcPr>
          <w:p w14:paraId="186E8DD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AMBROXOL HCl</w:t>
            </w:r>
          </w:p>
        </w:tc>
        <w:tc>
          <w:tcPr>
            <w:tcW w:w="1676" w:type="dxa"/>
            <w:noWrap/>
            <w:hideMark/>
          </w:tcPr>
          <w:p w14:paraId="6444D01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15</w:t>
            </w:r>
          </w:p>
        </w:tc>
        <w:tc>
          <w:tcPr>
            <w:tcW w:w="1817" w:type="dxa"/>
            <w:noWrap/>
            <w:hideMark/>
          </w:tcPr>
          <w:p w14:paraId="3EEFF1C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w:t>
            </w:r>
          </w:p>
        </w:tc>
      </w:tr>
      <w:tr w:rsidR="0073484E" w:rsidRPr="00E67880" w14:paraId="1626CC6D" w14:textId="77777777" w:rsidTr="0073484E">
        <w:trPr>
          <w:trHeight w:val="224"/>
        </w:trPr>
        <w:tc>
          <w:tcPr>
            <w:tcW w:w="5528" w:type="dxa"/>
            <w:hideMark/>
          </w:tcPr>
          <w:p w14:paraId="283E7AA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GUAIFENESIN+TERTBUTALINE+BROMHEXANE</w:t>
            </w:r>
          </w:p>
        </w:tc>
        <w:tc>
          <w:tcPr>
            <w:tcW w:w="1676" w:type="dxa"/>
            <w:hideMark/>
          </w:tcPr>
          <w:p w14:paraId="7FF3D2F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50</w:t>
            </w:r>
          </w:p>
        </w:tc>
        <w:tc>
          <w:tcPr>
            <w:tcW w:w="1817" w:type="dxa"/>
            <w:noWrap/>
            <w:hideMark/>
          </w:tcPr>
          <w:p w14:paraId="47F17BC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33.33</w:t>
            </w:r>
          </w:p>
        </w:tc>
      </w:tr>
      <w:tr w:rsidR="0073484E" w:rsidRPr="00E67880" w14:paraId="6F876960" w14:textId="77777777" w:rsidTr="0073484E">
        <w:trPr>
          <w:trHeight w:val="225"/>
        </w:trPr>
        <w:tc>
          <w:tcPr>
            <w:tcW w:w="5528" w:type="dxa"/>
            <w:noWrap/>
            <w:hideMark/>
          </w:tcPr>
          <w:p w14:paraId="697D357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XYLOMETAZOLINE</w:t>
            </w:r>
          </w:p>
        </w:tc>
        <w:tc>
          <w:tcPr>
            <w:tcW w:w="1676" w:type="dxa"/>
            <w:noWrap/>
            <w:hideMark/>
          </w:tcPr>
          <w:p w14:paraId="03799F4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817" w:type="dxa"/>
            <w:noWrap/>
            <w:hideMark/>
          </w:tcPr>
          <w:p w14:paraId="6BDF45D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C20BD37" w14:textId="77777777" w:rsidTr="0073484E">
        <w:trPr>
          <w:trHeight w:val="307"/>
        </w:trPr>
        <w:tc>
          <w:tcPr>
            <w:tcW w:w="5528" w:type="dxa"/>
            <w:noWrap/>
            <w:hideMark/>
          </w:tcPr>
          <w:p w14:paraId="38E2761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LEVOCETRIZINE</w:t>
            </w:r>
          </w:p>
        </w:tc>
        <w:tc>
          <w:tcPr>
            <w:tcW w:w="1676" w:type="dxa"/>
            <w:noWrap/>
            <w:hideMark/>
          </w:tcPr>
          <w:p w14:paraId="62D9580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c>
          <w:tcPr>
            <w:tcW w:w="1817" w:type="dxa"/>
            <w:noWrap/>
            <w:hideMark/>
          </w:tcPr>
          <w:p w14:paraId="4713C2B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2.67</w:t>
            </w:r>
          </w:p>
        </w:tc>
      </w:tr>
      <w:tr w:rsidR="0073484E" w:rsidRPr="00E67880" w14:paraId="46E90587" w14:textId="77777777" w:rsidTr="0073484E">
        <w:trPr>
          <w:trHeight w:val="224"/>
        </w:trPr>
        <w:tc>
          <w:tcPr>
            <w:tcW w:w="5528" w:type="dxa"/>
            <w:hideMark/>
          </w:tcPr>
          <w:p w14:paraId="6F07DAA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AMBROXOL+LEVOSALBUTAMOL+GUAIFENESIN</w:t>
            </w:r>
          </w:p>
        </w:tc>
        <w:tc>
          <w:tcPr>
            <w:tcW w:w="1676" w:type="dxa"/>
            <w:noWrap/>
            <w:hideMark/>
          </w:tcPr>
          <w:p w14:paraId="1B5CBD5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817" w:type="dxa"/>
            <w:noWrap/>
            <w:hideMark/>
          </w:tcPr>
          <w:p w14:paraId="4FD8B01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559A1A02" w14:textId="77777777" w:rsidTr="0073484E">
        <w:trPr>
          <w:trHeight w:val="451"/>
        </w:trPr>
        <w:tc>
          <w:tcPr>
            <w:tcW w:w="5528" w:type="dxa"/>
            <w:hideMark/>
          </w:tcPr>
          <w:p w14:paraId="7485E05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CHLORPHENIRAMINE MALEATE+PHENYLEPHRINE</w:t>
            </w:r>
          </w:p>
        </w:tc>
        <w:tc>
          <w:tcPr>
            <w:tcW w:w="1676" w:type="dxa"/>
            <w:noWrap/>
            <w:hideMark/>
          </w:tcPr>
          <w:p w14:paraId="4EFC2A5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w:t>
            </w:r>
          </w:p>
        </w:tc>
        <w:tc>
          <w:tcPr>
            <w:tcW w:w="1817" w:type="dxa"/>
            <w:noWrap/>
            <w:hideMark/>
          </w:tcPr>
          <w:p w14:paraId="3AF1496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6.67</w:t>
            </w:r>
          </w:p>
        </w:tc>
      </w:tr>
      <w:tr w:rsidR="0073484E" w:rsidRPr="00E67880" w14:paraId="2B54CAA3" w14:textId="77777777" w:rsidTr="0073484E">
        <w:trPr>
          <w:trHeight w:val="225"/>
        </w:trPr>
        <w:tc>
          <w:tcPr>
            <w:tcW w:w="5528" w:type="dxa"/>
            <w:hideMark/>
          </w:tcPr>
          <w:p w14:paraId="13E4A8E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SALINE NASAL DROPS</w:t>
            </w:r>
          </w:p>
        </w:tc>
        <w:tc>
          <w:tcPr>
            <w:tcW w:w="1676" w:type="dxa"/>
            <w:noWrap/>
            <w:hideMark/>
          </w:tcPr>
          <w:p w14:paraId="4630682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w:t>
            </w:r>
          </w:p>
        </w:tc>
        <w:tc>
          <w:tcPr>
            <w:tcW w:w="1817" w:type="dxa"/>
            <w:noWrap/>
            <w:hideMark/>
          </w:tcPr>
          <w:p w14:paraId="4A188FE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6.67</w:t>
            </w:r>
          </w:p>
        </w:tc>
      </w:tr>
      <w:tr w:rsidR="0073484E" w:rsidRPr="00E67880" w14:paraId="739EB189" w14:textId="77777777" w:rsidTr="0073484E">
        <w:trPr>
          <w:trHeight w:val="180"/>
        </w:trPr>
        <w:tc>
          <w:tcPr>
            <w:tcW w:w="5528" w:type="dxa"/>
            <w:hideMark/>
          </w:tcPr>
          <w:p w14:paraId="6EEE9A8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DEXTROMETHORPHAN +CHLORPHENIRAMINE</w:t>
            </w:r>
          </w:p>
        </w:tc>
        <w:tc>
          <w:tcPr>
            <w:tcW w:w="1676" w:type="dxa"/>
            <w:noWrap/>
            <w:hideMark/>
          </w:tcPr>
          <w:p w14:paraId="52AAA8D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7</w:t>
            </w:r>
          </w:p>
        </w:tc>
        <w:tc>
          <w:tcPr>
            <w:tcW w:w="1817" w:type="dxa"/>
            <w:noWrap/>
            <w:hideMark/>
          </w:tcPr>
          <w:p w14:paraId="781C601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4.67</w:t>
            </w:r>
          </w:p>
        </w:tc>
      </w:tr>
      <w:tr w:rsidR="0073484E" w:rsidRPr="00E67880" w14:paraId="71AD5CEA" w14:textId="77777777" w:rsidTr="0073484E">
        <w:trPr>
          <w:trHeight w:val="225"/>
        </w:trPr>
        <w:tc>
          <w:tcPr>
            <w:tcW w:w="5528" w:type="dxa"/>
            <w:hideMark/>
          </w:tcPr>
          <w:p w14:paraId="2A0DBFB2"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SALBUTAMOL</w:t>
            </w:r>
          </w:p>
        </w:tc>
        <w:tc>
          <w:tcPr>
            <w:tcW w:w="1676" w:type="dxa"/>
            <w:noWrap/>
            <w:hideMark/>
          </w:tcPr>
          <w:p w14:paraId="6C7FCAE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14</w:t>
            </w:r>
          </w:p>
        </w:tc>
        <w:tc>
          <w:tcPr>
            <w:tcW w:w="1817" w:type="dxa"/>
            <w:noWrap/>
            <w:hideMark/>
          </w:tcPr>
          <w:p w14:paraId="7D99004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9.33</w:t>
            </w:r>
          </w:p>
        </w:tc>
      </w:tr>
      <w:tr w:rsidR="0073484E" w:rsidRPr="00E67880" w14:paraId="23D0CFA9" w14:textId="77777777" w:rsidTr="0073484E">
        <w:trPr>
          <w:trHeight w:val="225"/>
        </w:trPr>
        <w:tc>
          <w:tcPr>
            <w:tcW w:w="5528" w:type="dxa"/>
            <w:hideMark/>
          </w:tcPr>
          <w:p w14:paraId="22D2803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BUDESONIDE</w:t>
            </w:r>
          </w:p>
        </w:tc>
        <w:tc>
          <w:tcPr>
            <w:tcW w:w="1676" w:type="dxa"/>
            <w:noWrap/>
            <w:hideMark/>
          </w:tcPr>
          <w:p w14:paraId="008D4D32"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16</w:t>
            </w:r>
          </w:p>
        </w:tc>
        <w:tc>
          <w:tcPr>
            <w:tcW w:w="1817" w:type="dxa"/>
            <w:noWrap/>
            <w:hideMark/>
          </w:tcPr>
          <w:p w14:paraId="47D725C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10.67</w:t>
            </w:r>
          </w:p>
        </w:tc>
      </w:tr>
      <w:tr w:rsidR="0073484E" w:rsidRPr="00E67880" w14:paraId="18FBD0F1" w14:textId="77777777" w:rsidTr="0073484E">
        <w:trPr>
          <w:trHeight w:val="156"/>
        </w:trPr>
        <w:tc>
          <w:tcPr>
            <w:tcW w:w="5528" w:type="dxa"/>
            <w:hideMark/>
          </w:tcPr>
          <w:p w14:paraId="1CBB443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FORMOTEROL FUMARATE+BUDESONIDE</w:t>
            </w:r>
          </w:p>
        </w:tc>
        <w:tc>
          <w:tcPr>
            <w:tcW w:w="1676" w:type="dxa"/>
            <w:noWrap/>
            <w:hideMark/>
          </w:tcPr>
          <w:p w14:paraId="57349FD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817" w:type="dxa"/>
            <w:noWrap/>
            <w:hideMark/>
          </w:tcPr>
          <w:p w14:paraId="18E4B4E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191AF52A" w14:textId="77777777" w:rsidTr="0073484E">
        <w:trPr>
          <w:trHeight w:val="225"/>
        </w:trPr>
        <w:tc>
          <w:tcPr>
            <w:tcW w:w="5528" w:type="dxa"/>
            <w:hideMark/>
          </w:tcPr>
          <w:p w14:paraId="0F8B5FA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IPRATROPIUM BROMIDE</w:t>
            </w:r>
          </w:p>
        </w:tc>
        <w:tc>
          <w:tcPr>
            <w:tcW w:w="1676" w:type="dxa"/>
            <w:noWrap/>
            <w:hideMark/>
          </w:tcPr>
          <w:p w14:paraId="70E25D8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w:t>
            </w:r>
          </w:p>
        </w:tc>
        <w:tc>
          <w:tcPr>
            <w:tcW w:w="1817" w:type="dxa"/>
            <w:noWrap/>
            <w:hideMark/>
          </w:tcPr>
          <w:p w14:paraId="372B745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r>
      <w:tr w:rsidR="0073484E" w:rsidRPr="00E67880" w14:paraId="0556FABD" w14:textId="77777777" w:rsidTr="0073484E">
        <w:trPr>
          <w:trHeight w:val="225"/>
        </w:trPr>
        <w:tc>
          <w:tcPr>
            <w:tcW w:w="5528" w:type="dxa"/>
            <w:hideMark/>
          </w:tcPr>
          <w:p w14:paraId="3A3C11A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DEXAMETHASONE</w:t>
            </w:r>
          </w:p>
        </w:tc>
        <w:tc>
          <w:tcPr>
            <w:tcW w:w="1676" w:type="dxa"/>
            <w:noWrap/>
            <w:hideMark/>
          </w:tcPr>
          <w:p w14:paraId="2D7DA21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817" w:type="dxa"/>
            <w:noWrap/>
            <w:hideMark/>
          </w:tcPr>
          <w:p w14:paraId="47BEFF5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326C7C65" w14:textId="77777777" w:rsidTr="0073484E">
        <w:trPr>
          <w:trHeight w:val="225"/>
        </w:trPr>
        <w:tc>
          <w:tcPr>
            <w:tcW w:w="5528" w:type="dxa"/>
            <w:hideMark/>
          </w:tcPr>
          <w:p w14:paraId="74DDCC5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METHYL PREDNISOLONE</w:t>
            </w:r>
          </w:p>
        </w:tc>
        <w:tc>
          <w:tcPr>
            <w:tcW w:w="1676" w:type="dxa"/>
            <w:noWrap/>
            <w:hideMark/>
          </w:tcPr>
          <w:p w14:paraId="7BF63CB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c>
          <w:tcPr>
            <w:tcW w:w="1817" w:type="dxa"/>
            <w:noWrap/>
            <w:hideMark/>
          </w:tcPr>
          <w:p w14:paraId="3083269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2.67</w:t>
            </w:r>
          </w:p>
        </w:tc>
      </w:tr>
    </w:tbl>
    <w:p w14:paraId="42CC4544" w14:textId="77777777" w:rsidR="0073484E" w:rsidRPr="00387FE5" w:rsidRDefault="0073484E" w:rsidP="00387FE5">
      <w:pPr>
        <w:tabs>
          <w:tab w:val="left" w:pos="284"/>
        </w:tabs>
        <w:rPr>
          <w:rFonts w:ascii="Arial" w:hAnsi="Arial" w:cs="Arial"/>
        </w:rPr>
      </w:pPr>
    </w:p>
    <w:p w14:paraId="4538124E" w14:textId="77777777" w:rsidR="00387FE5" w:rsidRDefault="00387FE5" w:rsidP="00387FE5">
      <w:pPr>
        <w:tabs>
          <w:tab w:val="left" w:pos="284"/>
        </w:tabs>
        <w:rPr>
          <w:rFonts w:ascii="Arial" w:hAnsi="Arial" w:cs="Arial"/>
        </w:rPr>
      </w:pPr>
      <w:r w:rsidRPr="00387FE5">
        <w:rPr>
          <w:rFonts w:ascii="Arial" w:hAnsi="Arial" w:cs="Arial"/>
        </w:rPr>
        <w:t xml:space="preserve">Rationality assessment according to the Modified Kunin’s Criteria indicated that appropriate antimicrobial therapy was given in 113 patients (75.4%), while 37 patients (24.7%) received inappropriate therapy. Most appropriate prescriptions were classified under Criteria I (64.7%) and Criteria II (10.7%). Inappropriate prescriptions included those falling under Criteria III </w:t>
      </w:r>
      <w:r w:rsidRPr="00387FE5">
        <w:rPr>
          <w:rFonts w:ascii="Arial" w:hAnsi="Arial" w:cs="Arial"/>
        </w:rPr>
        <w:lastRenderedPageBreak/>
        <w:t>(15.3%), Criteria IV (4.7%), and Criteria VI (4.7%). Notably, none of the prescriptions were completely unjustified (Criteria V). The distribution of prescriptions across Kunin’s categories is presented in Table 4.</w:t>
      </w:r>
    </w:p>
    <w:p w14:paraId="25D894E5" w14:textId="77777777" w:rsidR="0073484E" w:rsidRPr="00B4155B" w:rsidRDefault="0073484E" w:rsidP="00387FE5">
      <w:pPr>
        <w:tabs>
          <w:tab w:val="left" w:pos="284"/>
        </w:tabs>
        <w:rPr>
          <w:rFonts w:ascii="Arial" w:hAnsi="Arial" w:cs="Arial"/>
          <w:b/>
          <w:bCs/>
          <w:sz w:val="16"/>
          <w:szCs w:val="16"/>
        </w:rPr>
      </w:pPr>
    </w:p>
    <w:p w14:paraId="614D008D" w14:textId="77777777" w:rsidR="0073484E" w:rsidRPr="00B4155B" w:rsidRDefault="0073484E" w:rsidP="0073484E">
      <w:pPr>
        <w:tabs>
          <w:tab w:val="left" w:pos="284"/>
        </w:tabs>
        <w:spacing w:line="360" w:lineRule="auto"/>
        <w:rPr>
          <w:rFonts w:ascii="Arial" w:hAnsi="Arial" w:cs="Arial"/>
          <w:b/>
          <w:bCs/>
        </w:rPr>
      </w:pPr>
      <w:r w:rsidRPr="00B4155B">
        <w:rPr>
          <w:rFonts w:ascii="Arial" w:hAnsi="Arial" w:cs="Arial"/>
          <w:b/>
          <w:bCs/>
        </w:rPr>
        <w:t>Table 4. Assessment of rationality of antimicrobials using Kunin’s criteria</w:t>
      </w:r>
    </w:p>
    <w:p w14:paraId="641D4A6A" w14:textId="77777777" w:rsidR="00387FE5" w:rsidRPr="00B4155B" w:rsidRDefault="00387FE5" w:rsidP="00387FE5">
      <w:pPr>
        <w:tabs>
          <w:tab w:val="left" w:pos="284"/>
        </w:tabs>
        <w:rPr>
          <w:rFonts w:ascii="Arial" w:hAnsi="Arial" w:cs="Arial"/>
          <w:b/>
          <w:bCs/>
          <w:sz w:val="16"/>
          <w:szCs w:val="16"/>
        </w:rPr>
      </w:pPr>
    </w:p>
    <w:tbl>
      <w:tblPr>
        <w:tblStyle w:val="TableGrid"/>
        <w:tblpPr w:leftFromText="180" w:rightFromText="180" w:vertAnchor="text" w:horzAnchor="margin" w:tblpY="110"/>
        <w:tblW w:w="9368" w:type="dxa"/>
        <w:tblLook w:val="04A0" w:firstRow="1" w:lastRow="0" w:firstColumn="1" w:lastColumn="0" w:noHBand="0" w:noVBand="1"/>
      </w:tblPr>
      <w:tblGrid>
        <w:gridCol w:w="7721"/>
        <w:gridCol w:w="1007"/>
        <w:gridCol w:w="640"/>
      </w:tblGrid>
      <w:tr w:rsidR="0073484E" w:rsidRPr="00E67880" w14:paraId="6BEE7B49" w14:textId="77777777" w:rsidTr="0073484E">
        <w:trPr>
          <w:trHeight w:val="357"/>
        </w:trPr>
        <w:tc>
          <w:tcPr>
            <w:tcW w:w="7721" w:type="dxa"/>
          </w:tcPr>
          <w:p w14:paraId="72E9537B" w14:textId="77777777" w:rsidR="0073484E" w:rsidRPr="0073484E" w:rsidRDefault="0073484E" w:rsidP="0073484E">
            <w:pPr>
              <w:tabs>
                <w:tab w:val="left" w:pos="284"/>
              </w:tabs>
              <w:spacing w:line="360" w:lineRule="auto"/>
              <w:rPr>
                <w:rFonts w:ascii="Arial" w:hAnsi="Arial" w:cs="Arial"/>
                <w:b/>
                <w:bCs/>
                <w:sz w:val="20"/>
                <w:szCs w:val="20"/>
              </w:rPr>
            </w:pPr>
            <w:r w:rsidRPr="0073484E">
              <w:rPr>
                <w:rFonts w:ascii="Arial" w:hAnsi="Arial" w:cs="Arial"/>
                <w:b/>
                <w:bCs/>
                <w:sz w:val="20"/>
                <w:szCs w:val="20"/>
              </w:rPr>
              <w:t>RATIONALITY ASSESSMENT (KUNINS CRITERIA)</w:t>
            </w:r>
          </w:p>
        </w:tc>
        <w:tc>
          <w:tcPr>
            <w:tcW w:w="1007" w:type="dxa"/>
            <w:vAlign w:val="center"/>
          </w:tcPr>
          <w:p w14:paraId="7C347A4F"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b/>
                <w:bCs/>
                <w:sz w:val="20"/>
                <w:szCs w:val="20"/>
                <w:lang w:eastAsia="en-IN"/>
              </w:rPr>
              <w:t>(n=150)</w:t>
            </w:r>
          </w:p>
        </w:tc>
        <w:tc>
          <w:tcPr>
            <w:tcW w:w="640" w:type="dxa"/>
            <w:vAlign w:val="center"/>
          </w:tcPr>
          <w:p w14:paraId="044526CF"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b/>
                <w:bCs/>
                <w:sz w:val="20"/>
                <w:szCs w:val="20"/>
                <w:lang w:eastAsia="en-IN"/>
              </w:rPr>
              <w:t>(%)</w:t>
            </w:r>
          </w:p>
        </w:tc>
      </w:tr>
      <w:tr w:rsidR="0073484E" w:rsidRPr="00E67880" w14:paraId="076CD0A2" w14:textId="77777777" w:rsidTr="0073484E">
        <w:trPr>
          <w:trHeight w:val="303"/>
        </w:trPr>
        <w:tc>
          <w:tcPr>
            <w:tcW w:w="7721" w:type="dxa"/>
          </w:tcPr>
          <w:p w14:paraId="36FC802E"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 Agree with the use of antimicrobial therapy, the protocol is appropriate</w:t>
            </w:r>
          </w:p>
        </w:tc>
        <w:tc>
          <w:tcPr>
            <w:tcW w:w="1007" w:type="dxa"/>
            <w:vAlign w:val="center"/>
          </w:tcPr>
          <w:p w14:paraId="0FCE247A"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97</w:t>
            </w:r>
          </w:p>
        </w:tc>
        <w:tc>
          <w:tcPr>
            <w:tcW w:w="640" w:type="dxa"/>
            <w:vAlign w:val="center"/>
          </w:tcPr>
          <w:p w14:paraId="725A25E6"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64.7</w:t>
            </w:r>
          </w:p>
        </w:tc>
      </w:tr>
      <w:tr w:rsidR="0073484E" w:rsidRPr="00E67880" w14:paraId="5821CE77" w14:textId="77777777" w:rsidTr="0073484E">
        <w:trPr>
          <w:trHeight w:val="1234"/>
        </w:trPr>
        <w:tc>
          <w:tcPr>
            <w:tcW w:w="7721" w:type="dxa"/>
          </w:tcPr>
          <w:p w14:paraId="748C95D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II: Agree with the use of antimicrobial therapy/prophylaxis, but a potentially fatal bacterial infection cannot be ruled out or prophylaxis is probably appropriate, (a microbiology report is missing to classify the protocol in another category)</w:t>
            </w:r>
          </w:p>
        </w:tc>
        <w:tc>
          <w:tcPr>
            <w:tcW w:w="1007" w:type="dxa"/>
            <w:vAlign w:val="center"/>
          </w:tcPr>
          <w:p w14:paraId="505E3645"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16</w:t>
            </w:r>
          </w:p>
        </w:tc>
        <w:tc>
          <w:tcPr>
            <w:tcW w:w="640" w:type="dxa"/>
            <w:vAlign w:val="center"/>
          </w:tcPr>
          <w:p w14:paraId="4954DFF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10.7</w:t>
            </w:r>
          </w:p>
        </w:tc>
      </w:tr>
      <w:tr w:rsidR="0073484E" w:rsidRPr="00E67880" w14:paraId="0D957875" w14:textId="77777777" w:rsidTr="0073484E">
        <w:trPr>
          <w:trHeight w:val="616"/>
        </w:trPr>
        <w:tc>
          <w:tcPr>
            <w:tcW w:w="7721" w:type="dxa"/>
          </w:tcPr>
          <w:p w14:paraId="23FA981A"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III: Agree with the use of antimicrobial therapy/prophylaxis, but a different (usually less expensive or toxic) antimicrobial is preferred.</w:t>
            </w:r>
          </w:p>
        </w:tc>
        <w:tc>
          <w:tcPr>
            <w:tcW w:w="1007" w:type="dxa"/>
            <w:vAlign w:val="center"/>
          </w:tcPr>
          <w:p w14:paraId="5FA9F45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23</w:t>
            </w:r>
          </w:p>
        </w:tc>
        <w:tc>
          <w:tcPr>
            <w:tcW w:w="640" w:type="dxa"/>
            <w:vAlign w:val="center"/>
          </w:tcPr>
          <w:p w14:paraId="1610623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15.3</w:t>
            </w:r>
          </w:p>
        </w:tc>
      </w:tr>
      <w:tr w:rsidR="0073484E" w:rsidRPr="00E67880" w14:paraId="011B386E" w14:textId="77777777" w:rsidTr="0073484E">
        <w:trPr>
          <w:trHeight w:val="616"/>
        </w:trPr>
        <w:tc>
          <w:tcPr>
            <w:tcW w:w="7721" w:type="dxa"/>
          </w:tcPr>
          <w:p w14:paraId="3A3AE01E"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IV: Agree with the use of antimicrobial therapy/prophylaxis, but a modified dose interval, duration, or route of administration as preferred</w:t>
            </w:r>
          </w:p>
        </w:tc>
        <w:tc>
          <w:tcPr>
            <w:tcW w:w="1007" w:type="dxa"/>
            <w:vAlign w:val="center"/>
          </w:tcPr>
          <w:p w14:paraId="7FB4C0E7"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7</w:t>
            </w:r>
          </w:p>
        </w:tc>
        <w:tc>
          <w:tcPr>
            <w:tcW w:w="640" w:type="dxa"/>
            <w:vAlign w:val="center"/>
          </w:tcPr>
          <w:p w14:paraId="54594E3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4.7</w:t>
            </w:r>
          </w:p>
        </w:tc>
      </w:tr>
      <w:tr w:rsidR="0073484E" w:rsidRPr="00E67880" w14:paraId="00F3870F" w14:textId="77777777" w:rsidTr="0073484E">
        <w:trPr>
          <w:trHeight w:val="616"/>
        </w:trPr>
        <w:tc>
          <w:tcPr>
            <w:tcW w:w="7721" w:type="dxa"/>
          </w:tcPr>
          <w:p w14:paraId="0C508544"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V: Disagree with the use of antimicrobial therapy/</w:t>
            </w:r>
            <w:proofErr w:type="gramStart"/>
            <w:r w:rsidRPr="0073484E">
              <w:rPr>
                <w:rFonts w:ascii="Arial" w:hAnsi="Arial" w:cs="Arial"/>
                <w:sz w:val="20"/>
                <w:szCs w:val="20"/>
              </w:rPr>
              <w:t>prophylaxis ,</w:t>
            </w:r>
            <w:proofErr w:type="gramEnd"/>
            <w:r w:rsidRPr="0073484E">
              <w:rPr>
                <w:rFonts w:ascii="Arial" w:hAnsi="Arial" w:cs="Arial"/>
                <w:sz w:val="20"/>
                <w:szCs w:val="20"/>
              </w:rPr>
              <w:t xml:space="preserve"> administration is unjustified</w:t>
            </w:r>
          </w:p>
        </w:tc>
        <w:tc>
          <w:tcPr>
            <w:tcW w:w="1007" w:type="dxa"/>
            <w:vAlign w:val="center"/>
          </w:tcPr>
          <w:p w14:paraId="0815491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0</w:t>
            </w:r>
          </w:p>
        </w:tc>
        <w:tc>
          <w:tcPr>
            <w:tcW w:w="640" w:type="dxa"/>
            <w:vAlign w:val="center"/>
          </w:tcPr>
          <w:p w14:paraId="33A2A07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0.0</w:t>
            </w:r>
          </w:p>
        </w:tc>
      </w:tr>
      <w:tr w:rsidR="0073484E" w:rsidRPr="00E67880" w14:paraId="489A9D2F" w14:textId="77777777" w:rsidTr="0073484E">
        <w:trPr>
          <w:trHeight w:val="303"/>
        </w:trPr>
        <w:tc>
          <w:tcPr>
            <w:tcW w:w="7721" w:type="dxa"/>
          </w:tcPr>
          <w:p w14:paraId="199109A7" w14:textId="77777777" w:rsidR="0073484E" w:rsidRPr="00E67880" w:rsidRDefault="0073484E" w:rsidP="0073484E">
            <w:pPr>
              <w:tabs>
                <w:tab w:val="left" w:pos="284"/>
              </w:tabs>
              <w:spacing w:line="360" w:lineRule="auto"/>
              <w:rPr>
                <w:rFonts w:ascii="Times New Roman" w:hAnsi="Times New Roman"/>
                <w:sz w:val="24"/>
                <w:szCs w:val="24"/>
              </w:rPr>
            </w:pPr>
            <w:r w:rsidRPr="00E67880">
              <w:rPr>
                <w:rFonts w:ascii="Times New Roman" w:hAnsi="Times New Roman"/>
                <w:sz w:val="24"/>
                <w:szCs w:val="24"/>
              </w:rPr>
              <w:t>Criteria VI: Data cannot be judged because of missing information.</w:t>
            </w:r>
          </w:p>
        </w:tc>
        <w:tc>
          <w:tcPr>
            <w:tcW w:w="1007" w:type="dxa"/>
            <w:vAlign w:val="center"/>
          </w:tcPr>
          <w:p w14:paraId="6C2C1A87" w14:textId="77777777" w:rsidR="0073484E" w:rsidRPr="00E67880" w:rsidRDefault="0073484E" w:rsidP="0073484E">
            <w:pPr>
              <w:tabs>
                <w:tab w:val="left" w:pos="284"/>
              </w:tabs>
              <w:spacing w:line="360" w:lineRule="auto"/>
              <w:rPr>
                <w:rFonts w:ascii="Times New Roman" w:hAnsi="Times New Roman"/>
                <w:sz w:val="24"/>
                <w:szCs w:val="24"/>
              </w:rPr>
            </w:pPr>
            <w:r w:rsidRPr="00E67880">
              <w:rPr>
                <w:rFonts w:ascii="Times New Roman" w:eastAsia="Times New Roman" w:hAnsi="Times New Roman"/>
                <w:sz w:val="24"/>
                <w:szCs w:val="24"/>
                <w:lang w:eastAsia="en-IN"/>
              </w:rPr>
              <w:t>7</w:t>
            </w:r>
          </w:p>
        </w:tc>
        <w:tc>
          <w:tcPr>
            <w:tcW w:w="640" w:type="dxa"/>
            <w:vAlign w:val="center"/>
          </w:tcPr>
          <w:p w14:paraId="7302AC58" w14:textId="77777777" w:rsidR="0073484E" w:rsidRPr="00E67880" w:rsidRDefault="0073484E" w:rsidP="0073484E">
            <w:pPr>
              <w:tabs>
                <w:tab w:val="left" w:pos="284"/>
              </w:tabs>
              <w:spacing w:line="360" w:lineRule="auto"/>
              <w:rPr>
                <w:rFonts w:ascii="Times New Roman" w:hAnsi="Times New Roman"/>
                <w:sz w:val="24"/>
                <w:szCs w:val="24"/>
              </w:rPr>
            </w:pPr>
            <w:r w:rsidRPr="00E67880">
              <w:rPr>
                <w:rFonts w:ascii="Times New Roman" w:eastAsia="Times New Roman" w:hAnsi="Times New Roman"/>
                <w:sz w:val="24"/>
                <w:szCs w:val="24"/>
                <w:lang w:eastAsia="en-IN"/>
              </w:rPr>
              <w:t>4.7</w:t>
            </w:r>
          </w:p>
        </w:tc>
      </w:tr>
    </w:tbl>
    <w:p w14:paraId="587C64B0" w14:textId="77777777" w:rsidR="00E053D0" w:rsidRDefault="00E053D0" w:rsidP="00441B6F">
      <w:pPr>
        <w:pStyle w:val="Body"/>
        <w:spacing w:after="0"/>
        <w:rPr>
          <w:rFonts w:ascii="Arial" w:hAnsi="Arial" w:cs="Arial"/>
        </w:rPr>
      </w:pPr>
    </w:p>
    <w:p w14:paraId="372F9A24" w14:textId="77777777" w:rsidR="00790ADA" w:rsidRPr="00FB3A86" w:rsidRDefault="00790ADA" w:rsidP="00441B6F">
      <w:pPr>
        <w:pStyle w:val="Body"/>
        <w:spacing w:after="0"/>
        <w:rPr>
          <w:rFonts w:ascii="Arial" w:hAnsi="Arial" w:cs="Arial"/>
        </w:rPr>
      </w:pPr>
    </w:p>
    <w:p w14:paraId="383927A0" w14:textId="52AC8FD6" w:rsidR="00B01FCD" w:rsidRDefault="00000F8F" w:rsidP="00441B6F">
      <w:pPr>
        <w:pStyle w:val="ConcHead"/>
        <w:spacing w:after="0"/>
        <w:jc w:val="both"/>
        <w:rPr>
          <w:rFonts w:ascii="Arial" w:hAnsi="Arial" w:cs="Arial"/>
        </w:rPr>
      </w:pPr>
      <w:r>
        <w:rPr>
          <w:rFonts w:ascii="Arial" w:hAnsi="Arial" w:cs="Arial"/>
        </w:rPr>
        <w:t xml:space="preserve">4. </w:t>
      </w:r>
      <w:r w:rsidR="00B4155B">
        <w:rPr>
          <w:rFonts w:ascii="Arial" w:hAnsi="Arial" w:cs="Arial"/>
        </w:rPr>
        <w:t>DISCUSSION</w:t>
      </w:r>
    </w:p>
    <w:p w14:paraId="59D6D71B" w14:textId="77777777" w:rsidR="00A35773" w:rsidRDefault="00A35773" w:rsidP="00441B6F">
      <w:pPr>
        <w:pStyle w:val="ConcHead"/>
        <w:spacing w:after="0"/>
        <w:jc w:val="both"/>
        <w:rPr>
          <w:rFonts w:ascii="Arial" w:hAnsi="Arial" w:cs="Arial"/>
        </w:rPr>
      </w:pPr>
    </w:p>
    <w:p w14:paraId="32CFEFED" w14:textId="77777777" w:rsidR="00B4155B" w:rsidRPr="00B4155B" w:rsidRDefault="00B4155B" w:rsidP="00B4155B">
      <w:pPr>
        <w:spacing w:after="120"/>
        <w:jc w:val="both"/>
        <w:rPr>
          <w:rFonts w:ascii="Arial" w:hAnsi="Arial" w:cs="Arial"/>
        </w:rPr>
      </w:pPr>
      <w:r w:rsidRPr="00B4155B">
        <w:rPr>
          <w:rFonts w:ascii="Arial" w:hAnsi="Arial" w:cs="Arial"/>
        </w:rPr>
        <w:t xml:space="preserve">In the study we estimated the overall population consisting of 150 </w:t>
      </w:r>
      <w:proofErr w:type="spellStart"/>
      <w:r w:rsidRPr="00B4155B">
        <w:rPr>
          <w:rFonts w:ascii="Arial" w:hAnsi="Arial" w:cs="Arial"/>
        </w:rPr>
        <w:t>paediatric</w:t>
      </w:r>
      <w:proofErr w:type="spellEnd"/>
      <w:r w:rsidRPr="00B4155B">
        <w:rPr>
          <w:rFonts w:ascii="Arial" w:hAnsi="Arial" w:cs="Arial"/>
        </w:rPr>
        <w:t xml:space="preserve"> patients ranging from age groups 0-12, and the participants were divided into 4 groups based on their age as &lt;1 year, 1-4 years, 5-8 years and 9-12years, of which majority of the patients belonged to the age group of 9-12 years demonstrating a higher incidence of Respiratory tract infections among preferred age group.</w:t>
      </w:r>
    </w:p>
    <w:p w14:paraId="6E342159" w14:textId="77777777" w:rsidR="00B4155B" w:rsidRPr="00B4155B" w:rsidRDefault="00B4155B" w:rsidP="00B4155B">
      <w:pPr>
        <w:spacing w:after="120"/>
        <w:jc w:val="both"/>
        <w:rPr>
          <w:rFonts w:ascii="Arial" w:hAnsi="Arial" w:cs="Arial"/>
        </w:rPr>
      </w:pPr>
      <w:r w:rsidRPr="00B4155B">
        <w:rPr>
          <w:rFonts w:ascii="Arial" w:hAnsi="Arial" w:cs="Arial"/>
        </w:rPr>
        <w:t xml:space="preserve">Within the study population it also demonstrates that the occurrence of RTIs was higher among male participants (61.3%) than that of females (38.7%). This result was found to be similar to the study conducted by </w:t>
      </w:r>
      <w:proofErr w:type="spellStart"/>
      <w:r w:rsidRPr="00B4155B">
        <w:rPr>
          <w:rFonts w:ascii="Arial" w:hAnsi="Arial" w:cs="Arial"/>
        </w:rPr>
        <w:t>Biniyam</w:t>
      </w:r>
      <w:proofErr w:type="spellEnd"/>
      <w:r w:rsidRPr="00B4155B">
        <w:rPr>
          <w:rFonts w:ascii="Arial" w:hAnsi="Arial" w:cs="Arial"/>
        </w:rPr>
        <w:t xml:space="preserve"> </w:t>
      </w:r>
      <w:proofErr w:type="spellStart"/>
      <w:r w:rsidRPr="00B4155B">
        <w:rPr>
          <w:rFonts w:ascii="Arial" w:hAnsi="Arial" w:cs="Arial"/>
        </w:rPr>
        <w:t>Sahiledengle</w:t>
      </w:r>
      <w:proofErr w:type="spellEnd"/>
      <w:r w:rsidRPr="00B4155B">
        <w:rPr>
          <w:rFonts w:ascii="Arial" w:hAnsi="Arial" w:cs="Arial"/>
        </w:rPr>
        <w:t xml:space="preserve"> et al </w:t>
      </w:r>
      <w:r w:rsidRPr="00B4155B">
        <w:rPr>
          <w:rFonts w:ascii="Arial" w:hAnsi="Arial" w:cs="Arial"/>
          <w:vertAlign w:val="superscript"/>
        </w:rPr>
        <w:t>10,14</w:t>
      </w:r>
      <w:r w:rsidRPr="00B4155B">
        <w:rPr>
          <w:rFonts w:ascii="Arial" w:hAnsi="Arial" w:cs="Arial"/>
        </w:rPr>
        <w:t>.</w:t>
      </w:r>
      <w:r w:rsidRPr="00B4155B">
        <w:rPr>
          <w:rFonts w:ascii="Arial" w:hAnsi="Arial" w:cs="Arial"/>
          <w:vertAlign w:val="superscript"/>
        </w:rPr>
        <w:t xml:space="preserve"> </w:t>
      </w:r>
      <w:r w:rsidRPr="00B4155B">
        <w:rPr>
          <w:rFonts w:ascii="Arial" w:hAnsi="Arial" w:cs="Arial"/>
        </w:rPr>
        <w:t xml:space="preserve">in which male participants (55,4%) were higher than females (44.6%). This conveys that incidence of RTIs are higher among males than females. Among the </w:t>
      </w:r>
      <w:proofErr w:type="spellStart"/>
      <w:r w:rsidRPr="00B4155B">
        <w:rPr>
          <w:rFonts w:ascii="Arial" w:hAnsi="Arial" w:cs="Arial"/>
        </w:rPr>
        <w:t>paediatric</w:t>
      </w:r>
      <w:proofErr w:type="spellEnd"/>
      <w:r w:rsidRPr="00B4155B">
        <w:rPr>
          <w:rFonts w:ascii="Arial" w:hAnsi="Arial" w:cs="Arial"/>
        </w:rPr>
        <w:t xml:space="preserve"> respiratory tract infections, incidence of LRTI (70%) was more compared to URTI (30%), in which Pneumonia (58.7%) was mostly diagnosed. A study by Kailash Thapaliya et al </w:t>
      </w:r>
      <w:r w:rsidRPr="00B4155B">
        <w:rPr>
          <w:rFonts w:ascii="Arial" w:hAnsi="Arial" w:cs="Arial"/>
          <w:vertAlign w:val="superscript"/>
        </w:rPr>
        <w:t>11,13</w:t>
      </w:r>
      <w:r w:rsidRPr="00B4155B">
        <w:rPr>
          <w:rFonts w:ascii="Arial" w:hAnsi="Arial" w:cs="Arial"/>
        </w:rPr>
        <w:t xml:space="preserve">. reported a similar result in which Pneumonia accounted for 22.5%, which was the common cause for hospitalization in </w:t>
      </w:r>
      <w:proofErr w:type="spellStart"/>
      <w:r w:rsidRPr="00B4155B">
        <w:rPr>
          <w:rFonts w:ascii="Arial" w:hAnsi="Arial" w:cs="Arial"/>
        </w:rPr>
        <w:t>paediatric</w:t>
      </w:r>
      <w:proofErr w:type="spellEnd"/>
      <w:r w:rsidRPr="00B4155B">
        <w:rPr>
          <w:rFonts w:ascii="Arial" w:hAnsi="Arial" w:cs="Arial"/>
        </w:rPr>
        <w:t xml:space="preserve"> patients, whereas Mahajan H M et al </w:t>
      </w:r>
      <w:r w:rsidRPr="00B4155B">
        <w:rPr>
          <w:rFonts w:ascii="Arial" w:hAnsi="Arial" w:cs="Arial"/>
          <w:vertAlign w:val="superscript"/>
        </w:rPr>
        <w:t xml:space="preserve">12 </w:t>
      </w:r>
      <w:r w:rsidRPr="00B4155B">
        <w:rPr>
          <w:rFonts w:ascii="Arial" w:hAnsi="Arial" w:cs="Arial"/>
        </w:rPr>
        <w:t xml:space="preserve">reported contrasting results showing URTI (60%) was more compared to LRTI (40%). </w:t>
      </w:r>
    </w:p>
    <w:p w14:paraId="60F053C2" w14:textId="77777777" w:rsidR="00B4155B" w:rsidRPr="00B4155B" w:rsidRDefault="00B4155B" w:rsidP="00B4155B">
      <w:pPr>
        <w:spacing w:after="120"/>
        <w:jc w:val="both"/>
        <w:rPr>
          <w:rFonts w:ascii="Arial" w:hAnsi="Arial" w:cs="Arial"/>
        </w:rPr>
      </w:pPr>
      <w:r w:rsidRPr="00B4155B">
        <w:rPr>
          <w:rFonts w:ascii="Arial" w:hAnsi="Arial" w:cs="Arial"/>
        </w:rPr>
        <w:t xml:space="preserve">In the context of our findings, we observed that antibiotics accounted for 76.67% and antivirals for 23.33% of the total antimicrobials prescribed, aligning with the findings of Varsha P. </w:t>
      </w:r>
      <w:proofErr w:type="spellStart"/>
      <w:r w:rsidRPr="00B4155B">
        <w:rPr>
          <w:rFonts w:ascii="Arial" w:hAnsi="Arial" w:cs="Arial"/>
        </w:rPr>
        <w:t>Gajbhiye</w:t>
      </w:r>
      <w:proofErr w:type="spellEnd"/>
      <w:r w:rsidRPr="00B4155B">
        <w:rPr>
          <w:rFonts w:ascii="Arial" w:hAnsi="Arial" w:cs="Arial"/>
        </w:rPr>
        <w:t xml:space="preserve"> et al</w:t>
      </w:r>
      <w:r w:rsidRPr="00B4155B">
        <w:rPr>
          <w:rFonts w:ascii="Arial" w:hAnsi="Arial" w:cs="Arial"/>
          <w:vertAlign w:val="superscript"/>
        </w:rPr>
        <w:t xml:space="preserve"> 9</w:t>
      </w:r>
      <w:r w:rsidRPr="00B4155B">
        <w:rPr>
          <w:rFonts w:ascii="Arial" w:hAnsi="Arial" w:cs="Arial"/>
        </w:rPr>
        <w:t xml:space="preserve">. In addition, Ceftriaxone + </w:t>
      </w:r>
      <w:proofErr w:type="spellStart"/>
      <w:r w:rsidRPr="00B4155B">
        <w:rPr>
          <w:rFonts w:ascii="Arial" w:hAnsi="Arial" w:cs="Arial"/>
        </w:rPr>
        <w:t>Sulbactum</w:t>
      </w:r>
      <w:proofErr w:type="spellEnd"/>
      <w:r w:rsidRPr="00B4155B">
        <w:rPr>
          <w:rFonts w:ascii="Arial" w:hAnsi="Arial" w:cs="Arial"/>
        </w:rPr>
        <w:t xml:space="preserve"> (n=77) followed by Amoxicillin+ Potassium Clavulanate (n=57) emerged as the most commonly prescribed antibiotics in our study. Azithromycin(n=32) and Amikacin (n=16) were the next most widely prescribed antibiotics, whereas in the same study conducted by Varsha P. </w:t>
      </w:r>
      <w:proofErr w:type="spellStart"/>
      <w:r w:rsidRPr="00B4155B">
        <w:rPr>
          <w:rFonts w:ascii="Arial" w:hAnsi="Arial" w:cs="Arial"/>
        </w:rPr>
        <w:t>Gajbhiye</w:t>
      </w:r>
      <w:proofErr w:type="spellEnd"/>
      <w:r w:rsidRPr="00B4155B">
        <w:rPr>
          <w:rFonts w:ascii="Arial" w:hAnsi="Arial" w:cs="Arial"/>
        </w:rPr>
        <w:t xml:space="preserve"> et al </w:t>
      </w:r>
      <w:r w:rsidRPr="00B4155B">
        <w:rPr>
          <w:rFonts w:ascii="Arial" w:hAnsi="Arial" w:cs="Arial"/>
          <w:vertAlign w:val="superscript"/>
        </w:rPr>
        <w:t>9</w:t>
      </w:r>
      <w:r w:rsidRPr="00B4155B">
        <w:rPr>
          <w:rFonts w:ascii="Arial" w:hAnsi="Arial" w:cs="Arial"/>
        </w:rPr>
        <w:t xml:space="preserve"> identified Amoxicillin (52.34%) as the predominant choice, likewise Mahajan H M et al </w:t>
      </w:r>
      <w:r w:rsidRPr="00B4155B">
        <w:rPr>
          <w:rFonts w:ascii="Arial" w:hAnsi="Arial" w:cs="Arial"/>
          <w:vertAlign w:val="superscript"/>
        </w:rPr>
        <w:t xml:space="preserve">12,15 </w:t>
      </w:r>
      <w:r w:rsidRPr="00B4155B">
        <w:rPr>
          <w:rFonts w:ascii="Arial" w:hAnsi="Arial" w:cs="Arial"/>
        </w:rPr>
        <w:lastRenderedPageBreak/>
        <w:t>reported Azithromycin (23.9%) as the most frequently prescribed antibiotics. This implies that various studies report differing antibiotics as the most frequently utilized.</w:t>
      </w:r>
    </w:p>
    <w:p w14:paraId="7ECA2033" w14:textId="77777777" w:rsidR="00B4155B" w:rsidRPr="00B4155B" w:rsidRDefault="00B4155B" w:rsidP="00B4155B">
      <w:pPr>
        <w:spacing w:after="120"/>
        <w:jc w:val="both"/>
        <w:rPr>
          <w:rFonts w:ascii="Arial" w:hAnsi="Arial" w:cs="Arial"/>
        </w:rPr>
      </w:pPr>
      <w:r w:rsidRPr="00B4155B">
        <w:rPr>
          <w:rFonts w:ascii="Arial" w:hAnsi="Arial" w:cs="Arial"/>
        </w:rPr>
        <w:t xml:space="preserve">Irrational or inappropriate prescribing of antimicrobials is a significant factor contributing to antimicrobial resistance. Therefore, evaluating the rationality of prescriptions is essential, which can be assessed using Kunin’s criteria. In our study, 24.7% of patients received inappropriate antimicrobial prescriptions, while 75.4% were deemed appropriate according to Kunin’s criteria. Although a similar study by Devang Ashwinkumar Rana et al </w:t>
      </w:r>
      <w:r w:rsidRPr="00B4155B">
        <w:rPr>
          <w:rFonts w:ascii="Arial" w:hAnsi="Arial" w:cs="Arial"/>
          <w:vertAlign w:val="superscript"/>
        </w:rPr>
        <w:t>6</w:t>
      </w:r>
      <w:r w:rsidRPr="00B4155B">
        <w:rPr>
          <w:rFonts w:ascii="Arial" w:hAnsi="Arial" w:cs="Arial"/>
        </w:rPr>
        <w:t>. reported a higher rate of inappropriate prescriptions, our findings indicated a greater proportion of appropriate antimicrobial prescriptions.</w:t>
      </w:r>
    </w:p>
    <w:p w14:paraId="2B4245DB" w14:textId="77777777" w:rsidR="00B4155B" w:rsidRPr="00B4155B" w:rsidRDefault="00B4155B" w:rsidP="00B4155B">
      <w:pPr>
        <w:spacing w:after="120"/>
        <w:jc w:val="both"/>
        <w:rPr>
          <w:rFonts w:ascii="Arial" w:hAnsi="Arial" w:cs="Arial"/>
        </w:rPr>
      </w:pPr>
      <w:r w:rsidRPr="00B4155B">
        <w:rPr>
          <w:rFonts w:ascii="Arial" w:hAnsi="Arial" w:cs="Arial"/>
        </w:rPr>
        <w:t xml:space="preserve">Here, appropriate therapy was given in 75.4% of patients and they were categorized under Criteria I&amp; II. Among the cases under Criteria II, </w:t>
      </w:r>
      <w:r w:rsidRPr="00B4155B">
        <w:rPr>
          <w:rFonts w:ascii="Arial" w:hAnsi="Arial" w:cs="Arial"/>
          <w:lang w:eastAsia="en-IN"/>
        </w:rPr>
        <w:t xml:space="preserve">10.7% </w:t>
      </w:r>
      <w:r w:rsidRPr="00B4155B">
        <w:rPr>
          <w:rFonts w:ascii="Arial" w:hAnsi="Arial" w:cs="Arial"/>
        </w:rPr>
        <w:t xml:space="preserve">received empirical therapy with right antimicrobial agent, but culture sensitivity testing was not done to confirm the diagnosis. The cases under Criteria III were 15.3 % and they received more than one antimicrobial agent which is not preferred. Among the cases, </w:t>
      </w:r>
      <w:r w:rsidRPr="00B4155B">
        <w:rPr>
          <w:rFonts w:ascii="Arial" w:hAnsi="Arial" w:cs="Arial"/>
          <w:lang w:eastAsia="en-IN"/>
        </w:rPr>
        <w:t xml:space="preserve">4.7% </w:t>
      </w:r>
      <w:r w:rsidRPr="00B4155B">
        <w:rPr>
          <w:rFonts w:ascii="Arial" w:hAnsi="Arial" w:cs="Arial"/>
        </w:rPr>
        <w:t xml:space="preserve">were categorized under the Criteria IV as the antibiotics were swapped from </w:t>
      </w:r>
      <w:proofErr w:type="spellStart"/>
      <w:r w:rsidRPr="00B4155B">
        <w:rPr>
          <w:rFonts w:ascii="Arial" w:hAnsi="Arial" w:cs="Arial"/>
        </w:rPr>
        <w:t>Inj</w:t>
      </w:r>
      <w:proofErr w:type="spellEnd"/>
      <w:r w:rsidRPr="00B4155B">
        <w:rPr>
          <w:rFonts w:ascii="Arial" w:hAnsi="Arial" w:cs="Arial"/>
        </w:rPr>
        <w:t xml:space="preserve"> Ceftriaxone to Amoxicillin +potassium clavulanate, </w:t>
      </w:r>
      <w:proofErr w:type="spellStart"/>
      <w:r w:rsidRPr="00B4155B">
        <w:rPr>
          <w:rFonts w:ascii="Arial" w:hAnsi="Arial" w:cs="Arial"/>
        </w:rPr>
        <w:t>Inj</w:t>
      </w:r>
      <w:proofErr w:type="spellEnd"/>
      <w:r w:rsidRPr="00B4155B">
        <w:rPr>
          <w:rFonts w:ascii="Arial" w:hAnsi="Arial" w:cs="Arial"/>
        </w:rPr>
        <w:t xml:space="preserve"> Piperacillin -tazobactam to Vancomycin and Inj. Ceftriaxone to Amikacin. This shift in antimicrobial agents was needed as the patients were not responding to the prescribed treatment. 7cases were included in the Criteria VI, as the data couldn’t be assessed because of missing information in the prescription chart. All patients were prescribed with drugs from the essential medication list (100%) </w:t>
      </w:r>
      <w:r w:rsidRPr="00B4155B">
        <w:rPr>
          <w:rFonts w:ascii="Arial" w:hAnsi="Arial" w:cs="Arial"/>
          <w:vertAlign w:val="superscript"/>
        </w:rPr>
        <w:t>7</w:t>
      </w:r>
      <w:r w:rsidRPr="00B4155B">
        <w:rPr>
          <w:rFonts w:ascii="Arial" w:hAnsi="Arial" w:cs="Arial"/>
        </w:rPr>
        <w:t>.</w:t>
      </w:r>
    </w:p>
    <w:p w14:paraId="287EA9D1" w14:textId="77777777" w:rsidR="00B4155B" w:rsidRPr="00B4155B" w:rsidRDefault="00B4155B" w:rsidP="00B4155B">
      <w:pPr>
        <w:spacing w:after="120"/>
        <w:jc w:val="both"/>
        <w:rPr>
          <w:rFonts w:ascii="Arial" w:hAnsi="Arial" w:cs="Arial"/>
        </w:rPr>
      </w:pPr>
      <w:r w:rsidRPr="00B4155B">
        <w:rPr>
          <w:rFonts w:ascii="Arial" w:hAnsi="Arial" w:cs="Arial"/>
        </w:rPr>
        <w:t>Despite these positive trends, the reliance on empirical therapy without culture sensitivity remains a concern, as it can fuel antimicrobial resistance. This underscores the importance of strengthening antimicrobial stewardship programs and promoting microbiological confirmation whenever feasible. Our study has some limitations, including its relatively small sample size, single-</w:t>
      </w:r>
      <w:proofErr w:type="spellStart"/>
      <w:r w:rsidRPr="00B4155B">
        <w:rPr>
          <w:rFonts w:ascii="Arial" w:hAnsi="Arial" w:cs="Arial"/>
        </w:rPr>
        <w:t>centre</w:t>
      </w:r>
      <w:proofErr w:type="spellEnd"/>
      <w:r w:rsidRPr="00B4155B">
        <w:rPr>
          <w:rFonts w:ascii="Arial" w:hAnsi="Arial" w:cs="Arial"/>
        </w:rPr>
        <w:t xml:space="preserve"> setting, incomplete documentation in a few cases, and the absence of routine microbiological confirmation, all of which may have introduced bias and limit the </w:t>
      </w:r>
      <w:proofErr w:type="spellStart"/>
      <w:r w:rsidRPr="00B4155B">
        <w:rPr>
          <w:rFonts w:ascii="Arial" w:hAnsi="Arial" w:cs="Arial"/>
        </w:rPr>
        <w:t>generalisability</w:t>
      </w:r>
      <w:proofErr w:type="spellEnd"/>
      <w:r w:rsidRPr="00B4155B">
        <w:rPr>
          <w:rFonts w:ascii="Arial" w:hAnsi="Arial" w:cs="Arial"/>
        </w:rPr>
        <w:t xml:space="preserve"> of the findings. In addition, patient outcomes were not assessed, restricting evaluation of the clinical impact of rational versus irrational prescriptions. Despite these constraints, the study provides valuable insight into antimicrobial prescribing practices in </w:t>
      </w:r>
      <w:proofErr w:type="spellStart"/>
      <w:r w:rsidRPr="00B4155B">
        <w:rPr>
          <w:rFonts w:ascii="Arial" w:hAnsi="Arial" w:cs="Arial"/>
        </w:rPr>
        <w:t>paediatric</w:t>
      </w:r>
      <w:proofErr w:type="spellEnd"/>
      <w:r w:rsidRPr="00B4155B">
        <w:rPr>
          <w:rFonts w:ascii="Arial" w:hAnsi="Arial" w:cs="Arial"/>
        </w:rPr>
        <w:t xml:space="preserve"> RTIs in a tertiary care hospital. Larger multicentric studies incorporating culture sensitivity testing, outcome assessment, and real-time prescription audits are needed to strengthen stewardship efforts and guide rational antibiotic use more effectively.</w:t>
      </w:r>
    </w:p>
    <w:p w14:paraId="19661546" w14:textId="78983FB2" w:rsidR="00B4155B" w:rsidRDefault="00B4155B" w:rsidP="00441B6F">
      <w:pPr>
        <w:pStyle w:val="ConcHead"/>
        <w:spacing w:after="0"/>
        <w:jc w:val="both"/>
        <w:rPr>
          <w:rFonts w:ascii="Arial" w:hAnsi="Arial" w:cs="Arial"/>
        </w:rPr>
      </w:pPr>
      <w:r>
        <w:rPr>
          <w:rFonts w:ascii="Arial" w:hAnsi="Arial" w:cs="Arial"/>
        </w:rPr>
        <w:t>5.CONCLUSION</w:t>
      </w:r>
    </w:p>
    <w:p w14:paraId="55C3BAAF" w14:textId="77777777" w:rsidR="00B4155B" w:rsidRDefault="00B4155B" w:rsidP="00441B6F">
      <w:pPr>
        <w:pStyle w:val="ConcHead"/>
        <w:spacing w:after="0"/>
        <w:jc w:val="both"/>
        <w:rPr>
          <w:rFonts w:ascii="Arial" w:hAnsi="Arial" w:cs="Arial"/>
        </w:rPr>
      </w:pPr>
    </w:p>
    <w:p w14:paraId="7BBBD116" w14:textId="77777777" w:rsidR="00B4155B" w:rsidRPr="00B4155B" w:rsidRDefault="00B4155B" w:rsidP="00B4155B">
      <w:pPr>
        <w:spacing w:after="120"/>
        <w:jc w:val="both"/>
        <w:rPr>
          <w:rFonts w:ascii="Arial" w:hAnsi="Arial" w:cs="Arial"/>
        </w:rPr>
      </w:pPr>
      <w:r w:rsidRPr="00B4155B">
        <w:rPr>
          <w:rFonts w:ascii="Arial" w:hAnsi="Arial" w:cs="Arial"/>
        </w:rPr>
        <w:t xml:space="preserve">While the majority of antimicrobial prescriptions in </w:t>
      </w:r>
      <w:proofErr w:type="spellStart"/>
      <w:r w:rsidRPr="00B4155B">
        <w:rPr>
          <w:rFonts w:ascii="Arial" w:hAnsi="Arial" w:cs="Arial"/>
        </w:rPr>
        <w:t>paediatric</w:t>
      </w:r>
      <w:proofErr w:type="spellEnd"/>
      <w:r w:rsidRPr="00B4155B">
        <w:rPr>
          <w:rFonts w:ascii="Arial" w:hAnsi="Arial" w:cs="Arial"/>
        </w:rPr>
        <w:t xml:space="preserve"> RTIs were appropriate according to Kunin’s criteria, a notable proportion still fell into inappropriate categories. These findings highlight the importance of continuous prescription audits and strict adherence to antimicrobial stewardship protocols to promote rational prescribing. Wider use of culture sensitivity testing and </w:t>
      </w:r>
      <w:proofErr w:type="spellStart"/>
      <w:r w:rsidRPr="00B4155B">
        <w:rPr>
          <w:rFonts w:ascii="Arial" w:hAnsi="Arial" w:cs="Arial"/>
        </w:rPr>
        <w:t>minimisation</w:t>
      </w:r>
      <w:proofErr w:type="spellEnd"/>
      <w:r w:rsidRPr="00B4155B">
        <w:rPr>
          <w:rFonts w:ascii="Arial" w:hAnsi="Arial" w:cs="Arial"/>
        </w:rPr>
        <w:t xml:space="preserve"> of empirical therapy will be crucial to preserve antibiotic effectiveness and improve </w:t>
      </w:r>
      <w:proofErr w:type="spellStart"/>
      <w:r w:rsidRPr="00B4155B">
        <w:rPr>
          <w:rFonts w:ascii="Arial" w:hAnsi="Arial" w:cs="Arial"/>
        </w:rPr>
        <w:t>paediatric</w:t>
      </w:r>
      <w:proofErr w:type="spellEnd"/>
      <w:r w:rsidRPr="00B4155B">
        <w:rPr>
          <w:rFonts w:ascii="Arial" w:hAnsi="Arial" w:cs="Arial"/>
        </w:rPr>
        <w:t xml:space="preserve"> respiratory care outcomes.</w:t>
      </w:r>
    </w:p>
    <w:p w14:paraId="601329F1" w14:textId="3899B517" w:rsidR="00B01FCD" w:rsidRDefault="00B01FCD" w:rsidP="00441B6F">
      <w:pPr>
        <w:pStyle w:val="Body"/>
        <w:spacing w:after="0"/>
        <w:rPr>
          <w:rFonts w:ascii="Arial" w:hAnsi="Arial" w:cs="Arial"/>
        </w:rPr>
      </w:pPr>
    </w:p>
    <w:p w14:paraId="5A3CEF0C" w14:textId="77777777" w:rsidR="00790ADA" w:rsidRPr="00FB3A86" w:rsidRDefault="00790ADA" w:rsidP="00441B6F">
      <w:pPr>
        <w:pStyle w:val="Body"/>
        <w:spacing w:after="0"/>
        <w:rPr>
          <w:rFonts w:ascii="Arial" w:hAnsi="Arial" w:cs="Arial"/>
        </w:rPr>
      </w:pPr>
    </w:p>
    <w:p w14:paraId="413B2595" w14:textId="77777777" w:rsidR="002B685A" w:rsidRDefault="002B685A" w:rsidP="00441B6F">
      <w:pPr>
        <w:pStyle w:val="ReferHead"/>
        <w:spacing w:after="0"/>
        <w:jc w:val="both"/>
        <w:rPr>
          <w:rFonts w:ascii="Arial" w:hAnsi="Arial" w:cs="Arial"/>
          <w:b w:val="0"/>
          <w:caps w:val="0"/>
          <w:sz w:val="20"/>
        </w:rPr>
      </w:pPr>
    </w:p>
    <w:p w14:paraId="151D899E" w14:textId="50ABF01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6669327" w14:textId="288E20F6" w:rsidR="001A29D8" w:rsidRPr="00B4155B" w:rsidRDefault="001A29D8" w:rsidP="00441B6F">
      <w:pPr>
        <w:pStyle w:val="ReferHead"/>
        <w:spacing w:after="0"/>
        <w:jc w:val="both"/>
        <w:rPr>
          <w:rFonts w:ascii="Arial" w:hAnsi="Arial" w:cs="Arial"/>
          <w:b w:val="0"/>
          <w:caps w:val="0"/>
          <w:sz w:val="20"/>
        </w:rPr>
      </w:pPr>
      <w:r w:rsidRPr="00B4155B">
        <w:rPr>
          <w:rFonts w:ascii="Arial" w:hAnsi="Arial" w:cs="Arial"/>
          <w:b w:val="0"/>
          <w:caps w:val="0"/>
          <w:sz w:val="20"/>
        </w:rPr>
        <w:t xml:space="preserve">All authors declare that ‘written informed consent was obtained from the patient (or other approved parties) for publication of this </w:t>
      </w:r>
      <w:r w:rsidR="00B4155B">
        <w:rPr>
          <w:rFonts w:ascii="Arial" w:hAnsi="Arial" w:cs="Arial"/>
          <w:b w:val="0"/>
          <w:caps w:val="0"/>
          <w:sz w:val="20"/>
        </w:rPr>
        <w:t>short research study</w:t>
      </w:r>
      <w:r w:rsidR="00A35773">
        <w:rPr>
          <w:rFonts w:ascii="Arial" w:hAnsi="Arial" w:cs="Arial"/>
          <w:b w:val="0"/>
          <w:caps w:val="0"/>
          <w:sz w:val="20"/>
        </w:rPr>
        <w:t>.</w:t>
      </w:r>
      <w:r w:rsidRPr="00B4155B">
        <w:rPr>
          <w:rFonts w:ascii="Arial" w:hAnsi="Arial" w:cs="Arial"/>
          <w:b w:val="0"/>
          <w:caps w:val="0"/>
          <w:sz w:val="20"/>
        </w:rPr>
        <w:t xml:space="preserve"> </w:t>
      </w:r>
    </w:p>
    <w:p w14:paraId="48280F6A" w14:textId="77777777" w:rsidR="005C784C" w:rsidRDefault="005C784C" w:rsidP="00441B6F">
      <w:pPr>
        <w:pStyle w:val="ReferHead"/>
        <w:spacing w:after="0"/>
        <w:jc w:val="both"/>
        <w:rPr>
          <w:rFonts w:ascii="Arial" w:hAnsi="Arial" w:cs="Arial"/>
          <w:b w:val="0"/>
          <w:caps w:val="0"/>
          <w:sz w:val="20"/>
        </w:rPr>
      </w:pPr>
    </w:p>
    <w:p w14:paraId="43E443F4" w14:textId="3677AFE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70FB771" w14:textId="77777777" w:rsidR="005C784C" w:rsidRPr="002B685A" w:rsidRDefault="005C784C" w:rsidP="00441B6F">
      <w:pPr>
        <w:pStyle w:val="ReferHead"/>
        <w:spacing w:after="0"/>
        <w:jc w:val="both"/>
        <w:rPr>
          <w:rFonts w:ascii="Arial" w:hAnsi="Arial" w:cs="Arial"/>
          <w:bCs/>
        </w:rPr>
      </w:pPr>
    </w:p>
    <w:p w14:paraId="2CCDA58D" w14:textId="16DC3E8E" w:rsidR="0041027F" w:rsidRDefault="001A29D8" w:rsidP="00441B6F">
      <w:pPr>
        <w:pStyle w:val="ReferHead"/>
        <w:spacing w:after="0"/>
        <w:jc w:val="both"/>
        <w:rPr>
          <w:rFonts w:ascii="Arial" w:hAnsi="Arial" w:cs="Arial"/>
          <w:b w:val="0"/>
          <w:caps w:val="0"/>
          <w:sz w:val="20"/>
        </w:rPr>
      </w:pPr>
      <w:r w:rsidRPr="00B4155B">
        <w:rPr>
          <w:rFonts w:ascii="Arial" w:hAnsi="Arial" w:cs="Arial"/>
          <w:b w:val="0"/>
          <w:caps w:val="0"/>
          <w:sz w:val="20"/>
        </w:rPr>
        <w:t>All authors hereby declare that a</w:t>
      </w:r>
      <w:r w:rsidR="0041027F" w:rsidRPr="00B4155B">
        <w:rPr>
          <w:rFonts w:ascii="Arial" w:hAnsi="Arial" w:cs="Arial"/>
          <w:b w:val="0"/>
          <w:caps w:val="0"/>
          <w:sz w:val="20"/>
        </w:rPr>
        <w:t xml:space="preserve">ll </w:t>
      </w:r>
      <w:r w:rsidR="00F469F0" w:rsidRPr="00B4155B">
        <w:rPr>
          <w:rFonts w:ascii="Arial" w:hAnsi="Arial" w:cs="Arial"/>
          <w:b w:val="0"/>
          <w:caps w:val="0"/>
          <w:sz w:val="20"/>
        </w:rPr>
        <w:t>experiments</w:t>
      </w:r>
      <w:r w:rsidR="0041027F" w:rsidRPr="00B4155B">
        <w:rPr>
          <w:rFonts w:ascii="Arial" w:hAnsi="Arial" w:cs="Arial"/>
          <w:b w:val="0"/>
          <w:caps w:val="0"/>
          <w:sz w:val="20"/>
        </w:rPr>
        <w:t xml:space="preserve"> have been examined</w:t>
      </w:r>
      <w:r w:rsidRPr="00B4155B">
        <w:rPr>
          <w:rFonts w:ascii="Arial" w:hAnsi="Arial" w:cs="Arial"/>
          <w:b w:val="0"/>
          <w:caps w:val="0"/>
          <w:sz w:val="20"/>
        </w:rPr>
        <w:t xml:space="preserve"> and approved</w:t>
      </w:r>
      <w:r w:rsidR="0041027F" w:rsidRPr="00B4155B">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06B07296" w14:textId="77777777" w:rsidR="0031297C" w:rsidRDefault="0031297C" w:rsidP="00441B6F">
      <w:pPr>
        <w:pStyle w:val="ReferHead"/>
        <w:spacing w:after="0"/>
        <w:jc w:val="both"/>
        <w:rPr>
          <w:rFonts w:ascii="Arial" w:hAnsi="Arial" w:cs="Arial"/>
          <w:b w:val="0"/>
          <w:caps w:val="0"/>
          <w:sz w:val="20"/>
        </w:rPr>
      </w:pPr>
    </w:p>
    <w:p w14:paraId="535C6935" w14:textId="3DEBA0CD" w:rsidR="0031297C" w:rsidRPr="0031297C" w:rsidRDefault="0031297C" w:rsidP="0031297C">
      <w:pPr>
        <w:spacing w:line="480" w:lineRule="auto"/>
        <w:rPr>
          <w:rFonts w:ascii="Arial" w:hAnsi="Arial" w:cs="Arial"/>
          <w:b/>
          <w:bCs/>
          <w:sz w:val="22"/>
          <w:szCs w:val="22"/>
        </w:rPr>
      </w:pPr>
      <w:r w:rsidRPr="0031297C">
        <w:rPr>
          <w:rFonts w:ascii="Arial" w:hAnsi="Arial" w:cs="Arial"/>
          <w:b/>
          <w:bCs/>
          <w:sz w:val="22"/>
          <w:szCs w:val="22"/>
        </w:rPr>
        <w:t>DECLARATION ON THE USE OF GENERATIVE AI IN SCIENTIFIC WRITING</w:t>
      </w:r>
    </w:p>
    <w:p w14:paraId="1B3CE921" w14:textId="77777777" w:rsidR="0031297C" w:rsidRPr="0031297C" w:rsidRDefault="0031297C" w:rsidP="0031297C">
      <w:pPr>
        <w:rPr>
          <w:rFonts w:ascii="Arial" w:hAnsi="Arial" w:cs="Arial"/>
        </w:rPr>
      </w:pPr>
      <w:r w:rsidRPr="0031297C">
        <w:rPr>
          <w:rFonts w:ascii="Arial" w:hAnsi="Arial" w:cs="Arial"/>
        </w:rPr>
        <w:t>During the preparation of this work, the author(s) used ChatGPT to improve the language and readability of the manuscript. The author(s) reviewed and edited the output as necessary and accept full responsibility for the content of the final manuscript.</w:t>
      </w:r>
    </w:p>
    <w:p w14:paraId="47190823" w14:textId="77777777" w:rsidR="0031297C" w:rsidRPr="00B4155B" w:rsidRDefault="0031297C" w:rsidP="00441B6F">
      <w:pPr>
        <w:pStyle w:val="ReferHead"/>
        <w:spacing w:after="0"/>
        <w:jc w:val="both"/>
        <w:rPr>
          <w:rFonts w:ascii="Arial" w:hAnsi="Arial" w:cs="Arial"/>
          <w:b w:val="0"/>
          <w:caps w:val="0"/>
          <w:sz w:val="20"/>
        </w:rPr>
      </w:pPr>
    </w:p>
    <w:p w14:paraId="6854D31C" w14:textId="77777777" w:rsidR="00860000" w:rsidRDefault="00860000" w:rsidP="00441B6F">
      <w:pPr>
        <w:pStyle w:val="ReferHead"/>
        <w:spacing w:after="0"/>
        <w:jc w:val="both"/>
        <w:rPr>
          <w:rFonts w:ascii="Arial" w:hAnsi="Arial" w:cs="Arial"/>
        </w:rPr>
      </w:pPr>
    </w:p>
    <w:p w14:paraId="1933BE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21F7D8" w14:textId="77777777" w:rsidR="00790ADA" w:rsidRPr="00FB3A86" w:rsidRDefault="00790ADA" w:rsidP="00441B6F">
      <w:pPr>
        <w:pStyle w:val="ReferHead"/>
        <w:spacing w:after="0"/>
        <w:jc w:val="both"/>
        <w:rPr>
          <w:rFonts w:ascii="Arial" w:hAnsi="Arial" w:cs="Arial"/>
        </w:rPr>
      </w:pPr>
    </w:p>
    <w:p w14:paraId="1700862F"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Mrinali Thakur, Rima Shah, Darshan Dave, J G Buch. Analysis of Prescribing Patterns in Paediatric Respiratory Tract Infections with the Focus on Antimicrobial Use, Adverse Effects and Cost </w:t>
      </w:r>
      <w:proofErr w:type="gramStart"/>
      <w:r w:rsidRPr="0031297C">
        <w:rPr>
          <w:rFonts w:ascii="Arial" w:hAnsi="Arial" w:cs="Arial"/>
          <w:sz w:val="20"/>
          <w:szCs w:val="20"/>
        </w:rPr>
        <w:t>Of</w:t>
      </w:r>
      <w:proofErr w:type="gramEnd"/>
      <w:r w:rsidRPr="0031297C">
        <w:rPr>
          <w:rFonts w:ascii="Arial" w:hAnsi="Arial" w:cs="Arial"/>
          <w:sz w:val="20"/>
          <w:szCs w:val="20"/>
        </w:rPr>
        <w:t xml:space="preserve"> Drug Therapy. Journal of Pharmacy and Pharmacology Research 4 (2020): 001-014.a</w:t>
      </w:r>
    </w:p>
    <w:p w14:paraId="0A2879AB"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Iyer GS, Patel PP, Panchal JR, Dikshit RK. An analysis of the pharmacological management of respiratory tract infections in </w:t>
      </w:r>
      <w:proofErr w:type="spellStart"/>
      <w:r w:rsidRPr="0031297C">
        <w:rPr>
          <w:rFonts w:ascii="Arial" w:hAnsi="Arial" w:cs="Arial"/>
          <w:sz w:val="20"/>
          <w:szCs w:val="20"/>
        </w:rPr>
        <w:t>pediatric</w:t>
      </w:r>
      <w:proofErr w:type="spellEnd"/>
      <w:r w:rsidRPr="0031297C">
        <w:rPr>
          <w:rFonts w:ascii="Arial" w:hAnsi="Arial" w:cs="Arial"/>
          <w:sz w:val="20"/>
          <w:szCs w:val="20"/>
        </w:rPr>
        <w:t xml:space="preserve"> in-patients at a tertiary care teaching hospital. International Journal of Medicine and Public Health. 2013;3(3).</w:t>
      </w:r>
    </w:p>
    <w:p w14:paraId="4DD03843"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Chang AB, Chang CC, O’Grady K, </w:t>
      </w:r>
      <w:proofErr w:type="spellStart"/>
      <w:r w:rsidRPr="0031297C">
        <w:rPr>
          <w:rFonts w:ascii="Arial" w:hAnsi="Arial" w:cs="Arial"/>
          <w:sz w:val="20"/>
          <w:szCs w:val="20"/>
        </w:rPr>
        <w:t>Torzillo</w:t>
      </w:r>
      <w:proofErr w:type="spellEnd"/>
      <w:r w:rsidRPr="0031297C">
        <w:rPr>
          <w:rFonts w:ascii="Arial" w:hAnsi="Arial" w:cs="Arial"/>
          <w:sz w:val="20"/>
          <w:szCs w:val="20"/>
        </w:rPr>
        <w:t xml:space="preserve"> PJ. Lower respiratory tract infections. </w:t>
      </w:r>
      <w:proofErr w:type="spellStart"/>
      <w:r w:rsidRPr="0031297C">
        <w:rPr>
          <w:rFonts w:ascii="Arial" w:hAnsi="Arial" w:cs="Arial"/>
          <w:sz w:val="20"/>
          <w:szCs w:val="20"/>
        </w:rPr>
        <w:t>Pediatr</w:t>
      </w:r>
      <w:proofErr w:type="spellEnd"/>
      <w:r w:rsidRPr="0031297C">
        <w:rPr>
          <w:rFonts w:ascii="Arial" w:hAnsi="Arial" w:cs="Arial"/>
          <w:sz w:val="20"/>
          <w:szCs w:val="20"/>
        </w:rPr>
        <w:t xml:space="preserve"> Clin North Am 2009;56: 1303-21</w:t>
      </w:r>
    </w:p>
    <w:p w14:paraId="480B4372"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Grant CC, Scragg R, Tan D, </w:t>
      </w:r>
      <w:proofErr w:type="spellStart"/>
      <w:r w:rsidRPr="0031297C">
        <w:rPr>
          <w:rFonts w:ascii="Arial" w:hAnsi="Arial" w:cs="Arial"/>
          <w:sz w:val="20"/>
          <w:szCs w:val="20"/>
        </w:rPr>
        <w:t>Pati</w:t>
      </w:r>
      <w:proofErr w:type="spellEnd"/>
      <w:r w:rsidRPr="0031297C">
        <w:rPr>
          <w:rFonts w:ascii="Arial" w:hAnsi="Arial" w:cs="Arial"/>
          <w:sz w:val="20"/>
          <w:szCs w:val="20"/>
        </w:rPr>
        <w:t xml:space="preserve"> A, </w:t>
      </w:r>
      <w:proofErr w:type="spellStart"/>
      <w:r w:rsidRPr="0031297C">
        <w:rPr>
          <w:rFonts w:ascii="Arial" w:hAnsi="Arial" w:cs="Arial"/>
          <w:sz w:val="20"/>
          <w:szCs w:val="20"/>
        </w:rPr>
        <w:t>Aickin</w:t>
      </w:r>
      <w:proofErr w:type="spellEnd"/>
      <w:r w:rsidRPr="0031297C">
        <w:rPr>
          <w:rFonts w:ascii="Arial" w:hAnsi="Arial" w:cs="Arial"/>
          <w:sz w:val="20"/>
          <w:szCs w:val="20"/>
        </w:rPr>
        <w:t xml:space="preserve"> R, Yee RL. Hospitalisation for pneumonia in children in Auckland, New Zealand. Journal of paediatrics and child health. 1998 Aug;34(4):355-9.</w:t>
      </w:r>
    </w:p>
    <w:p w14:paraId="732755D6"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proofErr w:type="spellStart"/>
      <w:r w:rsidRPr="0031297C">
        <w:rPr>
          <w:rFonts w:ascii="Arial" w:hAnsi="Arial" w:cs="Arial"/>
          <w:sz w:val="20"/>
          <w:szCs w:val="20"/>
        </w:rPr>
        <w:t>Kunin</w:t>
      </w:r>
      <w:proofErr w:type="spellEnd"/>
      <w:r w:rsidRPr="0031297C">
        <w:rPr>
          <w:rFonts w:ascii="Arial" w:hAnsi="Arial" w:cs="Arial"/>
          <w:sz w:val="20"/>
          <w:szCs w:val="20"/>
        </w:rPr>
        <w:t xml:space="preserve"> CM, </w:t>
      </w:r>
      <w:proofErr w:type="spellStart"/>
      <w:r w:rsidRPr="0031297C">
        <w:rPr>
          <w:rFonts w:ascii="Arial" w:hAnsi="Arial" w:cs="Arial"/>
          <w:sz w:val="20"/>
          <w:szCs w:val="20"/>
        </w:rPr>
        <w:t>Tupasi</w:t>
      </w:r>
      <w:proofErr w:type="spellEnd"/>
      <w:r w:rsidRPr="0031297C">
        <w:rPr>
          <w:rFonts w:ascii="Arial" w:hAnsi="Arial" w:cs="Arial"/>
          <w:sz w:val="20"/>
          <w:szCs w:val="20"/>
        </w:rPr>
        <w:t xml:space="preserve"> T, Craig WA. Use of antimicrobials. A brief exposition of the problem and some tentative solutions. Ann Intern Med. 1973;79: 555–60</w:t>
      </w:r>
    </w:p>
    <w:p w14:paraId="4714E263"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Rana DA, Malhotra SD, Patel VJ. Inappropriate surgical chemoprophylaxis and surgical site infection rate at a tertiary care teaching hospital. The Brazilian Journal of Infectious Diseases. 2013 Jan 1;17(1):48-53.</w:t>
      </w:r>
    </w:p>
    <w:p w14:paraId="073DBC52"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Nair SG, </w:t>
      </w:r>
      <w:proofErr w:type="spellStart"/>
      <w:r w:rsidRPr="0031297C">
        <w:rPr>
          <w:rFonts w:ascii="Arial" w:hAnsi="Arial" w:cs="Arial"/>
          <w:sz w:val="20"/>
          <w:szCs w:val="20"/>
        </w:rPr>
        <w:t>Poonnen</w:t>
      </w:r>
      <w:proofErr w:type="spellEnd"/>
      <w:r w:rsidRPr="0031297C">
        <w:rPr>
          <w:rFonts w:ascii="Arial" w:hAnsi="Arial" w:cs="Arial"/>
          <w:sz w:val="20"/>
          <w:szCs w:val="20"/>
        </w:rPr>
        <w:t xml:space="preserve"> SS, </w:t>
      </w:r>
      <w:proofErr w:type="spellStart"/>
      <w:r w:rsidRPr="0031297C">
        <w:rPr>
          <w:rFonts w:ascii="Arial" w:hAnsi="Arial" w:cs="Arial"/>
          <w:sz w:val="20"/>
          <w:szCs w:val="20"/>
        </w:rPr>
        <w:t>Kuriachan</w:t>
      </w:r>
      <w:proofErr w:type="spellEnd"/>
      <w:r w:rsidRPr="0031297C">
        <w:rPr>
          <w:rFonts w:ascii="Arial" w:hAnsi="Arial" w:cs="Arial"/>
          <w:sz w:val="20"/>
          <w:szCs w:val="20"/>
        </w:rPr>
        <w:t xml:space="preserve"> S, </w:t>
      </w:r>
      <w:proofErr w:type="spellStart"/>
      <w:r w:rsidRPr="0031297C">
        <w:rPr>
          <w:rFonts w:ascii="Arial" w:hAnsi="Arial" w:cs="Arial"/>
          <w:sz w:val="20"/>
          <w:szCs w:val="20"/>
        </w:rPr>
        <w:t>Palatty</w:t>
      </w:r>
      <w:proofErr w:type="spellEnd"/>
      <w:r w:rsidRPr="0031297C">
        <w:rPr>
          <w:rFonts w:ascii="Arial" w:hAnsi="Arial" w:cs="Arial"/>
          <w:sz w:val="20"/>
          <w:szCs w:val="20"/>
        </w:rPr>
        <w:t xml:space="preserve"> PL. Analysis of Prescription of medications used in Lower Respiratory tract infections in children. </w:t>
      </w:r>
      <w:proofErr w:type="spellStart"/>
      <w:r w:rsidRPr="0031297C">
        <w:rPr>
          <w:rFonts w:ascii="Arial" w:hAnsi="Arial" w:cs="Arial"/>
          <w:sz w:val="20"/>
          <w:szCs w:val="20"/>
        </w:rPr>
        <w:t>Medica</w:t>
      </w:r>
      <w:proofErr w:type="spellEnd"/>
      <w:r w:rsidRPr="0031297C">
        <w:rPr>
          <w:rFonts w:ascii="Arial" w:hAnsi="Arial" w:cs="Arial"/>
          <w:sz w:val="20"/>
          <w:szCs w:val="20"/>
        </w:rPr>
        <w:t xml:space="preserve"> </w:t>
      </w:r>
      <w:proofErr w:type="spellStart"/>
      <w:r w:rsidRPr="0031297C">
        <w:rPr>
          <w:rFonts w:ascii="Arial" w:hAnsi="Arial" w:cs="Arial"/>
          <w:sz w:val="20"/>
          <w:szCs w:val="20"/>
        </w:rPr>
        <w:t>Innovatica</w:t>
      </w:r>
      <w:proofErr w:type="spellEnd"/>
      <w:r w:rsidRPr="0031297C">
        <w:rPr>
          <w:rFonts w:ascii="Arial" w:hAnsi="Arial" w:cs="Arial"/>
          <w:sz w:val="20"/>
          <w:szCs w:val="20"/>
        </w:rPr>
        <w:t>. 2024 Jan 1;13(1).</w:t>
      </w:r>
    </w:p>
    <w:p w14:paraId="666E4CC9"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World Health Organization. How to investigate drug use in health </w:t>
      </w:r>
      <w:proofErr w:type="gramStart"/>
      <w:r w:rsidRPr="0031297C">
        <w:rPr>
          <w:rFonts w:ascii="Arial" w:hAnsi="Arial" w:cs="Arial"/>
          <w:sz w:val="20"/>
          <w:szCs w:val="20"/>
        </w:rPr>
        <w:t>facilities :</w:t>
      </w:r>
      <w:proofErr w:type="gramEnd"/>
      <w:r w:rsidRPr="0031297C">
        <w:rPr>
          <w:rFonts w:ascii="Arial" w:hAnsi="Arial" w:cs="Arial"/>
          <w:sz w:val="20"/>
          <w:szCs w:val="20"/>
        </w:rPr>
        <w:t xml:space="preserve"> selected drug use indicators. In: Action Programme on Essential Drugs and Vaccines [Internet]. Geneva PP - Geneva: World Health Organization; 1993. (DAP research </w:t>
      </w:r>
      <w:proofErr w:type="spellStart"/>
      <w:proofErr w:type="gramStart"/>
      <w:r w:rsidRPr="0031297C">
        <w:rPr>
          <w:rFonts w:ascii="Arial" w:hAnsi="Arial" w:cs="Arial"/>
          <w:sz w:val="20"/>
          <w:szCs w:val="20"/>
        </w:rPr>
        <w:t>series;no</w:t>
      </w:r>
      <w:proofErr w:type="spellEnd"/>
      <w:r w:rsidRPr="0031297C">
        <w:rPr>
          <w:rFonts w:ascii="Arial" w:hAnsi="Arial" w:cs="Arial"/>
          <w:sz w:val="20"/>
          <w:szCs w:val="20"/>
        </w:rPr>
        <w:t>.</w:t>
      </w:r>
      <w:proofErr w:type="gramEnd"/>
      <w:r w:rsidRPr="0031297C">
        <w:rPr>
          <w:rFonts w:ascii="Arial" w:hAnsi="Arial" w:cs="Arial"/>
          <w:sz w:val="20"/>
          <w:szCs w:val="20"/>
        </w:rPr>
        <w:t xml:space="preserve"> 7). Available from: </w:t>
      </w:r>
      <w:hyperlink r:id="rId19" w:history="1">
        <w:r w:rsidRPr="0031297C">
          <w:rPr>
            <w:rStyle w:val="Hyperlink"/>
            <w:rFonts w:ascii="Arial" w:hAnsi="Arial" w:cs="Arial"/>
            <w:sz w:val="20"/>
            <w:szCs w:val="20"/>
          </w:rPr>
          <w:t>https://apps.who.int/iris/handle/10665/60519</w:t>
        </w:r>
      </w:hyperlink>
    </w:p>
    <w:p w14:paraId="3084A14C" w14:textId="77777777" w:rsidR="0031297C" w:rsidRPr="0031297C" w:rsidRDefault="0031297C" w:rsidP="0031297C">
      <w:pPr>
        <w:pStyle w:val="ListParagraph"/>
        <w:numPr>
          <w:ilvl w:val="0"/>
          <w:numId w:val="31"/>
        </w:numPr>
        <w:spacing w:line="240" w:lineRule="auto"/>
        <w:ind w:left="357" w:hanging="357"/>
        <w:rPr>
          <w:rFonts w:ascii="Arial" w:hAnsi="Arial" w:cs="Arial"/>
          <w:sz w:val="20"/>
          <w:szCs w:val="20"/>
        </w:rPr>
      </w:pPr>
      <w:proofErr w:type="spellStart"/>
      <w:r w:rsidRPr="0031297C">
        <w:rPr>
          <w:rFonts w:ascii="Arial" w:hAnsi="Arial" w:cs="Arial"/>
          <w:sz w:val="20"/>
          <w:szCs w:val="20"/>
        </w:rPr>
        <w:t>Gajbhiye</w:t>
      </w:r>
      <w:proofErr w:type="spellEnd"/>
      <w:r w:rsidRPr="0031297C">
        <w:rPr>
          <w:rFonts w:ascii="Arial" w:hAnsi="Arial" w:cs="Arial"/>
          <w:sz w:val="20"/>
          <w:szCs w:val="20"/>
        </w:rPr>
        <w:t xml:space="preserve"> VP, Kale RS, </w:t>
      </w:r>
      <w:proofErr w:type="spellStart"/>
      <w:r w:rsidRPr="0031297C">
        <w:rPr>
          <w:rFonts w:ascii="Arial" w:hAnsi="Arial" w:cs="Arial"/>
          <w:sz w:val="20"/>
          <w:szCs w:val="20"/>
        </w:rPr>
        <w:t>Vilhekar</w:t>
      </w:r>
      <w:proofErr w:type="spellEnd"/>
      <w:r w:rsidRPr="0031297C">
        <w:rPr>
          <w:rFonts w:ascii="Arial" w:hAnsi="Arial" w:cs="Arial"/>
          <w:sz w:val="20"/>
          <w:szCs w:val="20"/>
        </w:rPr>
        <w:t xml:space="preserve"> KY, </w:t>
      </w:r>
      <w:proofErr w:type="spellStart"/>
      <w:r w:rsidRPr="0031297C">
        <w:rPr>
          <w:rFonts w:ascii="Arial" w:hAnsi="Arial" w:cs="Arial"/>
          <w:sz w:val="20"/>
          <w:szCs w:val="20"/>
        </w:rPr>
        <w:t>Bahekar</w:t>
      </w:r>
      <w:proofErr w:type="spellEnd"/>
      <w:r w:rsidRPr="0031297C">
        <w:rPr>
          <w:rFonts w:ascii="Arial" w:hAnsi="Arial" w:cs="Arial"/>
          <w:sz w:val="20"/>
          <w:szCs w:val="20"/>
        </w:rPr>
        <w:t xml:space="preserve"> SE. Drug utilization study on antimicrobials use in lower respiratory tract infection in </w:t>
      </w:r>
      <w:proofErr w:type="spellStart"/>
      <w:r w:rsidRPr="0031297C">
        <w:rPr>
          <w:rFonts w:ascii="Arial" w:hAnsi="Arial" w:cs="Arial"/>
          <w:sz w:val="20"/>
          <w:szCs w:val="20"/>
        </w:rPr>
        <w:t>Pediatric</w:t>
      </w:r>
      <w:proofErr w:type="spellEnd"/>
      <w:r w:rsidRPr="0031297C">
        <w:rPr>
          <w:rFonts w:ascii="Arial" w:hAnsi="Arial" w:cs="Arial"/>
          <w:sz w:val="20"/>
          <w:szCs w:val="20"/>
        </w:rPr>
        <w:t xml:space="preserve"> Intensive Care Unit of Rural Tertiary Care Hospital. Journal of Medical Society. 2016 Sep 1;30(3):146-8.</w:t>
      </w:r>
    </w:p>
    <w:p w14:paraId="6B2CB820" w14:textId="350F7936" w:rsidR="0031297C" w:rsidRPr="0031297C" w:rsidRDefault="0031297C" w:rsidP="0031297C">
      <w:pPr>
        <w:rPr>
          <w:rFonts w:ascii="Arial" w:hAnsi="Arial" w:cs="Arial"/>
        </w:rPr>
      </w:pPr>
      <w:r w:rsidRPr="0031297C">
        <w:rPr>
          <w:rFonts w:ascii="Arial" w:hAnsi="Arial" w:cs="Arial"/>
        </w:rPr>
        <w:t xml:space="preserve">10.  </w:t>
      </w:r>
      <w:proofErr w:type="spellStart"/>
      <w:r w:rsidRPr="0031297C">
        <w:rPr>
          <w:rFonts w:ascii="Arial" w:hAnsi="Arial" w:cs="Arial"/>
        </w:rPr>
        <w:t>Sahiledengle</w:t>
      </w:r>
      <w:proofErr w:type="spellEnd"/>
      <w:r w:rsidRPr="0031297C">
        <w:rPr>
          <w:rFonts w:ascii="Arial" w:hAnsi="Arial" w:cs="Arial"/>
        </w:rPr>
        <w:t xml:space="preserve"> B, </w:t>
      </w:r>
      <w:proofErr w:type="spellStart"/>
      <w:r w:rsidRPr="0031297C">
        <w:rPr>
          <w:rFonts w:ascii="Arial" w:hAnsi="Arial" w:cs="Arial"/>
        </w:rPr>
        <w:t>Seyoum</w:t>
      </w:r>
      <w:proofErr w:type="spellEnd"/>
      <w:r w:rsidRPr="0031297C">
        <w:rPr>
          <w:rFonts w:ascii="Arial" w:hAnsi="Arial" w:cs="Arial"/>
        </w:rPr>
        <w:t xml:space="preserve"> F, Abebe D, Geleta EN, Negash G, Kalu A, </w:t>
      </w:r>
      <w:proofErr w:type="spellStart"/>
      <w:r w:rsidRPr="0031297C">
        <w:rPr>
          <w:rFonts w:ascii="Arial" w:hAnsi="Arial" w:cs="Arial"/>
        </w:rPr>
        <w:t>Woldeyohannes</w:t>
      </w:r>
      <w:proofErr w:type="spellEnd"/>
      <w:r w:rsidRPr="0031297C">
        <w:rPr>
          <w:rFonts w:ascii="Arial" w:hAnsi="Arial" w:cs="Arial"/>
        </w:rPr>
        <w:t xml:space="preserve"> D, </w:t>
      </w:r>
      <w:proofErr w:type="spellStart"/>
      <w:r w:rsidRPr="0031297C">
        <w:rPr>
          <w:rFonts w:ascii="Arial" w:hAnsi="Arial" w:cs="Arial"/>
        </w:rPr>
        <w:t>Tekalegn</w:t>
      </w:r>
      <w:proofErr w:type="spellEnd"/>
      <w:r w:rsidRPr="0031297C">
        <w:rPr>
          <w:rFonts w:ascii="Arial" w:hAnsi="Arial" w:cs="Arial"/>
        </w:rPr>
        <w:t xml:space="preserve"> Y, </w:t>
      </w:r>
      <w:proofErr w:type="spellStart"/>
      <w:r w:rsidRPr="0031297C">
        <w:rPr>
          <w:rFonts w:ascii="Arial" w:hAnsi="Arial" w:cs="Arial"/>
        </w:rPr>
        <w:t>Zenbaba</w:t>
      </w:r>
      <w:proofErr w:type="spellEnd"/>
      <w:r w:rsidRPr="0031297C">
        <w:rPr>
          <w:rFonts w:ascii="Arial" w:hAnsi="Arial" w:cs="Arial"/>
        </w:rPr>
        <w:t xml:space="preserve"> D, </w:t>
      </w:r>
      <w:proofErr w:type="spellStart"/>
      <w:r w:rsidRPr="0031297C">
        <w:rPr>
          <w:rFonts w:ascii="Arial" w:hAnsi="Arial" w:cs="Arial"/>
        </w:rPr>
        <w:t>Quisido</w:t>
      </w:r>
      <w:proofErr w:type="spellEnd"/>
      <w:r w:rsidRPr="0031297C">
        <w:rPr>
          <w:rFonts w:ascii="Arial" w:hAnsi="Arial" w:cs="Arial"/>
        </w:rPr>
        <w:t xml:space="preserve"> BJ. Incidence and risk factors for hospital-acquired infection among </w:t>
      </w:r>
      <w:proofErr w:type="spellStart"/>
      <w:r w:rsidRPr="0031297C">
        <w:rPr>
          <w:rFonts w:ascii="Arial" w:hAnsi="Arial" w:cs="Arial"/>
        </w:rPr>
        <w:t>paediatric</w:t>
      </w:r>
      <w:proofErr w:type="spellEnd"/>
      <w:r w:rsidRPr="0031297C">
        <w:rPr>
          <w:rFonts w:ascii="Arial" w:hAnsi="Arial" w:cs="Arial"/>
        </w:rPr>
        <w:t xml:space="preserve"> patients in a teaching hospital: a prospective study in southeast Ethiopia. BMJ open. 2020 Dec 1;10(12</w:t>
      </w:r>
      <w:proofErr w:type="gramStart"/>
      <w:r w:rsidRPr="0031297C">
        <w:rPr>
          <w:rFonts w:ascii="Arial" w:hAnsi="Arial" w:cs="Arial"/>
        </w:rPr>
        <w:t>):e</w:t>
      </w:r>
      <w:proofErr w:type="gramEnd"/>
      <w:r w:rsidRPr="0031297C">
        <w:rPr>
          <w:rFonts w:ascii="Arial" w:hAnsi="Arial" w:cs="Arial"/>
        </w:rPr>
        <w:t>037997.</w:t>
      </w:r>
    </w:p>
    <w:p w14:paraId="2DA08376" w14:textId="77777777" w:rsidR="0031297C" w:rsidRPr="0031297C" w:rsidRDefault="0031297C" w:rsidP="0031297C">
      <w:pPr>
        <w:rPr>
          <w:rFonts w:ascii="Arial" w:hAnsi="Arial" w:cs="Arial"/>
        </w:rPr>
      </w:pPr>
      <w:r w:rsidRPr="0031297C">
        <w:rPr>
          <w:rFonts w:ascii="Arial" w:hAnsi="Arial" w:cs="Arial"/>
        </w:rPr>
        <w:lastRenderedPageBreak/>
        <w:t>11.   Thapaliya K, Shrestha S, Bhattarai S, Basnet D, Chaudhary RK. Prescribing pattern of antibiotics in pediatric hospital in Chitwan district in Nepal. World J Phar Pharm Sci. 2015 Sep 14;4(11):1631-41.</w:t>
      </w:r>
    </w:p>
    <w:p w14:paraId="01E005A3" w14:textId="77777777" w:rsidR="0031297C" w:rsidRPr="0031297C" w:rsidRDefault="0031297C" w:rsidP="0031297C">
      <w:pPr>
        <w:rPr>
          <w:rFonts w:ascii="Arial" w:hAnsi="Arial" w:cs="Arial"/>
        </w:rPr>
      </w:pPr>
      <w:r w:rsidRPr="0031297C">
        <w:rPr>
          <w:rFonts w:ascii="Arial" w:hAnsi="Arial" w:cs="Arial"/>
        </w:rPr>
        <w:t xml:space="preserve">12.   Mahajan HM, Date AP, </w:t>
      </w:r>
      <w:proofErr w:type="spellStart"/>
      <w:r w:rsidRPr="0031297C">
        <w:rPr>
          <w:rFonts w:ascii="Arial" w:hAnsi="Arial" w:cs="Arial"/>
        </w:rPr>
        <w:t>Badwaik</w:t>
      </w:r>
      <w:proofErr w:type="spellEnd"/>
      <w:r w:rsidRPr="0031297C">
        <w:rPr>
          <w:rFonts w:ascii="Arial" w:hAnsi="Arial" w:cs="Arial"/>
        </w:rPr>
        <w:t xml:space="preserve"> RT, </w:t>
      </w:r>
      <w:proofErr w:type="spellStart"/>
      <w:r w:rsidRPr="0031297C">
        <w:rPr>
          <w:rFonts w:ascii="Arial" w:hAnsi="Arial" w:cs="Arial"/>
        </w:rPr>
        <w:t>Borkar</w:t>
      </w:r>
      <w:proofErr w:type="spellEnd"/>
      <w:r w:rsidRPr="0031297C">
        <w:rPr>
          <w:rFonts w:ascii="Arial" w:hAnsi="Arial" w:cs="Arial"/>
        </w:rPr>
        <w:t xml:space="preserve"> AS, </w:t>
      </w:r>
      <w:proofErr w:type="spellStart"/>
      <w:r w:rsidRPr="0031297C">
        <w:rPr>
          <w:rFonts w:ascii="Arial" w:hAnsi="Arial" w:cs="Arial"/>
        </w:rPr>
        <w:t>Wanmali</w:t>
      </w:r>
      <w:proofErr w:type="spellEnd"/>
      <w:r w:rsidRPr="0031297C">
        <w:rPr>
          <w:rFonts w:ascii="Arial" w:hAnsi="Arial" w:cs="Arial"/>
        </w:rPr>
        <w:t xml:space="preserve"> SS, </w:t>
      </w:r>
      <w:proofErr w:type="spellStart"/>
      <w:r w:rsidRPr="0031297C">
        <w:rPr>
          <w:rFonts w:ascii="Arial" w:hAnsi="Arial" w:cs="Arial"/>
        </w:rPr>
        <w:t>Gohad</w:t>
      </w:r>
      <w:proofErr w:type="spellEnd"/>
      <w:r w:rsidRPr="0031297C">
        <w:rPr>
          <w:rFonts w:ascii="Arial" w:hAnsi="Arial" w:cs="Arial"/>
        </w:rPr>
        <w:t xml:space="preserve"> GV. Analysis of Pattern of Antimicrobial use in Respiratory Tract Infections in a Tertiary Care Hospital of Central India-A Drug Utilization Study. J </w:t>
      </w:r>
      <w:proofErr w:type="spellStart"/>
      <w:r w:rsidRPr="0031297C">
        <w:rPr>
          <w:rFonts w:ascii="Arial" w:hAnsi="Arial" w:cs="Arial"/>
        </w:rPr>
        <w:t>Cont</w:t>
      </w:r>
      <w:proofErr w:type="spellEnd"/>
      <w:r w:rsidRPr="0031297C">
        <w:rPr>
          <w:rFonts w:ascii="Arial" w:hAnsi="Arial" w:cs="Arial"/>
        </w:rPr>
        <w:t xml:space="preserve"> Med A Dent. 2014;2(3):59-64.</w:t>
      </w:r>
    </w:p>
    <w:p w14:paraId="0A44E16F" w14:textId="77777777" w:rsidR="0031297C" w:rsidRPr="0031297C" w:rsidRDefault="0031297C" w:rsidP="0031297C">
      <w:pPr>
        <w:rPr>
          <w:rFonts w:ascii="Arial" w:hAnsi="Arial" w:cs="Arial"/>
        </w:rPr>
      </w:pPr>
      <w:r w:rsidRPr="0031297C">
        <w:rPr>
          <w:rFonts w:ascii="Arial" w:hAnsi="Arial" w:cs="Arial"/>
        </w:rPr>
        <w:t>13.   Donà D, Luise D, Da Dalt L, Giaquinto C. Treatment of Community</w:t>
      </w:r>
      <w:r w:rsidRPr="0031297C">
        <w:rPr>
          <w:rFonts w:ascii="Cambria Math" w:hAnsi="Cambria Math" w:cs="Cambria Math"/>
        </w:rPr>
        <w:t>‐</w:t>
      </w:r>
      <w:r w:rsidRPr="0031297C">
        <w:rPr>
          <w:rFonts w:ascii="Arial" w:hAnsi="Arial" w:cs="Arial"/>
        </w:rPr>
        <w:t>Acquired Pneumonia: Are All Countries Treating Children in the Same Way? A Literature Review. International journal of pediatrics. 2017;2017(1):4239268.</w:t>
      </w:r>
    </w:p>
    <w:p w14:paraId="0F89210B" w14:textId="77777777" w:rsidR="0031297C" w:rsidRPr="0031297C" w:rsidRDefault="0031297C" w:rsidP="0031297C">
      <w:pPr>
        <w:rPr>
          <w:rFonts w:ascii="Arial" w:hAnsi="Arial" w:cs="Arial"/>
        </w:rPr>
      </w:pPr>
      <w:r w:rsidRPr="0031297C">
        <w:rPr>
          <w:rFonts w:ascii="Arial" w:hAnsi="Arial" w:cs="Arial"/>
        </w:rPr>
        <w:t xml:space="preserve">14.   Andersen CT, Langendorf C, </w:t>
      </w:r>
      <w:proofErr w:type="spellStart"/>
      <w:r w:rsidRPr="0031297C">
        <w:rPr>
          <w:rFonts w:ascii="Arial" w:hAnsi="Arial" w:cs="Arial"/>
        </w:rPr>
        <w:t>Garba</w:t>
      </w:r>
      <w:proofErr w:type="spellEnd"/>
      <w:r w:rsidRPr="0031297C">
        <w:rPr>
          <w:rFonts w:ascii="Arial" w:hAnsi="Arial" w:cs="Arial"/>
        </w:rPr>
        <w:t xml:space="preserve"> S, </w:t>
      </w:r>
      <w:proofErr w:type="spellStart"/>
      <w:r w:rsidRPr="0031297C">
        <w:rPr>
          <w:rFonts w:ascii="Arial" w:hAnsi="Arial" w:cs="Arial"/>
        </w:rPr>
        <w:t>Sayinzonga-Makombe</w:t>
      </w:r>
      <w:proofErr w:type="spellEnd"/>
      <w:r w:rsidRPr="0031297C">
        <w:rPr>
          <w:rFonts w:ascii="Arial" w:hAnsi="Arial" w:cs="Arial"/>
        </w:rPr>
        <w:t xml:space="preserve"> N, </w:t>
      </w:r>
      <w:proofErr w:type="spellStart"/>
      <w:r w:rsidRPr="0031297C">
        <w:rPr>
          <w:rFonts w:ascii="Arial" w:hAnsi="Arial" w:cs="Arial"/>
        </w:rPr>
        <w:t>Mambula</w:t>
      </w:r>
      <w:proofErr w:type="spellEnd"/>
      <w:r w:rsidRPr="0031297C">
        <w:rPr>
          <w:rFonts w:ascii="Arial" w:hAnsi="Arial" w:cs="Arial"/>
        </w:rPr>
        <w:t xml:space="preserve"> C, </w:t>
      </w:r>
      <w:proofErr w:type="spellStart"/>
      <w:r w:rsidRPr="0031297C">
        <w:rPr>
          <w:rFonts w:ascii="Arial" w:hAnsi="Arial" w:cs="Arial"/>
        </w:rPr>
        <w:t>Mouniaman</w:t>
      </w:r>
      <w:proofErr w:type="spellEnd"/>
      <w:r w:rsidRPr="0031297C">
        <w:rPr>
          <w:rFonts w:ascii="Arial" w:hAnsi="Arial" w:cs="Arial"/>
        </w:rPr>
        <w:t xml:space="preserve"> I, Hanson KE, </w:t>
      </w:r>
      <w:proofErr w:type="spellStart"/>
      <w:r w:rsidRPr="0031297C">
        <w:rPr>
          <w:rFonts w:ascii="Arial" w:hAnsi="Arial" w:cs="Arial"/>
        </w:rPr>
        <w:t>Grais</w:t>
      </w:r>
      <w:proofErr w:type="spellEnd"/>
      <w:r w:rsidRPr="0031297C">
        <w:rPr>
          <w:rFonts w:ascii="Arial" w:hAnsi="Arial" w:cs="Arial"/>
        </w:rPr>
        <w:t xml:space="preserve"> RF, </w:t>
      </w:r>
      <w:proofErr w:type="spellStart"/>
      <w:r w:rsidRPr="0031297C">
        <w:rPr>
          <w:rFonts w:ascii="Arial" w:hAnsi="Arial" w:cs="Arial"/>
        </w:rPr>
        <w:t>Isanaka</w:t>
      </w:r>
      <w:proofErr w:type="spellEnd"/>
      <w:r w:rsidRPr="0031297C">
        <w:rPr>
          <w:rFonts w:ascii="Arial" w:hAnsi="Arial" w:cs="Arial"/>
        </w:rPr>
        <w:t xml:space="preserve"> S. Risk of community-and hospital-acquired bacteremia and profile of antibiotic resistance in children hospitalized with severe acute malnutrition in Niger. International Journal of Infectious Diseases. 2022 Jun </w:t>
      </w:r>
      <w:proofErr w:type="gramStart"/>
      <w:r w:rsidRPr="0031297C">
        <w:rPr>
          <w:rFonts w:ascii="Arial" w:hAnsi="Arial" w:cs="Arial"/>
        </w:rPr>
        <w:t>1;119:163</w:t>
      </w:r>
      <w:proofErr w:type="gramEnd"/>
      <w:r w:rsidRPr="0031297C">
        <w:rPr>
          <w:rFonts w:ascii="Arial" w:hAnsi="Arial" w:cs="Arial"/>
        </w:rPr>
        <w:t>-71.</w:t>
      </w:r>
    </w:p>
    <w:p w14:paraId="1AC55292" w14:textId="77777777" w:rsidR="0031297C" w:rsidRPr="0031297C" w:rsidRDefault="0031297C" w:rsidP="0031297C">
      <w:pPr>
        <w:rPr>
          <w:rFonts w:ascii="Arial" w:hAnsi="Arial" w:cs="Arial"/>
        </w:rPr>
      </w:pPr>
      <w:r w:rsidRPr="0031297C">
        <w:rPr>
          <w:rFonts w:ascii="Arial" w:hAnsi="Arial" w:cs="Arial"/>
        </w:rPr>
        <w:t xml:space="preserve">15.   </w:t>
      </w:r>
      <w:proofErr w:type="spellStart"/>
      <w:r w:rsidRPr="0031297C">
        <w:rPr>
          <w:rFonts w:ascii="Arial" w:hAnsi="Arial" w:cs="Arial"/>
        </w:rPr>
        <w:t>Rauniyar</w:t>
      </w:r>
      <w:proofErr w:type="spellEnd"/>
      <w:r w:rsidRPr="0031297C">
        <w:rPr>
          <w:rFonts w:ascii="Arial" w:hAnsi="Arial" w:cs="Arial"/>
        </w:rPr>
        <w:t xml:space="preserve"> R, Mandal RK, Joshi R, Chaudhary R, Bansal S, Sood AK, Singh T. Drug Utilization Evaluation in Upper Respiratory Infection in Pediatric Population in North Indian Tertiary Hospital. Journal of Young Pharmacists. 2025;17(1):206.</w:t>
      </w:r>
    </w:p>
    <w:p w14:paraId="57E1FCCD" w14:textId="77777777" w:rsidR="0031297C" w:rsidRDefault="0031297C" w:rsidP="00441B6F">
      <w:pPr>
        <w:pStyle w:val="DefAcrHead"/>
        <w:spacing w:after="0"/>
        <w:jc w:val="both"/>
        <w:rPr>
          <w:rFonts w:ascii="Arial" w:hAnsi="Arial" w:cs="Arial"/>
        </w:rPr>
      </w:pPr>
    </w:p>
    <w:p w14:paraId="272F8DBB" w14:textId="4697B50A" w:rsidR="00B01FCD" w:rsidRDefault="00B01FCD" w:rsidP="00441B6F">
      <w:pPr>
        <w:pStyle w:val="DefAcrHead"/>
        <w:spacing w:after="0"/>
        <w:jc w:val="both"/>
        <w:rPr>
          <w:rFonts w:ascii="Arial" w:hAnsi="Arial" w:cs="Arial"/>
        </w:rPr>
      </w:pPr>
      <w:r w:rsidRPr="00FB3A86">
        <w:rPr>
          <w:rFonts w:ascii="Arial" w:hAnsi="Arial" w:cs="Arial"/>
        </w:rPr>
        <w:t xml:space="preserve"> Abbreviations</w:t>
      </w:r>
    </w:p>
    <w:p w14:paraId="3C488583" w14:textId="77777777" w:rsidR="004D4277" w:rsidRDefault="004D4277" w:rsidP="00441B6F">
      <w:pPr>
        <w:pStyle w:val="Appendix"/>
        <w:spacing w:after="0"/>
        <w:jc w:val="both"/>
        <w:rPr>
          <w:rFonts w:ascii="Arial" w:hAnsi="Arial" w:cs="Arial"/>
          <w:b w:val="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4742"/>
      </w:tblGrid>
      <w:tr w:rsidR="000363F9" w:rsidRPr="000363F9" w14:paraId="426B9542" w14:textId="77777777">
        <w:trPr>
          <w:tblCellSpacing w:w="15" w:type="dxa"/>
        </w:trPr>
        <w:tc>
          <w:tcPr>
            <w:tcW w:w="0" w:type="auto"/>
            <w:vAlign w:val="center"/>
            <w:hideMark/>
          </w:tcPr>
          <w:p w14:paraId="2C3AE4FA"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RTI / RTIs</w:t>
            </w:r>
          </w:p>
        </w:tc>
        <w:tc>
          <w:tcPr>
            <w:tcW w:w="0" w:type="auto"/>
            <w:vAlign w:val="center"/>
            <w:hideMark/>
          </w:tcPr>
          <w:p w14:paraId="6A6F1453" w14:textId="4F9D1D77"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Respiratory Tract Infection(s)</w:t>
            </w:r>
          </w:p>
        </w:tc>
      </w:tr>
    </w:tbl>
    <w:p w14:paraId="3449EE67"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5309"/>
      </w:tblGrid>
      <w:tr w:rsidR="000363F9" w:rsidRPr="000363F9" w14:paraId="31F607DC" w14:textId="77777777">
        <w:trPr>
          <w:tblCellSpacing w:w="15" w:type="dxa"/>
        </w:trPr>
        <w:tc>
          <w:tcPr>
            <w:tcW w:w="0" w:type="auto"/>
            <w:vAlign w:val="center"/>
            <w:hideMark/>
          </w:tcPr>
          <w:p w14:paraId="134BAEB3"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LRTI / LRTIs</w:t>
            </w:r>
          </w:p>
        </w:tc>
        <w:tc>
          <w:tcPr>
            <w:tcW w:w="0" w:type="auto"/>
            <w:vAlign w:val="center"/>
            <w:hideMark/>
          </w:tcPr>
          <w:p w14:paraId="5979D53A" w14:textId="772CC1F1"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Lower Respiratory Tract Infection(s)</w:t>
            </w:r>
          </w:p>
        </w:tc>
      </w:tr>
    </w:tbl>
    <w:p w14:paraId="46984B14"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5209"/>
      </w:tblGrid>
      <w:tr w:rsidR="000363F9" w:rsidRPr="000363F9" w14:paraId="4DFE738E" w14:textId="77777777">
        <w:trPr>
          <w:tblCellSpacing w:w="15" w:type="dxa"/>
        </w:trPr>
        <w:tc>
          <w:tcPr>
            <w:tcW w:w="0" w:type="auto"/>
            <w:vAlign w:val="center"/>
            <w:hideMark/>
          </w:tcPr>
          <w:p w14:paraId="5B851508"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URTI / URTIs</w:t>
            </w:r>
          </w:p>
        </w:tc>
        <w:tc>
          <w:tcPr>
            <w:tcW w:w="0" w:type="auto"/>
            <w:vAlign w:val="center"/>
            <w:hideMark/>
          </w:tcPr>
          <w:p w14:paraId="1B84BAC9" w14:textId="4BF3CBA9"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Upper Respiratory Tract Infection(s)</w:t>
            </w:r>
          </w:p>
        </w:tc>
      </w:tr>
    </w:tbl>
    <w:p w14:paraId="35A3F3D1"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098"/>
      </w:tblGrid>
      <w:tr w:rsidR="000363F9" w:rsidRPr="000363F9" w14:paraId="131C8CA1" w14:textId="77777777">
        <w:trPr>
          <w:tblCellSpacing w:w="15" w:type="dxa"/>
        </w:trPr>
        <w:tc>
          <w:tcPr>
            <w:tcW w:w="0" w:type="auto"/>
            <w:vAlign w:val="center"/>
            <w:hideMark/>
          </w:tcPr>
          <w:p w14:paraId="6DCD5B9C"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ARI</w:t>
            </w:r>
          </w:p>
        </w:tc>
        <w:tc>
          <w:tcPr>
            <w:tcW w:w="0" w:type="auto"/>
            <w:vAlign w:val="center"/>
            <w:hideMark/>
          </w:tcPr>
          <w:p w14:paraId="7A4062D5" w14:textId="4A4168D0"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Acute Respiratory Infection</w:t>
            </w:r>
          </w:p>
        </w:tc>
      </w:tr>
    </w:tbl>
    <w:p w14:paraId="494BAAB8"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343"/>
      </w:tblGrid>
      <w:tr w:rsidR="000363F9" w:rsidRPr="000363F9" w14:paraId="1BD7B54F" w14:textId="77777777">
        <w:trPr>
          <w:tblCellSpacing w:w="15" w:type="dxa"/>
        </w:trPr>
        <w:tc>
          <w:tcPr>
            <w:tcW w:w="0" w:type="auto"/>
            <w:vAlign w:val="center"/>
            <w:hideMark/>
          </w:tcPr>
          <w:p w14:paraId="76E13174"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IEC</w:t>
            </w:r>
          </w:p>
        </w:tc>
        <w:tc>
          <w:tcPr>
            <w:tcW w:w="0" w:type="auto"/>
            <w:vAlign w:val="center"/>
            <w:hideMark/>
          </w:tcPr>
          <w:p w14:paraId="38331C76" w14:textId="511A14BD"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Institutional Ethics Committee</w:t>
            </w:r>
          </w:p>
        </w:tc>
      </w:tr>
    </w:tbl>
    <w:p w14:paraId="3D535464"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7444"/>
      </w:tblGrid>
      <w:tr w:rsidR="000363F9" w:rsidRPr="000363F9" w14:paraId="434A646B" w14:textId="77777777">
        <w:trPr>
          <w:tblCellSpacing w:w="15" w:type="dxa"/>
        </w:trPr>
        <w:tc>
          <w:tcPr>
            <w:tcW w:w="0" w:type="auto"/>
            <w:vAlign w:val="center"/>
            <w:hideMark/>
          </w:tcPr>
          <w:p w14:paraId="40D95F1D"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IERB</w:t>
            </w:r>
          </w:p>
        </w:tc>
        <w:tc>
          <w:tcPr>
            <w:tcW w:w="0" w:type="auto"/>
            <w:vAlign w:val="center"/>
            <w:hideMark/>
          </w:tcPr>
          <w:p w14:paraId="6E22ACC1" w14:textId="1332A006"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 xml:space="preserve">Institutional Ethics Review Board </w:t>
            </w:r>
            <w:r w:rsidRPr="000363F9">
              <w:rPr>
                <w:rFonts w:ascii="Arial" w:hAnsi="Arial" w:cs="Arial"/>
                <w:b w:val="0"/>
                <w:i/>
                <w:iCs/>
                <w:sz w:val="20"/>
                <w:szCs w:val="18"/>
                <w:lang w:val="en-IN"/>
              </w:rPr>
              <w:t>(IERB No: 83-2024)</w:t>
            </w:r>
          </w:p>
        </w:tc>
      </w:tr>
    </w:tbl>
    <w:p w14:paraId="17FB43E6"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4321"/>
      </w:tblGrid>
      <w:tr w:rsidR="000363F9" w:rsidRPr="000363F9" w14:paraId="754CA0D7" w14:textId="77777777">
        <w:trPr>
          <w:tblCellSpacing w:w="15" w:type="dxa"/>
        </w:trPr>
        <w:tc>
          <w:tcPr>
            <w:tcW w:w="0" w:type="auto"/>
            <w:vAlign w:val="center"/>
            <w:hideMark/>
          </w:tcPr>
          <w:p w14:paraId="1D689F08"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CI</w:t>
            </w:r>
          </w:p>
        </w:tc>
        <w:tc>
          <w:tcPr>
            <w:tcW w:w="0" w:type="auto"/>
            <w:vAlign w:val="center"/>
            <w:hideMark/>
          </w:tcPr>
          <w:p w14:paraId="51A9AC87" w14:textId="0A9D7E64"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Confidence Interval</w:t>
            </w:r>
          </w:p>
        </w:tc>
      </w:tr>
    </w:tbl>
    <w:p w14:paraId="17C3443B"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
        <w:gridCol w:w="3554"/>
      </w:tblGrid>
      <w:tr w:rsidR="000363F9" w:rsidRPr="000363F9" w14:paraId="617B20B1" w14:textId="77777777">
        <w:trPr>
          <w:tblCellSpacing w:w="15" w:type="dxa"/>
        </w:trPr>
        <w:tc>
          <w:tcPr>
            <w:tcW w:w="0" w:type="auto"/>
            <w:vAlign w:val="center"/>
            <w:hideMark/>
          </w:tcPr>
          <w:p w14:paraId="391D431B"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HCl</w:t>
            </w:r>
          </w:p>
        </w:tc>
        <w:tc>
          <w:tcPr>
            <w:tcW w:w="0" w:type="auto"/>
            <w:vAlign w:val="center"/>
            <w:hideMark/>
          </w:tcPr>
          <w:p w14:paraId="32A43B13" w14:textId="7E48B0B4"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Hydrochloride</w:t>
            </w:r>
          </w:p>
        </w:tc>
      </w:tr>
    </w:tbl>
    <w:p w14:paraId="00D39C24" w14:textId="77777777" w:rsidR="000363F9" w:rsidRDefault="000363F9" w:rsidP="00441B6F">
      <w:pPr>
        <w:pStyle w:val="Appendix"/>
        <w:spacing w:after="0"/>
        <w:jc w:val="both"/>
        <w:rPr>
          <w:rFonts w:ascii="Arial" w:hAnsi="Arial" w:cs="Arial"/>
          <w:b w:val="0"/>
        </w:rPr>
      </w:pPr>
    </w:p>
    <w:p w14:paraId="4A615186" w14:textId="77777777" w:rsidR="000363F9" w:rsidRDefault="000363F9" w:rsidP="00441B6F">
      <w:pPr>
        <w:pStyle w:val="Appendix"/>
        <w:spacing w:after="0"/>
        <w:jc w:val="both"/>
        <w:rPr>
          <w:rFonts w:ascii="Arial" w:hAnsi="Arial" w:cs="Arial"/>
          <w:b w:val="0"/>
        </w:rPr>
      </w:pPr>
    </w:p>
    <w:p w14:paraId="58C81787" w14:textId="77777777" w:rsidR="000363F9" w:rsidRDefault="000363F9" w:rsidP="00441B6F">
      <w:pPr>
        <w:pStyle w:val="Appendix"/>
        <w:spacing w:after="0"/>
        <w:jc w:val="both"/>
        <w:rPr>
          <w:rFonts w:ascii="Arial" w:hAnsi="Arial" w:cs="Arial"/>
          <w:b w:val="0"/>
        </w:rPr>
      </w:pPr>
    </w:p>
    <w:p w14:paraId="14E6BACD" w14:textId="77777777" w:rsidR="000363F9" w:rsidRDefault="000363F9" w:rsidP="00441B6F">
      <w:pPr>
        <w:pStyle w:val="Appendix"/>
        <w:spacing w:after="0"/>
        <w:jc w:val="both"/>
        <w:rPr>
          <w:rFonts w:ascii="Arial" w:hAnsi="Arial" w:cs="Arial"/>
          <w:b w:val="0"/>
        </w:rPr>
      </w:pPr>
    </w:p>
    <w:p w14:paraId="5B2C7E88" w14:textId="77777777" w:rsidR="000363F9" w:rsidRDefault="000363F9" w:rsidP="00441B6F">
      <w:pPr>
        <w:pStyle w:val="Appendix"/>
        <w:spacing w:after="0"/>
        <w:jc w:val="both"/>
        <w:rPr>
          <w:rFonts w:ascii="Arial" w:hAnsi="Arial" w:cs="Arial"/>
          <w:b w:val="0"/>
        </w:rPr>
      </w:pPr>
    </w:p>
    <w:p w14:paraId="4BEF7872" w14:textId="42970984" w:rsidR="000363F9" w:rsidRPr="00FB3A86" w:rsidRDefault="000363F9" w:rsidP="00441B6F">
      <w:pPr>
        <w:pStyle w:val="Appendix"/>
        <w:spacing w:after="0"/>
        <w:jc w:val="both"/>
        <w:rPr>
          <w:rFonts w:ascii="Arial" w:hAnsi="Arial" w:cs="Arial"/>
          <w:b w:val="0"/>
        </w:rPr>
        <w:sectPr w:rsidR="000363F9" w:rsidRPr="00FB3A86" w:rsidSect="002D39E1">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CEC7AE4" w14:textId="77777777" w:rsidR="00B01FCD" w:rsidRPr="00FB3A86" w:rsidRDefault="00B01FCD" w:rsidP="00441B6F">
      <w:pPr>
        <w:pStyle w:val="Appendix"/>
        <w:spacing w:after="0"/>
        <w:jc w:val="both"/>
        <w:rPr>
          <w:rFonts w:ascii="Arial" w:hAnsi="Arial" w:cs="Arial"/>
          <w:b w:val="0"/>
        </w:rPr>
      </w:pPr>
    </w:p>
    <w:sectPr w:rsidR="00B01FCD" w:rsidRPr="00FB3A86" w:rsidSect="002D39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4FB6" w14:textId="77777777" w:rsidR="006C4D09" w:rsidRDefault="006C4D09" w:rsidP="00C37E61">
      <w:r>
        <w:separator/>
      </w:r>
    </w:p>
  </w:endnote>
  <w:endnote w:type="continuationSeparator" w:id="0">
    <w:p w14:paraId="52A749C5" w14:textId="77777777" w:rsidR="006C4D09" w:rsidRDefault="006C4D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F5FF" w14:textId="77777777" w:rsidR="009C6FE1" w:rsidRDefault="009C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2F07" w14:textId="77777777" w:rsidR="009C6FE1" w:rsidRDefault="009C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6974" w14:textId="77777777" w:rsidR="009E048A" w:rsidRDefault="009E048A">
    <w:pPr>
      <w:pStyle w:val="Footer"/>
      <w:rPr>
        <w:rFonts w:ascii="Arial" w:hAnsi="Arial" w:cs="Arial"/>
        <w:sz w:val="16"/>
      </w:rPr>
    </w:pPr>
  </w:p>
  <w:p w14:paraId="50D856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894051" w14:textId="77777777" w:rsidR="009E048A" w:rsidRDefault="009E048A">
    <w:pPr>
      <w:pStyle w:val="Footer"/>
      <w:rPr>
        <w:rFonts w:ascii="Arial" w:hAnsi="Arial" w:cs="Arial"/>
        <w:sz w:val="16"/>
      </w:rPr>
    </w:pPr>
  </w:p>
  <w:p w14:paraId="2A7529B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E5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98766" w14:textId="77777777" w:rsidR="006C4D09" w:rsidRDefault="006C4D09" w:rsidP="00C37E61">
      <w:r>
        <w:separator/>
      </w:r>
    </w:p>
  </w:footnote>
  <w:footnote w:type="continuationSeparator" w:id="0">
    <w:p w14:paraId="0F259EFD" w14:textId="77777777" w:rsidR="006C4D09" w:rsidRDefault="006C4D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A88F" w14:textId="28643DD6" w:rsidR="009C6FE1" w:rsidRDefault="009C6FE1">
    <w:pPr>
      <w:pStyle w:val="Header"/>
    </w:pPr>
    <w:r>
      <w:rPr>
        <w:noProof/>
      </w:rPr>
      <w:pict w14:anchorId="5FC1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1FFD" w14:textId="70DBBF62" w:rsidR="009C6FE1" w:rsidRDefault="009C6FE1">
    <w:pPr>
      <w:pStyle w:val="Header"/>
    </w:pPr>
    <w:r>
      <w:rPr>
        <w:noProof/>
      </w:rPr>
      <w:pict w14:anchorId="21631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0EC4" w14:textId="0CB019D5" w:rsidR="00296529" w:rsidRPr="00296529" w:rsidRDefault="009C6FE1" w:rsidP="00296529">
    <w:pPr>
      <w:ind w:left="2160"/>
      <w:jc w:val="center"/>
      <w:rPr>
        <w:rFonts w:ascii="Times New Roman" w:eastAsia="Calibri" w:hAnsi="Times New Roman"/>
        <w:i/>
        <w:sz w:val="18"/>
        <w:szCs w:val="22"/>
      </w:rPr>
    </w:pPr>
    <w:r>
      <w:rPr>
        <w:noProof/>
      </w:rPr>
      <w:pict w14:anchorId="62D7D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B238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30D1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E0A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0C61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17E0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1ECE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9877" w14:textId="1B554FE1" w:rsidR="009C6FE1" w:rsidRDefault="009C6FE1">
    <w:pPr>
      <w:pStyle w:val="Header"/>
    </w:pPr>
    <w:r>
      <w:rPr>
        <w:noProof/>
      </w:rPr>
      <w:pict w14:anchorId="3F222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3E4D" w14:textId="52829915" w:rsidR="009C6FE1" w:rsidRDefault="009C6FE1">
    <w:pPr>
      <w:pStyle w:val="Header"/>
    </w:pPr>
    <w:r>
      <w:rPr>
        <w:noProof/>
      </w:rPr>
      <w:pict w14:anchorId="7FB15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7083" w14:textId="6E6DA283" w:rsidR="009C6FE1" w:rsidRDefault="009C6FE1">
    <w:pPr>
      <w:pStyle w:val="Header"/>
    </w:pPr>
    <w:r>
      <w:rPr>
        <w:noProof/>
      </w:rPr>
      <w:pict w14:anchorId="71E80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83638F"/>
    <w:multiLevelType w:val="hybridMultilevel"/>
    <w:tmpl w:val="3EBE6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502"/>
    <w:rsid w:val="00030174"/>
    <w:rsid w:val="000363F9"/>
    <w:rsid w:val="0004579C"/>
    <w:rsid w:val="000A47FA"/>
    <w:rsid w:val="000A65D3"/>
    <w:rsid w:val="000B1E33"/>
    <w:rsid w:val="000C1357"/>
    <w:rsid w:val="000D24DF"/>
    <w:rsid w:val="000D689F"/>
    <w:rsid w:val="000E7B7B"/>
    <w:rsid w:val="000E7D62"/>
    <w:rsid w:val="00103357"/>
    <w:rsid w:val="00123C9F"/>
    <w:rsid w:val="00126190"/>
    <w:rsid w:val="00130F17"/>
    <w:rsid w:val="001320BF"/>
    <w:rsid w:val="00163BC4"/>
    <w:rsid w:val="00191062"/>
    <w:rsid w:val="00192B72"/>
    <w:rsid w:val="001A29D8"/>
    <w:rsid w:val="001A56AB"/>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B0B"/>
    <w:rsid w:val="00283105"/>
    <w:rsid w:val="00284C4C"/>
    <w:rsid w:val="00287E68"/>
    <w:rsid w:val="00296529"/>
    <w:rsid w:val="002B27FB"/>
    <w:rsid w:val="002B685A"/>
    <w:rsid w:val="002C57D2"/>
    <w:rsid w:val="002D39E1"/>
    <w:rsid w:val="002E0D56"/>
    <w:rsid w:val="0031297C"/>
    <w:rsid w:val="00315186"/>
    <w:rsid w:val="003247F5"/>
    <w:rsid w:val="0033343E"/>
    <w:rsid w:val="003512C2"/>
    <w:rsid w:val="00371FB6"/>
    <w:rsid w:val="003763C1"/>
    <w:rsid w:val="00376BBE"/>
    <w:rsid w:val="00387FE5"/>
    <w:rsid w:val="0039224F"/>
    <w:rsid w:val="003979E9"/>
    <w:rsid w:val="003A43A4"/>
    <w:rsid w:val="003A7E18"/>
    <w:rsid w:val="003C4C86"/>
    <w:rsid w:val="003C6258"/>
    <w:rsid w:val="003E2904"/>
    <w:rsid w:val="003F76AA"/>
    <w:rsid w:val="00401927"/>
    <w:rsid w:val="0041027F"/>
    <w:rsid w:val="00412475"/>
    <w:rsid w:val="00416AB4"/>
    <w:rsid w:val="00423789"/>
    <w:rsid w:val="00440F43"/>
    <w:rsid w:val="00441B6F"/>
    <w:rsid w:val="00446221"/>
    <w:rsid w:val="00450E62"/>
    <w:rsid w:val="004539DB"/>
    <w:rsid w:val="00471A80"/>
    <w:rsid w:val="004D305E"/>
    <w:rsid w:val="004D4277"/>
    <w:rsid w:val="00502516"/>
    <w:rsid w:val="00505F06"/>
    <w:rsid w:val="00506828"/>
    <w:rsid w:val="0053056E"/>
    <w:rsid w:val="005411C6"/>
    <w:rsid w:val="00554FDA"/>
    <w:rsid w:val="005C784C"/>
    <w:rsid w:val="005D17F6"/>
    <w:rsid w:val="005E2CFD"/>
    <w:rsid w:val="005E5539"/>
    <w:rsid w:val="00602BF5"/>
    <w:rsid w:val="00617FDD"/>
    <w:rsid w:val="006302C0"/>
    <w:rsid w:val="00633614"/>
    <w:rsid w:val="00633F68"/>
    <w:rsid w:val="00636EB2"/>
    <w:rsid w:val="006375B8"/>
    <w:rsid w:val="0066510A"/>
    <w:rsid w:val="00673F9F"/>
    <w:rsid w:val="00686953"/>
    <w:rsid w:val="00687DEA"/>
    <w:rsid w:val="00687E67"/>
    <w:rsid w:val="006967F7"/>
    <w:rsid w:val="006A250C"/>
    <w:rsid w:val="006B21D3"/>
    <w:rsid w:val="006B57D0"/>
    <w:rsid w:val="006C4D09"/>
    <w:rsid w:val="006D30FF"/>
    <w:rsid w:val="006D6940"/>
    <w:rsid w:val="006F11EC"/>
    <w:rsid w:val="0070082C"/>
    <w:rsid w:val="00717BEC"/>
    <w:rsid w:val="007257BB"/>
    <w:rsid w:val="0073484E"/>
    <w:rsid w:val="007369E6"/>
    <w:rsid w:val="00746E59"/>
    <w:rsid w:val="00754C9A"/>
    <w:rsid w:val="0075599A"/>
    <w:rsid w:val="00761D52"/>
    <w:rsid w:val="0077749E"/>
    <w:rsid w:val="00790ADA"/>
    <w:rsid w:val="007D2288"/>
    <w:rsid w:val="007E088F"/>
    <w:rsid w:val="007F5278"/>
    <w:rsid w:val="007F7B32"/>
    <w:rsid w:val="00804BC2"/>
    <w:rsid w:val="0081431A"/>
    <w:rsid w:val="00814585"/>
    <w:rsid w:val="0083216F"/>
    <w:rsid w:val="00860000"/>
    <w:rsid w:val="00863BD3"/>
    <w:rsid w:val="008641ED"/>
    <w:rsid w:val="00866D66"/>
    <w:rsid w:val="008671C6"/>
    <w:rsid w:val="00875803"/>
    <w:rsid w:val="008B459E"/>
    <w:rsid w:val="008B5488"/>
    <w:rsid w:val="008E13AE"/>
    <w:rsid w:val="008E1506"/>
    <w:rsid w:val="008E41A5"/>
    <w:rsid w:val="008E710C"/>
    <w:rsid w:val="008F3401"/>
    <w:rsid w:val="008F69D6"/>
    <w:rsid w:val="00902823"/>
    <w:rsid w:val="00902D44"/>
    <w:rsid w:val="00915CA6"/>
    <w:rsid w:val="00927834"/>
    <w:rsid w:val="009500A6"/>
    <w:rsid w:val="00957C18"/>
    <w:rsid w:val="009659BA"/>
    <w:rsid w:val="00972805"/>
    <w:rsid w:val="00983040"/>
    <w:rsid w:val="009B3FB9"/>
    <w:rsid w:val="009C2465"/>
    <w:rsid w:val="009C6FE1"/>
    <w:rsid w:val="009D35A0"/>
    <w:rsid w:val="009D7EB7"/>
    <w:rsid w:val="009E048A"/>
    <w:rsid w:val="009E08E9"/>
    <w:rsid w:val="009E3DB9"/>
    <w:rsid w:val="009E6E35"/>
    <w:rsid w:val="009F0EDA"/>
    <w:rsid w:val="00A03B96"/>
    <w:rsid w:val="00A05B19"/>
    <w:rsid w:val="00A1134E"/>
    <w:rsid w:val="00A24E7E"/>
    <w:rsid w:val="00A258C3"/>
    <w:rsid w:val="00A34289"/>
    <w:rsid w:val="00A347C0"/>
    <w:rsid w:val="00A35773"/>
    <w:rsid w:val="00A51431"/>
    <w:rsid w:val="00A539AD"/>
    <w:rsid w:val="00A702D4"/>
    <w:rsid w:val="00A94063"/>
    <w:rsid w:val="00AA6219"/>
    <w:rsid w:val="00AA6367"/>
    <w:rsid w:val="00AA74E0"/>
    <w:rsid w:val="00AB703F"/>
    <w:rsid w:val="00AC6BB8"/>
    <w:rsid w:val="00AE008F"/>
    <w:rsid w:val="00AE078B"/>
    <w:rsid w:val="00B01FCD"/>
    <w:rsid w:val="00B1776C"/>
    <w:rsid w:val="00B4155B"/>
    <w:rsid w:val="00B52583"/>
    <w:rsid w:val="00B52896"/>
    <w:rsid w:val="00B95236"/>
    <w:rsid w:val="00B96BD9"/>
    <w:rsid w:val="00BA1B01"/>
    <w:rsid w:val="00BA2641"/>
    <w:rsid w:val="00BB37AA"/>
    <w:rsid w:val="00BC53A0"/>
    <w:rsid w:val="00BE62AD"/>
    <w:rsid w:val="00BF07AD"/>
    <w:rsid w:val="00BF121F"/>
    <w:rsid w:val="00BF1F80"/>
    <w:rsid w:val="00C166EF"/>
    <w:rsid w:val="00C17EB0"/>
    <w:rsid w:val="00C27F5F"/>
    <w:rsid w:val="00C30A0F"/>
    <w:rsid w:val="00C37E61"/>
    <w:rsid w:val="00C70F1B"/>
    <w:rsid w:val="00C71A47"/>
    <w:rsid w:val="00C7464C"/>
    <w:rsid w:val="00C75960"/>
    <w:rsid w:val="00C85588"/>
    <w:rsid w:val="00CD6755"/>
    <w:rsid w:val="00CD6856"/>
    <w:rsid w:val="00CE0089"/>
    <w:rsid w:val="00CE793C"/>
    <w:rsid w:val="00CF193C"/>
    <w:rsid w:val="00D173F1"/>
    <w:rsid w:val="00D24E2C"/>
    <w:rsid w:val="00D74CB0"/>
    <w:rsid w:val="00D8295D"/>
    <w:rsid w:val="00D96EE1"/>
    <w:rsid w:val="00DC2A65"/>
    <w:rsid w:val="00DE15F0"/>
    <w:rsid w:val="00DE5663"/>
    <w:rsid w:val="00DE78AA"/>
    <w:rsid w:val="00DF2B7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F13"/>
    <w:rsid w:val="00EE52CB"/>
    <w:rsid w:val="00EF581D"/>
    <w:rsid w:val="00EF7FD8"/>
    <w:rsid w:val="00F04C98"/>
    <w:rsid w:val="00F06F59"/>
    <w:rsid w:val="00F17988"/>
    <w:rsid w:val="00F236BF"/>
    <w:rsid w:val="00F469F0"/>
    <w:rsid w:val="00F53273"/>
    <w:rsid w:val="00F755E4"/>
    <w:rsid w:val="00F77D02"/>
    <w:rsid w:val="00FB3A86"/>
    <w:rsid w:val="00FD36C8"/>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395B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87FE5"/>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apps.who.int/iris/handle/10665/605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04B5-8E2D-41C1-8CAA-6D117140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11</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50</cp:revision>
  <cp:lastPrinted>1999-07-06T11:00:00Z</cp:lastPrinted>
  <dcterms:created xsi:type="dcterms:W3CDTF">2014-10-25T14:34:00Z</dcterms:created>
  <dcterms:modified xsi:type="dcterms:W3CDTF">2025-11-19T11:45:00Z</dcterms:modified>
</cp:coreProperties>
</file>