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3F87A" w14:textId="77777777" w:rsidR="00CE444C" w:rsidRDefault="00CE444C">
      <w:pPr>
        <w:spacing w:line="240" w:lineRule="auto"/>
        <w:jc w:val="both"/>
        <w:rPr>
          <w:rFonts w:ascii="Arial Black" w:hAnsi="Arial Black"/>
          <w:b/>
          <w:bCs/>
          <w:i/>
          <w:iCs/>
          <w:sz w:val="24"/>
          <w:szCs w:val="24"/>
          <w:lang w:val="en-US" w:eastAsia="zh-CN"/>
        </w:rPr>
      </w:pPr>
    </w:p>
    <w:p w14:paraId="063040D5" w14:textId="77777777" w:rsidR="00CE444C" w:rsidRDefault="00F117BE">
      <w:pPr>
        <w:rPr>
          <w:rFonts w:ascii="Arial Black" w:hAnsi="Arial Black"/>
          <w:b/>
          <w:bCs/>
          <w:i/>
          <w:iCs/>
          <w:sz w:val="24"/>
          <w:szCs w:val="24"/>
          <w:lang w:val="en-IN"/>
        </w:rPr>
      </w:pPr>
      <w:r>
        <w:rPr>
          <w:rFonts w:ascii="Arial Black" w:hAnsi="Arial Black"/>
          <w:b/>
          <w:bCs/>
          <w:i/>
          <w:iCs/>
          <w:sz w:val="24"/>
          <w:szCs w:val="24"/>
        </w:rPr>
        <w:t xml:space="preserve">Etiological profiles and therapeutic challenges </w:t>
      </w:r>
      <w:r>
        <w:rPr>
          <w:rFonts w:ascii="Arial Black" w:hAnsi="Arial Black" w:cs="Arial Black"/>
          <w:b/>
          <w:bCs/>
          <w:i/>
          <w:iCs/>
          <w:sz w:val="24"/>
          <w:szCs w:val="24"/>
          <w:lang w:val="en-US"/>
        </w:rPr>
        <w:t>of Pediatric Shock</w:t>
      </w:r>
      <w:r>
        <w:rPr>
          <w:rFonts w:ascii="Times New Roman" w:hAnsi="Times New Roman" w:cs="Times New Roman"/>
          <w:sz w:val="24"/>
          <w:szCs w:val="24"/>
          <w:lang w:val="en-US"/>
        </w:rPr>
        <w:t xml:space="preserve"> </w:t>
      </w:r>
      <w:r>
        <w:rPr>
          <w:rFonts w:ascii="Arial Black" w:hAnsi="Arial Black"/>
          <w:b/>
          <w:bCs/>
          <w:i/>
          <w:iCs/>
          <w:sz w:val="24"/>
          <w:szCs w:val="24"/>
        </w:rPr>
        <w:t>in Senegal</w:t>
      </w:r>
    </w:p>
    <w:p w14:paraId="0F08DD19" w14:textId="77777777" w:rsidR="00186CA4" w:rsidRPr="00186CA4" w:rsidRDefault="00186CA4">
      <w:pPr>
        <w:rPr>
          <w:rFonts w:ascii="Arial Black" w:hAnsi="Arial Black"/>
          <w:b/>
          <w:bCs/>
          <w:i/>
          <w:iCs/>
          <w:sz w:val="24"/>
          <w:szCs w:val="24"/>
          <w:lang w:val="en-IN"/>
        </w:rPr>
      </w:pPr>
    </w:p>
    <w:p w14:paraId="628184B4" w14:textId="20240C2C" w:rsidR="006E2379" w:rsidRPr="00186CA4" w:rsidRDefault="006E2379">
      <w:pPr>
        <w:rPr>
          <w:rFonts w:ascii="Times New Roman" w:hAnsi="Times New Roman" w:cs="Times New Roman"/>
          <w:b/>
          <w:bCs/>
          <w:i/>
          <w:iCs/>
          <w:sz w:val="24"/>
          <w:szCs w:val="24"/>
          <w:lang w:val="en-IN"/>
        </w:rPr>
      </w:pPr>
      <w:r w:rsidRPr="00186CA4">
        <w:rPr>
          <w:rFonts w:ascii="Times New Roman" w:hAnsi="Times New Roman" w:cs="Times New Roman"/>
          <w:b/>
          <w:bCs/>
          <w:i/>
          <w:iCs/>
          <w:sz w:val="24"/>
          <w:szCs w:val="24"/>
          <w:lang w:val="en-IN"/>
        </w:rPr>
        <w:t>ABSTRACT</w:t>
      </w:r>
    </w:p>
    <w:p w14:paraId="5F382FB6" w14:textId="77777777" w:rsidR="006E2379" w:rsidRDefault="006E2379" w:rsidP="006E2379">
      <w:pPr>
        <w:spacing w:line="360" w:lineRule="auto"/>
        <w:jc w:val="both"/>
        <w:rPr>
          <w:rFonts w:ascii="Times New Roman" w:eastAsia="Calibri" w:hAnsi="Times New Roman"/>
          <w:color w:val="000000"/>
          <w:sz w:val="24"/>
          <w:szCs w:val="24"/>
        </w:rPr>
      </w:pPr>
      <w:r>
        <w:rPr>
          <w:rFonts w:ascii="Times New Roman" w:eastAsia="Calibri" w:hAnsi="Times New Roman"/>
          <w:b/>
          <w:bCs/>
          <w:color w:val="000000"/>
          <w:sz w:val="24"/>
          <w:szCs w:val="24"/>
        </w:rPr>
        <w:t xml:space="preserve">Introduction: </w:t>
      </w:r>
      <w:r>
        <w:rPr>
          <w:rFonts w:ascii="Times New Roman" w:eastAsia="Calibri" w:hAnsi="Times New Roman"/>
          <w:color w:val="000000"/>
          <w:sz w:val="24"/>
          <w:szCs w:val="24"/>
        </w:rPr>
        <w:t>Shock is a failure of the circulatory system, resulting in an imbalance between oxygen supply and tissue demand. The objective of this study was to evaluate the etiological profiles and therapeutic challenges of shock in children.</w:t>
      </w:r>
    </w:p>
    <w:p w14:paraId="098B3BE0" w14:textId="77777777" w:rsidR="006E2379" w:rsidRDefault="006E2379" w:rsidP="006E2379">
      <w:p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 xml:space="preserve"> Patients and methods:</w:t>
      </w:r>
      <w:r>
        <w:rPr>
          <w:rFonts w:ascii="Times New Roman" w:eastAsia="Calibri" w:hAnsi="Times New Roman"/>
          <w:color w:val="000000"/>
          <w:sz w:val="24"/>
          <w:szCs w:val="24"/>
        </w:rPr>
        <w:t xml:space="preserve"> This was a prospective, descriptive, observational, and analytical study conducted from October 10, 2022, to October 23, 2023 (12 months), including all children hospitalized for shock in the emergency and pediatric intensive care units at th</w:t>
      </w:r>
      <w:bookmarkStart w:id="0" w:name="_GoBack"/>
      <w:bookmarkEnd w:id="0"/>
      <w:r>
        <w:rPr>
          <w:rFonts w:ascii="Times New Roman" w:eastAsia="Calibri" w:hAnsi="Times New Roman"/>
          <w:color w:val="000000"/>
          <w:sz w:val="24"/>
          <w:szCs w:val="24"/>
        </w:rPr>
        <w:t>e Albert Royer National Children's Hospital (CHNEAR).</w:t>
      </w:r>
    </w:p>
    <w:p w14:paraId="3D84C349" w14:textId="77777777" w:rsidR="006E2379" w:rsidRDefault="006E2379" w:rsidP="006E2379">
      <w:pPr>
        <w:spacing w:line="360" w:lineRule="auto"/>
        <w:jc w:val="both"/>
        <w:rPr>
          <w:rFonts w:ascii="Times New Roman" w:eastAsia="Calibri" w:hAnsi="Times New Roman"/>
          <w:color w:val="000000"/>
          <w:sz w:val="24"/>
          <w:szCs w:val="24"/>
        </w:rPr>
      </w:pPr>
      <w:r>
        <w:rPr>
          <w:rFonts w:ascii="Times New Roman" w:eastAsia="Calibri" w:hAnsi="Times New Roman"/>
          <w:b/>
          <w:bCs/>
          <w:color w:val="000000"/>
          <w:sz w:val="24"/>
          <w:szCs w:val="24"/>
        </w:rPr>
        <w:t xml:space="preserve">Results: </w:t>
      </w:r>
      <w:r>
        <w:rPr>
          <w:rFonts w:ascii="Times New Roman" w:eastAsia="Calibri" w:hAnsi="Times New Roman"/>
          <w:color w:val="000000"/>
          <w:sz w:val="24"/>
          <w:szCs w:val="24"/>
        </w:rPr>
        <w:t>During this period, 146 patients presented with shock, representing a hospital prevalence of 11.33%. The mean age was 43.12 months. The sex ratio was 0.82. Signs of tissue hypoperfusion were present in almost all patients. Arterial hypotension was found in 45.52% of cases. Septic shock was predominant (55.00%), followed by hypovolemic shock (31.43%) and cardiogenic shock (10%). The outcome was unfavorable in most cases, with 69.18% of deaths due mainly to septic shock (47.29%), the main causes of death being refractory shock (48.51%), renal failure (32.19%), and disseminated intravascular coagulation (15.07%).</w:t>
      </w:r>
    </w:p>
    <w:p w14:paraId="2944A93A" w14:textId="77777777" w:rsidR="006E2379" w:rsidRDefault="006E2379" w:rsidP="006E2379">
      <w:pPr>
        <w:spacing w:line="360" w:lineRule="auto"/>
        <w:jc w:val="both"/>
        <w:rPr>
          <w:rFonts w:ascii="Times New Roman" w:eastAsia="Calibri" w:hAnsi="Times New Roman"/>
          <w:color w:val="000000"/>
          <w:sz w:val="24"/>
          <w:szCs w:val="24"/>
        </w:rPr>
      </w:pPr>
      <w:r>
        <w:rPr>
          <w:rFonts w:ascii="Times New Roman" w:eastAsia="Calibri" w:hAnsi="Times New Roman"/>
          <w:b/>
          <w:bCs/>
          <w:color w:val="000000"/>
          <w:sz w:val="24"/>
          <w:szCs w:val="24"/>
        </w:rPr>
        <w:t xml:space="preserve">Conclusion: </w:t>
      </w:r>
      <w:r>
        <w:rPr>
          <w:rFonts w:ascii="Times New Roman" w:eastAsia="Calibri" w:hAnsi="Times New Roman"/>
          <w:color w:val="000000"/>
          <w:sz w:val="24"/>
          <w:szCs w:val="24"/>
        </w:rPr>
        <w:t>Shock is a diagnostic and therapeutic emergency in which the delay in treatment and the duration of shock are important factors in the prognosis.</w:t>
      </w:r>
    </w:p>
    <w:p w14:paraId="4A1CEA84" w14:textId="77777777" w:rsidR="006E2379" w:rsidRDefault="006E2379" w:rsidP="006E2379">
      <w:p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Keywords: shock, challenge, pediatrics, limited resources</w:t>
      </w:r>
    </w:p>
    <w:p w14:paraId="58E65BD9" w14:textId="77777777" w:rsidR="006E2379" w:rsidRDefault="006E2379">
      <w:pPr>
        <w:rPr>
          <w:rFonts w:ascii="Arial Black" w:hAnsi="Arial Black"/>
          <w:b/>
          <w:bCs/>
          <w:i/>
          <w:iCs/>
          <w:sz w:val="24"/>
          <w:szCs w:val="24"/>
          <w:lang w:val="en-IN"/>
        </w:rPr>
      </w:pPr>
    </w:p>
    <w:p w14:paraId="7B207FF4" w14:textId="77777777" w:rsidR="006E2379" w:rsidRDefault="006E2379">
      <w:pPr>
        <w:rPr>
          <w:rFonts w:ascii="Arial Black" w:hAnsi="Arial Black"/>
          <w:b/>
          <w:bCs/>
          <w:i/>
          <w:iCs/>
          <w:sz w:val="24"/>
          <w:szCs w:val="24"/>
          <w:lang w:val="en-IN"/>
        </w:rPr>
      </w:pPr>
    </w:p>
    <w:p w14:paraId="411D6B14" w14:textId="77777777" w:rsidR="006E2379" w:rsidRDefault="006E2379">
      <w:pPr>
        <w:rPr>
          <w:rFonts w:ascii="Arial Black" w:hAnsi="Arial Black"/>
          <w:b/>
          <w:bCs/>
          <w:i/>
          <w:iCs/>
          <w:sz w:val="24"/>
          <w:szCs w:val="24"/>
          <w:lang w:val="en-IN"/>
        </w:rPr>
      </w:pPr>
    </w:p>
    <w:p w14:paraId="75E76393" w14:textId="77777777" w:rsidR="006E2379" w:rsidRDefault="006E2379">
      <w:pPr>
        <w:rPr>
          <w:rFonts w:ascii="Arial Black" w:hAnsi="Arial Black"/>
          <w:b/>
          <w:bCs/>
          <w:i/>
          <w:iCs/>
          <w:sz w:val="24"/>
          <w:szCs w:val="24"/>
          <w:lang w:val="en-IN"/>
        </w:rPr>
      </w:pPr>
    </w:p>
    <w:p w14:paraId="6BEDC606" w14:textId="77777777" w:rsidR="006E2379" w:rsidRDefault="006E2379">
      <w:pPr>
        <w:rPr>
          <w:rFonts w:ascii="Arial Black" w:hAnsi="Arial Black"/>
          <w:b/>
          <w:bCs/>
          <w:i/>
          <w:iCs/>
          <w:sz w:val="24"/>
          <w:szCs w:val="24"/>
          <w:lang w:val="en-IN"/>
        </w:rPr>
      </w:pPr>
    </w:p>
    <w:p w14:paraId="0016BD5A" w14:textId="77777777" w:rsidR="006E2379" w:rsidRPr="006E2379" w:rsidRDefault="006E2379">
      <w:pPr>
        <w:rPr>
          <w:rFonts w:ascii="Arial Black" w:hAnsi="Arial Black"/>
          <w:b/>
          <w:bCs/>
          <w:i/>
          <w:iCs/>
          <w:sz w:val="24"/>
          <w:szCs w:val="24"/>
          <w:lang w:val="en-IN"/>
        </w:rPr>
      </w:pPr>
    </w:p>
    <w:p w14:paraId="0433DD0F" w14:textId="77777777" w:rsidR="00CE444C" w:rsidRDefault="00F117BE">
      <w:p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Introduction</w:t>
      </w:r>
    </w:p>
    <w:p w14:paraId="54B44C55" w14:textId="77777777" w:rsidR="00CE444C" w:rsidRDefault="00F117BE">
      <w:pPr>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lastRenderedPageBreak/>
        <w:t xml:space="preserve">Shock is a diagnostic and therapeutic emergency, and delays in treatment lead to increased mortality. It is a failure of the circulatory system, resulting in an imbalance between oxygen supply and peripheral tissue demand. Rapid </w:t>
      </w:r>
      <w:r>
        <w:rPr>
          <w:rFonts w:ascii="Times New Roman" w:eastAsia="Calibri" w:hAnsi="Times New Roman"/>
          <w:color w:val="000000"/>
          <w:sz w:val="24"/>
          <w:szCs w:val="24"/>
        </w:rPr>
        <w:t>identification of the mechanisms involved, the etiology of shock, and its severity guides optimal therapeutic management (1). Shock accounts for one-third of diagnoses in patients admitted to intensive care units (2). Depending on the clinical situation, t</w:t>
      </w:r>
      <w:r>
        <w:rPr>
          <w:rFonts w:ascii="Times New Roman" w:eastAsia="Calibri" w:hAnsi="Times New Roman"/>
          <w:color w:val="000000"/>
          <w:sz w:val="24"/>
          <w:szCs w:val="24"/>
        </w:rPr>
        <w:t>here may be quantitative (decreased cardiac output) or qualitative (abnormal distribution or extraction of oxygen) alterations in arterial oxygen transport, which can lead to cellular dysoxia. (3) There are four pathophysiological mechanisms: hypovolemic (</w:t>
      </w:r>
      <w:r>
        <w:rPr>
          <w:rFonts w:ascii="Times New Roman" w:eastAsia="Calibri" w:hAnsi="Times New Roman"/>
          <w:color w:val="000000"/>
          <w:sz w:val="24"/>
          <w:szCs w:val="24"/>
        </w:rPr>
        <w:t>true and hemorrhagic shock), distributive shock (septic and anaphylactic), obstructive shock (tamponade, pneumothorax, pulmonary embolism), and cardiogenic shock (4).</w:t>
      </w:r>
      <w:r>
        <w:rPr>
          <w:rFonts w:ascii="Times New Roman" w:eastAsia="Calibri" w:hAnsi="Times New Roman"/>
          <w:color w:val="000000"/>
          <w:sz w:val="24"/>
          <w:szCs w:val="24"/>
          <w:lang w:val="en-US"/>
        </w:rPr>
        <w:t xml:space="preserve"> </w:t>
      </w:r>
      <w:r>
        <w:rPr>
          <w:rFonts w:ascii="Times New Roman" w:eastAsia="Calibri" w:hAnsi="Times New Roman"/>
          <w:color w:val="000000"/>
          <w:sz w:val="24"/>
          <w:szCs w:val="24"/>
        </w:rPr>
        <w:t>Pediatric shock has some specific characteristics; questioning, medical history, clinical</w:t>
      </w:r>
      <w:r>
        <w:rPr>
          <w:rFonts w:ascii="Times New Roman" w:eastAsia="Calibri" w:hAnsi="Times New Roman"/>
          <w:color w:val="000000"/>
          <w:sz w:val="24"/>
          <w:szCs w:val="24"/>
        </w:rPr>
        <w:t xml:space="preserve"> examination (looking for signs of tissue hypoperfusion), and cardiac ultrasound are important in determining the cause (5). In developing countries, delayed diagnosis and difficult access to care are factors that contribute to poor prognosis. The objectiv</w:t>
      </w:r>
      <w:r>
        <w:rPr>
          <w:rFonts w:ascii="Times New Roman" w:eastAsia="Calibri" w:hAnsi="Times New Roman"/>
          <w:color w:val="000000"/>
          <w:sz w:val="24"/>
          <w:szCs w:val="24"/>
        </w:rPr>
        <w:t>e of this study was therefore to evaluate the etiological profiles and therapeutic modalities of shock in children.</w:t>
      </w:r>
    </w:p>
    <w:p w14:paraId="23E14873" w14:textId="77777777" w:rsidR="00CE444C" w:rsidRDefault="00F117BE">
      <w:pPr>
        <w:spacing w:line="360" w:lineRule="auto"/>
        <w:rPr>
          <w:rFonts w:ascii="Times New Roman" w:eastAsia="Calibri" w:hAnsi="Times New Roman"/>
          <w:b/>
          <w:bCs/>
          <w:color w:val="000000"/>
          <w:sz w:val="24"/>
          <w:szCs w:val="24"/>
        </w:rPr>
      </w:pPr>
      <w:r>
        <w:rPr>
          <w:rFonts w:ascii="Times New Roman" w:eastAsia="Calibri" w:hAnsi="Times New Roman"/>
          <w:b/>
          <w:bCs/>
          <w:color w:val="000000"/>
          <w:sz w:val="24"/>
          <w:szCs w:val="24"/>
        </w:rPr>
        <w:t>Materials and methods:</w:t>
      </w:r>
    </w:p>
    <w:p w14:paraId="14A52904" w14:textId="77777777" w:rsidR="00CE444C" w:rsidRDefault="00F117BE">
      <w:pPr>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We conducted a prospective, descriptive, observational, and analytical study over a one-year period (October 10, 2022</w:t>
      </w:r>
      <w:r>
        <w:rPr>
          <w:rFonts w:ascii="Times New Roman" w:eastAsia="Calibri" w:hAnsi="Times New Roman"/>
          <w:color w:val="000000"/>
          <w:sz w:val="24"/>
          <w:szCs w:val="24"/>
        </w:rPr>
        <w:t>, to October 23, 2023) in the emergency department and pediatric intensive care unit of the Albert Royer Children's Hospital. All children aged 0 to 18 years old who met the criteria for shock were included. The criteria for shock were: tachycardia, thread</w:t>
      </w:r>
      <w:r>
        <w:rPr>
          <w:rFonts w:ascii="Times New Roman" w:eastAsia="Calibri" w:hAnsi="Times New Roman"/>
          <w:color w:val="000000"/>
          <w:sz w:val="24"/>
          <w:szCs w:val="24"/>
        </w:rPr>
        <w:t>y pulse, cold extremities, prolonged skin recoloration time (TRC greater than 2 seconds), and possibly low blood pressure. In addition to the signs of shock, the type of shock was defined by a set of criteria. Hypovolemic shock was diagnosed based on medic</w:t>
      </w:r>
      <w:r>
        <w:rPr>
          <w:rFonts w:ascii="Times New Roman" w:eastAsia="Calibri" w:hAnsi="Times New Roman"/>
          <w:color w:val="000000"/>
          <w:sz w:val="24"/>
          <w:szCs w:val="24"/>
        </w:rPr>
        <w:t>al history (diarrhea, vomiting, hemorrhage, extensive burns, diabetic ketoacidosis, etc.) and the disappearance of signs of shock after fluid resuscitation. Septic shock was diagnosed when signs of shock persisted despite adequate fluid resuscitation, an i</w:t>
      </w:r>
      <w:r>
        <w:rPr>
          <w:rFonts w:ascii="Times New Roman" w:eastAsia="Calibri" w:hAnsi="Times New Roman"/>
          <w:color w:val="000000"/>
          <w:sz w:val="24"/>
          <w:szCs w:val="24"/>
        </w:rPr>
        <w:t>nfectious focus (gastroenteritis, pneumonia, meningitis, etc.) and abnormal infectious test results. The anaphylactic shock following exposure to an allergen, skin and mucous membrane reactions (hives, edema, pruritus, erythema, etc.) or respiratory reacti</w:t>
      </w:r>
      <w:r>
        <w:rPr>
          <w:rFonts w:ascii="Times New Roman" w:eastAsia="Calibri" w:hAnsi="Times New Roman"/>
          <w:color w:val="000000"/>
          <w:sz w:val="24"/>
          <w:szCs w:val="24"/>
        </w:rPr>
        <w:t xml:space="preserve">ons (dyspnea, bronchospasm, etc.). Cardiogenic shock was diagnosed in the presence of signs of heart failure, heart disease (congenital, rheumatic, or hypokinetic dilated cardiomyopathy, etc.) and impaired LVEF on cardiac ultrasound. Obstructive shock was </w:t>
      </w:r>
      <w:r>
        <w:rPr>
          <w:rFonts w:ascii="Times New Roman" w:eastAsia="Calibri" w:hAnsi="Times New Roman"/>
          <w:color w:val="000000"/>
          <w:sz w:val="24"/>
          <w:szCs w:val="24"/>
        </w:rPr>
        <w:t xml:space="preserve">considered in the presence of ultrasound signs of tamponade, </w:t>
      </w:r>
      <w:r>
        <w:rPr>
          <w:rFonts w:ascii="Times New Roman" w:eastAsia="Calibri" w:hAnsi="Times New Roman"/>
          <w:color w:val="000000"/>
          <w:sz w:val="24"/>
          <w:szCs w:val="24"/>
        </w:rPr>
        <w:lastRenderedPageBreak/>
        <w:t>pneumothorax on chest X-ray, or signs of pulmonary embolism (chest pain, desaturation, S1Q3 pattern on ECG).</w:t>
      </w:r>
    </w:p>
    <w:p w14:paraId="1F232BA3" w14:textId="77777777" w:rsidR="00CE444C" w:rsidRDefault="00F117BE">
      <w:pPr>
        <w:spacing w:line="360" w:lineRule="auto"/>
        <w:jc w:val="both"/>
        <w:rPr>
          <w:rFonts w:ascii="Times New Roman" w:eastAsia="Calibri" w:hAnsi="Times New Roman"/>
          <w:b/>
          <w:bCs/>
          <w:color w:val="000000"/>
          <w:sz w:val="24"/>
          <w:szCs w:val="24"/>
          <w:lang w:val="en-US"/>
        </w:rPr>
      </w:pPr>
      <w:r>
        <w:rPr>
          <w:rFonts w:ascii="Times New Roman" w:eastAsia="Calibri" w:hAnsi="Times New Roman"/>
          <w:b/>
          <w:bCs/>
          <w:color w:val="000000"/>
          <w:sz w:val="24"/>
          <w:szCs w:val="24"/>
        </w:rPr>
        <w:t>Results</w:t>
      </w:r>
    </w:p>
    <w:p w14:paraId="234DD400" w14:textId="77777777" w:rsidR="00CE444C" w:rsidRDefault="00F117BE">
      <w:pPr>
        <w:pStyle w:val="ListParagraph"/>
        <w:numPr>
          <w:ilvl w:val="0"/>
          <w:numId w:val="1"/>
        </w:num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Epidemiological data</w:t>
      </w:r>
    </w:p>
    <w:p w14:paraId="7BCAB7EC" w14:textId="77777777" w:rsidR="00CE444C" w:rsidRDefault="00F117BE">
      <w:pPr>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During this period, 146 patients presented with shock, re</w:t>
      </w:r>
      <w:r>
        <w:rPr>
          <w:rFonts w:ascii="Times New Roman" w:eastAsia="Calibri" w:hAnsi="Times New Roman"/>
          <w:color w:val="000000"/>
          <w:sz w:val="24"/>
          <w:szCs w:val="24"/>
        </w:rPr>
        <w:t>presenting a hospital prevalence of 11.33%. The average age was 43.12 months, with a slight predominance of females (sex ratio of 0.82). The most representative age groups were between 7 and 48 months, followed by those under 6 months. Figure 1 illustrates</w:t>
      </w:r>
      <w:r>
        <w:rPr>
          <w:rFonts w:ascii="Times New Roman" w:eastAsia="Calibri" w:hAnsi="Times New Roman"/>
          <w:color w:val="000000"/>
          <w:sz w:val="24"/>
          <w:szCs w:val="24"/>
        </w:rPr>
        <w:t xml:space="preserve"> the distribution by age group.</w:t>
      </w:r>
    </w:p>
    <w:p w14:paraId="2AFED438" w14:textId="77777777" w:rsidR="00CE444C" w:rsidRDefault="00F117BE">
      <w:pPr>
        <w:pStyle w:val="ListParagraph"/>
        <w:numPr>
          <w:ilvl w:val="0"/>
          <w:numId w:val="1"/>
        </w:num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Clinical data</w:t>
      </w:r>
    </w:p>
    <w:p w14:paraId="0D202903" w14:textId="77777777" w:rsidR="00CE444C" w:rsidRDefault="00F117BE">
      <w:pPr>
        <w:pStyle w:val="ListParagraph"/>
        <w:numPr>
          <w:ilvl w:val="0"/>
          <w:numId w:val="2"/>
        </w:num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 xml:space="preserve">Signs of shock: </w:t>
      </w:r>
    </w:p>
    <w:p w14:paraId="25D20234" w14:textId="77777777" w:rsidR="00CE444C" w:rsidRDefault="00F117BE">
      <w:pPr>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Tachycardia (92.46%), cold extremities (98.63%), prolonged TRC (97.26%), thready pulse (78.76%). Low blood pressure was found in 45.52% of our patients and could not be measured in 24.83% of ca</w:t>
      </w:r>
      <w:r>
        <w:rPr>
          <w:rFonts w:ascii="Times New Roman" w:eastAsia="Calibri" w:hAnsi="Times New Roman"/>
          <w:color w:val="000000"/>
          <w:sz w:val="24"/>
          <w:szCs w:val="24"/>
        </w:rPr>
        <w:t>ses. Oligoanuria was present in 33.56% of cases.</w:t>
      </w:r>
    </w:p>
    <w:p w14:paraId="04AB3B84" w14:textId="77777777" w:rsidR="00CE444C" w:rsidRDefault="00F117BE">
      <w:pPr>
        <w:pStyle w:val="ListParagraph"/>
        <w:numPr>
          <w:ilvl w:val="0"/>
          <w:numId w:val="2"/>
        </w:num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 xml:space="preserve">Associated signs: </w:t>
      </w:r>
    </w:p>
    <w:p w14:paraId="3816FA64" w14:textId="77777777" w:rsidR="00CE444C" w:rsidRDefault="00F117BE">
      <w:pPr>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Neurological: impaired consciousness (54.11%), convulsions (23.97%), meningeal syndrome (12.33%), intracranial hypertension (8.22%). Respiratory: respiratory distress (49.32%) with hypoxem</w:t>
      </w:r>
      <w:r>
        <w:rPr>
          <w:rFonts w:ascii="Times New Roman" w:eastAsia="Calibri" w:hAnsi="Times New Roman"/>
          <w:color w:val="000000"/>
          <w:sz w:val="24"/>
          <w:szCs w:val="24"/>
        </w:rPr>
        <w:t>ia (36.30%), pulmonary condensation syndrome (17.12%). Other: heart failure (10.96%), severe dehydration</w:t>
      </w:r>
      <w:r>
        <w:rPr>
          <w:rFonts w:ascii="Times New Roman" w:eastAsia="Calibri" w:hAnsi="Times New Roman"/>
          <w:color w:val="FF0000"/>
          <w:sz w:val="24"/>
          <w:szCs w:val="24"/>
        </w:rPr>
        <w:t xml:space="preserve"> </w:t>
      </w:r>
      <w:r>
        <w:rPr>
          <w:rFonts w:ascii="Times New Roman" w:eastAsia="Calibri" w:hAnsi="Times New Roman"/>
          <w:sz w:val="24"/>
          <w:szCs w:val="24"/>
        </w:rPr>
        <w:t>(7patients)</w:t>
      </w:r>
      <w:r>
        <w:rPr>
          <w:rFonts w:ascii="Times New Roman" w:eastAsia="Calibri" w:hAnsi="Times New Roman"/>
          <w:color w:val="000000"/>
          <w:sz w:val="24"/>
          <w:szCs w:val="24"/>
        </w:rPr>
        <w:t>, hemorrhagic syndrome (5 patients).</w:t>
      </w:r>
    </w:p>
    <w:p w14:paraId="64909416" w14:textId="77777777" w:rsidR="00CE444C" w:rsidRDefault="00F117BE">
      <w:pPr>
        <w:pStyle w:val="ListParagraph"/>
        <w:numPr>
          <w:ilvl w:val="0"/>
          <w:numId w:val="1"/>
        </w:num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Etiological data</w:t>
      </w:r>
    </w:p>
    <w:p w14:paraId="198DEDF4" w14:textId="77777777" w:rsidR="00CE444C" w:rsidRDefault="00F117BE">
      <w:pPr>
        <w:spacing w:line="360" w:lineRule="auto"/>
        <w:jc w:val="both"/>
        <w:rPr>
          <w:rFonts w:ascii="Times New Roman" w:eastAsia="Calibri" w:hAnsi="Times New Roman"/>
          <w:color w:val="000000"/>
          <w:sz w:val="24"/>
          <w:szCs w:val="24"/>
          <w:lang w:val="en-US"/>
        </w:rPr>
      </w:pPr>
      <w:r>
        <w:rPr>
          <w:rFonts w:ascii="Times New Roman" w:eastAsia="Calibri" w:hAnsi="Times New Roman"/>
          <w:color w:val="000000"/>
          <w:sz w:val="24"/>
          <w:szCs w:val="24"/>
        </w:rPr>
        <w:t xml:space="preserve">Distributive shock was the most common type of shock, accounting for 55.00% of cases, </w:t>
      </w:r>
      <w:r>
        <w:rPr>
          <w:rFonts w:ascii="Times New Roman" w:eastAsia="Calibri" w:hAnsi="Times New Roman"/>
          <w:color w:val="000000"/>
          <w:sz w:val="24"/>
          <w:szCs w:val="24"/>
        </w:rPr>
        <w:t>followed by hypovolemic shock (31.43%) and cardiogenic shock (10%). The different etiological types of shock are illustrated in Figure 2.</w:t>
      </w:r>
    </w:p>
    <w:p w14:paraId="74EE7AEF" w14:textId="77777777" w:rsidR="00CE444C" w:rsidRDefault="00F117BE">
      <w:pPr>
        <w:pStyle w:val="ListParagraph"/>
        <w:numPr>
          <w:ilvl w:val="0"/>
          <w:numId w:val="3"/>
        </w:num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Distributive shock:</w:t>
      </w:r>
    </w:p>
    <w:p w14:paraId="7BEF2618" w14:textId="77777777" w:rsidR="00CE444C" w:rsidRDefault="00F117BE">
      <w:pPr>
        <w:spacing w:line="360" w:lineRule="auto"/>
        <w:jc w:val="both"/>
        <w:rPr>
          <w:rFonts w:ascii="Times New Roman" w:eastAsia="Calibri" w:hAnsi="Times New Roman"/>
          <w:b/>
          <w:bCs/>
          <w:color w:val="000000"/>
          <w:sz w:val="24"/>
          <w:szCs w:val="24"/>
        </w:rPr>
      </w:pPr>
      <w:r>
        <w:rPr>
          <w:rFonts w:ascii="Times New Roman" w:eastAsia="Calibri" w:hAnsi="Times New Roman"/>
          <w:color w:val="000000"/>
          <w:sz w:val="24"/>
          <w:szCs w:val="24"/>
        </w:rPr>
        <w:t>Among the distributive shocks observed in our study, no cases of anaphylactic shock were recorded;</w:t>
      </w:r>
      <w:r>
        <w:rPr>
          <w:rFonts w:ascii="Times New Roman" w:eastAsia="Calibri" w:hAnsi="Times New Roman"/>
          <w:color w:val="000000"/>
          <w:sz w:val="24"/>
          <w:szCs w:val="24"/>
        </w:rPr>
        <w:t xml:space="preserve"> all cases were exclusively septic shock. The most common causes were meningitis (38.27%), followed by pneumonia (22.22%) and acute gastroenteritis (6.84%). Germs were isolated in 23 cases (15.75%) by blood culture (15 cases), CSF (4 cases), viral testing </w:t>
      </w:r>
      <w:r>
        <w:rPr>
          <w:rFonts w:ascii="Times New Roman" w:eastAsia="Calibri" w:hAnsi="Times New Roman"/>
          <w:color w:val="000000"/>
          <w:sz w:val="24"/>
          <w:szCs w:val="24"/>
        </w:rPr>
        <w:t xml:space="preserve">in stool samples (4 cases), skin swabs (1 case), and nasopharyngeal viral PCR (1 case). The most commonly found germs were S. aureus (8 cases), K. pneumoniae (5 cases), pneumococcus (2 </w:t>
      </w:r>
      <w:r>
        <w:rPr>
          <w:rFonts w:ascii="Times New Roman" w:eastAsia="Calibri" w:hAnsi="Times New Roman"/>
          <w:color w:val="000000"/>
          <w:sz w:val="24"/>
          <w:szCs w:val="24"/>
        </w:rPr>
        <w:lastRenderedPageBreak/>
        <w:t xml:space="preserve">cases), and E. coli (2 cases). Other causes included severe malaria (2 </w:t>
      </w:r>
      <w:r>
        <w:rPr>
          <w:rFonts w:ascii="Times New Roman" w:eastAsia="Calibri" w:hAnsi="Times New Roman"/>
          <w:color w:val="000000"/>
          <w:sz w:val="24"/>
          <w:szCs w:val="24"/>
        </w:rPr>
        <w:t>cases), subperiosteal abscess (1 case), and healthcare-associated infections (4 cases).</w:t>
      </w:r>
    </w:p>
    <w:p w14:paraId="20956FEA" w14:textId="77777777" w:rsidR="00CE444C" w:rsidRDefault="00F117BE">
      <w:pPr>
        <w:pStyle w:val="ListParagraph"/>
        <w:numPr>
          <w:ilvl w:val="0"/>
          <w:numId w:val="3"/>
        </w:num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Hypovolemic shock</w:t>
      </w:r>
    </w:p>
    <w:p w14:paraId="1FF32DF7" w14:textId="77777777" w:rsidR="00CE444C" w:rsidRDefault="00F117BE">
      <w:pPr>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Acute gastroenteritis was the most common cause, accounting for 76% of cases of hypovolemic shock. It was mainly viral (71.42%). Other causes of acute</w:t>
      </w:r>
      <w:r>
        <w:rPr>
          <w:rFonts w:ascii="Times New Roman" w:eastAsia="Calibri" w:hAnsi="Times New Roman"/>
          <w:color w:val="000000"/>
          <w:sz w:val="24"/>
          <w:szCs w:val="24"/>
        </w:rPr>
        <w:t xml:space="preserve"> dehydration: severe burns (2 cases), dehydration due to insufficient intake in newborns (2 cases), diabetic ketoacidosis (2 cases), and salt-wasting syndrome in the context of congenital adrenal hyperplasia (1 case). Causes of hemorrhagic shock (3 cases) </w:t>
      </w:r>
      <w:r>
        <w:rPr>
          <w:rFonts w:ascii="Times New Roman" w:eastAsia="Calibri" w:hAnsi="Times New Roman"/>
          <w:color w:val="000000"/>
          <w:sz w:val="24"/>
          <w:szCs w:val="24"/>
        </w:rPr>
        <w:t>included massive gastrointestinal hemorrhage secondary to abdominal trauma and a gastroduodenal ulcer, and 1 case of acute toxic hepatitis in the context of liver disease.</w:t>
      </w:r>
    </w:p>
    <w:p w14:paraId="4F371AEC" w14:textId="77777777" w:rsidR="00CE444C" w:rsidRDefault="00F117BE">
      <w:pPr>
        <w:pStyle w:val="ListParagraph"/>
        <w:numPr>
          <w:ilvl w:val="0"/>
          <w:numId w:val="3"/>
        </w:num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Cardiogenic shock</w:t>
      </w:r>
    </w:p>
    <w:p w14:paraId="1010A06F" w14:textId="77777777" w:rsidR="00CE444C" w:rsidRDefault="00F117BE">
      <w:pPr>
        <w:spacing w:line="360" w:lineRule="auto"/>
        <w:jc w:val="both"/>
        <w:rPr>
          <w:rFonts w:ascii="Times New Roman" w:eastAsia="Calibri" w:hAnsi="Times New Roman"/>
          <w:b/>
          <w:bCs/>
          <w:color w:val="000000"/>
          <w:sz w:val="24"/>
          <w:szCs w:val="24"/>
        </w:rPr>
      </w:pPr>
      <w:r>
        <w:rPr>
          <w:rFonts w:ascii="Times New Roman" w:eastAsia="Calibri" w:hAnsi="Times New Roman"/>
          <w:color w:val="000000"/>
          <w:sz w:val="24"/>
          <w:szCs w:val="24"/>
        </w:rPr>
        <w:t xml:space="preserve">The most common underlying heart conditions were congenital heart </w:t>
      </w:r>
      <w:r>
        <w:rPr>
          <w:rFonts w:ascii="Times New Roman" w:eastAsia="Calibri" w:hAnsi="Times New Roman"/>
          <w:color w:val="000000"/>
          <w:sz w:val="24"/>
          <w:szCs w:val="24"/>
        </w:rPr>
        <w:t>disease (71.42%), rheumatic heart disease (14.28%), and hypokinetic dilated cardiomyopathy (9.5%). Several decompensating factors, mainly infectious in nature (94.11%), were identified</w:t>
      </w:r>
      <w:r>
        <w:rPr>
          <w:rFonts w:ascii="Times New Roman" w:eastAsia="Calibri" w:hAnsi="Times New Roman"/>
          <w:b/>
          <w:bCs/>
          <w:color w:val="000000"/>
          <w:sz w:val="24"/>
          <w:szCs w:val="24"/>
        </w:rPr>
        <w:t>.</w:t>
      </w:r>
    </w:p>
    <w:p w14:paraId="68E78DDA" w14:textId="77777777" w:rsidR="00CE444C" w:rsidRDefault="00F117BE">
      <w:pPr>
        <w:pStyle w:val="ListParagraph"/>
        <w:numPr>
          <w:ilvl w:val="0"/>
          <w:numId w:val="3"/>
        </w:numPr>
        <w:spacing w:line="360" w:lineRule="auto"/>
        <w:jc w:val="both"/>
        <w:rPr>
          <w:rFonts w:ascii="Times New Roman" w:eastAsia="Calibri" w:hAnsi="Times New Roman"/>
          <w:color w:val="000000"/>
          <w:sz w:val="24"/>
          <w:szCs w:val="24"/>
        </w:rPr>
      </w:pPr>
      <w:r>
        <w:rPr>
          <w:rFonts w:ascii="Times New Roman" w:eastAsia="Calibri" w:hAnsi="Times New Roman"/>
          <w:b/>
          <w:bCs/>
          <w:color w:val="000000"/>
          <w:sz w:val="24"/>
          <w:szCs w:val="24"/>
        </w:rPr>
        <w:t xml:space="preserve">Obstructive shock: </w:t>
      </w:r>
      <w:r>
        <w:rPr>
          <w:rFonts w:ascii="Times New Roman" w:eastAsia="Calibri" w:hAnsi="Times New Roman"/>
          <w:color w:val="000000"/>
          <w:sz w:val="24"/>
          <w:szCs w:val="24"/>
        </w:rPr>
        <w:t>no cases of obstructive shock were reported.</w:t>
      </w:r>
    </w:p>
    <w:p w14:paraId="1639C1A2" w14:textId="77777777" w:rsidR="00CE444C" w:rsidRDefault="00F117BE">
      <w:p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Therapeutic approach</w:t>
      </w:r>
    </w:p>
    <w:p w14:paraId="40C62ABC" w14:textId="77777777" w:rsidR="00CE444C" w:rsidRDefault="00F117BE">
      <w:pPr>
        <w:pStyle w:val="ListParagraph"/>
        <w:numPr>
          <w:ilvl w:val="0"/>
          <w:numId w:val="4"/>
        </w:num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General measures</w:t>
      </w:r>
    </w:p>
    <w:p w14:paraId="0D6241B2" w14:textId="77777777" w:rsidR="00CE444C" w:rsidRDefault="00F117BE">
      <w:pPr>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Resuscitation measures were effective in almost all patients: label sheet (97.26%), monitoring (97.26%), urinary catheter (62.33%), nasogastric tube (40.41%), central venous access (17.12%), performed without ultrasoun</w:t>
      </w:r>
      <w:r>
        <w:rPr>
          <w:rFonts w:ascii="Times New Roman" w:eastAsia="Calibri" w:hAnsi="Times New Roman"/>
          <w:color w:val="000000"/>
          <w:sz w:val="24"/>
          <w:szCs w:val="24"/>
        </w:rPr>
        <w:t>d guidance, mainly in the femoral vein, which was used in 22 patients (88%), oxygen therapy (91.78%). Vascular filling (82.19%) was performed in all patients in hypovolemic or septic shock with crystalloid boluses of 10 to 20 ml/kg.</w:t>
      </w:r>
    </w:p>
    <w:p w14:paraId="0D7F0383" w14:textId="77777777" w:rsidR="00CE444C" w:rsidRDefault="00F117BE">
      <w:pPr>
        <w:pStyle w:val="ListParagraph"/>
        <w:numPr>
          <w:ilvl w:val="0"/>
          <w:numId w:val="4"/>
        </w:num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Specific measures</w:t>
      </w:r>
    </w:p>
    <w:p w14:paraId="5CB674C1" w14:textId="77777777" w:rsidR="00CE444C" w:rsidRDefault="00F117BE">
      <w:pPr>
        <w:pStyle w:val="ListParagraph"/>
        <w:numPr>
          <w:ilvl w:val="0"/>
          <w:numId w:val="1"/>
        </w:num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Septi</w:t>
      </w:r>
      <w:r>
        <w:rPr>
          <w:rFonts w:ascii="Times New Roman" w:eastAsia="Calibri" w:hAnsi="Times New Roman"/>
          <w:b/>
          <w:bCs/>
          <w:color w:val="000000"/>
          <w:sz w:val="24"/>
          <w:szCs w:val="24"/>
        </w:rPr>
        <w:t>c shock</w:t>
      </w:r>
    </w:p>
    <w:p w14:paraId="5EAA0AD8" w14:textId="77777777" w:rsidR="00CE444C" w:rsidRDefault="00F117BE">
      <w:pPr>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Regarding vasopressor amines, norepinephrine was the most commonly used amine (36.98%), followed by epinephrine (24.64%) and dopamine (2.05%). Corticosteroid therapy was used in refractory septic shock in 40.41% of patients, and 84.24% of patients </w:t>
      </w:r>
      <w:r>
        <w:rPr>
          <w:rFonts w:ascii="Times New Roman" w:eastAsia="Calibri" w:hAnsi="Times New Roman"/>
          <w:color w:val="000000"/>
          <w:sz w:val="24"/>
          <w:szCs w:val="24"/>
        </w:rPr>
        <w:t>received antibiotic therapy.</w:t>
      </w:r>
    </w:p>
    <w:p w14:paraId="3C6EEE8A" w14:textId="77777777" w:rsidR="00CE444C" w:rsidRDefault="00F117BE">
      <w:pPr>
        <w:pStyle w:val="ListParagraph"/>
        <w:numPr>
          <w:ilvl w:val="0"/>
          <w:numId w:val="1"/>
        </w:num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Cardiogenic shock</w:t>
      </w:r>
    </w:p>
    <w:p w14:paraId="06C1F775" w14:textId="77777777" w:rsidR="00CE444C" w:rsidRDefault="00F117BE">
      <w:pPr>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lastRenderedPageBreak/>
        <w:t>For cardiogenic shock, dobutamine was used in 12.33% of cases, diuretics in 16.44% and conversion enzyme inhibitors in 6.85%. Progression was unfavorable in most cases, with 69.18% of deaths due mainly to sept</w:t>
      </w:r>
      <w:r>
        <w:rPr>
          <w:rFonts w:ascii="Times New Roman" w:eastAsia="Calibri" w:hAnsi="Times New Roman"/>
          <w:color w:val="000000"/>
          <w:sz w:val="24"/>
          <w:szCs w:val="24"/>
        </w:rPr>
        <w:t>ic shock (47.29%), the main causes of death being refractory shock (48.51%), renal failure (32.19%), and DIC (15.07%). Statistically, data analysis showed a significant association between death and septic shock, with a highly significant p-value (Table 1)</w:t>
      </w:r>
      <w:r>
        <w:rPr>
          <w:rFonts w:ascii="Times New Roman" w:eastAsia="Calibri" w:hAnsi="Times New Roman"/>
          <w:color w:val="000000"/>
          <w:sz w:val="24"/>
          <w:szCs w:val="24"/>
        </w:rPr>
        <w:t>.</w:t>
      </w:r>
    </w:p>
    <w:p w14:paraId="5A3EF661" w14:textId="77777777" w:rsidR="00CE444C" w:rsidRDefault="00F117BE">
      <w:pPr>
        <w:spacing w:line="360" w:lineRule="auto"/>
        <w:rPr>
          <w:rFonts w:ascii="Times New Roman" w:eastAsia="Calibri" w:hAnsi="Times New Roman"/>
          <w:b/>
          <w:bCs/>
          <w:color w:val="000000"/>
          <w:sz w:val="24"/>
          <w:szCs w:val="24"/>
        </w:rPr>
      </w:pPr>
      <w:r>
        <w:rPr>
          <w:rFonts w:ascii="Times New Roman" w:eastAsia="Calibri" w:hAnsi="Times New Roman"/>
          <w:b/>
          <w:bCs/>
          <w:color w:val="000000"/>
          <w:sz w:val="24"/>
          <w:szCs w:val="24"/>
        </w:rPr>
        <w:t>Discussion</w:t>
      </w:r>
    </w:p>
    <w:p w14:paraId="3C7ECDE4" w14:textId="77777777" w:rsidR="00CE444C" w:rsidRDefault="00F117BE">
      <w:pPr>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The most representative age groups were between 7 and 48 months, followed by under 6 months. However, it is lower in Malawi, with an average age of 15 months (6), and in Egypt, with an average age of 18 months (7). The young age could be expla</w:t>
      </w:r>
      <w:r>
        <w:rPr>
          <w:rFonts w:ascii="Times New Roman" w:eastAsia="Calibri" w:hAnsi="Times New Roman"/>
          <w:color w:val="000000"/>
          <w:sz w:val="24"/>
          <w:szCs w:val="24"/>
        </w:rPr>
        <w:t xml:space="preserve">ined by the prevalence of congenital heart disease, the high number of viral gastroenteritis cases in infants, overcrowding, and low socioeconomic status in our contexts. Tachycardia is the most common finding on physical examination in children in shock. </w:t>
      </w:r>
      <w:r>
        <w:rPr>
          <w:rFonts w:ascii="Times New Roman" w:eastAsia="Calibri" w:hAnsi="Times New Roman"/>
          <w:color w:val="000000"/>
          <w:sz w:val="24"/>
          <w:szCs w:val="24"/>
        </w:rPr>
        <w:t>Persistent tachycardia in a calm, febrile child should raise concern in the physician and prompt a search for signs of tissue hypoperfusion (5).</w:t>
      </w:r>
    </w:p>
    <w:p w14:paraId="67AD77D2" w14:textId="77777777" w:rsidR="00CE444C" w:rsidRDefault="00F117BE">
      <w:pPr>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In countries with limited resources, diagnosing shock is a real challenge. The lack of key tools such as cardia</w:t>
      </w:r>
      <w:r>
        <w:rPr>
          <w:rFonts w:ascii="Times New Roman" w:eastAsia="Calibri" w:hAnsi="Times New Roman"/>
          <w:color w:val="000000"/>
          <w:sz w:val="24"/>
          <w:szCs w:val="24"/>
        </w:rPr>
        <w:t xml:space="preserve">c ultrasound, blood gas analysis, and lactate testing significantly limits the hemodynamic and metabolic assessment of patients. As a result, clinicians often rely on purely clinical criteria and basic laboratory tests, which can sometimes delay rapid and </w:t>
      </w:r>
      <w:r>
        <w:rPr>
          <w:rFonts w:ascii="Times New Roman" w:eastAsia="Calibri" w:hAnsi="Times New Roman"/>
          <w:color w:val="000000"/>
          <w:sz w:val="24"/>
          <w:szCs w:val="24"/>
        </w:rPr>
        <w:t>appropriate management. In our series, the diagnosis was based primarily on clinical signs of tissue hypoperfusion (cold extremities, prolonged skin recoloration time, tachycardia) and signs of cellular hypoxia (impaired consciousness, oligoanuria). Septic</w:t>
      </w:r>
      <w:r>
        <w:rPr>
          <w:rFonts w:ascii="Times New Roman" w:eastAsia="Calibri" w:hAnsi="Times New Roman"/>
          <w:color w:val="000000"/>
          <w:sz w:val="24"/>
          <w:szCs w:val="24"/>
        </w:rPr>
        <w:t xml:space="preserve"> shock was the most common, followed by hypovolemic shock and cardiogenic shock. This high prevalence could be explained by the low socioeconomic status of most of our patients, which is the cause of delayed diagnosis. Similar results have been found in th</w:t>
      </w:r>
      <w:r>
        <w:rPr>
          <w:rFonts w:ascii="Times New Roman" w:eastAsia="Calibri" w:hAnsi="Times New Roman"/>
          <w:color w:val="000000"/>
          <w:sz w:val="24"/>
          <w:szCs w:val="24"/>
        </w:rPr>
        <w:t>e literature (1,8). The etiologies vary depending on the type of shock, but sepsis remains a major cause of morbidity and mortality in children worldwide (5). Rapid identification of the pathogen and the source of infection is essential for appropriate ant</w:t>
      </w:r>
      <w:r>
        <w:rPr>
          <w:rFonts w:ascii="Times New Roman" w:eastAsia="Calibri" w:hAnsi="Times New Roman"/>
          <w:color w:val="000000"/>
          <w:sz w:val="24"/>
          <w:szCs w:val="24"/>
        </w:rPr>
        <w:t>ibiotic therapy, but remains a challenge in our settings. Pathogens were isolated in 23 cases (15.75%) by blood culture. This low isolation rate can be explained by several factors: logistical difficulties (shortage of reagents, long delays between samplin</w:t>
      </w:r>
      <w:r>
        <w:rPr>
          <w:rFonts w:ascii="Times New Roman" w:eastAsia="Calibri" w:hAnsi="Times New Roman"/>
          <w:color w:val="000000"/>
          <w:sz w:val="24"/>
          <w:szCs w:val="24"/>
        </w:rPr>
        <w:t>g and culture, contamination of samples, insufficient blood volumes, etc.), prior antibiotic therapy, and lack of automated culture techniques.</w:t>
      </w:r>
      <w:r>
        <w:rPr>
          <w:rFonts w:ascii="Times New Roman" w:eastAsia="Calibri" w:hAnsi="Times New Roman"/>
          <w:color w:val="000000"/>
          <w:sz w:val="24"/>
          <w:szCs w:val="24"/>
          <w:lang w:val="en-US"/>
        </w:rPr>
        <w:t xml:space="preserve"> </w:t>
      </w:r>
      <w:r>
        <w:rPr>
          <w:rFonts w:ascii="Times New Roman" w:eastAsia="Calibri" w:hAnsi="Times New Roman"/>
          <w:color w:val="000000"/>
          <w:sz w:val="24"/>
          <w:szCs w:val="24"/>
        </w:rPr>
        <w:t>Vascular filling is titrated according to hemodynamic status and signs of fluid overload, in boluses of 10 to 20</w:t>
      </w:r>
      <w:r>
        <w:rPr>
          <w:rFonts w:ascii="Times New Roman" w:eastAsia="Calibri" w:hAnsi="Times New Roman"/>
          <w:color w:val="000000"/>
          <w:sz w:val="24"/>
          <w:szCs w:val="24"/>
        </w:rPr>
        <w:t xml:space="preserve"> mL/kg. Crystalloids are the solutes of choice, with a theoretical advantage of balanced solutions over 9‰ NaCl in terms of the onset of </w:t>
      </w:r>
      <w:r>
        <w:rPr>
          <w:rFonts w:ascii="Times New Roman" w:eastAsia="Calibri" w:hAnsi="Times New Roman"/>
          <w:color w:val="000000"/>
          <w:sz w:val="24"/>
          <w:szCs w:val="24"/>
        </w:rPr>
        <w:lastRenderedPageBreak/>
        <w:t>hyperchloremic acidosis (9–11). The child must be reevaluated regularly after each fluid bolus to assess the response a</w:t>
      </w:r>
      <w:r>
        <w:rPr>
          <w:rFonts w:ascii="Times New Roman" w:eastAsia="Calibri" w:hAnsi="Times New Roman"/>
          <w:color w:val="000000"/>
          <w:sz w:val="24"/>
          <w:szCs w:val="24"/>
        </w:rPr>
        <w:t>nd check for signs of fluid overload (12,13). With regard to vasopressor amines, no clinically relevant advantage of epinephrine over norepinephrine has been found in the literature (14, 15,16). The death rate in our series was 69.17% and was mainly due to</w:t>
      </w:r>
      <w:r>
        <w:rPr>
          <w:rFonts w:ascii="Times New Roman" w:eastAsia="Calibri" w:hAnsi="Times New Roman"/>
          <w:color w:val="000000"/>
          <w:sz w:val="24"/>
          <w:szCs w:val="24"/>
        </w:rPr>
        <w:t xml:space="preserve"> septic shock, which accounted for 47.29%. Mortality during septic shock is equally high in the literature (1,7,17,18). The most common causes of death were refractory shock, renal failure, and DIC. The same etiologies were found in the literature (9,19). </w:t>
      </w:r>
      <w:r>
        <w:rPr>
          <w:rFonts w:ascii="Times New Roman" w:eastAsia="Calibri" w:hAnsi="Times New Roman"/>
          <w:color w:val="000000"/>
          <w:sz w:val="24"/>
          <w:szCs w:val="24"/>
        </w:rPr>
        <w:t>The lack of resources such as diagnostic and therapeutic means (blood gas analysis, bedside cardiac ultrasound, non-invasive ventilation, lack of monitoring equipment and human resources) contributes to the increase in mortality and thus constitutes an obs</w:t>
      </w:r>
      <w:r>
        <w:rPr>
          <w:rFonts w:ascii="Times New Roman" w:eastAsia="Calibri" w:hAnsi="Times New Roman"/>
          <w:color w:val="000000"/>
          <w:sz w:val="24"/>
          <w:szCs w:val="24"/>
        </w:rPr>
        <w:t>tacle to optimal care.</w:t>
      </w:r>
    </w:p>
    <w:p w14:paraId="04DAA4E2" w14:textId="77777777" w:rsidR="00CE444C" w:rsidRDefault="00F117BE">
      <w:pPr>
        <w:spacing w:line="360" w:lineRule="auto"/>
        <w:rPr>
          <w:rFonts w:ascii="Times New Roman" w:eastAsia="Calibri" w:hAnsi="Times New Roman"/>
          <w:b/>
          <w:bCs/>
          <w:color w:val="000000"/>
          <w:sz w:val="24"/>
          <w:szCs w:val="24"/>
        </w:rPr>
      </w:pPr>
      <w:r>
        <w:rPr>
          <w:rFonts w:ascii="Times New Roman" w:eastAsia="Calibri" w:hAnsi="Times New Roman"/>
          <w:b/>
          <w:bCs/>
          <w:color w:val="000000"/>
          <w:sz w:val="24"/>
          <w:szCs w:val="24"/>
        </w:rPr>
        <w:t>Conclusion</w:t>
      </w:r>
    </w:p>
    <w:p w14:paraId="52F433AA" w14:textId="77777777" w:rsidR="00CE444C" w:rsidRDefault="00F117BE">
      <w:pPr>
        <w:spacing w:line="360" w:lineRule="auto"/>
        <w:rPr>
          <w:rFonts w:ascii="Times New Roman" w:eastAsia="Calibri" w:hAnsi="Times New Roman"/>
          <w:color w:val="000000"/>
          <w:sz w:val="24"/>
          <w:szCs w:val="24"/>
        </w:rPr>
      </w:pPr>
      <w:r>
        <w:rPr>
          <w:rFonts w:ascii="Times New Roman" w:eastAsia="Calibri" w:hAnsi="Times New Roman"/>
          <w:color w:val="000000"/>
          <w:sz w:val="24"/>
          <w:szCs w:val="24"/>
        </w:rPr>
        <w:t>Shock is a common condition in pediatric hospitals, with significant morbidity and mortality. Early identification through tachycardia and other signs of tissue hypoperfusion, as well as blood pressure measurement, is esse</w:t>
      </w:r>
      <w:r>
        <w:rPr>
          <w:rFonts w:ascii="Times New Roman" w:eastAsia="Calibri" w:hAnsi="Times New Roman"/>
          <w:color w:val="000000"/>
          <w:sz w:val="24"/>
          <w:szCs w:val="24"/>
        </w:rPr>
        <w:t>ntial for rapid initiation of appropriate treatment and referral to specialists for possible transfer. The main challenge in our settings remains access to treatment, especially in cases of late diagnosis.</w:t>
      </w:r>
    </w:p>
    <w:p w14:paraId="7D6ED81F" w14:textId="77777777" w:rsidR="00CE444C" w:rsidRDefault="00F117BE">
      <w:pPr>
        <w:spacing w:line="360" w:lineRule="auto"/>
        <w:rPr>
          <w:b/>
          <w:bCs/>
          <w:sz w:val="24"/>
          <w:szCs w:val="24"/>
          <w:lang w:val="en-US"/>
        </w:rPr>
      </w:pPr>
      <w:r>
        <w:rPr>
          <w:rFonts w:ascii="Times New Roman" w:eastAsia="Calibri" w:hAnsi="Times New Roman"/>
          <w:b/>
          <w:bCs/>
          <w:color w:val="000000"/>
          <w:sz w:val="24"/>
          <w:szCs w:val="24"/>
        </w:rPr>
        <w:t>R</w:t>
      </w:r>
      <w:proofErr w:type="spellStart"/>
      <w:r>
        <w:rPr>
          <w:rFonts w:ascii="Times New Roman" w:eastAsia="Calibri" w:hAnsi="Times New Roman"/>
          <w:b/>
          <w:bCs/>
          <w:color w:val="000000"/>
          <w:sz w:val="24"/>
          <w:szCs w:val="24"/>
          <w:lang w:val="en-US"/>
        </w:rPr>
        <w:t>eferences</w:t>
      </w:r>
      <w:proofErr w:type="spellEnd"/>
    </w:p>
    <w:p w14:paraId="20661586" w14:textId="77777777" w:rsidR="00CE444C" w:rsidRDefault="00F117BE">
      <w:pPr>
        <w:pStyle w:val="Bibliographie2"/>
        <w:rPr>
          <w:rFonts w:ascii="Times New Roman" w:hAnsi="Times New Roman" w:cs="Times New Roman"/>
          <w:sz w:val="24"/>
        </w:rPr>
      </w:pPr>
      <w:r>
        <w:rPr>
          <w:rFonts w:eastAsia="Calibri"/>
          <w:color w:val="000000"/>
        </w:rPr>
        <w:fldChar w:fldCharType="begin"/>
      </w:r>
      <w:r>
        <w:rPr>
          <w:rFonts w:eastAsia="Calibri"/>
          <w:color w:val="000000"/>
        </w:rPr>
        <w:instrText xml:space="preserve"> ADDIN ZOTERO_BIBL {"uncited":[],"omitt</w:instrText>
      </w:r>
      <w:r>
        <w:rPr>
          <w:rFonts w:eastAsia="Calibri"/>
          <w:color w:val="000000"/>
        </w:rPr>
        <w:instrText xml:space="preserve">ed":[],"custom":[]} CSL_BIBLIOGRAPHY </w:instrText>
      </w:r>
      <w:r>
        <w:rPr>
          <w:rFonts w:eastAsia="Calibri"/>
          <w:color w:val="000000"/>
        </w:rPr>
        <w:fldChar w:fldCharType="separate"/>
      </w:r>
      <w:r>
        <w:rPr>
          <w:rFonts w:ascii="Times New Roman" w:hAnsi="Times New Roman" w:cs="Times New Roman"/>
          <w:sz w:val="24"/>
        </w:rPr>
        <w:t>1.</w:t>
      </w:r>
      <w:r>
        <w:rPr>
          <w:rFonts w:ascii="Times New Roman" w:hAnsi="Times New Roman" w:cs="Times New Roman"/>
          <w:sz w:val="24"/>
        </w:rPr>
        <w:tab/>
        <w:t xml:space="preserve">Durand A, Cartier L, Duburcq T, Onimus T, Favory R, Preau S. États de choc : grands cadres </w:t>
      </w:r>
      <w:r>
        <w:rPr>
          <w:rFonts w:ascii="Times New Roman" w:eastAsia="DengXian" w:hAnsi="Times New Roman" w:cs="Times New Roman" w:hint="eastAsia"/>
          <w:sz w:val="24"/>
        </w:rPr>
        <w:t>é</w:t>
      </w:r>
      <w:r>
        <w:rPr>
          <w:rFonts w:ascii="Times New Roman" w:hAnsi="Times New Roman" w:cs="Times New Roman"/>
          <w:sz w:val="24"/>
        </w:rPr>
        <w:t>tiologiques, prise en charge initiale. La Revue de M</w:t>
      </w:r>
      <w:r>
        <w:rPr>
          <w:rFonts w:ascii="Times New Roman" w:eastAsia="DengXian" w:hAnsi="Times New Roman" w:cs="Times New Roman" w:hint="eastAsia"/>
          <w:sz w:val="24"/>
        </w:rPr>
        <w:t>é</w:t>
      </w:r>
      <w:r>
        <w:rPr>
          <w:rFonts w:ascii="Times New Roman" w:hAnsi="Times New Roman" w:cs="Times New Roman"/>
          <w:sz w:val="24"/>
        </w:rPr>
        <w:t>decine Interne. d</w:t>
      </w:r>
      <w:r>
        <w:rPr>
          <w:rFonts w:ascii="Times New Roman" w:eastAsia="DengXian" w:hAnsi="Times New Roman" w:cs="Times New Roman" w:hint="eastAsia"/>
          <w:sz w:val="24"/>
        </w:rPr>
        <w:t>é</w:t>
      </w:r>
      <w:r>
        <w:rPr>
          <w:rFonts w:ascii="Times New Roman" w:hAnsi="Times New Roman" w:cs="Times New Roman"/>
          <w:sz w:val="24"/>
        </w:rPr>
        <w:t xml:space="preserve">c 2019;40(12):799‑807. </w:t>
      </w:r>
    </w:p>
    <w:p w14:paraId="07547DB1" w14:textId="77777777" w:rsidR="00CE444C" w:rsidRDefault="00F117BE">
      <w:pPr>
        <w:pStyle w:val="Bibliographie2"/>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Babaev A, Frederick PD, Pasta DJ, Every N, Sichrovsky T, Hochman JS, et al. Trends in management and outcomes of patients with acute myocardial infarction complicated by cardiogenic shock. JAMA. 27 juill 2005;294(4):448‑54. </w:t>
      </w:r>
    </w:p>
    <w:p w14:paraId="4F6691C4" w14:textId="77777777" w:rsidR="00CE444C" w:rsidRDefault="00F117BE">
      <w:pPr>
        <w:pStyle w:val="Bibliographie2"/>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van Beest PA, Brander L, Jan</w:t>
      </w:r>
      <w:r>
        <w:rPr>
          <w:rFonts w:ascii="Times New Roman" w:hAnsi="Times New Roman" w:cs="Times New Roman"/>
          <w:sz w:val="24"/>
        </w:rPr>
        <w:t xml:space="preserve">sen SP, Rommes JH, Kuiper MA, Spronk PE. Cumulative lactate and hospital mortality in ICU patients. Ann Intensive Care. 27 févr 2013;3:6. </w:t>
      </w:r>
    </w:p>
    <w:p w14:paraId="2CF2FB53" w14:textId="77777777" w:rsidR="00CE444C" w:rsidRDefault="00F117BE">
      <w:pPr>
        <w:pStyle w:val="Bibliographie2"/>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Carcillo JA, Fields AI, American College of Critical Care Medicine Task Force Committee Members. Clinical practice</w:t>
      </w:r>
      <w:r>
        <w:rPr>
          <w:rFonts w:ascii="Times New Roman" w:hAnsi="Times New Roman" w:cs="Times New Roman"/>
          <w:sz w:val="24"/>
        </w:rPr>
        <w:t xml:space="preserve"> parameters for hemodynamic support of pediatric and neonatal patients in septic shock. Crit Care Med. juin 2002;30(6):1365‑78. </w:t>
      </w:r>
    </w:p>
    <w:p w14:paraId="00A060F2" w14:textId="77777777" w:rsidR="00CE444C" w:rsidRDefault="00F117BE">
      <w:pPr>
        <w:pStyle w:val="Bibliographie2"/>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Mendelson J. Emergency Department Management of Pediatric Shock. Emergency Medicine Clinics of North America. mai 2018;36(2)</w:t>
      </w:r>
      <w:r>
        <w:rPr>
          <w:rFonts w:ascii="Times New Roman" w:hAnsi="Times New Roman" w:cs="Times New Roman"/>
          <w:sz w:val="24"/>
        </w:rPr>
        <w:t xml:space="preserve">:427‑40. </w:t>
      </w:r>
    </w:p>
    <w:p w14:paraId="23B3C376" w14:textId="77777777" w:rsidR="00CE444C" w:rsidRDefault="00F117BE">
      <w:pPr>
        <w:pStyle w:val="Bibliographie2"/>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Impact of HIV infection and exposure on survival in critically ill children who attend a paediatric emergency department in a resource-constrained setting - PubMed [Internet]. [cité 15 mars 2024]. Disponible sur: https://pubmed.ncbi.nlm.nih.go</w:t>
      </w:r>
      <w:r>
        <w:rPr>
          <w:rFonts w:ascii="Times New Roman" w:hAnsi="Times New Roman" w:cs="Times New Roman"/>
          <w:sz w:val="24"/>
        </w:rPr>
        <w:t>v/20515902/</w:t>
      </w:r>
    </w:p>
    <w:p w14:paraId="425E4B67" w14:textId="77777777" w:rsidR="00CE444C" w:rsidRDefault="00F117BE">
      <w:pPr>
        <w:pStyle w:val="Bibliographie2"/>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t xml:space="preserve">Ibrahiem SK, Galal YS, Youssef MRL, Sedrak AS, El Khateeb EM, Abdel-Hameed ND. Prognostic markers among Egyptian children with sepsis in the Intensive Care Units, Cairo University Hospitals. Allergol Immunopathol (Madr). 2016;44(1):46‑53. </w:t>
      </w:r>
    </w:p>
    <w:p w14:paraId="367F82FA" w14:textId="77777777" w:rsidR="00CE444C" w:rsidRDefault="00F117BE">
      <w:pPr>
        <w:pStyle w:val="Bibliographie2"/>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w:t>
      </w:r>
      <w:r>
        <w:rPr>
          <w:rFonts w:ascii="Times New Roman" w:hAnsi="Times New Roman" w:cs="Times New Roman"/>
          <w:sz w:val="24"/>
        </w:rPr>
        <w:tab/>
        <w:t xml:space="preserve">Cecconi M, De Backer D, Antonelli M, Beale R, Bakker J, Hofer C, et al. Consensus on circulatory shock and hemodynamic monitoring. Task force of the European Society of Intensive Care Medicine. Intensive Care Med. déc 2014;40(12):1795‑815. </w:t>
      </w:r>
    </w:p>
    <w:p w14:paraId="54D076CD" w14:textId="77777777" w:rsidR="00CE444C" w:rsidRDefault="00F117BE">
      <w:pPr>
        <w:pStyle w:val="Bibliographie2"/>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 xml:space="preserve">Weiss SL, </w:t>
      </w:r>
      <w:r>
        <w:rPr>
          <w:rFonts w:ascii="Times New Roman" w:hAnsi="Times New Roman" w:cs="Times New Roman"/>
          <w:sz w:val="24"/>
        </w:rPr>
        <w:t xml:space="preserve">Peters MJ, Alhazzani W, Agus MSD, Flori HR, Inwald DP, et al. Surviving Sepsis Campaign International Guidelines for the Management of Septic Shock and Sepsis-Associated Organ Dysfunction in Children. Pediatr Crit Care Med. févr 2020;21(2):e52‑106. </w:t>
      </w:r>
    </w:p>
    <w:p w14:paraId="5C6A8956" w14:textId="77777777" w:rsidR="00CE444C" w:rsidRDefault="00F117BE">
      <w:pPr>
        <w:pStyle w:val="Bibliographie2"/>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Pr>
          <w:rFonts w:ascii="Times New Roman" w:hAnsi="Times New Roman" w:cs="Times New Roman"/>
          <w:sz w:val="24"/>
        </w:rPr>
        <w:t xml:space="preserve">Pollack MM, Fields AI, Ruttimann UE. Distributions of cardiopulmonary variables in pediatric survivors and nonsurvivors of septic shock. Crit Care Med. juin 1985;13(6):454‑9. </w:t>
      </w:r>
    </w:p>
    <w:p w14:paraId="7E239389" w14:textId="77777777" w:rsidR="00CE444C" w:rsidRDefault="00F117BE">
      <w:pPr>
        <w:pStyle w:val="Bibliographie2"/>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t>Emrath ET, Fortenberry JD, Travers C, McCracken CE, Hebbar KB. Resuscitation</w:t>
      </w:r>
      <w:r>
        <w:rPr>
          <w:rFonts w:ascii="Times New Roman" w:hAnsi="Times New Roman" w:cs="Times New Roman"/>
          <w:sz w:val="24"/>
        </w:rPr>
        <w:t xml:space="preserve"> With Balanced Fluids Is Associated With Improved Survival in Pediatric Severe Sepsis. Crit Care Med. juill 2017;45(7):1177‑83. </w:t>
      </w:r>
    </w:p>
    <w:p w14:paraId="35DFF32B" w14:textId="77777777" w:rsidR="00CE444C" w:rsidRDefault="00F117BE">
      <w:pPr>
        <w:pStyle w:val="Bibliographie2"/>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sz w:val="24"/>
        </w:rPr>
        <w:tab/>
        <w:t>van Diepen S, Katz JN, Albert NM, Henry TD, Jacobs AK, Kapur NK, et al. Contemporary Management of Cardiogenic Shock: A Sci</w:t>
      </w:r>
      <w:r>
        <w:rPr>
          <w:rFonts w:ascii="Times New Roman" w:hAnsi="Times New Roman" w:cs="Times New Roman"/>
          <w:sz w:val="24"/>
        </w:rPr>
        <w:t xml:space="preserve">entific Statement From the American Heart Association. Circulation. 17 oct 2017;136(16):e232‑68. </w:t>
      </w:r>
    </w:p>
    <w:p w14:paraId="6B8090F6" w14:textId="77777777" w:rsidR="00CE444C" w:rsidRDefault="00F117BE">
      <w:pPr>
        <w:pStyle w:val="Bibliographie2"/>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ab/>
        <w:t>Ponikowski P, Voors AA, Anker SD, Bueno H, Cleland JGF, Coats AJS, et al. 2016 ESC Guidelines for the diagnosis and treatment of acute and chronic heart f</w:t>
      </w:r>
      <w:r>
        <w:rPr>
          <w:rFonts w:ascii="Times New Roman" w:hAnsi="Times New Roman" w:cs="Times New Roman"/>
          <w:sz w:val="24"/>
        </w:rPr>
        <w:t>ailure: The Task Force for the diagnosis and treatment of acute and chronic heart failure of the European Society of Cardiology (ESC)Developed with the special contribution of the Heart Failure Association (HFA) of the ESC. Eur Heart J. 14 juill 2016;37(27</w:t>
      </w:r>
      <w:r>
        <w:rPr>
          <w:rFonts w:ascii="Times New Roman" w:hAnsi="Times New Roman" w:cs="Times New Roman"/>
          <w:sz w:val="24"/>
        </w:rPr>
        <w:t xml:space="preserve">):2129‑200. </w:t>
      </w:r>
    </w:p>
    <w:p w14:paraId="3E460D20" w14:textId="77777777" w:rsidR="00CE444C" w:rsidRDefault="00F117BE">
      <w:pPr>
        <w:pStyle w:val="Bibliographie2"/>
        <w:rPr>
          <w:rFonts w:ascii="Times New Roman" w:hAnsi="Times New Roman" w:cs="Times New Roman"/>
          <w:sz w:val="24"/>
        </w:rPr>
      </w:pPr>
      <w:r>
        <w:rPr>
          <w:rFonts w:ascii="Times New Roman" w:hAnsi="Times New Roman" w:cs="Times New Roman"/>
          <w:sz w:val="24"/>
        </w:rPr>
        <w:t>14.</w:t>
      </w:r>
      <w:r>
        <w:rPr>
          <w:rFonts w:ascii="Times New Roman" w:hAnsi="Times New Roman" w:cs="Times New Roman"/>
          <w:sz w:val="24"/>
        </w:rPr>
        <w:tab/>
        <w:t xml:space="preserve">Hamzaoui O, Jozwiak M, Geffriaud T, Sztrymf B, Prat D, Jacobs F, et al. Norepinephrine exerts an inotropic effect during the early phase of human septic shock. Br J Anaesth. mars 2018;120(3):517‑24. </w:t>
      </w:r>
    </w:p>
    <w:p w14:paraId="207263DC" w14:textId="77777777" w:rsidR="00CE444C" w:rsidRDefault="00F117BE">
      <w:pPr>
        <w:pStyle w:val="Bibliographie2"/>
        <w:rPr>
          <w:rFonts w:ascii="Times New Roman" w:hAnsi="Times New Roman" w:cs="Times New Roman"/>
          <w:sz w:val="24"/>
        </w:rPr>
      </w:pPr>
      <w:r>
        <w:rPr>
          <w:rFonts w:ascii="Times New Roman" w:hAnsi="Times New Roman" w:cs="Times New Roman"/>
          <w:sz w:val="24"/>
        </w:rPr>
        <w:t>15.</w:t>
      </w:r>
      <w:r>
        <w:rPr>
          <w:rFonts w:ascii="Times New Roman" w:hAnsi="Times New Roman" w:cs="Times New Roman"/>
          <w:sz w:val="24"/>
        </w:rPr>
        <w:tab/>
        <w:t>Rhodes A, Evans LE, Alhazzani W, Le</w:t>
      </w:r>
      <w:r>
        <w:rPr>
          <w:rFonts w:ascii="Times New Roman" w:hAnsi="Times New Roman" w:cs="Times New Roman"/>
          <w:sz w:val="24"/>
        </w:rPr>
        <w:t xml:space="preserve">vy MM, Antonelli M, Ferrer R, et al. Surviving Sepsis Campaign: International Guidelines for Management of Sepsis and Septic Shock: 2016. Intensive Care Med. mars 2017;43(3):304‑77. </w:t>
      </w:r>
    </w:p>
    <w:p w14:paraId="5F6DC397" w14:textId="77777777" w:rsidR="00CE444C" w:rsidRDefault="00F117BE">
      <w:pPr>
        <w:pStyle w:val="Bibliographie2"/>
        <w:rPr>
          <w:rFonts w:ascii="Times New Roman" w:hAnsi="Times New Roman" w:cs="Times New Roman"/>
          <w:sz w:val="24"/>
        </w:rPr>
      </w:pPr>
      <w:r>
        <w:rPr>
          <w:rFonts w:ascii="Times New Roman" w:hAnsi="Times New Roman" w:cs="Times New Roman"/>
          <w:sz w:val="24"/>
        </w:rPr>
        <w:t>16.</w:t>
      </w:r>
      <w:r>
        <w:rPr>
          <w:rFonts w:ascii="Times New Roman" w:hAnsi="Times New Roman" w:cs="Times New Roman"/>
          <w:sz w:val="24"/>
        </w:rPr>
        <w:tab/>
        <w:t>Myburgh JA, Higgins A, Jovanovska A, Lipman J, Ramakrishnan N, Santam</w:t>
      </w:r>
      <w:r>
        <w:rPr>
          <w:rFonts w:ascii="Times New Roman" w:hAnsi="Times New Roman" w:cs="Times New Roman"/>
          <w:sz w:val="24"/>
        </w:rPr>
        <w:t xml:space="preserve">aria J, et al. A comparison of epinephrine and norepinephrine in critically ill patients. Intensive Care Med. déc 2008;34(12):2226‑34. </w:t>
      </w:r>
    </w:p>
    <w:p w14:paraId="10F55B70" w14:textId="77777777" w:rsidR="00CE444C" w:rsidRDefault="00F117BE">
      <w:pPr>
        <w:pStyle w:val="Bibliographie2"/>
        <w:rPr>
          <w:rFonts w:ascii="Times New Roman" w:hAnsi="Times New Roman" w:cs="Times New Roman"/>
          <w:sz w:val="24"/>
        </w:rPr>
      </w:pPr>
      <w:r>
        <w:rPr>
          <w:rFonts w:ascii="Times New Roman" w:hAnsi="Times New Roman" w:cs="Times New Roman"/>
          <w:sz w:val="24"/>
        </w:rPr>
        <w:t>17.</w:t>
      </w:r>
      <w:r>
        <w:rPr>
          <w:rFonts w:ascii="Times New Roman" w:hAnsi="Times New Roman" w:cs="Times New Roman"/>
          <w:sz w:val="24"/>
        </w:rPr>
        <w:tab/>
        <w:t xml:space="preserve">Analyse de la mortalité au service de réanimation pédiatrique du CHU Mohammed VI de Marrakech. </w:t>
      </w:r>
    </w:p>
    <w:p w14:paraId="2FC19A86" w14:textId="77777777" w:rsidR="00CE444C" w:rsidRDefault="00F117BE">
      <w:pPr>
        <w:pStyle w:val="Bibliographie2"/>
        <w:rPr>
          <w:rFonts w:ascii="Times New Roman" w:hAnsi="Times New Roman" w:cs="Times New Roman"/>
          <w:sz w:val="24"/>
        </w:rPr>
      </w:pPr>
      <w:r>
        <w:rPr>
          <w:rFonts w:ascii="Times New Roman" w:hAnsi="Times New Roman" w:cs="Times New Roman"/>
          <w:sz w:val="24"/>
        </w:rPr>
        <w:t>18.</w:t>
      </w:r>
      <w:r>
        <w:rPr>
          <w:rFonts w:ascii="Times New Roman" w:hAnsi="Times New Roman" w:cs="Times New Roman"/>
          <w:sz w:val="24"/>
        </w:rPr>
        <w:tab/>
        <w:t>Menif K, Bouziri</w:t>
      </w:r>
      <w:r>
        <w:rPr>
          <w:rFonts w:ascii="Times New Roman" w:hAnsi="Times New Roman" w:cs="Times New Roman"/>
          <w:sz w:val="24"/>
        </w:rPr>
        <w:t xml:space="preserve"> A, Ben Jaballah N. [Management of the first hour of the pediatric septic shock patient]. Tunis Med. févr 2011;89(2):132‑5. </w:t>
      </w:r>
    </w:p>
    <w:p w14:paraId="3151E16B" w14:textId="77777777" w:rsidR="00CE444C" w:rsidRDefault="00F117BE">
      <w:pPr>
        <w:pStyle w:val="Bibliographie2"/>
        <w:rPr>
          <w:rFonts w:ascii="Times New Roman" w:hAnsi="Times New Roman" w:cs="Times New Roman"/>
          <w:sz w:val="24"/>
        </w:rPr>
      </w:pPr>
      <w:r>
        <w:rPr>
          <w:rFonts w:ascii="Times New Roman" w:hAnsi="Times New Roman" w:cs="Times New Roman"/>
          <w:sz w:val="24"/>
        </w:rPr>
        <w:t>19.</w:t>
      </w:r>
      <w:r>
        <w:rPr>
          <w:rFonts w:ascii="Times New Roman" w:hAnsi="Times New Roman" w:cs="Times New Roman"/>
          <w:sz w:val="24"/>
        </w:rPr>
        <w:tab/>
        <w:t>Schlapbach LJ, Watson RS, Sorce LR, Argent AC, Menon K, Hall MW, et al. International Consensus Criteria for Pediatric Sepsis a</w:t>
      </w:r>
      <w:r>
        <w:rPr>
          <w:rFonts w:ascii="Times New Roman" w:hAnsi="Times New Roman" w:cs="Times New Roman"/>
          <w:sz w:val="24"/>
        </w:rPr>
        <w:t xml:space="preserve">nd Septic Shock. JAMA. 27 févr 2024;331(8):665‑74. </w:t>
      </w:r>
    </w:p>
    <w:p w14:paraId="2D419E70" w14:textId="77777777" w:rsidR="00CE444C" w:rsidRDefault="00F117BE">
      <w:pPr>
        <w:spacing w:line="24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fldChar w:fldCharType="end"/>
      </w:r>
    </w:p>
    <w:p w14:paraId="4967FCFD" w14:textId="77777777" w:rsidR="00CE444C" w:rsidRDefault="00CE444C">
      <w:pPr>
        <w:rPr>
          <w:sz w:val="24"/>
          <w:szCs w:val="24"/>
          <w:lang w:val="en-US"/>
        </w:rPr>
      </w:pPr>
    </w:p>
    <w:p w14:paraId="356148A2" w14:textId="77777777" w:rsidR="00CE444C" w:rsidRDefault="00CE444C">
      <w:pPr>
        <w:rPr>
          <w:sz w:val="24"/>
          <w:szCs w:val="24"/>
          <w:lang w:val="en-US"/>
        </w:rPr>
      </w:pPr>
    </w:p>
    <w:p w14:paraId="702C36B5" w14:textId="77777777" w:rsidR="00CE444C" w:rsidRDefault="00F117BE">
      <w:pPr>
        <w:spacing w:line="360" w:lineRule="auto"/>
        <w:jc w:val="center"/>
        <w:rPr>
          <w:rFonts w:ascii="Times New Roman" w:eastAsia="SimSun" w:hAnsi="Times New Roman" w:cs="Times New Roman"/>
          <w:color w:val="4472C4" w:themeColor="accent1"/>
          <w:sz w:val="24"/>
          <w:szCs w:val="24"/>
        </w:rPr>
      </w:pPr>
      <w:r>
        <w:rPr>
          <w:noProof/>
        </w:rPr>
        <w:drawing>
          <wp:inline distT="0" distB="0" distL="114300" distR="114300" wp14:anchorId="722CDF7A" wp14:editId="3E863D23">
            <wp:extent cx="5589905" cy="2797810"/>
            <wp:effectExtent l="0" t="0" r="3175" b="6350"/>
            <wp:docPr id="1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7"/>
                    <pic:cNvPicPr>
                      <a:picLocks noChangeAspect="1"/>
                    </pic:cNvPicPr>
                  </pic:nvPicPr>
                  <pic:blipFill>
                    <a:blip r:embed="rId7"/>
                    <a:stretch>
                      <a:fillRect/>
                    </a:stretch>
                  </pic:blipFill>
                  <pic:spPr>
                    <a:xfrm>
                      <a:off x="0" y="0"/>
                      <a:ext cx="5589905" cy="2797810"/>
                    </a:xfrm>
                    <a:prstGeom prst="rect">
                      <a:avLst/>
                    </a:prstGeom>
                    <a:noFill/>
                    <a:ln>
                      <a:noFill/>
                    </a:ln>
                  </pic:spPr>
                </pic:pic>
              </a:graphicData>
            </a:graphic>
          </wp:inline>
        </w:drawing>
      </w:r>
    </w:p>
    <w:p w14:paraId="6B3B9F02" w14:textId="77777777" w:rsidR="00CE444C" w:rsidRDefault="00F117BE">
      <w:pPr>
        <w:spacing w:line="360" w:lineRule="auto"/>
        <w:jc w:val="center"/>
        <w:rPr>
          <w:rFonts w:ascii="Times New Roman" w:eastAsia="SimSun" w:hAnsi="Times New Roman" w:cs="Times New Roman"/>
          <w:b/>
          <w:bCs/>
          <w:color w:val="000000" w:themeColor="text1"/>
          <w:sz w:val="24"/>
          <w:szCs w:val="24"/>
        </w:rPr>
      </w:pPr>
      <w:r>
        <w:rPr>
          <w:rFonts w:ascii="Times New Roman" w:eastAsia="SimSun" w:hAnsi="Times New Roman"/>
          <w:b/>
          <w:bCs/>
          <w:color w:val="000000" w:themeColor="text1"/>
          <w:sz w:val="24"/>
          <w:szCs w:val="24"/>
        </w:rPr>
        <w:t>Figure 1: Breakdown by age group</w:t>
      </w:r>
    </w:p>
    <w:p w14:paraId="6950073C" w14:textId="77777777" w:rsidR="00CE444C" w:rsidRDefault="00CE444C">
      <w:pPr>
        <w:spacing w:line="360" w:lineRule="auto"/>
        <w:jc w:val="center"/>
        <w:rPr>
          <w:rFonts w:ascii="Times New Roman" w:eastAsia="SimSun" w:hAnsi="Times New Roman" w:cs="Times New Roman"/>
          <w:color w:val="4472C4" w:themeColor="accent1"/>
          <w:sz w:val="24"/>
          <w:szCs w:val="24"/>
        </w:rPr>
      </w:pPr>
    </w:p>
    <w:p w14:paraId="3E327E36" w14:textId="77777777" w:rsidR="00CE444C" w:rsidRDefault="00CE444C">
      <w:pPr>
        <w:spacing w:line="360" w:lineRule="auto"/>
        <w:jc w:val="center"/>
        <w:rPr>
          <w:rFonts w:ascii="Times New Roman" w:eastAsia="SimSun" w:hAnsi="Times New Roman" w:cs="Times New Roman"/>
          <w:color w:val="4472C4" w:themeColor="accent1"/>
          <w:sz w:val="24"/>
          <w:szCs w:val="24"/>
          <w:lang w:val="en-US"/>
        </w:rPr>
      </w:pPr>
    </w:p>
    <w:p w14:paraId="3220A94C" w14:textId="77777777" w:rsidR="00CE444C" w:rsidRDefault="00CE444C">
      <w:pPr>
        <w:spacing w:line="360" w:lineRule="auto"/>
        <w:jc w:val="center"/>
        <w:rPr>
          <w:rFonts w:ascii="Times New Roman" w:eastAsia="SimSun" w:hAnsi="Times New Roman" w:cs="Times New Roman"/>
          <w:color w:val="4472C4" w:themeColor="accent1"/>
          <w:sz w:val="24"/>
          <w:szCs w:val="24"/>
          <w:lang w:val="en-US"/>
        </w:rPr>
      </w:pPr>
    </w:p>
    <w:p w14:paraId="2A0B8D9F" w14:textId="77777777" w:rsidR="00CE444C" w:rsidRDefault="00CE444C">
      <w:pPr>
        <w:spacing w:line="360" w:lineRule="auto"/>
        <w:jc w:val="center"/>
        <w:rPr>
          <w:rFonts w:ascii="Times New Roman" w:eastAsia="SimSun" w:hAnsi="Times New Roman" w:cs="Times New Roman"/>
          <w:color w:val="4472C4" w:themeColor="accent1"/>
          <w:sz w:val="24"/>
          <w:szCs w:val="24"/>
          <w:lang w:val="en-US"/>
        </w:rPr>
      </w:pPr>
    </w:p>
    <w:p w14:paraId="1844CB68" w14:textId="77777777" w:rsidR="00CE444C" w:rsidRDefault="00CE444C">
      <w:pPr>
        <w:spacing w:line="360" w:lineRule="auto"/>
        <w:jc w:val="center"/>
        <w:rPr>
          <w:rFonts w:ascii="Times New Roman" w:eastAsia="SimSun" w:hAnsi="Times New Roman" w:cs="Times New Roman"/>
          <w:color w:val="4472C4" w:themeColor="accent1"/>
          <w:sz w:val="24"/>
          <w:szCs w:val="24"/>
          <w:lang w:val="en-US"/>
        </w:rPr>
      </w:pPr>
    </w:p>
    <w:p w14:paraId="223C0291" w14:textId="77777777" w:rsidR="00CE444C" w:rsidRDefault="00CE444C">
      <w:pPr>
        <w:spacing w:line="360" w:lineRule="auto"/>
        <w:jc w:val="center"/>
        <w:rPr>
          <w:rFonts w:ascii="Times New Roman" w:eastAsia="SimSun" w:hAnsi="Times New Roman" w:cs="Times New Roman"/>
          <w:color w:val="4472C4" w:themeColor="accent1"/>
          <w:sz w:val="24"/>
          <w:szCs w:val="24"/>
          <w:lang w:val="en-US"/>
        </w:rPr>
      </w:pPr>
    </w:p>
    <w:p w14:paraId="733B2779" w14:textId="77777777" w:rsidR="00CE444C" w:rsidRDefault="00CE444C">
      <w:pPr>
        <w:spacing w:line="360" w:lineRule="auto"/>
        <w:jc w:val="center"/>
        <w:rPr>
          <w:rFonts w:ascii="Times New Roman" w:eastAsia="SimSun" w:hAnsi="Times New Roman" w:cs="Times New Roman"/>
          <w:color w:val="4472C4" w:themeColor="accent1"/>
          <w:sz w:val="24"/>
          <w:szCs w:val="24"/>
          <w:lang w:val="en-US"/>
        </w:rPr>
      </w:pPr>
    </w:p>
    <w:p w14:paraId="3F665301" w14:textId="77777777" w:rsidR="00CE444C" w:rsidRDefault="00CE444C">
      <w:pPr>
        <w:spacing w:line="360" w:lineRule="auto"/>
        <w:jc w:val="center"/>
        <w:rPr>
          <w:rFonts w:ascii="Times New Roman" w:eastAsia="SimSun" w:hAnsi="Times New Roman" w:cs="Times New Roman"/>
          <w:color w:val="4472C4" w:themeColor="accent1"/>
          <w:sz w:val="24"/>
          <w:szCs w:val="24"/>
          <w:lang w:val="en-US"/>
        </w:rPr>
      </w:pPr>
    </w:p>
    <w:p w14:paraId="538B258E" w14:textId="77777777" w:rsidR="00CE444C" w:rsidRDefault="00CE444C">
      <w:pPr>
        <w:spacing w:line="360" w:lineRule="auto"/>
        <w:jc w:val="center"/>
        <w:rPr>
          <w:rFonts w:ascii="Times New Roman" w:eastAsia="SimSun" w:hAnsi="Times New Roman" w:cs="Times New Roman"/>
          <w:color w:val="4472C4" w:themeColor="accent1"/>
          <w:sz w:val="24"/>
          <w:szCs w:val="24"/>
          <w:lang w:val="en-US"/>
        </w:rPr>
      </w:pPr>
    </w:p>
    <w:p w14:paraId="1C2C8A69" w14:textId="77777777" w:rsidR="00CE444C" w:rsidRDefault="00CE444C">
      <w:pPr>
        <w:spacing w:line="360" w:lineRule="auto"/>
        <w:jc w:val="center"/>
        <w:rPr>
          <w:rFonts w:ascii="Times New Roman" w:eastAsia="SimSun" w:hAnsi="Times New Roman" w:cs="Times New Roman"/>
          <w:color w:val="4472C4" w:themeColor="accent1"/>
          <w:sz w:val="24"/>
          <w:szCs w:val="24"/>
          <w:lang w:val="en-US"/>
        </w:rPr>
      </w:pPr>
    </w:p>
    <w:p w14:paraId="73C69F1B" w14:textId="77777777" w:rsidR="00CE444C" w:rsidRDefault="00F117BE">
      <w:pPr>
        <w:rPr>
          <w:lang w:val="fr-FR" w:eastAsia="zh-CN"/>
        </w:rPr>
      </w:pPr>
      <w:r>
        <w:rPr>
          <w:noProof/>
        </w:rPr>
        <w:lastRenderedPageBreak/>
        <w:drawing>
          <wp:inline distT="0" distB="0" distL="114300" distR="114300" wp14:anchorId="3EE43E42" wp14:editId="55353BF2">
            <wp:extent cx="5824220" cy="3029585"/>
            <wp:effectExtent l="0" t="0" r="12700" b="3175"/>
            <wp:docPr id="1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9"/>
                    <pic:cNvPicPr>
                      <a:picLocks noChangeAspect="1"/>
                    </pic:cNvPicPr>
                  </pic:nvPicPr>
                  <pic:blipFill>
                    <a:blip r:embed="rId8"/>
                    <a:stretch>
                      <a:fillRect/>
                    </a:stretch>
                  </pic:blipFill>
                  <pic:spPr>
                    <a:xfrm>
                      <a:off x="0" y="0"/>
                      <a:ext cx="5824220" cy="3029585"/>
                    </a:xfrm>
                    <a:prstGeom prst="rect">
                      <a:avLst/>
                    </a:prstGeom>
                    <a:noFill/>
                    <a:ln>
                      <a:noFill/>
                    </a:ln>
                  </pic:spPr>
                </pic:pic>
              </a:graphicData>
            </a:graphic>
          </wp:inline>
        </w:drawing>
      </w:r>
    </w:p>
    <w:p w14:paraId="25D2BB28" w14:textId="77777777" w:rsidR="00CE444C" w:rsidRDefault="00F117BE">
      <w:pPr>
        <w:jc w:val="center"/>
        <w:rPr>
          <w:b/>
          <w:bCs/>
          <w:color w:val="000000" w:themeColor="text1"/>
          <w:lang w:val="en-US" w:eastAsia="zh-CN"/>
        </w:rPr>
      </w:pPr>
      <w:r>
        <w:rPr>
          <w:b/>
          <w:bCs/>
          <w:color w:val="000000" w:themeColor="text1"/>
          <w:lang w:val="en-US" w:eastAsia="zh-CN"/>
        </w:rPr>
        <w:t>Figure 2: Breakdown by type of shock</w:t>
      </w:r>
    </w:p>
    <w:p w14:paraId="2062BA2F" w14:textId="77777777" w:rsidR="00CE444C" w:rsidRDefault="00CE444C">
      <w:pPr>
        <w:rPr>
          <w:lang w:val="en-US" w:eastAsia="zh-CN"/>
        </w:rPr>
      </w:pPr>
    </w:p>
    <w:p w14:paraId="068D6FF3" w14:textId="77777777" w:rsidR="00CE444C" w:rsidRDefault="00CE444C">
      <w:pPr>
        <w:rPr>
          <w:lang w:val="en-US" w:eastAsia="zh-CN"/>
        </w:rPr>
      </w:pPr>
    </w:p>
    <w:p w14:paraId="7B0C6CB4" w14:textId="77777777" w:rsidR="00CE444C" w:rsidRDefault="00CE444C">
      <w:pPr>
        <w:rPr>
          <w:lang w:val="en-US" w:eastAsia="zh-CN"/>
        </w:rPr>
      </w:pPr>
    </w:p>
    <w:p w14:paraId="26B334C5" w14:textId="77777777" w:rsidR="00CE444C" w:rsidRDefault="00CE444C">
      <w:pPr>
        <w:rPr>
          <w:lang w:val="en-US" w:eastAsia="zh-CN"/>
        </w:rPr>
      </w:pPr>
    </w:p>
    <w:p w14:paraId="43FC3B50" w14:textId="77777777" w:rsidR="00CE444C" w:rsidRDefault="00CE444C">
      <w:pPr>
        <w:rPr>
          <w:lang w:val="en-US" w:eastAsia="zh-CN"/>
        </w:rPr>
      </w:pPr>
    </w:p>
    <w:p w14:paraId="3E7C4C6C" w14:textId="77777777" w:rsidR="00CE444C" w:rsidRDefault="00CE444C">
      <w:pPr>
        <w:rPr>
          <w:lang w:val="en-US" w:eastAsia="zh-CN"/>
        </w:rPr>
      </w:pPr>
    </w:p>
    <w:p w14:paraId="418C9557" w14:textId="77777777" w:rsidR="00CE444C" w:rsidRDefault="00CE444C">
      <w:pPr>
        <w:rPr>
          <w:lang w:val="en-US" w:eastAsia="zh-CN"/>
        </w:rPr>
      </w:pPr>
    </w:p>
    <w:p w14:paraId="4949F6BB" w14:textId="77777777" w:rsidR="00CE444C" w:rsidRDefault="00CE444C">
      <w:pPr>
        <w:rPr>
          <w:lang w:val="en-US" w:eastAsia="zh-CN"/>
        </w:rPr>
      </w:pPr>
    </w:p>
    <w:p w14:paraId="358B52C1" w14:textId="77777777" w:rsidR="00CE444C" w:rsidRDefault="00CE444C">
      <w:pPr>
        <w:rPr>
          <w:lang w:val="en-US" w:eastAsia="zh-CN"/>
        </w:rPr>
      </w:pPr>
    </w:p>
    <w:p w14:paraId="3CF28264" w14:textId="77777777" w:rsidR="00CE444C" w:rsidRDefault="00CE444C">
      <w:pPr>
        <w:rPr>
          <w:lang w:val="en-US" w:eastAsia="zh-CN"/>
        </w:rPr>
      </w:pPr>
    </w:p>
    <w:p w14:paraId="3E810CB9" w14:textId="77777777" w:rsidR="00CE444C" w:rsidRDefault="00CE444C">
      <w:pPr>
        <w:rPr>
          <w:lang w:val="en-US" w:eastAsia="zh-CN"/>
        </w:rPr>
      </w:pPr>
    </w:p>
    <w:p w14:paraId="77D1D93D" w14:textId="77777777" w:rsidR="00CE444C" w:rsidRDefault="00CE444C">
      <w:pPr>
        <w:rPr>
          <w:lang w:val="en-US" w:eastAsia="zh-CN"/>
        </w:rPr>
      </w:pPr>
    </w:p>
    <w:p w14:paraId="4887F6AA" w14:textId="77777777" w:rsidR="00CE444C" w:rsidRDefault="00CE444C">
      <w:pPr>
        <w:rPr>
          <w:lang w:val="en-US" w:eastAsia="zh-CN"/>
        </w:rPr>
      </w:pPr>
    </w:p>
    <w:p w14:paraId="230EBB31" w14:textId="77777777" w:rsidR="00CE444C" w:rsidRDefault="00CE444C">
      <w:pPr>
        <w:rPr>
          <w:lang w:val="en-US" w:eastAsia="zh-CN"/>
        </w:rPr>
      </w:pPr>
    </w:p>
    <w:p w14:paraId="072FFBB4" w14:textId="77777777" w:rsidR="00CE444C" w:rsidRDefault="00CE444C">
      <w:pPr>
        <w:rPr>
          <w:lang w:val="en-US" w:eastAsia="zh-CN"/>
        </w:rPr>
      </w:pPr>
    </w:p>
    <w:p w14:paraId="56D7E502" w14:textId="77777777" w:rsidR="00CE444C" w:rsidRDefault="00CE444C">
      <w:pPr>
        <w:rPr>
          <w:lang w:val="en-US" w:eastAsia="zh-CN"/>
        </w:rPr>
      </w:pPr>
    </w:p>
    <w:p w14:paraId="3379558B" w14:textId="77777777" w:rsidR="00CE444C" w:rsidRDefault="00CE444C">
      <w:pPr>
        <w:rPr>
          <w:lang w:val="en-US" w:eastAsia="zh-CN"/>
        </w:rPr>
      </w:pPr>
    </w:p>
    <w:p w14:paraId="50D38AD7" w14:textId="77777777" w:rsidR="00CE444C" w:rsidRDefault="00CE444C">
      <w:pPr>
        <w:rPr>
          <w:lang w:val="en-US" w:eastAsia="zh-CN"/>
        </w:rPr>
      </w:pPr>
    </w:p>
    <w:p w14:paraId="5E822FAC" w14:textId="77777777" w:rsidR="00CE444C" w:rsidRDefault="00F117BE">
      <w:pPr>
        <w:tabs>
          <w:tab w:val="left" w:pos="3230"/>
        </w:tabs>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lastRenderedPageBreak/>
        <w:t>Table 1: Relationship between type of shock and death</w:t>
      </w:r>
    </w:p>
    <w:tbl>
      <w:tblPr>
        <w:tblStyle w:val="Tableausimple27"/>
        <w:tblW w:w="0" w:type="auto"/>
        <w:jc w:val="center"/>
        <w:tblCellMar>
          <w:top w:w="15" w:type="dxa"/>
          <w:left w:w="15" w:type="dxa"/>
          <w:bottom w:w="15" w:type="dxa"/>
          <w:right w:w="15" w:type="dxa"/>
        </w:tblCellMar>
        <w:tblLook w:val="04A0" w:firstRow="1" w:lastRow="0" w:firstColumn="1" w:lastColumn="0" w:noHBand="0" w:noVBand="1"/>
      </w:tblPr>
      <w:tblGrid>
        <w:gridCol w:w="2133"/>
        <w:gridCol w:w="783"/>
        <w:gridCol w:w="1349"/>
        <w:gridCol w:w="1349"/>
        <w:gridCol w:w="925"/>
        <w:gridCol w:w="934"/>
        <w:gridCol w:w="730"/>
        <w:gridCol w:w="869"/>
      </w:tblGrid>
      <w:tr w:rsidR="00CE444C" w14:paraId="2A347525"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3" w:type="dxa"/>
            <w:tcBorders>
              <w:top w:val="outset" w:sz="6" w:space="0" w:color="auto"/>
              <w:left w:val="nil"/>
              <w:bottom w:val="outset" w:sz="6" w:space="0" w:color="auto"/>
              <w:right w:val="nil"/>
            </w:tcBorders>
          </w:tcPr>
          <w:p w14:paraId="436BC3F5" w14:textId="77777777" w:rsidR="00CE444C" w:rsidRDefault="00F117BE">
            <w:pPr>
              <w:spacing w:after="0" w:line="360" w:lineRule="auto"/>
              <w:jc w:val="both"/>
              <w:rPr>
                <w:rFonts w:eastAsia="Calibri"/>
                <w:sz w:val="24"/>
                <w:szCs w:val="24"/>
                <w:lang w:eastAsia="zh-CN"/>
              </w:rPr>
            </w:pPr>
            <w:r>
              <w:rPr>
                <w:rFonts w:eastAsia="Calibri"/>
                <w:b w:val="0"/>
                <w:bCs w:val="0"/>
                <w:sz w:val="24"/>
                <w:szCs w:val="24"/>
                <w:lang w:eastAsia="zh-CN"/>
              </w:rPr>
              <w:t>Characteristic</w:t>
            </w:r>
          </w:p>
        </w:tc>
        <w:tc>
          <w:tcPr>
            <w:tcW w:w="783" w:type="dxa"/>
            <w:tcBorders>
              <w:top w:val="outset" w:sz="6" w:space="0" w:color="auto"/>
              <w:left w:val="nil"/>
              <w:bottom w:val="outset" w:sz="6" w:space="0" w:color="auto"/>
              <w:right w:val="nil"/>
            </w:tcBorders>
          </w:tcPr>
          <w:p w14:paraId="18496C1E" w14:textId="77777777" w:rsidR="00CE444C" w:rsidRDefault="00CE444C">
            <w:pPr>
              <w:spacing w:after="0" w:line="360" w:lineRule="auto"/>
              <w:jc w:val="both"/>
              <w:cnfStyle w:val="100000000000" w:firstRow="1" w:lastRow="0" w:firstColumn="0" w:lastColumn="0" w:oddVBand="0" w:evenVBand="0" w:oddHBand="0" w:evenHBand="0" w:firstRowFirstColumn="0" w:firstRowLastColumn="0" w:lastRowFirstColumn="0" w:lastRowLastColumn="0"/>
              <w:rPr>
                <w:rFonts w:eastAsia="Calibri"/>
                <w:b w:val="0"/>
                <w:bCs w:val="0"/>
                <w:sz w:val="24"/>
                <w:szCs w:val="24"/>
                <w:lang w:eastAsia="zh-CN"/>
              </w:rPr>
            </w:pPr>
          </w:p>
        </w:tc>
        <w:tc>
          <w:tcPr>
            <w:tcW w:w="2698" w:type="dxa"/>
            <w:gridSpan w:val="2"/>
            <w:tcBorders>
              <w:top w:val="outset" w:sz="6" w:space="0" w:color="auto"/>
              <w:left w:val="nil"/>
              <w:bottom w:val="outset" w:sz="6" w:space="0" w:color="auto"/>
              <w:right w:val="nil"/>
            </w:tcBorders>
          </w:tcPr>
          <w:p w14:paraId="53C573C5" w14:textId="77777777" w:rsidR="00CE444C" w:rsidRDefault="00F117B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sz w:val="24"/>
                <w:szCs w:val="24"/>
                <w:lang w:eastAsia="zh-CN"/>
              </w:rPr>
            </w:pPr>
            <w:r>
              <w:rPr>
                <w:rFonts w:eastAsia="Calibri"/>
                <w:b w:val="0"/>
                <w:bCs w:val="0"/>
                <w:sz w:val="24"/>
                <w:szCs w:val="24"/>
                <w:lang w:eastAsia="zh-CN"/>
              </w:rPr>
              <w:t>Death</w:t>
            </w:r>
          </w:p>
        </w:tc>
        <w:tc>
          <w:tcPr>
            <w:tcW w:w="925" w:type="dxa"/>
            <w:vMerge w:val="restart"/>
            <w:tcBorders>
              <w:top w:val="outset" w:sz="6" w:space="0" w:color="auto"/>
              <w:left w:val="nil"/>
              <w:bottom w:val="outset" w:sz="6" w:space="0" w:color="auto"/>
              <w:right w:val="nil"/>
            </w:tcBorders>
          </w:tcPr>
          <w:p w14:paraId="58F7213C" w14:textId="77777777" w:rsidR="00CE444C" w:rsidRDefault="00F117B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sz w:val="24"/>
                <w:szCs w:val="24"/>
                <w:lang w:eastAsia="zh-CN"/>
              </w:rPr>
            </w:pPr>
            <w:r>
              <w:rPr>
                <w:rFonts w:eastAsia="Calibri"/>
                <w:b w:val="0"/>
                <w:bCs w:val="0"/>
                <w:sz w:val="24"/>
                <w:szCs w:val="24"/>
                <w:lang w:eastAsia="zh-CN"/>
              </w:rPr>
              <w:t>Chi²</w:t>
            </w:r>
          </w:p>
        </w:tc>
        <w:tc>
          <w:tcPr>
            <w:tcW w:w="934" w:type="dxa"/>
            <w:vMerge w:val="restart"/>
            <w:tcBorders>
              <w:top w:val="outset" w:sz="6" w:space="0" w:color="auto"/>
              <w:left w:val="nil"/>
              <w:bottom w:val="outset" w:sz="6" w:space="0" w:color="auto"/>
              <w:right w:val="nil"/>
            </w:tcBorders>
          </w:tcPr>
          <w:p w14:paraId="1BC2DE61" w14:textId="77777777" w:rsidR="00CE444C" w:rsidRDefault="00F117B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sz w:val="24"/>
                <w:szCs w:val="24"/>
                <w:lang w:eastAsia="zh-CN"/>
              </w:rPr>
            </w:pPr>
            <w:r>
              <w:rPr>
                <w:rFonts w:eastAsia="Calibri"/>
                <w:b w:val="0"/>
                <w:bCs w:val="0"/>
                <w:sz w:val="24"/>
                <w:szCs w:val="24"/>
                <w:lang w:eastAsia="zh-CN"/>
              </w:rPr>
              <w:t>p-value</w:t>
            </w:r>
          </w:p>
        </w:tc>
        <w:tc>
          <w:tcPr>
            <w:tcW w:w="730" w:type="dxa"/>
            <w:vMerge w:val="restart"/>
            <w:tcBorders>
              <w:top w:val="outset" w:sz="6" w:space="0" w:color="auto"/>
              <w:left w:val="nil"/>
              <w:bottom w:val="outset" w:sz="6" w:space="0" w:color="auto"/>
              <w:right w:val="nil"/>
            </w:tcBorders>
          </w:tcPr>
          <w:p w14:paraId="1DD9F214" w14:textId="77777777" w:rsidR="00CE444C" w:rsidRDefault="00F117B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sz w:val="24"/>
                <w:szCs w:val="24"/>
                <w:lang w:eastAsia="zh-CN"/>
              </w:rPr>
            </w:pPr>
            <w:r>
              <w:rPr>
                <w:rFonts w:eastAsia="Calibri"/>
                <w:b w:val="0"/>
                <w:bCs w:val="0"/>
                <w:sz w:val="24"/>
                <w:szCs w:val="24"/>
                <w:lang w:eastAsia="zh-CN"/>
              </w:rPr>
              <w:t>OR</w:t>
            </w:r>
          </w:p>
        </w:tc>
        <w:tc>
          <w:tcPr>
            <w:tcW w:w="869" w:type="dxa"/>
            <w:vMerge w:val="restart"/>
            <w:tcBorders>
              <w:top w:val="outset" w:sz="6" w:space="0" w:color="auto"/>
              <w:left w:val="nil"/>
              <w:bottom w:val="outset" w:sz="6" w:space="0" w:color="auto"/>
              <w:right w:val="nil"/>
            </w:tcBorders>
          </w:tcPr>
          <w:p w14:paraId="4D289DA4" w14:textId="77777777" w:rsidR="00CE444C" w:rsidRDefault="00F117B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sz w:val="24"/>
                <w:szCs w:val="24"/>
                <w:lang w:eastAsia="zh-CN"/>
              </w:rPr>
            </w:pPr>
            <w:r>
              <w:rPr>
                <w:rFonts w:eastAsia="Calibri"/>
                <w:b w:val="0"/>
                <w:bCs w:val="0"/>
                <w:sz w:val="24"/>
                <w:szCs w:val="24"/>
                <w:lang w:eastAsia="zh-CN"/>
              </w:rPr>
              <w:t xml:space="preserve">IC </w:t>
            </w:r>
            <w:r>
              <w:rPr>
                <w:rFonts w:eastAsia="Calibri"/>
                <w:b w:val="0"/>
                <w:bCs w:val="0"/>
                <w:sz w:val="24"/>
                <w:szCs w:val="24"/>
                <w:lang w:eastAsia="zh-CN"/>
              </w:rPr>
              <w:t>95%</w:t>
            </w:r>
          </w:p>
        </w:tc>
      </w:tr>
      <w:tr w:rsidR="00CE444C" w14:paraId="484C1AD7" w14:textId="77777777">
        <w:trPr>
          <w:jc w:val="center"/>
        </w:trPr>
        <w:tc>
          <w:tcPr>
            <w:cnfStyle w:val="001000000000" w:firstRow="0" w:lastRow="0" w:firstColumn="1" w:lastColumn="0" w:oddVBand="0" w:evenVBand="0" w:oddHBand="0" w:evenHBand="0" w:firstRowFirstColumn="0" w:firstRowLastColumn="0" w:lastRowFirstColumn="0" w:lastRowLastColumn="0"/>
            <w:tcW w:w="2133" w:type="dxa"/>
            <w:tcBorders>
              <w:top w:val="nil"/>
              <w:left w:val="nil"/>
              <w:bottom w:val="outset" w:sz="6" w:space="0" w:color="auto"/>
              <w:right w:val="nil"/>
            </w:tcBorders>
          </w:tcPr>
          <w:p w14:paraId="397EDABE" w14:textId="77777777" w:rsidR="00CE444C" w:rsidRDefault="00CE444C">
            <w:pPr>
              <w:spacing w:after="0" w:line="360" w:lineRule="auto"/>
              <w:jc w:val="both"/>
              <w:rPr>
                <w:rFonts w:eastAsia="Calibri"/>
                <w:b w:val="0"/>
                <w:bCs w:val="0"/>
                <w:sz w:val="24"/>
                <w:szCs w:val="24"/>
                <w:lang w:eastAsia="zh-CN"/>
              </w:rPr>
            </w:pPr>
          </w:p>
        </w:tc>
        <w:tc>
          <w:tcPr>
            <w:tcW w:w="783" w:type="dxa"/>
            <w:tcBorders>
              <w:top w:val="nil"/>
              <w:left w:val="nil"/>
              <w:bottom w:val="outset" w:sz="6" w:space="0" w:color="auto"/>
              <w:right w:val="nil"/>
            </w:tcBorders>
          </w:tcPr>
          <w:p w14:paraId="529A7DBE" w14:textId="77777777" w:rsidR="00CE444C" w:rsidRDefault="00CE444C">
            <w:pPr>
              <w:spacing w:after="0"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p>
        </w:tc>
        <w:tc>
          <w:tcPr>
            <w:tcW w:w="1349" w:type="dxa"/>
            <w:tcBorders>
              <w:top w:val="nil"/>
              <w:left w:val="nil"/>
              <w:bottom w:val="outset" w:sz="6" w:space="0" w:color="auto"/>
              <w:right w:val="nil"/>
            </w:tcBorders>
            <w:vAlign w:val="center"/>
          </w:tcPr>
          <w:p w14:paraId="0BD6D03F"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Yes (%)</w:t>
            </w:r>
          </w:p>
        </w:tc>
        <w:tc>
          <w:tcPr>
            <w:tcW w:w="1349" w:type="dxa"/>
            <w:tcBorders>
              <w:top w:val="nil"/>
              <w:left w:val="nil"/>
              <w:bottom w:val="outset" w:sz="6" w:space="0" w:color="auto"/>
              <w:right w:val="nil"/>
            </w:tcBorders>
            <w:vAlign w:val="center"/>
          </w:tcPr>
          <w:p w14:paraId="4AFFBBC8"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No (%)</w:t>
            </w:r>
          </w:p>
        </w:tc>
        <w:tc>
          <w:tcPr>
            <w:tcW w:w="0" w:type="auto"/>
            <w:vMerge/>
            <w:tcBorders>
              <w:top w:val="outset" w:sz="6" w:space="0" w:color="auto"/>
              <w:left w:val="nil"/>
              <w:bottom w:val="outset" w:sz="6" w:space="0" w:color="auto"/>
              <w:right w:val="nil"/>
            </w:tcBorders>
            <w:vAlign w:val="center"/>
          </w:tcPr>
          <w:p w14:paraId="4FD3B8A7" w14:textId="77777777" w:rsidR="00CE444C" w:rsidRDefault="00CE444C">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c>
          <w:tcPr>
            <w:tcW w:w="0" w:type="auto"/>
            <w:vMerge/>
            <w:tcBorders>
              <w:top w:val="outset" w:sz="6" w:space="0" w:color="auto"/>
              <w:left w:val="nil"/>
              <w:bottom w:val="outset" w:sz="6" w:space="0" w:color="auto"/>
              <w:right w:val="nil"/>
            </w:tcBorders>
            <w:vAlign w:val="center"/>
          </w:tcPr>
          <w:p w14:paraId="085FC613" w14:textId="77777777" w:rsidR="00CE444C" w:rsidRDefault="00CE444C">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c>
          <w:tcPr>
            <w:tcW w:w="0" w:type="auto"/>
            <w:vMerge/>
            <w:tcBorders>
              <w:top w:val="outset" w:sz="6" w:space="0" w:color="auto"/>
              <w:left w:val="nil"/>
              <w:bottom w:val="outset" w:sz="6" w:space="0" w:color="auto"/>
              <w:right w:val="nil"/>
            </w:tcBorders>
            <w:vAlign w:val="center"/>
          </w:tcPr>
          <w:p w14:paraId="5D3E6D7D" w14:textId="77777777" w:rsidR="00CE444C" w:rsidRDefault="00CE444C">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c>
          <w:tcPr>
            <w:tcW w:w="0" w:type="auto"/>
            <w:vMerge/>
            <w:tcBorders>
              <w:top w:val="outset" w:sz="6" w:space="0" w:color="auto"/>
              <w:left w:val="nil"/>
              <w:bottom w:val="outset" w:sz="6" w:space="0" w:color="auto"/>
              <w:right w:val="nil"/>
            </w:tcBorders>
            <w:vAlign w:val="center"/>
          </w:tcPr>
          <w:p w14:paraId="3EFB4328" w14:textId="77777777" w:rsidR="00CE444C" w:rsidRDefault="00CE444C">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r>
      <w:tr w:rsidR="00CE444C" w14:paraId="0D8603CE" w14:textId="77777777">
        <w:trPr>
          <w:jc w:val="center"/>
        </w:trPr>
        <w:tc>
          <w:tcPr>
            <w:cnfStyle w:val="001000000000" w:firstRow="0" w:lastRow="0" w:firstColumn="1" w:lastColumn="0" w:oddVBand="0" w:evenVBand="0" w:oddHBand="0" w:evenHBand="0" w:firstRowFirstColumn="0" w:firstRowLastColumn="0" w:lastRowFirstColumn="0" w:lastRowLastColumn="0"/>
            <w:tcW w:w="2133" w:type="dxa"/>
            <w:vMerge w:val="restart"/>
            <w:tcBorders>
              <w:top w:val="nil"/>
              <w:left w:val="nil"/>
              <w:bottom w:val="nil"/>
              <w:right w:val="nil"/>
            </w:tcBorders>
          </w:tcPr>
          <w:p w14:paraId="2AAE849F" w14:textId="77777777" w:rsidR="00CE444C" w:rsidRDefault="00F117BE">
            <w:pPr>
              <w:spacing w:after="0" w:line="360" w:lineRule="auto"/>
              <w:jc w:val="both"/>
              <w:rPr>
                <w:rFonts w:eastAsia="Calibri"/>
                <w:b w:val="0"/>
                <w:bCs w:val="0"/>
                <w:sz w:val="24"/>
                <w:szCs w:val="24"/>
                <w:lang w:eastAsia="zh-CN"/>
              </w:rPr>
            </w:pPr>
            <w:r>
              <w:rPr>
                <w:rFonts w:eastAsia="Calibri"/>
                <w:b w:val="0"/>
                <w:bCs w:val="0"/>
                <w:sz w:val="24"/>
                <w:szCs w:val="24"/>
                <w:lang w:eastAsia="zh-CN"/>
              </w:rPr>
              <w:t>Cardiogenic shock</w:t>
            </w:r>
          </w:p>
        </w:tc>
        <w:tc>
          <w:tcPr>
            <w:tcW w:w="783" w:type="dxa"/>
            <w:tcBorders>
              <w:top w:val="nil"/>
              <w:left w:val="nil"/>
              <w:bottom w:val="nil"/>
              <w:right w:val="nil"/>
            </w:tcBorders>
            <w:vAlign w:val="center"/>
          </w:tcPr>
          <w:p w14:paraId="04228B6D" w14:textId="77777777" w:rsidR="00CE444C" w:rsidRDefault="00F117BE">
            <w:pPr>
              <w:spacing w:after="0" w:line="36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Yes</w:t>
            </w:r>
          </w:p>
        </w:tc>
        <w:tc>
          <w:tcPr>
            <w:tcW w:w="1349" w:type="dxa"/>
            <w:tcBorders>
              <w:top w:val="nil"/>
              <w:left w:val="nil"/>
              <w:bottom w:val="nil"/>
              <w:right w:val="nil"/>
            </w:tcBorders>
            <w:vAlign w:val="center"/>
          </w:tcPr>
          <w:p w14:paraId="3C4B88E6"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11(78,57)</w:t>
            </w:r>
          </w:p>
        </w:tc>
        <w:tc>
          <w:tcPr>
            <w:tcW w:w="1349" w:type="dxa"/>
            <w:tcBorders>
              <w:top w:val="nil"/>
              <w:left w:val="nil"/>
              <w:bottom w:val="nil"/>
              <w:right w:val="nil"/>
            </w:tcBorders>
            <w:vAlign w:val="center"/>
          </w:tcPr>
          <w:p w14:paraId="38CFB127"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3(21,43)</w:t>
            </w:r>
          </w:p>
        </w:tc>
        <w:tc>
          <w:tcPr>
            <w:tcW w:w="925" w:type="dxa"/>
            <w:vMerge w:val="restart"/>
            <w:tcBorders>
              <w:top w:val="nil"/>
              <w:left w:val="nil"/>
              <w:bottom w:val="nil"/>
              <w:right w:val="nil"/>
            </w:tcBorders>
            <w:vAlign w:val="center"/>
          </w:tcPr>
          <w:p w14:paraId="12CBF798"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sz w:val="24"/>
                <w:szCs w:val="24"/>
                <w:lang w:eastAsia="zh-CN"/>
              </w:rPr>
              <w:t>0,64</w:t>
            </w:r>
          </w:p>
        </w:tc>
        <w:tc>
          <w:tcPr>
            <w:tcW w:w="934" w:type="dxa"/>
            <w:vMerge w:val="restart"/>
            <w:tcBorders>
              <w:top w:val="nil"/>
              <w:left w:val="nil"/>
              <w:bottom w:val="nil"/>
              <w:right w:val="nil"/>
            </w:tcBorders>
            <w:vAlign w:val="center"/>
          </w:tcPr>
          <w:p w14:paraId="35E62E34"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sz w:val="24"/>
                <w:szCs w:val="24"/>
                <w:lang w:eastAsia="zh-CN"/>
              </w:rPr>
              <w:t>0,4</w:t>
            </w:r>
          </w:p>
        </w:tc>
        <w:tc>
          <w:tcPr>
            <w:tcW w:w="730" w:type="dxa"/>
            <w:vMerge w:val="restart"/>
            <w:tcBorders>
              <w:top w:val="nil"/>
              <w:left w:val="nil"/>
              <w:bottom w:val="nil"/>
              <w:right w:val="nil"/>
            </w:tcBorders>
            <w:vAlign w:val="center"/>
          </w:tcPr>
          <w:p w14:paraId="5A874C44"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sz w:val="24"/>
                <w:szCs w:val="24"/>
                <w:lang w:eastAsia="zh-CN"/>
              </w:rPr>
              <w:t>1,71</w:t>
            </w:r>
          </w:p>
        </w:tc>
        <w:tc>
          <w:tcPr>
            <w:tcW w:w="869" w:type="dxa"/>
            <w:vMerge w:val="restart"/>
            <w:tcBorders>
              <w:top w:val="nil"/>
              <w:left w:val="nil"/>
              <w:bottom w:val="nil"/>
              <w:right w:val="nil"/>
            </w:tcBorders>
            <w:vAlign w:val="center"/>
          </w:tcPr>
          <w:p w14:paraId="1385C292"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sz w:val="24"/>
                <w:szCs w:val="24"/>
                <w:lang w:eastAsia="zh-CN"/>
              </w:rPr>
              <w:t>0,45-6,46</w:t>
            </w:r>
          </w:p>
        </w:tc>
      </w:tr>
      <w:tr w:rsidR="00CE444C" w14:paraId="40169325"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tcPr>
          <w:p w14:paraId="694CA21E" w14:textId="77777777" w:rsidR="00CE444C" w:rsidRDefault="00CE444C">
            <w:pPr>
              <w:spacing w:after="0" w:line="240" w:lineRule="auto"/>
              <w:rPr>
                <w:rFonts w:eastAsia="Calibri"/>
                <w:sz w:val="24"/>
                <w:szCs w:val="24"/>
                <w:lang w:eastAsia="zh-CN"/>
              </w:rPr>
            </w:pPr>
          </w:p>
        </w:tc>
        <w:tc>
          <w:tcPr>
            <w:tcW w:w="783" w:type="dxa"/>
            <w:tcBorders>
              <w:top w:val="nil"/>
              <w:left w:val="nil"/>
              <w:bottom w:val="outset" w:sz="6" w:space="0" w:color="auto"/>
              <w:right w:val="nil"/>
            </w:tcBorders>
            <w:vAlign w:val="center"/>
          </w:tcPr>
          <w:p w14:paraId="3BF44026" w14:textId="77777777" w:rsidR="00CE444C" w:rsidRDefault="00F117BE">
            <w:pPr>
              <w:spacing w:after="0" w:line="36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No</w:t>
            </w:r>
          </w:p>
        </w:tc>
        <w:tc>
          <w:tcPr>
            <w:tcW w:w="1349" w:type="dxa"/>
            <w:tcBorders>
              <w:top w:val="nil"/>
              <w:left w:val="nil"/>
              <w:bottom w:val="outset" w:sz="6" w:space="0" w:color="auto"/>
              <w:right w:val="nil"/>
            </w:tcBorders>
            <w:vAlign w:val="center"/>
          </w:tcPr>
          <w:p w14:paraId="244DD72F"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90(68,18)</w:t>
            </w:r>
          </w:p>
        </w:tc>
        <w:tc>
          <w:tcPr>
            <w:tcW w:w="1349" w:type="dxa"/>
            <w:tcBorders>
              <w:top w:val="nil"/>
              <w:left w:val="nil"/>
              <w:bottom w:val="outset" w:sz="6" w:space="0" w:color="auto"/>
              <w:right w:val="nil"/>
            </w:tcBorders>
            <w:vAlign w:val="center"/>
          </w:tcPr>
          <w:p w14:paraId="5944F6B2"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42(31,82)</w:t>
            </w:r>
          </w:p>
        </w:tc>
        <w:tc>
          <w:tcPr>
            <w:tcW w:w="0" w:type="auto"/>
            <w:vMerge/>
            <w:tcBorders>
              <w:top w:val="nil"/>
              <w:left w:val="nil"/>
              <w:bottom w:val="nil"/>
              <w:right w:val="nil"/>
            </w:tcBorders>
            <w:vAlign w:val="center"/>
          </w:tcPr>
          <w:p w14:paraId="45B8F596" w14:textId="77777777" w:rsidR="00CE444C" w:rsidRDefault="00CE444C">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p>
        </w:tc>
        <w:tc>
          <w:tcPr>
            <w:tcW w:w="0" w:type="auto"/>
            <w:vMerge/>
            <w:tcBorders>
              <w:top w:val="nil"/>
              <w:left w:val="nil"/>
              <w:bottom w:val="nil"/>
              <w:right w:val="nil"/>
            </w:tcBorders>
            <w:vAlign w:val="center"/>
          </w:tcPr>
          <w:p w14:paraId="63B25D0C" w14:textId="77777777" w:rsidR="00CE444C" w:rsidRDefault="00CE444C">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p>
        </w:tc>
        <w:tc>
          <w:tcPr>
            <w:tcW w:w="0" w:type="auto"/>
            <w:vMerge/>
            <w:tcBorders>
              <w:top w:val="nil"/>
              <w:left w:val="nil"/>
              <w:bottom w:val="nil"/>
              <w:right w:val="nil"/>
            </w:tcBorders>
            <w:vAlign w:val="center"/>
          </w:tcPr>
          <w:p w14:paraId="4CA8823B" w14:textId="77777777" w:rsidR="00CE444C" w:rsidRDefault="00CE444C">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p>
        </w:tc>
        <w:tc>
          <w:tcPr>
            <w:tcW w:w="0" w:type="auto"/>
            <w:vMerge/>
            <w:tcBorders>
              <w:top w:val="nil"/>
              <w:left w:val="nil"/>
              <w:bottom w:val="nil"/>
              <w:right w:val="nil"/>
            </w:tcBorders>
            <w:vAlign w:val="center"/>
          </w:tcPr>
          <w:p w14:paraId="7798E859" w14:textId="77777777" w:rsidR="00CE444C" w:rsidRDefault="00CE444C">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r>
      <w:tr w:rsidR="00CE444C" w14:paraId="6CC9931A" w14:textId="77777777">
        <w:trPr>
          <w:jc w:val="center"/>
        </w:trPr>
        <w:tc>
          <w:tcPr>
            <w:cnfStyle w:val="001000000000" w:firstRow="0" w:lastRow="0" w:firstColumn="1" w:lastColumn="0" w:oddVBand="0" w:evenVBand="0" w:oddHBand="0" w:evenHBand="0" w:firstRowFirstColumn="0" w:firstRowLastColumn="0" w:lastRowFirstColumn="0" w:lastRowLastColumn="0"/>
            <w:tcW w:w="2133" w:type="dxa"/>
            <w:vMerge w:val="restart"/>
            <w:tcBorders>
              <w:top w:val="nil"/>
              <w:left w:val="nil"/>
              <w:bottom w:val="nil"/>
              <w:right w:val="nil"/>
            </w:tcBorders>
          </w:tcPr>
          <w:p w14:paraId="3D17D32D" w14:textId="77777777" w:rsidR="00CE444C" w:rsidRDefault="00F117BE">
            <w:pPr>
              <w:spacing w:after="0" w:line="360" w:lineRule="auto"/>
              <w:jc w:val="both"/>
              <w:rPr>
                <w:rFonts w:eastAsia="Calibri"/>
                <w:b w:val="0"/>
                <w:bCs w:val="0"/>
                <w:sz w:val="24"/>
                <w:szCs w:val="24"/>
                <w:lang w:eastAsia="zh-CN"/>
              </w:rPr>
            </w:pPr>
            <w:r>
              <w:rPr>
                <w:rFonts w:eastAsia="Calibri"/>
                <w:b w:val="0"/>
                <w:bCs w:val="0"/>
                <w:sz w:val="24"/>
                <w:szCs w:val="24"/>
                <w:lang w:eastAsia="zh-CN"/>
              </w:rPr>
              <w:t>Hypovolemic shock</w:t>
            </w:r>
          </w:p>
        </w:tc>
        <w:tc>
          <w:tcPr>
            <w:tcW w:w="783" w:type="dxa"/>
            <w:tcBorders>
              <w:top w:val="nil"/>
              <w:left w:val="nil"/>
              <w:bottom w:val="nil"/>
              <w:right w:val="nil"/>
            </w:tcBorders>
            <w:vAlign w:val="center"/>
          </w:tcPr>
          <w:p w14:paraId="560D2BEE" w14:textId="77777777" w:rsidR="00CE444C" w:rsidRDefault="00F117BE">
            <w:pPr>
              <w:spacing w:after="0" w:line="36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Yes</w:t>
            </w:r>
          </w:p>
        </w:tc>
        <w:tc>
          <w:tcPr>
            <w:tcW w:w="1349" w:type="dxa"/>
            <w:tcBorders>
              <w:top w:val="nil"/>
              <w:left w:val="nil"/>
              <w:bottom w:val="nil"/>
              <w:right w:val="nil"/>
            </w:tcBorders>
            <w:vAlign w:val="center"/>
          </w:tcPr>
          <w:p w14:paraId="525B2758"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16(36,36)</w:t>
            </w:r>
          </w:p>
        </w:tc>
        <w:tc>
          <w:tcPr>
            <w:tcW w:w="1349" w:type="dxa"/>
            <w:tcBorders>
              <w:top w:val="nil"/>
              <w:left w:val="nil"/>
              <w:bottom w:val="nil"/>
              <w:right w:val="nil"/>
            </w:tcBorders>
            <w:vAlign w:val="center"/>
          </w:tcPr>
          <w:p w14:paraId="0E014BAA"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28(63,64)</w:t>
            </w:r>
          </w:p>
        </w:tc>
        <w:tc>
          <w:tcPr>
            <w:tcW w:w="925" w:type="dxa"/>
            <w:vMerge w:val="restart"/>
            <w:tcBorders>
              <w:top w:val="nil"/>
              <w:left w:val="nil"/>
              <w:bottom w:val="nil"/>
              <w:right w:val="nil"/>
            </w:tcBorders>
            <w:vAlign w:val="center"/>
          </w:tcPr>
          <w:p w14:paraId="62C0736D"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31,80</w:t>
            </w:r>
          </w:p>
        </w:tc>
        <w:tc>
          <w:tcPr>
            <w:tcW w:w="934" w:type="dxa"/>
            <w:vMerge w:val="restart"/>
            <w:tcBorders>
              <w:top w:val="nil"/>
              <w:left w:val="nil"/>
              <w:bottom w:val="nil"/>
              <w:right w:val="nil"/>
            </w:tcBorders>
            <w:vAlign w:val="center"/>
          </w:tcPr>
          <w:p w14:paraId="0C18FF0F"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0,000</w:t>
            </w:r>
          </w:p>
        </w:tc>
        <w:tc>
          <w:tcPr>
            <w:tcW w:w="730" w:type="dxa"/>
            <w:vMerge w:val="restart"/>
            <w:tcBorders>
              <w:top w:val="nil"/>
              <w:left w:val="nil"/>
              <w:bottom w:val="nil"/>
              <w:right w:val="nil"/>
            </w:tcBorders>
            <w:vAlign w:val="center"/>
          </w:tcPr>
          <w:p w14:paraId="35FD897D"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0,11</w:t>
            </w:r>
          </w:p>
        </w:tc>
        <w:tc>
          <w:tcPr>
            <w:tcW w:w="869" w:type="dxa"/>
            <w:vMerge w:val="restart"/>
            <w:tcBorders>
              <w:top w:val="nil"/>
              <w:left w:val="nil"/>
              <w:bottom w:val="nil"/>
              <w:right w:val="nil"/>
            </w:tcBorders>
            <w:vAlign w:val="center"/>
          </w:tcPr>
          <w:p w14:paraId="5A904C3C"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0,05-0,25</w:t>
            </w:r>
          </w:p>
        </w:tc>
      </w:tr>
      <w:tr w:rsidR="00CE444C" w14:paraId="51262486"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tcPr>
          <w:p w14:paraId="0C1D4F93" w14:textId="77777777" w:rsidR="00CE444C" w:rsidRDefault="00CE444C">
            <w:pPr>
              <w:spacing w:after="0" w:line="240" w:lineRule="auto"/>
              <w:rPr>
                <w:rFonts w:eastAsia="Calibri"/>
                <w:sz w:val="24"/>
                <w:szCs w:val="24"/>
                <w:lang w:eastAsia="zh-CN"/>
              </w:rPr>
            </w:pPr>
          </w:p>
        </w:tc>
        <w:tc>
          <w:tcPr>
            <w:tcW w:w="783" w:type="dxa"/>
            <w:tcBorders>
              <w:top w:val="nil"/>
              <w:left w:val="nil"/>
              <w:bottom w:val="outset" w:sz="6" w:space="0" w:color="auto"/>
              <w:right w:val="nil"/>
            </w:tcBorders>
            <w:vAlign w:val="center"/>
          </w:tcPr>
          <w:p w14:paraId="5B826915" w14:textId="77777777" w:rsidR="00CE444C" w:rsidRDefault="00F117BE">
            <w:pPr>
              <w:spacing w:after="0" w:line="36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No</w:t>
            </w:r>
          </w:p>
        </w:tc>
        <w:tc>
          <w:tcPr>
            <w:tcW w:w="1349" w:type="dxa"/>
            <w:tcBorders>
              <w:top w:val="nil"/>
              <w:left w:val="nil"/>
              <w:bottom w:val="outset" w:sz="6" w:space="0" w:color="auto"/>
              <w:right w:val="nil"/>
            </w:tcBorders>
            <w:vAlign w:val="center"/>
          </w:tcPr>
          <w:p w14:paraId="35062AB0"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85(83,33)</w:t>
            </w:r>
          </w:p>
        </w:tc>
        <w:tc>
          <w:tcPr>
            <w:tcW w:w="1349" w:type="dxa"/>
            <w:tcBorders>
              <w:top w:val="nil"/>
              <w:left w:val="nil"/>
              <w:bottom w:val="outset" w:sz="6" w:space="0" w:color="auto"/>
              <w:right w:val="nil"/>
            </w:tcBorders>
            <w:vAlign w:val="center"/>
          </w:tcPr>
          <w:p w14:paraId="48A07688"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17(16,67)</w:t>
            </w:r>
          </w:p>
        </w:tc>
        <w:tc>
          <w:tcPr>
            <w:tcW w:w="0" w:type="auto"/>
            <w:vMerge/>
            <w:tcBorders>
              <w:top w:val="nil"/>
              <w:left w:val="nil"/>
              <w:bottom w:val="nil"/>
              <w:right w:val="nil"/>
            </w:tcBorders>
            <w:vAlign w:val="center"/>
          </w:tcPr>
          <w:p w14:paraId="4EF01C04" w14:textId="77777777" w:rsidR="00CE444C" w:rsidRDefault="00CE444C">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c>
          <w:tcPr>
            <w:tcW w:w="0" w:type="auto"/>
            <w:vMerge/>
            <w:tcBorders>
              <w:top w:val="nil"/>
              <w:left w:val="nil"/>
              <w:bottom w:val="nil"/>
              <w:right w:val="nil"/>
            </w:tcBorders>
            <w:vAlign w:val="center"/>
          </w:tcPr>
          <w:p w14:paraId="6C6FB2C5" w14:textId="77777777" w:rsidR="00CE444C" w:rsidRDefault="00CE444C">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c>
          <w:tcPr>
            <w:tcW w:w="0" w:type="auto"/>
            <w:vMerge/>
            <w:tcBorders>
              <w:top w:val="nil"/>
              <w:left w:val="nil"/>
              <w:bottom w:val="nil"/>
              <w:right w:val="nil"/>
            </w:tcBorders>
            <w:vAlign w:val="center"/>
          </w:tcPr>
          <w:p w14:paraId="142A304C" w14:textId="77777777" w:rsidR="00CE444C" w:rsidRDefault="00CE444C">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c>
          <w:tcPr>
            <w:tcW w:w="0" w:type="auto"/>
            <w:vMerge/>
            <w:tcBorders>
              <w:top w:val="nil"/>
              <w:left w:val="nil"/>
              <w:bottom w:val="nil"/>
              <w:right w:val="nil"/>
            </w:tcBorders>
            <w:vAlign w:val="center"/>
          </w:tcPr>
          <w:p w14:paraId="318B897C" w14:textId="77777777" w:rsidR="00CE444C" w:rsidRDefault="00CE444C">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r>
      <w:tr w:rsidR="00CE444C" w14:paraId="75959500" w14:textId="77777777">
        <w:trPr>
          <w:jc w:val="center"/>
        </w:trPr>
        <w:tc>
          <w:tcPr>
            <w:cnfStyle w:val="001000000000" w:firstRow="0" w:lastRow="0" w:firstColumn="1" w:lastColumn="0" w:oddVBand="0" w:evenVBand="0" w:oddHBand="0" w:evenHBand="0" w:firstRowFirstColumn="0" w:firstRowLastColumn="0" w:lastRowFirstColumn="0" w:lastRowLastColumn="0"/>
            <w:tcW w:w="2133" w:type="dxa"/>
            <w:vMerge w:val="restart"/>
            <w:tcBorders>
              <w:top w:val="nil"/>
              <w:left w:val="nil"/>
              <w:bottom w:val="nil"/>
              <w:right w:val="nil"/>
            </w:tcBorders>
          </w:tcPr>
          <w:p w14:paraId="3F5417A6" w14:textId="77777777" w:rsidR="00CE444C" w:rsidRDefault="00F117BE">
            <w:pPr>
              <w:spacing w:after="0" w:line="360" w:lineRule="auto"/>
              <w:jc w:val="both"/>
              <w:rPr>
                <w:rFonts w:eastAsia="Calibri"/>
                <w:b w:val="0"/>
                <w:bCs w:val="0"/>
                <w:sz w:val="24"/>
                <w:szCs w:val="24"/>
                <w:lang w:eastAsia="zh-CN"/>
              </w:rPr>
            </w:pPr>
            <w:r>
              <w:rPr>
                <w:rFonts w:eastAsia="Calibri"/>
                <w:b w:val="0"/>
                <w:bCs w:val="0"/>
                <w:sz w:val="24"/>
                <w:szCs w:val="24"/>
                <w:lang w:eastAsia="zh-CN"/>
              </w:rPr>
              <w:t>Septic shock</w:t>
            </w:r>
          </w:p>
        </w:tc>
        <w:tc>
          <w:tcPr>
            <w:tcW w:w="783" w:type="dxa"/>
            <w:tcBorders>
              <w:top w:val="nil"/>
              <w:left w:val="nil"/>
              <w:bottom w:val="nil"/>
              <w:right w:val="nil"/>
            </w:tcBorders>
            <w:vAlign w:val="center"/>
          </w:tcPr>
          <w:p w14:paraId="181C1585" w14:textId="77777777" w:rsidR="00CE444C" w:rsidRDefault="00F117BE">
            <w:pPr>
              <w:spacing w:after="0" w:line="36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Yes</w:t>
            </w:r>
          </w:p>
        </w:tc>
        <w:tc>
          <w:tcPr>
            <w:tcW w:w="1349" w:type="dxa"/>
            <w:tcBorders>
              <w:top w:val="nil"/>
              <w:left w:val="nil"/>
              <w:bottom w:val="nil"/>
              <w:right w:val="nil"/>
            </w:tcBorders>
            <w:vAlign w:val="center"/>
          </w:tcPr>
          <w:p w14:paraId="08725D78"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64(83,12)</w:t>
            </w:r>
          </w:p>
        </w:tc>
        <w:tc>
          <w:tcPr>
            <w:tcW w:w="1349" w:type="dxa"/>
            <w:tcBorders>
              <w:top w:val="nil"/>
              <w:left w:val="nil"/>
              <w:bottom w:val="nil"/>
              <w:right w:val="nil"/>
            </w:tcBorders>
            <w:vAlign w:val="center"/>
          </w:tcPr>
          <w:p w14:paraId="26788961"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13(16,88)</w:t>
            </w:r>
          </w:p>
        </w:tc>
        <w:tc>
          <w:tcPr>
            <w:tcW w:w="925" w:type="dxa"/>
            <w:vMerge w:val="restart"/>
            <w:tcBorders>
              <w:top w:val="nil"/>
              <w:left w:val="nil"/>
              <w:bottom w:val="nil"/>
              <w:right w:val="nil"/>
            </w:tcBorders>
            <w:vAlign w:val="center"/>
          </w:tcPr>
          <w:p w14:paraId="793B1E55"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14,84</w:t>
            </w:r>
          </w:p>
        </w:tc>
        <w:tc>
          <w:tcPr>
            <w:tcW w:w="934" w:type="dxa"/>
            <w:vMerge w:val="restart"/>
            <w:tcBorders>
              <w:top w:val="nil"/>
              <w:left w:val="nil"/>
              <w:bottom w:val="nil"/>
              <w:right w:val="nil"/>
            </w:tcBorders>
            <w:vAlign w:val="center"/>
          </w:tcPr>
          <w:p w14:paraId="6C07A9BF"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0,00</w:t>
            </w:r>
          </w:p>
        </w:tc>
        <w:tc>
          <w:tcPr>
            <w:tcW w:w="730" w:type="dxa"/>
            <w:vMerge w:val="restart"/>
            <w:tcBorders>
              <w:top w:val="nil"/>
              <w:left w:val="nil"/>
              <w:bottom w:val="nil"/>
              <w:right w:val="nil"/>
            </w:tcBorders>
            <w:vAlign w:val="center"/>
          </w:tcPr>
          <w:p w14:paraId="7D0802CA"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4,36</w:t>
            </w:r>
          </w:p>
        </w:tc>
        <w:tc>
          <w:tcPr>
            <w:tcW w:w="869" w:type="dxa"/>
            <w:vMerge w:val="restart"/>
            <w:tcBorders>
              <w:top w:val="nil"/>
              <w:left w:val="nil"/>
              <w:bottom w:val="nil"/>
              <w:right w:val="nil"/>
            </w:tcBorders>
            <w:vAlign w:val="center"/>
          </w:tcPr>
          <w:p w14:paraId="375FE9B5"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1,99-9,11)</w:t>
            </w:r>
          </w:p>
        </w:tc>
      </w:tr>
      <w:tr w:rsidR="00CE444C" w14:paraId="311821E4"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tcPr>
          <w:p w14:paraId="06820F73" w14:textId="77777777" w:rsidR="00CE444C" w:rsidRDefault="00CE444C">
            <w:pPr>
              <w:spacing w:after="0" w:line="240" w:lineRule="auto"/>
              <w:rPr>
                <w:rFonts w:eastAsia="Calibri"/>
                <w:sz w:val="24"/>
                <w:szCs w:val="24"/>
                <w:lang w:eastAsia="zh-CN"/>
              </w:rPr>
            </w:pPr>
          </w:p>
        </w:tc>
        <w:tc>
          <w:tcPr>
            <w:tcW w:w="783" w:type="dxa"/>
            <w:tcBorders>
              <w:top w:val="nil"/>
              <w:left w:val="nil"/>
              <w:bottom w:val="outset" w:sz="6" w:space="0" w:color="auto"/>
              <w:right w:val="nil"/>
            </w:tcBorders>
            <w:vAlign w:val="center"/>
          </w:tcPr>
          <w:p w14:paraId="4697585D" w14:textId="77777777" w:rsidR="00CE444C" w:rsidRDefault="00F117BE">
            <w:pPr>
              <w:spacing w:after="0" w:line="36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Non</w:t>
            </w:r>
          </w:p>
        </w:tc>
        <w:tc>
          <w:tcPr>
            <w:tcW w:w="1349" w:type="dxa"/>
            <w:tcBorders>
              <w:top w:val="nil"/>
              <w:left w:val="nil"/>
              <w:bottom w:val="outset" w:sz="6" w:space="0" w:color="auto"/>
              <w:right w:val="nil"/>
            </w:tcBorders>
            <w:vAlign w:val="center"/>
          </w:tcPr>
          <w:p w14:paraId="3725BA5B"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37(53,62)</w:t>
            </w:r>
          </w:p>
        </w:tc>
        <w:tc>
          <w:tcPr>
            <w:tcW w:w="1349" w:type="dxa"/>
            <w:tcBorders>
              <w:top w:val="nil"/>
              <w:left w:val="nil"/>
              <w:bottom w:val="outset" w:sz="6" w:space="0" w:color="auto"/>
              <w:right w:val="nil"/>
            </w:tcBorders>
            <w:vAlign w:val="center"/>
          </w:tcPr>
          <w:p w14:paraId="3D6B1558"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32(46,38)</w:t>
            </w:r>
          </w:p>
        </w:tc>
        <w:tc>
          <w:tcPr>
            <w:tcW w:w="0" w:type="auto"/>
            <w:vMerge/>
            <w:tcBorders>
              <w:top w:val="nil"/>
              <w:left w:val="nil"/>
              <w:bottom w:val="nil"/>
              <w:right w:val="nil"/>
            </w:tcBorders>
            <w:vAlign w:val="center"/>
          </w:tcPr>
          <w:p w14:paraId="501E941B" w14:textId="77777777" w:rsidR="00CE444C" w:rsidRDefault="00CE444C">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c>
          <w:tcPr>
            <w:tcW w:w="0" w:type="auto"/>
            <w:vMerge/>
            <w:tcBorders>
              <w:top w:val="nil"/>
              <w:left w:val="nil"/>
              <w:bottom w:val="nil"/>
              <w:right w:val="nil"/>
            </w:tcBorders>
            <w:vAlign w:val="center"/>
          </w:tcPr>
          <w:p w14:paraId="4024A00F" w14:textId="77777777" w:rsidR="00CE444C" w:rsidRDefault="00CE444C">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c>
          <w:tcPr>
            <w:tcW w:w="0" w:type="auto"/>
            <w:vMerge/>
            <w:tcBorders>
              <w:top w:val="nil"/>
              <w:left w:val="nil"/>
              <w:bottom w:val="nil"/>
              <w:right w:val="nil"/>
            </w:tcBorders>
            <w:vAlign w:val="center"/>
          </w:tcPr>
          <w:p w14:paraId="581D2787" w14:textId="77777777" w:rsidR="00CE444C" w:rsidRDefault="00CE444C">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c>
          <w:tcPr>
            <w:tcW w:w="0" w:type="auto"/>
            <w:vMerge/>
            <w:tcBorders>
              <w:top w:val="nil"/>
              <w:left w:val="nil"/>
              <w:bottom w:val="nil"/>
              <w:right w:val="nil"/>
            </w:tcBorders>
            <w:vAlign w:val="center"/>
          </w:tcPr>
          <w:p w14:paraId="71825C34" w14:textId="77777777" w:rsidR="00CE444C" w:rsidRDefault="00CE444C">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r>
      <w:tr w:rsidR="00CE444C" w14:paraId="341AB3C3" w14:textId="77777777">
        <w:trPr>
          <w:jc w:val="center"/>
        </w:trPr>
        <w:tc>
          <w:tcPr>
            <w:cnfStyle w:val="001000000000" w:firstRow="0" w:lastRow="0" w:firstColumn="1" w:lastColumn="0" w:oddVBand="0" w:evenVBand="0" w:oddHBand="0" w:evenHBand="0" w:firstRowFirstColumn="0" w:firstRowLastColumn="0" w:lastRowFirstColumn="0" w:lastRowLastColumn="0"/>
            <w:tcW w:w="2133" w:type="dxa"/>
            <w:vMerge w:val="restart"/>
            <w:tcBorders>
              <w:top w:val="nil"/>
              <w:left w:val="nil"/>
              <w:bottom w:val="nil"/>
              <w:right w:val="nil"/>
            </w:tcBorders>
          </w:tcPr>
          <w:p w14:paraId="05D8E9FE" w14:textId="77777777" w:rsidR="00CE444C" w:rsidRDefault="00F117BE">
            <w:pPr>
              <w:spacing w:after="0" w:line="360" w:lineRule="auto"/>
              <w:jc w:val="both"/>
              <w:rPr>
                <w:rFonts w:eastAsiaTheme="minorEastAsia"/>
                <w:b w:val="0"/>
                <w:bCs w:val="0"/>
                <w:sz w:val="24"/>
                <w:szCs w:val="24"/>
                <w:lang w:eastAsia="zh-CN"/>
              </w:rPr>
            </w:pPr>
            <w:r>
              <w:rPr>
                <w:rFonts w:eastAsia="Calibri"/>
                <w:b w:val="0"/>
                <w:bCs w:val="0"/>
                <w:sz w:val="24"/>
                <w:szCs w:val="24"/>
                <w:lang w:eastAsia="zh-CN"/>
              </w:rPr>
              <w:t>Septic shock with cardiac failure</w:t>
            </w:r>
          </w:p>
        </w:tc>
        <w:tc>
          <w:tcPr>
            <w:tcW w:w="783" w:type="dxa"/>
            <w:tcBorders>
              <w:top w:val="nil"/>
              <w:left w:val="nil"/>
              <w:bottom w:val="nil"/>
              <w:right w:val="nil"/>
            </w:tcBorders>
            <w:vAlign w:val="center"/>
          </w:tcPr>
          <w:p w14:paraId="6D9577A8" w14:textId="77777777" w:rsidR="00CE444C" w:rsidRDefault="00F117BE">
            <w:pPr>
              <w:spacing w:after="0" w:line="36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Yes</w:t>
            </w:r>
          </w:p>
        </w:tc>
        <w:tc>
          <w:tcPr>
            <w:tcW w:w="1349" w:type="dxa"/>
            <w:tcBorders>
              <w:top w:val="nil"/>
              <w:left w:val="nil"/>
              <w:bottom w:val="nil"/>
              <w:right w:val="nil"/>
            </w:tcBorders>
            <w:vAlign w:val="center"/>
          </w:tcPr>
          <w:p w14:paraId="1A1C65B0"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sz w:val="24"/>
                <w:szCs w:val="24"/>
                <w:lang w:eastAsia="zh-CN"/>
              </w:rPr>
              <w:t>5(100)</w:t>
            </w:r>
          </w:p>
        </w:tc>
        <w:tc>
          <w:tcPr>
            <w:tcW w:w="1349" w:type="dxa"/>
            <w:tcBorders>
              <w:top w:val="nil"/>
              <w:left w:val="nil"/>
              <w:bottom w:val="nil"/>
              <w:right w:val="nil"/>
            </w:tcBorders>
            <w:vAlign w:val="center"/>
          </w:tcPr>
          <w:p w14:paraId="4E75DBF1"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sz w:val="24"/>
                <w:szCs w:val="24"/>
                <w:lang w:eastAsia="zh-CN"/>
              </w:rPr>
              <w:t>0(0)</w:t>
            </w:r>
          </w:p>
        </w:tc>
        <w:tc>
          <w:tcPr>
            <w:tcW w:w="925" w:type="dxa"/>
            <w:vMerge w:val="restart"/>
            <w:tcBorders>
              <w:top w:val="nil"/>
              <w:left w:val="nil"/>
              <w:bottom w:val="nil"/>
              <w:right w:val="nil"/>
            </w:tcBorders>
            <w:vAlign w:val="center"/>
          </w:tcPr>
          <w:p w14:paraId="1A837F93"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sz w:val="24"/>
                <w:szCs w:val="24"/>
                <w:lang w:eastAsia="zh-CN"/>
              </w:rPr>
              <w:t>2,31</w:t>
            </w:r>
          </w:p>
        </w:tc>
        <w:tc>
          <w:tcPr>
            <w:tcW w:w="934" w:type="dxa"/>
            <w:vMerge w:val="restart"/>
            <w:tcBorders>
              <w:top w:val="nil"/>
              <w:left w:val="nil"/>
              <w:bottom w:val="nil"/>
              <w:right w:val="nil"/>
            </w:tcBorders>
            <w:vAlign w:val="center"/>
          </w:tcPr>
          <w:p w14:paraId="41C1E7C5"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sz w:val="24"/>
                <w:szCs w:val="24"/>
                <w:lang w:eastAsia="zh-CN"/>
              </w:rPr>
              <w:t>0,13</w:t>
            </w:r>
          </w:p>
        </w:tc>
        <w:tc>
          <w:tcPr>
            <w:tcW w:w="730" w:type="dxa"/>
            <w:vMerge w:val="restart"/>
            <w:tcBorders>
              <w:top w:val="nil"/>
              <w:left w:val="nil"/>
              <w:bottom w:val="nil"/>
              <w:right w:val="nil"/>
            </w:tcBorders>
            <w:vAlign w:val="center"/>
          </w:tcPr>
          <w:p w14:paraId="46E54157"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sz w:val="24"/>
                <w:szCs w:val="24"/>
                <w:lang w:eastAsia="zh-CN"/>
              </w:rPr>
              <w:t>ND</w:t>
            </w:r>
          </w:p>
        </w:tc>
        <w:tc>
          <w:tcPr>
            <w:tcW w:w="869" w:type="dxa"/>
            <w:vMerge w:val="restart"/>
            <w:tcBorders>
              <w:top w:val="nil"/>
              <w:left w:val="nil"/>
              <w:bottom w:val="nil"/>
              <w:right w:val="nil"/>
            </w:tcBorders>
            <w:vAlign w:val="center"/>
          </w:tcPr>
          <w:p w14:paraId="6408791A"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sz w:val="24"/>
                <w:szCs w:val="24"/>
                <w:lang w:eastAsia="zh-CN"/>
              </w:rPr>
              <w:t>ND</w:t>
            </w:r>
          </w:p>
        </w:tc>
      </w:tr>
      <w:tr w:rsidR="00CE444C" w14:paraId="2C407D2C"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tcPr>
          <w:p w14:paraId="7F6F0718" w14:textId="77777777" w:rsidR="00CE444C" w:rsidRDefault="00CE444C">
            <w:pPr>
              <w:spacing w:after="0" w:line="240" w:lineRule="auto"/>
              <w:rPr>
                <w:rFonts w:eastAsia="Calibri"/>
                <w:sz w:val="24"/>
                <w:szCs w:val="24"/>
                <w:lang w:eastAsia="zh-CN"/>
              </w:rPr>
            </w:pPr>
          </w:p>
        </w:tc>
        <w:tc>
          <w:tcPr>
            <w:tcW w:w="783" w:type="dxa"/>
            <w:tcBorders>
              <w:top w:val="nil"/>
              <w:left w:val="nil"/>
              <w:bottom w:val="outset" w:sz="6" w:space="0" w:color="auto"/>
              <w:right w:val="nil"/>
            </w:tcBorders>
            <w:vAlign w:val="center"/>
          </w:tcPr>
          <w:p w14:paraId="617019F4" w14:textId="77777777" w:rsidR="00CE444C" w:rsidRDefault="00F117BE">
            <w:pPr>
              <w:spacing w:after="0" w:line="36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No</w:t>
            </w:r>
          </w:p>
        </w:tc>
        <w:tc>
          <w:tcPr>
            <w:tcW w:w="1349" w:type="dxa"/>
            <w:tcBorders>
              <w:top w:val="nil"/>
              <w:left w:val="nil"/>
              <w:bottom w:val="outset" w:sz="6" w:space="0" w:color="auto"/>
              <w:right w:val="nil"/>
            </w:tcBorders>
            <w:vAlign w:val="center"/>
          </w:tcPr>
          <w:p w14:paraId="24A097C2"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sz w:val="24"/>
                <w:szCs w:val="24"/>
                <w:lang w:eastAsia="zh-CN"/>
              </w:rPr>
              <w:t>96(68,09)</w:t>
            </w:r>
          </w:p>
        </w:tc>
        <w:tc>
          <w:tcPr>
            <w:tcW w:w="1349" w:type="dxa"/>
            <w:tcBorders>
              <w:top w:val="nil"/>
              <w:left w:val="nil"/>
              <w:bottom w:val="outset" w:sz="6" w:space="0" w:color="auto"/>
              <w:right w:val="nil"/>
            </w:tcBorders>
            <w:vAlign w:val="center"/>
          </w:tcPr>
          <w:p w14:paraId="3FEAB974" w14:textId="77777777" w:rsidR="00CE444C" w:rsidRDefault="00F117B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sz w:val="24"/>
                <w:szCs w:val="24"/>
                <w:lang w:eastAsia="zh-CN"/>
              </w:rPr>
              <w:t>45(31,91)</w:t>
            </w:r>
          </w:p>
        </w:tc>
        <w:tc>
          <w:tcPr>
            <w:tcW w:w="0" w:type="auto"/>
            <w:vMerge/>
            <w:tcBorders>
              <w:top w:val="nil"/>
              <w:left w:val="nil"/>
              <w:bottom w:val="nil"/>
              <w:right w:val="nil"/>
            </w:tcBorders>
            <w:vAlign w:val="center"/>
          </w:tcPr>
          <w:p w14:paraId="2AD97806" w14:textId="77777777" w:rsidR="00CE444C" w:rsidRDefault="00CE444C">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p>
        </w:tc>
        <w:tc>
          <w:tcPr>
            <w:tcW w:w="0" w:type="auto"/>
            <w:vMerge/>
            <w:tcBorders>
              <w:top w:val="nil"/>
              <w:left w:val="nil"/>
              <w:bottom w:val="nil"/>
              <w:right w:val="nil"/>
            </w:tcBorders>
            <w:vAlign w:val="center"/>
          </w:tcPr>
          <w:p w14:paraId="73DE52B2" w14:textId="77777777" w:rsidR="00CE444C" w:rsidRDefault="00CE444C">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p>
        </w:tc>
        <w:tc>
          <w:tcPr>
            <w:tcW w:w="0" w:type="auto"/>
            <w:vMerge/>
            <w:tcBorders>
              <w:top w:val="nil"/>
              <w:left w:val="nil"/>
              <w:bottom w:val="nil"/>
              <w:right w:val="nil"/>
            </w:tcBorders>
            <w:vAlign w:val="center"/>
          </w:tcPr>
          <w:p w14:paraId="331772AC" w14:textId="77777777" w:rsidR="00CE444C" w:rsidRDefault="00CE444C">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p>
        </w:tc>
        <w:tc>
          <w:tcPr>
            <w:tcW w:w="0" w:type="auto"/>
            <w:vMerge/>
            <w:tcBorders>
              <w:top w:val="nil"/>
              <w:left w:val="nil"/>
              <w:bottom w:val="nil"/>
              <w:right w:val="nil"/>
            </w:tcBorders>
            <w:vAlign w:val="center"/>
          </w:tcPr>
          <w:p w14:paraId="2596FBA4" w14:textId="77777777" w:rsidR="00CE444C" w:rsidRDefault="00CE444C">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p>
        </w:tc>
      </w:tr>
    </w:tbl>
    <w:p w14:paraId="410EDC79" w14:textId="77777777" w:rsidR="00CE444C" w:rsidRDefault="00CE444C">
      <w:pPr>
        <w:tabs>
          <w:tab w:val="left" w:pos="3230"/>
        </w:tabs>
        <w:rPr>
          <w:sz w:val="24"/>
          <w:szCs w:val="24"/>
          <w:lang w:val="fr-FR"/>
        </w:rPr>
      </w:pPr>
    </w:p>
    <w:sectPr w:rsidR="00CE444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2D950" w14:textId="77777777" w:rsidR="00F117BE" w:rsidRDefault="00F117BE">
      <w:pPr>
        <w:spacing w:line="240" w:lineRule="auto"/>
      </w:pPr>
      <w:r>
        <w:separator/>
      </w:r>
    </w:p>
  </w:endnote>
  <w:endnote w:type="continuationSeparator" w:id="0">
    <w:p w14:paraId="08DFC78E" w14:textId="77777777" w:rsidR="00F117BE" w:rsidRDefault="00F117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8D3B0" w14:textId="77777777" w:rsidR="00A578D2" w:rsidRDefault="00A57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D5D1B" w14:textId="77777777" w:rsidR="00A578D2" w:rsidRDefault="00A578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DF0F" w14:textId="77777777" w:rsidR="00A578D2" w:rsidRDefault="00A57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AE604" w14:textId="77777777" w:rsidR="00F117BE" w:rsidRDefault="00F117BE">
      <w:pPr>
        <w:spacing w:after="0"/>
      </w:pPr>
      <w:r>
        <w:separator/>
      </w:r>
    </w:p>
  </w:footnote>
  <w:footnote w:type="continuationSeparator" w:id="0">
    <w:p w14:paraId="6F3E7F84" w14:textId="77777777" w:rsidR="00F117BE" w:rsidRDefault="00F117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5DD3" w14:textId="3CF57627" w:rsidR="00A578D2" w:rsidRDefault="00A578D2">
    <w:pPr>
      <w:pStyle w:val="Header"/>
    </w:pPr>
    <w:r>
      <w:rPr>
        <w:noProof/>
      </w:rPr>
      <w:pict w14:anchorId="14AFF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85516"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63771" w14:textId="09D1CAE8" w:rsidR="00A578D2" w:rsidRDefault="00A578D2">
    <w:pPr>
      <w:pStyle w:val="Header"/>
    </w:pPr>
    <w:r>
      <w:rPr>
        <w:noProof/>
      </w:rPr>
      <w:pict w14:anchorId="6CC98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85517"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FB262" w14:textId="1DE30EB5" w:rsidR="00A578D2" w:rsidRDefault="00A578D2">
    <w:pPr>
      <w:pStyle w:val="Header"/>
    </w:pPr>
    <w:r>
      <w:rPr>
        <w:noProof/>
      </w:rPr>
      <w:pict w14:anchorId="64369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85515"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447"/>
    <w:multiLevelType w:val="multilevel"/>
    <w:tmpl w:val="027F644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0670BEF"/>
    <w:multiLevelType w:val="multilevel"/>
    <w:tmpl w:val="30670BE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8F44B32"/>
    <w:multiLevelType w:val="multilevel"/>
    <w:tmpl w:val="58F44B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BB1462"/>
    <w:multiLevelType w:val="multilevel"/>
    <w:tmpl w:val="70BB14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1BA2B10"/>
    <w:multiLevelType w:val="multilevel"/>
    <w:tmpl w:val="71BA2B1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CB"/>
    <w:rsid w:val="00000401"/>
    <w:rsid w:val="00014A37"/>
    <w:rsid w:val="000406D8"/>
    <w:rsid w:val="0004432C"/>
    <w:rsid w:val="0006087B"/>
    <w:rsid w:val="00071DA0"/>
    <w:rsid w:val="0008055D"/>
    <w:rsid w:val="00092A98"/>
    <w:rsid w:val="000957CB"/>
    <w:rsid w:val="000A207C"/>
    <w:rsid w:val="000C0A9D"/>
    <w:rsid w:val="000E4E2E"/>
    <w:rsid w:val="000F19F5"/>
    <w:rsid w:val="00111DCB"/>
    <w:rsid w:val="00127713"/>
    <w:rsid w:val="00140940"/>
    <w:rsid w:val="001410BE"/>
    <w:rsid w:val="0014378E"/>
    <w:rsid w:val="00143BEB"/>
    <w:rsid w:val="0014413F"/>
    <w:rsid w:val="00157E84"/>
    <w:rsid w:val="001743C0"/>
    <w:rsid w:val="00186CA4"/>
    <w:rsid w:val="00187848"/>
    <w:rsid w:val="001A11ED"/>
    <w:rsid w:val="001A5DB2"/>
    <w:rsid w:val="001B220F"/>
    <w:rsid w:val="001B2324"/>
    <w:rsid w:val="001C51E1"/>
    <w:rsid w:val="001D6E27"/>
    <w:rsid w:val="001E5DA8"/>
    <w:rsid w:val="001F0EBF"/>
    <w:rsid w:val="001F2D36"/>
    <w:rsid w:val="00212377"/>
    <w:rsid w:val="00243FBC"/>
    <w:rsid w:val="00247815"/>
    <w:rsid w:val="00256377"/>
    <w:rsid w:val="002632C1"/>
    <w:rsid w:val="002A2848"/>
    <w:rsid w:val="002A38B7"/>
    <w:rsid w:val="002B5605"/>
    <w:rsid w:val="002B792B"/>
    <w:rsid w:val="002D295B"/>
    <w:rsid w:val="002E4481"/>
    <w:rsid w:val="002F28A5"/>
    <w:rsid w:val="002F6637"/>
    <w:rsid w:val="00300F00"/>
    <w:rsid w:val="0030508C"/>
    <w:rsid w:val="0030600E"/>
    <w:rsid w:val="00306082"/>
    <w:rsid w:val="003160A6"/>
    <w:rsid w:val="00344373"/>
    <w:rsid w:val="00356C3F"/>
    <w:rsid w:val="00362A96"/>
    <w:rsid w:val="003632EB"/>
    <w:rsid w:val="003644F9"/>
    <w:rsid w:val="00373165"/>
    <w:rsid w:val="00390656"/>
    <w:rsid w:val="003A2A5D"/>
    <w:rsid w:val="003A768D"/>
    <w:rsid w:val="003B19B7"/>
    <w:rsid w:val="003B6A0E"/>
    <w:rsid w:val="003E0CCC"/>
    <w:rsid w:val="003E3C96"/>
    <w:rsid w:val="003E455A"/>
    <w:rsid w:val="004016D4"/>
    <w:rsid w:val="00402557"/>
    <w:rsid w:val="004041D1"/>
    <w:rsid w:val="0041218F"/>
    <w:rsid w:val="00413143"/>
    <w:rsid w:val="00420B8A"/>
    <w:rsid w:val="00444A96"/>
    <w:rsid w:val="00462EC1"/>
    <w:rsid w:val="00471DC6"/>
    <w:rsid w:val="00482C41"/>
    <w:rsid w:val="004979F3"/>
    <w:rsid w:val="004A1451"/>
    <w:rsid w:val="004B6BF7"/>
    <w:rsid w:val="004C0C91"/>
    <w:rsid w:val="004C10E2"/>
    <w:rsid w:val="004D6E1F"/>
    <w:rsid w:val="004E21C9"/>
    <w:rsid w:val="004E2D71"/>
    <w:rsid w:val="004F0AD4"/>
    <w:rsid w:val="0050031D"/>
    <w:rsid w:val="005014B4"/>
    <w:rsid w:val="005025F6"/>
    <w:rsid w:val="0051341C"/>
    <w:rsid w:val="00514DEB"/>
    <w:rsid w:val="00522C9A"/>
    <w:rsid w:val="0053130B"/>
    <w:rsid w:val="00542589"/>
    <w:rsid w:val="00573F7A"/>
    <w:rsid w:val="00574AE4"/>
    <w:rsid w:val="0059434D"/>
    <w:rsid w:val="005C1F41"/>
    <w:rsid w:val="005D47AE"/>
    <w:rsid w:val="005E4ABB"/>
    <w:rsid w:val="005F3900"/>
    <w:rsid w:val="005F5900"/>
    <w:rsid w:val="006012C5"/>
    <w:rsid w:val="006076A0"/>
    <w:rsid w:val="0061299E"/>
    <w:rsid w:val="006215CE"/>
    <w:rsid w:val="006311E1"/>
    <w:rsid w:val="00657A3B"/>
    <w:rsid w:val="0067150B"/>
    <w:rsid w:val="00673E8F"/>
    <w:rsid w:val="0067433A"/>
    <w:rsid w:val="006758BC"/>
    <w:rsid w:val="00682318"/>
    <w:rsid w:val="006B085B"/>
    <w:rsid w:val="006B1F58"/>
    <w:rsid w:val="006E2379"/>
    <w:rsid w:val="006E3A63"/>
    <w:rsid w:val="00723823"/>
    <w:rsid w:val="00732ECF"/>
    <w:rsid w:val="00737A43"/>
    <w:rsid w:val="00741CA8"/>
    <w:rsid w:val="00752DDE"/>
    <w:rsid w:val="007603CB"/>
    <w:rsid w:val="00770690"/>
    <w:rsid w:val="00773E91"/>
    <w:rsid w:val="00776964"/>
    <w:rsid w:val="00786B06"/>
    <w:rsid w:val="007A2031"/>
    <w:rsid w:val="007A5EB6"/>
    <w:rsid w:val="007B75D9"/>
    <w:rsid w:val="007C4052"/>
    <w:rsid w:val="007C438C"/>
    <w:rsid w:val="007D118D"/>
    <w:rsid w:val="007D18E0"/>
    <w:rsid w:val="007D4774"/>
    <w:rsid w:val="007E6F88"/>
    <w:rsid w:val="007E78E9"/>
    <w:rsid w:val="007F5445"/>
    <w:rsid w:val="00804590"/>
    <w:rsid w:val="00812F99"/>
    <w:rsid w:val="008162F1"/>
    <w:rsid w:val="0081670F"/>
    <w:rsid w:val="00820A56"/>
    <w:rsid w:val="00823324"/>
    <w:rsid w:val="00841ED6"/>
    <w:rsid w:val="00842C99"/>
    <w:rsid w:val="0084334F"/>
    <w:rsid w:val="00851FEE"/>
    <w:rsid w:val="00852A92"/>
    <w:rsid w:val="00853215"/>
    <w:rsid w:val="0086498C"/>
    <w:rsid w:val="008A1762"/>
    <w:rsid w:val="008A3DC8"/>
    <w:rsid w:val="008A5B4E"/>
    <w:rsid w:val="008E6E2F"/>
    <w:rsid w:val="008F05F4"/>
    <w:rsid w:val="008F3040"/>
    <w:rsid w:val="008F6050"/>
    <w:rsid w:val="00901E6C"/>
    <w:rsid w:val="009155A5"/>
    <w:rsid w:val="00916FC3"/>
    <w:rsid w:val="00932EDF"/>
    <w:rsid w:val="009454B2"/>
    <w:rsid w:val="009542FF"/>
    <w:rsid w:val="00962B8D"/>
    <w:rsid w:val="00973136"/>
    <w:rsid w:val="00976FAA"/>
    <w:rsid w:val="00980339"/>
    <w:rsid w:val="0098244C"/>
    <w:rsid w:val="0098370D"/>
    <w:rsid w:val="00984E8D"/>
    <w:rsid w:val="00992CF6"/>
    <w:rsid w:val="00993A63"/>
    <w:rsid w:val="009946CA"/>
    <w:rsid w:val="009A1CCA"/>
    <w:rsid w:val="009B7C64"/>
    <w:rsid w:val="009B7EFC"/>
    <w:rsid w:val="009D1197"/>
    <w:rsid w:val="009E69BD"/>
    <w:rsid w:val="009F57A0"/>
    <w:rsid w:val="00A15089"/>
    <w:rsid w:val="00A24663"/>
    <w:rsid w:val="00A26ED9"/>
    <w:rsid w:val="00A578D2"/>
    <w:rsid w:val="00A656CC"/>
    <w:rsid w:val="00A74DE2"/>
    <w:rsid w:val="00A86307"/>
    <w:rsid w:val="00A87640"/>
    <w:rsid w:val="00A97862"/>
    <w:rsid w:val="00AC1DFF"/>
    <w:rsid w:val="00AC27B7"/>
    <w:rsid w:val="00AC5D61"/>
    <w:rsid w:val="00AD1D68"/>
    <w:rsid w:val="00AE54CC"/>
    <w:rsid w:val="00B2217F"/>
    <w:rsid w:val="00B310E6"/>
    <w:rsid w:val="00B328C7"/>
    <w:rsid w:val="00B520DF"/>
    <w:rsid w:val="00B53497"/>
    <w:rsid w:val="00B634D9"/>
    <w:rsid w:val="00B64B54"/>
    <w:rsid w:val="00B7225B"/>
    <w:rsid w:val="00B83C03"/>
    <w:rsid w:val="00B84355"/>
    <w:rsid w:val="00B94578"/>
    <w:rsid w:val="00BA5C78"/>
    <w:rsid w:val="00BA6A7D"/>
    <w:rsid w:val="00BC3FEA"/>
    <w:rsid w:val="00BC5979"/>
    <w:rsid w:val="00BD52DD"/>
    <w:rsid w:val="00BD586D"/>
    <w:rsid w:val="00C2037F"/>
    <w:rsid w:val="00C24367"/>
    <w:rsid w:val="00C312A1"/>
    <w:rsid w:val="00C3177D"/>
    <w:rsid w:val="00C40212"/>
    <w:rsid w:val="00C40A76"/>
    <w:rsid w:val="00C53E53"/>
    <w:rsid w:val="00C574AD"/>
    <w:rsid w:val="00C67734"/>
    <w:rsid w:val="00C84776"/>
    <w:rsid w:val="00C93DDE"/>
    <w:rsid w:val="00CA11C2"/>
    <w:rsid w:val="00CA4E8E"/>
    <w:rsid w:val="00CC2F6F"/>
    <w:rsid w:val="00CD73F4"/>
    <w:rsid w:val="00CE208C"/>
    <w:rsid w:val="00CE444C"/>
    <w:rsid w:val="00CF5D79"/>
    <w:rsid w:val="00D116B8"/>
    <w:rsid w:val="00D14D62"/>
    <w:rsid w:val="00D15BB0"/>
    <w:rsid w:val="00D24DF4"/>
    <w:rsid w:val="00D31598"/>
    <w:rsid w:val="00D31A94"/>
    <w:rsid w:val="00D377E7"/>
    <w:rsid w:val="00D42FB6"/>
    <w:rsid w:val="00D46DB4"/>
    <w:rsid w:val="00D65BBF"/>
    <w:rsid w:val="00D67807"/>
    <w:rsid w:val="00D74BA3"/>
    <w:rsid w:val="00D8410C"/>
    <w:rsid w:val="00D84E54"/>
    <w:rsid w:val="00D860D6"/>
    <w:rsid w:val="00D863CF"/>
    <w:rsid w:val="00DA1255"/>
    <w:rsid w:val="00DD1F94"/>
    <w:rsid w:val="00DE4D99"/>
    <w:rsid w:val="00DE5DC1"/>
    <w:rsid w:val="00DE7F37"/>
    <w:rsid w:val="00DF6B68"/>
    <w:rsid w:val="00DF7A6E"/>
    <w:rsid w:val="00E068EE"/>
    <w:rsid w:val="00E07FF9"/>
    <w:rsid w:val="00E12779"/>
    <w:rsid w:val="00E207AF"/>
    <w:rsid w:val="00E41569"/>
    <w:rsid w:val="00E51E13"/>
    <w:rsid w:val="00E717AA"/>
    <w:rsid w:val="00E812DD"/>
    <w:rsid w:val="00EA234E"/>
    <w:rsid w:val="00EA5E53"/>
    <w:rsid w:val="00EA5E90"/>
    <w:rsid w:val="00EA614C"/>
    <w:rsid w:val="00EA653D"/>
    <w:rsid w:val="00EB50F5"/>
    <w:rsid w:val="00EF7FD9"/>
    <w:rsid w:val="00F024D8"/>
    <w:rsid w:val="00F039F8"/>
    <w:rsid w:val="00F05234"/>
    <w:rsid w:val="00F05E04"/>
    <w:rsid w:val="00F07EB1"/>
    <w:rsid w:val="00F10051"/>
    <w:rsid w:val="00F117BE"/>
    <w:rsid w:val="00F1545B"/>
    <w:rsid w:val="00F2577F"/>
    <w:rsid w:val="00F31581"/>
    <w:rsid w:val="00F365A1"/>
    <w:rsid w:val="00F36893"/>
    <w:rsid w:val="00F41C7F"/>
    <w:rsid w:val="00F50693"/>
    <w:rsid w:val="00F5074F"/>
    <w:rsid w:val="00F5607B"/>
    <w:rsid w:val="00F5794D"/>
    <w:rsid w:val="00F75B66"/>
    <w:rsid w:val="00F82758"/>
    <w:rsid w:val="00F960D6"/>
    <w:rsid w:val="00F97589"/>
    <w:rsid w:val="00FB1009"/>
    <w:rsid w:val="00FB381C"/>
    <w:rsid w:val="00FB3957"/>
    <w:rsid w:val="00FC1FE4"/>
    <w:rsid w:val="00FC2DEC"/>
    <w:rsid w:val="00FC3566"/>
    <w:rsid w:val="00FD0155"/>
    <w:rsid w:val="00FD6997"/>
    <w:rsid w:val="00FE5F56"/>
    <w:rsid w:val="00FF6C1D"/>
    <w:rsid w:val="016E793D"/>
    <w:rsid w:val="08E07CB0"/>
    <w:rsid w:val="0C985BE0"/>
    <w:rsid w:val="0C9F46C4"/>
    <w:rsid w:val="114C747E"/>
    <w:rsid w:val="1B073719"/>
    <w:rsid w:val="1BF84A03"/>
    <w:rsid w:val="247F3A70"/>
    <w:rsid w:val="26BD1E62"/>
    <w:rsid w:val="327D69E4"/>
    <w:rsid w:val="370C60DD"/>
    <w:rsid w:val="484808A4"/>
    <w:rsid w:val="4A0F0210"/>
    <w:rsid w:val="53311C03"/>
    <w:rsid w:val="5C23656C"/>
    <w:rsid w:val="664D45E3"/>
    <w:rsid w:val="680E348C"/>
    <w:rsid w:val="68660E87"/>
    <w:rsid w:val="71236D2A"/>
    <w:rsid w:val="74587860"/>
    <w:rsid w:val="7D6C135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963CAE"/>
  <w15:docId w15:val="{4D6181F2-BD41-4B0B-A954-E07FBA25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Theme="minorHAnsi"/>
      <w:sz w:val="22"/>
      <w:szCs w:val="22"/>
      <w:lang w:val="zh-CN"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9"/>
    <w:qFormat/>
    <w:pPr>
      <w:keepNext/>
      <w:keepLines/>
      <w:widowControl w:val="0"/>
      <w:spacing w:before="100" w:beforeAutospacing="1" w:after="100" w:afterAutospacing="1" w:line="273" w:lineRule="auto"/>
      <w:outlineLvl w:val="3"/>
    </w:pPr>
    <w:rPr>
      <w:rFonts w:ascii="Cambria" w:eastAsia="SimSun" w:hAnsi="Cambria" w:cs="Times New Roman"/>
      <w:i/>
      <w:iCs/>
      <w:color w:val="366091"/>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aption">
    <w:name w:val="caption"/>
    <w:basedOn w:val="Normal"/>
    <w:next w:val="Normal"/>
    <w:uiPriority w:val="99"/>
    <w:qFormat/>
    <w:pPr>
      <w:spacing w:before="100" w:beforeAutospacing="1" w:after="100" w:afterAutospacing="1" w:line="240" w:lineRule="auto"/>
    </w:pPr>
    <w:rPr>
      <w:rFonts w:ascii="Calibri" w:eastAsia="Times New Roman" w:hAnsi="Calibri" w:cs="Times New Roman"/>
      <w:i/>
      <w:iCs/>
      <w:color w:val="1F497D"/>
      <w:sz w:val="24"/>
      <w:szCs w:val="24"/>
      <w:lang w:eastAsia="zh-CN"/>
    </w:rPr>
  </w:style>
  <w:style w:type="paragraph" w:styleId="BodyText">
    <w:name w:val="Body Text"/>
    <w:basedOn w:val="Normal"/>
    <w:link w:val="BodyTextChar"/>
    <w:uiPriority w:val="99"/>
    <w:unhideWhenUsed/>
    <w:pPr>
      <w:spacing w:before="100" w:beforeAutospacing="1" w:after="100" w:afterAutospacing="1" w:line="273" w:lineRule="auto"/>
    </w:pPr>
    <w:rPr>
      <w:rFonts w:ascii="Calibri" w:eastAsia="Times New Roman" w:hAnsi="Calibri" w:cs="Times New Roman"/>
      <w:sz w:val="24"/>
      <w:szCs w:val="24"/>
      <w:lang w:eastAsia="zh-CN"/>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9"/>
    <w:qFormat/>
    <w:rPr>
      <w:rFonts w:ascii="Cambria" w:eastAsia="SimSun" w:hAnsi="Cambria" w:cs="Times New Roman"/>
      <w:i/>
      <w:iCs/>
      <w:color w:val="366091"/>
      <w:sz w:val="24"/>
      <w:szCs w:val="24"/>
      <w:lang w:eastAsia="zh-CN"/>
    </w:rPr>
  </w:style>
  <w:style w:type="character" w:customStyle="1" w:styleId="BodyTextChar">
    <w:name w:val="Body Text Char"/>
    <w:basedOn w:val="DefaultParagraphFont"/>
    <w:link w:val="BodyText"/>
    <w:uiPriority w:val="99"/>
    <w:qFormat/>
    <w:rPr>
      <w:rFonts w:ascii="Calibri" w:eastAsia="Times New Roman" w:hAnsi="Calibri" w:cs="Times New Roman"/>
      <w:sz w:val="24"/>
      <w:szCs w:val="24"/>
      <w:lang w:eastAsia="zh-C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paragraph" w:customStyle="1" w:styleId="Bibliographie1">
    <w:name w:val="Bibliographie1"/>
    <w:basedOn w:val="Normal"/>
    <w:next w:val="Normal"/>
    <w:uiPriority w:val="37"/>
    <w:unhideWhenUsed/>
    <w:qFormat/>
  </w:style>
  <w:style w:type="paragraph" w:customStyle="1" w:styleId="Paragraphedeliste1">
    <w:name w:val="Paragraphe de liste1"/>
    <w:basedOn w:val="Normal"/>
    <w:qFormat/>
    <w:pPr>
      <w:spacing w:before="100" w:beforeAutospacing="1" w:after="100" w:afterAutospacing="1" w:line="273" w:lineRule="auto"/>
      <w:contextualSpacing/>
    </w:pPr>
    <w:rPr>
      <w:rFonts w:ascii="Calibri" w:eastAsia="Times New Roman" w:hAnsi="Calibri" w:cs="Times New Roman"/>
      <w:sz w:val="24"/>
      <w:szCs w:val="24"/>
      <w:lang w:eastAsia="zh-CN"/>
    </w:rPr>
  </w:style>
  <w:style w:type="table" w:customStyle="1" w:styleId="Grilledutableau3">
    <w:name w:val="Grille du tableau3"/>
    <w:basedOn w:val="TableNormal"/>
    <w:rPr>
      <w:rFonts w:ascii="Times New Roman" w:eastAsia="SimSun" w:hAnsi="Times New Roman" w:cs="Times New Roman"/>
      <w:lang w:eastAsia="zh-CN"/>
    </w:rPr>
    <w:tblPr>
      <w:tblCellMar>
        <w:left w:w="0" w:type="dxa"/>
        <w:right w:w="0" w:type="dxa"/>
      </w:tblCellMar>
    </w:tblPr>
  </w:style>
  <w:style w:type="paragraph" w:customStyle="1" w:styleId="ListParagraph1">
    <w:name w:val="List Paragraph1"/>
    <w:basedOn w:val="Normal"/>
    <w:qFormat/>
    <w:pPr>
      <w:spacing w:before="100" w:beforeAutospacing="1" w:after="100" w:afterAutospacing="1" w:line="273" w:lineRule="auto"/>
      <w:contextualSpacing/>
    </w:pPr>
    <w:rPr>
      <w:rFonts w:ascii="Calibri" w:eastAsia="Times New Roman" w:hAnsi="Calibri" w:cs="Times New Roman"/>
      <w:sz w:val="24"/>
      <w:szCs w:val="24"/>
      <w:lang w:eastAsia="zh-C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NormalTable1">
    <w:name w:val="Normal Table1"/>
    <w:semiHidden/>
    <w:qFormat/>
    <w:rPr>
      <w:rFonts w:ascii="Times New Roman" w:eastAsia="Times New Roman" w:hAnsi="Times New Roman" w:cs="Times New Roman"/>
      <w:lang w:eastAsia="zh-CN"/>
    </w:rPr>
    <w:tblPr>
      <w:tblCellMar>
        <w:top w:w="0" w:type="dxa"/>
        <w:left w:w="0" w:type="dxa"/>
        <w:bottom w:w="0" w:type="dxa"/>
        <w:right w:w="0" w:type="dxa"/>
      </w:tblCellMar>
    </w:tblPr>
  </w:style>
  <w:style w:type="table" w:customStyle="1" w:styleId="Tableausimple27">
    <w:name w:val="Tableau simple 27"/>
    <w:basedOn w:val="TableNormal"/>
    <w:qFormat/>
    <w:rPr>
      <w:rFonts w:ascii="Times New Roman" w:eastAsia="Times New Roman" w:hAnsi="Times New Roman" w:cs="Times New Roman"/>
      <w:lang w:eastAsia="zh-CN"/>
    </w:rPr>
    <w:tblPr>
      <w:tblCellMar>
        <w:left w:w="0" w:type="dxa"/>
        <w:right w:w="0" w:type="dxa"/>
      </w:tblCellMar>
    </w:tblPr>
    <w:tblStylePr w:type="firstRow">
      <w:rPr>
        <w:rFonts w:ascii="Times New Roman" w:hAnsi="Times New Roman" w:cs="Times New Roman" w:hint="default"/>
        <w:b/>
        <w:bCs/>
      </w:rPr>
    </w:tblStylePr>
    <w:tblStylePr w:type="lastRow">
      <w:rPr>
        <w:rFonts w:ascii="Times New Roman" w:hAnsi="Times New Roman" w:cs="Times New Roman" w:hint="default"/>
        <w:b/>
        <w:bCs/>
      </w:r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style>
  <w:style w:type="character" w:customStyle="1" w:styleId="CommentTextChar">
    <w:name w:val="Comment Text Char"/>
    <w:basedOn w:val="DefaultParagraphFont"/>
    <w:link w:val="CommentText"/>
    <w:uiPriority w:val="99"/>
    <w:semiHidden/>
    <w:qFormat/>
    <w:rPr>
      <w:rFonts w:eastAsiaTheme="minorHAnsi"/>
      <w:lang w:val="zh-CN" w:eastAsia="en-US"/>
    </w:rPr>
  </w:style>
  <w:style w:type="character" w:customStyle="1" w:styleId="CommentSubjectChar">
    <w:name w:val="Comment Subject Char"/>
    <w:basedOn w:val="CommentTextChar"/>
    <w:link w:val="CommentSubject"/>
    <w:uiPriority w:val="99"/>
    <w:semiHidden/>
    <w:qFormat/>
    <w:rPr>
      <w:rFonts w:eastAsiaTheme="minorHAnsi"/>
      <w:b/>
      <w:bCs/>
      <w:lang w:val="zh-CN" w:eastAsia="en-US"/>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ie2">
    <w:name w:val="Bibliographie2"/>
    <w:basedOn w:val="Normal"/>
    <w:next w:val="Normal"/>
    <w:uiPriority w:val="37"/>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2571</Words>
  <Characters>14655</Characters>
  <Application>Microsoft Office Word</Application>
  <DocSecurity>0</DocSecurity>
  <Lines>122</Lines>
  <Paragraphs>34</Paragraphs>
  <ScaleCrop>false</ScaleCrop>
  <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dione</dc:creator>
  <cp:lastModifiedBy>SDI 1180</cp:lastModifiedBy>
  <cp:revision>25</cp:revision>
  <dcterms:created xsi:type="dcterms:W3CDTF">2025-11-09T23:00:00Z</dcterms:created>
  <dcterms:modified xsi:type="dcterms:W3CDTF">2025-11-19T11:41:00Z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id="JK2QUcnm"/&gt;&lt;style id="http://www.zotero.org/styles/vancouver" locale="fr-FR" hasBibliography="1" bibliographyStyleHasBeenSet="1"/&gt;&lt;prefs&gt;&lt;pref name="fieldType" value="Field"/&gt;&lt;/prefs&gt;&lt;/data&gt;</vt:lpwstr>
  </property>
  <property fmtid="{D5CDD505-2E9C-101B-9397-08002B2CF9AE}" pid="3" name="KSOProductBuildVer">
    <vt:lpwstr>1036-12.2.0.23155</vt:lpwstr>
  </property>
  <property fmtid="{D5CDD505-2E9C-101B-9397-08002B2CF9AE}" pid="4" name="ICV">
    <vt:lpwstr>861290F254EB44A6B5327468014F9D49_12</vt:lpwstr>
  </property>
</Properties>
</file>