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EFC60" w14:textId="0DB8C55A" w:rsidR="003D4A9F" w:rsidRDefault="003D4A9F" w:rsidP="003D4A9F">
      <w:pPr>
        <w:jc w:val="center"/>
        <w:rPr>
          <w:rFonts w:ascii="Times New Roman" w:eastAsia="Calibri" w:hAnsi="Times New Roman" w:cs="Times New Roman"/>
          <w:b/>
          <w:bCs/>
          <w:lang w:val="en-GB"/>
        </w:rPr>
      </w:pPr>
      <w:r w:rsidRPr="00F14A98">
        <w:rPr>
          <w:rFonts w:ascii="Times New Roman" w:eastAsia="Calibri" w:hAnsi="Times New Roman" w:cs="Times New Roman"/>
          <w:b/>
          <w:bCs/>
          <w:lang w:val="en-GB"/>
        </w:rPr>
        <w:t xml:space="preserve">An Analysis of How Advanced Level Study Streams </w:t>
      </w:r>
      <w:r w:rsidR="001447C4" w:rsidRPr="00F14A98">
        <w:rPr>
          <w:rFonts w:ascii="Times New Roman" w:eastAsia="Calibri" w:hAnsi="Times New Roman" w:cs="Times New Roman"/>
          <w:b/>
          <w:bCs/>
          <w:lang w:val="en-GB"/>
        </w:rPr>
        <w:t xml:space="preserve">Affect </w:t>
      </w:r>
      <w:r w:rsidR="001447C4">
        <w:rPr>
          <w:rFonts w:ascii="Times New Roman" w:eastAsia="Calibri" w:hAnsi="Times New Roman" w:cs="Times New Roman"/>
          <w:b/>
          <w:bCs/>
          <w:lang w:val="en-GB"/>
        </w:rPr>
        <w:t>Undergraduates</w:t>
      </w:r>
      <w:r w:rsidR="00B6680D">
        <w:rPr>
          <w:rFonts w:ascii="Times New Roman" w:eastAsia="Calibri" w:hAnsi="Times New Roman" w:cs="Times New Roman"/>
          <w:b/>
          <w:bCs/>
          <w:lang w:val="en-GB"/>
        </w:rPr>
        <w:t xml:space="preserve">’ </w:t>
      </w:r>
      <w:r w:rsidRPr="00F14A98">
        <w:rPr>
          <w:rFonts w:ascii="Times New Roman" w:eastAsia="Calibri" w:hAnsi="Times New Roman" w:cs="Times New Roman"/>
          <w:b/>
          <w:bCs/>
          <w:lang w:val="en-GB"/>
        </w:rPr>
        <w:t xml:space="preserve">Academic Performance of </w:t>
      </w:r>
      <w:r>
        <w:rPr>
          <w:rFonts w:ascii="Times New Roman" w:eastAsia="Calibri" w:hAnsi="Times New Roman" w:cs="Times New Roman"/>
          <w:b/>
          <w:bCs/>
        </w:rPr>
        <w:t xml:space="preserve">the Selected Course units in </w:t>
      </w:r>
      <w:r w:rsidRPr="00F14A98">
        <w:rPr>
          <w:rFonts w:ascii="Times New Roman" w:eastAsia="Calibri" w:hAnsi="Times New Roman" w:cs="Times New Roman"/>
          <w:b/>
          <w:bCs/>
          <w:lang w:val="en-GB"/>
        </w:rPr>
        <w:t xml:space="preserve">Information </w:t>
      </w:r>
      <w:r w:rsidR="00984AE1" w:rsidRPr="00F14A98">
        <w:rPr>
          <w:rFonts w:ascii="Times New Roman" w:eastAsia="Calibri" w:hAnsi="Times New Roman" w:cs="Times New Roman"/>
          <w:b/>
          <w:bCs/>
          <w:lang w:val="en-GB"/>
        </w:rPr>
        <w:t xml:space="preserve">Technology </w:t>
      </w:r>
      <w:r w:rsidR="00984AE1">
        <w:rPr>
          <w:rFonts w:ascii="Times New Roman" w:eastAsia="Calibri" w:hAnsi="Times New Roman" w:cs="Times New Roman"/>
          <w:b/>
          <w:bCs/>
          <w:lang w:val="en-GB"/>
        </w:rPr>
        <w:t>Degree</w:t>
      </w:r>
      <w:r>
        <w:rPr>
          <w:rFonts w:ascii="Times New Roman" w:eastAsia="Calibri" w:hAnsi="Times New Roman" w:cs="Times New Roman"/>
          <w:b/>
          <w:bCs/>
          <w:lang w:val="en-GB"/>
        </w:rPr>
        <w:t xml:space="preserve"> Programmes</w:t>
      </w:r>
      <w:r w:rsidR="00B6680D">
        <w:rPr>
          <w:rFonts w:ascii="Times New Roman" w:eastAsia="Calibri" w:hAnsi="Times New Roman" w:cs="Times New Roman"/>
          <w:b/>
          <w:bCs/>
          <w:lang w:val="en-GB"/>
        </w:rPr>
        <w:t xml:space="preserve"> </w:t>
      </w:r>
      <w:r w:rsidRPr="00F14A98">
        <w:rPr>
          <w:rFonts w:ascii="Times New Roman" w:eastAsia="Calibri" w:hAnsi="Times New Roman" w:cs="Times New Roman"/>
          <w:b/>
          <w:bCs/>
          <w:lang w:val="en-GB"/>
        </w:rPr>
        <w:t>in Sri Lanka</w:t>
      </w:r>
    </w:p>
    <w:p w14:paraId="4F3EF25B" w14:textId="5A35DD71" w:rsidR="001163EE" w:rsidRDefault="001163EE" w:rsidP="003D4A9F">
      <w:pPr>
        <w:jc w:val="center"/>
        <w:rPr>
          <w:rFonts w:ascii="Times New Roman" w:eastAsia="Calibri" w:hAnsi="Times New Roman" w:cs="Times New Roman"/>
          <w:b/>
          <w:bCs/>
        </w:rPr>
      </w:pPr>
    </w:p>
    <w:p w14:paraId="5F7D1BC7" w14:textId="77777777" w:rsidR="002278E7" w:rsidRDefault="002278E7" w:rsidP="003D4A9F">
      <w:pPr>
        <w:jc w:val="center"/>
        <w:rPr>
          <w:rFonts w:ascii="Times New Roman" w:eastAsia="Calibri" w:hAnsi="Times New Roman" w:cs="Times New Roman"/>
          <w:b/>
          <w:bCs/>
        </w:rPr>
      </w:pPr>
      <w:bookmarkStart w:id="0" w:name="_GoBack"/>
      <w:bookmarkEnd w:id="0"/>
    </w:p>
    <w:p w14:paraId="609FFF00" w14:textId="101CF3B7" w:rsidR="00444344" w:rsidRPr="00444344" w:rsidRDefault="00444344" w:rsidP="00444344">
      <w:pPr>
        <w:spacing w:line="276" w:lineRule="auto"/>
        <w:jc w:val="both"/>
        <w:rPr>
          <w:rFonts w:ascii="Times New Roman" w:hAnsi="Times New Roman" w:cs="Times New Roman"/>
          <w:b/>
          <w:bCs/>
        </w:rPr>
      </w:pPr>
      <w:r w:rsidRPr="00444344">
        <w:rPr>
          <w:rFonts w:ascii="Times New Roman" w:hAnsi="Times New Roman" w:cs="Times New Roman"/>
          <w:b/>
          <w:bCs/>
        </w:rPr>
        <w:t>Abstract</w:t>
      </w:r>
    </w:p>
    <w:p w14:paraId="51769C06" w14:textId="2B7ECD13" w:rsidR="00601757" w:rsidRDefault="00A479AB" w:rsidP="00047599">
      <w:pPr>
        <w:spacing w:line="276" w:lineRule="auto"/>
        <w:jc w:val="both"/>
        <w:rPr>
          <w:rFonts w:ascii="Times New Roman" w:hAnsi="Times New Roman" w:cs="Times New Roman"/>
        </w:rPr>
      </w:pPr>
      <w:r w:rsidRPr="00A479AB">
        <w:rPr>
          <w:rFonts w:ascii="Times New Roman" w:hAnsi="Times New Roman" w:cs="Times New Roman"/>
        </w:rPr>
        <w:t xml:space="preserve">This study investigated the influence of GCE Advanced Level (A/L) study streams on undergraduate performance in core Information Technology (IT) courses at a state university in Sri Lanka. </w:t>
      </w:r>
      <w:r>
        <w:rPr>
          <w:rFonts w:ascii="Times New Roman" w:hAnsi="Times New Roman" w:cs="Times New Roman"/>
        </w:rPr>
        <w:t>Secondary</w:t>
      </w:r>
      <w:r w:rsidRPr="00A479AB">
        <w:rPr>
          <w:rFonts w:ascii="Times New Roman" w:hAnsi="Times New Roman" w:cs="Times New Roman"/>
        </w:rPr>
        <w:t xml:space="preserve"> data from five academic cohorts (2018/19–2022/23) were analyzed across four courses: </w:t>
      </w:r>
      <w:r w:rsidRPr="006E6266">
        <w:rPr>
          <w:rFonts w:ascii="Times New Roman" w:hAnsi="Times New Roman" w:cs="Times New Roman"/>
          <w:i/>
          <w:iCs/>
        </w:rPr>
        <w:t>Foundation of Mathematics, Fundamentals of Programming, Data Structures, and Design and Analysis of Algorithms</w:t>
      </w:r>
      <w:r w:rsidR="006E6266">
        <w:rPr>
          <w:rFonts w:ascii="Times New Roman" w:hAnsi="Times New Roman" w:cs="Times New Roman"/>
        </w:rPr>
        <w:t>.</w:t>
      </w:r>
      <w:r w:rsidR="004124BC">
        <w:rPr>
          <w:rFonts w:ascii="Times New Roman" w:hAnsi="Times New Roman" w:cs="Times New Roman"/>
        </w:rPr>
        <w:t xml:space="preserve"> </w:t>
      </w:r>
      <w:r w:rsidR="004124BC" w:rsidRPr="004124BC">
        <w:rPr>
          <w:rFonts w:ascii="Times New Roman" w:hAnsi="Times New Roman" w:cs="Times New Roman"/>
        </w:rPr>
        <w:t xml:space="preserve">One-way ANOVA and Welch ANOVA examined differences in performance across Arts, Biological Science, Commerce, Physical Science, and Technology streams, while multiple regression analyses assessed the predictive </w:t>
      </w:r>
      <w:r w:rsidR="000512BD">
        <w:rPr>
          <w:rFonts w:ascii="Times New Roman" w:hAnsi="Times New Roman" w:cs="Times New Roman"/>
        </w:rPr>
        <w:t>effect</w:t>
      </w:r>
      <w:r w:rsidR="004124BC" w:rsidRPr="004124BC">
        <w:rPr>
          <w:rFonts w:ascii="Times New Roman" w:hAnsi="Times New Roman" w:cs="Times New Roman"/>
        </w:rPr>
        <w:t xml:space="preserve"> of </w:t>
      </w:r>
      <w:r w:rsidR="001B0FB0">
        <w:rPr>
          <w:rFonts w:ascii="Times New Roman" w:hAnsi="Times New Roman" w:cs="Times New Roman"/>
        </w:rPr>
        <w:t>first year courses:</w:t>
      </w:r>
      <w:r w:rsidR="002E4C4B">
        <w:rPr>
          <w:rFonts w:ascii="Times New Roman" w:hAnsi="Times New Roman" w:cs="Times New Roman"/>
        </w:rPr>
        <w:t xml:space="preserve"> </w:t>
      </w:r>
      <w:r w:rsidR="004124BC" w:rsidRPr="00C6729C">
        <w:rPr>
          <w:rFonts w:ascii="Times New Roman" w:hAnsi="Times New Roman" w:cs="Times New Roman"/>
          <w:i/>
          <w:iCs/>
        </w:rPr>
        <w:t>Foundation of Mathematics</w:t>
      </w:r>
      <w:r w:rsidR="00934101">
        <w:rPr>
          <w:rFonts w:ascii="Times New Roman" w:hAnsi="Times New Roman" w:cs="Times New Roman"/>
        </w:rPr>
        <w:t>,</w:t>
      </w:r>
      <w:r w:rsidR="004124BC" w:rsidRPr="004124BC">
        <w:rPr>
          <w:rFonts w:ascii="Times New Roman" w:hAnsi="Times New Roman" w:cs="Times New Roman"/>
        </w:rPr>
        <w:t xml:space="preserve"> and </w:t>
      </w:r>
      <w:r w:rsidR="00934101" w:rsidRPr="00C6729C">
        <w:rPr>
          <w:rFonts w:ascii="Times New Roman" w:hAnsi="Times New Roman" w:cs="Times New Roman"/>
          <w:i/>
          <w:iCs/>
        </w:rPr>
        <w:t>Fundamentals of P</w:t>
      </w:r>
      <w:r w:rsidR="004124BC" w:rsidRPr="00C6729C">
        <w:rPr>
          <w:rFonts w:ascii="Times New Roman" w:hAnsi="Times New Roman" w:cs="Times New Roman"/>
          <w:i/>
          <w:iCs/>
        </w:rPr>
        <w:t>rogramming</w:t>
      </w:r>
      <w:r w:rsidR="004124BC" w:rsidRPr="004124BC">
        <w:rPr>
          <w:rFonts w:ascii="Times New Roman" w:hAnsi="Times New Roman" w:cs="Times New Roman"/>
        </w:rPr>
        <w:t xml:space="preserve"> on</w:t>
      </w:r>
      <w:r w:rsidR="00934101">
        <w:rPr>
          <w:rFonts w:ascii="Times New Roman" w:hAnsi="Times New Roman" w:cs="Times New Roman"/>
        </w:rPr>
        <w:t xml:space="preserve"> </w:t>
      </w:r>
      <w:r w:rsidR="002E4C4B">
        <w:rPr>
          <w:rFonts w:ascii="Times New Roman" w:hAnsi="Times New Roman" w:cs="Times New Roman"/>
        </w:rPr>
        <w:t>second</w:t>
      </w:r>
      <w:r w:rsidR="00ED3FA8">
        <w:rPr>
          <w:rFonts w:ascii="Times New Roman" w:hAnsi="Times New Roman" w:cs="Times New Roman"/>
        </w:rPr>
        <w:t xml:space="preserve"> year courses: </w:t>
      </w:r>
      <w:r w:rsidR="00934101" w:rsidRPr="00C6729C">
        <w:rPr>
          <w:rFonts w:ascii="Times New Roman" w:hAnsi="Times New Roman" w:cs="Times New Roman"/>
          <w:i/>
          <w:iCs/>
        </w:rPr>
        <w:t>Data Structures</w:t>
      </w:r>
      <w:r w:rsidR="00DF0E28">
        <w:rPr>
          <w:rFonts w:ascii="Times New Roman" w:hAnsi="Times New Roman" w:cs="Times New Roman"/>
        </w:rPr>
        <w:t xml:space="preserve">, and </w:t>
      </w:r>
      <w:r w:rsidR="00DF0E28" w:rsidRPr="00C6729C">
        <w:rPr>
          <w:rFonts w:ascii="Times New Roman" w:hAnsi="Times New Roman" w:cs="Times New Roman"/>
          <w:i/>
          <w:iCs/>
        </w:rPr>
        <w:t>Design and Analysis of Algorithms</w:t>
      </w:r>
      <w:r w:rsidR="004124BC" w:rsidRPr="004124BC">
        <w:rPr>
          <w:rFonts w:ascii="Times New Roman" w:hAnsi="Times New Roman" w:cs="Times New Roman"/>
        </w:rPr>
        <w:t>.</w:t>
      </w:r>
      <w:r w:rsidR="005D4B7A">
        <w:rPr>
          <w:rFonts w:ascii="Times New Roman" w:hAnsi="Times New Roman" w:cs="Times New Roman"/>
        </w:rPr>
        <w:t xml:space="preserve"> </w:t>
      </w:r>
      <w:r w:rsidR="00ED3FA8" w:rsidRPr="00ED3FA8">
        <w:rPr>
          <w:rFonts w:ascii="Times New Roman" w:hAnsi="Times New Roman" w:cs="Times New Roman"/>
        </w:rPr>
        <w:t>Results indicated that A/L stream had a statistically significant but small effect on first-year courses, with Physical Science students outperforming Technology students in</w:t>
      </w:r>
      <w:r w:rsidR="00BE7A8D">
        <w:rPr>
          <w:rFonts w:ascii="Times New Roman" w:hAnsi="Times New Roman" w:cs="Times New Roman"/>
        </w:rPr>
        <w:t xml:space="preserve"> Foundation of M</w:t>
      </w:r>
      <w:r w:rsidR="00ED3FA8" w:rsidRPr="00ED3FA8">
        <w:rPr>
          <w:rFonts w:ascii="Times New Roman" w:hAnsi="Times New Roman" w:cs="Times New Roman"/>
        </w:rPr>
        <w:t xml:space="preserve">athematics, and Commerce and Physical Science students outperforming Arts and Biological Science students in </w:t>
      </w:r>
      <w:r w:rsidR="00E576A2">
        <w:rPr>
          <w:rFonts w:ascii="Times New Roman" w:hAnsi="Times New Roman" w:cs="Times New Roman"/>
        </w:rPr>
        <w:t>Fundamentals of P</w:t>
      </w:r>
      <w:r w:rsidR="00ED3FA8" w:rsidRPr="00ED3FA8">
        <w:rPr>
          <w:rFonts w:ascii="Times New Roman" w:hAnsi="Times New Roman" w:cs="Times New Roman"/>
        </w:rPr>
        <w:t xml:space="preserve">rogramming. No significant differences were observed in second-year courses. Regression analyses demonstrated that first-year performance significantly predicted second-year outcomes, with Foundation of Mathematics showing the strongest effect. </w:t>
      </w:r>
      <w:r w:rsidR="00601757" w:rsidRPr="00601757">
        <w:rPr>
          <w:rFonts w:ascii="Times New Roman" w:hAnsi="Times New Roman" w:cs="Times New Roman"/>
        </w:rPr>
        <w:t xml:space="preserve">These findings highlight the importance of targeted support and strengthened foundational instruction, particularly for students from non-STEM backgrounds, to enhance analytical and computational competencies. The study offers evidence-based insights for curriculum design, admission policy refinement, and academic interventions to promote equitable achievement in IT degree </w:t>
      </w:r>
      <w:proofErr w:type="spellStart"/>
      <w:r w:rsidR="00601757" w:rsidRPr="00601757">
        <w:rPr>
          <w:rFonts w:ascii="Times New Roman" w:hAnsi="Times New Roman" w:cs="Times New Roman"/>
        </w:rPr>
        <w:t>programmes</w:t>
      </w:r>
      <w:proofErr w:type="spellEnd"/>
      <w:r w:rsidR="00601757" w:rsidRPr="00601757">
        <w:rPr>
          <w:rFonts w:ascii="Times New Roman" w:hAnsi="Times New Roman" w:cs="Times New Roman"/>
        </w:rPr>
        <w:t>.</w:t>
      </w:r>
    </w:p>
    <w:p w14:paraId="4453F4DF" w14:textId="23F9B30E" w:rsidR="00F5186D" w:rsidRDefault="005B6E0A" w:rsidP="00047599">
      <w:pPr>
        <w:spacing w:line="276" w:lineRule="auto"/>
        <w:jc w:val="both"/>
        <w:rPr>
          <w:rFonts w:ascii="Times New Roman" w:hAnsi="Times New Roman" w:cs="Times New Roman"/>
        </w:rPr>
      </w:pPr>
      <w:r w:rsidRPr="00D86912">
        <w:rPr>
          <w:rFonts w:ascii="Times New Roman" w:hAnsi="Times New Roman" w:cs="Times New Roman"/>
          <w:b/>
          <w:bCs/>
          <w:i/>
          <w:iCs/>
        </w:rPr>
        <w:t>Keywords:</w:t>
      </w:r>
      <w:r w:rsidRPr="005B6E0A">
        <w:rPr>
          <w:rFonts w:ascii="Times New Roman" w:hAnsi="Times New Roman" w:cs="Times New Roman"/>
          <w:b/>
          <w:bCs/>
        </w:rPr>
        <w:t xml:space="preserve"> </w:t>
      </w:r>
      <w:r w:rsidR="005C617F" w:rsidRPr="00150012">
        <w:rPr>
          <w:rFonts w:ascii="Times New Roman" w:hAnsi="Times New Roman" w:cs="Times New Roman"/>
        </w:rPr>
        <w:t>Advance</w:t>
      </w:r>
      <w:r w:rsidR="00DE058C" w:rsidRPr="00150012">
        <w:rPr>
          <w:rFonts w:ascii="Times New Roman" w:hAnsi="Times New Roman" w:cs="Times New Roman"/>
        </w:rPr>
        <w:t xml:space="preserve">d </w:t>
      </w:r>
      <w:r w:rsidR="00150012" w:rsidRPr="00150012">
        <w:rPr>
          <w:rFonts w:ascii="Times New Roman" w:hAnsi="Times New Roman" w:cs="Times New Roman"/>
        </w:rPr>
        <w:t>Level Stream</w:t>
      </w:r>
      <w:r w:rsidR="00DE058C" w:rsidRPr="00150012">
        <w:rPr>
          <w:rFonts w:ascii="Times New Roman" w:hAnsi="Times New Roman" w:cs="Times New Roman"/>
        </w:rPr>
        <w:t>, Un</w:t>
      </w:r>
      <w:r w:rsidR="002B2AF1" w:rsidRPr="00150012">
        <w:rPr>
          <w:rFonts w:ascii="Times New Roman" w:hAnsi="Times New Roman" w:cs="Times New Roman"/>
        </w:rPr>
        <w:t>dergraduate performance, Information Technology Education</w:t>
      </w:r>
      <w:r w:rsidR="00150012" w:rsidRPr="00150012">
        <w:rPr>
          <w:rFonts w:ascii="Times New Roman" w:hAnsi="Times New Roman" w:cs="Times New Roman"/>
        </w:rPr>
        <w:t xml:space="preserve">, </w:t>
      </w:r>
      <w:r w:rsidR="00F5186D">
        <w:rPr>
          <w:rFonts w:ascii="Times New Roman" w:hAnsi="Times New Roman" w:cs="Times New Roman"/>
        </w:rPr>
        <w:t>Foundational Mathematics</w:t>
      </w:r>
      <w:r w:rsidR="00C007D8">
        <w:rPr>
          <w:rFonts w:ascii="Times New Roman" w:hAnsi="Times New Roman" w:cs="Times New Roman"/>
        </w:rPr>
        <w:t>,</w:t>
      </w:r>
      <w:r w:rsidR="00572B34">
        <w:rPr>
          <w:rFonts w:ascii="Times New Roman" w:hAnsi="Times New Roman" w:cs="Times New Roman"/>
        </w:rPr>
        <w:t xml:space="preserve"> Programming</w:t>
      </w:r>
      <w:r w:rsidR="00C007D8">
        <w:rPr>
          <w:rFonts w:ascii="Times New Roman" w:hAnsi="Times New Roman" w:cs="Times New Roman"/>
        </w:rPr>
        <w:t xml:space="preserve"> </w:t>
      </w:r>
    </w:p>
    <w:p w14:paraId="6208B286" w14:textId="4B2778D9" w:rsidR="00047599" w:rsidRPr="00047599" w:rsidRDefault="00047599" w:rsidP="00047599">
      <w:pPr>
        <w:spacing w:line="276" w:lineRule="auto"/>
        <w:jc w:val="both"/>
        <w:rPr>
          <w:rFonts w:ascii="Times New Roman" w:hAnsi="Times New Roman" w:cs="Times New Roman"/>
          <w:b/>
          <w:bCs/>
        </w:rPr>
      </w:pPr>
      <w:r w:rsidRPr="00047599">
        <w:rPr>
          <w:rFonts w:ascii="Times New Roman" w:hAnsi="Times New Roman" w:cs="Times New Roman"/>
          <w:b/>
          <w:bCs/>
        </w:rPr>
        <w:t>Introduction</w:t>
      </w:r>
    </w:p>
    <w:p w14:paraId="7398BC14" w14:textId="10BBD655" w:rsidR="006E1AE8" w:rsidRPr="00BF18B6" w:rsidRDefault="007617F8" w:rsidP="00047599">
      <w:pPr>
        <w:spacing w:line="276" w:lineRule="auto"/>
        <w:jc w:val="both"/>
        <w:rPr>
          <w:rFonts w:ascii="Times New Roman" w:hAnsi="Times New Roman" w:cs="Times New Roman"/>
        </w:rPr>
      </w:pPr>
      <w:r>
        <w:rPr>
          <w:rFonts w:ascii="Times New Roman" w:hAnsi="Times New Roman" w:cs="Times New Roman"/>
        </w:rPr>
        <w:t xml:space="preserve">Undergraduate degree </w:t>
      </w:r>
      <w:proofErr w:type="spellStart"/>
      <w:r>
        <w:rPr>
          <w:rFonts w:ascii="Times New Roman" w:hAnsi="Times New Roman" w:cs="Times New Roman"/>
        </w:rPr>
        <w:t>programmes</w:t>
      </w:r>
      <w:proofErr w:type="spellEnd"/>
      <w:r>
        <w:rPr>
          <w:rFonts w:ascii="Times New Roman" w:hAnsi="Times New Roman" w:cs="Times New Roman"/>
        </w:rPr>
        <w:t xml:space="preserve"> in </w:t>
      </w:r>
      <w:r w:rsidR="00047599" w:rsidRPr="00BF18B6">
        <w:rPr>
          <w:rFonts w:ascii="Times New Roman" w:hAnsi="Times New Roman" w:cs="Times New Roman"/>
        </w:rPr>
        <w:t>Information Technology (IT)</w:t>
      </w:r>
      <w:r w:rsidR="00451F9D" w:rsidRPr="00BF18B6">
        <w:rPr>
          <w:rFonts w:ascii="Times New Roman" w:hAnsi="Times New Roman" w:cs="Times New Roman"/>
        </w:rPr>
        <w:t xml:space="preserve"> </w:t>
      </w:r>
      <w:r w:rsidR="00047599" w:rsidRPr="00BF18B6">
        <w:rPr>
          <w:rFonts w:ascii="Times New Roman" w:hAnsi="Times New Roman" w:cs="Times New Roman"/>
        </w:rPr>
        <w:t xml:space="preserve">offered by Sri Lankan state universities have experienced increasing demand due to </w:t>
      </w:r>
      <w:r w:rsidR="001701D5" w:rsidRPr="00BF18B6">
        <w:rPr>
          <w:rFonts w:ascii="Times New Roman" w:eastAsia="Times New Roman" w:hAnsi="Times New Roman" w:cs="Times New Roman"/>
          <w:kern w:val="0"/>
          <w14:ligatures w14:val="none"/>
        </w:rPr>
        <w:t xml:space="preserve">the growing need for </w:t>
      </w:r>
      <w:r w:rsidR="00BA7D27" w:rsidRPr="00BF18B6">
        <w:rPr>
          <w:rFonts w:ascii="Times New Roman" w:hAnsi="Times New Roman" w:cs="Times New Roman"/>
        </w:rPr>
        <w:t xml:space="preserve">digitally competent </w:t>
      </w:r>
      <w:r w:rsidR="00FB3F9F">
        <w:rPr>
          <w:rFonts w:ascii="Times New Roman" w:hAnsi="Times New Roman" w:cs="Times New Roman"/>
        </w:rPr>
        <w:t>pro</w:t>
      </w:r>
      <w:r w:rsidR="00454878">
        <w:rPr>
          <w:rFonts w:ascii="Times New Roman" w:hAnsi="Times New Roman" w:cs="Times New Roman"/>
        </w:rPr>
        <w:t>fessionals</w:t>
      </w:r>
      <w:r w:rsidR="0092283C" w:rsidRPr="00BF18B6">
        <w:rPr>
          <w:rFonts w:ascii="Times New Roman" w:hAnsi="Times New Roman" w:cs="Times New Roman"/>
        </w:rPr>
        <w:t xml:space="preserve"> </w:t>
      </w:r>
      <w:r w:rsidR="001701D5" w:rsidRPr="00BF18B6">
        <w:rPr>
          <w:rFonts w:ascii="Times New Roman" w:eastAsia="Times New Roman" w:hAnsi="Times New Roman" w:cs="Times New Roman"/>
          <w:kern w:val="0"/>
          <w14:ligatures w14:val="none"/>
        </w:rPr>
        <w:t xml:space="preserve">in both public and private sectors. </w:t>
      </w:r>
      <w:r w:rsidR="00047599" w:rsidRPr="00BF18B6">
        <w:rPr>
          <w:rFonts w:ascii="Times New Roman" w:hAnsi="Times New Roman" w:cs="Times New Roman"/>
        </w:rPr>
        <w:t xml:space="preserve"> Each</w:t>
      </w:r>
      <w:r w:rsidR="00C258C9" w:rsidRPr="00BF18B6">
        <w:rPr>
          <w:rFonts w:ascii="Times New Roman" w:hAnsi="Times New Roman" w:cs="Times New Roman"/>
        </w:rPr>
        <w:t xml:space="preserve"> academic year</w:t>
      </w:r>
      <w:r w:rsidR="003122B4" w:rsidRPr="00BF18B6">
        <w:rPr>
          <w:rFonts w:ascii="Times New Roman" w:hAnsi="Times New Roman" w:cs="Times New Roman"/>
        </w:rPr>
        <w:t>,</w:t>
      </w:r>
      <w:r w:rsidR="00047599" w:rsidRPr="00BF18B6">
        <w:rPr>
          <w:rFonts w:ascii="Times New Roman" w:hAnsi="Times New Roman" w:cs="Times New Roman"/>
        </w:rPr>
        <w:t xml:space="preserve"> a large number of students who satisfy the minimum entry criteria apply for these </w:t>
      </w:r>
      <w:proofErr w:type="spellStart"/>
      <w:r w:rsidR="00047599" w:rsidRPr="00BF18B6">
        <w:rPr>
          <w:rFonts w:ascii="Times New Roman" w:hAnsi="Times New Roman" w:cs="Times New Roman"/>
        </w:rPr>
        <w:t>programmes</w:t>
      </w:r>
      <w:proofErr w:type="spellEnd"/>
      <w:r w:rsidR="00047599" w:rsidRPr="00BF18B6">
        <w:rPr>
          <w:rFonts w:ascii="Times New Roman" w:hAnsi="Times New Roman" w:cs="Times New Roman"/>
        </w:rPr>
        <w:t xml:space="preserve">, although only a limited </w:t>
      </w:r>
      <w:r w:rsidR="00BC48E6" w:rsidRPr="00BF18B6">
        <w:rPr>
          <w:rFonts w:ascii="Times New Roman" w:hAnsi="Times New Roman" w:cs="Times New Roman"/>
        </w:rPr>
        <w:t>number</w:t>
      </w:r>
      <w:r w:rsidR="00047599" w:rsidRPr="00BF18B6">
        <w:rPr>
          <w:rFonts w:ascii="Times New Roman" w:hAnsi="Times New Roman" w:cs="Times New Roman"/>
        </w:rPr>
        <w:t xml:space="preserve"> gain admission </w:t>
      </w:r>
      <w:r w:rsidR="00910214" w:rsidRPr="00BF18B6">
        <w:rPr>
          <w:rFonts w:ascii="Times New Roman" w:hAnsi="Times New Roman" w:cs="Times New Roman"/>
        </w:rPr>
        <w:t>in the state universities</w:t>
      </w:r>
      <w:r w:rsidR="00DD3F46" w:rsidRPr="00BF18B6">
        <w:rPr>
          <w:rFonts w:ascii="Times New Roman" w:hAnsi="Times New Roman" w:cs="Times New Roman"/>
        </w:rPr>
        <w:t xml:space="preserve"> offering these </w:t>
      </w:r>
      <w:proofErr w:type="spellStart"/>
      <w:r w:rsidR="00DD3F46" w:rsidRPr="00BF18B6">
        <w:rPr>
          <w:rFonts w:ascii="Times New Roman" w:hAnsi="Times New Roman" w:cs="Times New Roman"/>
        </w:rPr>
        <w:t>programmes</w:t>
      </w:r>
      <w:proofErr w:type="spellEnd"/>
      <w:r w:rsidR="00DD3F46" w:rsidRPr="00BF18B6">
        <w:rPr>
          <w:rFonts w:ascii="Times New Roman" w:hAnsi="Times New Roman" w:cs="Times New Roman"/>
        </w:rPr>
        <w:t xml:space="preserve"> </w:t>
      </w:r>
      <w:r w:rsidR="00591350" w:rsidRPr="00BF18B6">
        <w:rPr>
          <w:rFonts w:ascii="Times New Roman" w:eastAsia="Times New Roman" w:hAnsi="Times New Roman" w:cs="Times New Roman"/>
          <w:kern w:val="0"/>
          <w14:ligatures w14:val="none"/>
        </w:rPr>
        <w:t xml:space="preserve">because of competitive selection processes and limited </w:t>
      </w:r>
      <w:r w:rsidR="009F220E" w:rsidRPr="00BF18B6">
        <w:rPr>
          <w:rFonts w:ascii="Times New Roman" w:eastAsia="Times New Roman" w:hAnsi="Times New Roman" w:cs="Times New Roman"/>
          <w:kern w:val="0"/>
          <w14:ligatures w14:val="none"/>
        </w:rPr>
        <w:t xml:space="preserve">state </w:t>
      </w:r>
      <w:r w:rsidR="00591350" w:rsidRPr="00BF18B6">
        <w:rPr>
          <w:rFonts w:ascii="Times New Roman" w:eastAsia="Times New Roman" w:hAnsi="Times New Roman" w:cs="Times New Roman"/>
          <w:kern w:val="0"/>
          <w14:ligatures w14:val="none"/>
        </w:rPr>
        <w:t>universit</w:t>
      </w:r>
      <w:r w:rsidR="009F220E" w:rsidRPr="00BF18B6">
        <w:rPr>
          <w:rFonts w:ascii="Times New Roman" w:eastAsia="Times New Roman" w:hAnsi="Times New Roman" w:cs="Times New Roman"/>
          <w:kern w:val="0"/>
          <w14:ligatures w14:val="none"/>
        </w:rPr>
        <w:t>ies’</w:t>
      </w:r>
      <w:r w:rsidR="00591350" w:rsidRPr="00BF18B6">
        <w:rPr>
          <w:rFonts w:ascii="Times New Roman" w:eastAsia="Times New Roman" w:hAnsi="Times New Roman" w:cs="Times New Roman"/>
          <w:kern w:val="0"/>
          <w14:ligatures w14:val="none"/>
        </w:rPr>
        <w:t xml:space="preserve"> capacity</w:t>
      </w:r>
      <w:r w:rsidR="00047599" w:rsidRPr="00BF18B6">
        <w:rPr>
          <w:rFonts w:ascii="Times New Roman" w:hAnsi="Times New Roman" w:cs="Times New Roman"/>
        </w:rPr>
        <w:t xml:space="preserve">. </w:t>
      </w:r>
    </w:p>
    <w:p w14:paraId="0DEEBFEA" w14:textId="26441F28" w:rsidR="009E3340" w:rsidRDefault="001149F3" w:rsidP="009E3340">
      <w:pPr>
        <w:spacing w:line="276" w:lineRule="auto"/>
        <w:jc w:val="both"/>
        <w:rPr>
          <w:rFonts w:ascii="Times New Roman" w:eastAsia="Times New Roman" w:hAnsi="Times New Roman" w:cs="Times New Roman"/>
          <w:kern w:val="0"/>
          <w14:ligatures w14:val="none"/>
        </w:rPr>
      </w:pPr>
      <w:r w:rsidRPr="00BF18B6">
        <w:rPr>
          <w:rFonts w:ascii="Times New Roman" w:hAnsi="Times New Roman" w:cs="Times New Roman"/>
        </w:rPr>
        <w:t>Traditionally,</w:t>
      </w:r>
      <w:r w:rsidR="00047599" w:rsidRPr="00BF18B6">
        <w:rPr>
          <w:rFonts w:ascii="Times New Roman" w:hAnsi="Times New Roman" w:cs="Times New Roman"/>
        </w:rPr>
        <w:t xml:space="preserve"> the University Grants Commission (UGC) </w:t>
      </w:r>
      <w:r w:rsidR="009F644D">
        <w:rPr>
          <w:rFonts w:ascii="Times New Roman" w:hAnsi="Times New Roman" w:cs="Times New Roman"/>
        </w:rPr>
        <w:t>admitted</w:t>
      </w:r>
      <w:r w:rsidR="00047599" w:rsidRPr="00BF18B6">
        <w:rPr>
          <w:rFonts w:ascii="Times New Roman" w:hAnsi="Times New Roman" w:cs="Times New Roman"/>
        </w:rPr>
        <w:t xml:space="preserve"> </w:t>
      </w:r>
      <w:r w:rsidR="00E965F6" w:rsidRPr="00BF18B6">
        <w:rPr>
          <w:rFonts w:ascii="Times New Roman" w:eastAsia="Times New Roman" w:hAnsi="Times New Roman" w:cs="Times New Roman"/>
          <w:kern w:val="0"/>
          <w14:ligatures w14:val="none"/>
        </w:rPr>
        <w:t xml:space="preserve">students </w:t>
      </w:r>
      <w:r w:rsidR="009F644D">
        <w:rPr>
          <w:rFonts w:ascii="Times New Roman" w:eastAsia="Times New Roman" w:hAnsi="Times New Roman" w:cs="Times New Roman"/>
          <w:kern w:val="0"/>
          <w14:ligatures w14:val="none"/>
        </w:rPr>
        <w:t>to</w:t>
      </w:r>
      <w:r w:rsidR="00E965F6" w:rsidRPr="00BF18B6">
        <w:rPr>
          <w:rFonts w:ascii="Times New Roman" w:eastAsia="Times New Roman" w:hAnsi="Times New Roman" w:cs="Times New Roman"/>
          <w:kern w:val="0"/>
          <w14:ligatures w14:val="none"/>
        </w:rPr>
        <w:t xml:space="preserve"> IT </w:t>
      </w:r>
      <w:r w:rsidR="009F644D">
        <w:rPr>
          <w:rFonts w:ascii="Times New Roman" w:eastAsia="Times New Roman" w:hAnsi="Times New Roman" w:cs="Times New Roman"/>
          <w:kern w:val="0"/>
          <w14:ligatures w14:val="none"/>
        </w:rPr>
        <w:t>undergraduat</w:t>
      </w:r>
      <w:r w:rsidR="009F644D" w:rsidRPr="00BF18B6">
        <w:rPr>
          <w:rFonts w:ascii="Times New Roman" w:eastAsia="Times New Roman" w:hAnsi="Times New Roman" w:cs="Times New Roman"/>
          <w:kern w:val="0"/>
          <w14:ligatures w14:val="none"/>
        </w:rPr>
        <w:t>e</w:t>
      </w:r>
      <w:r w:rsidR="00E965F6" w:rsidRPr="00BF18B6">
        <w:rPr>
          <w:rFonts w:ascii="Times New Roman" w:eastAsia="Times New Roman" w:hAnsi="Times New Roman" w:cs="Times New Roman"/>
          <w:kern w:val="0"/>
          <w14:ligatures w14:val="none"/>
        </w:rPr>
        <w:t xml:space="preserve"> degree </w:t>
      </w:r>
      <w:proofErr w:type="spellStart"/>
      <w:r w:rsidR="00E965F6" w:rsidRPr="00BF18B6">
        <w:rPr>
          <w:rFonts w:ascii="Times New Roman" w:eastAsia="Times New Roman" w:hAnsi="Times New Roman" w:cs="Times New Roman"/>
          <w:kern w:val="0"/>
          <w14:ligatures w14:val="none"/>
        </w:rPr>
        <w:t>programmes</w:t>
      </w:r>
      <w:proofErr w:type="spellEnd"/>
      <w:r w:rsidR="00E965F6" w:rsidRPr="00BF18B6">
        <w:rPr>
          <w:rFonts w:ascii="Times New Roman" w:eastAsia="Times New Roman" w:hAnsi="Times New Roman" w:cs="Times New Roman"/>
          <w:kern w:val="0"/>
          <w14:ligatures w14:val="none"/>
        </w:rPr>
        <w:t xml:space="preserve"> based on their Z-scores obtained at the GCE Advanced Level (A/L) </w:t>
      </w:r>
      <w:r w:rsidR="00E965F6" w:rsidRPr="00BF18B6">
        <w:rPr>
          <w:rFonts w:ascii="Times New Roman" w:eastAsia="Times New Roman" w:hAnsi="Times New Roman" w:cs="Times New Roman"/>
          <w:kern w:val="0"/>
          <w14:ligatures w14:val="none"/>
        </w:rPr>
        <w:lastRenderedPageBreak/>
        <w:t>examination, irrespective of their study stream along with performance in aptitude tests conducted by</w:t>
      </w:r>
      <w:r w:rsidR="00E00657" w:rsidRPr="00BF18B6">
        <w:rPr>
          <w:rFonts w:ascii="Times New Roman" w:eastAsia="Times New Roman" w:hAnsi="Times New Roman" w:cs="Times New Roman"/>
          <w:kern w:val="0"/>
          <w14:ligatures w14:val="none"/>
        </w:rPr>
        <w:t xml:space="preserve"> respective universities</w:t>
      </w:r>
      <w:r w:rsidR="00E965F6" w:rsidRPr="00BF18B6">
        <w:rPr>
          <w:rFonts w:ascii="Times New Roman" w:eastAsia="Times New Roman" w:hAnsi="Times New Roman" w:cs="Times New Roman"/>
          <w:kern w:val="0"/>
          <w14:ligatures w14:val="none"/>
        </w:rPr>
        <w:t>.</w:t>
      </w:r>
      <w:r w:rsidR="00E00657" w:rsidRPr="00BF18B6">
        <w:rPr>
          <w:rFonts w:ascii="Times New Roman" w:eastAsia="Times New Roman" w:hAnsi="Times New Roman" w:cs="Times New Roman"/>
          <w:kern w:val="0"/>
          <w14:ligatures w14:val="none"/>
        </w:rPr>
        <w:t xml:space="preserve"> </w:t>
      </w:r>
      <w:r w:rsidR="009E3340" w:rsidRPr="00BF18B6">
        <w:rPr>
          <w:rFonts w:ascii="Times New Roman" w:eastAsia="Times New Roman" w:hAnsi="Times New Roman" w:cs="Times New Roman"/>
          <w:kern w:val="0"/>
          <w14:ligatures w14:val="none"/>
        </w:rPr>
        <w:t xml:space="preserve">This method generally </w:t>
      </w:r>
      <w:proofErr w:type="spellStart"/>
      <w:r w:rsidR="009E3340" w:rsidRPr="00BF18B6">
        <w:rPr>
          <w:rFonts w:ascii="Times New Roman" w:eastAsia="Times New Roman" w:hAnsi="Times New Roman" w:cs="Times New Roman"/>
          <w:kern w:val="0"/>
          <w14:ligatures w14:val="none"/>
        </w:rPr>
        <w:t>favoured</w:t>
      </w:r>
      <w:proofErr w:type="spellEnd"/>
      <w:r w:rsidR="009E3340" w:rsidRPr="00BF18B6">
        <w:rPr>
          <w:rFonts w:ascii="Times New Roman" w:eastAsia="Times New Roman" w:hAnsi="Times New Roman" w:cs="Times New Roman"/>
          <w:kern w:val="0"/>
          <w14:ligatures w14:val="none"/>
        </w:rPr>
        <w:t xml:space="preserve"> students from the Physical Science stream, who typically possess stronger mathematical and analytical foundations that align closely with the requirements of IT disciplines</w:t>
      </w:r>
      <w:r w:rsidR="009E3340">
        <w:rPr>
          <w:rFonts w:ascii="Times New Roman" w:eastAsia="Times New Roman" w:hAnsi="Times New Roman" w:cs="Times New Roman"/>
          <w:kern w:val="0"/>
          <w14:ligatures w14:val="none"/>
        </w:rPr>
        <w:t xml:space="preserve"> (See Table 01).</w:t>
      </w:r>
    </w:p>
    <w:p w14:paraId="55C5186C" w14:textId="5A3285C8" w:rsidR="002B3375" w:rsidRPr="008064A1" w:rsidRDefault="002B3375" w:rsidP="002B3375">
      <w:pPr>
        <w:spacing w:line="276" w:lineRule="auto"/>
        <w:jc w:val="both"/>
        <w:rPr>
          <w:rFonts w:ascii="Times New Roman" w:hAnsi="Times New Roman" w:cs="Times New Roman"/>
          <w:b/>
          <w:bCs/>
        </w:rPr>
      </w:pPr>
      <w:r w:rsidRPr="008064A1">
        <w:rPr>
          <w:rFonts w:ascii="Times New Roman" w:hAnsi="Times New Roman" w:cs="Times New Roman"/>
          <w:b/>
          <w:bCs/>
        </w:rPr>
        <w:t xml:space="preserve">Table 01: </w:t>
      </w:r>
      <w:r>
        <w:rPr>
          <w:rFonts w:ascii="Times New Roman" w:hAnsi="Times New Roman" w:cs="Times New Roman"/>
          <w:b/>
          <w:bCs/>
        </w:rPr>
        <w:t xml:space="preserve">Stream-wise </w:t>
      </w:r>
      <w:r w:rsidRPr="007A4016">
        <w:rPr>
          <w:rFonts w:ascii="Times New Roman" w:hAnsi="Times New Roman" w:cs="Times New Roman"/>
          <w:b/>
          <w:bCs/>
        </w:rPr>
        <w:t xml:space="preserve">Distribution of Students </w:t>
      </w:r>
      <w:r>
        <w:rPr>
          <w:rFonts w:ascii="Times New Roman" w:hAnsi="Times New Roman" w:cs="Times New Roman"/>
          <w:b/>
          <w:bCs/>
        </w:rPr>
        <w:t>Enrolled</w:t>
      </w:r>
      <w:r w:rsidRPr="007A4016">
        <w:rPr>
          <w:rFonts w:ascii="Times New Roman" w:hAnsi="Times New Roman" w:cs="Times New Roman"/>
          <w:b/>
          <w:bCs/>
        </w:rPr>
        <w:t xml:space="preserve"> in </w:t>
      </w:r>
      <w:r>
        <w:rPr>
          <w:rFonts w:ascii="Times New Roman" w:hAnsi="Times New Roman" w:cs="Times New Roman"/>
          <w:b/>
          <w:bCs/>
        </w:rPr>
        <w:t xml:space="preserve">the </w:t>
      </w:r>
      <w:r w:rsidRPr="007A4016">
        <w:rPr>
          <w:rFonts w:ascii="Times New Roman" w:hAnsi="Times New Roman" w:cs="Times New Roman"/>
          <w:b/>
          <w:bCs/>
        </w:rPr>
        <w:t xml:space="preserve">Information Technology Degree </w:t>
      </w:r>
      <w:proofErr w:type="spellStart"/>
      <w:r w:rsidR="009F644D" w:rsidRPr="007A4016">
        <w:rPr>
          <w:rFonts w:ascii="Times New Roman" w:hAnsi="Times New Roman" w:cs="Times New Roman"/>
          <w:b/>
          <w:bCs/>
        </w:rPr>
        <w:t>Programme</w:t>
      </w:r>
      <w:proofErr w:type="spellEnd"/>
      <w:r w:rsidR="009F644D">
        <w:rPr>
          <w:rFonts w:ascii="Times New Roman" w:hAnsi="Times New Roman" w:cs="Times New Roman"/>
          <w:b/>
          <w:bCs/>
        </w:rPr>
        <w:t xml:space="preserve"> at</w:t>
      </w:r>
      <w:r w:rsidR="00793160">
        <w:rPr>
          <w:rFonts w:ascii="Times New Roman" w:hAnsi="Times New Roman" w:cs="Times New Roman"/>
          <w:b/>
          <w:bCs/>
        </w:rPr>
        <w:t xml:space="preserve"> a selected university</w:t>
      </w:r>
      <w:r>
        <w:rPr>
          <w:rFonts w:ascii="Times New Roman" w:hAnsi="Times New Roman" w:cs="Times New Roman"/>
          <w:b/>
          <w:bCs/>
        </w:rPr>
        <w:t xml:space="preserve"> Under Old and New Admission System</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346"/>
        <w:gridCol w:w="1110"/>
        <w:gridCol w:w="1170"/>
        <w:gridCol w:w="1214"/>
        <w:gridCol w:w="1216"/>
        <w:gridCol w:w="1170"/>
        <w:gridCol w:w="1260"/>
      </w:tblGrid>
      <w:tr w:rsidR="002B3375" w14:paraId="28CED7FC" w14:textId="77777777" w:rsidTr="002700CF">
        <w:tc>
          <w:tcPr>
            <w:tcW w:w="2305" w:type="dxa"/>
            <w:gridSpan w:val="2"/>
            <w:vMerge w:val="restart"/>
            <w:tcBorders>
              <w:top w:val="single" w:sz="4" w:space="0" w:color="auto"/>
              <w:bottom w:val="single" w:sz="4" w:space="0" w:color="auto"/>
            </w:tcBorders>
          </w:tcPr>
          <w:p w14:paraId="0546C92B" w14:textId="77777777" w:rsidR="002B3375" w:rsidRDefault="002B3375" w:rsidP="002700CF">
            <w:pPr>
              <w:spacing w:line="276" w:lineRule="auto"/>
              <w:jc w:val="both"/>
              <w:rPr>
                <w:rFonts w:ascii="Times New Roman" w:hAnsi="Times New Roman" w:cs="Times New Roman"/>
              </w:rPr>
            </w:pPr>
          </w:p>
        </w:tc>
        <w:tc>
          <w:tcPr>
            <w:tcW w:w="7140" w:type="dxa"/>
            <w:gridSpan w:val="6"/>
            <w:tcBorders>
              <w:top w:val="single" w:sz="4" w:space="0" w:color="auto"/>
              <w:bottom w:val="single" w:sz="4" w:space="0" w:color="auto"/>
            </w:tcBorders>
          </w:tcPr>
          <w:p w14:paraId="07A0399C"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Cohorts</w:t>
            </w:r>
          </w:p>
        </w:tc>
      </w:tr>
      <w:tr w:rsidR="002B3375" w14:paraId="0C3B63C9" w14:textId="77777777" w:rsidTr="002700CF">
        <w:tc>
          <w:tcPr>
            <w:tcW w:w="2305" w:type="dxa"/>
            <w:gridSpan w:val="2"/>
            <w:vMerge/>
            <w:tcBorders>
              <w:top w:val="single" w:sz="4" w:space="0" w:color="auto"/>
              <w:bottom w:val="single" w:sz="4" w:space="0" w:color="auto"/>
            </w:tcBorders>
          </w:tcPr>
          <w:p w14:paraId="2240AEDF" w14:textId="77777777" w:rsidR="002B3375" w:rsidRDefault="002B3375" w:rsidP="002700CF">
            <w:pPr>
              <w:spacing w:line="276" w:lineRule="auto"/>
              <w:jc w:val="both"/>
              <w:rPr>
                <w:rFonts w:ascii="Times New Roman" w:hAnsi="Times New Roman" w:cs="Times New Roman"/>
              </w:rPr>
            </w:pPr>
          </w:p>
        </w:tc>
        <w:tc>
          <w:tcPr>
            <w:tcW w:w="5880" w:type="dxa"/>
            <w:gridSpan w:val="5"/>
            <w:tcBorders>
              <w:top w:val="single" w:sz="4" w:space="0" w:color="auto"/>
              <w:bottom w:val="single" w:sz="4" w:space="0" w:color="auto"/>
            </w:tcBorders>
          </w:tcPr>
          <w:p w14:paraId="26817010" w14:textId="77777777" w:rsidR="002B3375" w:rsidRPr="009B58E8"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Old System</w:t>
            </w:r>
          </w:p>
        </w:tc>
        <w:tc>
          <w:tcPr>
            <w:tcW w:w="1260" w:type="dxa"/>
            <w:tcBorders>
              <w:top w:val="single" w:sz="4" w:space="0" w:color="auto"/>
              <w:bottom w:val="single" w:sz="4" w:space="0" w:color="auto"/>
            </w:tcBorders>
          </w:tcPr>
          <w:p w14:paraId="4EB4E17D" w14:textId="77777777" w:rsidR="002B3375" w:rsidRPr="009B58E8"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New System</w:t>
            </w:r>
          </w:p>
        </w:tc>
      </w:tr>
      <w:tr w:rsidR="002B3375" w14:paraId="3BEA447C" w14:textId="77777777" w:rsidTr="002700CF">
        <w:tc>
          <w:tcPr>
            <w:tcW w:w="2305" w:type="dxa"/>
            <w:gridSpan w:val="2"/>
            <w:vMerge/>
            <w:tcBorders>
              <w:top w:val="single" w:sz="4" w:space="0" w:color="auto"/>
            </w:tcBorders>
          </w:tcPr>
          <w:p w14:paraId="5D6FD4A8" w14:textId="77777777" w:rsidR="002B3375" w:rsidRDefault="002B3375" w:rsidP="002700CF">
            <w:pPr>
              <w:spacing w:line="276" w:lineRule="auto"/>
              <w:jc w:val="both"/>
              <w:rPr>
                <w:rFonts w:ascii="Times New Roman" w:hAnsi="Times New Roman" w:cs="Times New Roman"/>
              </w:rPr>
            </w:pPr>
          </w:p>
        </w:tc>
        <w:tc>
          <w:tcPr>
            <w:tcW w:w="1110" w:type="dxa"/>
            <w:tcBorders>
              <w:top w:val="single" w:sz="4" w:space="0" w:color="auto"/>
              <w:bottom w:val="single" w:sz="4" w:space="0" w:color="auto"/>
            </w:tcBorders>
          </w:tcPr>
          <w:p w14:paraId="263E2B8A"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2018</w:t>
            </w:r>
            <w:r>
              <w:rPr>
                <w:rFonts w:ascii="Times New Roman" w:hAnsi="Times New Roman" w:cs="Times New Roman"/>
                <w:b/>
                <w:bCs/>
              </w:rPr>
              <w:t>/19</w:t>
            </w:r>
          </w:p>
          <w:p w14:paraId="3A19264C"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c>
          <w:tcPr>
            <w:tcW w:w="1170" w:type="dxa"/>
            <w:tcBorders>
              <w:top w:val="single" w:sz="4" w:space="0" w:color="auto"/>
              <w:bottom w:val="single" w:sz="4" w:space="0" w:color="auto"/>
            </w:tcBorders>
          </w:tcPr>
          <w:p w14:paraId="71DF114A"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2019</w:t>
            </w:r>
            <w:r>
              <w:rPr>
                <w:rFonts w:ascii="Times New Roman" w:hAnsi="Times New Roman" w:cs="Times New Roman"/>
                <w:b/>
                <w:bCs/>
              </w:rPr>
              <w:t>20</w:t>
            </w:r>
          </w:p>
          <w:p w14:paraId="15A7425D"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c>
          <w:tcPr>
            <w:tcW w:w="1214" w:type="dxa"/>
            <w:tcBorders>
              <w:top w:val="single" w:sz="4" w:space="0" w:color="auto"/>
              <w:bottom w:val="single" w:sz="4" w:space="0" w:color="auto"/>
            </w:tcBorders>
          </w:tcPr>
          <w:p w14:paraId="4CA9B4A3"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2020</w:t>
            </w:r>
            <w:r>
              <w:rPr>
                <w:rFonts w:ascii="Times New Roman" w:hAnsi="Times New Roman" w:cs="Times New Roman"/>
                <w:b/>
                <w:bCs/>
              </w:rPr>
              <w:t>/21</w:t>
            </w:r>
          </w:p>
          <w:p w14:paraId="2583BCAA"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c>
          <w:tcPr>
            <w:tcW w:w="1216" w:type="dxa"/>
            <w:tcBorders>
              <w:top w:val="single" w:sz="4" w:space="0" w:color="auto"/>
              <w:bottom w:val="single" w:sz="4" w:space="0" w:color="auto"/>
            </w:tcBorders>
          </w:tcPr>
          <w:p w14:paraId="49E98B5E"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2021</w:t>
            </w:r>
            <w:r>
              <w:rPr>
                <w:rFonts w:ascii="Times New Roman" w:hAnsi="Times New Roman" w:cs="Times New Roman"/>
                <w:b/>
                <w:bCs/>
              </w:rPr>
              <w:t>/22</w:t>
            </w:r>
          </w:p>
          <w:p w14:paraId="1F94652D"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c>
          <w:tcPr>
            <w:tcW w:w="1170" w:type="dxa"/>
            <w:tcBorders>
              <w:top w:val="single" w:sz="4" w:space="0" w:color="auto"/>
              <w:bottom w:val="single" w:sz="4" w:space="0" w:color="auto"/>
            </w:tcBorders>
          </w:tcPr>
          <w:p w14:paraId="1AFA2287"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2022</w:t>
            </w:r>
            <w:r>
              <w:rPr>
                <w:rFonts w:ascii="Times New Roman" w:hAnsi="Times New Roman" w:cs="Times New Roman"/>
                <w:b/>
                <w:bCs/>
              </w:rPr>
              <w:t>/23</w:t>
            </w:r>
          </w:p>
          <w:p w14:paraId="090B4AD8"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c>
          <w:tcPr>
            <w:tcW w:w="1260" w:type="dxa"/>
            <w:tcBorders>
              <w:top w:val="single" w:sz="4" w:space="0" w:color="auto"/>
              <w:bottom w:val="single" w:sz="4" w:space="0" w:color="auto"/>
            </w:tcBorders>
          </w:tcPr>
          <w:p w14:paraId="114303FB"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2023</w:t>
            </w:r>
            <w:r>
              <w:rPr>
                <w:rFonts w:ascii="Times New Roman" w:hAnsi="Times New Roman" w:cs="Times New Roman"/>
                <w:b/>
                <w:bCs/>
              </w:rPr>
              <w:t>/24</w:t>
            </w:r>
          </w:p>
          <w:p w14:paraId="52FC80E9"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r>
      <w:tr w:rsidR="002B3375" w14:paraId="727F6538" w14:textId="77777777" w:rsidTr="002700CF">
        <w:tc>
          <w:tcPr>
            <w:tcW w:w="959" w:type="dxa"/>
            <w:tcBorders>
              <w:top w:val="nil"/>
              <w:bottom w:val="nil"/>
            </w:tcBorders>
          </w:tcPr>
          <w:p w14:paraId="25521AB8" w14:textId="77777777" w:rsidR="002B3375" w:rsidRPr="009B58E8" w:rsidRDefault="002B3375" w:rsidP="002700CF">
            <w:pPr>
              <w:spacing w:line="276" w:lineRule="auto"/>
              <w:jc w:val="both"/>
              <w:rPr>
                <w:rFonts w:ascii="Times New Roman" w:hAnsi="Times New Roman" w:cs="Times New Roman"/>
                <w:b/>
                <w:bCs/>
              </w:rPr>
            </w:pPr>
            <w:r w:rsidRPr="009B58E8">
              <w:rPr>
                <w:rFonts w:ascii="Times New Roman" w:hAnsi="Times New Roman" w:cs="Times New Roman"/>
                <w:b/>
                <w:bCs/>
              </w:rPr>
              <w:t>Stream</w:t>
            </w:r>
          </w:p>
        </w:tc>
        <w:tc>
          <w:tcPr>
            <w:tcW w:w="1346" w:type="dxa"/>
            <w:tcBorders>
              <w:bottom w:val="nil"/>
            </w:tcBorders>
          </w:tcPr>
          <w:p w14:paraId="59D7DE3B" w14:textId="77777777" w:rsidR="002B3375" w:rsidRDefault="002B3375" w:rsidP="002700CF">
            <w:pPr>
              <w:spacing w:line="276" w:lineRule="auto"/>
              <w:jc w:val="both"/>
              <w:rPr>
                <w:rFonts w:ascii="Times New Roman" w:hAnsi="Times New Roman" w:cs="Times New Roman"/>
              </w:rPr>
            </w:pPr>
            <w:r>
              <w:rPr>
                <w:rFonts w:ascii="Times New Roman" w:hAnsi="Times New Roman" w:cs="Times New Roman"/>
              </w:rPr>
              <w:t>Arts</w:t>
            </w:r>
          </w:p>
        </w:tc>
        <w:tc>
          <w:tcPr>
            <w:tcW w:w="1110" w:type="dxa"/>
            <w:tcBorders>
              <w:top w:val="single" w:sz="4" w:space="0" w:color="auto"/>
              <w:bottom w:val="nil"/>
            </w:tcBorders>
          </w:tcPr>
          <w:p w14:paraId="49757206"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15.0 (06)</w:t>
            </w:r>
          </w:p>
        </w:tc>
        <w:tc>
          <w:tcPr>
            <w:tcW w:w="1170" w:type="dxa"/>
            <w:tcBorders>
              <w:top w:val="single" w:sz="4" w:space="0" w:color="auto"/>
              <w:bottom w:val="nil"/>
            </w:tcBorders>
          </w:tcPr>
          <w:p w14:paraId="39A41BEF"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19.8 (34)</w:t>
            </w:r>
          </w:p>
        </w:tc>
        <w:tc>
          <w:tcPr>
            <w:tcW w:w="1214" w:type="dxa"/>
            <w:tcBorders>
              <w:top w:val="single" w:sz="4" w:space="0" w:color="auto"/>
              <w:bottom w:val="nil"/>
            </w:tcBorders>
          </w:tcPr>
          <w:p w14:paraId="67D06BCD"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3.0 (04)</w:t>
            </w:r>
          </w:p>
        </w:tc>
        <w:tc>
          <w:tcPr>
            <w:tcW w:w="1216" w:type="dxa"/>
            <w:tcBorders>
              <w:top w:val="single" w:sz="4" w:space="0" w:color="auto"/>
              <w:bottom w:val="nil"/>
            </w:tcBorders>
          </w:tcPr>
          <w:p w14:paraId="41C4785B"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9.8 (14)</w:t>
            </w:r>
          </w:p>
        </w:tc>
        <w:tc>
          <w:tcPr>
            <w:tcW w:w="1170" w:type="dxa"/>
            <w:tcBorders>
              <w:top w:val="single" w:sz="4" w:space="0" w:color="auto"/>
              <w:bottom w:val="nil"/>
            </w:tcBorders>
          </w:tcPr>
          <w:p w14:paraId="294A0F94"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8.5 (10)</w:t>
            </w:r>
          </w:p>
        </w:tc>
        <w:tc>
          <w:tcPr>
            <w:tcW w:w="1260" w:type="dxa"/>
            <w:tcBorders>
              <w:top w:val="single" w:sz="4" w:space="0" w:color="auto"/>
              <w:bottom w:val="nil"/>
            </w:tcBorders>
          </w:tcPr>
          <w:p w14:paraId="19447669"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50 (59)</w:t>
            </w:r>
          </w:p>
        </w:tc>
      </w:tr>
      <w:tr w:rsidR="002B3375" w14:paraId="0AF6EA12" w14:textId="77777777" w:rsidTr="002700CF">
        <w:tc>
          <w:tcPr>
            <w:tcW w:w="959" w:type="dxa"/>
            <w:tcBorders>
              <w:top w:val="nil"/>
              <w:left w:val="nil"/>
              <w:bottom w:val="nil"/>
            </w:tcBorders>
          </w:tcPr>
          <w:p w14:paraId="1C5B15B3" w14:textId="77777777" w:rsidR="002B3375" w:rsidRDefault="002B3375" w:rsidP="002700CF">
            <w:pPr>
              <w:spacing w:line="276" w:lineRule="auto"/>
              <w:jc w:val="both"/>
              <w:rPr>
                <w:rFonts w:ascii="Times New Roman" w:hAnsi="Times New Roman" w:cs="Times New Roman"/>
              </w:rPr>
            </w:pPr>
          </w:p>
        </w:tc>
        <w:tc>
          <w:tcPr>
            <w:tcW w:w="1346" w:type="dxa"/>
            <w:tcBorders>
              <w:top w:val="nil"/>
              <w:bottom w:val="nil"/>
            </w:tcBorders>
          </w:tcPr>
          <w:p w14:paraId="6D5C2D58" w14:textId="77777777" w:rsidR="002B3375" w:rsidRDefault="002B3375" w:rsidP="002700CF">
            <w:pPr>
              <w:spacing w:line="276" w:lineRule="auto"/>
              <w:jc w:val="both"/>
              <w:rPr>
                <w:rFonts w:ascii="Times New Roman" w:hAnsi="Times New Roman" w:cs="Times New Roman"/>
              </w:rPr>
            </w:pPr>
            <w:r>
              <w:rPr>
                <w:rFonts w:ascii="Times New Roman" w:hAnsi="Times New Roman" w:cs="Times New Roman"/>
              </w:rPr>
              <w:t>Commerce</w:t>
            </w:r>
          </w:p>
        </w:tc>
        <w:tc>
          <w:tcPr>
            <w:tcW w:w="1110" w:type="dxa"/>
            <w:tcBorders>
              <w:top w:val="nil"/>
              <w:bottom w:val="nil"/>
            </w:tcBorders>
          </w:tcPr>
          <w:p w14:paraId="04448774"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2.5 (01)</w:t>
            </w:r>
          </w:p>
        </w:tc>
        <w:tc>
          <w:tcPr>
            <w:tcW w:w="1170" w:type="dxa"/>
            <w:tcBorders>
              <w:top w:val="nil"/>
              <w:bottom w:val="nil"/>
            </w:tcBorders>
          </w:tcPr>
          <w:p w14:paraId="540D11A1"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1.7 (03)</w:t>
            </w:r>
          </w:p>
        </w:tc>
        <w:tc>
          <w:tcPr>
            <w:tcW w:w="1214" w:type="dxa"/>
            <w:tcBorders>
              <w:top w:val="nil"/>
              <w:bottom w:val="nil"/>
            </w:tcBorders>
          </w:tcPr>
          <w:p w14:paraId="146A38F0"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17.2 (23)</w:t>
            </w:r>
          </w:p>
        </w:tc>
        <w:tc>
          <w:tcPr>
            <w:tcW w:w="1216" w:type="dxa"/>
            <w:tcBorders>
              <w:top w:val="nil"/>
              <w:bottom w:val="nil"/>
            </w:tcBorders>
          </w:tcPr>
          <w:p w14:paraId="4A1714CC"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16.1 (23)</w:t>
            </w:r>
          </w:p>
        </w:tc>
        <w:tc>
          <w:tcPr>
            <w:tcW w:w="1170" w:type="dxa"/>
            <w:tcBorders>
              <w:top w:val="nil"/>
              <w:bottom w:val="nil"/>
            </w:tcBorders>
          </w:tcPr>
          <w:p w14:paraId="7285A621"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13.6 (16)</w:t>
            </w:r>
          </w:p>
        </w:tc>
        <w:tc>
          <w:tcPr>
            <w:tcW w:w="1260" w:type="dxa"/>
            <w:tcBorders>
              <w:top w:val="nil"/>
              <w:bottom w:val="nil"/>
            </w:tcBorders>
          </w:tcPr>
          <w:p w14:paraId="0C433FE5"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24.6 (29)</w:t>
            </w:r>
          </w:p>
        </w:tc>
      </w:tr>
      <w:tr w:rsidR="002B3375" w14:paraId="654D8A62" w14:textId="77777777" w:rsidTr="002700CF">
        <w:tc>
          <w:tcPr>
            <w:tcW w:w="959" w:type="dxa"/>
            <w:tcBorders>
              <w:top w:val="nil"/>
            </w:tcBorders>
          </w:tcPr>
          <w:p w14:paraId="3D7E58A8" w14:textId="77777777" w:rsidR="002B3375" w:rsidRDefault="002B3375" w:rsidP="002700CF">
            <w:pPr>
              <w:spacing w:line="276" w:lineRule="auto"/>
              <w:jc w:val="both"/>
              <w:rPr>
                <w:rFonts w:ascii="Times New Roman" w:hAnsi="Times New Roman" w:cs="Times New Roman"/>
              </w:rPr>
            </w:pPr>
          </w:p>
        </w:tc>
        <w:tc>
          <w:tcPr>
            <w:tcW w:w="1346" w:type="dxa"/>
            <w:tcBorders>
              <w:top w:val="nil"/>
              <w:bottom w:val="nil"/>
            </w:tcBorders>
          </w:tcPr>
          <w:p w14:paraId="331BEDA3" w14:textId="77777777" w:rsidR="002B3375" w:rsidRDefault="002B3375" w:rsidP="002700CF">
            <w:pPr>
              <w:spacing w:line="276" w:lineRule="auto"/>
              <w:jc w:val="both"/>
              <w:rPr>
                <w:rFonts w:ascii="Times New Roman" w:hAnsi="Times New Roman" w:cs="Times New Roman"/>
              </w:rPr>
            </w:pPr>
            <w:r>
              <w:rPr>
                <w:rFonts w:ascii="Times New Roman" w:hAnsi="Times New Roman" w:cs="Times New Roman"/>
              </w:rPr>
              <w:t>Technology</w:t>
            </w:r>
          </w:p>
        </w:tc>
        <w:tc>
          <w:tcPr>
            <w:tcW w:w="1110" w:type="dxa"/>
            <w:tcBorders>
              <w:top w:val="nil"/>
              <w:bottom w:val="nil"/>
            </w:tcBorders>
          </w:tcPr>
          <w:p w14:paraId="5178606E"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7.5 (03)</w:t>
            </w:r>
          </w:p>
        </w:tc>
        <w:tc>
          <w:tcPr>
            <w:tcW w:w="1170" w:type="dxa"/>
            <w:tcBorders>
              <w:top w:val="nil"/>
              <w:bottom w:val="nil"/>
            </w:tcBorders>
          </w:tcPr>
          <w:p w14:paraId="12182A1D"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2.3 (04)</w:t>
            </w:r>
          </w:p>
        </w:tc>
        <w:tc>
          <w:tcPr>
            <w:tcW w:w="1214" w:type="dxa"/>
            <w:tcBorders>
              <w:top w:val="nil"/>
              <w:bottom w:val="nil"/>
            </w:tcBorders>
          </w:tcPr>
          <w:p w14:paraId="44145F52"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8.2 (11)</w:t>
            </w:r>
          </w:p>
        </w:tc>
        <w:tc>
          <w:tcPr>
            <w:tcW w:w="1216" w:type="dxa"/>
            <w:tcBorders>
              <w:top w:val="nil"/>
              <w:bottom w:val="nil"/>
            </w:tcBorders>
          </w:tcPr>
          <w:p w14:paraId="5C999CE3"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18.2 (26)</w:t>
            </w:r>
          </w:p>
        </w:tc>
        <w:tc>
          <w:tcPr>
            <w:tcW w:w="1170" w:type="dxa"/>
            <w:tcBorders>
              <w:top w:val="nil"/>
              <w:bottom w:val="nil"/>
            </w:tcBorders>
          </w:tcPr>
          <w:p w14:paraId="0C2490FA"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19.5 (23)</w:t>
            </w:r>
          </w:p>
        </w:tc>
        <w:tc>
          <w:tcPr>
            <w:tcW w:w="1260" w:type="dxa"/>
            <w:tcBorders>
              <w:top w:val="nil"/>
              <w:bottom w:val="nil"/>
            </w:tcBorders>
          </w:tcPr>
          <w:p w14:paraId="71DA787F"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20.3 (24)</w:t>
            </w:r>
          </w:p>
        </w:tc>
      </w:tr>
      <w:tr w:rsidR="002B3375" w14:paraId="6661EB53" w14:textId="77777777" w:rsidTr="002700CF">
        <w:tc>
          <w:tcPr>
            <w:tcW w:w="959" w:type="dxa"/>
          </w:tcPr>
          <w:p w14:paraId="6AC2C151" w14:textId="77777777" w:rsidR="002B3375" w:rsidRDefault="002B3375" w:rsidP="002700CF">
            <w:pPr>
              <w:spacing w:line="276" w:lineRule="auto"/>
              <w:jc w:val="both"/>
              <w:rPr>
                <w:rFonts w:ascii="Times New Roman" w:hAnsi="Times New Roman" w:cs="Times New Roman"/>
              </w:rPr>
            </w:pPr>
          </w:p>
        </w:tc>
        <w:tc>
          <w:tcPr>
            <w:tcW w:w="1346" w:type="dxa"/>
            <w:tcBorders>
              <w:top w:val="nil"/>
              <w:bottom w:val="nil"/>
            </w:tcBorders>
          </w:tcPr>
          <w:p w14:paraId="4C7F39F6" w14:textId="76BE6633" w:rsidR="002B3375" w:rsidRDefault="002B3375" w:rsidP="002700CF">
            <w:pPr>
              <w:spacing w:line="276" w:lineRule="auto"/>
              <w:jc w:val="both"/>
              <w:rPr>
                <w:rFonts w:ascii="Times New Roman" w:hAnsi="Times New Roman" w:cs="Times New Roman"/>
              </w:rPr>
            </w:pPr>
            <w:r>
              <w:rPr>
                <w:rFonts w:ascii="Times New Roman" w:hAnsi="Times New Roman" w:cs="Times New Roman"/>
              </w:rPr>
              <w:t>Bio</w:t>
            </w:r>
            <w:r w:rsidR="00A10547">
              <w:rPr>
                <w:rFonts w:ascii="Times New Roman" w:hAnsi="Times New Roman" w:cs="Times New Roman"/>
              </w:rPr>
              <w:t>logical science</w:t>
            </w:r>
          </w:p>
        </w:tc>
        <w:tc>
          <w:tcPr>
            <w:tcW w:w="1110" w:type="dxa"/>
            <w:tcBorders>
              <w:top w:val="nil"/>
              <w:bottom w:val="nil"/>
            </w:tcBorders>
          </w:tcPr>
          <w:p w14:paraId="47DF5DAC"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35.0 (14)</w:t>
            </w:r>
          </w:p>
        </w:tc>
        <w:tc>
          <w:tcPr>
            <w:tcW w:w="1170" w:type="dxa"/>
            <w:tcBorders>
              <w:top w:val="nil"/>
              <w:bottom w:val="nil"/>
            </w:tcBorders>
          </w:tcPr>
          <w:p w14:paraId="5F195803"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46.5 (80)</w:t>
            </w:r>
          </w:p>
        </w:tc>
        <w:tc>
          <w:tcPr>
            <w:tcW w:w="1214" w:type="dxa"/>
            <w:tcBorders>
              <w:top w:val="nil"/>
              <w:bottom w:val="nil"/>
            </w:tcBorders>
          </w:tcPr>
          <w:p w14:paraId="6A5264B2"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29.1 (39)</w:t>
            </w:r>
          </w:p>
        </w:tc>
        <w:tc>
          <w:tcPr>
            <w:tcW w:w="1216" w:type="dxa"/>
            <w:tcBorders>
              <w:top w:val="nil"/>
              <w:bottom w:val="nil"/>
            </w:tcBorders>
          </w:tcPr>
          <w:p w14:paraId="75EDF94C"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11.2 (16)</w:t>
            </w:r>
          </w:p>
        </w:tc>
        <w:tc>
          <w:tcPr>
            <w:tcW w:w="1170" w:type="dxa"/>
            <w:tcBorders>
              <w:top w:val="nil"/>
              <w:bottom w:val="nil"/>
            </w:tcBorders>
          </w:tcPr>
          <w:p w14:paraId="4581C362"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15.3 (18)</w:t>
            </w:r>
          </w:p>
        </w:tc>
        <w:tc>
          <w:tcPr>
            <w:tcW w:w="1260" w:type="dxa"/>
            <w:tcBorders>
              <w:top w:val="nil"/>
              <w:bottom w:val="nil"/>
            </w:tcBorders>
          </w:tcPr>
          <w:p w14:paraId="1E315A4D"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3.4 (04)</w:t>
            </w:r>
          </w:p>
        </w:tc>
      </w:tr>
      <w:tr w:rsidR="002B3375" w14:paraId="75A16D9C" w14:textId="77777777" w:rsidTr="002700CF">
        <w:tc>
          <w:tcPr>
            <w:tcW w:w="959" w:type="dxa"/>
            <w:tcBorders>
              <w:bottom w:val="single" w:sz="4" w:space="0" w:color="auto"/>
            </w:tcBorders>
          </w:tcPr>
          <w:p w14:paraId="558DC790" w14:textId="77777777" w:rsidR="002B3375" w:rsidRDefault="002B3375" w:rsidP="002700CF">
            <w:pPr>
              <w:spacing w:line="276" w:lineRule="auto"/>
              <w:jc w:val="both"/>
              <w:rPr>
                <w:rFonts w:ascii="Times New Roman" w:hAnsi="Times New Roman" w:cs="Times New Roman"/>
              </w:rPr>
            </w:pPr>
          </w:p>
        </w:tc>
        <w:tc>
          <w:tcPr>
            <w:tcW w:w="1346" w:type="dxa"/>
            <w:tcBorders>
              <w:top w:val="nil"/>
              <w:bottom w:val="single" w:sz="4" w:space="0" w:color="auto"/>
            </w:tcBorders>
          </w:tcPr>
          <w:p w14:paraId="3B2DB52E" w14:textId="70936EC5" w:rsidR="002B3375" w:rsidRDefault="00A10547" w:rsidP="002700CF">
            <w:pPr>
              <w:spacing w:line="276" w:lineRule="auto"/>
              <w:jc w:val="both"/>
              <w:rPr>
                <w:rFonts w:ascii="Times New Roman" w:hAnsi="Times New Roman" w:cs="Times New Roman"/>
              </w:rPr>
            </w:pPr>
            <w:r>
              <w:rPr>
                <w:rFonts w:ascii="Times New Roman" w:hAnsi="Times New Roman" w:cs="Times New Roman"/>
              </w:rPr>
              <w:t>Physical Science</w:t>
            </w:r>
          </w:p>
        </w:tc>
        <w:tc>
          <w:tcPr>
            <w:tcW w:w="1110" w:type="dxa"/>
            <w:tcBorders>
              <w:top w:val="nil"/>
              <w:bottom w:val="single" w:sz="4" w:space="0" w:color="auto"/>
            </w:tcBorders>
          </w:tcPr>
          <w:p w14:paraId="638C85B1"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40.0 (16)</w:t>
            </w:r>
          </w:p>
        </w:tc>
        <w:tc>
          <w:tcPr>
            <w:tcW w:w="1170" w:type="dxa"/>
            <w:tcBorders>
              <w:top w:val="nil"/>
              <w:bottom w:val="single" w:sz="4" w:space="0" w:color="auto"/>
            </w:tcBorders>
          </w:tcPr>
          <w:p w14:paraId="20F1CB4B"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29.7 (51)</w:t>
            </w:r>
          </w:p>
        </w:tc>
        <w:tc>
          <w:tcPr>
            <w:tcW w:w="1214" w:type="dxa"/>
            <w:tcBorders>
              <w:top w:val="nil"/>
              <w:bottom w:val="single" w:sz="4" w:space="0" w:color="auto"/>
            </w:tcBorders>
          </w:tcPr>
          <w:p w14:paraId="7710B69D"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42.5 (57)</w:t>
            </w:r>
          </w:p>
        </w:tc>
        <w:tc>
          <w:tcPr>
            <w:tcW w:w="1216" w:type="dxa"/>
            <w:tcBorders>
              <w:top w:val="nil"/>
              <w:bottom w:val="single" w:sz="4" w:space="0" w:color="auto"/>
            </w:tcBorders>
          </w:tcPr>
          <w:p w14:paraId="573A91FB"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44.8 (64)</w:t>
            </w:r>
          </w:p>
        </w:tc>
        <w:tc>
          <w:tcPr>
            <w:tcW w:w="1170" w:type="dxa"/>
            <w:tcBorders>
              <w:top w:val="nil"/>
              <w:bottom w:val="single" w:sz="4" w:space="0" w:color="auto"/>
            </w:tcBorders>
          </w:tcPr>
          <w:p w14:paraId="7CFF2837"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43.2 (51)</w:t>
            </w:r>
          </w:p>
        </w:tc>
        <w:tc>
          <w:tcPr>
            <w:tcW w:w="1260" w:type="dxa"/>
            <w:tcBorders>
              <w:top w:val="nil"/>
              <w:bottom w:val="single" w:sz="4" w:space="0" w:color="auto"/>
            </w:tcBorders>
          </w:tcPr>
          <w:p w14:paraId="63B6C49C"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1.7 (02)</w:t>
            </w:r>
          </w:p>
        </w:tc>
      </w:tr>
      <w:tr w:rsidR="002B3375" w14:paraId="2C41D6C9" w14:textId="77777777" w:rsidTr="002700CF">
        <w:tc>
          <w:tcPr>
            <w:tcW w:w="959" w:type="dxa"/>
            <w:tcBorders>
              <w:top w:val="single" w:sz="4" w:space="0" w:color="auto"/>
              <w:bottom w:val="single" w:sz="4" w:space="0" w:color="auto"/>
            </w:tcBorders>
          </w:tcPr>
          <w:p w14:paraId="4CF6EAD0" w14:textId="77777777" w:rsidR="002B3375" w:rsidRPr="00031054" w:rsidRDefault="002B3375" w:rsidP="002700CF">
            <w:pPr>
              <w:spacing w:line="276" w:lineRule="auto"/>
              <w:jc w:val="both"/>
              <w:rPr>
                <w:rFonts w:ascii="Times New Roman" w:hAnsi="Times New Roman" w:cs="Times New Roman"/>
                <w:b/>
                <w:bCs/>
              </w:rPr>
            </w:pPr>
            <w:r w:rsidRPr="00031054">
              <w:rPr>
                <w:rFonts w:ascii="Times New Roman" w:hAnsi="Times New Roman" w:cs="Times New Roman"/>
                <w:b/>
                <w:bCs/>
              </w:rPr>
              <w:t>Total</w:t>
            </w:r>
          </w:p>
        </w:tc>
        <w:tc>
          <w:tcPr>
            <w:tcW w:w="1346" w:type="dxa"/>
            <w:tcBorders>
              <w:top w:val="single" w:sz="4" w:space="0" w:color="auto"/>
              <w:bottom w:val="single" w:sz="4" w:space="0" w:color="auto"/>
            </w:tcBorders>
          </w:tcPr>
          <w:p w14:paraId="379B1231" w14:textId="77777777" w:rsidR="002B3375" w:rsidRDefault="002B3375" w:rsidP="002700CF">
            <w:pPr>
              <w:spacing w:line="276" w:lineRule="auto"/>
              <w:jc w:val="both"/>
              <w:rPr>
                <w:rFonts w:ascii="Times New Roman" w:hAnsi="Times New Roman" w:cs="Times New Roman"/>
              </w:rPr>
            </w:pPr>
          </w:p>
        </w:tc>
        <w:tc>
          <w:tcPr>
            <w:tcW w:w="1110" w:type="dxa"/>
            <w:tcBorders>
              <w:top w:val="single" w:sz="4" w:space="0" w:color="auto"/>
              <w:bottom w:val="single" w:sz="4" w:space="0" w:color="auto"/>
            </w:tcBorders>
          </w:tcPr>
          <w:p w14:paraId="5315B977"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(40)</w:t>
            </w:r>
          </w:p>
        </w:tc>
        <w:tc>
          <w:tcPr>
            <w:tcW w:w="1170" w:type="dxa"/>
            <w:tcBorders>
              <w:top w:val="single" w:sz="4" w:space="0" w:color="auto"/>
              <w:bottom w:val="single" w:sz="4" w:space="0" w:color="auto"/>
            </w:tcBorders>
          </w:tcPr>
          <w:p w14:paraId="0378F801"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 xml:space="preserve"> (172)</w:t>
            </w:r>
          </w:p>
        </w:tc>
        <w:tc>
          <w:tcPr>
            <w:tcW w:w="1214" w:type="dxa"/>
            <w:tcBorders>
              <w:top w:val="single" w:sz="4" w:space="0" w:color="auto"/>
              <w:bottom w:val="single" w:sz="4" w:space="0" w:color="auto"/>
            </w:tcBorders>
          </w:tcPr>
          <w:p w14:paraId="52CEF5CF"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(134)</w:t>
            </w:r>
          </w:p>
        </w:tc>
        <w:tc>
          <w:tcPr>
            <w:tcW w:w="1216" w:type="dxa"/>
            <w:tcBorders>
              <w:top w:val="single" w:sz="4" w:space="0" w:color="auto"/>
              <w:bottom w:val="single" w:sz="4" w:space="0" w:color="auto"/>
            </w:tcBorders>
          </w:tcPr>
          <w:p w14:paraId="68B8EFEC"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(143)</w:t>
            </w:r>
          </w:p>
        </w:tc>
        <w:tc>
          <w:tcPr>
            <w:tcW w:w="1170" w:type="dxa"/>
            <w:tcBorders>
              <w:top w:val="single" w:sz="4" w:space="0" w:color="auto"/>
              <w:bottom w:val="single" w:sz="4" w:space="0" w:color="auto"/>
            </w:tcBorders>
          </w:tcPr>
          <w:p w14:paraId="19D915E4"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(118)</w:t>
            </w:r>
          </w:p>
        </w:tc>
        <w:tc>
          <w:tcPr>
            <w:tcW w:w="1260" w:type="dxa"/>
            <w:tcBorders>
              <w:top w:val="single" w:sz="4" w:space="0" w:color="auto"/>
              <w:bottom w:val="single" w:sz="4" w:space="0" w:color="auto"/>
            </w:tcBorders>
          </w:tcPr>
          <w:p w14:paraId="3829878C"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(118)</w:t>
            </w:r>
          </w:p>
        </w:tc>
      </w:tr>
    </w:tbl>
    <w:p w14:paraId="779CA4A4" w14:textId="77777777" w:rsidR="006C4AF7" w:rsidRPr="005719B1" w:rsidRDefault="006C4AF7" w:rsidP="005719B1">
      <w:pPr>
        <w:spacing w:line="360" w:lineRule="auto"/>
        <w:jc w:val="both"/>
        <w:rPr>
          <w:rFonts w:ascii="Times New Roman" w:hAnsi="Times New Roman" w:cs="Times New Roman"/>
        </w:rPr>
      </w:pPr>
    </w:p>
    <w:p w14:paraId="564F0A29" w14:textId="7ED02B08" w:rsidR="006F65F6" w:rsidRDefault="00AA5A02" w:rsidP="00AA5A02">
      <w:pPr>
        <w:spacing w:line="276" w:lineRule="auto"/>
        <w:jc w:val="both"/>
        <w:rPr>
          <w:rFonts w:ascii="Times New Roman" w:eastAsia="Times New Roman" w:hAnsi="Times New Roman" w:cs="Times New Roman"/>
          <w:kern w:val="0"/>
          <w14:ligatures w14:val="none"/>
        </w:rPr>
      </w:pPr>
      <w:r w:rsidRPr="00BF18B6">
        <w:rPr>
          <w:rFonts w:ascii="Times New Roman" w:eastAsia="Times New Roman" w:hAnsi="Times New Roman" w:cs="Times New Roman"/>
          <w:kern w:val="0"/>
          <w14:ligatures w14:val="none"/>
        </w:rPr>
        <w:t xml:space="preserve">A major policy change was implemented beginning with the 2023/2024 academic year intake when the University Grants Commission (UGC) standardized the admission process for the IT related undergraduate degree </w:t>
      </w:r>
      <w:proofErr w:type="spellStart"/>
      <w:r w:rsidRPr="00BF18B6">
        <w:rPr>
          <w:rFonts w:ascii="Times New Roman" w:eastAsia="Times New Roman" w:hAnsi="Times New Roman" w:cs="Times New Roman"/>
          <w:kern w:val="0"/>
          <w14:ligatures w14:val="none"/>
        </w:rPr>
        <w:t>programmes</w:t>
      </w:r>
      <w:proofErr w:type="spellEnd"/>
      <w:r w:rsidRPr="00BF18B6">
        <w:rPr>
          <w:rFonts w:ascii="Times New Roman" w:eastAsia="Times New Roman" w:hAnsi="Times New Roman" w:cs="Times New Roman"/>
          <w:kern w:val="0"/>
          <w14:ligatures w14:val="none"/>
        </w:rPr>
        <w:t xml:space="preserve"> by selecting students </w:t>
      </w:r>
      <w:r w:rsidRPr="00BF18B6">
        <w:rPr>
          <w:rFonts w:ascii="Times New Roman" w:hAnsi="Times New Roman" w:cs="Times New Roman"/>
        </w:rPr>
        <w:t>relying solely on A/L Z-scores</w:t>
      </w:r>
      <w:r w:rsidRPr="00BF18B6">
        <w:rPr>
          <w:rFonts w:ascii="Times New Roman" w:eastAsia="Times New Roman" w:hAnsi="Times New Roman" w:cs="Times New Roman"/>
          <w:kern w:val="0"/>
          <w14:ligatures w14:val="none"/>
        </w:rPr>
        <w:t xml:space="preserve"> and removing </w:t>
      </w:r>
      <w:r w:rsidRPr="00BF18B6">
        <w:rPr>
          <w:rFonts w:ascii="Times New Roman" w:hAnsi="Times New Roman" w:cs="Times New Roman"/>
        </w:rPr>
        <w:t>aptitude-based selection component.</w:t>
      </w:r>
      <w:r w:rsidRPr="00BF18B6">
        <w:rPr>
          <w:rFonts w:ascii="Times New Roman" w:eastAsia="Times New Roman" w:hAnsi="Times New Roman" w:cs="Times New Roman"/>
          <w:kern w:val="0"/>
          <w14:ligatures w14:val="none"/>
        </w:rPr>
        <w:t xml:space="preserve"> </w:t>
      </w:r>
      <w:r w:rsidR="004316EC" w:rsidRPr="004316EC">
        <w:rPr>
          <w:rFonts w:ascii="Times New Roman" w:hAnsi="Times New Roman" w:cs="Times New Roman"/>
        </w:rPr>
        <w:t xml:space="preserve">This shift </w:t>
      </w:r>
      <w:r w:rsidR="005F1DCB" w:rsidRPr="005F1DCB">
        <w:rPr>
          <w:rFonts w:ascii="Times New Roman" w:hAnsi="Times New Roman" w:cs="Times New Roman"/>
        </w:rPr>
        <w:t>fundamentally</w:t>
      </w:r>
      <w:r w:rsidR="004316EC" w:rsidRPr="004316EC">
        <w:rPr>
          <w:rFonts w:ascii="Times New Roman" w:hAnsi="Times New Roman" w:cs="Times New Roman"/>
        </w:rPr>
        <w:t xml:space="preserve"> altered</w:t>
      </w:r>
      <w:r w:rsidR="005F1DCB" w:rsidRPr="005F1DCB">
        <w:rPr>
          <w:rFonts w:ascii="Times New Roman" w:hAnsi="Times New Roman" w:cs="Times New Roman"/>
        </w:rPr>
        <w:t xml:space="preserve"> the academic backgrounds of students enrolling in IT undergraduate </w:t>
      </w:r>
      <w:r w:rsidR="00C348FC">
        <w:rPr>
          <w:rFonts w:ascii="Times New Roman" w:hAnsi="Times New Roman" w:cs="Times New Roman"/>
        </w:rPr>
        <w:t xml:space="preserve">degree </w:t>
      </w:r>
      <w:proofErr w:type="spellStart"/>
      <w:r w:rsidR="005F1DCB" w:rsidRPr="005F1DCB">
        <w:rPr>
          <w:rFonts w:ascii="Times New Roman" w:hAnsi="Times New Roman" w:cs="Times New Roman"/>
        </w:rPr>
        <w:t>programmes</w:t>
      </w:r>
      <w:proofErr w:type="spellEnd"/>
      <w:r w:rsidR="005F1DCB" w:rsidRPr="005F1DCB">
        <w:rPr>
          <w:rFonts w:ascii="Times New Roman" w:hAnsi="Times New Roman" w:cs="Times New Roman"/>
        </w:rPr>
        <w:t>.</w:t>
      </w:r>
      <w:r w:rsidR="00A97769">
        <w:rPr>
          <w:rFonts w:ascii="Times New Roman" w:hAnsi="Times New Roman" w:cs="Times New Roman"/>
        </w:rPr>
        <w:t xml:space="preserve"> </w:t>
      </w:r>
      <w:r w:rsidR="00A97769" w:rsidRPr="00A97769">
        <w:rPr>
          <w:rFonts w:ascii="Times New Roman" w:eastAsia="Times New Roman" w:hAnsi="Times New Roman" w:cs="Times New Roman"/>
          <w:kern w:val="0"/>
          <w14:ligatures w14:val="none"/>
        </w:rPr>
        <w:t xml:space="preserve">Under the previous system (2018/19–2022/23), cohorts were predominantly from the </w:t>
      </w:r>
      <w:r w:rsidR="00EC2779">
        <w:rPr>
          <w:rFonts w:ascii="Times New Roman" w:eastAsia="Times New Roman" w:hAnsi="Times New Roman" w:cs="Times New Roman"/>
          <w:kern w:val="0"/>
          <w14:ligatures w14:val="none"/>
        </w:rPr>
        <w:t>Physical</w:t>
      </w:r>
      <w:r w:rsidR="00A97769" w:rsidRPr="00A97769">
        <w:rPr>
          <w:rFonts w:ascii="Times New Roman" w:eastAsia="Times New Roman" w:hAnsi="Times New Roman" w:cs="Times New Roman"/>
          <w:kern w:val="0"/>
          <w14:ligatures w14:val="none"/>
        </w:rPr>
        <w:t xml:space="preserve"> and Biological Science streams, collectively representing the majority of admitted students. In contrast, the 2023/24 cohort admitted under the Z-score</w:t>
      </w:r>
      <w:r w:rsidR="00B82EED">
        <w:rPr>
          <w:rFonts w:ascii="Times New Roman" w:eastAsia="Times New Roman" w:hAnsi="Times New Roman" w:cs="Times New Roman"/>
          <w:kern w:val="0"/>
          <w14:ligatures w14:val="none"/>
        </w:rPr>
        <w:t xml:space="preserve"> </w:t>
      </w:r>
      <w:r w:rsidR="00A97769" w:rsidRPr="00A97769">
        <w:rPr>
          <w:rFonts w:ascii="Times New Roman" w:eastAsia="Times New Roman" w:hAnsi="Times New Roman" w:cs="Times New Roman"/>
          <w:kern w:val="0"/>
          <w14:ligatures w14:val="none"/>
        </w:rPr>
        <w:t xml:space="preserve">only policy comprised primarily Arts (50%) and Commerce (24.6%) students, while representation from </w:t>
      </w:r>
      <w:r w:rsidR="00335CD1">
        <w:rPr>
          <w:rFonts w:ascii="Times New Roman" w:eastAsia="Times New Roman" w:hAnsi="Times New Roman" w:cs="Times New Roman"/>
          <w:kern w:val="0"/>
          <w14:ligatures w14:val="none"/>
        </w:rPr>
        <w:t>Physical</w:t>
      </w:r>
      <w:r w:rsidR="00A97769" w:rsidRPr="00A97769">
        <w:rPr>
          <w:rFonts w:ascii="Times New Roman" w:eastAsia="Times New Roman" w:hAnsi="Times New Roman" w:cs="Times New Roman"/>
          <w:kern w:val="0"/>
          <w14:ligatures w14:val="none"/>
        </w:rPr>
        <w:t xml:space="preserve"> and Biological Science streams declined markedly to 1.7% and 3.4%, respectively</w:t>
      </w:r>
      <w:r w:rsidR="003531EE">
        <w:rPr>
          <w:rFonts w:ascii="Times New Roman" w:eastAsia="Times New Roman" w:hAnsi="Times New Roman" w:cs="Times New Roman"/>
          <w:kern w:val="0"/>
          <w14:ligatures w14:val="none"/>
        </w:rPr>
        <w:t xml:space="preserve"> (See Table 01)</w:t>
      </w:r>
      <w:r w:rsidR="00A97769" w:rsidRPr="00A97769">
        <w:rPr>
          <w:rFonts w:ascii="Times New Roman" w:eastAsia="Times New Roman" w:hAnsi="Times New Roman" w:cs="Times New Roman"/>
          <w:kern w:val="0"/>
          <w14:ligatures w14:val="none"/>
        </w:rPr>
        <w:t>. This redistribution indicates a substantial transition from STEM</w:t>
      </w:r>
      <w:r w:rsidR="003531EE">
        <w:rPr>
          <w:rFonts w:ascii="Times New Roman" w:eastAsia="Times New Roman" w:hAnsi="Times New Roman" w:cs="Times New Roman"/>
          <w:kern w:val="0"/>
          <w14:ligatures w14:val="none"/>
        </w:rPr>
        <w:t xml:space="preserve"> </w:t>
      </w:r>
      <w:r w:rsidR="00A97769" w:rsidRPr="00A97769">
        <w:rPr>
          <w:rFonts w:ascii="Times New Roman" w:eastAsia="Times New Roman" w:hAnsi="Times New Roman" w:cs="Times New Roman"/>
          <w:kern w:val="0"/>
          <w14:ligatures w14:val="none"/>
        </w:rPr>
        <w:t>dominated cohorts to non-STEM</w:t>
      </w:r>
      <w:r w:rsidR="003531EE">
        <w:rPr>
          <w:rFonts w:ascii="Times New Roman" w:eastAsia="Times New Roman" w:hAnsi="Times New Roman" w:cs="Times New Roman"/>
          <w:kern w:val="0"/>
          <w14:ligatures w14:val="none"/>
        </w:rPr>
        <w:t xml:space="preserve"> </w:t>
      </w:r>
      <w:r w:rsidR="00A97769" w:rsidRPr="00A97769">
        <w:rPr>
          <w:rFonts w:ascii="Times New Roman" w:eastAsia="Times New Roman" w:hAnsi="Times New Roman" w:cs="Times New Roman"/>
          <w:kern w:val="0"/>
          <w14:ligatures w14:val="none"/>
        </w:rPr>
        <w:t>dominated cohorts.</w:t>
      </w:r>
    </w:p>
    <w:p w14:paraId="1430C312" w14:textId="602412CE" w:rsidR="00752EBC" w:rsidRPr="00EC6174" w:rsidRDefault="00752EBC" w:rsidP="00AA5A02">
      <w:pPr>
        <w:spacing w:line="276" w:lineRule="auto"/>
        <w:jc w:val="both"/>
        <w:rPr>
          <w:rFonts w:ascii="Times New Roman" w:hAnsi="Times New Roman" w:cs="Times New Roman"/>
        </w:rPr>
      </w:pPr>
      <w:r w:rsidRPr="00752EBC">
        <w:rPr>
          <w:rFonts w:ascii="Times New Roman" w:hAnsi="Times New Roman" w:cs="Times New Roman"/>
        </w:rPr>
        <w:t xml:space="preserve">While the policy promotes inclusivity and broader access to higher education, it raises critical questions regarding students’ preparedness and performance in IT core courses. Understanding how A/L backgrounds influence academic </w:t>
      </w:r>
      <w:r w:rsidR="00FA530D" w:rsidRPr="00FA530D">
        <w:rPr>
          <w:rFonts w:ascii="Times New Roman" w:hAnsi="Times New Roman" w:cs="Times New Roman"/>
        </w:rPr>
        <w:t>perform</w:t>
      </w:r>
      <w:r w:rsidR="00FA530D">
        <w:rPr>
          <w:rFonts w:ascii="Times New Roman" w:hAnsi="Times New Roman" w:cs="Times New Roman"/>
        </w:rPr>
        <w:t>ance</w:t>
      </w:r>
      <w:r w:rsidR="00FA530D" w:rsidRPr="00FA530D">
        <w:rPr>
          <w:rFonts w:ascii="Times New Roman" w:hAnsi="Times New Roman" w:cs="Times New Roman"/>
        </w:rPr>
        <w:t xml:space="preserve"> in core IT course units once admitted</w:t>
      </w:r>
      <w:r w:rsidRPr="00752EBC">
        <w:rPr>
          <w:rFonts w:ascii="Times New Roman" w:hAnsi="Times New Roman" w:cs="Times New Roman"/>
        </w:rPr>
        <w:t xml:space="preserve"> is essential for designing targeted academic support </w:t>
      </w:r>
      <w:r w:rsidR="00906DC5">
        <w:rPr>
          <w:rFonts w:ascii="Times New Roman" w:hAnsi="Times New Roman" w:cs="Times New Roman"/>
        </w:rPr>
        <w:t xml:space="preserve">to ensure </w:t>
      </w:r>
      <w:r w:rsidR="00342C69">
        <w:rPr>
          <w:rFonts w:ascii="Times New Roman" w:hAnsi="Times New Roman" w:cs="Times New Roman"/>
        </w:rPr>
        <w:t xml:space="preserve">student success </w:t>
      </w:r>
      <w:r w:rsidRPr="00752EBC">
        <w:rPr>
          <w:rFonts w:ascii="Times New Roman" w:hAnsi="Times New Roman" w:cs="Times New Roman"/>
        </w:rPr>
        <w:t>and evaluating the efficacy of the revised admission criteria.</w:t>
      </w:r>
    </w:p>
    <w:p w14:paraId="1129AEDA" w14:textId="77777777" w:rsidR="009B3610" w:rsidRDefault="009B3610" w:rsidP="00047599">
      <w:pPr>
        <w:spacing w:line="276" w:lineRule="auto"/>
        <w:jc w:val="both"/>
        <w:rPr>
          <w:rFonts w:ascii="Times New Roman" w:hAnsi="Times New Roman" w:cs="Times New Roman"/>
          <w:b/>
          <w:bCs/>
        </w:rPr>
      </w:pPr>
    </w:p>
    <w:p w14:paraId="49A5668F" w14:textId="77777777" w:rsidR="009B3610" w:rsidRDefault="009B3610" w:rsidP="00047599">
      <w:pPr>
        <w:spacing w:line="276" w:lineRule="auto"/>
        <w:jc w:val="both"/>
        <w:rPr>
          <w:rFonts w:ascii="Times New Roman" w:hAnsi="Times New Roman" w:cs="Times New Roman"/>
          <w:b/>
          <w:bCs/>
        </w:rPr>
      </w:pPr>
    </w:p>
    <w:p w14:paraId="083E03CC" w14:textId="77777777" w:rsidR="009B3610" w:rsidRDefault="00640E1B" w:rsidP="009B3610">
      <w:pPr>
        <w:spacing w:line="276" w:lineRule="auto"/>
        <w:jc w:val="both"/>
      </w:pPr>
      <w:r>
        <w:rPr>
          <w:rFonts w:ascii="Times New Roman" w:hAnsi="Times New Roman" w:cs="Times New Roman"/>
          <w:b/>
          <w:bCs/>
        </w:rPr>
        <w:t>Problem Identification</w:t>
      </w:r>
      <w:r w:rsidR="009B3610" w:rsidRPr="009B3610">
        <w:t xml:space="preserve"> </w:t>
      </w:r>
    </w:p>
    <w:p w14:paraId="359C9254" w14:textId="6AD13924" w:rsidR="00C6208F" w:rsidRDefault="00C6208F" w:rsidP="004B6BAF">
      <w:pPr>
        <w:pStyle w:val="NormalWeb"/>
        <w:spacing w:line="276" w:lineRule="auto"/>
        <w:jc w:val="both"/>
        <w:rPr>
          <w:rFonts w:eastAsiaTheme="minorHAnsi"/>
          <w:kern w:val="2"/>
          <w14:ligatures w14:val="standardContextual"/>
        </w:rPr>
      </w:pPr>
      <w:r w:rsidRPr="00C6208F">
        <w:rPr>
          <w:rFonts w:eastAsiaTheme="minorHAnsi"/>
          <w:kern w:val="2"/>
          <w14:ligatures w14:val="standardContextual"/>
        </w:rPr>
        <w:t xml:space="preserve">Mathematics proficiency is a key determinant of success in IT degree </w:t>
      </w:r>
      <w:proofErr w:type="spellStart"/>
      <w:r w:rsidRPr="00C6208F">
        <w:rPr>
          <w:rFonts w:eastAsiaTheme="minorHAnsi"/>
          <w:kern w:val="2"/>
          <w14:ligatures w14:val="standardContextual"/>
        </w:rPr>
        <w:t>programmes</w:t>
      </w:r>
      <w:proofErr w:type="spellEnd"/>
      <w:r w:rsidRPr="00C6208F">
        <w:rPr>
          <w:rFonts w:eastAsiaTheme="minorHAnsi"/>
          <w:kern w:val="2"/>
          <w14:ligatures w14:val="standardContextual"/>
        </w:rPr>
        <w:t xml:space="preserve">, underpinning analytical reasoning, algorithmic thinking, and computational problem-solving (Popham, 2005; Rapoport, 1973). Students with weaker mathematical foundations often underperform in STEM courses, particularly when mathematical instruction lacks clear application (Geary, 2013). Prior studies indicate that performance in mathematics and prior academic achievement account for a substantial portion of variance in undergraduate IT performance (Hostetler, 1983; Campbell &amp; McCabe, 1984; Wilson &amp; Shrock, 2001; Golding &amp; </w:t>
      </w:r>
      <w:proofErr w:type="spellStart"/>
      <w:r w:rsidRPr="00C6208F">
        <w:rPr>
          <w:rFonts w:eastAsiaTheme="minorHAnsi"/>
          <w:kern w:val="2"/>
          <w14:ligatures w14:val="standardContextual"/>
        </w:rPr>
        <w:t>McNamarah</w:t>
      </w:r>
      <w:proofErr w:type="spellEnd"/>
      <w:r w:rsidRPr="00C6208F">
        <w:rPr>
          <w:rFonts w:eastAsiaTheme="minorHAnsi"/>
          <w:kern w:val="2"/>
          <w14:ligatures w14:val="standardContextual"/>
        </w:rPr>
        <w:t xml:space="preserve">, 2005; </w:t>
      </w:r>
      <w:proofErr w:type="spellStart"/>
      <w:r w:rsidRPr="00C6208F">
        <w:rPr>
          <w:rFonts w:eastAsiaTheme="minorHAnsi"/>
          <w:kern w:val="2"/>
          <w14:ligatures w14:val="standardContextual"/>
        </w:rPr>
        <w:t>Rahinel</w:t>
      </w:r>
      <w:proofErr w:type="spellEnd"/>
      <w:r w:rsidRPr="00C6208F">
        <w:rPr>
          <w:rFonts w:eastAsiaTheme="minorHAnsi"/>
          <w:kern w:val="2"/>
          <w14:ligatures w14:val="standardContextual"/>
        </w:rPr>
        <w:t xml:space="preserve"> et al., 2005; Zekarias, et. al., 2015., Abdullah &amp; </w:t>
      </w:r>
      <w:proofErr w:type="spellStart"/>
      <w:r w:rsidRPr="00C6208F">
        <w:rPr>
          <w:rFonts w:eastAsiaTheme="minorHAnsi"/>
          <w:kern w:val="2"/>
          <w14:ligatures w14:val="standardContextual"/>
        </w:rPr>
        <w:t>Mizra</w:t>
      </w:r>
      <w:proofErr w:type="spellEnd"/>
      <w:r w:rsidRPr="00C6208F">
        <w:rPr>
          <w:rFonts w:eastAsiaTheme="minorHAnsi"/>
          <w:kern w:val="2"/>
          <w14:ligatures w14:val="standardContextual"/>
        </w:rPr>
        <w:t>, 2018). Moreover, mastery of foundational mathematics and introductory programming predicts success in advanced IT courses such as algorithms and data structures (</w:t>
      </w:r>
      <w:r w:rsidR="00D2431B">
        <w:rPr>
          <w:rFonts w:eastAsiaTheme="minorHAnsi"/>
          <w:kern w:val="2"/>
          <w14:ligatures w14:val="standardContextual"/>
        </w:rPr>
        <w:t>Sritharan, 2018</w:t>
      </w:r>
      <w:r w:rsidR="009503CC">
        <w:rPr>
          <w:rFonts w:eastAsiaTheme="minorHAnsi"/>
          <w:kern w:val="2"/>
          <w14:ligatures w14:val="standardContextual"/>
        </w:rPr>
        <w:t xml:space="preserve">; </w:t>
      </w:r>
      <w:r w:rsidRPr="00C6208F">
        <w:rPr>
          <w:rFonts w:eastAsiaTheme="minorHAnsi"/>
          <w:kern w:val="2"/>
          <w14:ligatures w14:val="standardContextual"/>
        </w:rPr>
        <w:t>Chen, et. al., 2020; Koul et al., 2021).</w:t>
      </w:r>
    </w:p>
    <w:p w14:paraId="00BBEC90" w14:textId="49DCC5C9" w:rsidR="00653ED7" w:rsidRDefault="00653ED7" w:rsidP="004B6BAF">
      <w:pPr>
        <w:pStyle w:val="NormalWeb"/>
        <w:spacing w:line="276" w:lineRule="auto"/>
        <w:jc w:val="both"/>
      </w:pPr>
      <w:r w:rsidRPr="00653ED7">
        <w:t xml:space="preserve">In Sri Lanka, Physical Science stream students typically benefit from stronger mathematical and analytical training, giving them an advantage in IT </w:t>
      </w:r>
      <w:proofErr w:type="spellStart"/>
      <w:r w:rsidRPr="00653ED7">
        <w:t>programmes</w:t>
      </w:r>
      <w:proofErr w:type="spellEnd"/>
      <w:r w:rsidRPr="00653ED7">
        <w:t>. However, the revised Z-score</w:t>
      </w:r>
      <w:r w:rsidR="00953653">
        <w:t xml:space="preserve"> </w:t>
      </w:r>
      <w:r w:rsidRPr="00653ED7">
        <w:t xml:space="preserve">only admission policy has increased enrolment from non-STEM streams, where students have </w:t>
      </w:r>
      <w:r w:rsidR="00942ECD">
        <w:t xml:space="preserve">very </w:t>
      </w:r>
      <w:r w:rsidRPr="00653ED7">
        <w:t>limited exposure to mathematics and analytical reasoning. This shift raises concerns regarding academic preparedness and highlights the need to empirically investigate the relationship between A/L study streams and undergraduate performance in IT core course</w:t>
      </w:r>
      <w:r w:rsidR="000B3BFC">
        <w:t xml:space="preserve"> units</w:t>
      </w:r>
    </w:p>
    <w:p w14:paraId="12C6F5FB" w14:textId="7490BED7" w:rsidR="00931FFE" w:rsidRDefault="00931FFE" w:rsidP="004B6BAF">
      <w:pPr>
        <w:pStyle w:val="NormalWeb"/>
        <w:spacing w:line="276" w:lineRule="auto"/>
        <w:jc w:val="both"/>
      </w:pPr>
      <w:r w:rsidRPr="00931FFE">
        <w:t>Despite this major structural change in admissions, empirical evidence on</w:t>
      </w:r>
      <w:r w:rsidR="003B10BE" w:rsidRPr="003B10BE">
        <w:t xml:space="preserve"> the impact of A/L streams </w:t>
      </w:r>
      <w:r w:rsidR="00605E8F" w:rsidRPr="003B10BE">
        <w:t>on performance</w:t>
      </w:r>
      <w:r w:rsidR="003B10BE">
        <w:t xml:space="preserve"> </w:t>
      </w:r>
      <w:r w:rsidR="00C007D8">
        <w:t>of IT</w:t>
      </w:r>
      <w:r w:rsidR="003B10BE">
        <w:t xml:space="preserve"> </w:t>
      </w:r>
      <w:r w:rsidR="000B3BFC">
        <w:t xml:space="preserve">core courses </w:t>
      </w:r>
      <w:r w:rsidRPr="00931FFE">
        <w:t xml:space="preserve">remains limited. </w:t>
      </w:r>
      <w:r w:rsidR="00D05F7C" w:rsidRPr="00D05F7C">
        <w:t>This lack of research limits the ability of universities to evaluate the appropriateness of the current admission criteria, identify potential performance disparities across streams, and implement targeted academic support measures.</w:t>
      </w:r>
      <w:r w:rsidR="008B68A2">
        <w:t xml:space="preserve"> </w:t>
      </w:r>
      <w:r w:rsidRPr="00931FFE">
        <w:t xml:space="preserve">Addressing this gap is </w:t>
      </w:r>
      <w:r w:rsidR="001D61E2">
        <w:t>essential</w:t>
      </w:r>
      <w:r w:rsidRPr="00931FFE">
        <w:t xml:space="preserve"> for maintaining academic quality, ensuring equitable learning experiences, and </w:t>
      </w:r>
      <w:r w:rsidR="00450A9C">
        <w:t>informing</w:t>
      </w:r>
      <w:r w:rsidRPr="00931FFE">
        <w:t xml:space="preserve"> future policy decisions regarding student selection for IT-related higher education.</w:t>
      </w:r>
    </w:p>
    <w:p w14:paraId="6FA33781" w14:textId="77777777" w:rsidR="00605E8F" w:rsidRDefault="00536A2D" w:rsidP="004F6936">
      <w:pPr>
        <w:spacing w:before="100" w:beforeAutospacing="1" w:after="100" w:afterAutospacing="1" w:line="276" w:lineRule="auto"/>
        <w:jc w:val="both"/>
        <w:rPr>
          <w:rFonts w:ascii="Times New Roman" w:eastAsia="Times New Roman" w:hAnsi="Times New Roman" w:cs="Times New Roman"/>
          <w:kern w:val="0"/>
          <w14:ligatures w14:val="none"/>
        </w:rPr>
      </w:pPr>
      <w:r w:rsidRPr="00536A2D">
        <w:rPr>
          <w:rFonts w:ascii="Times New Roman" w:eastAsia="Times New Roman" w:hAnsi="Times New Roman" w:cs="Times New Roman"/>
          <w:kern w:val="0"/>
          <w14:ligatures w14:val="none"/>
        </w:rPr>
        <w:t xml:space="preserve">In this context, the present study </w:t>
      </w:r>
      <w:r>
        <w:rPr>
          <w:rFonts w:ascii="Times New Roman" w:eastAsia="Times New Roman" w:hAnsi="Times New Roman" w:cs="Times New Roman"/>
          <w:kern w:val="0"/>
          <w14:ligatures w14:val="none"/>
        </w:rPr>
        <w:t>investigates</w:t>
      </w:r>
      <w:r w:rsidRPr="00536A2D">
        <w:rPr>
          <w:rFonts w:ascii="Times New Roman" w:eastAsia="Times New Roman" w:hAnsi="Times New Roman" w:cs="Times New Roman"/>
          <w:kern w:val="0"/>
          <w14:ligatures w14:val="none"/>
        </w:rPr>
        <w:t xml:space="preserve"> </w:t>
      </w:r>
      <w:r w:rsidR="00605E8F" w:rsidRPr="00605E8F">
        <w:rPr>
          <w:rFonts w:ascii="Times New Roman" w:eastAsia="Times New Roman" w:hAnsi="Times New Roman" w:cs="Times New Roman"/>
          <w:kern w:val="0"/>
          <w14:ligatures w14:val="none"/>
        </w:rPr>
        <w:t xml:space="preserve">how A/L study streams influence academic performance in selected IT core courses and investigates the extent to which introductory first-year courses affect second-year IT course outcomes. Findings will provide actionable insights for policymakers, curriculum designers, and higher education institutions seeking to enhance admission strategies and academic support structures. </w:t>
      </w:r>
    </w:p>
    <w:p w14:paraId="3A345E50" w14:textId="54B645DE" w:rsidR="00623219" w:rsidRPr="00193A36" w:rsidRDefault="006578A5" w:rsidP="004F6936">
      <w:pPr>
        <w:spacing w:before="100" w:beforeAutospacing="1" w:after="100" w:afterAutospacing="1" w:line="276" w:lineRule="auto"/>
        <w:jc w:val="both"/>
        <w:rPr>
          <w:rFonts w:ascii="Times New Roman" w:eastAsia="Times New Roman" w:hAnsi="Times New Roman" w:cs="Times New Roman"/>
          <w:b/>
          <w:bCs/>
          <w:kern w:val="0"/>
          <w14:ligatures w14:val="none"/>
        </w:rPr>
      </w:pPr>
      <w:r w:rsidRPr="00193A36">
        <w:rPr>
          <w:rFonts w:ascii="Times New Roman" w:eastAsia="Times New Roman" w:hAnsi="Times New Roman" w:cs="Times New Roman"/>
          <w:b/>
          <w:bCs/>
          <w:kern w:val="0"/>
          <w14:ligatures w14:val="none"/>
        </w:rPr>
        <w:t>Brief Description</w:t>
      </w:r>
      <w:r w:rsidR="00133A9F">
        <w:rPr>
          <w:rFonts w:ascii="Times New Roman" w:eastAsia="Times New Roman" w:hAnsi="Times New Roman" w:cs="Times New Roman"/>
          <w:b/>
          <w:bCs/>
          <w:kern w:val="0"/>
          <w14:ligatures w14:val="none"/>
        </w:rPr>
        <w:t xml:space="preserve"> of</w:t>
      </w:r>
      <w:r w:rsidRPr="00193A36">
        <w:rPr>
          <w:rFonts w:ascii="Times New Roman" w:eastAsia="Times New Roman" w:hAnsi="Times New Roman" w:cs="Times New Roman"/>
          <w:b/>
          <w:bCs/>
          <w:kern w:val="0"/>
          <w14:ligatures w14:val="none"/>
        </w:rPr>
        <w:t xml:space="preserve"> the </w:t>
      </w:r>
      <w:r w:rsidR="00640D07" w:rsidRPr="00193A36">
        <w:rPr>
          <w:rFonts w:ascii="Times New Roman" w:eastAsia="Times New Roman" w:hAnsi="Times New Roman" w:cs="Times New Roman"/>
          <w:b/>
          <w:bCs/>
          <w:kern w:val="0"/>
          <w14:ligatures w14:val="none"/>
        </w:rPr>
        <w:t xml:space="preserve">Selected Core Course Units </w:t>
      </w:r>
      <w:r w:rsidR="00684C4F" w:rsidRPr="00193A36">
        <w:rPr>
          <w:rFonts w:ascii="Times New Roman" w:eastAsia="Times New Roman" w:hAnsi="Times New Roman" w:cs="Times New Roman"/>
          <w:b/>
          <w:bCs/>
          <w:kern w:val="0"/>
          <w14:ligatures w14:val="none"/>
        </w:rPr>
        <w:t>offered in the IT D</w:t>
      </w:r>
      <w:r w:rsidR="00193A36" w:rsidRPr="00193A36">
        <w:rPr>
          <w:rFonts w:ascii="Times New Roman" w:eastAsia="Times New Roman" w:hAnsi="Times New Roman" w:cs="Times New Roman"/>
          <w:b/>
          <w:bCs/>
          <w:kern w:val="0"/>
          <w14:ligatures w14:val="none"/>
        </w:rPr>
        <w:t xml:space="preserve">egree </w:t>
      </w:r>
      <w:proofErr w:type="spellStart"/>
      <w:r w:rsidR="00193A36" w:rsidRPr="00193A36">
        <w:rPr>
          <w:rFonts w:ascii="Times New Roman" w:eastAsia="Times New Roman" w:hAnsi="Times New Roman" w:cs="Times New Roman"/>
          <w:b/>
          <w:bCs/>
          <w:kern w:val="0"/>
          <w14:ligatures w14:val="none"/>
        </w:rPr>
        <w:t>Programme</w:t>
      </w:r>
      <w:proofErr w:type="spellEnd"/>
      <w:r w:rsidR="00193A36" w:rsidRPr="00193A36">
        <w:rPr>
          <w:rFonts w:ascii="Times New Roman" w:eastAsia="Times New Roman" w:hAnsi="Times New Roman" w:cs="Times New Roman"/>
          <w:b/>
          <w:bCs/>
          <w:kern w:val="0"/>
          <w14:ligatures w14:val="none"/>
        </w:rPr>
        <w:t>:</w:t>
      </w:r>
    </w:p>
    <w:p w14:paraId="2F91C7C2" w14:textId="4857B983" w:rsidR="00193A36" w:rsidRDefault="00193A36" w:rsidP="00193A36">
      <w:pPr>
        <w:spacing w:before="100" w:beforeAutospacing="1" w:after="100" w:afterAutospacing="1" w:line="240" w:lineRule="auto"/>
        <w:rPr>
          <w:rFonts w:ascii="Times New Roman" w:eastAsia="Times New Roman" w:hAnsi="Times New Roman" w:cs="Times New Roman"/>
          <w:b/>
          <w:bCs/>
          <w:kern w:val="0"/>
          <w14:ligatures w14:val="none"/>
        </w:rPr>
      </w:pPr>
      <w:r w:rsidRPr="00117D06">
        <w:rPr>
          <w:rFonts w:ascii="Times New Roman" w:eastAsia="Times New Roman" w:hAnsi="Times New Roman" w:cs="Times New Roman"/>
          <w:b/>
          <w:bCs/>
          <w:kern w:val="0"/>
          <w14:ligatures w14:val="none"/>
        </w:rPr>
        <w:t xml:space="preserve">Foundation </w:t>
      </w:r>
      <w:r>
        <w:rPr>
          <w:rFonts w:ascii="Times New Roman" w:eastAsia="Times New Roman" w:hAnsi="Times New Roman" w:cs="Times New Roman"/>
          <w:b/>
          <w:bCs/>
          <w:kern w:val="0"/>
          <w14:ligatures w14:val="none"/>
        </w:rPr>
        <w:t xml:space="preserve">of </w:t>
      </w:r>
      <w:r w:rsidRPr="00117D06">
        <w:rPr>
          <w:rFonts w:ascii="Times New Roman" w:eastAsia="Times New Roman" w:hAnsi="Times New Roman" w:cs="Times New Roman"/>
          <w:b/>
          <w:bCs/>
          <w:kern w:val="0"/>
          <w14:ligatures w14:val="none"/>
        </w:rPr>
        <w:t>Mathematics</w:t>
      </w:r>
      <w:r>
        <w:rPr>
          <w:rFonts w:ascii="Times New Roman" w:eastAsia="Times New Roman" w:hAnsi="Times New Roman" w:cs="Times New Roman"/>
          <w:b/>
          <w:bCs/>
          <w:kern w:val="0"/>
          <w14:ligatures w14:val="none"/>
        </w:rPr>
        <w:t xml:space="preserve"> </w:t>
      </w:r>
      <w:bookmarkStart w:id="1" w:name="_Hlk214340848"/>
      <w:r w:rsidRPr="00DF3C50">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2 Credit</w:t>
      </w:r>
      <w:r w:rsidR="00704AD4">
        <w:rPr>
          <w:rFonts w:ascii="Times New Roman" w:eastAsia="Times New Roman" w:hAnsi="Times New Roman" w:cs="Times New Roman"/>
          <w:b/>
          <w:bCs/>
          <w:kern w:val="0"/>
          <w14:ligatures w14:val="none"/>
        </w:rPr>
        <w:t>s</w:t>
      </w:r>
      <w:r>
        <w:rPr>
          <w:rFonts w:ascii="Times New Roman" w:eastAsia="Times New Roman" w:hAnsi="Times New Roman" w:cs="Times New Roman"/>
          <w:b/>
          <w:bCs/>
          <w:kern w:val="0"/>
          <w14:ligatures w14:val="none"/>
        </w:rPr>
        <w:t xml:space="preserve"> </w:t>
      </w:r>
      <w:r w:rsidR="00704AD4">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w:t>
      </w:r>
      <w:r w:rsidR="00704AD4">
        <w:rPr>
          <w:rFonts w:ascii="Times New Roman" w:eastAsia="Times New Roman" w:hAnsi="Times New Roman" w:cs="Times New Roman"/>
          <w:b/>
          <w:bCs/>
          <w:kern w:val="0"/>
          <w14:ligatures w14:val="none"/>
        </w:rPr>
        <w:t xml:space="preserve">Year </w:t>
      </w:r>
      <w:r w:rsidR="009E074D">
        <w:rPr>
          <w:rFonts w:ascii="Times New Roman" w:eastAsia="Times New Roman" w:hAnsi="Times New Roman" w:cs="Times New Roman"/>
          <w:b/>
          <w:bCs/>
          <w:kern w:val="0"/>
          <w14:ligatures w14:val="none"/>
        </w:rPr>
        <w:t>1, Semester 1</w:t>
      </w:r>
      <w:bookmarkEnd w:id="1"/>
      <w:r w:rsidR="009E074D">
        <w:rPr>
          <w:rFonts w:ascii="Times New Roman" w:eastAsia="Times New Roman" w:hAnsi="Times New Roman" w:cs="Times New Roman"/>
          <w:b/>
          <w:bCs/>
          <w:kern w:val="0"/>
          <w14:ligatures w14:val="none"/>
        </w:rPr>
        <w:t>)</w:t>
      </w:r>
    </w:p>
    <w:p w14:paraId="06A91FA4" w14:textId="4C5A348C" w:rsidR="00193A36" w:rsidRPr="003E20F9" w:rsidRDefault="00193A36" w:rsidP="00193A36">
      <w:pPr>
        <w:jc w:val="both"/>
        <w:rPr>
          <w:rFonts w:ascii="Times New Roman" w:hAnsi="Times New Roman" w:cs="Times New Roman"/>
          <w:color w:val="000000" w:themeColor="text1"/>
        </w:rPr>
      </w:pPr>
      <w:r w:rsidRPr="003E20F9">
        <w:rPr>
          <w:rFonts w:ascii="Times New Roman" w:hAnsi="Times New Roman" w:cs="Times New Roman"/>
          <w:color w:val="000000" w:themeColor="text1"/>
        </w:rPr>
        <w:t xml:space="preserve">This course introduces the fundamental mathematical concepts essential for solving problems in Information Technology. Students will explore basic structures such as sets, relations, and </w:t>
      </w:r>
      <w:r w:rsidRPr="003E20F9">
        <w:rPr>
          <w:rFonts w:ascii="Times New Roman" w:hAnsi="Times New Roman" w:cs="Times New Roman"/>
          <w:color w:val="000000" w:themeColor="text1"/>
        </w:rPr>
        <w:lastRenderedPageBreak/>
        <w:t>functions, and develop skills in logical reasoning through propositional logic, predicates, and rules of inference. The course emphasizes the application of Boolean algebra to computational problems, including logic gates, Karnaugh maps, and simplifications. Learners will also construct graphs and trees to model IT-related scenarios and gain foundational knowledge in automata theory, languages, and Turing machines.</w:t>
      </w:r>
    </w:p>
    <w:p w14:paraId="212F98F8" w14:textId="709DD771" w:rsidR="00193A36" w:rsidRDefault="00193A36" w:rsidP="00193A36">
      <w:pPr>
        <w:jc w:val="both"/>
        <w:rPr>
          <w:rFonts w:ascii="Times New Roman" w:eastAsia="Times New Roman" w:hAnsi="Times New Roman" w:cs="Times New Roman"/>
          <w:b/>
          <w:bCs/>
          <w:kern w:val="0"/>
          <w14:ligatures w14:val="none"/>
        </w:rPr>
      </w:pPr>
      <w:r w:rsidRPr="00117D06">
        <w:rPr>
          <w:rFonts w:ascii="Times New Roman" w:eastAsia="Times New Roman" w:hAnsi="Times New Roman" w:cs="Times New Roman"/>
          <w:b/>
          <w:bCs/>
          <w:kern w:val="0"/>
          <w14:ligatures w14:val="none"/>
        </w:rPr>
        <w:t xml:space="preserve">Fundamentals </w:t>
      </w:r>
      <w:r>
        <w:rPr>
          <w:rFonts w:ascii="Times New Roman" w:eastAsia="Times New Roman" w:hAnsi="Times New Roman" w:cs="Times New Roman"/>
          <w:b/>
          <w:bCs/>
          <w:kern w:val="0"/>
          <w14:ligatures w14:val="none"/>
        </w:rPr>
        <w:t>of</w:t>
      </w:r>
      <w:r w:rsidRPr="00117D06">
        <w:rPr>
          <w:rFonts w:ascii="Times New Roman" w:eastAsia="Times New Roman" w:hAnsi="Times New Roman" w:cs="Times New Roman"/>
          <w:b/>
          <w:bCs/>
          <w:kern w:val="0"/>
          <w14:ligatures w14:val="none"/>
        </w:rPr>
        <w:t xml:space="preserve"> Programming</w:t>
      </w:r>
      <w:r>
        <w:rPr>
          <w:rFonts w:ascii="Times New Roman" w:eastAsia="Times New Roman" w:hAnsi="Times New Roman" w:cs="Times New Roman"/>
          <w:b/>
          <w:bCs/>
          <w:kern w:val="0"/>
          <w14:ligatures w14:val="none"/>
        </w:rPr>
        <w:t xml:space="preserve"> </w:t>
      </w:r>
      <w:bookmarkStart w:id="2" w:name="_Hlk214341611"/>
      <w:r>
        <w:rPr>
          <w:rFonts w:ascii="Times New Roman" w:eastAsia="Times New Roman" w:hAnsi="Times New Roman" w:cs="Times New Roman"/>
          <w:b/>
          <w:bCs/>
          <w:kern w:val="0"/>
          <w14:ligatures w14:val="none"/>
        </w:rPr>
        <w:t>(</w:t>
      </w:r>
      <w:r w:rsidR="003E20F9">
        <w:rPr>
          <w:rFonts w:ascii="Times New Roman" w:eastAsia="Times New Roman" w:hAnsi="Times New Roman" w:cs="Times New Roman"/>
          <w:b/>
          <w:bCs/>
          <w:kern w:val="0"/>
          <w14:ligatures w14:val="none"/>
        </w:rPr>
        <w:t>4</w:t>
      </w:r>
      <w:r w:rsidR="0033244D" w:rsidRPr="0033244D">
        <w:rPr>
          <w:rFonts w:ascii="Times New Roman" w:eastAsia="Times New Roman" w:hAnsi="Times New Roman" w:cs="Times New Roman"/>
          <w:b/>
          <w:bCs/>
          <w:kern w:val="0"/>
          <w14:ligatures w14:val="none"/>
        </w:rPr>
        <w:t xml:space="preserve"> Credits – Year 1, Semester 1</w:t>
      </w:r>
      <w:r w:rsidRPr="002C4D3B">
        <w:rPr>
          <w:rFonts w:ascii="Times New Roman" w:eastAsia="Times New Roman" w:hAnsi="Times New Roman" w:cs="Times New Roman"/>
          <w:b/>
          <w:bCs/>
          <w:kern w:val="0"/>
          <w14:ligatures w14:val="none"/>
        </w:rPr>
        <w:t>)</w:t>
      </w:r>
      <w:bookmarkEnd w:id="2"/>
    </w:p>
    <w:p w14:paraId="20C78688" w14:textId="6C267EBE" w:rsidR="00B814C0" w:rsidRPr="00610D09" w:rsidRDefault="00193A36" w:rsidP="00193A36">
      <w:pPr>
        <w:jc w:val="both"/>
        <w:rPr>
          <w:rFonts w:ascii="Times New Roman" w:eastAsia="Times New Roman" w:hAnsi="Times New Roman" w:cs="Times New Roman"/>
          <w:kern w:val="0"/>
          <w14:ligatures w14:val="none"/>
        </w:rPr>
      </w:pPr>
      <w:r w:rsidRPr="002C4D3B">
        <w:rPr>
          <w:rFonts w:ascii="Times New Roman" w:eastAsia="Times New Roman" w:hAnsi="Times New Roman" w:cs="Times New Roman"/>
          <w:kern w:val="0"/>
          <w14:ligatures w14:val="none"/>
        </w:rPr>
        <w:t xml:space="preserve">This course introduces the fundamental concepts of computer programming with a strong emphasis on problem-solving and practical application. Students will gain knowledge of programming techniques and be trained to design, code, and debug programs using C++. </w:t>
      </w:r>
    </w:p>
    <w:p w14:paraId="21D2363A" w14:textId="49F4A094" w:rsidR="00193A36" w:rsidRDefault="00193A36" w:rsidP="00193A36">
      <w:pPr>
        <w:jc w:val="both"/>
        <w:rPr>
          <w:rFonts w:ascii="Times New Roman" w:eastAsia="Times New Roman" w:hAnsi="Times New Roman" w:cs="Times New Roman"/>
          <w:b/>
          <w:bCs/>
          <w:kern w:val="0"/>
          <w14:ligatures w14:val="none"/>
        </w:rPr>
      </w:pPr>
      <w:r w:rsidRPr="00117D06">
        <w:rPr>
          <w:rFonts w:ascii="Times New Roman" w:eastAsia="Times New Roman" w:hAnsi="Times New Roman" w:cs="Times New Roman"/>
          <w:b/>
          <w:bCs/>
          <w:kern w:val="0"/>
          <w14:ligatures w14:val="none"/>
        </w:rPr>
        <w:t>Data Structure</w:t>
      </w:r>
      <w:r w:rsidR="00B814C0">
        <w:rPr>
          <w:rFonts w:ascii="Times New Roman" w:eastAsia="Times New Roman" w:hAnsi="Times New Roman" w:cs="Times New Roman"/>
          <w:b/>
          <w:bCs/>
          <w:kern w:val="0"/>
          <w14:ligatures w14:val="none"/>
        </w:rPr>
        <w:t xml:space="preserve">s </w:t>
      </w:r>
      <w:r w:rsidR="003E20F9">
        <w:rPr>
          <w:rFonts w:ascii="Times New Roman" w:eastAsia="Times New Roman" w:hAnsi="Times New Roman" w:cs="Times New Roman"/>
          <w:b/>
          <w:bCs/>
          <w:kern w:val="0"/>
          <w14:ligatures w14:val="none"/>
        </w:rPr>
        <w:t>(4</w:t>
      </w:r>
      <w:r w:rsidR="003E20F9" w:rsidRPr="0033244D">
        <w:rPr>
          <w:rFonts w:ascii="Times New Roman" w:eastAsia="Times New Roman" w:hAnsi="Times New Roman" w:cs="Times New Roman"/>
          <w:b/>
          <w:bCs/>
          <w:kern w:val="0"/>
          <w14:ligatures w14:val="none"/>
        </w:rPr>
        <w:t xml:space="preserve"> Credits – Year </w:t>
      </w:r>
      <w:r w:rsidR="003E20F9">
        <w:rPr>
          <w:rFonts w:ascii="Times New Roman" w:eastAsia="Times New Roman" w:hAnsi="Times New Roman" w:cs="Times New Roman"/>
          <w:b/>
          <w:bCs/>
          <w:kern w:val="0"/>
          <w14:ligatures w14:val="none"/>
        </w:rPr>
        <w:t>2</w:t>
      </w:r>
      <w:r w:rsidR="003E20F9" w:rsidRPr="0033244D">
        <w:rPr>
          <w:rFonts w:ascii="Times New Roman" w:eastAsia="Times New Roman" w:hAnsi="Times New Roman" w:cs="Times New Roman"/>
          <w:b/>
          <w:bCs/>
          <w:kern w:val="0"/>
          <w14:ligatures w14:val="none"/>
        </w:rPr>
        <w:t>, Semester 1</w:t>
      </w:r>
      <w:r w:rsidRPr="00871EF0">
        <w:rPr>
          <w:rFonts w:ascii="Times New Roman" w:eastAsia="Times New Roman" w:hAnsi="Times New Roman" w:cs="Times New Roman"/>
          <w:b/>
          <w:bCs/>
          <w:kern w:val="0"/>
          <w14:ligatures w14:val="none"/>
        </w:rPr>
        <w:t>)</w:t>
      </w:r>
    </w:p>
    <w:p w14:paraId="187710A3" w14:textId="77777777" w:rsidR="00193A36" w:rsidRDefault="00193A36" w:rsidP="00193A36">
      <w:pPr>
        <w:jc w:val="both"/>
        <w:rPr>
          <w:rFonts w:ascii="Times New Roman" w:eastAsia="Times New Roman" w:hAnsi="Times New Roman" w:cs="Times New Roman"/>
          <w:kern w:val="0"/>
          <w14:ligatures w14:val="none"/>
        </w:rPr>
      </w:pPr>
      <w:r w:rsidRPr="00871EF0">
        <w:rPr>
          <w:rFonts w:ascii="Times New Roman" w:eastAsia="Times New Roman" w:hAnsi="Times New Roman" w:cs="Times New Roman"/>
          <w:kern w:val="0"/>
          <w14:ligatures w14:val="none"/>
        </w:rPr>
        <w:t>This course introduces fundamental and advanced data structures used to design efficient computer programs. Students learn how data can be represented using arrays, stacks, queues, linked lists, trees, graphs, and hashing techniques. The course also covers key searching and sorting algorithms, as well as advanced structures like heaps and balanced trees. Through theory and practical programming exercises, students gain the skills to choose, implement, and apply appropriate data structures to solve computational problems effectively.</w:t>
      </w:r>
    </w:p>
    <w:p w14:paraId="2AC5EE38" w14:textId="5A00158B" w:rsidR="00193A36" w:rsidRDefault="00193A36" w:rsidP="00193A36">
      <w:pPr>
        <w:jc w:val="both"/>
        <w:rPr>
          <w:rFonts w:ascii="Times New Roman" w:eastAsia="Times New Roman" w:hAnsi="Times New Roman" w:cs="Times New Roman"/>
          <w:b/>
          <w:bCs/>
          <w:kern w:val="0"/>
          <w14:ligatures w14:val="none"/>
        </w:rPr>
      </w:pPr>
      <w:r w:rsidRPr="009128A6">
        <w:rPr>
          <w:rFonts w:ascii="Times New Roman" w:eastAsia="Times New Roman" w:hAnsi="Times New Roman" w:cs="Times New Roman"/>
          <w:b/>
          <w:bCs/>
          <w:kern w:val="0"/>
          <w14:ligatures w14:val="none"/>
        </w:rPr>
        <w:t>Design</w:t>
      </w:r>
      <w:r>
        <w:rPr>
          <w:rFonts w:ascii="Times New Roman" w:eastAsia="Times New Roman" w:hAnsi="Times New Roman" w:cs="Times New Roman"/>
          <w:b/>
          <w:bCs/>
          <w:kern w:val="0"/>
          <w14:ligatures w14:val="none"/>
        </w:rPr>
        <w:t xml:space="preserve"> </w:t>
      </w:r>
      <w:r w:rsidRPr="009128A6">
        <w:rPr>
          <w:rFonts w:ascii="Times New Roman" w:eastAsia="Times New Roman" w:hAnsi="Times New Roman" w:cs="Times New Roman"/>
          <w:b/>
          <w:bCs/>
          <w:kern w:val="0"/>
          <w14:ligatures w14:val="none"/>
        </w:rPr>
        <w:t>and</w:t>
      </w:r>
      <w:r>
        <w:rPr>
          <w:rFonts w:ascii="Times New Roman" w:eastAsia="Times New Roman" w:hAnsi="Times New Roman" w:cs="Times New Roman"/>
          <w:b/>
          <w:bCs/>
          <w:kern w:val="0"/>
          <w14:ligatures w14:val="none"/>
        </w:rPr>
        <w:t xml:space="preserve"> </w:t>
      </w:r>
      <w:r w:rsidRPr="009128A6">
        <w:rPr>
          <w:rFonts w:ascii="Times New Roman" w:eastAsia="Times New Roman" w:hAnsi="Times New Roman" w:cs="Times New Roman"/>
          <w:b/>
          <w:bCs/>
          <w:kern w:val="0"/>
          <w14:ligatures w14:val="none"/>
        </w:rPr>
        <w:t>Analysis</w:t>
      </w:r>
      <w:r>
        <w:rPr>
          <w:rFonts w:ascii="Times New Roman" w:eastAsia="Times New Roman" w:hAnsi="Times New Roman" w:cs="Times New Roman"/>
          <w:b/>
          <w:bCs/>
          <w:kern w:val="0"/>
          <w14:ligatures w14:val="none"/>
        </w:rPr>
        <w:t xml:space="preserve"> </w:t>
      </w:r>
      <w:r w:rsidRPr="009128A6">
        <w:rPr>
          <w:rFonts w:ascii="Times New Roman" w:eastAsia="Times New Roman" w:hAnsi="Times New Roman" w:cs="Times New Roman"/>
          <w:b/>
          <w:bCs/>
          <w:kern w:val="0"/>
          <w14:ligatures w14:val="none"/>
        </w:rPr>
        <w:t>of</w:t>
      </w:r>
      <w:r>
        <w:rPr>
          <w:rFonts w:ascii="Times New Roman" w:eastAsia="Times New Roman" w:hAnsi="Times New Roman" w:cs="Times New Roman"/>
          <w:b/>
          <w:bCs/>
          <w:kern w:val="0"/>
          <w14:ligatures w14:val="none"/>
        </w:rPr>
        <w:t xml:space="preserve"> </w:t>
      </w:r>
      <w:r w:rsidRPr="009128A6">
        <w:rPr>
          <w:rFonts w:ascii="Times New Roman" w:eastAsia="Times New Roman" w:hAnsi="Times New Roman" w:cs="Times New Roman"/>
          <w:b/>
          <w:bCs/>
          <w:kern w:val="0"/>
          <w14:ligatures w14:val="none"/>
        </w:rPr>
        <w:t>Algorithms</w:t>
      </w:r>
      <w:r>
        <w:rPr>
          <w:rFonts w:ascii="Times New Roman" w:eastAsia="Times New Roman" w:hAnsi="Times New Roman" w:cs="Times New Roman"/>
          <w:b/>
          <w:bCs/>
          <w:kern w:val="0"/>
          <w14:ligatures w14:val="none"/>
        </w:rPr>
        <w:t xml:space="preserve"> </w:t>
      </w:r>
      <w:r w:rsidRPr="009128A6">
        <w:rPr>
          <w:rFonts w:ascii="Times New Roman" w:eastAsia="Times New Roman" w:hAnsi="Times New Roman" w:cs="Times New Roman"/>
          <w:b/>
          <w:bCs/>
          <w:kern w:val="0"/>
          <w14:ligatures w14:val="none"/>
        </w:rPr>
        <w:t>(</w:t>
      </w:r>
      <w:r w:rsidR="00B814C0">
        <w:rPr>
          <w:rFonts w:ascii="Times New Roman" w:eastAsia="Times New Roman" w:hAnsi="Times New Roman" w:cs="Times New Roman"/>
          <w:b/>
          <w:bCs/>
          <w:kern w:val="0"/>
          <w14:ligatures w14:val="none"/>
        </w:rPr>
        <w:t>3</w:t>
      </w:r>
      <w:r w:rsidR="00B814C0" w:rsidRPr="0033244D">
        <w:rPr>
          <w:rFonts w:ascii="Times New Roman" w:eastAsia="Times New Roman" w:hAnsi="Times New Roman" w:cs="Times New Roman"/>
          <w:b/>
          <w:bCs/>
          <w:kern w:val="0"/>
          <w14:ligatures w14:val="none"/>
        </w:rPr>
        <w:t xml:space="preserve"> Credits – Year </w:t>
      </w:r>
      <w:r w:rsidR="00B814C0">
        <w:rPr>
          <w:rFonts w:ascii="Times New Roman" w:eastAsia="Times New Roman" w:hAnsi="Times New Roman" w:cs="Times New Roman"/>
          <w:b/>
          <w:bCs/>
          <w:kern w:val="0"/>
          <w14:ligatures w14:val="none"/>
        </w:rPr>
        <w:t>2</w:t>
      </w:r>
      <w:r w:rsidR="00B814C0" w:rsidRPr="0033244D">
        <w:rPr>
          <w:rFonts w:ascii="Times New Roman" w:eastAsia="Times New Roman" w:hAnsi="Times New Roman" w:cs="Times New Roman"/>
          <w:b/>
          <w:bCs/>
          <w:kern w:val="0"/>
          <w14:ligatures w14:val="none"/>
        </w:rPr>
        <w:t xml:space="preserve">, Semester </w:t>
      </w:r>
      <w:r w:rsidR="00B814C0">
        <w:rPr>
          <w:rFonts w:ascii="Times New Roman" w:eastAsia="Times New Roman" w:hAnsi="Times New Roman" w:cs="Times New Roman"/>
          <w:b/>
          <w:bCs/>
          <w:kern w:val="0"/>
          <w14:ligatures w14:val="none"/>
        </w:rPr>
        <w:t>2</w:t>
      </w:r>
      <w:r w:rsidRPr="009128A6">
        <w:rPr>
          <w:rFonts w:ascii="Times New Roman" w:eastAsia="Times New Roman" w:hAnsi="Times New Roman" w:cs="Times New Roman"/>
          <w:b/>
          <w:bCs/>
          <w:kern w:val="0"/>
          <w14:ligatures w14:val="none"/>
        </w:rPr>
        <w:t>)</w:t>
      </w:r>
    </w:p>
    <w:p w14:paraId="5FEC8E74" w14:textId="7BA05E5D" w:rsidR="00193A36" w:rsidRPr="005D5662" w:rsidRDefault="00193A36" w:rsidP="005D5662">
      <w:pPr>
        <w:jc w:val="both"/>
        <w:rPr>
          <w:rFonts w:ascii="Times New Roman" w:eastAsia="Times New Roman" w:hAnsi="Times New Roman" w:cs="Times New Roman"/>
          <w:kern w:val="0"/>
          <w14:ligatures w14:val="none"/>
        </w:rPr>
      </w:pPr>
      <w:r w:rsidRPr="000A5449">
        <w:rPr>
          <w:rFonts w:ascii="Times New Roman" w:eastAsia="Times New Roman" w:hAnsi="Times New Roman" w:cs="Times New Roman"/>
          <w:kern w:val="0"/>
          <w14:ligatures w14:val="none"/>
        </w:rPr>
        <w:t>This course provides fundamental knowledge in designing and analyzing computational algorithms. Students will study algorithm characteristics, recursion, validation, and performance analysis, supported by mathematical foundations such as growth of functions and complexity. Key techniques including greedy methods, divide and conquer, backtracking, dynamic programming, and branch and bound are explored through classic problems like spanning trees, shortest paths, knapsack, sorting, N-queen, and traveling salesperson. Practical sessions emphasize implementing algorithm design and analysis concepts using high-level programming languages.</w:t>
      </w:r>
    </w:p>
    <w:p w14:paraId="423CBFAA" w14:textId="6B264187" w:rsidR="00193A36" w:rsidRDefault="005D5662" w:rsidP="004F6936">
      <w:pPr>
        <w:spacing w:before="100" w:beforeAutospacing="1" w:after="100" w:afterAutospacing="1" w:line="276" w:lineRule="auto"/>
        <w:jc w:val="both"/>
        <w:rPr>
          <w:rFonts w:ascii="Times New Roman" w:eastAsia="Times New Roman" w:hAnsi="Times New Roman" w:cs="Times New Roman"/>
          <w:b/>
          <w:bCs/>
          <w:kern w:val="0"/>
          <w14:ligatures w14:val="none"/>
        </w:rPr>
      </w:pPr>
      <w:r w:rsidRPr="005D5662">
        <w:rPr>
          <w:rFonts w:ascii="Times New Roman" w:eastAsia="Times New Roman" w:hAnsi="Times New Roman" w:cs="Times New Roman"/>
          <w:b/>
          <w:bCs/>
          <w:kern w:val="0"/>
          <w14:ligatures w14:val="none"/>
        </w:rPr>
        <w:t>Methodology</w:t>
      </w:r>
    </w:p>
    <w:p w14:paraId="4958B99D" w14:textId="0DB36B9E" w:rsidR="00A54075" w:rsidRDefault="00A54075" w:rsidP="00047599">
      <w:pPr>
        <w:spacing w:line="276" w:lineRule="auto"/>
        <w:jc w:val="both"/>
        <w:rPr>
          <w:rFonts w:ascii="Times New Roman" w:hAnsi="Times New Roman" w:cs="Times New Roman"/>
        </w:rPr>
      </w:pPr>
      <w:r w:rsidRPr="00A54075">
        <w:rPr>
          <w:rFonts w:ascii="Times New Roman" w:hAnsi="Times New Roman" w:cs="Times New Roman"/>
        </w:rPr>
        <w:t xml:space="preserve">This quantitative, non-experimental study investigated the influence of GCE Advanced Level (A/L) study streams on undergraduate performance in four core Information Technology courses: </w:t>
      </w:r>
      <w:r w:rsidRPr="001D6493">
        <w:rPr>
          <w:rFonts w:ascii="Times New Roman" w:hAnsi="Times New Roman" w:cs="Times New Roman"/>
          <w:i/>
          <w:iCs/>
        </w:rPr>
        <w:t>Foundation of Mathematics, Fundamentals of Programming, Data Structures, and Design and Analysis of Algorithms</w:t>
      </w:r>
      <w:r w:rsidRPr="00A54075">
        <w:rPr>
          <w:rFonts w:ascii="Times New Roman" w:hAnsi="Times New Roman" w:cs="Times New Roman"/>
        </w:rPr>
        <w:t>. The first two courses were offered in the first</w:t>
      </w:r>
      <w:r w:rsidR="00434B41">
        <w:rPr>
          <w:rFonts w:ascii="Times New Roman" w:hAnsi="Times New Roman" w:cs="Times New Roman"/>
        </w:rPr>
        <w:t xml:space="preserve"> </w:t>
      </w:r>
      <w:r w:rsidRPr="00A54075">
        <w:rPr>
          <w:rFonts w:ascii="Times New Roman" w:hAnsi="Times New Roman" w:cs="Times New Roman"/>
        </w:rPr>
        <w:t xml:space="preserve">year first semester, while Data Structures and Design and Analysis of Algorithms were delivered in the </w:t>
      </w:r>
      <w:r w:rsidR="00F5798C" w:rsidRPr="00A54075">
        <w:rPr>
          <w:rFonts w:ascii="Times New Roman" w:hAnsi="Times New Roman" w:cs="Times New Roman"/>
        </w:rPr>
        <w:t>second year</w:t>
      </w:r>
      <w:r w:rsidRPr="00A54075">
        <w:rPr>
          <w:rFonts w:ascii="Times New Roman" w:hAnsi="Times New Roman" w:cs="Times New Roman"/>
        </w:rPr>
        <w:t xml:space="preserve"> first and second semesters, respectively.</w:t>
      </w:r>
    </w:p>
    <w:p w14:paraId="52971022" w14:textId="1169A42C" w:rsidR="00670506" w:rsidRDefault="00BE3F86" w:rsidP="00047599">
      <w:pPr>
        <w:spacing w:line="276" w:lineRule="auto"/>
        <w:jc w:val="both"/>
        <w:rPr>
          <w:rFonts w:ascii="Times New Roman" w:hAnsi="Times New Roman" w:cs="Times New Roman"/>
        </w:rPr>
      </w:pPr>
      <w:r w:rsidRPr="00BE3F86">
        <w:rPr>
          <w:rFonts w:ascii="Times New Roman" w:hAnsi="Times New Roman" w:cs="Times New Roman"/>
        </w:rPr>
        <w:t xml:space="preserve">The population comprised students enrolled under the previous admission system at a state university in Sri Lanka across five academic batches (2018/19–2022/23), excluding the revised-admission cohort (2023/24) </w:t>
      </w:r>
      <w:r w:rsidR="007F5575">
        <w:rPr>
          <w:rFonts w:ascii="Times New Roman" w:hAnsi="Times New Roman" w:cs="Times New Roman"/>
        </w:rPr>
        <w:t xml:space="preserve">who </w:t>
      </w:r>
      <w:r w:rsidR="0051350F">
        <w:rPr>
          <w:rFonts w:ascii="Times New Roman" w:hAnsi="Times New Roman" w:cs="Times New Roman"/>
        </w:rPr>
        <w:t>are currently</w:t>
      </w:r>
      <w:r w:rsidR="00BE2C96">
        <w:rPr>
          <w:rFonts w:ascii="Times New Roman" w:hAnsi="Times New Roman" w:cs="Times New Roman"/>
        </w:rPr>
        <w:t xml:space="preserve"> in their</w:t>
      </w:r>
      <w:r w:rsidR="007F5575">
        <w:rPr>
          <w:rFonts w:ascii="Times New Roman" w:hAnsi="Times New Roman" w:cs="Times New Roman"/>
        </w:rPr>
        <w:t xml:space="preserve"> first year first semester </w:t>
      </w:r>
      <w:r w:rsidRPr="00BE3F86">
        <w:rPr>
          <w:rFonts w:ascii="Times New Roman" w:hAnsi="Times New Roman" w:cs="Times New Roman"/>
        </w:rPr>
        <w:t xml:space="preserve">and those with incomplete examination records. The final sample included only students with complete and valid </w:t>
      </w:r>
      <w:r w:rsidR="002B7BC4">
        <w:rPr>
          <w:rFonts w:ascii="Times New Roman" w:hAnsi="Times New Roman" w:cs="Times New Roman"/>
        </w:rPr>
        <w:lastRenderedPageBreak/>
        <w:t>examination records</w:t>
      </w:r>
      <w:r w:rsidR="005F3710">
        <w:rPr>
          <w:rFonts w:ascii="Times New Roman" w:hAnsi="Times New Roman" w:cs="Times New Roman"/>
        </w:rPr>
        <w:t>.</w:t>
      </w:r>
      <w:r w:rsidRPr="00BE3F86">
        <w:rPr>
          <w:rFonts w:ascii="Times New Roman" w:hAnsi="Times New Roman" w:cs="Times New Roman"/>
        </w:rPr>
        <w:t xml:space="preserve"> </w:t>
      </w:r>
      <w:r w:rsidR="005F3710">
        <w:rPr>
          <w:rFonts w:ascii="Times New Roman" w:hAnsi="Times New Roman" w:cs="Times New Roman"/>
        </w:rPr>
        <w:t>T</w:t>
      </w:r>
      <w:r w:rsidR="00072231">
        <w:rPr>
          <w:rFonts w:ascii="Times New Roman" w:hAnsi="Times New Roman" w:cs="Times New Roman"/>
        </w:rPr>
        <w:t xml:space="preserve">he distribution of </w:t>
      </w:r>
      <w:r w:rsidR="007318FB">
        <w:rPr>
          <w:rFonts w:ascii="Times New Roman" w:hAnsi="Times New Roman" w:cs="Times New Roman"/>
        </w:rPr>
        <w:t xml:space="preserve">sampled </w:t>
      </w:r>
      <w:r w:rsidR="00072231">
        <w:rPr>
          <w:rFonts w:ascii="Times New Roman" w:hAnsi="Times New Roman" w:cs="Times New Roman"/>
        </w:rPr>
        <w:t>students</w:t>
      </w:r>
      <w:r w:rsidRPr="00BE3F86">
        <w:rPr>
          <w:rFonts w:ascii="Times New Roman" w:hAnsi="Times New Roman" w:cs="Times New Roman"/>
        </w:rPr>
        <w:t xml:space="preserve"> across A/L streams </w:t>
      </w:r>
      <w:r w:rsidR="006C3380">
        <w:rPr>
          <w:rFonts w:ascii="Times New Roman" w:hAnsi="Times New Roman" w:cs="Times New Roman"/>
        </w:rPr>
        <w:t>was presented</w:t>
      </w:r>
      <w:r w:rsidRPr="00BE3F86">
        <w:rPr>
          <w:rFonts w:ascii="Times New Roman" w:hAnsi="Times New Roman" w:cs="Times New Roman"/>
        </w:rPr>
        <w:t xml:space="preserve"> in Table 2. </w:t>
      </w:r>
      <w:r w:rsidR="00084574">
        <w:rPr>
          <w:rFonts w:ascii="Times New Roman" w:hAnsi="Times New Roman" w:cs="Times New Roman"/>
        </w:rPr>
        <w:t xml:space="preserve">Anonymized </w:t>
      </w:r>
      <w:r w:rsidR="002D49C7" w:rsidRPr="002D49C7">
        <w:rPr>
          <w:rFonts w:ascii="Times New Roman" w:hAnsi="Times New Roman" w:cs="Times New Roman"/>
        </w:rPr>
        <w:t>Secondary data</w:t>
      </w:r>
      <w:r w:rsidR="002D49C7">
        <w:rPr>
          <w:rFonts w:ascii="Times New Roman" w:hAnsi="Times New Roman" w:cs="Times New Roman"/>
        </w:rPr>
        <w:t xml:space="preserve"> </w:t>
      </w:r>
      <w:r w:rsidR="002D49C7" w:rsidRPr="002D49C7">
        <w:rPr>
          <w:rFonts w:ascii="Times New Roman" w:hAnsi="Times New Roman" w:cs="Times New Roman"/>
        </w:rPr>
        <w:t>includ</w:t>
      </w:r>
      <w:r w:rsidR="000908FD">
        <w:rPr>
          <w:rFonts w:ascii="Times New Roman" w:hAnsi="Times New Roman" w:cs="Times New Roman"/>
        </w:rPr>
        <w:t>ed</w:t>
      </w:r>
      <w:r w:rsidR="002D49C7" w:rsidRPr="002D49C7">
        <w:rPr>
          <w:rFonts w:ascii="Times New Roman" w:hAnsi="Times New Roman" w:cs="Times New Roman"/>
        </w:rPr>
        <w:t xml:space="preserve"> students’ A/L streams, letter grades, and corresponding Grade Points.</w:t>
      </w:r>
      <w:r w:rsidR="006C3380">
        <w:rPr>
          <w:rFonts w:ascii="Times New Roman" w:hAnsi="Times New Roman" w:cs="Times New Roman"/>
        </w:rPr>
        <w:t xml:space="preserve"> </w:t>
      </w:r>
      <w:r w:rsidRPr="00BE3F86">
        <w:rPr>
          <w:rFonts w:ascii="Times New Roman" w:hAnsi="Times New Roman" w:cs="Times New Roman"/>
        </w:rPr>
        <w:t xml:space="preserve"> A/L stream served as the independent variable, and Grade Points were treated as continuous dependent measures. Analyses were conducted in IBM SPSS Statistics 27, with descriptive statistics (means, standard deviations, 95% confidence intervals) computed. Normality and homogeneity of variances were assessed using Shapiro–Wilk tests, skewness, kurtosis, and Levene’s test. </w:t>
      </w:r>
      <w:r w:rsidR="00670506" w:rsidRPr="00670506">
        <w:rPr>
          <w:rFonts w:ascii="Times New Roman" w:hAnsi="Times New Roman" w:cs="Times New Roman"/>
        </w:rPr>
        <w:t>Differences in academic performance across A/L streams were examined using one-way ANOVA, with Welch’s ANOVA applied when the assumption of equal variances was violated. Post hoc comparisons employed Tukey’s HSD or Games–Howell tests as appropriate, and effect sizes (η² or ω²) were reported to indicate practical significance. Additionally, linear multiple regression analyses were conducted to determine the extent to which performance in Foundation of Mathematics and Fundamentals of Programming predicted outcomes in Data Structures and Design and Analysis of Algorithms.</w:t>
      </w:r>
    </w:p>
    <w:p w14:paraId="711274EF" w14:textId="03C5B400" w:rsidR="004E2B35" w:rsidRPr="00C275AC" w:rsidRDefault="00C275AC" w:rsidP="00047599">
      <w:pPr>
        <w:spacing w:line="276" w:lineRule="auto"/>
        <w:jc w:val="both"/>
        <w:rPr>
          <w:rFonts w:ascii="Times New Roman" w:hAnsi="Times New Roman" w:cs="Times New Roman"/>
          <w:b/>
          <w:bCs/>
        </w:rPr>
      </w:pPr>
      <w:r w:rsidRPr="00C275AC">
        <w:rPr>
          <w:rFonts w:ascii="Times New Roman" w:hAnsi="Times New Roman" w:cs="Times New Roman"/>
          <w:b/>
          <w:bCs/>
        </w:rPr>
        <w:t xml:space="preserve">Table 02: Sample </w:t>
      </w:r>
      <w:r w:rsidR="0092222D">
        <w:rPr>
          <w:rFonts w:ascii="Times New Roman" w:hAnsi="Times New Roman" w:cs="Times New Roman"/>
          <w:b/>
          <w:bCs/>
        </w:rPr>
        <w:t>Distribution</w:t>
      </w:r>
      <w:r w:rsidRPr="00C275AC">
        <w:rPr>
          <w:rFonts w:ascii="Times New Roman" w:hAnsi="Times New Roman" w:cs="Times New Roman"/>
          <w:b/>
          <w:bCs/>
        </w:rPr>
        <w:t xml:space="preserve"> by A/</w:t>
      </w:r>
      <w:r w:rsidR="00450A9C" w:rsidRPr="00C275AC">
        <w:rPr>
          <w:rFonts w:ascii="Times New Roman" w:hAnsi="Times New Roman" w:cs="Times New Roman"/>
          <w:b/>
          <w:bCs/>
        </w:rPr>
        <w:t xml:space="preserve">L </w:t>
      </w:r>
      <w:r w:rsidR="00450A9C">
        <w:rPr>
          <w:rFonts w:ascii="Times New Roman" w:hAnsi="Times New Roman" w:cs="Times New Roman"/>
          <w:b/>
          <w:bCs/>
        </w:rPr>
        <w:t>Stream</w:t>
      </w:r>
      <w:r w:rsidRPr="00C275AC">
        <w:rPr>
          <w:rFonts w:ascii="Times New Roman" w:hAnsi="Times New Roman" w:cs="Times New Roman"/>
          <w:b/>
          <w:bCs/>
        </w:rPr>
        <w:t xml:space="preserve"> </w:t>
      </w:r>
      <w:r w:rsidR="0004054C">
        <w:rPr>
          <w:rFonts w:ascii="Times New Roman" w:hAnsi="Times New Roman" w:cs="Times New Roman"/>
          <w:b/>
          <w:bCs/>
        </w:rPr>
        <w:t>and Course Unit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645"/>
        <w:gridCol w:w="1694"/>
        <w:gridCol w:w="1729"/>
        <w:gridCol w:w="1427"/>
      </w:tblGrid>
      <w:tr w:rsidR="00141B5D" w14:paraId="71BE2F41" w14:textId="21D96DBF" w:rsidTr="00CF4C3F">
        <w:tc>
          <w:tcPr>
            <w:tcW w:w="1428" w:type="dxa"/>
            <w:tcBorders>
              <w:top w:val="single" w:sz="4" w:space="0" w:color="auto"/>
              <w:bottom w:val="single" w:sz="4" w:space="0" w:color="auto"/>
            </w:tcBorders>
          </w:tcPr>
          <w:p w14:paraId="4D91FB0E" w14:textId="77777777" w:rsidR="00141B5D" w:rsidRDefault="00141B5D" w:rsidP="00047599">
            <w:pPr>
              <w:spacing w:line="276" w:lineRule="auto"/>
              <w:jc w:val="both"/>
              <w:rPr>
                <w:rFonts w:ascii="Times New Roman" w:hAnsi="Times New Roman" w:cs="Times New Roman"/>
              </w:rPr>
            </w:pPr>
          </w:p>
        </w:tc>
        <w:tc>
          <w:tcPr>
            <w:tcW w:w="6495" w:type="dxa"/>
            <w:gridSpan w:val="4"/>
            <w:tcBorders>
              <w:top w:val="single" w:sz="4" w:space="0" w:color="auto"/>
              <w:bottom w:val="single" w:sz="4" w:space="0" w:color="auto"/>
            </w:tcBorders>
          </w:tcPr>
          <w:p w14:paraId="7A02820B" w14:textId="6DA3CF6C" w:rsidR="00141B5D" w:rsidRPr="00E81B67" w:rsidRDefault="00141B5D" w:rsidP="00E81B67">
            <w:pPr>
              <w:spacing w:line="276" w:lineRule="auto"/>
              <w:jc w:val="center"/>
              <w:rPr>
                <w:rFonts w:ascii="Times New Roman" w:hAnsi="Times New Roman" w:cs="Times New Roman"/>
                <w:b/>
                <w:bCs/>
              </w:rPr>
            </w:pPr>
            <w:r w:rsidRPr="00E81B67">
              <w:rPr>
                <w:rFonts w:ascii="Times New Roman" w:hAnsi="Times New Roman" w:cs="Times New Roman"/>
                <w:b/>
                <w:bCs/>
              </w:rPr>
              <w:t>Selected Course Units</w:t>
            </w:r>
          </w:p>
        </w:tc>
      </w:tr>
      <w:tr w:rsidR="00536277" w14:paraId="440B5CA8" w14:textId="3CE9C163" w:rsidTr="00CF4C3F">
        <w:tc>
          <w:tcPr>
            <w:tcW w:w="1428" w:type="dxa"/>
            <w:tcBorders>
              <w:top w:val="single" w:sz="4" w:space="0" w:color="auto"/>
              <w:bottom w:val="single" w:sz="4" w:space="0" w:color="auto"/>
            </w:tcBorders>
          </w:tcPr>
          <w:p w14:paraId="2827C5E1" w14:textId="3D597992" w:rsidR="00536277" w:rsidRPr="00E81B67" w:rsidRDefault="00536277" w:rsidP="00E81B67">
            <w:pPr>
              <w:spacing w:line="276" w:lineRule="auto"/>
              <w:jc w:val="center"/>
              <w:rPr>
                <w:rFonts w:ascii="Times New Roman" w:hAnsi="Times New Roman" w:cs="Times New Roman"/>
                <w:b/>
                <w:bCs/>
              </w:rPr>
            </w:pPr>
            <w:r w:rsidRPr="00E81B67">
              <w:rPr>
                <w:rFonts w:ascii="Times New Roman" w:hAnsi="Times New Roman" w:cs="Times New Roman"/>
                <w:b/>
                <w:bCs/>
              </w:rPr>
              <w:t>A/L Stream</w:t>
            </w:r>
          </w:p>
        </w:tc>
        <w:tc>
          <w:tcPr>
            <w:tcW w:w="1645" w:type="dxa"/>
            <w:tcBorders>
              <w:top w:val="single" w:sz="4" w:space="0" w:color="auto"/>
              <w:bottom w:val="single" w:sz="4" w:space="0" w:color="auto"/>
            </w:tcBorders>
          </w:tcPr>
          <w:p w14:paraId="18DF068F" w14:textId="7FA5668B" w:rsidR="00536277" w:rsidRPr="00E81B67" w:rsidRDefault="00536277" w:rsidP="00E81B67">
            <w:pPr>
              <w:jc w:val="center"/>
              <w:rPr>
                <w:rFonts w:ascii="Times New Roman" w:hAnsi="Times New Roman" w:cs="Times New Roman"/>
                <w:b/>
                <w:bCs/>
              </w:rPr>
            </w:pPr>
            <w:r w:rsidRPr="00E81B67">
              <w:rPr>
                <w:rFonts w:ascii="Times New Roman" w:hAnsi="Times New Roman" w:cs="Times New Roman"/>
                <w:b/>
                <w:bCs/>
              </w:rPr>
              <w:t>Foundation of Mathematics</w:t>
            </w:r>
          </w:p>
        </w:tc>
        <w:tc>
          <w:tcPr>
            <w:tcW w:w="1694" w:type="dxa"/>
            <w:tcBorders>
              <w:top w:val="single" w:sz="4" w:space="0" w:color="auto"/>
              <w:bottom w:val="single" w:sz="4" w:space="0" w:color="auto"/>
            </w:tcBorders>
          </w:tcPr>
          <w:p w14:paraId="3F0B49CE" w14:textId="358379A2" w:rsidR="00536277" w:rsidRPr="00E81B67" w:rsidRDefault="00536277" w:rsidP="00E81B67">
            <w:pPr>
              <w:jc w:val="center"/>
              <w:rPr>
                <w:rFonts w:ascii="Times New Roman" w:hAnsi="Times New Roman" w:cs="Times New Roman"/>
                <w:b/>
                <w:bCs/>
              </w:rPr>
            </w:pPr>
            <w:r w:rsidRPr="00E81B67">
              <w:rPr>
                <w:rFonts w:ascii="Times New Roman" w:hAnsi="Times New Roman" w:cs="Times New Roman"/>
                <w:b/>
                <w:bCs/>
              </w:rPr>
              <w:t>Fundamentals of Programming</w:t>
            </w:r>
          </w:p>
        </w:tc>
        <w:tc>
          <w:tcPr>
            <w:tcW w:w="1729" w:type="dxa"/>
            <w:tcBorders>
              <w:top w:val="single" w:sz="4" w:space="0" w:color="auto"/>
              <w:bottom w:val="single" w:sz="4" w:space="0" w:color="auto"/>
            </w:tcBorders>
          </w:tcPr>
          <w:p w14:paraId="2F1B43F8" w14:textId="3178E6EA" w:rsidR="00536277" w:rsidRPr="00E81B67" w:rsidRDefault="00536277" w:rsidP="00E81B67">
            <w:pPr>
              <w:jc w:val="center"/>
              <w:rPr>
                <w:rFonts w:ascii="Times New Roman" w:hAnsi="Times New Roman" w:cs="Times New Roman"/>
                <w:b/>
                <w:bCs/>
              </w:rPr>
            </w:pPr>
            <w:r w:rsidRPr="00E81B67">
              <w:rPr>
                <w:rFonts w:ascii="Times New Roman" w:hAnsi="Times New Roman" w:cs="Times New Roman"/>
                <w:b/>
                <w:bCs/>
              </w:rPr>
              <w:t>Data Structures</w:t>
            </w:r>
          </w:p>
        </w:tc>
        <w:tc>
          <w:tcPr>
            <w:tcW w:w="1427" w:type="dxa"/>
            <w:tcBorders>
              <w:top w:val="single" w:sz="4" w:space="0" w:color="auto"/>
              <w:bottom w:val="single" w:sz="4" w:space="0" w:color="auto"/>
            </w:tcBorders>
          </w:tcPr>
          <w:p w14:paraId="4D8E1982" w14:textId="661F32D3" w:rsidR="00536277" w:rsidRPr="00E81B67" w:rsidRDefault="00536277" w:rsidP="00E81B67">
            <w:pPr>
              <w:jc w:val="center"/>
              <w:rPr>
                <w:rFonts w:ascii="Times New Roman" w:hAnsi="Times New Roman" w:cs="Times New Roman"/>
                <w:b/>
                <w:bCs/>
              </w:rPr>
            </w:pPr>
            <w:r w:rsidRPr="00E81B67">
              <w:rPr>
                <w:rFonts w:ascii="Times New Roman" w:hAnsi="Times New Roman" w:cs="Times New Roman"/>
                <w:b/>
                <w:bCs/>
              </w:rPr>
              <w:t>Design and Analysis of Algorithms</w:t>
            </w:r>
          </w:p>
        </w:tc>
      </w:tr>
      <w:tr w:rsidR="00536277" w14:paraId="34BB237D" w14:textId="23848E8A" w:rsidTr="00CF4C3F">
        <w:trPr>
          <w:trHeight w:val="674"/>
        </w:trPr>
        <w:tc>
          <w:tcPr>
            <w:tcW w:w="1428" w:type="dxa"/>
            <w:tcBorders>
              <w:top w:val="single" w:sz="4" w:space="0" w:color="auto"/>
            </w:tcBorders>
          </w:tcPr>
          <w:p w14:paraId="02EE7187" w14:textId="28952676" w:rsidR="00536277" w:rsidRPr="00E81B67" w:rsidRDefault="00536277" w:rsidP="00047599">
            <w:pPr>
              <w:spacing w:line="276" w:lineRule="auto"/>
              <w:jc w:val="both"/>
              <w:rPr>
                <w:rFonts w:ascii="Times New Roman" w:hAnsi="Times New Roman" w:cs="Times New Roman"/>
                <w:b/>
                <w:bCs/>
              </w:rPr>
            </w:pPr>
            <w:r w:rsidRPr="00E81B67">
              <w:rPr>
                <w:rFonts w:ascii="Times New Roman" w:hAnsi="Times New Roman" w:cs="Times New Roman"/>
                <w:b/>
                <w:bCs/>
              </w:rPr>
              <w:t>Physical Science</w:t>
            </w:r>
          </w:p>
        </w:tc>
        <w:tc>
          <w:tcPr>
            <w:tcW w:w="1645" w:type="dxa"/>
            <w:tcBorders>
              <w:top w:val="single" w:sz="4" w:space="0" w:color="auto"/>
            </w:tcBorders>
          </w:tcPr>
          <w:p w14:paraId="1085E904" w14:textId="625CF4F7" w:rsidR="00536277" w:rsidRDefault="00536277" w:rsidP="009B4516">
            <w:pPr>
              <w:spacing w:line="276" w:lineRule="auto"/>
              <w:jc w:val="center"/>
              <w:rPr>
                <w:rFonts w:ascii="Times New Roman" w:hAnsi="Times New Roman" w:cs="Times New Roman"/>
              </w:rPr>
            </w:pPr>
            <w:r>
              <w:rPr>
                <w:rFonts w:ascii="Times New Roman" w:hAnsi="Times New Roman" w:cs="Times New Roman"/>
              </w:rPr>
              <w:t>191</w:t>
            </w:r>
          </w:p>
        </w:tc>
        <w:tc>
          <w:tcPr>
            <w:tcW w:w="1694" w:type="dxa"/>
            <w:tcBorders>
              <w:top w:val="single" w:sz="4" w:space="0" w:color="auto"/>
            </w:tcBorders>
          </w:tcPr>
          <w:p w14:paraId="7C48EEEE" w14:textId="3E676321" w:rsidR="00536277" w:rsidRDefault="00536277" w:rsidP="009B4516">
            <w:pPr>
              <w:spacing w:line="276" w:lineRule="auto"/>
              <w:jc w:val="center"/>
              <w:rPr>
                <w:rFonts w:ascii="Times New Roman" w:hAnsi="Times New Roman" w:cs="Times New Roman"/>
              </w:rPr>
            </w:pPr>
            <w:r>
              <w:rPr>
                <w:rFonts w:ascii="Times New Roman" w:hAnsi="Times New Roman" w:cs="Times New Roman"/>
              </w:rPr>
              <w:t>219</w:t>
            </w:r>
          </w:p>
        </w:tc>
        <w:tc>
          <w:tcPr>
            <w:tcW w:w="1729" w:type="dxa"/>
            <w:tcBorders>
              <w:top w:val="single" w:sz="4" w:space="0" w:color="auto"/>
            </w:tcBorders>
          </w:tcPr>
          <w:p w14:paraId="15032550" w14:textId="1CCF2213" w:rsidR="00536277" w:rsidRDefault="00536277" w:rsidP="009B4516">
            <w:pPr>
              <w:spacing w:line="276" w:lineRule="auto"/>
              <w:jc w:val="center"/>
              <w:rPr>
                <w:rFonts w:ascii="Times New Roman" w:hAnsi="Times New Roman" w:cs="Times New Roman"/>
              </w:rPr>
            </w:pPr>
            <w:r>
              <w:rPr>
                <w:rFonts w:ascii="Times New Roman" w:hAnsi="Times New Roman" w:cs="Times New Roman"/>
              </w:rPr>
              <w:t>178</w:t>
            </w:r>
          </w:p>
        </w:tc>
        <w:tc>
          <w:tcPr>
            <w:tcW w:w="1427" w:type="dxa"/>
            <w:tcBorders>
              <w:top w:val="single" w:sz="4" w:space="0" w:color="auto"/>
            </w:tcBorders>
          </w:tcPr>
          <w:p w14:paraId="0145B322" w14:textId="5838AD32" w:rsidR="00536277" w:rsidRDefault="00536277" w:rsidP="009B4516">
            <w:pPr>
              <w:spacing w:line="276" w:lineRule="auto"/>
              <w:jc w:val="center"/>
              <w:rPr>
                <w:rFonts w:ascii="Times New Roman" w:hAnsi="Times New Roman" w:cs="Times New Roman"/>
              </w:rPr>
            </w:pPr>
            <w:r>
              <w:rPr>
                <w:rFonts w:ascii="Times New Roman" w:hAnsi="Times New Roman" w:cs="Times New Roman"/>
              </w:rPr>
              <w:t>113</w:t>
            </w:r>
          </w:p>
        </w:tc>
      </w:tr>
      <w:tr w:rsidR="00536277" w14:paraId="4B6A2555" w14:textId="47CCD899" w:rsidTr="00CF4C3F">
        <w:tc>
          <w:tcPr>
            <w:tcW w:w="1428" w:type="dxa"/>
          </w:tcPr>
          <w:p w14:paraId="0A4D3972" w14:textId="648A4A41" w:rsidR="00536277" w:rsidRPr="00E81B67" w:rsidRDefault="00536277" w:rsidP="00047599">
            <w:pPr>
              <w:spacing w:line="276" w:lineRule="auto"/>
              <w:jc w:val="both"/>
              <w:rPr>
                <w:rFonts w:ascii="Times New Roman" w:hAnsi="Times New Roman" w:cs="Times New Roman"/>
                <w:b/>
                <w:bCs/>
              </w:rPr>
            </w:pPr>
            <w:r w:rsidRPr="00E81B67">
              <w:rPr>
                <w:rFonts w:ascii="Times New Roman" w:hAnsi="Times New Roman" w:cs="Times New Roman"/>
                <w:b/>
                <w:bCs/>
              </w:rPr>
              <w:t>Biological Science</w:t>
            </w:r>
          </w:p>
        </w:tc>
        <w:tc>
          <w:tcPr>
            <w:tcW w:w="1645" w:type="dxa"/>
          </w:tcPr>
          <w:p w14:paraId="4FA18562" w14:textId="28ED6DC3" w:rsidR="00536277" w:rsidRDefault="00536277" w:rsidP="009B4516">
            <w:pPr>
              <w:spacing w:line="276" w:lineRule="auto"/>
              <w:jc w:val="center"/>
              <w:rPr>
                <w:rFonts w:ascii="Times New Roman" w:hAnsi="Times New Roman" w:cs="Times New Roman"/>
              </w:rPr>
            </w:pPr>
            <w:r>
              <w:rPr>
                <w:rFonts w:ascii="Times New Roman" w:hAnsi="Times New Roman" w:cs="Times New Roman"/>
              </w:rPr>
              <w:t>117</w:t>
            </w:r>
          </w:p>
        </w:tc>
        <w:tc>
          <w:tcPr>
            <w:tcW w:w="1694" w:type="dxa"/>
          </w:tcPr>
          <w:p w14:paraId="0286D892" w14:textId="30321637" w:rsidR="00536277" w:rsidRDefault="00536277" w:rsidP="009B4516">
            <w:pPr>
              <w:spacing w:line="276" w:lineRule="auto"/>
              <w:jc w:val="center"/>
              <w:rPr>
                <w:rFonts w:ascii="Times New Roman" w:hAnsi="Times New Roman" w:cs="Times New Roman"/>
              </w:rPr>
            </w:pPr>
            <w:r>
              <w:rPr>
                <w:rFonts w:ascii="Times New Roman" w:hAnsi="Times New Roman" w:cs="Times New Roman"/>
              </w:rPr>
              <w:t>156</w:t>
            </w:r>
          </w:p>
        </w:tc>
        <w:tc>
          <w:tcPr>
            <w:tcW w:w="1729" w:type="dxa"/>
          </w:tcPr>
          <w:p w14:paraId="0A2F15F6" w14:textId="435D823F" w:rsidR="00536277" w:rsidRDefault="00536277" w:rsidP="009B4516">
            <w:pPr>
              <w:spacing w:line="276" w:lineRule="auto"/>
              <w:jc w:val="center"/>
              <w:rPr>
                <w:rFonts w:ascii="Times New Roman" w:hAnsi="Times New Roman" w:cs="Times New Roman"/>
              </w:rPr>
            </w:pPr>
            <w:r>
              <w:rPr>
                <w:rFonts w:ascii="Times New Roman" w:hAnsi="Times New Roman" w:cs="Times New Roman"/>
              </w:rPr>
              <w:t>137</w:t>
            </w:r>
          </w:p>
        </w:tc>
        <w:tc>
          <w:tcPr>
            <w:tcW w:w="1427" w:type="dxa"/>
          </w:tcPr>
          <w:p w14:paraId="665630F0" w14:textId="005493EB" w:rsidR="00536277" w:rsidRDefault="00536277" w:rsidP="009B4516">
            <w:pPr>
              <w:spacing w:line="276" w:lineRule="auto"/>
              <w:jc w:val="center"/>
              <w:rPr>
                <w:rFonts w:ascii="Times New Roman" w:hAnsi="Times New Roman" w:cs="Times New Roman"/>
              </w:rPr>
            </w:pPr>
            <w:r>
              <w:rPr>
                <w:rFonts w:ascii="Times New Roman" w:hAnsi="Times New Roman" w:cs="Times New Roman"/>
              </w:rPr>
              <w:t>128</w:t>
            </w:r>
          </w:p>
        </w:tc>
      </w:tr>
      <w:tr w:rsidR="00450A9C" w14:paraId="45A70105" w14:textId="77777777" w:rsidTr="00CF4C3F">
        <w:tc>
          <w:tcPr>
            <w:tcW w:w="1428" w:type="dxa"/>
          </w:tcPr>
          <w:p w14:paraId="371101C8" w14:textId="24DD1D73" w:rsidR="00F24E03" w:rsidRPr="00E81B67" w:rsidRDefault="00450A9C" w:rsidP="00047599">
            <w:pPr>
              <w:spacing w:line="276" w:lineRule="auto"/>
              <w:jc w:val="both"/>
              <w:rPr>
                <w:rFonts w:ascii="Times New Roman" w:hAnsi="Times New Roman" w:cs="Times New Roman"/>
                <w:b/>
                <w:bCs/>
              </w:rPr>
            </w:pPr>
            <w:r>
              <w:rPr>
                <w:rFonts w:ascii="Times New Roman" w:hAnsi="Times New Roman" w:cs="Times New Roman"/>
                <w:b/>
                <w:bCs/>
              </w:rPr>
              <w:t>Technology</w:t>
            </w:r>
          </w:p>
        </w:tc>
        <w:tc>
          <w:tcPr>
            <w:tcW w:w="1645" w:type="dxa"/>
          </w:tcPr>
          <w:p w14:paraId="227E22D6" w14:textId="1529A643" w:rsidR="00450A9C" w:rsidRDefault="00450A9C" w:rsidP="009B4516">
            <w:pPr>
              <w:spacing w:line="276" w:lineRule="auto"/>
              <w:jc w:val="center"/>
              <w:rPr>
                <w:rFonts w:ascii="Times New Roman" w:hAnsi="Times New Roman" w:cs="Times New Roman"/>
              </w:rPr>
            </w:pPr>
            <w:r>
              <w:rPr>
                <w:rFonts w:ascii="Times New Roman" w:hAnsi="Times New Roman" w:cs="Times New Roman"/>
              </w:rPr>
              <w:t>53</w:t>
            </w:r>
          </w:p>
        </w:tc>
        <w:tc>
          <w:tcPr>
            <w:tcW w:w="1694" w:type="dxa"/>
          </w:tcPr>
          <w:p w14:paraId="5C0B22AA" w14:textId="0A705A95" w:rsidR="00450A9C" w:rsidRDefault="00450A9C" w:rsidP="009B4516">
            <w:pPr>
              <w:spacing w:line="276" w:lineRule="auto"/>
              <w:jc w:val="center"/>
              <w:rPr>
                <w:rFonts w:ascii="Times New Roman" w:hAnsi="Times New Roman" w:cs="Times New Roman"/>
              </w:rPr>
            </w:pPr>
            <w:r>
              <w:rPr>
                <w:rFonts w:ascii="Times New Roman" w:hAnsi="Times New Roman" w:cs="Times New Roman"/>
              </w:rPr>
              <w:t>63</w:t>
            </w:r>
          </w:p>
        </w:tc>
        <w:tc>
          <w:tcPr>
            <w:tcW w:w="1729" w:type="dxa"/>
          </w:tcPr>
          <w:p w14:paraId="323DB311" w14:textId="76732B40" w:rsidR="00450A9C" w:rsidRDefault="00450A9C" w:rsidP="009B4516">
            <w:pPr>
              <w:spacing w:line="276" w:lineRule="auto"/>
              <w:jc w:val="center"/>
              <w:rPr>
                <w:rFonts w:ascii="Times New Roman" w:hAnsi="Times New Roman" w:cs="Times New Roman"/>
              </w:rPr>
            </w:pPr>
            <w:r>
              <w:rPr>
                <w:rFonts w:ascii="Times New Roman" w:hAnsi="Times New Roman" w:cs="Times New Roman"/>
              </w:rPr>
              <w:t>41</w:t>
            </w:r>
          </w:p>
        </w:tc>
        <w:tc>
          <w:tcPr>
            <w:tcW w:w="1427" w:type="dxa"/>
          </w:tcPr>
          <w:p w14:paraId="040B6ED1" w14:textId="689295C4" w:rsidR="00450A9C" w:rsidRDefault="00450A9C" w:rsidP="009B4516">
            <w:pPr>
              <w:spacing w:line="276" w:lineRule="auto"/>
              <w:jc w:val="center"/>
              <w:rPr>
                <w:rFonts w:ascii="Times New Roman" w:hAnsi="Times New Roman" w:cs="Times New Roman"/>
              </w:rPr>
            </w:pPr>
            <w:r>
              <w:rPr>
                <w:rFonts w:ascii="Times New Roman" w:hAnsi="Times New Roman" w:cs="Times New Roman"/>
              </w:rPr>
              <w:t>18</w:t>
            </w:r>
          </w:p>
        </w:tc>
      </w:tr>
      <w:tr w:rsidR="00536277" w14:paraId="53D49C90" w14:textId="77777777" w:rsidTr="00CF4C3F">
        <w:tc>
          <w:tcPr>
            <w:tcW w:w="1428" w:type="dxa"/>
          </w:tcPr>
          <w:p w14:paraId="15F93C1A" w14:textId="5C528B73" w:rsidR="00536277" w:rsidRPr="00E81B67" w:rsidRDefault="00536277" w:rsidP="00047599">
            <w:pPr>
              <w:spacing w:line="276" w:lineRule="auto"/>
              <w:jc w:val="both"/>
              <w:rPr>
                <w:rFonts w:ascii="Times New Roman" w:hAnsi="Times New Roman" w:cs="Times New Roman"/>
                <w:b/>
                <w:bCs/>
              </w:rPr>
            </w:pPr>
            <w:r w:rsidRPr="00E81B67">
              <w:rPr>
                <w:rFonts w:ascii="Times New Roman" w:hAnsi="Times New Roman" w:cs="Times New Roman"/>
                <w:b/>
                <w:bCs/>
              </w:rPr>
              <w:t>Arts</w:t>
            </w:r>
          </w:p>
        </w:tc>
        <w:tc>
          <w:tcPr>
            <w:tcW w:w="1645" w:type="dxa"/>
          </w:tcPr>
          <w:p w14:paraId="15837C00" w14:textId="5999A2C3" w:rsidR="00536277" w:rsidRDefault="00536277" w:rsidP="009B4516">
            <w:pPr>
              <w:spacing w:line="276" w:lineRule="auto"/>
              <w:jc w:val="center"/>
              <w:rPr>
                <w:rFonts w:ascii="Times New Roman" w:hAnsi="Times New Roman" w:cs="Times New Roman"/>
              </w:rPr>
            </w:pPr>
            <w:r>
              <w:rPr>
                <w:rFonts w:ascii="Times New Roman" w:hAnsi="Times New Roman" w:cs="Times New Roman"/>
              </w:rPr>
              <w:t>51</w:t>
            </w:r>
          </w:p>
        </w:tc>
        <w:tc>
          <w:tcPr>
            <w:tcW w:w="1694" w:type="dxa"/>
          </w:tcPr>
          <w:p w14:paraId="7038DB92" w14:textId="1A3C7A05" w:rsidR="00536277" w:rsidRDefault="00536277" w:rsidP="009B4516">
            <w:pPr>
              <w:spacing w:line="276" w:lineRule="auto"/>
              <w:jc w:val="center"/>
              <w:rPr>
                <w:rFonts w:ascii="Times New Roman" w:hAnsi="Times New Roman" w:cs="Times New Roman"/>
              </w:rPr>
            </w:pPr>
            <w:r>
              <w:rPr>
                <w:rFonts w:ascii="Times New Roman" w:hAnsi="Times New Roman" w:cs="Times New Roman"/>
              </w:rPr>
              <w:t>66</w:t>
            </w:r>
          </w:p>
        </w:tc>
        <w:tc>
          <w:tcPr>
            <w:tcW w:w="1729" w:type="dxa"/>
          </w:tcPr>
          <w:p w14:paraId="504C6C7F" w14:textId="380E2313" w:rsidR="00536277" w:rsidRDefault="00536277" w:rsidP="009B4516">
            <w:pPr>
              <w:spacing w:line="276" w:lineRule="auto"/>
              <w:jc w:val="center"/>
              <w:rPr>
                <w:rFonts w:ascii="Times New Roman" w:hAnsi="Times New Roman" w:cs="Times New Roman"/>
              </w:rPr>
            </w:pPr>
            <w:r>
              <w:rPr>
                <w:rFonts w:ascii="Times New Roman" w:hAnsi="Times New Roman" w:cs="Times New Roman"/>
              </w:rPr>
              <w:t>56</w:t>
            </w:r>
          </w:p>
        </w:tc>
        <w:tc>
          <w:tcPr>
            <w:tcW w:w="1427" w:type="dxa"/>
          </w:tcPr>
          <w:p w14:paraId="1EEB12BD" w14:textId="76DB538A" w:rsidR="00536277" w:rsidRDefault="00536277" w:rsidP="009B4516">
            <w:pPr>
              <w:spacing w:line="276" w:lineRule="auto"/>
              <w:jc w:val="center"/>
              <w:rPr>
                <w:rFonts w:ascii="Times New Roman" w:hAnsi="Times New Roman" w:cs="Times New Roman"/>
              </w:rPr>
            </w:pPr>
            <w:r>
              <w:rPr>
                <w:rFonts w:ascii="Times New Roman" w:hAnsi="Times New Roman" w:cs="Times New Roman"/>
              </w:rPr>
              <w:t>23</w:t>
            </w:r>
          </w:p>
        </w:tc>
      </w:tr>
      <w:tr w:rsidR="00536277" w14:paraId="3F9F9FC8" w14:textId="77777777" w:rsidTr="00CF4C3F">
        <w:tc>
          <w:tcPr>
            <w:tcW w:w="1428" w:type="dxa"/>
          </w:tcPr>
          <w:p w14:paraId="510A6033" w14:textId="69C1A321" w:rsidR="00536277" w:rsidRPr="00E81B67" w:rsidRDefault="00536277" w:rsidP="00047599">
            <w:pPr>
              <w:spacing w:line="276" w:lineRule="auto"/>
              <w:jc w:val="both"/>
              <w:rPr>
                <w:rFonts w:ascii="Times New Roman" w:hAnsi="Times New Roman" w:cs="Times New Roman"/>
                <w:b/>
                <w:bCs/>
              </w:rPr>
            </w:pPr>
            <w:r w:rsidRPr="00E81B67">
              <w:rPr>
                <w:rFonts w:ascii="Times New Roman" w:hAnsi="Times New Roman" w:cs="Times New Roman"/>
                <w:b/>
                <w:bCs/>
              </w:rPr>
              <w:t>Commerce</w:t>
            </w:r>
          </w:p>
        </w:tc>
        <w:tc>
          <w:tcPr>
            <w:tcW w:w="1645" w:type="dxa"/>
          </w:tcPr>
          <w:p w14:paraId="1619602B" w14:textId="74C1B453" w:rsidR="00536277" w:rsidRDefault="00536277" w:rsidP="009B4516">
            <w:pPr>
              <w:spacing w:line="276" w:lineRule="auto"/>
              <w:jc w:val="center"/>
              <w:rPr>
                <w:rFonts w:ascii="Times New Roman" w:hAnsi="Times New Roman" w:cs="Times New Roman"/>
              </w:rPr>
            </w:pPr>
            <w:r>
              <w:rPr>
                <w:rFonts w:ascii="Times New Roman" w:hAnsi="Times New Roman" w:cs="Times New Roman"/>
              </w:rPr>
              <w:t>52</w:t>
            </w:r>
          </w:p>
        </w:tc>
        <w:tc>
          <w:tcPr>
            <w:tcW w:w="1694" w:type="dxa"/>
          </w:tcPr>
          <w:p w14:paraId="668B0AB7" w14:textId="4E41316D" w:rsidR="00536277" w:rsidRDefault="00536277" w:rsidP="009B4516">
            <w:pPr>
              <w:spacing w:line="276" w:lineRule="auto"/>
              <w:jc w:val="center"/>
              <w:rPr>
                <w:rFonts w:ascii="Times New Roman" w:hAnsi="Times New Roman" w:cs="Times New Roman"/>
              </w:rPr>
            </w:pPr>
            <w:r>
              <w:rPr>
                <w:rFonts w:ascii="Times New Roman" w:hAnsi="Times New Roman" w:cs="Times New Roman"/>
              </w:rPr>
              <w:t>60</w:t>
            </w:r>
          </w:p>
        </w:tc>
        <w:tc>
          <w:tcPr>
            <w:tcW w:w="1729" w:type="dxa"/>
          </w:tcPr>
          <w:p w14:paraId="7F26F80D" w14:textId="430DD0B3" w:rsidR="00536277" w:rsidRDefault="00536277" w:rsidP="009B4516">
            <w:pPr>
              <w:spacing w:line="276" w:lineRule="auto"/>
              <w:jc w:val="center"/>
              <w:rPr>
                <w:rFonts w:ascii="Times New Roman" w:hAnsi="Times New Roman" w:cs="Times New Roman"/>
              </w:rPr>
            </w:pPr>
            <w:r>
              <w:rPr>
                <w:rFonts w:ascii="Times New Roman" w:hAnsi="Times New Roman" w:cs="Times New Roman"/>
              </w:rPr>
              <w:t>42</w:t>
            </w:r>
          </w:p>
        </w:tc>
        <w:tc>
          <w:tcPr>
            <w:tcW w:w="1427" w:type="dxa"/>
          </w:tcPr>
          <w:p w14:paraId="1507084E" w14:textId="57378BB3" w:rsidR="00536277" w:rsidRDefault="00536277" w:rsidP="009B4516">
            <w:pPr>
              <w:spacing w:line="276" w:lineRule="auto"/>
              <w:jc w:val="center"/>
              <w:rPr>
                <w:rFonts w:ascii="Times New Roman" w:hAnsi="Times New Roman" w:cs="Times New Roman"/>
              </w:rPr>
            </w:pPr>
            <w:r>
              <w:rPr>
                <w:rFonts w:ascii="Times New Roman" w:hAnsi="Times New Roman" w:cs="Times New Roman"/>
              </w:rPr>
              <w:t>42</w:t>
            </w:r>
          </w:p>
        </w:tc>
      </w:tr>
      <w:tr w:rsidR="00536277" w14:paraId="7ED38CAC" w14:textId="77777777" w:rsidTr="00CF4C3F">
        <w:tc>
          <w:tcPr>
            <w:tcW w:w="1428" w:type="dxa"/>
          </w:tcPr>
          <w:p w14:paraId="1FA836F4" w14:textId="50386002" w:rsidR="00536277" w:rsidRPr="00E81B67" w:rsidRDefault="00536277" w:rsidP="00047599">
            <w:pPr>
              <w:spacing w:line="276" w:lineRule="auto"/>
              <w:jc w:val="both"/>
              <w:rPr>
                <w:rFonts w:ascii="Times New Roman" w:hAnsi="Times New Roman" w:cs="Times New Roman"/>
                <w:b/>
                <w:bCs/>
              </w:rPr>
            </w:pPr>
            <w:r w:rsidRPr="00E81B67">
              <w:rPr>
                <w:rFonts w:ascii="Times New Roman" w:hAnsi="Times New Roman" w:cs="Times New Roman"/>
                <w:b/>
                <w:bCs/>
              </w:rPr>
              <w:t>Total</w:t>
            </w:r>
          </w:p>
        </w:tc>
        <w:tc>
          <w:tcPr>
            <w:tcW w:w="1645" w:type="dxa"/>
          </w:tcPr>
          <w:p w14:paraId="1350EA36" w14:textId="0BD0EE7A" w:rsidR="00536277" w:rsidRPr="00E81B67" w:rsidRDefault="00536277" w:rsidP="00474DFD">
            <w:pPr>
              <w:spacing w:line="276" w:lineRule="auto"/>
              <w:jc w:val="center"/>
              <w:rPr>
                <w:rFonts w:ascii="Times New Roman" w:hAnsi="Times New Roman" w:cs="Times New Roman"/>
                <w:b/>
                <w:bCs/>
              </w:rPr>
            </w:pPr>
            <w:r w:rsidRPr="00E81B67">
              <w:rPr>
                <w:rFonts w:ascii="Times New Roman" w:hAnsi="Times New Roman" w:cs="Times New Roman"/>
                <w:b/>
                <w:bCs/>
              </w:rPr>
              <w:t>464</w:t>
            </w:r>
          </w:p>
        </w:tc>
        <w:tc>
          <w:tcPr>
            <w:tcW w:w="1694" w:type="dxa"/>
          </w:tcPr>
          <w:p w14:paraId="2235DC9B" w14:textId="42D294F4" w:rsidR="00536277" w:rsidRPr="00E81B67" w:rsidRDefault="00536277" w:rsidP="00474DFD">
            <w:pPr>
              <w:spacing w:line="276" w:lineRule="auto"/>
              <w:jc w:val="center"/>
              <w:rPr>
                <w:rFonts w:ascii="Times New Roman" w:hAnsi="Times New Roman" w:cs="Times New Roman"/>
                <w:b/>
                <w:bCs/>
              </w:rPr>
            </w:pPr>
            <w:r w:rsidRPr="00E81B67">
              <w:rPr>
                <w:rFonts w:ascii="Times New Roman" w:hAnsi="Times New Roman" w:cs="Times New Roman"/>
                <w:b/>
                <w:bCs/>
              </w:rPr>
              <w:t>564</w:t>
            </w:r>
          </w:p>
        </w:tc>
        <w:tc>
          <w:tcPr>
            <w:tcW w:w="1729" w:type="dxa"/>
          </w:tcPr>
          <w:p w14:paraId="075CE8A0" w14:textId="0B20AC85" w:rsidR="00536277" w:rsidRPr="00E81B67" w:rsidRDefault="00536277" w:rsidP="00474DFD">
            <w:pPr>
              <w:spacing w:line="276" w:lineRule="auto"/>
              <w:jc w:val="center"/>
              <w:rPr>
                <w:rFonts w:ascii="Times New Roman" w:hAnsi="Times New Roman" w:cs="Times New Roman"/>
                <w:b/>
                <w:bCs/>
              </w:rPr>
            </w:pPr>
            <w:r w:rsidRPr="00E81B67">
              <w:rPr>
                <w:rFonts w:ascii="Times New Roman" w:hAnsi="Times New Roman" w:cs="Times New Roman"/>
                <w:b/>
                <w:bCs/>
              </w:rPr>
              <w:t>454</w:t>
            </w:r>
          </w:p>
        </w:tc>
        <w:tc>
          <w:tcPr>
            <w:tcW w:w="1427" w:type="dxa"/>
          </w:tcPr>
          <w:p w14:paraId="1254EC17" w14:textId="335CB40B" w:rsidR="00536277" w:rsidRPr="00E81B67" w:rsidRDefault="00536277" w:rsidP="00474DFD">
            <w:pPr>
              <w:spacing w:line="276" w:lineRule="auto"/>
              <w:jc w:val="center"/>
              <w:rPr>
                <w:rFonts w:ascii="Times New Roman" w:hAnsi="Times New Roman" w:cs="Times New Roman"/>
                <w:b/>
                <w:bCs/>
              </w:rPr>
            </w:pPr>
            <w:r w:rsidRPr="00E81B67">
              <w:rPr>
                <w:rFonts w:ascii="Times New Roman" w:hAnsi="Times New Roman" w:cs="Times New Roman"/>
                <w:b/>
                <w:bCs/>
              </w:rPr>
              <w:t>324</w:t>
            </w:r>
          </w:p>
        </w:tc>
      </w:tr>
    </w:tbl>
    <w:p w14:paraId="304CA395" w14:textId="77777777" w:rsidR="00474DFD" w:rsidRDefault="00474DFD" w:rsidP="00047599">
      <w:pPr>
        <w:spacing w:line="276" w:lineRule="auto"/>
        <w:jc w:val="both"/>
        <w:rPr>
          <w:rFonts w:ascii="Times New Roman" w:hAnsi="Times New Roman" w:cs="Times New Roman"/>
          <w:b/>
          <w:bCs/>
        </w:rPr>
      </w:pPr>
    </w:p>
    <w:p w14:paraId="0BA28A2B" w14:textId="46BB9F8F" w:rsidR="000C6C25" w:rsidRPr="000C6C25" w:rsidRDefault="000C6C25" w:rsidP="00047599">
      <w:pPr>
        <w:spacing w:line="276" w:lineRule="auto"/>
        <w:jc w:val="both"/>
        <w:rPr>
          <w:rFonts w:ascii="Times New Roman" w:hAnsi="Times New Roman" w:cs="Times New Roman"/>
        </w:rPr>
      </w:pPr>
      <w:r w:rsidRPr="000C6C25">
        <w:rPr>
          <w:rFonts w:ascii="Times New Roman" w:hAnsi="Times New Roman" w:cs="Times New Roman"/>
        </w:rPr>
        <w:t xml:space="preserve">The use </w:t>
      </w:r>
      <w:r w:rsidR="006C3380" w:rsidRPr="000C6C25">
        <w:rPr>
          <w:rFonts w:ascii="Times New Roman" w:hAnsi="Times New Roman" w:cs="Times New Roman"/>
        </w:rPr>
        <w:t xml:space="preserve">of </w:t>
      </w:r>
      <w:r w:rsidR="006C3380">
        <w:rPr>
          <w:rFonts w:ascii="Times New Roman" w:hAnsi="Times New Roman" w:cs="Times New Roman"/>
        </w:rPr>
        <w:t>anonymized</w:t>
      </w:r>
      <w:r w:rsidRPr="000C6C25">
        <w:rPr>
          <w:rFonts w:ascii="Times New Roman" w:hAnsi="Times New Roman" w:cs="Times New Roman"/>
        </w:rPr>
        <w:t xml:space="preserve"> data ensured ethical compliance and safeguarded student confidentiality while enabling a rigorous examination of the relationship between A/L backgrounds and IT course performance.</w:t>
      </w:r>
    </w:p>
    <w:p w14:paraId="0AABA09E" w14:textId="25FD90A3" w:rsidR="008C5F51" w:rsidRDefault="000246A5" w:rsidP="00047599">
      <w:pPr>
        <w:spacing w:line="276" w:lineRule="auto"/>
        <w:jc w:val="both"/>
        <w:rPr>
          <w:rFonts w:ascii="Times New Roman" w:hAnsi="Times New Roman" w:cs="Times New Roman"/>
          <w:b/>
          <w:bCs/>
        </w:rPr>
      </w:pPr>
      <w:r>
        <w:rPr>
          <w:rFonts w:ascii="Times New Roman" w:hAnsi="Times New Roman" w:cs="Times New Roman"/>
          <w:b/>
          <w:bCs/>
        </w:rPr>
        <w:t>Results and Discussion</w:t>
      </w:r>
    </w:p>
    <w:p w14:paraId="73F2571E" w14:textId="44372B89" w:rsidR="004036B2" w:rsidRDefault="004036B2" w:rsidP="004036B2">
      <w:pPr>
        <w:spacing w:line="276" w:lineRule="auto"/>
        <w:jc w:val="both"/>
        <w:rPr>
          <w:rFonts w:ascii="Times New Roman" w:hAnsi="Times New Roman" w:cs="Times New Roman"/>
          <w:b/>
          <w:bCs/>
        </w:rPr>
      </w:pPr>
      <w:r w:rsidRPr="004036B2">
        <w:rPr>
          <w:rFonts w:ascii="Times New Roman" w:hAnsi="Times New Roman" w:cs="Times New Roman"/>
          <w:b/>
          <w:bCs/>
        </w:rPr>
        <w:t>Effect of A/L study streams on the Performance of F</w:t>
      </w:r>
      <w:r w:rsidR="002E0246">
        <w:rPr>
          <w:rFonts w:ascii="Times New Roman" w:hAnsi="Times New Roman" w:cs="Times New Roman"/>
          <w:b/>
          <w:bCs/>
        </w:rPr>
        <w:t>oundation</w:t>
      </w:r>
      <w:r w:rsidR="0027638C">
        <w:rPr>
          <w:rFonts w:ascii="Times New Roman" w:hAnsi="Times New Roman" w:cs="Times New Roman"/>
          <w:b/>
          <w:bCs/>
        </w:rPr>
        <w:t>s</w:t>
      </w:r>
      <w:r w:rsidR="002E0246">
        <w:rPr>
          <w:rFonts w:ascii="Times New Roman" w:hAnsi="Times New Roman" w:cs="Times New Roman"/>
          <w:b/>
          <w:bCs/>
        </w:rPr>
        <w:t xml:space="preserve"> of Mathematics</w:t>
      </w:r>
    </w:p>
    <w:p w14:paraId="7865CC32" w14:textId="6264FCA6" w:rsidR="00957004" w:rsidRPr="00CF4C3F" w:rsidRDefault="00957004" w:rsidP="007F6BDB">
      <w:pPr>
        <w:spacing w:line="276" w:lineRule="auto"/>
        <w:jc w:val="both"/>
        <w:rPr>
          <w:rFonts w:ascii="Times New Roman" w:hAnsi="Times New Roman" w:cs="Times New Roman"/>
          <w:b/>
          <w:bCs/>
        </w:rPr>
      </w:pPr>
      <w:r w:rsidRPr="00CF4C3F">
        <w:rPr>
          <w:rFonts w:ascii="Times New Roman" w:hAnsi="Times New Roman" w:cs="Times New Roman"/>
          <w:b/>
          <w:bCs/>
        </w:rPr>
        <w:t>Results</w:t>
      </w:r>
    </w:p>
    <w:p w14:paraId="0F21CE60" w14:textId="12699AD6" w:rsidR="004036B2" w:rsidRPr="007F6BDB" w:rsidRDefault="004036B2" w:rsidP="007F6BDB">
      <w:pPr>
        <w:spacing w:line="276" w:lineRule="auto"/>
        <w:jc w:val="both"/>
        <w:rPr>
          <w:rFonts w:ascii="Times New Roman" w:hAnsi="Times New Roman" w:cs="Times New Roman"/>
          <w:b/>
          <w:bCs/>
        </w:rPr>
      </w:pPr>
      <w:r w:rsidRPr="007F6BDB">
        <w:rPr>
          <w:rFonts w:ascii="Times New Roman" w:hAnsi="Times New Roman" w:cs="Times New Roman"/>
        </w:rPr>
        <w:t xml:space="preserve">A one-way Welch ANOVA was conducted to examine differences in undergraduate performance in Foundations of Mathematics across five Advanced Level (A/L) study streams: Arts, Biological Science, Commerce, </w:t>
      </w:r>
      <w:r w:rsidR="008E6F4E">
        <w:rPr>
          <w:rFonts w:ascii="Times New Roman" w:hAnsi="Times New Roman" w:cs="Times New Roman"/>
        </w:rPr>
        <w:t>Physical Science</w:t>
      </w:r>
      <w:r w:rsidRPr="007F6BDB">
        <w:rPr>
          <w:rFonts w:ascii="Times New Roman" w:hAnsi="Times New Roman" w:cs="Times New Roman"/>
        </w:rPr>
        <w:t xml:space="preserve">, and Technology. Descriptive statistics indicated some variation in mean Grade Point (GP) scores, with </w:t>
      </w:r>
      <w:r w:rsidR="00730E7C">
        <w:rPr>
          <w:rFonts w:ascii="Times New Roman" w:hAnsi="Times New Roman" w:cs="Times New Roman"/>
        </w:rPr>
        <w:t>Physical Science</w:t>
      </w:r>
      <w:r w:rsidRPr="007F6BDB">
        <w:rPr>
          <w:rFonts w:ascii="Times New Roman" w:hAnsi="Times New Roman" w:cs="Times New Roman"/>
        </w:rPr>
        <w:t xml:space="preserve"> students achieving the highest </w:t>
      </w:r>
      <w:r w:rsidRPr="007F6BDB">
        <w:rPr>
          <w:rFonts w:ascii="Times New Roman" w:hAnsi="Times New Roman" w:cs="Times New Roman"/>
        </w:rPr>
        <w:lastRenderedPageBreak/>
        <w:t xml:space="preserve">mean (M = 3.28, SD = 0.65) and Technology students the lowest (M = 2.88, SD = 0.73), while Arts (M = 3.04, SD = 0.79), Biological Science (M = 3.14, SD = 0.85), and Commerce (M = 2.94, SD = 0.86) students scored in between. Levene’s test revealed a violation of homogeneity of variances, </w:t>
      </w:r>
      <w:r w:rsidR="00025ED1" w:rsidRPr="007F6BDB">
        <w:rPr>
          <w:rFonts w:ascii="Times New Roman" w:hAnsi="Times New Roman" w:cs="Times New Roman"/>
        </w:rPr>
        <w:t>F (</w:t>
      </w:r>
      <w:r w:rsidRPr="007F6BDB">
        <w:rPr>
          <w:rFonts w:ascii="Times New Roman" w:hAnsi="Times New Roman" w:cs="Times New Roman"/>
        </w:rPr>
        <w:t xml:space="preserve">4, 459) = 5.08, p = .001; therefore, Welch’s ANOVA was used. Results showed a statistically significant effect of A/L study stream on Foundations of Mathematics performance, Welch’s </w:t>
      </w:r>
      <w:r w:rsidR="00025ED1" w:rsidRPr="007F6BDB">
        <w:rPr>
          <w:rFonts w:ascii="Times New Roman" w:hAnsi="Times New Roman" w:cs="Times New Roman"/>
        </w:rPr>
        <w:t>F (</w:t>
      </w:r>
      <w:r w:rsidRPr="007F6BDB">
        <w:rPr>
          <w:rFonts w:ascii="Times New Roman" w:hAnsi="Times New Roman" w:cs="Times New Roman"/>
        </w:rPr>
        <w:t xml:space="preserve">4, 145.75) = 4.61, p = .002, with a small effect size, η² = .036, 95% CI [.005, .068]. Post hoc comparisons using Games–Howell indicated that </w:t>
      </w:r>
      <w:r w:rsidR="008D63E7">
        <w:rPr>
          <w:rFonts w:ascii="Times New Roman" w:hAnsi="Times New Roman" w:cs="Times New Roman"/>
        </w:rPr>
        <w:t>Physical Science</w:t>
      </w:r>
      <w:r w:rsidRPr="007F6BDB">
        <w:rPr>
          <w:rFonts w:ascii="Times New Roman" w:hAnsi="Times New Roman" w:cs="Times New Roman"/>
        </w:rPr>
        <w:t xml:space="preserve"> students scored significantly higher than Technology students (MD = 0.40, p = .005, 95% CI [0.09, 0.71]), whereas no other pairwise differences were significant.</w:t>
      </w:r>
      <w:r w:rsidR="008D63E7">
        <w:rPr>
          <w:rFonts w:ascii="Times New Roman" w:hAnsi="Times New Roman" w:cs="Times New Roman"/>
        </w:rPr>
        <w:t xml:space="preserve"> </w:t>
      </w:r>
    </w:p>
    <w:p w14:paraId="04C7C964" w14:textId="2813EA75" w:rsidR="00C74223" w:rsidRPr="00F52257" w:rsidRDefault="004036B2" w:rsidP="00F52257">
      <w:pPr>
        <w:pStyle w:val="NormalWeb"/>
        <w:spacing w:line="276" w:lineRule="auto"/>
        <w:jc w:val="both"/>
      </w:pPr>
      <w:r w:rsidRPr="007F6BDB">
        <w:rPr>
          <w:rStyle w:val="Strong"/>
          <w:rFonts w:eastAsiaTheme="majorEastAsia"/>
        </w:rPr>
        <w:t>Discussion</w:t>
      </w:r>
      <w:r w:rsidR="00730E7C">
        <w:rPr>
          <w:rStyle w:val="Strong"/>
          <w:rFonts w:eastAsiaTheme="majorEastAsia"/>
        </w:rPr>
        <w:t xml:space="preserve"> </w:t>
      </w:r>
      <w:r w:rsidRPr="007F6BDB">
        <w:br/>
        <w:t xml:space="preserve">These findings indicate that A/L study stream has a statistically significant but small influence on </w:t>
      </w:r>
      <w:r w:rsidR="000A4B82">
        <w:t>Foundations of M</w:t>
      </w:r>
      <w:r w:rsidRPr="007F6BDB">
        <w:t xml:space="preserve">athematics performance. The gap between </w:t>
      </w:r>
      <w:r w:rsidR="005A48D5">
        <w:t>Physical Science</w:t>
      </w:r>
      <w:r w:rsidRPr="007F6BDB">
        <w:t xml:space="preserve"> and Technology students aligns with expectations, as </w:t>
      </w:r>
      <w:r w:rsidR="002E0246">
        <w:t>Physical Science</w:t>
      </w:r>
      <w:r w:rsidRPr="007F6BDB">
        <w:t xml:space="preserve"> stream students typically have stronger prior exposure to algebra, functions, and logical reasoning. Other streams showed comparable performance, suggesting that undergraduate instruction, curriculum support, and student effort may mitigate differences in pre-university preparation. Universities may consider providing targeted support for students from Technology or less mathematics-intensive backgrounds to enhance foundational competency.</w:t>
      </w:r>
    </w:p>
    <w:p w14:paraId="45680C2D" w14:textId="4E617E00" w:rsidR="00C74223" w:rsidRDefault="00C74223" w:rsidP="00C74223">
      <w:pPr>
        <w:spacing w:line="276" w:lineRule="auto"/>
        <w:jc w:val="both"/>
        <w:rPr>
          <w:rFonts w:ascii="Times New Roman" w:hAnsi="Times New Roman" w:cs="Times New Roman"/>
          <w:b/>
          <w:bCs/>
        </w:rPr>
      </w:pPr>
      <w:bookmarkStart w:id="3" w:name="_Hlk214744949"/>
      <w:r>
        <w:rPr>
          <w:rFonts w:ascii="Times New Roman" w:hAnsi="Times New Roman" w:cs="Times New Roman"/>
          <w:b/>
          <w:bCs/>
        </w:rPr>
        <w:t>Effect of A/L study streams on the Performance of Fundamentals of Programming</w:t>
      </w:r>
    </w:p>
    <w:bookmarkEnd w:id="3"/>
    <w:p w14:paraId="757979E0" w14:textId="77777777" w:rsidR="000C324D" w:rsidRPr="000C324D" w:rsidRDefault="000C324D" w:rsidP="000C324D">
      <w:pPr>
        <w:spacing w:line="276" w:lineRule="auto"/>
        <w:jc w:val="both"/>
        <w:rPr>
          <w:rFonts w:ascii="Times New Roman" w:hAnsi="Times New Roman" w:cs="Times New Roman"/>
          <w:b/>
          <w:bCs/>
        </w:rPr>
      </w:pPr>
      <w:r w:rsidRPr="000C324D">
        <w:rPr>
          <w:rFonts w:ascii="Times New Roman" w:hAnsi="Times New Roman" w:cs="Times New Roman"/>
          <w:b/>
          <w:bCs/>
        </w:rPr>
        <w:t>Results</w:t>
      </w:r>
    </w:p>
    <w:p w14:paraId="14FB3C84" w14:textId="4108AA74" w:rsidR="000C324D" w:rsidRPr="008C7598" w:rsidRDefault="000C324D" w:rsidP="000C324D">
      <w:pPr>
        <w:spacing w:line="276" w:lineRule="auto"/>
        <w:jc w:val="both"/>
        <w:rPr>
          <w:rFonts w:ascii="Times New Roman" w:hAnsi="Times New Roman" w:cs="Times New Roman"/>
        </w:rPr>
      </w:pPr>
      <w:r w:rsidRPr="00B16B69">
        <w:rPr>
          <w:rFonts w:ascii="Times New Roman" w:hAnsi="Times New Roman" w:cs="Times New Roman"/>
        </w:rPr>
        <w:t>Descriptive statistics for Fundamentals of Programming showed mean G</w:t>
      </w:r>
      <w:r w:rsidR="00B16B69">
        <w:rPr>
          <w:rFonts w:ascii="Times New Roman" w:hAnsi="Times New Roman" w:cs="Times New Roman"/>
        </w:rPr>
        <w:t xml:space="preserve">rade </w:t>
      </w:r>
      <w:r w:rsidR="002B46D5">
        <w:rPr>
          <w:rFonts w:ascii="Times New Roman" w:hAnsi="Times New Roman" w:cs="Times New Roman"/>
        </w:rPr>
        <w:t>Point</w:t>
      </w:r>
      <w:r w:rsidRPr="00B16B69">
        <w:rPr>
          <w:rFonts w:ascii="Times New Roman" w:hAnsi="Times New Roman" w:cs="Times New Roman"/>
        </w:rPr>
        <w:t xml:space="preserve"> scores ranging from 2.10 (Arts) to 2.71 (Commerce), with standard deviations between 1.038 and 1.323. Levene’s test confirmed homogeneity of variances, </w:t>
      </w:r>
      <w:r w:rsidR="002B46D5" w:rsidRPr="00B16B69">
        <w:rPr>
          <w:rFonts w:ascii="Times New Roman" w:hAnsi="Times New Roman" w:cs="Times New Roman"/>
        </w:rPr>
        <w:t>F (</w:t>
      </w:r>
      <w:r w:rsidRPr="00B16B69">
        <w:rPr>
          <w:rFonts w:ascii="Times New Roman" w:hAnsi="Times New Roman" w:cs="Times New Roman"/>
        </w:rPr>
        <w:t xml:space="preserve">4, 559) = 0.601, p = .662, allowing use of a standard one-way ANOVA. The ANOVA revealed a significant effect of A/L study stream on programming performance, </w:t>
      </w:r>
      <w:r w:rsidR="00861D59" w:rsidRPr="00B16B69">
        <w:rPr>
          <w:rFonts w:ascii="Times New Roman" w:hAnsi="Times New Roman" w:cs="Times New Roman"/>
        </w:rPr>
        <w:t>F (</w:t>
      </w:r>
      <w:r w:rsidRPr="00B16B69">
        <w:rPr>
          <w:rFonts w:ascii="Times New Roman" w:hAnsi="Times New Roman" w:cs="Times New Roman"/>
        </w:rPr>
        <w:t xml:space="preserve">4, 559) = 4.23, p = .002, η² = .029, indicating a small effect. Tukey’s HSD post hoc analysis showed that Commerce students (M = 2.71, SD = 1.07) performed significantly better than Arts students (M = 2.10, SD = 1.32, p = .029) and </w:t>
      </w:r>
      <w:r w:rsidR="003967AC">
        <w:rPr>
          <w:rFonts w:ascii="Times New Roman" w:hAnsi="Times New Roman" w:cs="Times New Roman"/>
        </w:rPr>
        <w:t>Physical Science</w:t>
      </w:r>
      <w:r w:rsidRPr="00B16B69">
        <w:rPr>
          <w:rFonts w:ascii="Times New Roman" w:hAnsi="Times New Roman" w:cs="Times New Roman"/>
        </w:rPr>
        <w:t xml:space="preserve"> students (M = 2.64, SD = 1.14, p = .010). Additionally, </w:t>
      </w:r>
      <w:r w:rsidR="008C7598">
        <w:rPr>
          <w:rFonts w:ascii="Times New Roman" w:hAnsi="Times New Roman" w:cs="Times New Roman"/>
        </w:rPr>
        <w:t>Physical Science</w:t>
      </w:r>
      <w:r w:rsidRPr="00B16B69">
        <w:rPr>
          <w:rFonts w:ascii="Times New Roman" w:hAnsi="Times New Roman" w:cs="Times New Roman"/>
        </w:rPr>
        <w:t xml:space="preserve"> students scored significantly higher than Biological Science students (M = 2.30, SD = 1.20, p = .048). Other comparisons were not statistically significant.</w:t>
      </w:r>
    </w:p>
    <w:p w14:paraId="054D5FA2" w14:textId="77777777" w:rsidR="000C324D" w:rsidRPr="000C324D" w:rsidRDefault="000C324D" w:rsidP="000C324D">
      <w:pPr>
        <w:spacing w:line="276" w:lineRule="auto"/>
        <w:jc w:val="both"/>
        <w:rPr>
          <w:rFonts w:ascii="Times New Roman" w:hAnsi="Times New Roman" w:cs="Times New Roman"/>
          <w:b/>
          <w:bCs/>
        </w:rPr>
      </w:pPr>
      <w:r w:rsidRPr="000C324D">
        <w:rPr>
          <w:rFonts w:ascii="Times New Roman" w:hAnsi="Times New Roman" w:cs="Times New Roman"/>
          <w:b/>
          <w:bCs/>
        </w:rPr>
        <w:t>Discussion</w:t>
      </w:r>
    </w:p>
    <w:p w14:paraId="508F79A4" w14:textId="4529C438" w:rsidR="005211DC" w:rsidRPr="008C7598" w:rsidRDefault="000C324D" w:rsidP="000C324D">
      <w:pPr>
        <w:spacing w:line="276" w:lineRule="auto"/>
        <w:jc w:val="both"/>
        <w:rPr>
          <w:rFonts w:ascii="Times New Roman" w:hAnsi="Times New Roman" w:cs="Times New Roman"/>
        </w:rPr>
      </w:pPr>
      <w:r w:rsidRPr="008C7598">
        <w:rPr>
          <w:rFonts w:ascii="Times New Roman" w:hAnsi="Times New Roman" w:cs="Times New Roman"/>
        </w:rPr>
        <w:t xml:space="preserve">Results suggest that A/L study stream modestly influences programming performance, with Commerce and </w:t>
      </w:r>
      <w:r w:rsidR="00C5290C">
        <w:rPr>
          <w:rFonts w:ascii="Times New Roman" w:hAnsi="Times New Roman" w:cs="Times New Roman"/>
        </w:rPr>
        <w:t>Physical Science</w:t>
      </w:r>
      <w:r w:rsidRPr="008C7598">
        <w:rPr>
          <w:rFonts w:ascii="Times New Roman" w:hAnsi="Times New Roman" w:cs="Times New Roman"/>
        </w:rPr>
        <w:t xml:space="preserve"> students outperforming Arts and Biological Science students. The small effect size indicates that prior analytical exposure only partly explains performance differences. Technology students did not significantly outperform other streams, implying that formal technical preparation alone does not guarantee programming proficiency. These findings </w:t>
      </w:r>
      <w:r w:rsidRPr="008C7598">
        <w:rPr>
          <w:rFonts w:ascii="Times New Roman" w:hAnsi="Times New Roman" w:cs="Times New Roman"/>
        </w:rPr>
        <w:lastRenderedPageBreak/>
        <w:t>highlight the importance of bridging courses, early-semester interventions, and skill-focused tutorials to ensure equitable programming competence across all streams.</w:t>
      </w:r>
    </w:p>
    <w:p w14:paraId="797EB67B" w14:textId="65F071C7" w:rsidR="00AF1155" w:rsidRDefault="00AF1155" w:rsidP="00AF1155">
      <w:pPr>
        <w:spacing w:line="276" w:lineRule="auto"/>
        <w:jc w:val="both"/>
        <w:rPr>
          <w:rFonts w:ascii="Times New Roman" w:hAnsi="Times New Roman" w:cs="Times New Roman"/>
          <w:b/>
          <w:bCs/>
        </w:rPr>
      </w:pPr>
      <w:r>
        <w:rPr>
          <w:rFonts w:ascii="Times New Roman" w:hAnsi="Times New Roman" w:cs="Times New Roman"/>
          <w:b/>
          <w:bCs/>
        </w:rPr>
        <w:t>Effect of A/L study streams on the Performance of Data Str</w:t>
      </w:r>
      <w:r w:rsidR="00F93B37">
        <w:rPr>
          <w:rFonts w:ascii="Times New Roman" w:hAnsi="Times New Roman" w:cs="Times New Roman"/>
          <w:b/>
          <w:bCs/>
        </w:rPr>
        <w:t>uctures</w:t>
      </w:r>
    </w:p>
    <w:p w14:paraId="36A348E3" w14:textId="11F1A9A8" w:rsidR="000C1F16" w:rsidRDefault="000C1F16" w:rsidP="0046429D">
      <w:pPr>
        <w:pStyle w:val="NormalWeb"/>
        <w:spacing w:line="276" w:lineRule="auto"/>
        <w:jc w:val="both"/>
      </w:pPr>
      <w:r>
        <w:rPr>
          <w:rStyle w:val="Strong"/>
          <w:rFonts w:eastAsiaTheme="majorEastAsia"/>
        </w:rPr>
        <w:t>Results</w:t>
      </w:r>
      <w:r>
        <w:br/>
        <w:t xml:space="preserve">Mean </w:t>
      </w:r>
      <w:r w:rsidR="0046429D">
        <w:t xml:space="preserve">of </w:t>
      </w:r>
      <w:r>
        <w:t>G</w:t>
      </w:r>
      <w:r w:rsidR="0046429D">
        <w:t xml:space="preserve">rade </w:t>
      </w:r>
      <w:r>
        <w:t>P</w:t>
      </w:r>
      <w:r w:rsidR="0046429D">
        <w:t>oint</w:t>
      </w:r>
      <w:r>
        <w:t xml:space="preserve"> scores in Data Structures ranged from 2.94 (Technology) to 3.32 (Arts). Levene’s test indicated a violation of homogeneity of variances, </w:t>
      </w:r>
      <w:r w:rsidR="00645FC5">
        <w:t>F (</w:t>
      </w:r>
      <w:r>
        <w:t xml:space="preserve">4, 449) = 4.84, p = .001. A one-way ANOVA revealed no statistically significant differences between streams, </w:t>
      </w:r>
      <w:r w:rsidR="00645FC5">
        <w:t>F (</w:t>
      </w:r>
      <w:r>
        <w:t xml:space="preserve">4, 449) = 2.05, p = .087, with small effect sizes (η² = .018, ε² = .009). A Welch ANOVA confirmed the result, Welch’s </w:t>
      </w:r>
      <w:r w:rsidR="00645FC5">
        <w:t>F (</w:t>
      </w:r>
      <w:r>
        <w:t>4, 129.78) = 2.13, p = .081, indicating that A/L study stream did not meaningfully affect performance in this course.</w:t>
      </w:r>
    </w:p>
    <w:p w14:paraId="34D89A3A" w14:textId="797FB743" w:rsidR="00F93B37" w:rsidRPr="00637FE2" w:rsidRDefault="000C1F16" w:rsidP="00637FE2">
      <w:pPr>
        <w:pStyle w:val="NormalWeb"/>
        <w:spacing w:line="276" w:lineRule="auto"/>
        <w:jc w:val="both"/>
      </w:pPr>
      <w:r>
        <w:rPr>
          <w:rStyle w:val="Strong"/>
          <w:rFonts w:eastAsiaTheme="majorEastAsia"/>
        </w:rPr>
        <w:t>Discussion</w:t>
      </w:r>
      <w:r>
        <w:br/>
        <w:t>These results suggest that pre-university academic background has minimal influence on Data Structures performance. Slight variations in mean scores were observed, but statistical tests confirm they are not meaningful. The findings imply that consistent undergraduate instruction, practical programming experience, and curriculum structure likely play a stronger role than A/L stream in shaping outcomes. Universities may focus on uniform pedagogical strategies and active learning to maintain high performance across all student groups.</w:t>
      </w:r>
    </w:p>
    <w:p w14:paraId="281171D5" w14:textId="3E87A6CA" w:rsidR="00F93B37" w:rsidRDefault="00F93B37" w:rsidP="00F93B37">
      <w:pPr>
        <w:spacing w:line="276" w:lineRule="auto"/>
        <w:jc w:val="both"/>
        <w:rPr>
          <w:rFonts w:ascii="Times New Roman" w:hAnsi="Times New Roman" w:cs="Times New Roman"/>
          <w:b/>
          <w:bCs/>
        </w:rPr>
      </w:pPr>
      <w:r>
        <w:rPr>
          <w:rFonts w:ascii="Times New Roman" w:hAnsi="Times New Roman" w:cs="Times New Roman"/>
          <w:b/>
          <w:bCs/>
        </w:rPr>
        <w:t>Effect of A/L study streams on the Performance of Design and Analysis of Algorithms</w:t>
      </w:r>
    </w:p>
    <w:p w14:paraId="59BFA79C" w14:textId="0321A838" w:rsidR="00A900CB" w:rsidRDefault="00A900CB" w:rsidP="00A900CB">
      <w:pPr>
        <w:pStyle w:val="NormalWeb"/>
        <w:spacing w:line="276" w:lineRule="auto"/>
        <w:jc w:val="both"/>
      </w:pPr>
      <w:r>
        <w:rPr>
          <w:rStyle w:val="Strong"/>
          <w:rFonts w:eastAsiaTheme="majorEastAsia"/>
        </w:rPr>
        <w:t>Results</w:t>
      </w:r>
      <w:r>
        <w:br/>
        <w:t xml:space="preserve">Mean Grade Point scores in Design and Analysis of Algorithms ranged from 1.59 (Technology) to 2.14 (Commerce). Levene’s test supported homogeneity of variances, </w:t>
      </w:r>
      <w:r w:rsidR="008932DE">
        <w:t>F (</w:t>
      </w:r>
      <w:r>
        <w:t xml:space="preserve">4, 319) = 1.811, p = .126, permitting standard ANOVA. The analysis revealed no significant differences among streams, </w:t>
      </w:r>
      <w:r w:rsidR="008932DE">
        <w:t>F (</w:t>
      </w:r>
      <w:r>
        <w:t>4, 319) = 1.16, p = .330, with very small effect sizes (η² = .014, ε² = .002), indicating negligible influence of A/L background on performance.</w:t>
      </w:r>
    </w:p>
    <w:p w14:paraId="288DED28" w14:textId="3E90FE11" w:rsidR="00A900CB" w:rsidRDefault="00A900CB" w:rsidP="008932DE">
      <w:pPr>
        <w:pStyle w:val="NormalWeb"/>
        <w:spacing w:line="276" w:lineRule="auto"/>
        <w:jc w:val="both"/>
      </w:pPr>
      <w:r>
        <w:rPr>
          <w:rStyle w:val="Strong"/>
          <w:rFonts w:eastAsiaTheme="majorEastAsia"/>
        </w:rPr>
        <w:t>Discussion</w:t>
      </w:r>
      <w:r>
        <w:br/>
        <w:t xml:space="preserve">These findings indicate that undergraduate achievement in </w:t>
      </w:r>
      <w:r w:rsidR="003B7DC3">
        <w:t xml:space="preserve">Design and Analysis </w:t>
      </w:r>
      <w:r w:rsidR="002840C7">
        <w:t>of Algorithmic</w:t>
      </w:r>
      <w:r>
        <w:t xml:space="preserve"> course is largely independent of pre-university study stream. Performance similarities across streams suggest that university-based learning experiences, instructional quality, and student engagement are more decisive factors than prior specialization. This </w:t>
      </w:r>
      <w:r w:rsidR="002840C7">
        <w:t>highlights</w:t>
      </w:r>
      <w:r>
        <w:t xml:space="preserve"> the importance of high-quality teaching practices, structured problem-solving activities, and formative assessments in supporting success in complex computing courses.</w:t>
      </w:r>
    </w:p>
    <w:p w14:paraId="3CBF6DCE" w14:textId="77777777" w:rsidR="00385602" w:rsidRDefault="00BA04B6" w:rsidP="00385602">
      <w:pPr>
        <w:pStyle w:val="NormalWeb"/>
        <w:spacing w:after="0" w:afterAutospacing="0" w:line="276" w:lineRule="auto"/>
        <w:jc w:val="both"/>
        <w:rPr>
          <w:b/>
          <w:bCs/>
        </w:rPr>
      </w:pPr>
      <w:bookmarkStart w:id="4" w:name="_Hlk214888464"/>
      <w:r w:rsidRPr="00E95D2C">
        <w:rPr>
          <w:b/>
          <w:bCs/>
        </w:rPr>
        <w:t xml:space="preserve">Effect on Foundation of Mathematics and </w:t>
      </w:r>
      <w:r w:rsidR="00E95D2C" w:rsidRPr="00E95D2C">
        <w:rPr>
          <w:b/>
          <w:bCs/>
        </w:rPr>
        <w:t>Fundamentals</w:t>
      </w:r>
      <w:r w:rsidR="00891D8F" w:rsidRPr="00E95D2C">
        <w:rPr>
          <w:b/>
          <w:bCs/>
        </w:rPr>
        <w:t xml:space="preserve"> of Programming on Data Struc</w:t>
      </w:r>
      <w:r w:rsidR="00E95D2C" w:rsidRPr="00E95D2C">
        <w:rPr>
          <w:b/>
          <w:bCs/>
        </w:rPr>
        <w:t>tures</w:t>
      </w:r>
      <w:bookmarkEnd w:id="4"/>
    </w:p>
    <w:p w14:paraId="0E486661" w14:textId="0F6892FB" w:rsidR="00385602" w:rsidRPr="00385602" w:rsidRDefault="00385602" w:rsidP="00385602">
      <w:pPr>
        <w:pStyle w:val="NormalWeb"/>
        <w:spacing w:after="0" w:afterAutospacing="0" w:line="276" w:lineRule="auto"/>
        <w:jc w:val="both"/>
        <w:rPr>
          <w:b/>
          <w:bCs/>
        </w:rPr>
      </w:pPr>
      <w:r w:rsidRPr="00385602">
        <w:rPr>
          <w:b/>
          <w:bCs/>
        </w:rPr>
        <w:t>Results</w:t>
      </w:r>
    </w:p>
    <w:p w14:paraId="27CA0614" w14:textId="77777777" w:rsidR="00385602" w:rsidRDefault="00385602" w:rsidP="00385602">
      <w:pPr>
        <w:spacing w:before="100" w:beforeAutospacing="1" w:after="100" w:afterAutospacing="1" w:line="276" w:lineRule="auto"/>
        <w:jc w:val="both"/>
        <w:rPr>
          <w:rFonts w:ascii="Times New Roman" w:eastAsia="Times New Roman" w:hAnsi="Times New Roman" w:cs="Times New Roman"/>
          <w:kern w:val="0"/>
          <w14:ligatures w14:val="none"/>
        </w:rPr>
      </w:pPr>
      <w:r w:rsidRPr="00385602">
        <w:rPr>
          <w:rFonts w:ascii="Times New Roman" w:eastAsia="Times New Roman" w:hAnsi="Times New Roman" w:cs="Times New Roman"/>
          <w:kern w:val="0"/>
          <w14:ligatures w14:val="none"/>
        </w:rPr>
        <w:lastRenderedPageBreak/>
        <w:t xml:space="preserve">A multiple regression analysis was conducted to determine whether performance in Foundations of Mathematics and Fundamentals of Programming predicted achievement in Data Structures. The overall model was significant, F (2, 320) = 55.71, </w:t>
      </w:r>
      <w:r w:rsidRPr="00385602">
        <w:rPr>
          <w:rFonts w:ascii="Times New Roman" w:eastAsia="Times New Roman" w:hAnsi="Times New Roman" w:cs="Times New Roman"/>
          <w:i/>
          <w:iCs/>
          <w:kern w:val="0"/>
          <w14:ligatures w14:val="none"/>
        </w:rPr>
        <w:t>p</w:t>
      </w:r>
      <w:r w:rsidRPr="00385602">
        <w:rPr>
          <w:rFonts w:ascii="Times New Roman" w:eastAsia="Times New Roman" w:hAnsi="Times New Roman" w:cs="Times New Roman"/>
          <w:kern w:val="0"/>
          <w14:ligatures w14:val="none"/>
        </w:rPr>
        <w:t xml:space="preserve"> &lt; .001, explaining 25.8% of the variance in Data Structures performance (</w:t>
      </w:r>
      <w:r w:rsidRPr="00385602">
        <w:rPr>
          <w:rFonts w:ascii="Times New Roman" w:eastAsia="Times New Roman" w:hAnsi="Times New Roman" w:cs="Times New Roman"/>
          <w:i/>
          <w:iCs/>
          <w:kern w:val="0"/>
          <w14:ligatures w14:val="none"/>
        </w:rPr>
        <w:t>R</w:t>
      </w:r>
      <w:r w:rsidRPr="00385602">
        <w:rPr>
          <w:rFonts w:ascii="Times New Roman" w:eastAsia="Times New Roman" w:hAnsi="Times New Roman" w:cs="Times New Roman"/>
          <w:kern w:val="0"/>
          <w14:ligatures w14:val="none"/>
        </w:rPr>
        <w:t xml:space="preserve">² = .258, adjusted </w:t>
      </w:r>
      <w:r w:rsidRPr="00385602">
        <w:rPr>
          <w:rFonts w:ascii="Times New Roman" w:eastAsia="Times New Roman" w:hAnsi="Times New Roman" w:cs="Times New Roman"/>
          <w:i/>
          <w:iCs/>
          <w:kern w:val="0"/>
          <w14:ligatures w14:val="none"/>
        </w:rPr>
        <w:t>R</w:t>
      </w:r>
      <w:r w:rsidRPr="00385602">
        <w:rPr>
          <w:rFonts w:ascii="Times New Roman" w:eastAsia="Times New Roman" w:hAnsi="Times New Roman" w:cs="Times New Roman"/>
          <w:kern w:val="0"/>
          <w14:ligatures w14:val="none"/>
        </w:rPr>
        <w:t xml:space="preserve">² = .254). Both predictors made significant contributions. Foundations of Mathematics was the stronger predictor (β = .34, </w:t>
      </w:r>
      <w:r w:rsidRPr="00385602">
        <w:rPr>
          <w:rFonts w:ascii="Times New Roman" w:eastAsia="Times New Roman" w:hAnsi="Times New Roman" w:cs="Times New Roman"/>
          <w:i/>
          <w:iCs/>
          <w:kern w:val="0"/>
          <w14:ligatures w14:val="none"/>
        </w:rPr>
        <w:t>t</w:t>
      </w:r>
      <w:r w:rsidRPr="00385602">
        <w:rPr>
          <w:rFonts w:ascii="Times New Roman" w:eastAsia="Times New Roman" w:hAnsi="Times New Roman" w:cs="Times New Roman"/>
          <w:kern w:val="0"/>
          <w14:ligatures w14:val="none"/>
        </w:rPr>
        <w:t xml:space="preserve"> = 6.08, </w:t>
      </w:r>
      <w:r w:rsidRPr="00385602">
        <w:rPr>
          <w:rFonts w:ascii="Times New Roman" w:eastAsia="Times New Roman" w:hAnsi="Times New Roman" w:cs="Times New Roman"/>
          <w:i/>
          <w:iCs/>
          <w:kern w:val="0"/>
          <w14:ligatures w14:val="none"/>
        </w:rPr>
        <w:t>p</w:t>
      </w:r>
      <w:r w:rsidRPr="00385602">
        <w:rPr>
          <w:rFonts w:ascii="Times New Roman" w:eastAsia="Times New Roman" w:hAnsi="Times New Roman" w:cs="Times New Roman"/>
          <w:kern w:val="0"/>
          <w14:ligatures w14:val="none"/>
        </w:rPr>
        <w:t xml:space="preserve"> &lt; .001), while Fundamentals of Programming also significantly predicted performance (β = .25, </w:t>
      </w:r>
      <w:r w:rsidRPr="00385602">
        <w:rPr>
          <w:rFonts w:ascii="Times New Roman" w:eastAsia="Times New Roman" w:hAnsi="Times New Roman" w:cs="Times New Roman"/>
          <w:i/>
          <w:iCs/>
          <w:kern w:val="0"/>
          <w14:ligatures w14:val="none"/>
        </w:rPr>
        <w:t>t</w:t>
      </w:r>
      <w:r w:rsidRPr="00385602">
        <w:rPr>
          <w:rFonts w:ascii="Times New Roman" w:eastAsia="Times New Roman" w:hAnsi="Times New Roman" w:cs="Times New Roman"/>
          <w:kern w:val="0"/>
          <w14:ligatures w14:val="none"/>
        </w:rPr>
        <w:t xml:space="preserve"> = 4.43, </w:t>
      </w:r>
      <w:r w:rsidRPr="00385602">
        <w:rPr>
          <w:rFonts w:ascii="Times New Roman" w:eastAsia="Times New Roman" w:hAnsi="Times New Roman" w:cs="Times New Roman"/>
          <w:i/>
          <w:iCs/>
          <w:kern w:val="0"/>
          <w14:ligatures w14:val="none"/>
        </w:rPr>
        <w:t>p</w:t>
      </w:r>
      <w:r w:rsidRPr="00385602">
        <w:rPr>
          <w:rFonts w:ascii="Times New Roman" w:eastAsia="Times New Roman" w:hAnsi="Times New Roman" w:cs="Times New Roman"/>
          <w:kern w:val="0"/>
          <w14:ligatures w14:val="none"/>
        </w:rPr>
        <w:t xml:space="preserve"> &lt; .001).</w:t>
      </w:r>
    </w:p>
    <w:p w14:paraId="59ED2BA0" w14:textId="4A9095A7" w:rsidR="00385602" w:rsidRPr="00385602" w:rsidRDefault="00385602" w:rsidP="00385602">
      <w:pPr>
        <w:spacing w:before="100" w:beforeAutospacing="1" w:after="100" w:afterAutospacing="1" w:line="276" w:lineRule="auto"/>
        <w:jc w:val="both"/>
        <w:rPr>
          <w:rFonts w:ascii="Times New Roman" w:eastAsia="Times New Roman" w:hAnsi="Times New Roman" w:cs="Times New Roman"/>
          <w:kern w:val="0"/>
          <w14:ligatures w14:val="none"/>
        </w:rPr>
      </w:pPr>
      <w:r w:rsidRPr="00385602">
        <w:rPr>
          <w:rFonts w:ascii="Times New Roman" w:eastAsia="Times New Roman" w:hAnsi="Times New Roman" w:cs="Times New Roman"/>
          <w:b/>
          <w:bCs/>
          <w:kern w:val="0"/>
          <w14:ligatures w14:val="none"/>
        </w:rPr>
        <w:t>Discussion</w:t>
      </w:r>
    </w:p>
    <w:p w14:paraId="7AAF908F" w14:textId="77777777" w:rsidR="00385602" w:rsidRPr="00385602" w:rsidRDefault="00385602" w:rsidP="00385602">
      <w:pPr>
        <w:spacing w:before="100" w:beforeAutospacing="1" w:after="100" w:afterAutospacing="1" w:line="276" w:lineRule="auto"/>
        <w:jc w:val="both"/>
        <w:rPr>
          <w:rFonts w:ascii="Times New Roman" w:eastAsia="Times New Roman" w:hAnsi="Times New Roman" w:cs="Times New Roman"/>
          <w:kern w:val="0"/>
          <w14:ligatures w14:val="none"/>
        </w:rPr>
      </w:pPr>
      <w:r w:rsidRPr="00385602">
        <w:rPr>
          <w:rFonts w:ascii="Times New Roman" w:eastAsia="Times New Roman" w:hAnsi="Times New Roman" w:cs="Times New Roman"/>
          <w:kern w:val="0"/>
          <w14:ligatures w14:val="none"/>
        </w:rPr>
        <w:t xml:space="preserve">The results indicate that mathematical and programming skills significantly influence student achievement in Data Structures. The stronger effect of Foundations of Mathematics suggests that mathematical reasoning supports understanding of abstract data representations and algorithmic operations. Fundamentals of Programming also contributed meaningfully, reflecting the relevance of programming proficiency for implementing and manipulating data structures. With the model accounting for approximately one-quarter of the variance, these findings highlight the importance of strengthening foundational mathematics and programming instruction to support student success in analytically demanding courses within Information Technology degree </w:t>
      </w:r>
      <w:proofErr w:type="spellStart"/>
      <w:r w:rsidRPr="00385602">
        <w:rPr>
          <w:rFonts w:ascii="Times New Roman" w:eastAsia="Times New Roman" w:hAnsi="Times New Roman" w:cs="Times New Roman"/>
          <w:kern w:val="0"/>
          <w14:ligatures w14:val="none"/>
        </w:rPr>
        <w:t>programmes</w:t>
      </w:r>
      <w:proofErr w:type="spellEnd"/>
      <w:r w:rsidRPr="00385602">
        <w:rPr>
          <w:rFonts w:ascii="Times New Roman" w:eastAsia="Times New Roman" w:hAnsi="Times New Roman" w:cs="Times New Roman"/>
          <w:kern w:val="0"/>
          <w14:ligatures w14:val="none"/>
        </w:rPr>
        <w:t>.</w:t>
      </w:r>
    </w:p>
    <w:p w14:paraId="6A0DCD54" w14:textId="659258ED" w:rsidR="00CF7BCE" w:rsidRDefault="00CF7BCE" w:rsidP="00CF7BCE">
      <w:pPr>
        <w:pStyle w:val="NormalWeb"/>
        <w:spacing w:line="276" w:lineRule="auto"/>
        <w:jc w:val="both"/>
        <w:rPr>
          <w:b/>
          <w:bCs/>
        </w:rPr>
      </w:pPr>
      <w:r w:rsidRPr="00E95D2C">
        <w:rPr>
          <w:b/>
          <w:bCs/>
        </w:rPr>
        <w:t>Effect on Foundation of Mathematics and Fundamentals of Programming on D</w:t>
      </w:r>
      <w:r>
        <w:rPr>
          <w:b/>
          <w:bCs/>
        </w:rPr>
        <w:t>esign and Analysis of Algorithms</w:t>
      </w:r>
    </w:p>
    <w:p w14:paraId="084BF3E2" w14:textId="679F42CE" w:rsidR="00606661" w:rsidRPr="00606661" w:rsidRDefault="00606661" w:rsidP="00606661">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06661">
        <w:rPr>
          <w:rFonts w:ascii="Times New Roman" w:eastAsia="Times New Roman" w:hAnsi="Times New Roman" w:cs="Times New Roman"/>
          <w:b/>
          <w:bCs/>
          <w:kern w:val="36"/>
          <w14:ligatures w14:val="none"/>
        </w:rPr>
        <w:t>Results</w:t>
      </w:r>
    </w:p>
    <w:p w14:paraId="50A733DE" w14:textId="2EE72914" w:rsidR="003E4031" w:rsidRDefault="00606661" w:rsidP="00606661">
      <w:pPr>
        <w:spacing w:before="100" w:beforeAutospacing="1" w:after="100" w:afterAutospacing="1" w:line="276" w:lineRule="auto"/>
        <w:jc w:val="both"/>
        <w:rPr>
          <w:rFonts w:ascii="Times New Roman" w:eastAsia="Times New Roman" w:hAnsi="Times New Roman" w:cs="Times New Roman"/>
          <w:kern w:val="0"/>
          <w14:ligatures w14:val="none"/>
        </w:rPr>
      </w:pPr>
      <w:r w:rsidRPr="00606661">
        <w:rPr>
          <w:rFonts w:ascii="Times New Roman" w:eastAsia="Times New Roman" w:hAnsi="Times New Roman" w:cs="Times New Roman"/>
          <w:kern w:val="0"/>
          <w14:ligatures w14:val="none"/>
        </w:rPr>
        <w:t xml:space="preserve">A standard multiple regression analysis was conducted to examine whether students’ performance in Foundations of Mathematics and Fundamentals of Programming predicted their performance in </w:t>
      </w:r>
      <w:bookmarkStart w:id="5" w:name="_Hlk214888524"/>
      <w:r w:rsidRPr="00606661">
        <w:rPr>
          <w:rFonts w:ascii="Times New Roman" w:eastAsia="Times New Roman" w:hAnsi="Times New Roman" w:cs="Times New Roman"/>
          <w:kern w:val="0"/>
          <w14:ligatures w14:val="none"/>
        </w:rPr>
        <w:t>Design and Analysis of Algorithms</w:t>
      </w:r>
      <w:bookmarkEnd w:id="5"/>
      <w:r w:rsidRPr="00606661">
        <w:rPr>
          <w:rFonts w:ascii="Times New Roman" w:eastAsia="Times New Roman" w:hAnsi="Times New Roman" w:cs="Times New Roman"/>
          <w:kern w:val="0"/>
          <w14:ligatures w14:val="none"/>
        </w:rPr>
        <w:t xml:space="preserve">. The overall regression model was statistically significant, F (2, 219) = 64.16, </w:t>
      </w:r>
      <w:r w:rsidRPr="00606661">
        <w:rPr>
          <w:rFonts w:ascii="Times New Roman" w:eastAsia="Times New Roman" w:hAnsi="Times New Roman" w:cs="Times New Roman"/>
          <w:i/>
          <w:iCs/>
          <w:kern w:val="0"/>
          <w14:ligatures w14:val="none"/>
        </w:rPr>
        <w:t>p</w:t>
      </w:r>
      <w:r w:rsidRPr="00606661">
        <w:rPr>
          <w:rFonts w:ascii="Times New Roman" w:eastAsia="Times New Roman" w:hAnsi="Times New Roman" w:cs="Times New Roman"/>
          <w:kern w:val="0"/>
          <w14:ligatures w14:val="none"/>
        </w:rPr>
        <w:t xml:space="preserve"> &lt; .001, </w:t>
      </w:r>
      <w:r w:rsidR="003E4031" w:rsidRPr="003E4031">
        <w:rPr>
          <w:rFonts w:ascii="Times New Roman" w:eastAsia="Times New Roman" w:hAnsi="Times New Roman" w:cs="Times New Roman"/>
          <w:kern w:val="0"/>
          <w14:ligatures w14:val="none"/>
        </w:rPr>
        <w:t xml:space="preserve">and explained 36.9% of the variance in </w:t>
      </w:r>
      <w:r w:rsidR="003E4031" w:rsidRPr="00606661">
        <w:rPr>
          <w:rFonts w:ascii="Times New Roman" w:eastAsia="Times New Roman" w:hAnsi="Times New Roman" w:cs="Times New Roman"/>
          <w:kern w:val="0"/>
          <w14:ligatures w14:val="none"/>
        </w:rPr>
        <w:t>Design and Analysis of Algorithms scores</w:t>
      </w:r>
      <w:r w:rsidR="003E4031" w:rsidRPr="003E4031">
        <w:rPr>
          <w:rFonts w:ascii="Times New Roman" w:eastAsia="Times New Roman" w:hAnsi="Times New Roman" w:cs="Times New Roman"/>
          <w:kern w:val="0"/>
          <w14:ligatures w14:val="none"/>
        </w:rPr>
        <w:t xml:space="preserve"> (</w:t>
      </w:r>
      <w:r w:rsidR="003E4031" w:rsidRPr="003E4031">
        <w:rPr>
          <w:rFonts w:ascii="Times New Roman" w:eastAsia="Times New Roman" w:hAnsi="Times New Roman" w:cs="Times New Roman"/>
          <w:i/>
          <w:iCs/>
          <w:kern w:val="0"/>
          <w14:ligatures w14:val="none"/>
        </w:rPr>
        <w:t>R</w:t>
      </w:r>
      <w:r w:rsidR="003E4031" w:rsidRPr="003E4031">
        <w:rPr>
          <w:rFonts w:ascii="Times New Roman" w:eastAsia="Times New Roman" w:hAnsi="Times New Roman" w:cs="Times New Roman"/>
          <w:kern w:val="0"/>
          <w14:ligatures w14:val="none"/>
        </w:rPr>
        <w:t xml:space="preserve">² = .369, adjusted </w:t>
      </w:r>
      <w:r w:rsidR="003E4031" w:rsidRPr="003E4031">
        <w:rPr>
          <w:rFonts w:ascii="Times New Roman" w:eastAsia="Times New Roman" w:hAnsi="Times New Roman" w:cs="Times New Roman"/>
          <w:i/>
          <w:iCs/>
          <w:kern w:val="0"/>
          <w14:ligatures w14:val="none"/>
        </w:rPr>
        <w:t>R</w:t>
      </w:r>
      <w:r w:rsidR="003E4031" w:rsidRPr="003E4031">
        <w:rPr>
          <w:rFonts w:ascii="Times New Roman" w:eastAsia="Times New Roman" w:hAnsi="Times New Roman" w:cs="Times New Roman"/>
          <w:kern w:val="0"/>
          <w14:ligatures w14:val="none"/>
        </w:rPr>
        <w:t>² = .364).</w:t>
      </w:r>
      <w:r w:rsidR="000E6CF2">
        <w:rPr>
          <w:rFonts w:ascii="Times New Roman" w:eastAsia="Times New Roman" w:hAnsi="Times New Roman" w:cs="Times New Roman"/>
          <w:kern w:val="0"/>
          <w14:ligatures w14:val="none"/>
        </w:rPr>
        <w:t xml:space="preserve"> </w:t>
      </w:r>
      <w:r w:rsidR="003E4031" w:rsidRPr="003E4031">
        <w:rPr>
          <w:rFonts w:ascii="Times New Roman" w:eastAsia="Times New Roman" w:hAnsi="Times New Roman" w:cs="Times New Roman"/>
          <w:kern w:val="0"/>
          <w14:ligatures w14:val="none"/>
        </w:rPr>
        <w:t xml:space="preserve">Both predictors contributed significantly to the model. Performance in </w:t>
      </w:r>
      <w:r w:rsidR="003E4031" w:rsidRPr="00A06E12">
        <w:rPr>
          <w:rFonts w:ascii="Times New Roman" w:eastAsia="Times New Roman" w:hAnsi="Times New Roman" w:cs="Times New Roman"/>
          <w:kern w:val="0"/>
          <w14:ligatures w14:val="none"/>
        </w:rPr>
        <w:t>Foundations of Mathematics</w:t>
      </w:r>
      <w:r w:rsidR="003E4031" w:rsidRPr="003E4031">
        <w:rPr>
          <w:rFonts w:ascii="Times New Roman" w:eastAsia="Times New Roman" w:hAnsi="Times New Roman" w:cs="Times New Roman"/>
          <w:kern w:val="0"/>
          <w14:ligatures w14:val="none"/>
        </w:rPr>
        <w:t xml:space="preserve"> was the strongest predictor (β = .44, </w:t>
      </w:r>
      <w:r w:rsidR="003E4031" w:rsidRPr="003E4031">
        <w:rPr>
          <w:rFonts w:ascii="Times New Roman" w:eastAsia="Times New Roman" w:hAnsi="Times New Roman" w:cs="Times New Roman"/>
          <w:i/>
          <w:iCs/>
          <w:kern w:val="0"/>
          <w14:ligatures w14:val="none"/>
        </w:rPr>
        <w:t>t</w:t>
      </w:r>
      <w:r w:rsidR="003E4031" w:rsidRPr="003E4031">
        <w:rPr>
          <w:rFonts w:ascii="Times New Roman" w:eastAsia="Times New Roman" w:hAnsi="Times New Roman" w:cs="Times New Roman"/>
          <w:kern w:val="0"/>
          <w14:ligatures w14:val="none"/>
        </w:rPr>
        <w:t xml:space="preserve"> = 7.04, </w:t>
      </w:r>
      <w:r w:rsidR="003E4031" w:rsidRPr="003E4031">
        <w:rPr>
          <w:rFonts w:ascii="Times New Roman" w:eastAsia="Times New Roman" w:hAnsi="Times New Roman" w:cs="Times New Roman"/>
          <w:i/>
          <w:iCs/>
          <w:kern w:val="0"/>
          <w14:ligatures w14:val="none"/>
        </w:rPr>
        <w:t>p</w:t>
      </w:r>
      <w:r w:rsidR="003E4031" w:rsidRPr="003E4031">
        <w:rPr>
          <w:rFonts w:ascii="Times New Roman" w:eastAsia="Times New Roman" w:hAnsi="Times New Roman" w:cs="Times New Roman"/>
          <w:kern w:val="0"/>
          <w14:ligatures w14:val="none"/>
        </w:rPr>
        <w:t xml:space="preserve"> &lt; .001), while performance in </w:t>
      </w:r>
      <w:r w:rsidR="003E4031" w:rsidRPr="00A06E12">
        <w:rPr>
          <w:rFonts w:ascii="Times New Roman" w:eastAsia="Times New Roman" w:hAnsi="Times New Roman" w:cs="Times New Roman"/>
          <w:kern w:val="0"/>
          <w14:ligatures w14:val="none"/>
        </w:rPr>
        <w:t>Fundamentals of Programming</w:t>
      </w:r>
      <w:r w:rsidR="003E4031" w:rsidRPr="003E4031">
        <w:rPr>
          <w:rFonts w:ascii="Times New Roman" w:eastAsia="Times New Roman" w:hAnsi="Times New Roman" w:cs="Times New Roman"/>
          <w:kern w:val="0"/>
          <w14:ligatures w14:val="none"/>
        </w:rPr>
        <w:t xml:space="preserve"> also significantly predicted outcomes (β = .25, </w:t>
      </w:r>
      <w:r w:rsidR="003E4031" w:rsidRPr="003E4031">
        <w:rPr>
          <w:rFonts w:ascii="Times New Roman" w:eastAsia="Times New Roman" w:hAnsi="Times New Roman" w:cs="Times New Roman"/>
          <w:i/>
          <w:iCs/>
          <w:kern w:val="0"/>
          <w14:ligatures w14:val="none"/>
        </w:rPr>
        <w:t>t</w:t>
      </w:r>
      <w:r w:rsidR="003E4031" w:rsidRPr="003E4031">
        <w:rPr>
          <w:rFonts w:ascii="Times New Roman" w:eastAsia="Times New Roman" w:hAnsi="Times New Roman" w:cs="Times New Roman"/>
          <w:kern w:val="0"/>
          <w14:ligatures w14:val="none"/>
        </w:rPr>
        <w:t xml:space="preserve"> = 3.91, </w:t>
      </w:r>
      <w:r w:rsidR="003E4031" w:rsidRPr="003E4031">
        <w:rPr>
          <w:rFonts w:ascii="Times New Roman" w:eastAsia="Times New Roman" w:hAnsi="Times New Roman" w:cs="Times New Roman"/>
          <w:i/>
          <w:iCs/>
          <w:kern w:val="0"/>
          <w14:ligatures w14:val="none"/>
        </w:rPr>
        <w:t>p</w:t>
      </w:r>
      <w:r w:rsidR="003E4031" w:rsidRPr="003E4031">
        <w:rPr>
          <w:rFonts w:ascii="Times New Roman" w:eastAsia="Times New Roman" w:hAnsi="Times New Roman" w:cs="Times New Roman"/>
          <w:kern w:val="0"/>
          <w14:ligatures w14:val="none"/>
        </w:rPr>
        <w:t xml:space="preserve"> &lt; .001).</w:t>
      </w:r>
    </w:p>
    <w:p w14:paraId="6CB976EA" w14:textId="77777777" w:rsidR="00606661" w:rsidRPr="00606661" w:rsidRDefault="00606661" w:rsidP="00D22F5D">
      <w:pPr>
        <w:spacing w:after="0" w:line="240" w:lineRule="auto"/>
        <w:outlineLvl w:val="0"/>
        <w:rPr>
          <w:rFonts w:ascii="Times New Roman" w:eastAsia="Times New Roman" w:hAnsi="Times New Roman" w:cs="Times New Roman"/>
          <w:b/>
          <w:bCs/>
          <w:kern w:val="36"/>
          <w14:ligatures w14:val="none"/>
        </w:rPr>
      </w:pPr>
      <w:r w:rsidRPr="00606661">
        <w:rPr>
          <w:rFonts w:ascii="Times New Roman" w:eastAsia="Times New Roman" w:hAnsi="Times New Roman" w:cs="Times New Roman"/>
          <w:b/>
          <w:bCs/>
          <w:kern w:val="36"/>
          <w14:ligatures w14:val="none"/>
        </w:rPr>
        <w:t>Discussion</w:t>
      </w:r>
    </w:p>
    <w:p w14:paraId="1B1BFED5" w14:textId="445D284C" w:rsidR="00EB70C3" w:rsidRPr="008E5126" w:rsidRDefault="00E616E2" w:rsidP="00E616E2">
      <w:pPr>
        <w:spacing w:before="100" w:beforeAutospacing="1" w:after="100" w:afterAutospacing="1" w:line="276" w:lineRule="auto"/>
        <w:jc w:val="both"/>
        <w:outlineLvl w:val="1"/>
        <w:rPr>
          <w:rFonts w:ascii="Times New Roman" w:hAnsi="Times New Roman" w:cs="Times New Roman"/>
        </w:rPr>
      </w:pPr>
      <w:r w:rsidRPr="00E616E2">
        <w:rPr>
          <w:rFonts w:ascii="Times New Roman" w:hAnsi="Times New Roman" w:cs="Times New Roman"/>
        </w:rPr>
        <w:t xml:space="preserve">The regression results indicate that mathematical and programming foundations are significant determinants of student performance in </w:t>
      </w:r>
      <w:r w:rsidRPr="00AB18A1">
        <w:rPr>
          <w:rStyle w:val="Emphasis"/>
          <w:rFonts w:ascii="Times New Roman" w:hAnsi="Times New Roman" w:cs="Times New Roman"/>
          <w:i w:val="0"/>
          <w:iCs w:val="0"/>
        </w:rPr>
        <w:t>Design and Analysis of Algorithms</w:t>
      </w:r>
      <w:r w:rsidRPr="00E616E2">
        <w:rPr>
          <w:rFonts w:ascii="Times New Roman" w:hAnsi="Times New Roman" w:cs="Times New Roman"/>
        </w:rPr>
        <w:t xml:space="preserve">. The stronger predictive effect of </w:t>
      </w:r>
      <w:r w:rsidRPr="00AB18A1">
        <w:rPr>
          <w:rStyle w:val="Emphasis"/>
          <w:rFonts w:ascii="Times New Roman" w:hAnsi="Times New Roman" w:cs="Times New Roman"/>
          <w:i w:val="0"/>
          <w:iCs w:val="0"/>
        </w:rPr>
        <w:t>Foundations of Mathematics</w:t>
      </w:r>
      <w:r w:rsidRPr="00E616E2">
        <w:rPr>
          <w:rFonts w:ascii="Times New Roman" w:hAnsi="Times New Roman" w:cs="Times New Roman"/>
        </w:rPr>
        <w:t xml:space="preserve"> highlights the importance of mathematical preparedness for understanding algorithmic principles, including complexity analysis and recurrence relations. Although </w:t>
      </w:r>
      <w:r w:rsidRPr="00AB18A1">
        <w:rPr>
          <w:rStyle w:val="Emphasis"/>
          <w:rFonts w:ascii="Times New Roman" w:hAnsi="Times New Roman" w:cs="Times New Roman"/>
          <w:i w:val="0"/>
          <w:iCs w:val="0"/>
        </w:rPr>
        <w:t>Fundamentals of Programming</w:t>
      </w:r>
      <w:r w:rsidRPr="00E616E2">
        <w:rPr>
          <w:rFonts w:ascii="Times New Roman" w:hAnsi="Times New Roman" w:cs="Times New Roman"/>
        </w:rPr>
        <w:t xml:space="preserve"> demonstrated a smaller effect, programming proficiency remains essential for applying algorithmic concepts in implementation contexts. Collectively, the predictors accounted for more than one-third of the variance in </w:t>
      </w:r>
      <w:r w:rsidRPr="00E616E2">
        <w:rPr>
          <w:rFonts w:ascii="Times New Roman" w:hAnsi="Times New Roman" w:cs="Times New Roman"/>
        </w:rPr>
        <w:lastRenderedPageBreak/>
        <w:t xml:space="preserve">performance, </w:t>
      </w:r>
      <w:r w:rsidR="00AB18A1">
        <w:rPr>
          <w:rFonts w:ascii="Times New Roman" w:hAnsi="Times New Roman" w:cs="Times New Roman"/>
        </w:rPr>
        <w:t>highlighting</w:t>
      </w:r>
      <w:r w:rsidRPr="00E616E2">
        <w:rPr>
          <w:rFonts w:ascii="Times New Roman" w:hAnsi="Times New Roman" w:cs="Times New Roman"/>
        </w:rPr>
        <w:t xml:space="preserve"> the importance of strengthening foundational coursework. Enhancing early instruction in mathematics and programming and providing additional support for students with weaker backgrounds may improve</w:t>
      </w:r>
      <w:r w:rsidR="000C4F22">
        <w:rPr>
          <w:rFonts w:ascii="Times New Roman" w:hAnsi="Times New Roman" w:cs="Times New Roman"/>
        </w:rPr>
        <w:t xml:space="preserve"> the performance of the </w:t>
      </w:r>
      <w:r w:rsidRPr="00E616E2">
        <w:rPr>
          <w:rFonts w:ascii="Times New Roman" w:hAnsi="Times New Roman" w:cs="Times New Roman"/>
        </w:rPr>
        <w:t>courses</w:t>
      </w:r>
      <w:r w:rsidR="000C4F22">
        <w:rPr>
          <w:rFonts w:ascii="Times New Roman" w:hAnsi="Times New Roman" w:cs="Times New Roman"/>
        </w:rPr>
        <w:t xml:space="preserve"> which require </w:t>
      </w:r>
      <w:r w:rsidR="008068FA">
        <w:rPr>
          <w:rFonts w:ascii="Times New Roman" w:hAnsi="Times New Roman" w:cs="Times New Roman"/>
        </w:rPr>
        <w:t>substantial</w:t>
      </w:r>
      <w:r w:rsidR="000C4F22" w:rsidRPr="00E40B3B">
        <w:rPr>
          <w:rFonts w:ascii="Times New Roman" w:hAnsi="Times New Roman" w:cs="Times New Roman"/>
        </w:rPr>
        <w:t xml:space="preserve"> mathematical and analytical competencies</w:t>
      </w:r>
      <w:r w:rsidR="000C4F22">
        <w:rPr>
          <w:rFonts w:ascii="Times New Roman" w:hAnsi="Times New Roman" w:cs="Times New Roman"/>
        </w:rPr>
        <w:t xml:space="preserve"> within information and Tech</w:t>
      </w:r>
      <w:r w:rsidR="005F63B2">
        <w:rPr>
          <w:rFonts w:ascii="Times New Roman" w:hAnsi="Times New Roman" w:cs="Times New Roman"/>
        </w:rPr>
        <w:t xml:space="preserve">nology Degree </w:t>
      </w:r>
      <w:proofErr w:type="spellStart"/>
      <w:r w:rsidR="005F63B2">
        <w:rPr>
          <w:rFonts w:ascii="Times New Roman" w:hAnsi="Times New Roman" w:cs="Times New Roman"/>
        </w:rPr>
        <w:t>Programme</w:t>
      </w:r>
      <w:proofErr w:type="spellEnd"/>
      <w:r w:rsidR="005F63B2">
        <w:rPr>
          <w:rFonts w:ascii="Times New Roman" w:hAnsi="Times New Roman" w:cs="Times New Roman"/>
        </w:rPr>
        <w:t>.</w:t>
      </w:r>
    </w:p>
    <w:p w14:paraId="06CD9B8A" w14:textId="0C7CC8A1" w:rsidR="00926EC2" w:rsidRPr="00CF4C3F" w:rsidRDefault="00926EC2" w:rsidP="00A900C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26EC2">
        <w:rPr>
          <w:rFonts w:ascii="Times New Roman" w:eastAsia="Times New Roman" w:hAnsi="Times New Roman" w:cs="Times New Roman"/>
          <w:b/>
          <w:bCs/>
          <w:kern w:val="0"/>
          <w14:ligatures w14:val="none"/>
        </w:rPr>
        <w:t>Conclusion</w:t>
      </w:r>
      <w:r w:rsidR="0003565B" w:rsidRPr="00CF4C3F">
        <w:rPr>
          <w:rFonts w:ascii="Times New Roman" w:eastAsia="Times New Roman" w:hAnsi="Times New Roman" w:cs="Times New Roman"/>
          <w:b/>
          <w:bCs/>
          <w:kern w:val="0"/>
          <w14:ligatures w14:val="none"/>
        </w:rPr>
        <w:t>s</w:t>
      </w:r>
    </w:p>
    <w:p w14:paraId="0DB22A67" w14:textId="77777777" w:rsidR="00576F91" w:rsidRPr="00576F91" w:rsidRDefault="00576F91" w:rsidP="00E3773B">
      <w:pPr>
        <w:spacing w:before="100" w:beforeAutospacing="1" w:after="100" w:afterAutospacing="1" w:line="276" w:lineRule="auto"/>
        <w:jc w:val="both"/>
        <w:outlineLvl w:val="1"/>
        <w:rPr>
          <w:rFonts w:ascii="Times New Roman" w:hAnsi="Times New Roman" w:cs="Times New Roman"/>
        </w:rPr>
      </w:pPr>
      <w:r w:rsidRPr="00576F91">
        <w:rPr>
          <w:rFonts w:ascii="Times New Roman" w:hAnsi="Times New Roman" w:cs="Times New Roman"/>
        </w:rPr>
        <w:t>This study examined the impact of GCE Advanced Level (A/L) study streams on undergraduate performance in selected core Information Technology courses and evaluated the predictive influence of foundational mathematics and programming on advanced IT coursework. The findings indicate that A/L study stream exerts a statistically significant but generally small effect on first-year courses, with Physical Science students outperforming peers in Foundations of Mathematics, and Commerce and Physical Science students slightly outperforming others in Fundamentals of Programming. However, by the second year, differences across A/L streams in Data Structures and Design and Analysis of Algorithms were negligible, suggesting that university-level instruction, curriculum design, and learning experiences mediate pre-university disparities.</w:t>
      </w:r>
    </w:p>
    <w:p w14:paraId="555F9236" w14:textId="6363A7E3" w:rsidR="00576F91" w:rsidRDefault="00576F91" w:rsidP="00E3773B">
      <w:pPr>
        <w:spacing w:before="100" w:beforeAutospacing="1" w:after="100" w:afterAutospacing="1" w:line="276" w:lineRule="auto"/>
        <w:jc w:val="both"/>
        <w:outlineLvl w:val="1"/>
        <w:rPr>
          <w:rFonts w:ascii="Times New Roman" w:hAnsi="Times New Roman" w:cs="Times New Roman"/>
        </w:rPr>
      </w:pPr>
      <w:r w:rsidRPr="00576F91">
        <w:rPr>
          <w:rFonts w:ascii="Times New Roman" w:hAnsi="Times New Roman" w:cs="Times New Roman"/>
        </w:rPr>
        <w:t xml:space="preserve">Multiple regression analyses further revealed that performance in Foundations of Mathematics and Fundamentals of Programming significantly predicts success in Data Structures and Design and Analysis of Algorithms, with mathematical competency showing the strongest influence. These results </w:t>
      </w:r>
      <w:r w:rsidR="00DE4DA1">
        <w:rPr>
          <w:rFonts w:ascii="Times New Roman" w:hAnsi="Times New Roman" w:cs="Times New Roman"/>
        </w:rPr>
        <w:t>highlight</w:t>
      </w:r>
      <w:r w:rsidRPr="00576F91">
        <w:rPr>
          <w:rFonts w:ascii="Times New Roman" w:hAnsi="Times New Roman" w:cs="Times New Roman"/>
        </w:rPr>
        <w:t xml:space="preserve"> the critical role of foundational analytical and programming skills in facilitating mastery of advanced IT concepts and complex algorithmic problem-solving. Collectively, the study highlights that while prior academic background influences early undergraduate performance, structured undergraduate instruction and targeted skill development can mitigate initial disparities, supporting equitable outcomes across diverse student cohorts.</w:t>
      </w:r>
    </w:p>
    <w:p w14:paraId="533D1BED" w14:textId="3FA91A37" w:rsidR="00A652BC" w:rsidRPr="00A652BC" w:rsidRDefault="00A652BC" w:rsidP="00576F9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652BC">
        <w:rPr>
          <w:rFonts w:ascii="Times New Roman" w:eastAsia="Times New Roman" w:hAnsi="Times New Roman" w:cs="Times New Roman"/>
          <w:b/>
          <w:bCs/>
          <w:kern w:val="0"/>
          <w14:ligatures w14:val="none"/>
        </w:rPr>
        <w:t>Recommendations</w:t>
      </w:r>
    </w:p>
    <w:p w14:paraId="2A4D6847" w14:textId="76A6348C" w:rsidR="005D4E50" w:rsidRDefault="00A652BC" w:rsidP="00A652BC">
      <w:pPr>
        <w:spacing w:before="100" w:beforeAutospacing="1" w:after="100" w:afterAutospacing="1" w:line="276" w:lineRule="auto"/>
        <w:jc w:val="both"/>
        <w:rPr>
          <w:rFonts w:ascii="Times New Roman" w:eastAsia="Times New Roman" w:hAnsi="Times New Roman" w:cs="Times New Roman"/>
          <w:kern w:val="0"/>
          <w14:ligatures w14:val="none"/>
        </w:rPr>
      </w:pPr>
      <w:r w:rsidRPr="00A652BC">
        <w:rPr>
          <w:rFonts w:ascii="Times New Roman" w:eastAsia="Times New Roman" w:hAnsi="Times New Roman" w:cs="Times New Roman"/>
          <w:kern w:val="0"/>
          <w14:ligatures w14:val="none"/>
        </w:rPr>
        <w:t xml:space="preserve">Based on these findings, several practical and policy-oriented recommendations emerge. First, university admission criteria for </w:t>
      </w:r>
      <w:r w:rsidR="002500DE">
        <w:rPr>
          <w:rFonts w:ascii="Times New Roman" w:eastAsia="Times New Roman" w:hAnsi="Times New Roman" w:cs="Times New Roman"/>
          <w:kern w:val="0"/>
          <w14:ligatures w14:val="none"/>
        </w:rPr>
        <w:t>Information Technology</w:t>
      </w:r>
      <w:r w:rsidRPr="00A652BC">
        <w:rPr>
          <w:rFonts w:ascii="Times New Roman" w:eastAsia="Times New Roman" w:hAnsi="Times New Roman" w:cs="Times New Roman"/>
          <w:kern w:val="0"/>
          <w14:ligatures w14:val="none"/>
        </w:rPr>
        <w:t xml:space="preserve"> degree </w:t>
      </w:r>
      <w:proofErr w:type="spellStart"/>
      <w:r w:rsidRPr="00A652BC">
        <w:rPr>
          <w:rFonts w:ascii="Times New Roman" w:eastAsia="Times New Roman" w:hAnsi="Times New Roman" w:cs="Times New Roman"/>
          <w:kern w:val="0"/>
          <w14:ligatures w14:val="none"/>
        </w:rPr>
        <w:t>program</w:t>
      </w:r>
      <w:r w:rsidR="003C23C0">
        <w:rPr>
          <w:rFonts w:ascii="Times New Roman" w:eastAsia="Times New Roman" w:hAnsi="Times New Roman" w:cs="Times New Roman"/>
          <w:kern w:val="0"/>
          <w14:ligatures w14:val="none"/>
        </w:rPr>
        <w:t>me</w:t>
      </w:r>
      <w:r w:rsidRPr="00A652BC">
        <w:rPr>
          <w:rFonts w:ascii="Times New Roman" w:eastAsia="Times New Roman" w:hAnsi="Times New Roman" w:cs="Times New Roman"/>
          <w:kern w:val="0"/>
          <w14:ligatures w14:val="none"/>
        </w:rPr>
        <w:t>s</w:t>
      </w:r>
      <w:proofErr w:type="spellEnd"/>
      <w:r w:rsidRPr="00A652BC">
        <w:rPr>
          <w:rFonts w:ascii="Times New Roman" w:eastAsia="Times New Roman" w:hAnsi="Times New Roman" w:cs="Times New Roman"/>
          <w:kern w:val="0"/>
          <w14:ligatures w14:val="none"/>
        </w:rPr>
        <w:t xml:space="preserve"> may not need to heavily weight specific A/L streams, as prior specialization does not significantly influence performance in core subjects. Institutions may therefore consider maintaining or expanding flexible entry pathways to ensure broader access to </w:t>
      </w:r>
      <w:r w:rsidR="00420877">
        <w:rPr>
          <w:rFonts w:ascii="Times New Roman" w:eastAsia="Times New Roman" w:hAnsi="Times New Roman" w:cs="Times New Roman"/>
          <w:kern w:val="0"/>
          <w14:ligatures w14:val="none"/>
        </w:rPr>
        <w:t>Information Technology</w:t>
      </w:r>
      <w:r w:rsidRPr="00A652BC">
        <w:rPr>
          <w:rFonts w:ascii="Times New Roman" w:eastAsia="Times New Roman" w:hAnsi="Times New Roman" w:cs="Times New Roman"/>
          <w:kern w:val="0"/>
          <w14:ligatures w14:val="none"/>
        </w:rPr>
        <w:t xml:space="preserve"> education. Second, since performance differences are not stream-dependent, academic support should be targeted toward enhancing foundational competencies for all students, regardless of background. Initiatives such as diagnostic assessments, early-semester bridging modules, and supplemental tutoring could benefit the entire cohort. Third, curriculum designers and instructors should continue to focus on evidence-based teaching practices</w:t>
      </w:r>
      <w:r w:rsidR="00863AD6">
        <w:rPr>
          <w:rFonts w:ascii="Times New Roman" w:eastAsia="Times New Roman" w:hAnsi="Times New Roman" w:cs="Times New Roman"/>
          <w:kern w:val="0"/>
          <w14:ligatures w14:val="none"/>
        </w:rPr>
        <w:t xml:space="preserve">, </w:t>
      </w:r>
      <w:r w:rsidRPr="00A652BC">
        <w:rPr>
          <w:rFonts w:ascii="Times New Roman" w:eastAsia="Times New Roman" w:hAnsi="Times New Roman" w:cs="Times New Roman"/>
          <w:kern w:val="0"/>
          <w14:ligatures w14:val="none"/>
        </w:rPr>
        <w:t>such as active learning, formative feedback, and structured problem-solving tasks</w:t>
      </w:r>
      <w:r w:rsidR="0018125B">
        <w:rPr>
          <w:rFonts w:ascii="Times New Roman" w:eastAsia="Times New Roman" w:hAnsi="Times New Roman" w:cs="Times New Roman"/>
          <w:kern w:val="0"/>
          <w14:ligatures w14:val="none"/>
        </w:rPr>
        <w:t xml:space="preserve">, </w:t>
      </w:r>
      <w:r w:rsidRPr="00A652BC">
        <w:rPr>
          <w:rFonts w:ascii="Times New Roman" w:eastAsia="Times New Roman" w:hAnsi="Times New Roman" w:cs="Times New Roman"/>
          <w:kern w:val="0"/>
          <w14:ligatures w14:val="none"/>
        </w:rPr>
        <w:t xml:space="preserve">that strengthen conceptual understanding and promote equitable learning </w:t>
      </w:r>
      <w:r w:rsidRPr="00A652BC">
        <w:rPr>
          <w:rFonts w:ascii="Times New Roman" w:eastAsia="Times New Roman" w:hAnsi="Times New Roman" w:cs="Times New Roman"/>
          <w:kern w:val="0"/>
          <w14:ligatures w14:val="none"/>
        </w:rPr>
        <w:lastRenderedPageBreak/>
        <w:t>outcomes. Finally, future research should explore other potential predictors of academic success, including prior programming exposure, learning strategies, motivation, and engagement, which may provide more meaningful insights into student performance than A/L stream alone.</w:t>
      </w:r>
    </w:p>
    <w:p w14:paraId="711A85C5" w14:textId="77777777" w:rsidR="005D4E50" w:rsidRPr="005D4E50" w:rsidRDefault="005D4E50" w:rsidP="005D4E50">
      <w:pPr>
        <w:spacing w:line="360" w:lineRule="auto"/>
        <w:jc w:val="both"/>
        <w:rPr>
          <w:rFonts w:ascii="Times New Roman" w:eastAsia="Calibri" w:hAnsi="Times New Roman" w:cs="Times New Roman"/>
          <w:b/>
          <w:bCs/>
          <w:kern w:val="0"/>
          <w14:ligatures w14:val="none"/>
        </w:rPr>
      </w:pPr>
      <w:r w:rsidRPr="005D4E50">
        <w:rPr>
          <w:rFonts w:ascii="Times New Roman" w:eastAsia="Calibri" w:hAnsi="Times New Roman" w:cs="Times New Roman"/>
          <w:b/>
          <w:bCs/>
          <w:kern w:val="0"/>
          <w14:ligatures w14:val="none"/>
        </w:rPr>
        <w:t>Future Research</w:t>
      </w:r>
    </w:p>
    <w:p w14:paraId="218AB7AD" w14:textId="77777777" w:rsidR="005D4E50" w:rsidRPr="005D4E50" w:rsidRDefault="005D4E50" w:rsidP="005D4E50">
      <w:pPr>
        <w:spacing w:before="100" w:beforeAutospacing="1" w:after="100" w:afterAutospacing="1" w:line="276" w:lineRule="auto"/>
        <w:jc w:val="both"/>
        <w:rPr>
          <w:rFonts w:ascii="Times New Roman" w:eastAsia="Times New Roman" w:hAnsi="Times New Roman" w:cs="Times New Roman"/>
          <w:kern w:val="0"/>
          <w14:ligatures w14:val="none"/>
        </w:rPr>
      </w:pPr>
      <w:r w:rsidRPr="005D4E50">
        <w:rPr>
          <w:rFonts w:ascii="Times New Roman" w:eastAsia="Times New Roman" w:hAnsi="Times New Roman" w:cs="Times New Roman"/>
          <w:kern w:val="0"/>
          <w14:ligatures w14:val="none"/>
        </w:rPr>
        <w:t xml:space="preserve">The first batch (2023/24) admitted under the newly implemented Z-score–only policy is currently in the first semester of the first year of study at the selected university.  Consequently, an additional one and a half years are required before the impact of the university’s aptitude tests can be assessed by comparing this cohort’s performance with that of the previous five cohorts in the four core computing courses of the Information Technology degree </w:t>
      </w:r>
      <w:proofErr w:type="spellStart"/>
      <w:r w:rsidRPr="005D4E50">
        <w:rPr>
          <w:rFonts w:ascii="Times New Roman" w:eastAsia="Times New Roman" w:hAnsi="Times New Roman" w:cs="Times New Roman"/>
          <w:kern w:val="0"/>
          <w14:ligatures w14:val="none"/>
        </w:rPr>
        <w:t>programme</w:t>
      </w:r>
      <w:proofErr w:type="spellEnd"/>
      <w:r w:rsidRPr="005D4E50">
        <w:rPr>
          <w:rFonts w:ascii="Times New Roman" w:eastAsia="Times New Roman" w:hAnsi="Times New Roman" w:cs="Times New Roman"/>
          <w:kern w:val="0"/>
          <w14:ligatures w14:val="none"/>
        </w:rPr>
        <w:t>.</w:t>
      </w:r>
    </w:p>
    <w:p w14:paraId="35A4C8FF" w14:textId="77777777" w:rsidR="005D4E50" w:rsidRDefault="005D4E50" w:rsidP="00A652BC">
      <w:pPr>
        <w:spacing w:before="100" w:beforeAutospacing="1" w:after="100" w:afterAutospacing="1" w:line="276" w:lineRule="auto"/>
        <w:jc w:val="both"/>
        <w:rPr>
          <w:rFonts w:ascii="Times New Roman" w:eastAsia="Times New Roman" w:hAnsi="Times New Roman" w:cs="Times New Roman"/>
          <w:kern w:val="0"/>
          <w14:ligatures w14:val="none"/>
        </w:rPr>
      </w:pPr>
    </w:p>
    <w:p w14:paraId="4BD00992" w14:textId="77777777" w:rsidR="004B5EB2" w:rsidRDefault="004B5EB2" w:rsidP="004B5EB2">
      <w:pPr>
        <w:spacing w:line="360" w:lineRule="auto"/>
        <w:jc w:val="both"/>
        <w:rPr>
          <w:rFonts w:ascii="Times New Roman" w:eastAsia="Calibri" w:hAnsi="Times New Roman" w:cs="Times New Roman"/>
          <w:b/>
          <w:bCs/>
          <w:kern w:val="0"/>
          <w14:ligatures w14:val="none"/>
        </w:rPr>
      </w:pPr>
      <w:r w:rsidRPr="004B5EB2">
        <w:rPr>
          <w:rFonts w:ascii="Times New Roman" w:eastAsia="Calibri" w:hAnsi="Times New Roman" w:cs="Times New Roman"/>
          <w:b/>
          <w:bCs/>
          <w:kern w:val="0"/>
          <w14:ligatures w14:val="none"/>
        </w:rPr>
        <w:t>References</w:t>
      </w:r>
    </w:p>
    <w:p w14:paraId="070BF638" w14:textId="5C884C04" w:rsidR="004B5EB2"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Abdullah, N. A., &amp; Mirza, M. S. (2018). Entry qualifications of students as predictors of academic performance in various degree programs in distance education setting in Pakistan. Open Praxis, 10(3), 237-247. https://doi.org/10.5944/openpraxis.10.3.848</w:t>
      </w:r>
      <w:r w:rsidR="004B5EB2" w:rsidRPr="00635B78">
        <w:rPr>
          <w:rFonts w:ascii="Times New Roman" w:eastAsia="Calibri" w:hAnsi="Times New Roman" w:cs="Times New Roman"/>
          <w:kern w:val="0"/>
          <w:lang w:val="en-GB" w:bidi="ta-LK"/>
          <w14:ligatures w14:val="none"/>
        </w:rPr>
        <w:t xml:space="preserve">. </w:t>
      </w:r>
    </w:p>
    <w:p w14:paraId="0F601082" w14:textId="0DD56826" w:rsidR="0009459B"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Campbell, P. F., &amp; McCabe, G. P. (1984). Predicting the success of freshmen in a computer science major. Communications of the ACM, 27(11), 1108-1113. </w:t>
      </w:r>
      <w:hyperlink r:id="rId7" w:history="1">
        <w:r w:rsidRPr="00635B78">
          <w:rPr>
            <w:rStyle w:val="Hyperlink"/>
            <w:rFonts w:ascii="Times New Roman" w:eastAsia="Calibri" w:hAnsi="Times New Roman" w:cs="Times New Roman"/>
            <w:kern w:val="0"/>
            <w:lang w:val="en-GB" w:bidi="ta-LK"/>
            <w14:ligatures w14:val="none"/>
          </w:rPr>
          <w:t>https://doi.org/10.1145/1968.358288</w:t>
        </w:r>
      </w:hyperlink>
    </w:p>
    <w:p w14:paraId="3C89D385" w14:textId="4FF28921" w:rsidR="0009459B"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Geary, D. C. (2013). Early foundations for mathematics learning and their relations to learning disabilities. Current Directions in Psychological Science, 22(1), 23–27. </w:t>
      </w:r>
      <w:hyperlink r:id="rId8" w:history="1">
        <w:r w:rsidRPr="00635B78">
          <w:rPr>
            <w:rStyle w:val="Hyperlink"/>
            <w:rFonts w:ascii="Times New Roman" w:eastAsia="Calibri" w:hAnsi="Times New Roman" w:cs="Times New Roman"/>
            <w:kern w:val="0"/>
            <w:lang w:val="en-GB" w:bidi="ta-LK"/>
            <w14:ligatures w14:val="none"/>
          </w:rPr>
          <w:t>https://doi.org/10.1177/0963721412469398</w:t>
        </w:r>
      </w:hyperlink>
    </w:p>
    <w:p w14:paraId="51DDDB0B" w14:textId="0372B506" w:rsidR="0009459B"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Chen, C., Kang, J. M., Sonnert, G., &amp; Sadler, P. M. (2020). High School Calculus and Computer Science Course Taking as Predictors of Success in Introductory College Computer Science. ACM Transactions on Computing Education, 21(1), Article 6. </w:t>
      </w:r>
      <w:hyperlink r:id="rId9" w:history="1">
        <w:r w:rsidRPr="00635B78">
          <w:rPr>
            <w:rStyle w:val="Hyperlink"/>
            <w:rFonts w:ascii="Times New Roman" w:eastAsia="Calibri" w:hAnsi="Times New Roman" w:cs="Times New Roman"/>
            <w:kern w:val="0"/>
            <w:lang w:val="en-GB" w:bidi="ta-LK"/>
            <w14:ligatures w14:val="none"/>
          </w:rPr>
          <w:t>https://doi.org/10.1145/3433169</w:t>
        </w:r>
      </w:hyperlink>
    </w:p>
    <w:p w14:paraId="56B02E2F" w14:textId="399CDD2D" w:rsidR="004B5EB2" w:rsidRPr="00635B78" w:rsidRDefault="004B5EB2"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Golding P. and </w:t>
      </w:r>
      <w:proofErr w:type="spellStart"/>
      <w:r w:rsidRPr="00635B78">
        <w:rPr>
          <w:rFonts w:ascii="Times New Roman" w:eastAsia="Calibri" w:hAnsi="Times New Roman" w:cs="Times New Roman"/>
          <w:kern w:val="0"/>
          <w:lang w:val="en-GB" w:bidi="ta-LK"/>
          <w14:ligatures w14:val="none"/>
        </w:rPr>
        <w:t>McNamarah</w:t>
      </w:r>
      <w:proofErr w:type="spellEnd"/>
      <w:r w:rsidRPr="00635B78">
        <w:rPr>
          <w:rFonts w:ascii="Times New Roman" w:eastAsia="Calibri" w:hAnsi="Times New Roman" w:cs="Times New Roman"/>
          <w:kern w:val="0"/>
          <w:lang w:val="en-GB" w:bidi="ta-LK"/>
          <w14:ligatures w14:val="none"/>
        </w:rPr>
        <w:t xml:space="preserve"> S. (2005). “Predicting Academic Performance in the School of </w:t>
      </w:r>
      <w:r w:rsidRPr="00635B78">
        <w:rPr>
          <w:rFonts w:ascii="Times New Roman" w:eastAsia="Calibri" w:hAnsi="Times New Roman" w:cs="Times New Roman"/>
          <w:kern w:val="0"/>
          <w:lang w:val="en-GB" w:bidi="ta-LK"/>
          <w14:ligatures w14:val="none"/>
        </w:rPr>
        <w:tab/>
        <w:t xml:space="preserve">Computing &amp; Information Technology (SCIT)”, Proceedings of the 35th ASEE/IEEE </w:t>
      </w:r>
      <w:r w:rsidRPr="00635B78">
        <w:rPr>
          <w:rFonts w:ascii="Times New Roman" w:eastAsia="Calibri" w:hAnsi="Times New Roman" w:cs="Times New Roman"/>
          <w:kern w:val="0"/>
          <w:lang w:val="en-GB" w:bidi="ta-LK"/>
          <w14:ligatures w14:val="none"/>
        </w:rPr>
        <w:tab/>
        <w:t>Frontiers in Education Conference, Pages 16- 20.</w:t>
      </w:r>
    </w:p>
    <w:p w14:paraId="5F347649" w14:textId="6F335530" w:rsidR="0009459B"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lastRenderedPageBreak/>
        <w:t xml:space="preserve">Hostetler, T. R. (1983). Predicting student success in an introductory programming course. ACM SIGCSE Bulletin, 15(3), 40–43. </w:t>
      </w:r>
      <w:hyperlink r:id="rId10" w:history="1">
        <w:r w:rsidRPr="00635B78">
          <w:rPr>
            <w:rStyle w:val="Hyperlink"/>
            <w:rFonts w:ascii="Times New Roman" w:eastAsia="Calibri" w:hAnsi="Times New Roman" w:cs="Times New Roman"/>
            <w:kern w:val="0"/>
            <w:lang w:val="en-GB" w:bidi="ta-LK"/>
            <w14:ligatures w14:val="none"/>
          </w:rPr>
          <w:t>https://doi.org/10.1145/382188.382571</w:t>
        </w:r>
      </w:hyperlink>
    </w:p>
    <w:p w14:paraId="013BBE19" w14:textId="787C9A32" w:rsidR="001F4EAC" w:rsidRPr="00635B78" w:rsidRDefault="00FB6206"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Koul, R., </w:t>
      </w:r>
      <w:proofErr w:type="spellStart"/>
      <w:r w:rsidRPr="00635B78">
        <w:rPr>
          <w:rFonts w:ascii="Times New Roman" w:eastAsia="Calibri" w:hAnsi="Times New Roman" w:cs="Times New Roman"/>
          <w:kern w:val="0"/>
          <w:lang w:val="en-GB" w:bidi="ta-LK"/>
          <w14:ligatures w14:val="none"/>
        </w:rPr>
        <w:t>Lerdpornkulrat</w:t>
      </w:r>
      <w:proofErr w:type="spellEnd"/>
      <w:r w:rsidRPr="00635B78">
        <w:rPr>
          <w:rFonts w:ascii="Times New Roman" w:eastAsia="Calibri" w:hAnsi="Times New Roman" w:cs="Times New Roman"/>
          <w:kern w:val="0"/>
          <w:lang w:val="en-GB" w:bidi="ta-LK"/>
          <w14:ligatures w14:val="none"/>
        </w:rPr>
        <w:t xml:space="preserve">, T., &amp; </w:t>
      </w:r>
      <w:proofErr w:type="spellStart"/>
      <w:r w:rsidRPr="00635B78">
        <w:rPr>
          <w:rFonts w:ascii="Times New Roman" w:eastAsia="Calibri" w:hAnsi="Times New Roman" w:cs="Times New Roman"/>
          <w:kern w:val="0"/>
          <w:lang w:val="en-GB" w:bidi="ta-LK"/>
          <w14:ligatures w14:val="none"/>
        </w:rPr>
        <w:t>Poondej</w:t>
      </w:r>
      <w:proofErr w:type="spellEnd"/>
      <w:r w:rsidRPr="00635B78">
        <w:rPr>
          <w:rFonts w:ascii="Times New Roman" w:eastAsia="Calibri" w:hAnsi="Times New Roman" w:cs="Times New Roman"/>
          <w:kern w:val="0"/>
          <w:lang w:val="en-GB" w:bidi="ta-LK"/>
          <w14:ligatures w14:val="none"/>
        </w:rPr>
        <w:t xml:space="preserve">, C. (2021). Predictors of student success and retention in </w:t>
      </w:r>
      <w:r w:rsidR="001F4EAC" w:rsidRPr="00635B78">
        <w:rPr>
          <w:rFonts w:ascii="Times New Roman" w:eastAsia="Calibri" w:hAnsi="Times New Roman" w:cs="Times New Roman"/>
          <w:kern w:val="0"/>
          <w:lang w:val="en-GB" w:bidi="ta-LK"/>
          <w14:ligatures w14:val="none"/>
        </w:rPr>
        <w:tab/>
      </w:r>
      <w:r w:rsidRPr="00635B78">
        <w:rPr>
          <w:rFonts w:ascii="Times New Roman" w:eastAsia="Calibri" w:hAnsi="Times New Roman" w:cs="Times New Roman"/>
          <w:kern w:val="0"/>
          <w:lang w:val="en-GB" w:bidi="ta-LK"/>
          <w14:ligatures w14:val="none"/>
        </w:rPr>
        <w:t>information technology programs. Journal of Information Systems Education, 32(2), 123</w:t>
      </w:r>
      <w:r w:rsidR="001F4EAC" w:rsidRPr="00635B78">
        <w:rPr>
          <w:rFonts w:ascii="Times New Roman" w:eastAsia="Calibri" w:hAnsi="Times New Roman" w:cs="Times New Roman"/>
          <w:kern w:val="0"/>
          <w:lang w:val="en-GB" w:bidi="ta-LK"/>
          <w14:ligatures w14:val="none"/>
        </w:rPr>
        <w:tab/>
      </w:r>
      <w:r w:rsidRPr="00635B78">
        <w:rPr>
          <w:rFonts w:ascii="Times New Roman" w:eastAsia="Calibri" w:hAnsi="Times New Roman" w:cs="Times New Roman"/>
          <w:kern w:val="0"/>
          <w:lang w:val="en-GB" w:bidi="ta-LK"/>
          <w14:ligatures w14:val="none"/>
        </w:rPr>
        <w:t>135.</w:t>
      </w:r>
    </w:p>
    <w:p w14:paraId="2524B5B9" w14:textId="2E5EADBC" w:rsidR="00813ADB" w:rsidRPr="00635B78" w:rsidRDefault="00813ADB" w:rsidP="00635B78">
      <w:pPr>
        <w:spacing w:line="360" w:lineRule="auto"/>
        <w:ind w:left="360"/>
        <w:jc w:val="both"/>
        <w:rPr>
          <w:rStyle w:val="Strong"/>
          <w:rFonts w:ascii="Times New Roman" w:eastAsia="Calibri" w:hAnsi="Times New Roman" w:cs="Times New Roman"/>
          <w:b w:val="0"/>
          <w:bCs w:val="0"/>
          <w:kern w:val="0"/>
          <w:lang w:val="en-GB" w:bidi="ta-LK"/>
          <w14:ligatures w14:val="none"/>
        </w:rPr>
      </w:pPr>
      <w:r w:rsidRPr="00635B78">
        <w:rPr>
          <w:rStyle w:val="Strong"/>
          <w:rFonts w:ascii="Times New Roman" w:eastAsiaTheme="majorEastAsia" w:hAnsi="Times New Roman" w:cs="Times New Roman"/>
          <w:b w:val="0"/>
          <w:bCs w:val="0"/>
          <w:kern w:val="0"/>
          <w14:ligatures w14:val="none"/>
        </w:rPr>
        <w:t>Popham, W. J. (2005). Classroom assessment: What teachers need to know (4th ed.). Pearson.</w:t>
      </w:r>
    </w:p>
    <w:p w14:paraId="4033DADC" w14:textId="2215B9BB" w:rsidR="00FB6206" w:rsidRPr="00635B78" w:rsidRDefault="00FB6206" w:rsidP="00635B78">
      <w:pPr>
        <w:spacing w:before="100" w:beforeAutospacing="1" w:after="100" w:afterAutospacing="1" w:line="276" w:lineRule="auto"/>
        <w:ind w:left="360"/>
        <w:jc w:val="both"/>
        <w:rPr>
          <w:rFonts w:ascii="Times New Roman" w:eastAsia="Times New Roman" w:hAnsi="Times New Roman" w:cs="Times New Roman"/>
          <w:b/>
          <w:bCs/>
          <w:kern w:val="0"/>
          <w14:ligatures w14:val="none"/>
        </w:rPr>
      </w:pPr>
      <w:r w:rsidRPr="00635B78">
        <w:rPr>
          <w:rStyle w:val="Strong"/>
          <w:rFonts w:ascii="Times New Roman" w:eastAsiaTheme="majorEastAsia" w:hAnsi="Times New Roman" w:cs="Times New Roman"/>
          <w:b w:val="0"/>
          <w:bCs w:val="0"/>
          <w:kern w:val="0"/>
          <w14:ligatures w14:val="none"/>
        </w:rPr>
        <w:t>Rapoport, A. (1973). Mathematical thinking in learning and teaching. McGraw-Hill.</w:t>
      </w:r>
    </w:p>
    <w:p w14:paraId="59CB11D5" w14:textId="77777777" w:rsidR="004B5EB2" w:rsidRPr="00635B78" w:rsidRDefault="004B5EB2" w:rsidP="00635B78">
      <w:pPr>
        <w:spacing w:line="360" w:lineRule="auto"/>
        <w:ind w:left="360"/>
        <w:jc w:val="both"/>
        <w:rPr>
          <w:rFonts w:ascii="Times New Roman" w:eastAsia="Calibri" w:hAnsi="Times New Roman" w:cs="Times New Roman"/>
          <w:kern w:val="0"/>
          <w:lang w:val="en-GB" w:bidi="ta-LK"/>
          <w14:ligatures w14:val="none"/>
        </w:rPr>
      </w:pPr>
      <w:proofErr w:type="spellStart"/>
      <w:r w:rsidRPr="00635B78">
        <w:rPr>
          <w:rFonts w:ascii="Times New Roman" w:eastAsia="Calibri" w:hAnsi="Times New Roman" w:cs="Times New Roman"/>
          <w:kern w:val="0"/>
          <w:lang w:val="en-GB" w:bidi="ta-LK"/>
          <w14:ligatures w14:val="none"/>
        </w:rPr>
        <w:t>Rahinel</w:t>
      </w:r>
      <w:proofErr w:type="spellEnd"/>
      <w:r w:rsidRPr="00635B78">
        <w:rPr>
          <w:rFonts w:ascii="Times New Roman" w:eastAsia="Calibri" w:hAnsi="Times New Roman" w:cs="Times New Roman"/>
          <w:kern w:val="0"/>
          <w:lang w:val="en-GB" w:bidi="ta-LK"/>
          <w14:ligatures w14:val="none"/>
        </w:rPr>
        <w:t xml:space="preserve"> R., O’Reilly N., Cukier W. and Cody S. (2005). “Mathematics as a Performance </w:t>
      </w:r>
      <w:r w:rsidRPr="00635B78">
        <w:rPr>
          <w:rFonts w:ascii="Times New Roman" w:eastAsia="Calibri" w:hAnsi="Times New Roman" w:cs="Times New Roman"/>
          <w:kern w:val="0"/>
          <w:lang w:val="en-GB" w:bidi="ta-LK"/>
          <w14:ligatures w14:val="none"/>
        </w:rPr>
        <w:tab/>
        <w:t xml:space="preserve">Predictor in Information Technology Management” Proceedings of ISECON, v22 </w:t>
      </w:r>
      <w:r w:rsidRPr="00635B78">
        <w:rPr>
          <w:rFonts w:ascii="Times New Roman" w:eastAsia="Calibri" w:hAnsi="Times New Roman" w:cs="Times New Roman"/>
          <w:kern w:val="0"/>
          <w:lang w:val="en-GB" w:bidi="ta-LK"/>
          <w14:ligatures w14:val="none"/>
        </w:rPr>
        <w:tab/>
        <w:t>(Columbus OH) EDSIG, page 1 to 11.</w:t>
      </w:r>
    </w:p>
    <w:p w14:paraId="43B3D7DF" w14:textId="6534DCA5" w:rsidR="0009459B"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Sritharan, T. (2018). Impact of mathematics on the theoretical computer science course units in the general degree program in computer science at Sri Lankan state universities. Issues in Informing Science and Information Technology, 15, 1-14. </w:t>
      </w:r>
      <w:hyperlink r:id="rId11" w:history="1">
        <w:r w:rsidRPr="00635B78">
          <w:rPr>
            <w:rStyle w:val="Hyperlink"/>
            <w:rFonts w:ascii="Times New Roman" w:eastAsia="Calibri" w:hAnsi="Times New Roman" w:cs="Times New Roman"/>
            <w:kern w:val="0"/>
            <w:lang w:val="en-GB" w:bidi="ta-LK"/>
            <w14:ligatures w14:val="none"/>
          </w:rPr>
          <w:t>https://doi.org/10.28945/4007</w:t>
        </w:r>
      </w:hyperlink>
    </w:p>
    <w:p w14:paraId="2E03201E" w14:textId="3D040B85" w:rsidR="0009459B" w:rsidRPr="00635B78" w:rsidRDefault="0009459B" w:rsidP="00635B78">
      <w:pPr>
        <w:spacing w:line="360" w:lineRule="auto"/>
        <w:ind w:left="360"/>
        <w:jc w:val="both"/>
        <w:rPr>
          <w:rFonts w:ascii="Times New Roman" w:eastAsia="Calibri" w:hAnsi="Times New Roman" w:cs="Times New Roman"/>
          <w:b/>
          <w:bCs/>
          <w:kern w:val="0"/>
          <w14:ligatures w14:val="none"/>
        </w:rPr>
      </w:pPr>
      <w:r w:rsidRPr="00635B78">
        <w:rPr>
          <w:rFonts w:ascii="Times New Roman" w:eastAsia="Calibri" w:hAnsi="Times New Roman" w:cs="Times New Roman"/>
          <w:kern w:val="0"/>
          <w:lang w:val="en-GB" w:bidi="ta-LK"/>
          <w14:ligatures w14:val="none"/>
        </w:rPr>
        <w:t xml:space="preserve">Wilson, B. C., &amp; Shrock, S. (2001). Contributing to success in an introductory computer science course: A study of twelve factors. Proceedings of the 32nd SIGCSE Technical Symposium on Computer Science Education, 184-188. </w:t>
      </w:r>
      <w:hyperlink r:id="rId12" w:history="1">
        <w:r w:rsidRPr="00635B78">
          <w:rPr>
            <w:rStyle w:val="Hyperlink"/>
            <w:rFonts w:ascii="Times New Roman" w:eastAsia="Calibri" w:hAnsi="Times New Roman" w:cs="Times New Roman"/>
            <w:kern w:val="0"/>
            <w:lang w:val="en-GB" w:bidi="ta-LK"/>
            <w14:ligatures w14:val="none"/>
          </w:rPr>
          <w:t>https://doi.org/10.1145/366413.364581</w:t>
        </w:r>
      </w:hyperlink>
    </w:p>
    <w:p w14:paraId="5A206713" w14:textId="4677EF3B" w:rsidR="004B5EB2" w:rsidRPr="00635B78" w:rsidRDefault="0009459B" w:rsidP="00635B78">
      <w:pPr>
        <w:spacing w:before="100" w:beforeAutospacing="1" w:after="100" w:afterAutospacing="1" w:line="276" w:lineRule="auto"/>
        <w:ind w:left="360"/>
        <w:jc w:val="both"/>
        <w:rPr>
          <w:rFonts w:ascii="Times New Roman" w:eastAsia="Times New Roman" w:hAnsi="Times New Roman" w:cs="Times New Roman"/>
          <w:b/>
          <w:bCs/>
          <w:kern w:val="0"/>
          <w14:ligatures w14:val="none"/>
        </w:rPr>
      </w:pPr>
      <w:r w:rsidRPr="00635B78">
        <w:rPr>
          <w:rFonts w:ascii="Times New Roman" w:eastAsia="Calibri" w:hAnsi="Times New Roman" w:cs="Times New Roman"/>
          <w:kern w:val="0"/>
          <w:lang w:val="en-GB" w:bidi="ta-LK"/>
          <w14:ligatures w14:val="none"/>
        </w:rPr>
        <w:t xml:space="preserve">Zekarias, Z., Aba-Milki, N., &amp; </w:t>
      </w:r>
      <w:proofErr w:type="spellStart"/>
      <w:r w:rsidRPr="00635B78">
        <w:rPr>
          <w:rFonts w:ascii="Times New Roman" w:eastAsia="Calibri" w:hAnsi="Times New Roman" w:cs="Times New Roman"/>
          <w:kern w:val="0"/>
          <w:lang w:val="en-GB" w:bidi="ta-LK"/>
          <w14:ligatures w14:val="none"/>
        </w:rPr>
        <w:t>Mikre</w:t>
      </w:r>
      <w:proofErr w:type="spellEnd"/>
      <w:r w:rsidRPr="00635B78">
        <w:rPr>
          <w:rFonts w:ascii="Times New Roman" w:eastAsia="Calibri" w:hAnsi="Times New Roman" w:cs="Times New Roman"/>
          <w:kern w:val="0"/>
          <w:lang w:val="en-GB" w:bidi="ta-LK"/>
          <w14:ligatures w14:val="none"/>
        </w:rPr>
        <w:t>, F. (2015). PREDICTORS OF ACADEMIC ACHIEVEMENT FOR FIRST YEAR STUDENTS. THE CASE OF WOLAITA-SODDO UNIVERSITY, ETHIOPIA. European Scientific Journal, ESJ, 11(28). https://eujournal.org/index.php/esj/article/view/6382</w:t>
      </w:r>
    </w:p>
    <w:sectPr w:rsidR="004B5EB2" w:rsidRPr="00635B7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91AB8" w14:textId="77777777" w:rsidR="007B7C21" w:rsidRDefault="007B7C21" w:rsidP="00053953">
      <w:pPr>
        <w:spacing w:after="0" w:line="240" w:lineRule="auto"/>
      </w:pPr>
      <w:r>
        <w:separator/>
      </w:r>
    </w:p>
  </w:endnote>
  <w:endnote w:type="continuationSeparator" w:id="0">
    <w:p w14:paraId="28D7A2D7" w14:textId="77777777" w:rsidR="007B7C21" w:rsidRDefault="007B7C21" w:rsidP="0005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A1BE7" w14:textId="77777777" w:rsidR="002278E7" w:rsidRDefault="00227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8C1FF" w14:textId="77777777" w:rsidR="002278E7" w:rsidRDefault="00227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FAF7" w14:textId="77777777" w:rsidR="002278E7" w:rsidRDefault="00227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5F050" w14:textId="77777777" w:rsidR="007B7C21" w:rsidRDefault="007B7C21" w:rsidP="00053953">
      <w:pPr>
        <w:spacing w:after="0" w:line="240" w:lineRule="auto"/>
      </w:pPr>
      <w:r>
        <w:separator/>
      </w:r>
    </w:p>
  </w:footnote>
  <w:footnote w:type="continuationSeparator" w:id="0">
    <w:p w14:paraId="1FF79A7D" w14:textId="77777777" w:rsidR="007B7C21" w:rsidRDefault="007B7C21" w:rsidP="00053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8675" w14:textId="23DD32F5" w:rsidR="002278E7" w:rsidRDefault="002278E7">
    <w:pPr>
      <w:pStyle w:val="Header"/>
    </w:pPr>
    <w:r>
      <w:rPr>
        <w:noProof/>
      </w:rPr>
      <w:pict w14:anchorId="74A2C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B28B" w14:textId="7B8F11C6" w:rsidR="002278E7" w:rsidRDefault="002278E7">
    <w:pPr>
      <w:pStyle w:val="Header"/>
    </w:pPr>
    <w:r>
      <w:rPr>
        <w:noProof/>
      </w:rPr>
      <w:pict w14:anchorId="5D0DF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425E" w14:textId="5B1AF5D0" w:rsidR="002278E7" w:rsidRDefault="002278E7">
    <w:pPr>
      <w:pStyle w:val="Header"/>
    </w:pPr>
    <w:r>
      <w:rPr>
        <w:noProof/>
      </w:rPr>
      <w:pict w14:anchorId="342DC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E9C"/>
    <w:multiLevelType w:val="multilevel"/>
    <w:tmpl w:val="10BC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425FC"/>
    <w:multiLevelType w:val="multilevel"/>
    <w:tmpl w:val="C80A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7889"/>
    <w:multiLevelType w:val="hybridMultilevel"/>
    <w:tmpl w:val="F44E0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44391A"/>
    <w:multiLevelType w:val="multilevel"/>
    <w:tmpl w:val="B870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86F71"/>
    <w:multiLevelType w:val="hybridMultilevel"/>
    <w:tmpl w:val="A814B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E60C39"/>
    <w:multiLevelType w:val="multilevel"/>
    <w:tmpl w:val="37B6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55E57"/>
    <w:multiLevelType w:val="multilevel"/>
    <w:tmpl w:val="D3469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71DFF"/>
    <w:multiLevelType w:val="hybridMultilevel"/>
    <w:tmpl w:val="26480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229C3"/>
    <w:multiLevelType w:val="multilevel"/>
    <w:tmpl w:val="924E5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7068E"/>
    <w:multiLevelType w:val="multilevel"/>
    <w:tmpl w:val="2B0A8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0758E"/>
    <w:multiLevelType w:val="multilevel"/>
    <w:tmpl w:val="5814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5210C8"/>
    <w:multiLevelType w:val="multilevel"/>
    <w:tmpl w:val="FBF2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829D0"/>
    <w:multiLevelType w:val="hybridMultilevel"/>
    <w:tmpl w:val="A19C4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53AE6"/>
    <w:multiLevelType w:val="hybridMultilevel"/>
    <w:tmpl w:val="7A5C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A6B1D"/>
    <w:multiLevelType w:val="multilevel"/>
    <w:tmpl w:val="1C986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E42767"/>
    <w:multiLevelType w:val="multilevel"/>
    <w:tmpl w:val="B9A68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4E2E31"/>
    <w:multiLevelType w:val="multilevel"/>
    <w:tmpl w:val="B1349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ED14E9"/>
    <w:multiLevelType w:val="hybridMultilevel"/>
    <w:tmpl w:val="BEBA9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CD202E"/>
    <w:multiLevelType w:val="hybridMultilevel"/>
    <w:tmpl w:val="6974F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0406D"/>
    <w:multiLevelType w:val="hybridMultilevel"/>
    <w:tmpl w:val="9E281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5A1B9B"/>
    <w:multiLevelType w:val="multilevel"/>
    <w:tmpl w:val="A2FC1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6"/>
  </w:num>
  <w:num w:numId="4">
    <w:abstractNumId w:val="12"/>
  </w:num>
  <w:num w:numId="5">
    <w:abstractNumId w:val="9"/>
  </w:num>
  <w:num w:numId="6">
    <w:abstractNumId w:val="0"/>
  </w:num>
  <w:num w:numId="7">
    <w:abstractNumId w:val="5"/>
  </w:num>
  <w:num w:numId="8">
    <w:abstractNumId w:val="13"/>
  </w:num>
  <w:num w:numId="9">
    <w:abstractNumId w:val="18"/>
  </w:num>
  <w:num w:numId="10">
    <w:abstractNumId w:val="2"/>
  </w:num>
  <w:num w:numId="11">
    <w:abstractNumId w:val="19"/>
  </w:num>
  <w:num w:numId="12">
    <w:abstractNumId w:val="17"/>
  </w:num>
  <w:num w:numId="13">
    <w:abstractNumId w:val="4"/>
  </w:num>
  <w:num w:numId="14">
    <w:abstractNumId w:val="6"/>
  </w:num>
  <w:num w:numId="15">
    <w:abstractNumId w:val="8"/>
  </w:num>
  <w:num w:numId="16">
    <w:abstractNumId w:val="3"/>
  </w:num>
  <w:num w:numId="17">
    <w:abstractNumId w:val="15"/>
  </w:num>
  <w:num w:numId="18">
    <w:abstractNumId w:val="20"/>
  </w:num>
  <w:num w:numId="19">
    <w:abstractNumId w:val="11"/>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9F"/>
    <w:rsid w:val="00000EF7"/>
    <w:rsid w:val="00006C7E"/>
    <w:rsid w:val="00006D59"/>
    <w:rsid w:val="00011960"/>
    <w:rsid w:val="000246A5"/>
    <w:rsid w:val="00025ED1"/>
    <w:rsid w:val="0002789B"/>
    <w:rsid w:val="00031054"/>
    <w:rsid w:val="00031C75"/>
    <w:rsid w:val="00031D4E"/>
    <w:rsid w:val="00033E1E"/>
    <w:rsid w:val="0003565B"/>
    <w:rsid w:val="00037C39"/>
    <w:rsid w:val="0004054C"/>
    <w:rsid w:val="00040583"/>
    <w:rsid w:val="00043766"/>
    <w:rsid w:val="00047599"/>
    <w:rsid w:val="000512BD"/>
    <w:rsid w:val="000519CC"/>
    <w:rsid w:val="00053953"/>
    <w:rsid w:val="000609F7"/>
    <w:rsid w:val="00072231"/>
    <w:rsid w:val="00074493"/>
    <w:rsid w:val="000835A0"/>
    <w:rsid w:val="00083831"/>
    <w:rsid w:val="00084574"/>
    <w:rsid w:val="000908FD"/>
    <w:rsid w:val="0009459B"/>
    <w:rsid w:val="00096998"/>
    <w:rsid w:val="000A4B82"/>
    <w:rsid w:val="000A5449"/>
    <w:rsid w:val="000B3BFC"/>
    <w:rsid w:val="000B4637"/>
    <w:rsid w:val="000C1F16"/>
    <w:rsid w:val="000C324D"/>
    <w:rsid w:val="000C4F22"/>
    <w:rsid w:val="000C6C25"/>
    <w:rsid w:val="000D24F2"/>
    <w:rsid w:val="000E6BB6"/>
    <w:rsid w:val="000E6CF2"/>
    <w:rsid w:val="000F47A2"/>
    <w:rsid w:val="000F5B1F"/>
    <w:rsid w:val="0010454D"/>
    <w:rsid w:val="00111A88"/>
    <w:rsid w:val="00112127"/>
    <w:rsid w:val="001138A4"/>
    <w:rsid w:val="001149F3"/>
    <w:rsid w:val="001163EE"/>
    <w:rsid w:val="00117D06"/>
    <w:rsid w:val="00123AE3"/>
    <w:rsid w:val="00124B9A"/>
    <w:rsid w:val="00133A9F"/>
    <w:rsid w:val="00136E0D"/>
    <w:rsid w:val="001403A1"/>
    <w:rsid w:val="00140660"/>
    <w:rsid w:val="00141B5D"/>
    <w:rsid w:val="00141CD4"/>
    <w:rsid w:val="001447C4"/>
    <w:rsid w:val="001479E7"/>
    <w:rsid w:val="00150012"/>
    <w:rsid w:val="00150977"/>
    <w:rsid w:val="0015293F"/>
    <w:rsid w:val="00155543"/>
    <w:rsid w:val="001569CA"/>
    <w:rsid w:val="00166A0B"/>
    <w:rsid w:val="001701D5"/>
    <w:rsid w:val="00175730"/>
    <w:rsid w:val="0017727B"/>
    <w:rsid w:val="00177ED2"/>
    <w:rsid w:val="0018125B"/>
    <w:rsid w:val="0018436C"/>
    <w:rsid w:val="00184F7E"/>
    <w:rsid w:val="00193A36"/>
    <w:rsid w:val="001B0FB0"/>
    <w:rsid w:val="001B2CAF"/>
    <w:rsid w:val="001B39D3"/>
    <w:rsid w:val="001B6225"/>
    <w:rsid w:val="001B642E"/>
    <w:rsid w:val="001C1866"/>
    <w:rsid w:val="001D05F0"/>
    <w:rsid w:val="001D2250"/>
    <w:rsid w:val="001D3125"/>
    <w:rsid w:val="001D61E2"/>
    <w:rsid w:val="001D6493"/>
    <w:rsid w:val="001D69FB"/>
    <w:rsid w:val="001E02EB"/>
    <w:rsid w:val="001E2BC4"/>
    <w:rsid w:val="001E34A8"/>
    <w:rsid w:val="001F3171"/>
    <w:rsid w:val="001F4A52"/>
    <w:rsid w:val="001F4EAC"/>
    <w:rsid w:val="0020021F"/>
    <w:rsid w:val="002044D1"/>
    <w:rsid w:val="00214A4E"/>
    <w:rsid w:val="00215438"/>
    <w:rsid w:val="002157A8"/>
    <w:rsid w:val="0021648F"/>
    <w:rsid w:val="00216FA0"/>
    <w:rsid w:val="00225B44"/>
    <w:rsid w:val="002278E7"/>
    <w:rsid w:val="002500DE"/>
    <w:rsid w:val="00251A88"/>
    <w:rsid w:val="00257A4B"/>
    <w:rsid w:val="00261E87"/>
    <w:rsid w:val="002723F2"/>
    <w:rsid w:val="0027299F"/>
    <w:rsid w:val="00274FE5"/>
    <w:rsid w:val="00275DE9"/>
    <w:rsid w:val="0027638C"/>
    <w:rsid w:val="00277A22"/>
    <w:rsid w:val="00283426"/>
    <w:rsid w:val="002840C7"/>
    <w:rsid w:val="002841AD"/>
    <w:rsid w:val="00287DC6"/>
    <w:rsid w:val="00292A5C"/>
    <w:rsid w:val="0029448A"/>
    <w:rsid w:val="00295916"/>
    <w:rsid w:val="002A6807"/>
    <w:rsid w:val="002A6A58"/>
    <w:rsid w:val="002B2AF1"/>
    <w:rsid w:val="002B2CDB"/>
    <w:rsid w:val="002B3375"/>
    <w:rsid w:val="002B41E8"/>
    <w:rsid w:val="002B46D5"/>
    <w:rsid w:val="002B7BC4"/>
    <w:rsid w:val="002C307E"/>
    <w:rsid w:val="002C4D3B"/>
    <w:rsid w:val="002C5074"/>
    <w:rsid w:val="002C6D87"/>
    <w:rsid w:val="002D49C7"/>
    <w:rsid w:val="002D51A7"/>
    <w:rsid w:val="002E0246"/>
    <w:rsid w:val="002E4C4B"/>
    <w:rsid w:val="002E4E48"/>
    <w:rsid w:val="002F5A5E"/>
    <w:rsid w:val="002F5B33"/>
    <w:rsid w:val="00300DF6"/>
    <w:rsid w:val="003122B4"/>
    <w:rsid w:val="00312AB9"/>
    <w:rsid w:val="003155F1"/>
    <w:rsid w:val="003169C4"/>
    <w:rsid w:val="00321D3E"/>
    <w:rsid w:val="0033105D"/>
    <w:rsid w:val="0033244D"/>
    <w:rsid w:val="00335CD1"/>
    <w:rsid w:val="00337942"/>
    <w:rsid w:val="00342C69"/>
    <w:rsid w:val="00342FDA"/>
    <w:rsid w:val="003448A6"/>
    <w:rsid w:val="00347907"/>
    <w:rsid w:val="00347DDE"/>
    <w:rsid w:val="00351E3B"/>
    <w:rsid w:val="00352067"/>
    <w:rsid w:val="003531EE"/>
    <w:rsid w:val="00354197"/>
    <w:rsid w:val="00354B43"/>
    <w:rsid w:val="00365598"/>
    <w:rsid w:val="00365BAB"/>
    <w:rsid w:val="00375054"/>
    <w:rsid w:val="00377782"/>
    <w:rsid w:val="00385602"/>
    <w:rsid w:val="00395BA0"/>
    <w:rsid w:val="003967AC"/>
    <w:rsid w:val="003A1D80"/>
    <w:rsid w:val="003A28D0"/>
    <w:rsid w:val="003A64CD"/>
    <w:rsid w:val="003B10BE"/>
    <w:rsid w:val="003B59DC"/>
    <w:rsid w:val="003B7DC3"/>
    <w:rsid w:val="003C23C0"/>
    <w:rsid w:val="003C2F58"/>
    <w:rsid w:val="003C47A6"/>
    <w:rsid w:val="003C48FA"/>
    <w:rsid w:val="003D14E0"/>
    <w:rsid w:val="003D4A9F"/>
    <w:rsid w:val="003E01D0"/>
    <w:rsid w:val="003E20F9"/>
    <w:rsid w:val="003E4031"/>
    <w:rsid w:val="003E408D"/>
    <w:rsid w:val="003F7A53"/>
    <w:rsid w:val="0040120B"/>
    <w:rsid w:val="004036B2"/>
    <w:rsid w:val="00404EC8"/>
    <w:rsid w:val="004124BC"/>
    <w:rsid w:val="00414EDF"/>
    <w:rsid w:val="00420877"/>
    <w:rsid w:val="004270BB"/>
    <w:rsid w:val="00427AD5"/>
    <w:rsid w:val="004309F1"/>
    <w:rsid w:val="004316EC"/>
    <w:rsid w:val="00431D76"/>
    <w:rsid w:val="00434B41"/>
    <w:rsid w:val="00436CDD"/>
    <w:rsid w:val="00437045"/>
    <w:rsid w:val="00444344"/>
    <w:rsid w:val="00445E4A"/>
    <w:rsid w:val="004463CD"/>
    <w:rsid w:val="00447EC8"/>
    <w:rsid w:val="00450A9C"/>
    <w:rsid w:val="00451F9D"/>
    <w:rsid w:val="00452A12"/>
    <w:rsid w:val="00454878"/>
    <w:rsid w:val="00461941"/>
    <w:rsid w:val="0046429D"/>
    <w:rsid w:val="004662F7"/>
    <w:rsid w:val="0047066F"/>
    <w:rsid w:val="004733CB"/>
    <w:rsid w:val="00474DFD"/>
    <w:rsid w:val="004829B5"/>
    <w:rsid w:val="00491E2B"/>
    <w:rsid w:val="004972CC"/>
    <w:rsid w:val="004A2526"/>
    <w:rsid w:val="004A466A"/>
    <w:rsid w:val="004A5854"/>
    <w:rsid w:val="004A7A5A"/>
    <w:rsid w:val="004B3390"/>
    <w:rsid w:val="004B5968"/>
    <w:rsid w:val="004B5EB2"/>
    <w:rsid w:val="004B662F"/>
    <w:rsid w:val="004B6BAF"/>
    <w:rsid w:val="004B7A23"/>
    <w:rsid w:val="004B7E7E"/>
    <w:rsid w:val="004C0AD8"/>
    <w:rsid w:val="004C1D96"/>
    <w:rsid w:val="004C4FF5"/>
    <w:rsid w:val="004C66E1"/>
    <w:rsid w:val="004C7C6A"/>
    <w:rsid w:val="004D4069"/>
    <w:rsid w:val="004E2B35"/>
    <w:rsid w:val="004E3945"/>
    <w:rsid w:val="004F0919"/>
    <w:rsid w:val="004F6936"/>
    <w:rsid w:val="00501E71"/>
    <w:rsid w:val="005067D8"/>
    <w:rsid w:val="005112D1"/>
    <w:rsid w:val="0051350F"/>
    <w:rsid w:val="005211DC"/>
    <w:rsid w:val="005229BA"/>
    <w:rsid w:val="00523F8C"/>
    <w:rsid w:val="00526D67"/>
    <w:rsid w:val="00536277"/>
    <w:rsid w:val="00536A2D"/>
    <w:rsid w:val="00544C3C"/>
    <w:rsid w:val="00546399"/>
    <w:rsid w:val="0055051A"/>
    <w:rsid w:val="00552D35"/>
    <w:rsid w:val="005530C5"/>
    <w:rsid w:val="005570F0"/>
    <w:rsid w:val="00562E4C"/>
    <w:rsid w:val="00564938"/>
    <w:rsid w:val="00565DA4"/>
    <w:rsid w:val="0057185F"/>
    <w:rsid w:val="005718E3"/>
    <w:rsid w:val="005719B1"/>
    <w:rsid w:val="00571EC3"/>
    <w:rsid w:val="00572B34"/>
    <w:rsid w:val="00576F91"/>
    <w:rsid w:val="005777A7"/>
    <w:rsid w:val="005845C0"/>
    <w:rsid w:val="00584767"/>
    <w:rsid w:val="00585C02"/>
    <w:rsid w:val="00591350"/>
    <w:rsid w:val="00595B91"/>
    <w:rsid w:val="005968AC"/>
    <w:rsid w:val="005A0D8F"/>
    <w:rsid w:val="005A48D5"/>
    <w:rsid w:val="005A6544"/>
    <w:rsid w:val="005A6D16"/>
    <w:rsid w:val="005B21E9"/>
    <w:rsid w:val="005B34AF"/>
    <w:rsid w:val="005B3AF1"/>
    <w:rsid w:val="005B6B3B"/>
    <w:rsid w:val="005B6E0A"/>
    <w:rsid w:val="005C1491"/>
    <w:rsid w:val="005C617F"/>
    <w:rsid w:val="005C75BB"/>
    <w:rsid w:val="005D2210"/>
    <w:rsid w:val="005D4B7A"/>
    <w:rsid w:val="005D4E50"/>
    <w:rsid w:val="005D5662"/>
    <w:rsid w:val="005D587E"/>
    <w:rsid w:val="005D6E66"/>
    <w:rsid w:val="005E104E"/>
    <w:rsid w:val="005E24BC"/>
    <w:rsid w:val="005E55EB"/>
    <w:rsid w:val="005F1DCB"/>
    <w:rsid w:val="005F3710"/>
    <w:rsid w:val="005F4F15"/>
    <w:rsid w:val="005F63B2"/>
    <w:rsid w:val="00601757"/>
    <w:rsid w:val="00605E8F"/>
    <w:rsid w:val="00606661"/>
    <w:rsid w:val="00607A83"/>
    <w:rsid w:val="00610A6F"/>
    <w:rsid w:val="00610D09"/>
    <w:rsid w:val="00614CC7"/>
    <w:rsid w:val="00621534"/>
    <w:rsid w:val="006224BE"/>
    <w:rsid w:val="00623208"/>
    <w:rsid w:val="00623219"/>
    <w:rsid w:val="00632215"/>
    <w:rsid w:val="00634C62"/>
    <w:rsid w:val="006351E4"/>
    <w:rsid w:val="00635B78"/>
    <w:rsid w:val="00635D07"/>
    <w:rsid w:val="00637FE2"/>
    <w:rsid w:val="00640D07"/>
    <w:rsid w:val="00640E1B"/>
    <w:rsid w:val="00645FC5"/>
    <w:rsid w:val="00647695"/>
    <w:rsid w:val="0065177A"/>
    <w:rsid w:val="00653ED7"/>
    <w:rsid w:val="00656E5C"/>
    <w:rsid w:val="006578A5"/>
    <w:rsid w:val="006620F6"/>
    <w:rsid w:val="00662337"/>
    <w:rsid w:val="00662616"/>
    <w:rsid w:val="00663E50"/>
    <w:rsid w:val="00664AE5"/>
    <w:rsid w:val="00670506"/>
    <w:rsid w:val="0067504B"/>
    <w:rsid w:val="00675C24"/>
    <w:rsid w:val="00684C4F"/>
    <w:rsid w:val="00687D8B"/>
    <w:rsid w:val="00693DF1"/>
    <w:rsid w:val="00697AB3"/>
    <w:rsid w:val="006B329B"/>
    <w:rsid w:val="006B3F8C"/>
    <w:rsid w:val="006B5109"/>
    <w:rsid w:val="006B7FCE"/>
    <w:rsid w:val="006C3380"/>
    <w:rsid w:val="006C4AF7"/>
    <w:rsid w:val="006D0944"/>
    <w:rsid w:val="006D1FC7"/>
    <w:rsid w:val="006D5285"/>
    <w:rsid w:val="006D79AA"/>
    <w:rsid w:val="006D7EE6"/>
    <w:rsid w:val="006E1AE8"/>
    <w:rsid w:val="006E6266"/>
    <w:rsid w:val="006F5AAA"/>
    <w:rsid w:val="006F65F6"/>
    <w:rsid w:val="00700680"/>
    <w:rsid w:val="007023F8"/>
    <w:rsid w:val="00703252"/>
    <w:rsid w:val="00704AD4"/>
    <w:rsid w:val="0071640D"/>
    <w:rsid w:val="00716D37"/>
    <w:rsid w:val="00730E7C"/>
    <w:rsid w:val="007318FB"/>
    <w:rsid w:val="0073601A"/>
    <w:rsid w:val="00741447"/>
    <w:rsid w:val="00752EBC"/>
    <w:rsid w:val="00755178"/>
    <w:rsid w:val="00760BD4"/>
    <w:rsid w:val="007617F8"/>
    <w:rsid w:val="00763E62"/>
    <w:rsid w:val="0076739F"/>
    <w:rsid w:val="007724A4"/>
    <w:rsid w:val="00773C2C"/>
    <w:rsid w:val="0077797D"/>
    <w:rsid w:val="007810A6"/>
    <w:rsid w:val="00781F8A"/>
    <w:rsid w:val="0078229F"/>
    <w:rsid w:val="00784A12"/>
    <w:rsid w:val="00791EF5"/>
    <w:rsid w:val="00793160"/>
    <w:rsid w:val="007956A8"/>
    <w:rsid w:val="007A30F8"/>
    <w:rsid w:val="007A4016"/>
    <w:rsid w:val="007A7809"/>
    <w:rsid w:val="007B6DB1"/>
    <w:rsid w:val="007B7C00"/>
    <w:rsid w:val="007B7C21"/>
    <w:rsid w:val="007D0B28"/>
    <w:rsid w:val="007D460C"/>
    <w:rsid w:val="007F4087"/>
    <w:rsid w:val="007F5575"/>
    <w:rsid w:val="007F6BDB"/>
    <w:rsid w:val="00805BF0"/>
    <w:rsid w:val="008064A1"/>
    <w:rsid w:val="008068FA"/>
    <w:rsid w:val="008112CC"/>
    <w:rsid w:val="00813ADB"/>
    <w:rsid w:val="008314F2"/>
    <w:rsid w:val="008339A9"/>
    <w:rsid w:val="00835131"/>
    <w:rsid w:val="008454D9"/>
    <w:rsid w:val="00846A25"/>
    <w:rsid w:val="00861D59"/>
    <w:rsid w:val="00863AD6"/>
    <w:rsid w:val="00871EF0"/>
    <w:rsid w:val="00873492"/>
    <w:rsid w:val="008854A8"/>
    <w:rsid w:val="00886B05"/>
    <w:rsid w:val="00891D8F"/>
    <w:rsid w:val="008923BF"/>
    <w:rsid w:val="008932DE"/>
    <w:rsid w:val="008A163A"/>
    <w:rsid w:val="008B0543"/>
    <w:rsid w:val="008B1C60"/>
    <w:rsid w:val="008B68A2"/>
    <w:rsid w:val="008C05A3"/>
    <w:rsid w:val="008C1094"/>
    <w:rsid w:val="008C5F51"/>
    <w:rsid w:val="008C6551"/>
    <w:rsid w:val="008C6F92"/>
    <w:rsid w:val="008C7598"/>
    <w:rsid w:val="008D63E7"/>
    <w:rsid w:val="008D7BDA"/>
    <w:rsid w:val="008E4DC7"/>
    <w:rsid w:val="008E5126"/>
    <w:rsid w:val="008E6F4E"/>
    <w:rsid w:val="008F3EAA"/>
    <w:rsid w:val="009025BF"/>
    <w:rsid w:val="00906DC5"/>
    <w:rsid w:val="00910214"/>
    <w:rsid w:val="009128A6"/>
    <w:rsid w:val="009213B9"/>
    <w:rsid w:val="00921993"/>
    <w:rsid w:val="00921B84"/>
    <w:rsid w:val="0092222D"/>
    <w:rsid w:val="0092283C"/>
    <w:rsid w:val="009235E0"/>
    <w:rsid w:val="00926EC2"/>
    <w:rsid w:val="00931FFE"/>
    <w:rsid w:val="00934101"/>
    <w:rsid w:val="00936E14"/>
    <w:rsid w:val="00937843"/>
    <w:rsid w:val="00942967"/>
    <w:rsid w:val="00942ECD"/>
    <w:rsid w:val="009503CC"/>
    <w:rsid w:val="00952197"/>
    <w:rsid w:val="00952CF4"/>
    <w:rsid w:val="00953653"/>
    <w:rsid w:val="00957004"/>
    <w:rsid w:val="009600F9"/>
    <w:rsid w:val="00963862"/>
    <w:rsid w:val="00970150"/>
    <w:rsid w:val="00971311"/>
    <w:rsid w:val="009819B7"/>
    <w:rsid w:val="00984AE1"/>
    <w:rsid w:val="00985557"/>
    <w:rsid w:val="0098640B"/>
    <w:rsid w:val="00997246"/>
    <w:rsid w:val="00997C35"/>
    <w:rsid w:val="00997CD7"/>
    <w:rsid w:val="009A1296"/>
    <w:rsid w:val="009B3610"/>
    <w:rsid w:val="009B43B0"/>
    <w:rsid w:val="009B4516"/>
    <w:rsid w:val="009B58E8"/>
    <w:rsid w:val="009C30BA"/>
    <w:rsid w:val="009D1BB8"/>
    <w:rsid w:val="009D718A"/>
    <w:rsid w:val="009E074D"/>
    <w:rsid w:val="009E3340"/>
    <w:rsid w:val="009E6C4A"/>
    <w:rsid w:val="009F220E"/>
    <w:rsid w:val="009F5772"/>
    <w:rsid w:val="009F644D"/>
    <w:rsid w:val="00A0031D"/>
    <w:rsid w:val="00A043AD"/>
    <w:rsid w:val="00A05F7F"/>
    <w:rsid w:val="00A06E12"/>
    <w:rsid w:val="00A10547"/>
    <w:rsid w:val="00A11063"/>
    <w:rsid w:val="00A12C08"/>
    <w:rsid w:val="00A133C7"/>
    <w:rsid w:val="00A13C6D"/>
    <w:rsid w:val="00A14BAF"/>
    <w:rsid w:val="00A15C82"/>
    <w:rsid w:val="00A23D2A"/>
    <w:rsid w:val="00A3172F"/>
    <w:rsid w:val="00A34AF0"/>
    <w:rsid w:val="00A355C4"/>
    <w:rsid w:val="00A3678F"/>
    <w:rsid w:val="00A479AB"/>
    <w:rsid w:val="00A5082E"/>
    <w:rsid w:val="00A5152D"/>
    <w:rsid w:val="00A537C5"/>
    <w:rsid w:val="00A53B40"/>
    <w:rsid w:val="00A53FE5"/>
    <w:rsid w:val="00A54075"/>
    <w:rsid w:val="00A57A6D"/>
    <w:rsid w:val="00A6426F"/>
    <w:rsid w:val="00A645F4"/>
    <w:rsid w:val="00A652BC"/>
    <w:rsid w:val="00A725A3"/>
    <w:rsid w:val="00A73112"/>
    <w:rsid w:val="00A743CE"/>
    <w:rsid w:val="00A85C14"/>
    <w:rsid w:val="00A900CB"/>
    <w:rsid w:val="00A917E3"/>
    <w:rsid w:val="00A97769"/>
    <w:rsid w:val="00AA529D"/>
    <w:rsid w:val="00AA5A02"/>
    <w:rsid w:val="00AB18A1"/>
    <w:rsid w:val="00AC01B8"/>
    <w:rsid w:val="00AD3CC7"/>
    <w:rsid w:val="00AE7672"/>
    <w:rsid w:val="00AF1155"/>
    <w:rsid w:val="00AF1467"/>
    <w:rsid w:val="00AF5FFA"/>
    <w:rsid w:val="00B0440B"/>
    <w:rsid w:val="00B06383"/>
    <w:rsid w:val="00B06D7E"/>
    <w:rsid w:val="00B14674"/>
    <w:rsid w:val="00B16B69"/>
    <w:rsid w:val="00B209C8"/>
    <w:rsid w:val="00B24B58"/>
    <w:rsid w:val="00B3065D"/>
    <w:rsid w:val="00B3635C"/>
    <w:rsid w:val="00B371AD"/>
    <w:rsid w:val="00B374E7"/>
    <w:rsid w:val="00B4016D"/>
    <w:rsid w:val="00B411BF"/>
    <w:rsid w:val="00B47F20"/>
    <w:rsid w:val="00B51A0F"/>
    <w:rsid w:val="00B51D3E"/>
    <w:rsid w:val="00B6680D"/>
    <w:rsid w:val="00B679C0"/>
    <w:rsid w:val="00B726B6"/>
    <w:rsid w:val="00B77946"/>
    <w:rsid w:val="00B814C0"/>
    <w:rsid w:val="00B82EED"/>
    <w:rsid w:val="00B82FA3"/>
    <w:rsid w:val="00B87287"/>
    <w:rsid w:val="00B934F9"/>
    <w:rsid w:val="00BA04B6"/>
    <w:rsid w:val="00BA449C"/>
    <w:rsid w:val="00BA7D27"/>
    <w:rsid w:val="00BB105E"/>
    <w:rsid w:val="00BC1A2A"/>
    <w:rsid w:val="00BC48E6"/>
    <w:rsid w:val="00BC7347"/>
    <w:rsid w:val="00BD0BEC"/>
    <w:rsid w:val="00BD7B79"/>
    <w:rsid w:val="00BE2C96"/>
    <w:rsid w:val="00BE390E"/>
    <w:rsid w:val="00BE3F86"/>
    <w:rsid w:val="00BE7A8D"/>
    <w:rsid w:val="00BF18B6"/>
    <w:rsid w:val="00BF1F76"/>
    <w:rsid w:val="00BF55DC"/>
    <w:rsid w:val="00BF6526"/>
    <w:rsid w:val="00C007D8"/>
    <w:rsid w:val="00C05377"/>
    <w:rsid w:val="00C05F59"/>
    <w:rsid w:val="00C073C2"/>
    <w:rsid w:val="00C07B89"/>
    <w:rsid w:val="00C10F20"/>
    <w:rsid w:val="00C258C9"/>
    <w:rsid w:val="00C275AC"/>
    <w:rsid w:val="00C348FC"/>
    <w:rsid w:val="00C36D10"/>
    <w:rsid w:val="00C501A4"/>
    <w:rsid w:val="00C50406"/>
    <w:rsid w:val="00C5290C"/>
    <w:rsid w:val="00C56251"/>
    <w:rsid w:val="00C577DB"/>
    <w:rsid w:val="00C6208F"/>
    <w:rsid w:val="00C64EE7"/>
    <w:rsid w:val="00C6729C"/>
    <w:rsid w:val="00C73457"/>
    <w:rsid w:val="00C74223"/>
    <w:rsid w:val="00C832AD"/>
    <w:rsid w:val="00C84C8F"/>
    <w:rsid w:val="00C90083"/>
    <w:rsid w:val="00C9319B"/>
    <w:rsid w:val="00C955C7"/>
    <w:rsid w:val="00C97DB8"/>
    <w:rsid w:val="00CB5404"/>
    <w:rsid w:val="00CC0845"/>
    <w:rsid w:val="00CC4550"/>
    <w:rsid w:val="00CE130B"/>
    <w:rsid w:val="00CE74E0"/>
    <w:rsid w:val="00CF4C3F"/>
    <w:rsid w:val="00CF4EA6"/>
    <w:rsid w:val="00CF5677"/>
    <w:rsid w:val="00CF7BCE"/>
    <w:rsid w:val="00D02063"/>
    <w:rsid w:val="00D05F7C"/>
    <w:rsid w:val="00D12888"/>
    <w:rsid w:val="00D13B8F"/>
    <w:rsid w:val="00D217D6"/>
    <w:rsid w:val="00D22F5D"/>
    <w:rsid w:val="00D2431B"/>
    <w:rsid w:val="00D249C9"/>
    <w:rsid w:val="00D25B9C"/>
    <w:rsid w:val="00D30E60"/>
    <w:rsid w:val="00D422DF"/>
    <w:rsid w:val="00D43F25"/>
    <w:rsid w:val="00D43F3E"/>
    <w:rsid w:val="00D523AD"/>
    <w:rsid w:val="00D53DA9"/>
    <w:rsid w:val="00D56D38"/>
    <w:rsid w:val="00D61294"/>
    <w:rsid w:val="00D62FED"/>
    <w:rsid w:val="00D66019"/>
    <w:rsid w:val="00D703E0"/>
    <w:rsid w:val="00D83EED"/>
    <w:rsid w:val="00D84D93"/>
    <w:rsid w:val="00D85144"/>
    <w:rsid w:val="00D86912"/>
    <w:rsid w:val="00D871CD"/>
    <w:rsid w:val="00D912BA"/>
    <w:rsid w:val="00D940C7"/>
    <w:rsid w:val="00DA2B30"/>
    <w:rsid w:val="00DB2951"/>
    <w:rsid w:val="00DB5E6A"/>
    <w:rsid w:val="00DC5626"/>
    <w:rsid w:val="00DD0057"/>
    <w:rsid w:val="00DD199B"/>
    <w:rsid w:val="00DD2AAB"/>
    <w:rsid w:val="00DD2EBF"/>
    <w:rsid w:val="00DD342A"/>
    <w:rsid w:val="00DD3F46"/>
    <w:rsid w:val="00DE058C"/>
    <w:rsid w:val="00DE1BF0"/>
    <w:rsid w:val="00DE33B9"/>
    <w:rsid w:val="00DE3CCB"/>
    <w:rsid w:val="00DE4DA1"/>
    <w:rsid w:val="00DE5EBB"/>
    <w:rsid w:val="00DE66E8"/>
    <w:rsid w:val="00DF0E28"/>
    <w:rsid w:val="00DF33CD"/>
    <w:rsid w:val="00DF3C50"/>
    <w:rsid w:val="00DF47FF"/>
    <w:rsid w:val="00E00657"/>
    <w:rsid w:val="00E014DB"/>
    <w:rsid w:val="00E03F6F"/>
    <w:rsid w:val="00E1401A"/>
    <w:rsid w:val="00E31D7D"/>
    <w:rsid w:val="00E3773B"/>
    <w:rsid w:val="00E40B3B"/>
    <w:rsid w:val="00E43B97"/>
    <w:rsid w:val="00E43FD3"/>
    <w:rsid w:val="00E54DCB"/>
    <w:rsid w:val="00E55638"/>
    <w:rsid w:val="00E562A1"/>
    <w:rsid w:val="00E5634E"/>
    <w:rsid w:val="00E5676C"/>
    <w:rsid w:val="00E56BE1"/>
    <w:rsid w:val="00E56DF2"/>
    <w:rsid w:val="00E576A2"/>
    <w:rsid w:val="00E616E2"/>
    <w:rsid w:val="00E62199"/>
    <w:rsid w:val="00E6739C"/>
    <w:rsid w:val="00E72E24"/>
    <w:rsid w:val="00E73F05"/>
    <w:rsid w:val="00E74B93"/>
    <w:rsid w:val="00E7715E"/>
    <w:rsid w:val="00E77444"/>
    <w:rsid w:val="00E807F0"/>
    <w:rsid w:val="00E81B67"/>
    <w:rsid w:val="00E92A80"/>
    <w:rsid w:val="00E95C80"/>
    <w:rsid w:val="00E95D2C"/>
    <w:rsid w:val="00E965F6"/>
    <w:rsid w:val="00EA497E"/>
    <w:rsid w:val="00EA56AD"/>
    <w:rsid w:val="00EB1964"/>
    <w:rsid w:val="00EB4E30"/>
    <w:rsid w:val="00EB5E0A"/>
    <w:rsid w:val="00EB6982"/>
    <w:rsid w:val="00EB70C3"/>
    <w:rsid w:val="00EC0A51"/>
    <w:rsid w:val="00EC2779"/>
    <w:rsid w:val="00EC414C"/>
    <w:rsid w:val="00EC6174"/>
    <w:rsid w:val="00ED3FA8"/>
    <w:rsid w:val="00ED5259"/>
    <w:rsid w:val="00ED6618"/>
    <w:rsid w:val="00ED7E57"/>
    <w:rsid w:val="00EF07EB"/>
    <w:rsid w:val="00EF560E"/>
    <w:rsid w:val="00F11C9B"/>
    <w:rsid w:val="00F15223"/>
    <w:rsid w:val="00F17DA9"/>
    <w:rsid w:val="00F24E03"/>
    <w:rsid w:val="00F258D9"/>
    <w:rsid w:val="00F4299D"/>
    <w:rsid w:val="00F44B2F"/>
    <w:rsid w:val="00F4621C"/>
    <w:rsid w:val="00F47E97"/>
    <w:rsid w:val="00F51209"/>
    <w:rsid w:val="00F5186D"/>
    <w:rsid w:val="00F52257"/>
    <w:rsid w:val="00F54DF5"/>
    <w:rsid w:val="00F5798C"/>
    <w:rsid w:val="00F631A5"/>
    <w:rsid w:val="00F64D7E"/>
    <w:rsid w:val="00F70A74"/>
    <w:rsid w:val="00F827C5"/>
    <w:rsid w:val="00F83287"/>
    <w:rsid w:val="00F83A53"/>
    <w:rsid w:val="00F8537A"/>
    <w:rsid w:val="00F9098D"/>
    <w:rsid w:val="00F929B0"/>
    <w:rsid w:val="00F93B37"/>
    <w:rsid w:val="00FA0DC3"/>
    <w:rsid w:val="00FA3ED6"/>
    <w:rsid w:val="00FA530D"/>
    <w:rsid w:val="00FA7EC3"/>
    <w:rsid w:val="00FB3F9F"/>
    <w:rsid w:val="00FB6206"/>
    <w:rsid w:val="00FC4997"/>
    <w:rsid w:val="00FD081E"/>
    <w:rsid w:val="00FD2C82"/>
    <w:rsid w:val="00FE2D3D"/>
    <w:rsid w:val="00FE62AB"/>
    <w:rsid w:val="00FF4BEE"/>
    <w:rsid w:val="00FF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A9F7FB"/>
  <w15:chartTrackingRefBased/>
  <w15:docId w15:val="{6CA44690-9530-4A18-814B-B6D1D352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A9F"/>
  </w:style>
  <w:style w:type="paragraph" w:styleId="Heading1">
    <w:name w:val="heading 1"/>
    <w:basedOn w:val="Normal"/>
    <w:next w:val="Normal"/>
    <w:link w:val="Heading1Char"/>
    <w:uiPriority w:val="9"/>
    <w:qFormat/>
    <w:rsid w:val="003D4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4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4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A9F"/>
    <w:rPr>
      <w:rFonts w:eastAsiaTheme="majorEastAsia" w:cstheme="majorBidi"/>
      <w:color w:val="272727" w:themeColor="text1" w:themeTint="D8"/>
    </w:rPr>
  </w:style>
  <w:style w:type="paragraph" w:styleId="Title">
    <w:name w:val="Title"/>
    <w:basedOn w:val="Normal"/>
    <w:next w:val="Normal"/>
    <w:link w:val="TitleChar"/>
    <w:uiPriority w:val="10"/>
    <w:qFormat/>
    <w:rsid w:val="003D4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A9F"/>
    <w:pPr>
      <w:spacing w:before="160"/>
      <w:jc w:val="center"/>
    </w:pPr>
    <w:rPr>
      <w:i/>
      <w:iCs/>
      <w:color w:val="404040" w:themeColor="text1" w:themeTint="BF"/>
    </w:rPr>
  </w:style>
  <w:style w:type="character" w:customStyle="1" w:styleId="QuoteChar">
    <w:name w:val="Quote Char"/>
    <w:basedOn w:val="DefaultParagraphFont"/>
    <w:link w:val="Quote"/>
    <w:uiPriority w:val="29"/>
    <w:rsid w:val="003D4A9F"/>
    <w:rPr>
      <w:i/>
      <w:iCs/>
      <w:color w:val="404040" w:themeColor="text1" w:themeTint="BF"/>
    </w:rPr>
  </w:style>
  <w:style w:type="paragraph" w:styleId="ListParagraph">
    <w:name w:val="List Paragraph"/>
    <w:basedOn w:val="Normal"/>
    <w:uiPriority w:val="34"/>
    <w:qFormat/>
    <w:rsid w:val="003D4A9F"/>
    <w:pPr>
      <w:ind w:left="720"/>
      <w:contextualSpacing/>
    </w:pPr>
  </w:style>
  <w:style w:type="character" w:styleId="IntenseEmphasis">
    <w:name w:val="Intense Emphasis"/>
    <w:basedOn w:val="DefaultParagraphFont"/>
    <w:uiPriority w:val="21"/>
    <w:qFormat/>
    <w:rsid w:val="003D4A9F"/>
    <w:rPr>
      <w:i/>
      <w:iCs/>
      <w:color w:val="0F4761" w:themeColor="accent1" w:themeShade="BF"/>
    </w:rPr>
  </w:style>
  <w:style w:type="paragraph" w:styleId="IntenseQuote">
    <w:name w:val="Intense Quote"/>
    <w:basedOn w:val="Normal"/>
    <w:next w:val="Normal"/>
    <w:link w:val="IntenseQuoteChar"/>
    <w:uiPriority w:val="30"/>
    <w:qFormat/>
    <w:rsid w:val="003D4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A9F"/>
    <w:rPr>
      <w:i/>
      <w:iCs/>
      <w:color w:val="0F4761" w:themeColor="accent1" w:themeShade="BF"/>
    </w:rPr>
  </w:style>
  <w:style w:type="character" w:styleId="IntenseReference">
    <w:name w:val="Intense Reference"/>
    <w:basedOn w:val="DefaultParagraphFont"/>
    <w:uiPriority w:val="32"/>
    <w:qFormat/>
    <w:rsid w:val="003D4A9F"/>
    <w:rPr>
      <w:b/>
      <w:bCs/>
      <w:smallCaps/>
      <w:color w:val="0F4761" w:themeColor="accent1" w:themeShade="BF"/>
      <w:spacing w:val="5"/>
    </w:rPr>
  </w:style>
  <w:style w:type="character" w:styleId="Strong">
    <w:name w:val="Strong"/>
    <w:basedOn w:val="DefaultParagraphFont"/>
    <w:uiPriority w:val="22"/>
    <w:qFormat/>
    <w:rsid w:val="00F51209"/>
    <w:rPr>
      <w:b/>
      <w:bCs/>
    </w:rPr>
  </w:style>
  <w:style w:type="paragraph" w:styleId="NormalWeb">
    <w:name w:val="Normal (Web)"/>
    <w:basedOn w:val="Normal"/>
    <w:uiPriority w:val="99"/>
    <w:unhideWhenUsed/>
    <w:rsid w:val="00F5120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4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953"/>
  </w:style>
  <w:style w:type="paragraph" w:styleId="Footer">
    <w:name w:val="footer"/>
    <w:basedOn w:val="Normal"/>
    <w:link w:val="FooterChar"/>
    <w:uiPriority w:val="99"/>
    <w:unhideWhenUsed/>
    <w:rsid w:val="00053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953"/>
  </w:style>
  <w:style w:type="character" w:styleId="Emphasis">
    <w:name w:val="Emphasis"/>
    <w:basedOn w:val="DefaultParagraphFont"/>
    <w:uiPriority w:val="20"/>
    <w:qFormat/>
    <w:rsid w:val="00491E2B"/>
    <w:rPr>
      <w:i/>
      <w:iCs/>
    </w:rPr>
  </w:style>
  <w:style w:type="character" w:styleId="Hyperlink">
    <w:name w:val="Hyperlink"/>
    <w:basedOn w:val="DefaultParagraphFont"/>
    <w:uiPriority w:val="99"/>
    <w:unhideWhenUsed/>
    <w:rsid w:val="00A3172F"/>
    <w:rPr>
      <w:color w:val="467886" w:themeColor="hyperlink"/>
      <w:u w:val="single"/>
    </w:rPr>
  </w:style>
  <w:style w:type="character" w:styleId="UnresolvedMention">
    <w:name w:val="Unresolved Mention"/>
    <w:basedOn w:val="DefaultParagraphFont"/>
    <w:uiPriority w:val="99"/>
    <w:semiHidden/>
    <w:unhideWhenUsed/>
    <w:rsid w:val="00A31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6372141246939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45/1968.358288" TargetMode="External"/><Relationship Id="rId12" Type="http://schemas.openxmlformats.org/officeDocument/2006/relationships/hyperlink" Target="https://doi.org/10.1145/366413.36458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8945/400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45/382188.38257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45/343316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4199</Words>
  <Characters>23937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Sutha Sritharan</dc:creator>
  <cp:keywords/>
  <dc:description/>
  <cp:lastModifiedBy>SDI 1084</cp:lastModifiedBy>
  <cp:revision>8</cp:revision>
  <dcterms:created xsi:type="dcterms:W3CDTF">2025-11-25T04:26:00Z</dcterms:created>
  <dcterms:modified xsi:type="dcterms:W3CDTF">2025-12-18T07:24:00Z</dcterms:modified>
</cp:coreProperties>
</file>