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963BB" w14:textId="1C87C5AD" w:rsidR="00CE4DAA" w:rsidRPr="00CE4DAA" w:rsidRDefault="00CE4DAA" w:rsidP="00CE4DAA">
      <w:pPr>
        <w:pStyle w:val="NormalWeb"/>
        <w:rPr>
          <w:rFonts w:eastAsiaTheme="majorEastAsia"/>
          <w:b/>
          <w:bCs/>
        </w:rPr>
      </w:pPr>
      <w:bookmarkStart w:id="0" w:name="_GoBack"/>
      <w:bookmarkEnd w:id="0"/>
      <w:r>
        <w:rPr>
          <w:rStyle w:val="Strong"/>
          <w:rFonts w:eastAsiaTheme="majorEastAsia"/>
        </w:rPr>
        <w:t xml:space="preserve">A Triangulated Analytical Framework for Understanding Under-Five Survival in Ghana: Evidence from </w:t>
      </w:r>
      <w:r w:rsidR="00685D44">
        <w:rPr>
          <w:rStyle w:val="Strong"/>
          <w:rFonts w:eastAsiaTheme="majorEastAsia"/>
        </w:rPr>
        <w:t>Harmonized</w:t>
      </w:r>
      <w:r>
        <w:rPr>
          <w:rStyle w:val="Strong"/>
          <w:rFonts w:eastAsiaTheme="majorEastAsia"/>
        </w:rPr>
        <w:t xml:space="preserve"> Classical and Machine Learning Models</w:t>
      </w:r>
    </w:p>
    <w:p w14:paraId="4C9380BA" w14:textId="77777777" w:rsidR="00151FA0" w:rsidRDefault="00151FA0" w:rsidP="00151FA0"/>
    <w:p w14:paraId="14ED64D0" w14:textId="5CC9C5FA" w:rsidR="001C4EA9" w:rsidRDefault="001C4EA9" w:rsidP="00151FA0">
      <w:r>
        <w:rPr>
          <w:rStyle w:val="Strong"/>
        </w:rPr>
        <w:t>Abstract</w:t>
      </w:r>
      <w:r>
        <w:br/>
        <w:t xml:space="preserve">This study develops an integrated analytical framework to identify and interpret the key determinants of under-five survival in Ghana using nationally representative survey data. The novelty lies in </w:t>
      </w:r>
      <w:proofErr w:type="spellStart"/>
      <w:r>
        <w:t>harmonising</w:t>
      </w:r>
      <w:proofErr w:type="spellEnd"/>
      <w:r>
        <w:t xml:space="preserve"> four complementary modeling </w:t>
      </w:r>
      <w:r w:rsidR="00485002">
        <w:t xml:space="preserve">paradigms, which are </w:t>
      </w:r>
      <w:r>
        <w:t>logistic regression, multilevel logistic regression, generalized additive models (GAM), and explainable machine learning (</w:t>
      </w:r>
      <w:proofErr w:type="spellStart"/>
      <w:r>
        <w:t>XGBoost</w:t>
      </w:r>
      <w:proofErr w:type="spellEnd"/>
      <w:r>
        <w:t xml:space="preserve"> + SHAP)—within a single pipeline that captures linear, nonlinear, hierarchical, and interaction-driven risk structures. The dataset, comprising 34,663 children and 17 covariates, was </w:t>
      </w:r>
      <w:proofErr w:type="spellStart"/>
      <w:r>
        <w:t>analysed</w:t>
      </w:r>
      <w:proofErr w:type="spellEnd"/>
      <w:r>
        <w:t xml:space="preserve"> to evaluate the effects of socioeconomic, demographic, environmental, and service-related factors on survival outcomes. All models exhibited consistent and strong discrimination (AUC = 0.760</w:t>
      </w:r>
      <w:r w:rsidR="00FF0A08">
        <w:t>-</w:t>
      </w:r>
      <w:r>
        <w:t xml:space="preserve">0.764), indicating stable survival signals across methodological approaches. GAM smooth functions revealed nonlinear declines in mortality risk with increasing paternal age, while </w:t>
      </w:r>
      <w:proofErr w:type="spellStart"/>
      <w:r>
        <w:t>XGBoost</w:t>
      </w:r>
      <w:proofErr w:type="spellEnd"/>
      <w:r>
        <w:t xml:space="preserve"> </w:t>
      </w:r>
      <w:proofErr w:type="spellStart"/>
      <w:r>
        <w:t>explainability</w:t>
      </w:r>
      <w:proofErr w:type="spellEnd"/>
      <w:r>
        <w:t xml:space="preserve"> confirmed the prominence of paternal age, residence, household gender structure, water source, and maternal-newborn service </w:t>
      </w:r>
      <w:proofErr w:type="spellStart"/>
      <w:r>
        <w:t>utilisation</w:t>
      </w:r>
      <w:proofErr w:type="spellEnd"/>
      <w:r>
        <w:t>. Calibration diagnostics demonstrated reliable probability estimates suitable for operational decision-making. The triangulated evidence underscores the centrality of early-life service access, clean water, and intra-household gender dynamics in shaping survival prospects. This research advances methodological innovation in child survival analytics and offers actionable policy insights aligned with SDG 3, SDG 6, and SDG 10 by promoting transparent, data-driven approaches to equitable child health interventions.</w:t>
      </w:r>
      <w:r w:rsidR="00CE4DAA">
        <w:t xml:space="preserve"> It is recommended that health authorities intensify targeted maternal-newborn services and clean-water interventions in high-risk households to accelerate equitable child survival gains.</w:t>
      </w:r>
    </w:p>
    <w:p w14:paraId="0C3CA555" w14:textId="77777777" w:rsidR="00151FA0" w:rsidRDefault="00151FA0" w:rsidP="00151FA0"/>
    <w:p w14:paraId="3A0EDFD1" w14:textId="77F92727" w:rsidR="005643E6" w:rsidRDefault="005643E6" w:rsidP="00151FA0">
      <w:r>
        <w:rPr>
          <w:rStyle w:val="Strong"/>
        </w:rPr>
        <w:t>Keywords:</w:t>
      </w:r>
      <w:r>
        <w:br/>
        <w:t xml:space="preserve">Under-five mortality; Child survival modelling; Logistic and multilevel regression; Explainable machine learning; </w:t>
      </w:r>
      <w:proofErr w:type="spellStart"/>
      <w:r>
        <w:t>XGBoost</w:t>
      </w:r>
      <w:proofErr w:type="spellEnd"/>
      <w:r>
        <w:t>; SHAP values</w:t>
      </w:r>
    </w:p>
    <w:p w14:paraId="021D64F4" w14:textId="77777777" w:rsidR="00A45DE2" w:rsidRDefault="00A45DE2" w:rsidP="00151FA0">
      <w:pPr>
        <w:rPr>
          <w:b/>
          <w:bCs/>
        </w:rPr>
      </w:pPr>
    </w:p>
    <w:p w14:paraId="55635AD6" w14:textId="0332C480" w:rsidR="00A76640" w:rsidRPr="00A76640" w:rsidRDefault="00FF0A08" w:rsidP="00151FA0">
      <w:pPr>
        <w:rPr>
          <w:b/>
          <w:bCs/>
        </w:rPr>
      </w:pPr>
      <w:r>
        <w:rPr>
          <w:b/>
          <w:bCs/>
        </w:rPr>
        <w:t>Introduction</w:t>
      </w:r>
    </w:p>
    <w:p w14:paraId="5FA0AFA3" w14:textId="69AF2610" w:rsidR="00A76640" w:rsidRPr="00A76640" w:rsidRDefault="00A76640" w:rsidP="00A76640">
      <w:r w:rsidRPr="00A76640">
        <w:t xml:space="preserve">Under-five mortality remains a central challenge in public health, particularly in developing </w:t>
      </w:r>
      <w:r w:rsidR="00E92D10">
        <w:t xml:space="preserve">countries </w:t>
      </w:r>
      <w:r w:rsidRPr="00A76640">
        <w:t>where structural inequalities, healthcare accessibility, and environmental hazards interact to determine child survival outcomes</w:t>
      </w:r>
      <w:r w:rsidR="00E92D10">
        <w:t xml:space="preserve"> (</w:t>
      </w:r>
      <w:proofErr w:type="spellStart"/>
      <w:r w:rsidR="00E92D10" w:rsidRPr="00E740C8">
        <w:rPr>
          <w:rFonts w:ascii="Times New Roman" w:hAnsi="Times New Roman" w:cs="Times New Roman"/>
        </w:rPr>
        <w:t>Dhage</w:t>
      </w:r>
      <w:proofErr w:type="spellEnd"/>
      <w:r w:rsidR="00E92D10">
        <w:t xml:space="preserve"> et al., 2024;</w:t>
      </w:r>
      <w:r w:rsidR="00E92D10" w:rsidRPr="009D149D">
        <w:t xml:space="preserve"> </w:t>
      </w:r>
      <w:r w:rsidR="00E92D10" w:rsidRPr="00E740C8">
        <w:rPr>
          <w:rFonts w:ascii="Times New Roman" w:hAnsi="Times New Roman" w:cs="Times New Roman"/>
        </w:rPr>
        <w:t>Rajapakse</w:t>
      </w:r>
      <w:r w:rsidR="00E92D10">
        <w:t xml:space="preserve"> et al., 2025;</w:t>
      </w:r>
      <w:r w:rsidR="00E92D10" w:rsidRPr="00E740C8">
        <w:rPr>
          <w:rFonts w:ascii="Times New Roman" w:hAnsi="Times New Roman" w:cs="Times New Roman"/>
        </w:rPr>
        <w:t xml:space="preserve"> </w:t>
      </w:r>
      <w:proofErr w:type="spellStart"/>
      <w:r w:rsidR="00E92D10" w:rsidRPr="00E740C8">
        <w:rPr>
          <w:rFonts w:ascii="Times New Roman" w:hAnsi="Times New Roman" w:cs="Times New Roman"/>
        </w:rPr>
        <w:t>Olawade</w:t>
      </w:r>
      <w:proofErr w:type="spellEnd"/>
      <w:r w:rsidR="00E92D10">
        <w:t xml:space="preserve"> et al., 2025;</w:t>
      </w:r>
      <w:r w:rsidR="00E92D10" w:rsidRPr="009D149D">
        <w:t xml:space="preserve"> </w:t>
      </w:r>
      <w:r w:rsidR="00E92D10" w:rsidRPr="00E740C8">
        <w:rPr>
          <w:rFonts w:ascii="Times New Roman" w:hAnsi="Times New Roman" w:cs="Times New Roman"/>
        </w:rPr>
        <w:t>Olusola</w:t>
      </w:r>
      <w:r w:rsidR="00E92D10">
        <w:t xml:space="preserve"> et al., 2025;</w:t>
      </w:r>
      <w:r w:rsidR="00E92D10" w:rsidRPr="009D149D">
        <w:t xml:space="preserve"> </w:t>
      </w:r>
      <w:r w:rsidR="00E92D10" w:rsidRPr="00E740C8">
        <w:rPr>
          <w:rFonts w:ascii="Times New Roman" w:hAnsi="Times New Roman" w:cs="Times New Roman"/>
        </w:rPr>
        <w:t>Amir-</w:t>
      </w:r>
      <w:proofErr w:type="spellStart"/>
      <w:r w:rsidR="00E92D10" w:rsidRPr="00E740C8">
        <w:rPr>
          <w:rFonts w:ascii="Times New Roman" w:hAnsi="Times New Roman" w:cs="Times New Roman"/>
        </w:rPr>
        <w:t>ud</w:t>
      </w:r>
      <w:proofErr w:type="spellEnd"/>
      <w:r w:rsidR="00E92D10" w:rsidRPr="00E740C8">
        <w:rPr>
          <w:rFonts w:ascii="Times New Roman" w:hAnsi="Times New Roman" w:cs="Times New Roman"/>
        </w:rPr>
        <w:t>-Din</w:t>
      </w:r>
      <w:r w:rsidR="00E92D10">
        <w:t xml:space="preserve"> et al., 2025). </w:t>
      </w:r>
      <w:r w:rsidRPr="00A76640">
        <w:t xml:space="preserve"> While significant progress has been achieved under the global Sustainable Development Goal (SDG) 3.2 target—to end preventable deaths of newborns and children under five by 2030</w:t>
      </w:r>
      <w:r w:rsidR="00CF2DED">
        <w:t xml:space="preserve">, </w:t>
      </w:r>
      <w:r w:rsidRPr="00A76640">
        <w:t>mortality reduction has been uneven across regions and socioeconomic strata. In sub-Saharan Africa, including Ghana, many determinants of under-five mortality persist, such as limited access to antenatal and postnatal services, poor water and sanitation systems, gender-based disparities in caregiving, and economic vulnerability of households</w:t>
      </w:r>
      <w:r w:rsidR="007F6C38">
        <w:t xml:space="preserve"> (</w:t>
      </w:r>
      <w:proofErr w:type="spellStart"/>
      <w:r w:rsidR="007F6C38" w:rsidRPr="00E740C8">
        <w:rPr>
          <w:rFonts w:ascii="Times New Roman" w:hAnsi="Times New Roman" w:cs="Times New Roman"/>
        </w:rPr>
        <w:t>Kefale</w:t>
      </w:r>
      <w:proofErr w:type="spellEnd"/>
      <w:r w:rsidR="007F6C38">
        <w:t xml:space="preserve"> et al., 2025;</w:t>
      </w:r>
      <w:r w:rsidR="007F6C38" w:rsidRPr="009D149D">
        <w:t xml:space="preserve"> </w:t>
      </w:r>
      <w:r w:rsidR="007F6C38" w:rsidRPr="00E740C8">
        <w:rPr>
          <w:rFonts w:ascii="Times New Roman" w:hAnsi="Times New Roman" w:cs="Times New Roman"/>
        </w:rPr>
        <w:t>Rajapakse</w:t>
      </w:r>
      <w:r w:rsidR="007F6C38">
        <w:t xml:space="preserve"> et al., 2025;</w:t>
      </w:r>
      <w:r w:rsidR="007F6C38" w:rsidRPr="00E740C8">
        <w:rPr>
          <w:rFonts w:ascii="Times New Roman" w:hAnsi="Times New Roman" w:cs="Times New Roman"/>
        </w:rPr>
        <w:t xml:space="preserve"> </w:t>
      </w:r>
      <w:proofErr w:type="spellStart"/>
      <w:r w:rsidR="007F6C38" w:rsidRPr="00E740C8">
        <w:rPr>
          <w:rFonts w:ascii="Times New Roman" w:hAnsi="Times New Roman" w:cs="Times New Roman"/>
        </w:rPr>
        <w:t>Mazumder</w:t>
      </w:r>
      <w:proofErr w:type="spellEnd"/>
      <w:r w:rsidR="007F6C38">
        <w:t xml:space="preserve"> et al., 2025;</w:t>
      </w:r>
      <w:r w:rsidR="007F6C38" w:rsidRPr="009D149D">
        <w:t xml:space="preserve"> </w:t>
      </w:r>
      <w:r w:rsidR="007F6C38" w:rsidRPr="00CD7E89">
        <w:rPr>
          <w:rFonts w:ascii="Times New Roman" w:hAnsi="Times New Roman" w:cs="Times New Roman"/>
        </w:rPr>
        <w:t>Faruk</w:t>
      </w:r>
      <w:r w:rsidR="007F6C38">
        <w:t xml:space="preserve"> et al., 2025)</w:t>
      </w:r>
      <w:r w:rsidRPr="00A76640">
        <w:t>. Traditional statistical approaches, though widely applied to demographic and health survey data, often assume linear and independent relationships among predictors, potentially masking nonlinear effects and interaction dynamics embedded in real-world systems.</w:t>
      </w:r>
    </w:p>
    <w:p w14:paraId="327EEFA2" w14:textId="35FFF535" w:rsidR="00A76640" w:rsidRPr="00A76640" w:rsidRDefault="00A76640" w:rsidP="00A76640">
      <w:r w:rsidRPr="00A76640">
        <w:lastRenderedPageBreak/>
        <w:t>Recent advances in statistical modeling and machine learning have opened pathways to address these analytical limitations. Logistic regression remains the foundational approach for binary outcomes, offering interpretability and global model stability. However, it assumes additive linear relationships that can underrepresent complex risk gradients. Hierarchical or multilevel logistic models extend this framework by introducing random effects to account for regional or contextual variation, allowing for better inference in clustered data structures</w:t>
      </w:r>
      <w:r w:rsidR="007F6C38">
        <w:t xml:space="preserve"> </w:t>
      </w:r>
      <w:bookmarkStart w:id="1" w:name="_Hlk211845905"/>
      <w:r w:rsidR="007F6C38">
        <w:t>(</w:t>
      </w:r>
      <w:proofErr w:type="spellStart"/>
      <w:r w:rsidR="007F6C38" w:rsidRPr="00BE07A4">
        <w:rPr>
          <w:rFonts w:ascii="Times New Roman" w:hAnsi="Times New Roman" w:cs="Times New Roman"/>
        </w:rPr>
        <w:t>Birhanie</w:t>
      </w:r>
      <w:proofErr w:type="spellEnd"/>
      <w:r w:rsidR="007F6C38">
        <w:t xml:space="preserve"> et al., 2025;</w:t>
      </w:r>
      <w:r w:rsidR="007F6C38" w:rsidRPr="009D149D">
        <w:t xml:space="preserve"> </w:t>
      </w:r>
      <w:r w:rsidR="007F6C38" w:rsidRPr="00BE07A4">
        <w:rPr>
          <w:rFonts w:ascii="Times New Roman" w:hAnsi="Times New Roman" w:cs="Times New Roman"/>
        </w:rPr>
        <w:t>Mahama</w:t>
      </w:r>
      <w:r w:rsidR="007F6C38">
        <w:t xml:space="preserve"> et al., 2025;</w:t>
      </w:r>
      <w:r w:rsidR="007F6C38" w:rsidRPr="00E740C8">
        <w:rPr>
          <w:rFonts w:ascii="Times New Roman" w:hAnsi="Times New Roman" w:cs="Times New Roman"/>
        </w:rPr>
        <w:t xml:space="preserve"> </w:t>
      </w:r>
      <w:proofErr w:type="spellStart"/>
      <w:r w:rsidR="007F6C38" w:rsidRPr="00E740C8">
        <w:rPr>
          <w:rFonts w:ascii="Times New Roman" w:hAnsi="Times New Roman" w:cs="Times New Roman"/>
        </w:rPr>
        <w:t>Mazumder</w:t>
      </w:r>
      <w:proofErr w:type="spellEnd"/>
      <w:r w:rsidR="007F6C38">
        <w:t xml:space="preserve"> et al., 2024;</w:t>
      </w:r>
      <w:r w:rsidR="007F6C38" w:rsidRPr="009D149D">
        <w:t xml:space="preserve"> </w:t>
      </w:r>
      <w:proofErr w:type="spellStart"/>
      <w:r w:rsidR="007F6C38" w:rsidRPr="00BE07A4">
        <w:rPr>
          <w:rFonts w:ascii="Times New Roman" w:hAnsi="Times New Roman" w:cs="Times New Roman"/>
        </w:rPr>
        <w:t>Wiysonge</w:t>
      </w:r>
      <w:proofErr w:type="spellEnd"/>
      <w:r w:rsidR="007F6C38">
        <w:t xml:space="preserve"> et al., 2025</w:t>
      </w:r>
      <w:bookmarkEnd w:id="1"/>
      <w:r w:rsidR="00CF2DED">
        <w:t>)</w:t>
      </w:r>
      <w:r w:rsidRPr="00A76640">
        <w:t xml:space="preserve">. Yet even these models may fail to capture nonlinear effects in continuous covariates. Generalized Additive Models (GAMs) overcome this by fitting smooth, data-driven relationships without compromising interpretability, allowing the discovery of threshold or saturation effects relevant to public health interventions. Beyond conventional models, ensemble machine learning algorithms such as </w:t>
      </w:r>
      <w:proofErr w:type="spellStart"/>
      <w:r w:rsidRPr="00A76640">
        <w:t>XGBoost</w:t>
      </w:r>
      <w:proofErr w:type="spellEnd"/>
      <w:r w:rsidRPr="00A76640">
        <w:t xml:space="preserve"> further enhance predictive performance by aggregating weak learners and incorporating nonparametric splits. When combined with </w:t>
      </w:r>
      <w:proofErr w:type="spellStart"/>
      <w:r w:rsidRPr="00A76640">
        <w:t>explainability</w:t>
      </w:r>
      <w:proofErr w:type="spellEnd"/>
      <w:r w:rsidRPr="00A76640">
        <w:t xml:space="preserve"> tools such as </w:t>
      </w:r>
      <w:r w:rsidR="00CF2DED" w:rsidRPr="00DA4677">
        <w:rPr>
          <w:rFonts w:ascii="Times New Roman" w:eastAsia="Calibri" w:hAnsi="Times New Roman" w:cs="Times New Roman"/>
          <w:sz w:val="20"/>
          <w:szCs w:val="20"/>
        </w:rPr>
        <w:t>SHAPs</w:t>
      </w:r>
      <w:r w:rsidR="00CF2DED" w:rsidRPr="00DA4677">
        <w:rPr>
          <w:rFonts w:ascii="Times New Roman" w:hAnsi="Times New Roman" w:cs="Times New Roman"/>
          <w:sz w:val="20"/>
          <w:szCs w:val="20"/>
        </w:rPr>
        <w:t xml:space="preserve"> (</w:t>
      </w:r>
      <w:proofErr w:type="spellStart"/>
      <w:r w:rsidR="00CF2DED" w:rsidRPr="00DA4677">
        <w:rPr>
          <w:rFonts w:ascii="Times New Roman" w:hAnsi="Times New Roman" w:cs="Times New Roman"/>
          <w:sz w:val="20"/>
          <w:szCs w:val="20"/>
        </w:rPr>
        <w:t>SHapley</w:t>
      </w:r>
      <w:proofErr w:type="spellEnd"/>
      <w:r w:rsidR="00CF2DED" w:rsidRPr="00DA4677">
        <w:rPr>
          <w:rFonts w:ascii="Times New Roman" w:hAnsi="Times New Roman" w:cs="Times New Roman"/>
          <w:sz w:val="20"/>
          <w:szCs w:val="20"/>
        </w:rPr>
        <w:t xml:space="preserve"> Additive </w:t>
      </w:r>
      <w:proofErr w:type="spellStart"/>
      <w:r w:rsidR="00CF2DED" w:rsidRPr="00DA4677">
        <w:rPr>
          <w:rFonts w:ascii="Times New Roman" w:hAnsi="Times New Roman" w:cs="Times New Roman"/>
          <w:sz w:val="20"/>
          <w:szCs w:val="20"/>
        </w:rPr>
        <w:t>exPlanations</w:t>
      </w:r>
      <w:proofErr w:type="spellEnd"/>
      <w:r w:rsidR="00CF2DED" w:rsidRPr="00DA4677">
        <w:rPr>
          <w:rFonts w:ascii="Times New Roman" w:hAnsi="Times New Roman" w:cs="Times New Roman"/>
          <w:sz w:val="20"/>
          <w:szCs w:val="20"/>
        </w:rPr>
        <w:t>)</w:t>
      </w:r>
      <w:r w:rsidRPr="00A76640">
        <w:t xml:space="preserve"> values, these models enable transparent insights into the contribution of each factor to child survival outcomes.</w:t>
      </w:r>
    </w:p>
    <w:p w14:paraId="0466A846" w14:textId="3792B109" w:rsidR="00A76640" w:rsidRPr="00A76640" w:rsidRDefault="00A76640" w:rsidP="00A76640">
      <w:r w:rsidRPr="00A76640">
        <w:t>Empirical evidence on under-five mortality has consistently identified socioeconomic status, parental education, maternal healthcare utilization, and environmental conditions as major determinants of survival. Studies linking maternal, biological, and environmental factors to child mortality</w:t>
      </w:r>
      <w:r w:rsidR="004D3780">
        <w:t xml:space="preserve"> (</w:t>
      </w:r>
      <w:r w:rsidR="004D3780" w:rsidRPr="00D456B0">
        <w:rPr>
          <w:rFonts w:ascii="Times New Roman" w:hAnsi="Times New Roman" w:cs="Times New Roman"/>
        </w:rPr>
        <w:t>LaFave</w:t>
      </w:r>
      <w:r w:rsidR="004D3780">
        <w:t xml:space="preserve"> et al., 2024;</w:t>
      </w:r>
      <w:r w:rsidR="004D3780" w:rsidRPr="009D149D">
        <w:t xml:space="preserve"> </w:t>
      </w:r>
      <w:r w:rsidR="004D3780" w:rsidRPr="00D456B0">
        <w:rPr>
          <w:rFonts w:ascii="Times New Roman" w:hAnsi="Times New Roman" w:cs="Times New Roman"/>
        </w:rPr>
        <w:t>Souza</w:t>
      </w:r>
      <w:r w:rsidR="004D3780">
        <w:t xml:space="preserve"> et al., 2024;</w:t>
      </w:r>
      <w:r w:rsidR="004D3780" w:rsidRPr="00E740C8">
        <w:rPr>
          <w:rFonts w:ascii="Times New Roman" w:hAnsi="Times New Roman" w:cs="Times New Roman"/>
        </w:rPr>
        <w:t xml:space="preserve"> </w:t>
      </w:r>
      <w:proofErr w:type="spellStart"/>
      <w:r w:rsidR="004D3780" w:rsidRPr="00D456B0">
        <w:rPr>
          <w:rFonts w:ascii="Times New Roman" w:hAnsi="Times New Roman" w:cs="Times New Roman"/>
        </w:rPr>
        <w:t>Headen</w:t>
      </w:r>
      <w:proofErr w:type="spellEnd"/>
      <w:r w:rsidR="004D3780">
        <w:t xml:space="preserve"> et al., 2025;</w:t>
      </w:r>
      <w:r w:rsidR="004D3780" w:rsidRPr="009D149D">
        <w:t xml:space="preserve"> </w:t>
      </w:r>
      <w:r w:rsidR="004D3780" w:rsidRPr="00D456B0">
        <w:rPr>
          <w:rFonts w:ascii="Times New Roman" w:hAnsi="Times New Roman" w:cs="Times New Roman"/>
        </w:rPr>
        <w:t>Adeyinka</w:t>
      </w:r>
      <w:r w:rsidR="004D3780">
        <w:t xml:space="preserve"> et al., 2024)</w:t>
      </w:r>
      <w:r w:rsidRPr="00A76640">
        <w:t>. In Ghana maternal education, wealth index, and access to health services significantly influence survival probabilities among children under five</w:t>
      </w:r>
      <w:r w:rsidR="0002779B">
        <w:t xml:space="preserve"> (</w:t>
      </w:r>
      <w:r w:rsidR="0002779B" w:rsidRPr="00D456B0">
        <w:rPr>
          <w:rFonts w:ascii="Times New Roman" w:hAnsi="Times New Roman" w:cs="Times New Roman"/>
        </w:rPr>
        <w:t>Iddrisu</w:t>
      </w:r>
      <w:r w:rsidR="0002779B">
        <w:t xml:space="preserve"> et al., 2025;</w:t>
      </w:r>
      <w:r w:rsidR="0002779B" w:rsidRPr="009D149D">
        <w:t xml:space="preserve"> </w:t>
      </w:r>
      <w:r w:rsidR="0002779B" w:rsidRPr="003F7AE3">
        <w:rPr>
          <w:rFonts w:ascii="Times New Roman" w:hAnsi="Times New Roman" w:cs="Times New Roman"/>
        </w:rPr>
        <w:t>Osei</w:t>
      </w:r>
      <w:r w:rsidR="0002779B">
        <w:t xml:space="preserve"> et al., 2024;</w:t>
      </w:r>
      <w:r w:rsidR="0002779B" w:rsidRPr="00E740C8">
        <w:rPr>
          <w:rFonts w:ascii="Times New Roman" w:hAnsi="Times New Roman" w:cs="Times New Roman"/>
        </w:rPr>
        <w:t xml:space="preserve"> </w:t>
      </w:r>
      <w:r w:rsidR="0002779B" w:rsidRPr="003F7AE3">
        <w:rPr>
          <w:rFonts w:ascii="Times New Roman" w:hAnsi="Times New Roman" w:cs="Times New Roman"/>
        </w:rPr>
        <w:t>Frimpong</w:t>
      </w:r>
      <w:r w:rsidR="0002779B">
        <w:t xml:space="preserve"> et al., 2025</w:t>
      </w:r>
      <w:r w:rsidR="00546977">
        <w:t xml:space="preserve">). </w:t>
      </w:r>
      <w:r w:rsidRPr="00A76640">
        <w:t>These findings align with global analyses that emphasize the role of antenatal care attendance, skilled delivery, and postnatal care as protective factors against early childhood deaths. Despite these insights, much of the existing literature relies on classical regression approaches, which may understate nonlinear and interaction effects that govern the complex interplay of socioeconomic and demographic variables</w:t>
      </w:r>
      <w:r w:rsidR="00546977">
        <w:t xml:space="preserve"> </w:t>
      </w:r>
      <w:bookmarkStart w:id="2" w:name="_Hlk211847131"/>
      <w:r w:rsidR="00546977">
        <w:t>(</w:t>
      </w:r>
      <w:proofErr w:type="spellStart"/>
      <w:r w:rsidR="00546977" w:rsidRPr="003F7AE3">
        <w:rPr>
          <w:rFonts w:ascii="Times New Roman" w:hAnsi="Times New Roman" w:cs="Times New Roman"/>
        </w:rPr>
        <w:t>Fenta</w:t>
      </w:r>
      <w:proofErr w:type="spellEnd"/>
      <w:r w:rsidR="00546977">
        <w:t xml:space="preserve"> et al., 2024;</w:t>
      </w:r>
      <w:r w:rsidR="00546977" w:rsidRPr="009D149D">
        <w:t xml:space="preserve"> </w:t>
      </w:r>
      <w:proofErr w:type="spellStart"/>
      <w:r w:rsidR="00546977" w:rsidRPr="003F7AE3">
        <w:rPr>
          <w:rFonts w:ascii="Times New Roman" w:hAnsi="Times New Roman" w:cs="Times New Roman"/>
        </w:rPr>
        <w:t>Gazze</w:t>
      </w:r>
      <w:proofErr w:type="spellEnd"/>
      <w:r w:rsidR="00546977">
        <w:t xml:space="preserve"> et al., 2024;</w:t>
      </w:r>
      <w:r w:rsidR="00546977" w:rsidRPr="00E740C8">
        <w:rPr>
          <w:rFonts w:ascii="Times New Roman" w:hAnsi="Times New Roman" w:cs="Times New Roman"/>
        </w:rPr>
        <w:t xml:space="preserve"> </w:t>
      </w:r>
      <w:proofErr w:type="spellStart"/>
      <w:r w:rsidR="00546977" w:rsidRPr="003F7AE3">
        <w:rPr>
          <w:rFonts w:ascii="Times New Roman" w:hAnsi="Times New Roman" w:cs="Times New Roman"/>
        </w:rPr>
        <w:t>Chaku</w:t>
      </w:r>
      <w:proofErr w:type="spellEnd"/>
      <w:r w:rsidR="00546977">
        <w:t xml:space="preserve"> et al., 2025</w:t>
      </w:r>
      <w:bookmarkEnd w:id="2"/>
      <w:r w:rsidR="00546977">
        <w:t>;</w:t>
      </w:r>
      <w:r w:rsidR="00546977" w:rsidRPr="009D149D">
        <w:t xml:space="preserve"> </w:t>
      </w:r>
      <w:r w:rsidR="00546977" w:rsidRPr="003F7AE3">
        <w:rPr>
          <w:rFonts w:ascii="Times New Roman" w:hAnsi="Times New Roman" w:cs="Times New Roman"/>
        </w:rPr>
        <w:t>Arana-Ovalle</w:t>
      </w:r>
      <w:r w:rsidR="00546977">
        <w:t xml:space="preserve"> et al., 2025</w:t>
      </w:r>
      <w:r w:rsidR="00502FFD">
        <w:t>)</w:t>
      </w:r>
      <w:r w:rsidRPr="00A76640">
        <w:t>.</w:t>
      </w:r>
      <w:r w:rsidR="00546977">
        <w:t xml:space="preserve"> </w:t>
      </w:r>
      <w:r w:rsidRPr="00A76640">
        <w:t>Recent methodological transitions have introduced flexible models that better capture such complexities. Multilevel logistic models have been applied in child mortality studies to disentangle individual-level risk from contextual variation across administrative regions. While these approaches strengthen inference by accounting for unobserved heterogeneity, their reliance on linear structures can still obscure latent nonlinearities. Generalized Additive Models have been increasingly used in health analytics for their ability to reveal smooth, nonlinear trends</w:t>
      </w:r>
      <w:r w:rsidR="00546977">
        <w:t xml:space="preserve">, </w:t>
      </w:r>
      <w:r w:rsidRPr="00A76640">
        <w:t xml:space="preserve">such as diminishing effects of paternal age or household size on survival probability. Meanwhile, machine learning frameworks, including random forests and gradient </w:t>
      </w:r>
      <w:r w:rsidR="00685D44">
        <w:t>boosting,</w:t>
      </w:r>
      <w:r w:rsidRPr="00A76640">
        <w:t xml:space="preserve"> have been applied to health data for predictive accuracy but often criticized for limited interpretability</w:t>
      </w:r>
      <w:bookmarkStart w:id="3" w:name="_Hlk211844951"/>
      <w:r w:rsidR="00546977" w:rsidRPr="00546977">
        <w:t xml:space="preserve"> </w:t>
      </w:r>
      <w:r w:rsidR="00546977">
        <w:t>(</w:t>
      </w:r>
      <w:r w:rsidR="00546977" w:rsidRPr="00171872">
        <w:rPr>
          <w:rFonts w:ascii="Times New Roman" w:hAnsi="Times New Roman" w:cs="Times New Roman"/>
        </w:rPr>
        <w:t>Rahman</w:t>
      </w:r>
      <w:r w:rsidR="00546977">
        <w:t xml:space="preserve"> et al., 2025;</w:t>
      </w:r>
      <w:r w:rsidR="00546977" w:rsidRPr="009D149D">
        <w:t xml:space="preserve"> </w:t>
      </w:r>
      <w:proofErr w:type="spellStart"/>
      <w:r w:rsidR="00546977" w:rsidRPr="00171872">
        <w:rPr>
          <w:rFonts w:ascii="Times New Roman" w:hAnsi="Times New Roman" w:cs="Times New Roman"/>
        </w:rPr>
        <w:t>Naznin</w:t>
      </w:r>
      <w:proofErr w:type="spellEnd"/>
      <w:r w:rsidR="00546977">
        <w:t xml:space="preserve"> et al., 2025;</w:t>
      </w:r>
      <w:r w:rsidR="00546977" w:rsidRPr="00E740C8">
        <w:rPr>
          <w:rFonts w:ascii="Times New Roman" w:hAnsi="Times New Roman" w:cs="Times New Roman"/>
        </w:rPr>
        <w:t xml:space="preserve"> </w:t>
      </w:r>
      <w:r w:rsidR="00546977" w:rsidRPr="00171872">
        <w:rPr>
          <w:rFonts w:ascii="Times New Roman" w:hAnsi="Times New Roman" w:cs="Times New Roman"/>
        </w:rPr>
        <w:t>Ashwini</w:t>
      </w:r>
      <w:r w:rsidR="00546977">
        <w:t xml:space="preserve"> et al., 2024;</w:t>
      </w:r>
      <w:r w:rsidR="00546977" w:rsidRPr="009D149D">
        <w:t xml:space="preserve"> </w:t>
      </w:r>
      <w:r w:rsidR="00546977" w:rsidRPr="00171872">
        <w:rPr>
          <w:rFonts w:ascii="Times New Roman" w:hAnsi="Times New Roman" w:cs="Times New Roman"/>
        </w:rPr>
        <w:t>Natarajan</w:t>
      </w:r>
      <w:r w:rsidR="00546977">
        <w:t xml:space="preserve"> et al., 2025;</w:t>
      </w:r>
      <w:r w:rsidR="00546977" w:rsidRPr="009D149D">
        <w:t xml:space="preserve"> </w:t>
      </w:r>
      <w:proofErr w:type="spellStart"/>
      <w:r w:rsidR="00546977" w:rsidRPr="00171872">
        <w:rPr>
          <w:rFonts w:ascii="Times New Roman" w:hAnsi="Times New Roman" w:cs="Times New Roman"/>
        </w:rPr>
        <w:t>Satty</w:t>
      </w:r>
      <w:proofErr w:type="spellEnd"/>
      <w:r w:rsidR="00546977">
        <w:t xml:space="preserve"> et al., 2025). </w:t>
      </w:r>
      <w:bookmarkEnd w:id="3"/>
      <w:r w:rsidRPr="00A76640">
        <w:t xml:space="preserve"> The incorporation of explainable AI techniques, particularly SHAP (</w:t>
      </w:r>
      <w:proofErr w:type="spellStart"/>
      <w:r w:rsidRPr="00A76640">
        <w:t>SHapley</w:t>
      </w:r>
      <w:proofErr w:type="spellEnd"/>
      <w:r w:rsidRPr="00A76640">
        <w:t xml:space="preserve"> Additive </w:t>
      </w:r>
      <w:proofErr w:type="spellStart"/>
      <w:r w:rsidRPr="00A76640">
        <w:t>exPlanations</w:t>
      </w:r>
      <w:proofErr w:type="spellEnd"/>
      <w:r w:rsidRPr="00A76640">
        <w:t>), bridges this gap by quantifying the contribution of each feature to the prediction of survival status. This hybrid interpretability aligns with the growing demand for transparent, data-driven decision tools in health system management.</w:t>
      </w:r>
    </w:p>
    <w:p w14:paraId="71524065" w14:textId="77777777" w:rsidR="00A76640" w:rsidRDefault="00A76640" w:rsidP="00A76640">
      <w:r w:rsidRPr="00A76640">
        <w:t xml:space="preserve">Despite the volume of work in child survival modeling, three key research gaps persist. First, few studies integrate statistical and machine learning paradigms within a harmonized analytical pipeline to compare performance across interpretability and accuracy dimensions. Second, nonlinear relationships among critical determinants such as paternal age, water access, and household characteristics remain underexplored, leading to potential mis-specification of risk thresholds. Third, most Ghanaian studies rarely embed methodological innovations like explainable machine learning or shape-aware GAMs within the SDG evaluation framework. This research addresses these gaps by triangulating logistic, multilevel, GAM, and </w:t>
      </w:r>
      <w:proofErr w:type="spellStart"/>
      <w:r w:rsidRPr="00A76640">
        <w:t>XGBoost</w:t>
      </w:r>
      <w:proofErr w:type="spellEnd"/>
      <w:r w:rsidRPr="00A76640">
        <w:t xml:space="preserve"> models to identify, quantify, and interpret the drivers of under-five survival in Ghana. The approach ensures robust model validation, transparency </w:t>
      </w:r>
      <w:r w:rsidRPr="00A76640">
        <w:lastRenderedPageBreak/>
        <w:t>in feature importance, and direct linkage to SDG 3 (Good Health and Well-being), SDG 6 (Clean Water and Sanitation), and SDG 10 (Reduced Inequalities). Through this integration, the study offers both scientific and policy relevance—advancing the methodological frontier in child survival analytics while informing equitable health interventions.</w:t>
      </w:r>
    </w:p>
    <w:p w14:paraId="3EFD2236" w14:textId="77777777" w:rsidR="00BF1FAB" w:rsidRPr="00502FFD" w:rsidRDefault="00BF1FAB" w:rsidP="00BF1FAB">
      <w:pPr>
        <w:pStyle w:val="Heading3"/>
        <w:rPr>
          <w:color w:val="auto"/>
        </w:rPr>
      </w:pPr>
      <w:bookmarkStart w:id="4" w:name="materials-and-methods"/>
      <w:r w:rsidRPr="00502FFD">
        <w:rPr>
          <w:b/>
          <w:bCs/>
          <w:color w:val="auto"/>
        </w:rPr>
        <w:t>Materials and Methods</w:t>
      </w:r>
    </w:p>
    <w:p w14:paraId="101652CD" w14:textId="77777777" w:rsidR="00BF1FAB" w:rsidRPr="00502FFD" w:rsidRDefault="00BF1FAB" w:rsidP="00BF1FAB">
      <w:pPr>
        <w:pStyle w:val="Heading4"/>
        <w:rPr>
          <w:color w:val="auto"/>
        </w:rPr>
      </w:pPr>
      <w:bookmarkStart w:id="5" w:name="study-design-and-data-source"/>
      <w:r w:rsidRPr="00502FFD">
        <w:rPr>
          <w:b/>
          <w:bCs/>
          <w:color w:val="auto"/>
        </w:rPr>
        <w:t>Study Design and Data Source</w:t>
      </w:r>
    </w:p>
    <w:p w14:paraId="43734C80" w14:textId="77777777" w:rsidR="00BF1FAB" w:rsidRPr="00D4320E" w:rsidRDefault="00BF1FAB" w:rsidP="00BF1FAB">
      <w:pPr>
        <w:pStyle w:val="FirstParagraph"/>
      </w:pPr>
      <w:r>
        <w:t xml:space="preserve">This study employed a quantitative analytical design using nationally representative data on under-five children extracted from the </w:t>
      </w:r>
      <w:r>
        <w:rPr>
          <w:i/>
          <w:iCs/>
        </w:rPr>
        <w:t>Under5 Dataset</w:t>
      </w:r>
      <w:r>
        <w:t xml:space="preserve"> (</w:t>
      </w:r>
      <w:r w:rsidRPr="00D4320E">
        <w:t xml:space="preserve">Under5.xlsx). The dataset contains 34,663 observations and 17 variables, representing child-level, household-level, and maternal-level attributes drawn from a structured population-based survey in Ghana. The data were preprocessed and analyzed using </w:t>
      </w:r>
      <w:r w:rsidRPr="00D4320E">
        <w:rPr>
          <w:i/>
          <w:iCs/>
        </w:rPr>
        <w:t>R (version 4.3.2)</w:t>
      </w:r>
      <w:r w:rsidRPr="00D4320E">
        <w:t xml:space="preserve"> within the </w:t>
      </w:r>
      <w:proofErr w:type="spellStart"/>
      <w:r w:rsidRPr="00D4320E">
        <w:t>tidyverse</w:t>
      </w:r>
      <w:proofErr w:type="spellEnd"/>
      <w:r w:rsidRPr="00D4320E">
        <w:t xml:space="preserve">, </w:t>
      </w:r>
      <w:proofErr w:type="spellStart"/>
      <w:r w:rsidRPr="00D4320E">
        <w:t>gtsummary</w:t>
      </w:r>
      <w:proofErr w:type="spellEnd"/>
      <w:r w:rsidRPr="00D4320E">
        <w:t xml:space="preserve">, lme4, </w:t>
      </w:r>
      <w:proofErr w:type="spellStart"/>
      <w:r w:rsidRPr="00D4320E">
        <w:t>mgcv</w:t>
      </w:r>
      <w:proofErr w:type="spellEnd"/>
      <w:r w:rsidRPr="00D4320E">
        <w:t xml:space="preserve">, and </w:t>
      </w:r>
      <w:proofErr w:type="spellStart"/>
      <w:r w:rsidRPr="00D4320E">
        <w:t>xgboost</w:t>
      </w:r>
      <w:proofErr w:type="spellEnd"/>
      <w:r w:rsidRPr="00D4320E">
        <w:t xml:space="preserve"> frameworks to ensure robust, reproducible, and interpretable statistical modeling.</w:t>
      </w:r>
    </w:p>
    <w:p w14:paraId="0235D0C3" w14:textId="72329A1B" w:rsidR="00BF1FAB" w:rsidRDefault="00BF1FAB" w:rsidP="00D4320E">
      <w:pPr>
        <w:pStyle w:val="BodyText"/>
      </w:pPr>
      <w:r w:rsidRPr="00D4320E">
        <w:t xml:space="preserve">All data and scripts have been archived in the Open Science Framework (OSF) repository under the project title </w:t>
      </w:r>
      <w:r w:rsidRPr="00D4320E">
        <w:rPr>
          <w:i/>
          <w:iCs/>
        </w:rPr>
        <w:t>“Determinants of Under-Five Survival in Ghana”</w:t>
      </w:r>
      <w:r w:rsidR="00F77453">
        <w:rPr>
          <w:i/>
          <w:iCs/>
        </w:rPr>
        <w:t>.</w:t>
      </w:r>
      <w:r w:rsidRPr="00D4320E">
        <w:t xml:space="preserve"> </w:t>
      </w:r>
    </w:p>
    <w:p w14:paraId="6B202DE2" w14:textId="77777777" w:rsidR="00BF1FAB" w:rsidRPr="00D4320E" w:rsidRDefault="00BF1FAB" w:rsidP="00BF1FAB">
      <w:pPr>
        <w:pStyle w:val="Heading4"/>
        <w:rPr>
          <w:i w:val="0"/>
          <w:iCs w:val="0"/>
          <w:color w:val="auto"/>
        </w:rPr>
      </w:pPr>
      <w:bookmarkStart w:id="6" w:name="Xc091cb93d9b385fbe9a5071cc50c9ff1d540073"/>
      <w:bookmarkEnd w:id="5"/>
      <w:r w:rsidRPr="00D4320E">
        <w:rPr>
          <w:b/>
          <w:bCs/>
          <w:i w:val="0"/>
          <w:iCs w:val="0"/>
          <w:color w:val="auto"/>
        </w:rPr>
        <w:t>Modeling Framework and Statistical Methods</w:t>
      </w:r>
    </w:p>
    <w:p w14:paraId="5D7EC076" w14:textId="32D39C6B" w:rsidR="00BF1FAB" w:rsidRDefault="00BF1FAB" w:rsidP="007C4A07">
      <w:pPr>
        <w:pStyle w:val="FirstParagraph"/>
      </w:pPr>
      <w:r>
        <w:t xml:space="preserve">The analytical framework integrates </w:t>
      </w:r>
      <w:r>
        <w:rPr>
          <w:b/>
          <w:bCs/>
        </w:rPr>
        <w:t>four modeling paradigms</w:t>
      </w:r>
      <w:r>
        <w:t>, each addressing a distinct methodological dimension of child survival modeling:</w:t>
      </w:r>
      <w:r>
        <w:br/>
        <w:t xml:space="preserve">(1) Logistic Regression, (2) Multilevel Logistic Regression, (3) Generalized Additive Models (GAM), and (4) </w:t>
      </w:r>
      <w:proofErr w:type="spellStart"/>
      <w:r>
        <w:t>XGBoost</w:t>
      </w:r>
      <w:proofErr w:type="spellEnd"/>
      <w:r>
        <w:t xml:space="preserve"> Machine Learning with </w:t>
      </w:r>
      <w:proofErr w:type="spellStart"/>
      <w:r>
        <w:t>Explainability</w:t>
      </w:r>
      <w:proofErr w:type="spellEnd"/>
      <w:r>
        <w:t>.</w:t>
      </w:r>
    </w:p>
    <w:p w14:paraId="62AA62B4" w14:textId="77777777" w:rsidR="00BF1FAB" w:rsidRPr="00D4320E" w:rsidRDefault="00BF1FAB" w:rsidP="00BF1FAB">
      <w:pPr>
        <w:pStyle w:val="Heading5"/>
        <w:rPr>
          <w:color w:val="auto"/>
        </w:rPr>
      </w:pPr>
      <w:bookmarkStart w:id="7" w:name="binary-logistic-regression-model"/>
      <w:r w:rsidRPr="00D4320E">
        <w:rPr>
          <w:b/>
          <w:bCs/>
          <w:color w:val="auto"/>
        </w:rPr>
        <w:t>1. Binary Logistic Regression Model</w:t>
      </w:r>
    </w:p>
    <w:p w14:paraId="3D998C8D" w14:textId="77777777" w:rsidR="00BF1FAB" w:rsidRDefault="00BF1FAB" w:rsidP="00BF1FAB">
      <w:pPr>
        <w:pStyle w:val="FirstParagraph"/>
      </w:pPr>
      <w:r>
        <w:t>The baseline statistical model was a binary logistic regression estimating the log-odds of survival as a function of socioeconomic, demographic, and environmental predictors. The model is expressed as:</w:t>
      </w:r>
    </w:p>
    <w:p w14:paraId="46B1CC0C" w14:textId="289A6EA0" w:rsidR="00BF1FAB" w:rsidRDefault="00BF1FAB" w:rsidP="00BF1FAB">
      <w:pPr>
        <w:pStyle w:val="BodyText"/>
      </w:pPr>
      <m:oMath>
        <m:r>
          <m:rPr>
            <m:sty m:val="p"/>
          </m:rPr>
          <w:rPr>
            <w:rFonts w:ascii="Cambria Math" w:hAnsi="Cambria Math"/>
          </w:rPr>
          <m:t>log</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m:t>
                    </m:r>
                  </m:sub>
                </m:sSub>
              </m:num>
              <m:den>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p</m:t>
            </m:r>
          </m:sup>
          <m:e>
            <m:sSub>
              <m:sSubPr>
                <m:ctrlPr>
                  <w:rPr>
                    <w:rFonts w:ascii="Cambria Math" w:hAnsi="Cambria Math"/>
                  </w:rPr>
                </m:ctrlPr>
              </m:sSubPr>
              <m:e>
                <m:r>
                  <w:rPr>
                    <w:rFonts w:ascii="Cambria Math" w:hAnsi="Cambria Math"/>
                  </w:rPr>
                  <m:t>β</m:t>
                </m:r>
              </m:e>
              <m:sub>
                <m:r>
                  <w:rPr>
                    <w:rFonts w:ascii="Cambria Math" w:hAnsi="Cambria Math"/>
                  </w:rPr>
                  <m:t>k</m:t>
                </m:r>
              </m:sub>
            </m:sSub>
          </m:e>
        </m:nary>
        <m:sSub>
          <m:sSubPr>
            <m:ctrlPr>
              <w:rPr>
                <w:rFonts w:ascii="Cambria Math" w:hAnsi="Cambria Math"/>
              </w:rPr>
            </m:ctrlPr>
          </m:sSubPr>
          <m:e>
            <m:r>
              <w:rPr>
                <w:rFonts w:ascii="Cambria Math" w:hAnsi="Cambria Math"/>
              </w:rPr>
              <m:t>X</m:t>
            </m:r>
          </m:e>
          <m:sub>
            <m:r>
              <w:rPr>
                <w:rFonts w:ascii="Cambria Math" w:hAnsi="Cambria Math"/>
              </w:rPr>
              <m:t>ik</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oMath>
      <w:r>
        <w:rPr>
          <w:rFonts w:eastAsiaTheme="minorEastAsia"/>
        </w:rPr>
        <w:t>………………………….1</w:t>
      </w:r>
    </w:p>
    <w:p w14:paraId="15BE6A83" w14:textId="4C5119ED" w:rsidR="00BF1FAB" w:rsidRDefault="00BF1FAB" w:rsidP="007C4A07">
      <w:pPr>
        <w:pStyle w:val="FirstParagraph"/>
      </w:pPr>
      <w:r>
        <w:t xml:space="preserve">where </w:t>
      </w:r>
      <m:oMath>
        <m:sSub>
          <m:sSubPr>
            <m:ctrlPr>
              <w:rPr>
                <w:rFonts w:ascii="Cambria Math" w:hAnsi="Cambria Math"/>
              </w:rPr>
            </m:ctrlPr>
          </m:sSubPr>
          <m:e>
            <m:r>
              <w:rPr>
                <w:rFonts w:ascii="Cambria Math" w:hAnsi="Cambria Math"/>
              </w:rPr>
              <m:t>P</m:t>
            </m:r>
          </m:e>
          <m:sub>
            <m:r>
              <w:rPr>
                <w:rFonts w:ascii="Cambria Math" w:hAnsi="Cambria Math"/>
              </w:rPr>
              <m:t>i</m:t>
            </m:r>
          </m:sub>
        </m:sSub>
      </m:oMath>
      <w:r>
        <w:t xml:space="preserve"> is the probability that the </w:t>
      </w:r>
      <w:proofErr w:type="spellStart"/>
      <w:r>
        <w:rPr>
          <w:i/>
          <w:iCs/>
        </w:rPr>
        <w:t>i-th</w:t>
      </w:r>
      <w:proofErr w:type="spellEnd"/>
      <w:r>
        <w:t xml:space="preserve"> child survives, </w:t>
      </w:r>
      <m:oMath>
        <m:sSub>
          <m:sSubPr>
            <m:ctrlPr>
              <w:rPr>
                <w:rFonts w:ascii="Cambria Math" w:hAnsi="Cambria Math"/>
              </w:rPr>
            </m:ctrlPr>
          </m:sSubPr>
          <m:e>
            <m:r>
              <w:rPr>
                <w:rFonts w:ascii="Cambria Math" w:hAnsi="Cambria Math"/>
              </w:rPr>
              <m:t>X</m:t>
            </m:r>
          </m:e>
          <m:sub>
            <m:r>
              <w:rPr>
                <w:rFonts w:ascii="Cambria Math" w:hAnsi="Cambria Math"/>
              </w:rPr>
              <m:t>ik</m:t>
            </m:r>
          </m:sub>
        </m:sSub>
      </m:oMath>
      <w:r>
        <w:t xml:space="preserve"> denotes the </w:t>
      </w:r>
      <w:r>
        <w:rPr>
          <w:i/>
          <w:iCs/>
        </w:rPr>
        <w:t>k-</w:t>
      </w:r>
      <w:proofErr w:type="spellStart"/>
      <w:r>
        <w:rPr>
          <w:i/>
          <w:iCs/>
        </w:rPr>
        <w:t>th</w:t>
      </w:r>
      <w:proofErr w:type="spellEnd"/>
      <w:r>
        <w:t xml:space="preserve"> predictor, and </w:t>
      </w:r>
      <m:oMath>
        <m:sSub>
          <m:sSubPr>
            <m:ctrlPr>
              <w:rPr>
                <w:rFonts w:ascii="Cambria Math" w:hAnsi="Cambria Math"/>
              </w:rPr>
            </m:ctrlPr>
          </m:sSubPr>
          <m:e>
            <m:r>
              <w:rPr>
                <w:rFonts w:ascii="Cambria Math" w:hAnsi="Cambria Math"/>
              </w:rPr>
              <m:t>β</m:t>
            </m:r>
          </m:e>
          <m:sub>
            <m:r>
              <w:rPr>
                <w:rFonts w:ascii="Cambria Math" w:hAnsi="Cambria Math"/>
              </w:rPr>
              <m:t>k</m:t>
            </m:r>
          </m:sub>
        </m:sSub>
      </m:oMath>
      <w:r>
        <w:t xml:space="preserve"> are the estimated coefficients.</w:t>
      </w:r>
      <w:r>
        <w:br/>
        <w:t xml:space="preserve">Model fit was assessed using the Receiver Operating Characteristic (ROC) curve and Area Under the Curve (AUC), yielding an AUC = </w:t>
      </w:r>
      <w:r w:rsidRPr="00685D44">
        <w:t>0.764</w:t>
      </w:r>
      <w:r>
        <w:t xml:space="preserve"> (Figure 1).</w:t>
      </w:r>
    </w:p>
    <w:p w14:paraId="4508E11B" w14:textId="77777777" w:rsidR="00BF1FAB" w:rsidRPr="00D4320E" w:rsidRDefault="00BF1FAB" w:rsidP="00BF1FAB">
      <w:pPr>
        <w:pStyle w:val="Heading5"/>
        <w:rPr>
          <w:color w:val="auto"/>
        </w:rPr>
      </w:pPr>
      <w:bookmarkStart w:id="8" w:name="multilevel-logistic-regression-model"/>
      <w:bookmarkEnd w:id="7"/>
      <w:r w:rsidRPr="00D4320E">
        <w:rPr>
          <w:b/>
          <w:bCs/>
          <w:color w:val="auto"/>
        </w:rPr>
        <w:t>2. Multilevel Logistic Regression Model</w:t>
      </w:r>
    </w:p>
    <w:p w14:paraId="00B0A786" w14:textId="77777777" w:rsidR="00BF1FAB" w:rsidRDefault="00BF1FAB" w:rsidP="00BF1FAB">
      <w:pPr>
        <w:pStyle w:val="FirstParagraph"/>
      </w:pPr>
      <w:r>
        <w:t>To capture unobserved heterogeneity across administrative regions, a multilevel logistic regression model with random intercepts was fitted:</w:t>
      </w:r>
    </w:p>
    <w:p w14:paraId="14176393" w14:textId="38E0AAFE" w:rsidR="00BF1FAB" w:rsidRDefault="00BF1FAB" w:rsidP="00BF1FAB">
      <w:pPr>
        <w:pStyle w:val="BodyText"/>
      </w:pPr>
      <m:oMath>
        <m:r>
          <m:rPr>
            <m:sty m:val="p"/>
          </m:rPr>
          <w:rPr>
            <w:rFonts w:ascii="Cambria Math" w:hAnsi="Cambria Math"/>
          </w:rPr>
          <m:t>log</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ij</m:t>
                    </m:r>
                  </m:sub>
                </m:sSub>
              </m:num>
              <m:den>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ij</m:t>
                    </m:r>
                  </m:sub>
                </m:sSub>
              </m:den>
            </m:f>
          </m:e>
        </m:d>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p</m:t>
            </m:r>
          </m:sup>
          <m:e>
            <m:sSub>
              <m:sSubPr>
                <m:ctrlPr>
                  <w:rPr>
                    <w:rFonts w:ascii="Cambria Math" w:hAnsi="Cambria Math"/>
                  </w:rPr>
                </m:ctrlPr>
              </m:sSubPr>
              <m:e>
                <m:r>
                  <w:rPr>
                    <w:rFonts w:ascii="Cambria Math" w:hAnsi="Cambria Math"/>
                  </w:rPr>
                  <m:t>β</m:t>
                </m:r>
              </m:e>
              <m:sub>
                <m:r>
                  <w:rPr>
                    <w:rFonts w:ascii="Cambria Math" w:hAnsi="Cambria Math"/>
                  </w:rPr>
                  <m:t>k</m:t>
                </m:r>
              </m:sub>
            </m:sSub>
          </m:e>
        </m:nary>
        <m:sSub>
          <m:sSubPr>
            <m:ctrlPr>
              <w:rPr>
                <w:rFonts w:ascii="Cambria Math" w:hAnsi="Cambria Math"/>
              </w:rPr>
            </m:ctrlPr>
          </m:sSubPr>
          <m:e>
            <m:r>
              <w:rPr>
                <w:rFonts w:ascii="Cambria Math" w:hAnsi="Cambria Math"/>
              </w:rPr>
              <m:t>X</m:t>
            </m:r>
          </m:e>
          <m:sub>
            <m:r>
              <w:rPr>
                <w:rFonts w:ascii="Cambria Math" w:hAnsi="Cambria Math"/>
              </w:rPr>
              <m:t>ijk</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u</m:t>
            </m:r>
          </m:e>
          <m:sub>
            <m:r>
              <w:rPr>
                <w:rFonts w:ascii="Cambria Math" w:hAnsi="Cambria Math"/>
              </w:rPr>
              <m:t>j</m:t>
            </m:r>
          </m:sub>
        </m:sSub>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0</m:t>
        </m:r>
        <m:r>
          <m:rPr>
            <m:sty m:val="p"/>
          </m:rP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region</m:t>
            </m:r>
          </m:sub>
          <m:sup>
            <m:r>
              <w:rPr>
                <w:rFonts w:ascii="Cambria Math" w:hAnsi="Cambria Math"/>
              </w:rPr>
              <m:t>2</m:t>
            </m:r>
          </m:sup>
        </m:sSubSup>
        <m:r>
          <m:rPr>
            <m:sty m:val="p"/>
          </m:rPr>
          <w:rPr>
            <w:rFonts w:ascii="Cambria Math" w:hAnsi="Cambria Math"/>
          </w:rPr>
          <m:t>)</m:t>
        </m:r>
      </m:oMath>
      <w:r w:rsidR="00164407">
        <w:rPr>
          <w:rFonts w:eastAsiaTheme="minorEastAsia"/>
        </w:rPr>
        <w:t xml:space="preserve"> ……………………2</w:t>
      </w:r>
    </w:p>
    <w:p w14:paraId="05E48187" w14:textId="4B689F2F" w:rsidR="00BF1FAB" w:rsidRDefault="00BF1FAB" w:rsidP="007C4A07">
      <w:pPr>
        <w:pStyle w:val="FirstParagraph"/>
      </w:pPr>
      <w:r>
        <w:t xml:space="preserve">where </w:t>
      </w:r>
      <m:oMath>
        <m:r>
          <w:rPr>
            <w:rFonts w:ascii="Cambria Math" w:hAnsi="Cambria Math"/>
          </w:rPr>
          <m:t>i</m:t>
        </m:r>
      </m:oMath>
      <w:r>
        <w:t xml:space="preserve"> indexes children and </w:t>
      </w:r>
      <m:oMath>
        <m:r>
          <w:rPr>
            <w:rFonts w:ascii="Cambria Math" w:hAnsi="Cambria Math"/>
          </w:rPr>
          <m:t>j</m:t>
        </m:r>
      </m:oMath>
      <w:r>
        <w:t xml:space="preserve"> indexes regions.</w:t>
      </w:r>
      <w:r>
        <w:br/>
        <w:t xml:space="preserve">The random term </w:t>
      </w:r>
      <m:oMath>
        <m:sSub>
          <m:sSubPr>
            <m:ctrlPr>
              <w:rPr>
                <w:rFonts w:ascii="Cambria Math" w:hAnsi="Cambria Math"/>
              </w:rPr>
            </m:ctrlPr>
          </m:sSubPr>
          <m:e>
            <m:r>
              <w:rPr>
                <w:rFonts w:ascii="Cambria Math" w:hAnsi="Cambria Math"/>
              </w:rPr>
              <m:t>u</m:t>
            </m:r>
          </m:e>
          <m:sub>
            <m:r>
              <w:rPr>
                <w:rFonts w:ascii="Cambria Math" w:hAnsi="Cambria Math"/>
              </w:rPr>
              <m:t>j</m:t>
            </m:r>
          </m:sub>
        </m:sSub>
      </m:oMath>
      <w:r>
        <w:t xml:space="preserve"> models regional-level deviations from the overall mean.</w:t>
      </w:r>
      <w:r>
        <w:br/>
        <w:t xml:space="preserve">Model singularity was tested using the </w:t>
      </w:r>
      <w:proofErr w:type="spellStart"/>
      <w:proofErr w:type="gramStart"/>
      <w:r>
        <w:rPr>
          <w:b/>
          <w:bCs/>
        </w:rPr>
        <w:t>isSingular</w:t>
      </w:r>
      <w:proofErr w:type="spellEnd"/>
      <w:r>
        <w:rPr>
          <w:b/>
          <w:bCs/>
        </w:rPr>
        <w:t>(</w:t>
      </w:r>
      <w:proofErr w:type="gramEnd"/>
      <w:r>
        <w:rPr>
          <w:b/>
          <w:bCs/>
        </w:rPr>
        <w:t>)</w:t>
      </w:r>
      <w:r>
        <w:t xml:space="preserve"> function, and the intraclass correlation (ICC) was estimated using </w:t>
      </w:r>
      <w:r>
        <w:rPr>
          <w:b/>
          <w:bCs/>
        </w:rPr>
        <w:t>performance::</w:t>
      </w:r>
      <w:proofErr w:type="spellStart"/>
      <w:r>
        <w:rPr>
          <w:b/>
          <w:bCs/>
        </w:rPr>
        <w:t>icc</w:t>
      </w:r>
      <w:proofErr w:type="spellEnd"/>
      <w:r>
        <w:rPr>
          <w:b/>
          <w:bCs/>
        </w:rPr>
        <w:t>()</w:t>
      </w:r>
      <w:r>
        <w:t>, though minimal regional variance was observed (Figure 2).</w:t>
      </w:r>
    </w:p>
    <w:p w14:paraId="2A49CD65" w14:textId="77777777" w:rsidR="00BF1FAB" w:rsidRPr="00D4320E" w:rsidRDefault="00BF1FAB" w:rsidP="00BF1FAB">
      <w:pPr>
        <w:pStyle w:val="Heading5"/>
        <w:rPr>
          <w:color w:val="auto"/>
        </w:rPr>
      </w:pPr>
      <w:bookmarkStart w:id="9" w:name="generalized-additive-model-gam"/>
      <w:bookmarkEnd w:id="8"/>
      <w:r w:rsidRPr="00D4320E">
        <w:rPr>
          <w:b/>
          <w:bCs/>
          <w:color w:val="auto"/>
        </w:rPr>
        <w:lastRenderedPageBreak/>
        <w:t>3. Generalized Additive Model (GAM)</w:t>
      </w:r>
    </w:p>
    <w:p w14:paraId="6C595BC1" w14:textId="77777777" w:rsidR="00BF1FAB" w:rsidRDefault="00BF1FAB" w:rsidP="00BF1FAB">
      <w:pPr>
        <w:pStyle w:val="FirstParagraph"/>
      </w:pPr>
      <w:r>
        <w:t>The GAM extended the logistic model to flexibly capture nonlinear associations between survival probability and continuous predictors (</w:t>
      </w:r>
      <w:proofErr w:type="spellStart"/>
      <w:r>
        <w:t>FoT</w:t>
      </w:r>
      <w:proofErr w:type="spellEnd"/>
      <w:r>
        <w:t xml:space="preserve">, </w:t>
      </w:r>
      <w:proofErr w:type="spellStart"/>
      <w:r>
        <w:t>HhS</w:t>
      </w:r>
      <w:proofErr w:type="spellEnd"/>
      <w:r>
        <w:t xml:space="preserve">, WI, </w:t>
      </w:r>
      <w:proofErr w:type="spellStart"/>
      <w:r>
        <w:t>EduL</w:t>
      </w:r>
      <w:proofErr w:type="spellEnd"/>
      <w:r>
        <w:t>) using penalized regression splines. The model takes the form:</w:t>
      </w:r>
    </w:p>
    <w:p w14:paraId="3B21E091" w14:textId="29E7575A" w:rsidR="00BF1FAB" w:rsidRDefault="00BF1FAB" w:rsidP="00BF1FAB">
      <w:pPr>
        <w:pStyle w:val="BodyText"/>
      </w:pPr>
      <m:oMath>
        <m:r>
          <m:rPr>
            <m:nor/>
          </m:rPr>
          <m:t>logit</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m:rPr>
                <m:nor/>
              </m:rPr>
              <m:t>FoT</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m:rPr>
                <m:nor/>
              </m:rPr>
              <m:t>HhS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m:rPr>
            <m:sty m:val="p"/>
          </m:rPr>
          <w:rPr>
            <w:rFonts w:ascii="Cambria Math" w:hAnsi="Cambria Math"/>
          </w:rPr>
          <m:t>(</m:t>
        </m:r>
        <m:sSub>
          <m:sSubPr>
            <m:ctrlPr>
              <w:rPr>
                <w:rFonts w:ascii="Cambria Math" w:hAnsi="Cambria Math"/>
              </w:rPr>
            </m:ctrlPr>
          </m:sSubPr>
          <m:e>
            <m:r>
              <m:rPr>
                <m:nor/>
              </m:rPr>
              <m:t>WI</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m:rPr>
            <m:sty m:val="p"/>
          </m:rPr>
          <w:rPr>
            <w:rFonts w:ascii="Cambria Math" w:hAnsi="Cambria Math"/>
          </w:rPr>
          <m:t>(</m:t>
        </m:r>
        <m:sSub>
          <m:sSubPr>
            <m:ctrlPr>
              <w:rPr>
                <w:rFonts w:ascii="Cambria Math" w:hAnsi="Cambria Math"/>
              </w:rPr>
            </m:ctrlPr>
          </m:sSubPr>
          <m:e>
            <m:r>
              <m:rPr>
                <m:nor/>
              </m:rPr>
              <m:t>EduL</m:t>
            </m:r>
          </m:e>
          <m:sub>
            <m: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β</m:t>
                </m:r>
              </m:e>
              <m:sub>
                <m:r>
                  <w:rPr>
                    <w:rFonts w:ascii="Cambria Math" w:hAnsi="Cambria Math"/>
                  </w:rPr>
                  <m:t>m</m:t>
                </m:r>
              </m:sub>
            </m:sSub>
          </m:e>
        </m:nary>
        <m:sSub>
          <m:sSubPr>
            <m:ctrlPr>
              <w:rPr>
                <w:rFonts w:ascii="Cambria Math" w:hAnsi="Cambria Math"/>
              </w:rPr>
            </m:ctrlPr>
          </m:sSubPr>
          <m:e>
            <m:r>
              <w:rPr>
                <w:rFonts w:ascii="Cambria Math" w:hAnsi="Cambria Math"/>
              </w:rPr>
              <m:t>Z</m:t>
            </m:r>
          </m:e>
          <m:sub>
            <m:r>
              <w:rPr>
                <w:rFonts w:ascii="Cambria Math" w:hAnsi="Cambria Math"/>
              </w:rPr>
              <m:t>im</m:t>
            </m:r>
          </m:sub>
        </m:sSub>
      </m:oMath>
      <w:r w:rsidR="00164407">
        <w:rPr>
          <w:rFonts w:eastAsiaTheme="minorEastAsia"/>
        </w:rPr>
        <w:t xml:space="preserve"> ……3</w:t>
      </w:r>
    </w:p>
    <w:p w14:paraId="2850C13F" w14:textId="5A7F67CE" w:rsidR="00BF1FAB" w:rsidRDefault="00BF1FAB" w:rsidP="007C4A07">
      <w:pPr>
        <w:pStyle w:val="FirstParagraph"/>
      </w:pPr>
      <w:r>
        <w:t xml:space="preserve">where </w:t>
      </w:r>
      <m:oMath>
        <m:sSub>
          <m:sSubPr>
            <m:ctrlPr>
              <w:rPr>
                <w:rFonts w:ascii="Cambria Math" w:hAnsi="Cambria Math"/>
              </w:rPr>
            </m:ctrlPr>
          </m:sSubPr>
          <m:e>
            <m:r>
              <w:rPr>
                <w:rFonts w:ascii="Cambria Math" w:hAnsi="Cambria Math"/>
              </w:rPr>
              <m:t>f</m:t>
            </m:r>
          </m:e>
          <m:sub>
            <m:r>
              <w:rPr>
                <w:rFonts w:ascii="Cambria Math" w:hAnsi="Cambria Math"/>
              </w:rPr>
              <m:t>r</m:t>
            </m:r>
          </m:sub>
        </m:sSub>
        <m:r>
          <m:rPr>
            <m:sty m:val="p"/>
          </m:rPr>
          <w:rPr>
            <w:rFonts w:ascii="Cambria Math" w:hAnsi="Cambria Math"/>
          </w:rPr>
          <m:t>(⋅)</m:t>
        </m:r>
      </m:oMath>
      <w:r>
        <w:t xml:space="preserve"> denotes smooth </w:t>
      </w:r>
      <w:proofErr w:type="gramStart"/>
      <w:r>
        <w:t>spline</w:t>
      </w:r>
      <w:proofErr w:type="gramEnd"/>
      <w:r>
        <w:t xml:space="preserve"> functions estimated via </w:t>
      </w:r>
      <w:proofErr w:type="spellStart"/>
      <w:r>
        <w:rPr>
          <w:b/>
          <w:bCs/>
        </w:rPr>
        <w:t>mgcv</w:t>
      </w:r>
      <w:proofErr w:type="spellEnd"/>
      <w:r>
        <w:t xml:space="preserve"> using restricted maximum likelihood (REML).</w:t>
      </w:r>
      <w:r>
        <w:br/>
        <w:t xml:space="preserve">The GAM achieved an AUC = </w:t>
      </w:r>
      <w:r>
        <w:rPr>
          <w:b/>
          <w:bCs/>
        </w:rPr>
        <w:t>0.761</w:t>
      </w:r>
      <w:r>
        <w:t xml:space="preserve"> (Figure 3), with partial effect plots (Figures 4</w:t>
      </w:r>
      <w:r w:rsidR="007C4A07">
        <w:t>-</w:t>
      </w:r>
      <w:r>
        <w:t>5) showing a nonlinear decline in mortality with increasing paternal age (</w:t>
      </w:r>
      <w:proofErr w:type="spellStart"/>
      <w:r>
        <w:t>FoT</w:t>
      </w:r>
      <w:proofErr w:type="spellEnd"/>
      <w:r>
        <w:t>), and a flat response for household size (</w:t>
      </w:r>
      <w:proofErr w:type="spellStart"/>
      <w:r>
        <w:t>HhS</w:t>
      </w:r>
      <w:proofErr w:type="spellEnd"/>
      <w:r>
        <w:t>).</w:t>
      </w:r>
    </w:p>
    <w:p w14:paraId="3D126794" w14:textId="77777777" w:rsidR="00BF1FAB" w:rsidRPr="00D4320E" w:rsidRDefault="00BF1FAB" w:rsidP="00BF1FAB">
      <w:pPr>
        <w:pStyle w:val="Heading5"/>
        <w:rPr>
          <w:color w:val="auto"/>
        </w:rPr>
      </w:pPr>
      <w:bookmarkStart w:id="10" w:name="machine-learning-model-xgboost"/>
      <w:bookmarkEnd w:id="9"/>
      <w:r w:rsidRPr="00D4320E">
        <w:rPr>
          <w:b/>
          <w:bCs/>
          <w:color w:val="auto"/>
        </w:rPr>
        <w:t>4. Machine Learning Model (</w:t>
      </w:r>
      <w:proofErr w:type="spellStart"/>
      <w:r w:rsidRPr="00D4320E">
        <w:rPr>
          <w:b/>
          <w:bCs/>
          <w:color w:val="auto"/>
        </w:rPr>
        <w:t>XGBoost</w:t>
      </w:r>
      <w:proofErr w:type="spellEnd"/>
      <w:r w:rsidRPr="00D4320E">
        <w:rPr>
          <w:b/>
          <w:bCs/>
          <w:color w:val="auto"/>
        </w:rPr>
        <w:t>)</w:t>
      </w:r>
    </w:p>
    <w:p w14:paraId="061C5C81" w14:textId="77777777" w:rsidR="00BF1FAB" w:rsidRDefault="00BF1FAB" w:rsidP="00BF1FAB">
      <w:pPr>
        <w:pStyle w:val="FirstParagraph"/>
      </w:pPr>
      <w:r>
        <w:t>To enhance predictive accuracy and explore feature interactions, a gradient boosting model (</w:t>
      </w:r>
      <w:proofErr w:type="spellStart"/>
      <w:r>
        <w:t>XGBoost</w:t>
      </w:r>
      <w:proofErr w:type="spellEnd"/>
      <w:r>
        <w:t>) was developed:</w:t>
      </w:r>
    </w:p>
    <w:p w14:paraId="09157C23" w14:textId="428ACAB0" w:rsidR="00BF1FAB" w:rsidRDefault="000276A0" w:rsidP="00BF1FAB">
      <w:pPr>
        <w:pStyle w:val="BodyText"/>
      </w:pPr>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m:t>
            </m:r>
            <m:r>
              <w:rPr>
                <w:rFonts w:ascii="Cambria Math" w:hAnsi="Cambria Math"/>
              </w:rPr>
              <m:t>1</m:t>
            </m:r>
          </m:sub>
          <m:sup>
            <m:r>
              <w:rPr>
                <w:rFonts w:ascii="Cambria Math" w:hAnsi="Cambria Math"/>
              </w:rPr>
              <m:t>T</m:t>
            </m:r>
          </m:sup>
          <m:e>
            <m:r>
              <w:rPr>
                <w:rFonts w:ascii="Cambria Math" w:hAnsi="Cambria Math"/>
              </w:rPr>
              <m:t>η</m:t>
            </m:r>
          </m:e>
        </m:nary>
        <m:sSub>
          <m:sSubPr>
            <m:ctrlPr>
              <w:rPr>
                <w:rFonts w:ascii="Cambria Math" w:hAnsi="Cambria Math"/>
              </w:rPr>
            </m:ctrlPr>
          </m:sSubPr>
          <m:e>
            <m:r>
              <w:rPr>
                <w:rFonts w:ascii="Cambria Math" w:hAnsi="Cambria Math"/>
              </w:rPr>
              <m:t>f</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f</m:t>
            </m:r>
          </m:e>
          <m:sub>
            <m:r>
              <w:rPr>
                <w:rFonts w:ascii="Cambria Math" w:hAnsi="Cambria Math"/>
              </w:rPr>
              <m:t>t</m:t>
            </m:r>
          </m:sub>
        </m:sSub>
        <m:r>
          <m:rPr>
            <m:scr m:val="script"/>
            <m:sty m:val="p"/>
          </m:rPr>
          <w:rPr>
            <w:rFonts w:ascii="Cambria Math" w:hAnsi="Cambria Math"/>
          </w:rPr>
          <m:t>∈F</m:t>
        </m:r>
      </m:oMath>
      <w:r w:rsidR="00164407">
        <w:rPr>
          <w:rFonts w:eastAsiaTheme="minorEastAsia"/>
        </w:rPr>
        <w:t xml:space="preserve"> ………………………….4</w:t>
      </w:r>
    </w:p>
    <w:p w14:paraId="1847F1D5" w14:textId="77777777" w:rsidR="00BF1FAB" w:rsidRDefault="00BF1FAB" w:rsidP="00BF1FAB">
      <w:pPr>
        <w:pStyle w:val="FirstParagraph"/>
      </w:pPr>
      <w:r>
        <w:t xml:space="preserve">where each </w:t>
      </w:r>
      <m:oMath>
        <m:sSub>
          <m:sSubPr>
            <m:ctrlPr>
              <w:rPr>
                <w:rFonts w:ascii="Cambria Math" w:hAnsi="Cambria Math"/>
              </w:rPr>
            </m:ctrlPr>
          </m:sSubPr>
          <m:e>
            <m:r>
              <w:rPr>
                <w:rFonts w:ascii="Cambria Math" w:hAnsi="Cambria Math"/>
              </w:rPr>
              <m:t>f</m:t>
            </m:r>
          </m:e>
          <m:sub>
            <m:r>
              <w:rPr>
                <w:rFonts w:ascii="Cambria Math" w:hAnsi="Cambria Math"/>
              </w:rPr>
              <m:t>t</m:t>
            </m:r>
          </m:sub>
        </m:sSub>
      </m:oMath>
      <w:r>
        <w:t xml:space="preserve"> represents a regression tree, </w:t>
      </w:r>
      <m:oMath>
        <m:r>
          <w:rPr>
            <w:rFonts w:ascii="Cambria Math" w:hAnsi="Cambria Math"/>
          </w:rPr>
          <m:t>η</m:t>
        </m:r>
      </m:oMath>
      <w:r>
        <w:t xml:space="preserve"> is the learning rate, and </w:t>
      </w:r>
      <m:oMath>
        <m:r>
          <w:rPr>
            <w:rFonts w:ascii="Cambria Math" w:hAnsi="Cambria Math"/>
          </w:rPr>
          <m:t>T</m:t>
        </m:r>
      </m:oMath>
      <w:r>
        <w:t xml:space="preserve"> is the number of trees.</w:t>
      </w:r>
      <w:r>
        <w:br/>
        <w:t xml:space="preserve">Model hyperparameters included </w:t>
      </w:r>
      <w:proofErr w:type="spellStart"/>
      <w:r>
        <w:rPr>
          <w:i/>
          <w:iCs/>
        </w:rPr>
        <w:t>max_depth</w:t>
      </w:r>
      <w:proofErr w:type="spellEnd"/>
      <w:r>
        <w:rPr>
          <w:i/>
          <w:iCs/>
        </w:rPr>
        <w:t xml:space="preserve"> = 4</w:t>
      </w:r>
      <w:r>
        <w:t xml:space="preserve">, </w:t>
      </w:r>
      <w:r>
        <w:rPr>
          <w:i/>
          <w:iCs/>
        </w:rPr>
        <w:t>eta = 0.05</w:t>
      </w:r>
      <w:r>
        <w:t xml:space="preserve">, </w:t>
      </w:r>
      <w:r>
        <w:rPr>
          <w:i/>
          <w:iCs/>
        </w:rPr>
        <w:t>subsample = 0.8</w:t>
      </w:r>
      <w:r>
        <w:t xml:space="preserve">, and </w:t>
      </w:r>
      <w:proofErr w:type="spellStart"/>
      <w:r>
        <w:rPr>
          <w:i/>
          <w:iCs/>
        </w:rPr>
        <w:t>colsample_bytree</w:t>
      </w:r>
      <w:proofErr w:type="spellEnd"/>
      <w:r>
        <w:rPr>
          <w:i/>
          <w:iCs/>
        </w:rPr>
        <w:t xml:space="preserve"> = 0.8</w:t>
      </w:r>
      <w:r>
        <w:t>.</w:t>
      </w:r>
    </w:p>
    <w:p w14:paraId="15320E64" w14:textId="00B2C12E" w:rsidR="00BF1FAB" w:rsidRDefault="00BF1FAB" w:rsidP="007C4A07">
      <w:pPr>
        <w:pStyle w:val="BodyText"/>
      </w:pPr>
      <w:r>
        <w:t xml:space="preserve">Model </w:t>
      </w:r>
      <w:proofErr w:type="spellStart"/>
      <w:r>
        <w:t>explainability</w:t>
      </w:r>
      <w:proofErr w:type="spellEnd"/>
      <w:r>
        <w:t xml:space="preserve"> was derived using SHAP (</w:t>
      </w:r>
      <w:proofErr w:type="spellStart"/>
      <w:r>
        <w:t>SHapley</w:t>
      </w:r>
      <w:proofErr w:type="spellEnd"/>
      <w:r>
        <w:t xml:space="preserve"> Additive </w:t>
      </w:r>
      <w:proofErr w:type="spellStart"/>
      <w:r>
        <w:t>exPlanations</w:t>
      </w:r>
      <w:proofErr w:type="spellEnd"/>
      <w:r>
        <w:t>) values, quantifying each feature’s contribution to individual predictions.</w:t>
      </w:r>
      <w:r>
        <w:br/>
        <w:t xml:space="preserve">The top drivers identified were </w:t>
      </w:r>
      <w:proofErr w:type="spellStart"/>
      <w:r w:rsidRPr="00053A90">
        <w:t>FoT</w:t>
      </w:r>
      <w:proofErr w:type="spellEnd"/>
      <w:r w:rsidRPr="00053A90">
        <w:t xml:space="preserve">, </w:t>
      </w:r>
      <w:proofErr w:type="spellStart"/>
      <w:r w:rsidRPr="00053A90">
        <w:t>HhS</w:t>
      </w:r>
      <w:proofErr w:type="spellEnd"/>
      <w:r w:rsidRPr="00053A90">
        <w:t xml:space="preserve">, WI, and </w:t>
      </w:r>
      <w:proofErr w:type="spellStart"/>
      <w:r w:rsidRPr="00053A90">
        <w:t>SexHH</w:t>
      </w:r>
      <w:proofErr w:type="spellEnd"/>
      <w:r w:rsidRPr="00053A90">
        <w:t xml:space="preserve"> (Figures 6</w:t>
      </w:r>
      <w:r w:rsidR="007C4A07" w:rsidRPr="00053A90">
        <w:t>-</w:t>
      </w:r>
      <w:r w:rsidRPr="00053A90">
        <w:t>8).</w:t>
      </w:r>
      <w:r w:rsidRPr="00053A90">
        <w:br/>
        <w:t>The model achieved an AUC = 0.760</w:t>
      </w:r>
      <w:r>
        <w:t xml:space="preserve"> (Figure 6), demonstrating parity with parametric counterparts but superior interpretability through feature importance and SHAP diagnostics.</w:t>
      </w:r>
    </w:p>
    <w:p w14:paraId="3C5EC91A" w14:textId="77777777" w:rsidR="00BF1FAB" w:rsidRPr="00D4320E" w:rsidRDefault="00BF1FAB" w:rsidP="00BF1FAB">
      <w:pPr>
        <w:pStyle w:val="Heading4"/>
        <w:rPr>
          <w:i w:val="0"/>
          <w:iCs w:val="0"/>
          <w:color w:val="auto"/>
        </w:rPr>
      </w:pPr>
      <w:bookmarkStart w:id="11" w:name="model-evaluation-and-calibration"/>
      <w:bookmarkEnd w:id="6"/>
      <w:bookmarkEnd w:id="10"/>
      <w:r w:rsidRPr="00D4320E">
        <w:rPr>
          <w:b/>
          <w:bCs/>
          <w:i w:val="0"/>
          <w:iCs w:val="0"/>
          <w:color w:val="auto"/>
        </w:rPr>
        <w:t>Model Evaluation and Calibration</w:t>
      </w:r>
    </w:p>
    <w:p w14:paraId="1B55BBD2" w14:textId="4C7440C7" w:rsidR="00BF1FAB" w:rsidRDefault="00BF1FAB" w:rsidP="00BF1FAB">
      <w:pPr>
        <w:pStyle w:val="FirstParagraph"/>
      </w:pPr>
      <w:r>
        <w:t>All models were validated on a 70:30 train</w:t>
      </w:r>
      <w:r w:rsidR="00D4320E">
        <w:t>-</w:t>
      </w:r>
      <w:r>
        <w:t>test split using ROC analysis and AUC comparison. Model calibration was assessed using nonparametric LOESS smoothing of observed versus predicted probabilities:</w:t>
      </w:r>
    </w:p>
    <w:p w14:paraId="431324CE" w14:textId="3309AE8D" w:rsidR="00BF1FAB" w:rsidRDefault="000276A0" w:rsidP="00BF1FAB">
      <w:pPr>
        <w:pStyle w:val="BodyText"/>
      </w:pPr>
      <m:oMath>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obs</m:t>
            </m:r>
          </m:sub>
        </m:sSub>
        <m:r>
          <m:rPr>
            <m:sty m:val="p"/>
          </m:rPr>
          <w:rPr>
            <w:rFonts w:ascii="Cambria Math" w:hAnsi="Cambria Math"/>
          </w:rPr>
          <m:t>=</m:t>
        </m:r>
        <m:r>
          <w:rPr>
            <w:rFonts w:ascii="Cambria Math" w:hAnsi="Cambria Math"/>
          </w:rPr>
          <m:t>g</m:t>
        </m:r>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pred</m:t>
            </m:r>
          </m:sub>
        </m:sSub>
        <m:r>
          <m:rPr>
            <m:sty m:val="p"/>
          </m:rPr>
          <w:rPr>
            <w:rFonts w:ascii="Cambria Math" w:hAnsi="Cambria Math"/>
          </w:rPr>
          <m:t>)+</m:t>
        </m:r>
        <m:r>
          <w:rPr>
            <w:rFonts w:ascii="Cambria Math" w:hAnsi="Cambria Math"/>
          </w:rPr>
          <m:t>ε</m:t>
        </m:r>
      </m:oMath>
      <w:r w:rsidR="00164407">
        <w:rPr>
          <w:rFonts w:eastAsiaTheme="minorEastAsia"/>
        </w:rPr>
        <w:t>………………………….5</w:t>
      </w:r>
    </w:p>
    <w:p w14:paraId="5077D18B" w14:textId="77777777" w:rsidR="00BF1FAB" w:rsidRDefault="00BF1FAB" w:rsidP="00BF1FAB">
      <w:pPr>
        <w:pStyle w:val="FirstParagraph"/>
      </w:pPr>
      <w:r>
        <w:t xml:space="preserve">Calibration plots (Figure 9) showed consistent predictive reliability across models, with logistic regression performing conservatively at lower risk levels and </w:t>
      </w:r>
      <w:proofErr w:type="spellStart"/>
      <w:r>
        <w:t>XGBoost</w:t>
      </w:r>
      <w:proofErr w:type="spellEnd"/>
      <w:r>
        <w:t xml:space="preserve"> showing stronger calibration in high-risk ranges.</w:t>
      </w:r>
    </w:p>
    <w:p w14:paraId="1FAEB21E" w14:textId="77777777" w:rsidR="00BF1FAB" w:rsidRDefault="00BF1FAB" w:rsidP="00BF1FAB">
      <w:pPr>
        <w:pStyle w:val="BodyText"/>
      </w:pPr>
      <w:r>
        <w:t xml:space="preserve">Discrimination metrics summarized in </w:t>
      </w:r>
      <w:r w:rsidRPr="00053A90">
        <w:t>Table 2</w:t>
      </w:r>
      <w:r>
        <w:t xml:space="preserve"> reveal minimal divergence across models (AUC range: 0.760–0.764), indicating robust model convergence and reliable inference across multiple methodological lenses.</w:t>
      </w:r>
    </w:p>
    <w:p w14:paraId="0BF3DC9A" w14:textId="77777777" w:rsidR="00BF1FAB" w:rsidRDefault="00BF1FAB" w:rsidP="00BF1FAB"/>
    <w:bookmarkEnd w:id="4"/>
    <w:bookmarkEnd w:id="11"/>
    <w:p w14:paraId="609E26AC" w14:textId="70557581" w:rsidR="005A611B" w:rsidRPr="005A611B" w:rsidRDefault="00A03B80" w:rsidP="005A61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Results and </w:t>
      </w:r>
      <w:r w:rsidR="005A611B" w:rsidRPr="005A611B">
        <w:rPr>
          <w:rFonts w:ascii="Times New Roman" w:eastAsia="Times New Roman" w:hAnsi="Times New Roman" w:cs="Times New Roman"/>
          <w:b/>
          <w:bCs/>
          <w:kern w:val="0"/>
          <w:sz w:val="27"/>
          <w:szCs w:val="27"/>
          <w14:ligatures w14:val="none"/>
        </w:rPr>
        <w:t>Discussion</w:t>
      </w:r>
    </w:p>
    <w:p w14:paraId="705C3927" w14:textId="400CBF43" w:rsidR="004C2B12" w:rsidRPr="00CE19AE" w:rsidRDefault="004C2B12" w:rsidP="00053A90">
      <w:pPr>
        <w:pStyle w:val="Heading3"/>
        <w:rPr>
          <w:rFonts w:ascii="Times New Roman" w:hAnsi="Times New Roman" w:cs="Times New Roman"/>
          <w:color w:val="auto"/>
          <w:sz w:val="24"/>
          <w:szCs w:val="24"/>
        </w:rPr>
      </w:pPr>
      <w:r w:rsidRPr="00CE19AE">
        <w:rPr>
          <w:rFonts w:ascii="Times New Roman" w:hAnsi="Times New Roman" w:cs="Times New Roman"/>
          <w:color w:val="auto"/>
          <w:sz w:val="24"/>
          <w:szCs w:val="24"/>
        </w:rPr>
        <w:lastRenderedPageBreak/>
        <w:t>Table 1: GAM Summary (log-odds)</w:t>
      </w:r>
    </w:p>
    <w:tbl>
      <w:tblPr>
        <w:tblW w:w="11554" w:type="dxa"/>
        <w:jc w:val="center"/>
        <w:tblLayout w:type="fixed"/>
        <w:tblLook w:val="0420" w:firstRow="1" w:lastRow="0" w:firstColumn="0" w:lastColumn="0" w:noHBand="0" w:noVBand="1"/>
      </w:tblPr>
      <w:tblGrid>
        <w:gridCol w:w="1332"/>
        <w:gridCol w:w="1667"/>
        <w:gridCol w:w="1483"/>
        <w:gridCol w:w="1667"/>
        <w:gridCol w:w="5405"/>
      </w:tblGrid>
      <w:tr w:rsidR="004C2B12" w14:paraId="7793F50B" w14:textId="77777777" w:rsidTr="007C013F">
        <w:trPr>
          <w:trHeight w:val="446"/>
          <w:tblHeader/>
          <w:jc w:val="center"/>
        </w:trPr>
        <w:tc>
          <w:tcPr>
            <w:tcW w:w="133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0973AC"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rPr>
            </w:pPr>
            <w:r>
              <w:rPr>
                <w:rFonts w:ascii="Arial" w:eastAsia="Arial" w:hAnsi="Arial" w:cs="Arial"/>
                <w:b/>
                <w:color w:val="000000"/>
              </w:rPr>
              <w:t>Term</w:t>
            </w:r>
          </w:p>
        </w:tc>
        <w:tc>
          <w:tcPr>
            <w:tcW w:w="1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A7538C"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rPr>
            </w:pPr>
            <w:r>
              <w:rPr>
                <w:rFonts w:ascii="Arial" w:eastAsia="Arial" w:hAnsi="Arial" w:cs="Arial"/>
                <w:b/>
                <w:color w:val="000000"/>
              </w:rPr>
              <w:t>Estimate</w:t>
            </w:r>
          </w:p>
        </w:tc>
        <w:tc>
          <w:tcPr>
            <w:tcW w:w="148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3CCEF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rPr>
            </w:pPr>
            <w:r>
              <w:rPr>
                <w:rFonts w:ascii="Arial" w:eastAsia="Arial" w:hAnsi="Arial" w:cs="Arial"/>
                <w:b/>
                <w:color w:val="000000"/>
              </w:rPr>
              <w:t>SE</w:t>
            </w:r>
          </w:p>
        </w:tc>
        <w:tc>
          <w:tcPr>
            <w:tcW w:w="1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DCC0E8"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rPr>
            </w:pPr>
            <w:r>
              <w:rPr>
                <w:rFonts w:ascii="Arial" w:eastAsia="Arial" w:hAnsi="Arial" w:cs="Arial"/>
                <w:b/>
                <w:color w:val="000000"/>
              </w:rPr>
              <w:t>z</w:t>
            </w:r>
          </w:p>
        </w:tc>
        <w:tc>
          <w:tcPr>
            <w:tcW w:w="540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E162B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rPr>
            </w:pPr>
            <w:r>
              <w:rPr>
                <w:rFonts w:ascii="Arial" w:eastAsia="Arial" w:hAnsi="Arial" w:cs="Arial"/>
                <w:b/>
                <w:color w:val="000000"/>
              </w:rPr>
              <w:t>p</w:t>
            </w:r>
          </w:p>
        </w:tc>
      </w:tr>
      <w:tr w:rsidR="004C2B12" w14:paraId="4C8265D6" w14:textId="77777777" w:rsidTr="007C013F">
        <w:trPr>
          <w:trHeight w:val="456"/>
          <w:jc w:val="center"/>
        </w:trPr>
        <w:tc>
          <w:tcPr>
            <w:tcW w:w="133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C918C"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(Intercept)</w:t>
            </w:r>
          </w:p>
        </w:tc>
        <w:tc>
          <w:tcPr>
            <w:tcW w:w="1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866B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-3.516182137</w:t>
            </w:r>
          </w:p>
        </w:tc>
        <w:tc>
          <w:tcPr>
            <w:tcW w:w="148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9B04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0.28065402</w:t>
            </w:r>
          </w:p>
        </w:tc>
        <w:tc>
          <w:tcPr>
            <w:tcW w:w="1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BB7C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-12.52852928</w:t>
            </w:r>
          </w:p>
        </w:tc>
        <w:tc>
          <w:tcPr>
            <w:tcW w:w="540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61D6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0.00000000000000</w:t>
            </w:r>
          </w:p>
        </w:tc>
      </w:tr>
      <w:tr w:rsidR="004C2B12" w14:paraId="116F1132"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99AC8"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3D4E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-0.012480703</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B917C"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0.16299857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92DA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-0.07656940</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8E67D"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0.93896610365549</w:t>
            </w:r>
          </w:p>
        </w:tc>
      </w:tr>
      <w:tr w:rsidR="004C2B12" w14:paraId="1E0E5404"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35F1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reg3</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3CA7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-0.105389606</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B6AF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0.17022835</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4160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-0.61910726</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D9AF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0.53584570197734</w:t>
            </w:r>
          </w:p>
        </w:tc>
      </w:tr>
      <w:tr w:rsidR="004C2B12" w14:paraId="021C2ECF"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9DAF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reg4</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23AC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-0.160321824</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6BB1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0.17490671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43B6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-0.91661333</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85E7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0.35934529644370</w:t>
            </w:r>
          </w:p>
        </w:tc>
      </w:tr>
      <w:tr w:rsidR="004C2B12" w14:paraId="6FC30E83"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C643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reg5</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C46A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-0.326735564</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E5A0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0.17773338</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028E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-1.83834669</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D79B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0.06601133475265</w:t>
            </w:r>
          </w:p>
        </w:tc>
      </w:tr>
      <w:tr w:rsidR="004C2B12" w14:paraId="39C46AAC"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097CD"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reg6</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C4FA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-0.084047670</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81AF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0.15987933</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EA42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-0.52569441</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B8D9C"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0.59910054749031</w:t>
            </w:r>
          </w:p>
        </w:tc>
      </w:tr>
      <w:tr w:rsidR="004C2B12" w14:paraId="195B2DD1"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D098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326A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-0.288158954</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DDD3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0.17702331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D0C1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-1.62780233</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6425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0.10356680724697</w:t>
            </w:r>
          </w:p>
        </w:tc>
      </w:tr>
      <w:tr w:rsidR="004C2B12" w14:paraId="37F2DE55"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95F3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reg8</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705A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-0.036079556</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1438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0.16380637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8FDD8"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-0.22025735</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F12D8"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0.82567073433935</w:t>
            </w:r>
          </w:p>
        </w:tc>
      </w:tr>
      <w:tr w:rsidR="004C2B12" w14:paraId="1B103BEF"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8320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reg9</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3230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-0.238485320</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2EB0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0.17889538</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03E1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-1.33309938</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A050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0.18249919418417</w:t>
            </w:r>
          </w:p>
        </w:tc>
      </w:tr>
      <w:tr w:rsidR="004C2B12" w14:paraId="484E7E33"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80E7F"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reg10</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113B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-0.046622544</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D93A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0.15851870</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DDB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-0.29411385</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74E9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0.76867090995709</w:t>
            </w:r>
          </w:p>
        </w:tc>
      </w:tr>
      <w:tr w:rsidR="004C2B12" w14:paraId="31575F63"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C3CB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reg11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2690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-0.221440754</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36FD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0.16114790</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60CC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-1.37414612</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421F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0.16939632574271</w:t>
            </w:r>
          </w:p>
        </w:tc>
      </w:tr>
      <w:tr w:rsidR="004C2B12" w14:paraId="5EE252DA"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3395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reg12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AEF4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-0.220196020</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9832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0.15296921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A4B2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-1.43947932</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145DF"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0.15001476587840</w:t>
            </w:r>
          </w:p>
        </w:tc>
      </w:tr>
      <w:tr w:rsidR="004C2B12" w14:paraId="6CB5643A"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1630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reg13</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15B6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-0.105459513</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CB0B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0.15515745</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574E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-0.67969352</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313A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0.49669854252522</w:t>
            </w:r>
          </w:p>
        </w:tc>
      </w:tr>
      <w:tr w:rsidR="004C2B12" w14:paraId="36744E87"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2E34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reg14</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51AE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-0.147786656</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5745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0.15387527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D33C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-0.96043150</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9259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0.33683808840149</w:t>
            </w:r>
          </w:p>
        </w:tc>
      </w:tr>
      <w:tr w:rsidR="004C2B12" w14:paraId="2009B85C"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552C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reg15</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49B6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-0.158471796</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B218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0.16363987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200B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-0.96841803</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29A6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0.33283563874273</w:t>
            </w:r>
          </w:p>
        </w:tc>
      </w:tr>
      <w:tr w:rsidR="004C2B12" w14:paraId="115EF012"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2669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reg16</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62EB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-0.141898558</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AA1A8"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0.16607897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883F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-0.85440415</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ABF0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0.39288109794661</w:t>
            </w:r>
          </w:p>
        </w:tc>
      </w:tr>
      <w:tr w:rsidR="004C2B12" w14:paraId="1325C91A"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CA06F"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res2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382A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0.115700600</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804F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0.05746295</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36B1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2.01348165</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F87B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0.04406398340940</w:t>
            </w:r>
          </w:p>
        </w:tc>
      </w:tr>
      <w:tr w:rsidR="004C2B12" w14:paraId="32E10074"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0B39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sexhh2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5F308"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-0.145749715</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9519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0.06218424</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B3BD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-2.34383681</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2520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0.01908652018621</w:t>
            </w:r>
          </w:p>
        </w:tc>
      </w:tr>
      <w:tr w:rsidR="004C2B12" w14:paraId="4D57313E"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B20ED"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sodw2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B2C8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0.115110310</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8A17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0.06824906</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8464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1.68662110</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BD92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0.09167623158925</w:t>
            </w:r>
          </w:p>
        </w:tc>
      </w:tr>
      <w:tr w:rsidR="004C2B12" w14:paraId="1B2B3685"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9039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tolf2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ACF0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-0.035551789</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53B5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0.05630486</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1BBB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-0.63141597</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A354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0.52776857364059</w:t>
            </w:r>
          </w:p>
        </w:tc>
      </w:tr>
      <w:tr w:rsidR="004C2B12" w14:paraId="71BE3D32"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74F9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tolf3</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5A52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-0.007673486</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CC93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0.26800026</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F2D5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-0.02863238</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934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0.97715778432516</w:t>
            </w:r>
          </w:p>
        </w:tc>
      </w:tr>
      <w:tr w:rsidR="004C2B12" w14:paraId="3B1B32A3"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E93A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elect1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394D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-0.045354345</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1927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0.06451987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B8B1D"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-0.70295163</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4826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0.48208589235456</w:t>
            </w:r>
          </w:p>
        </w:tc>
      </w:tr>
      <w:tr w:rsidR="004C2B12" w14:paraId="0AA11668"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257E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sexc2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2233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-0.123173777</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DAB9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0.05608357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D1CB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-2.19625415</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4912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0.02807375753931</w:t>
            </w:r>
          </w:p>
        </w:tc>
      </w:tr>
      <w:tr w:rsidR="004C2B12" w14:paraId="76121F95"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53EDD"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postn1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98F2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-0.173353123</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4E5F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0.12959179</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6192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-1.33768600</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0D04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0.18099881756078</w:t>
            </w:r>
          </w:p>
        </w:tc>
      </w:tr>
      <w:tr w:rsidR="004C2B12" w14:paraId="6E0C0998"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28C6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postn2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0BC8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-0.252126017</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C9B7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0.31953482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4448D"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-0.78904083</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68A8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0.43008814528465</w:t>
            </w:r>
          </w:p>
        </w:tc>
      </w:tr>
      <w:tr w:rsidR="004C2B12" w14:paraId="0CD1AE9E"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8F5CB"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antc1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A440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-0.073122244</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0FE8F"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0.06675833</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2A65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-1.09532766</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525A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0.27337311190030</w:t>
            </w:r>
          </w:p>
        </w:tc>
      </w:tr>
      <w:tr w:rsidR="004C2B12" w14:paraId="4D4F110F"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4932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ms1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D278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-0.116114327</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1B438"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0.13869874</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B83D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-0.83716931</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D8B1F"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0.40249740669787</w:t>
            </w:r>
          </w:p>
        </w:tc>
      </w:tr>
      <w:tr w:rsidR="004C2B12" w14:paraId="3AE4CA08"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E3C6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lastRenderedPageBreak/>
              <w:t>ms2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FE7A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-0.149335279</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5C58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0.15393779</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8D01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-0.97010147</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41E2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0.33199591822068</w:t>
            </w:r>
          </w:p>
        </w:tc>
      </w:tr>
      <w:tr w:rsidR="004C2B12" w14:paraId="5AF717D6"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759E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ms3</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14B0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-0.155986442</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7863C"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0.19927819</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584F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-0.78275721</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AB10D"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0.433769700533738</w:t>
            </w:r>
          </w:p>
        </w:tc>
      </w:tr>
      <w:tr w:rsidR="004C2B12" w14:paraId="4BAC43C1"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A5DF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ms4</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36B7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-0.132994080</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E06C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0.21489680</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5C3C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-0.61887419</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45C7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0.535999245128020</w:t>
            </w:r>
          </w:p>
        </w:tc>
      </w:tr>
      <w:tr w:rsidR="004C2B12" w14:paraId="6FCA66AF"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02D2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ms5</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0726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0.029726583</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0C4D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0.18000338</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C182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0.16514458</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7D59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0.868830181151023</w:t>
            </w:r>
          </w:p>
        </w:tc>
      </w:tr>
      <w:tr w:rsidR="004C2B12" w14:paraId="76815283" w14:textId="77777777" w:rsidTr="007C013F">
        <w:trPr>
          <w:trHeight w:val="45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23D7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contm1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BC0E4"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-0.155446650</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39E1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0.13013427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4486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-1.19450969</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A307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0.232278652102569</w:t>
            </w:r>
          </w:p>
        </w:tc>
      </w:tr>
      <w:tr w:rsidR="004C2B12" w14:paraId="6A90C77B"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7684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contm2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8028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0.059443671</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49D67"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0.06403481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7350A"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0.92830251</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A7D96"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0.353250674502938</w:t>
            </w:r>
          </w:p>
        </w:tc>
      </w:tr>
      <w:tr w:rsidR="004C2B12" w14:paraId="10A26BEF"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1B61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hel1</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271BC"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0.128231028</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1FEA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0.07804199</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43AB1"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1.64310290</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C7E3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0.1003616456718764</w:t>
            </w:r>
          </w:p>
        </w:tc>
      </w:tr>
      <w:tr w:rsidR="004C2B12" w14:paraId="6ADD46D9" w14:textId="77777777" w:rsidTr="007C013F">
        <w:trPr>
          <w:trHeight w:val="446"/>
          <w:jc w:val="center"/>
        </w:trPr>
        <w:tc>
          <w:tcPr>
            <w:tcW w:w="133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35789"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hel2</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206F2"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0.043430763</w:t>
            </w:r>
          </w:p>
        </w:tc>
        <w:tc>
          <w:tcPr>
            <w:tcW w:w="14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16C7E"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0.06588027</w:t>
            </w:r>
          </w:p>
        </w:tc>
        <w:tc>
          <w:tcPr>
            <w:tcW w:w="1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C244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0.65923777</w:t>
            </w:r>
          </w:p>
        </w:tc>
        <w:tc>
          <w:tcPr>
            <w:tcW w:w="54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846B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0.5097430992260323</w:t>
            </w:r>
          </w:p>
        </w:tc>
      </w:tr>
      <w:tr w:rsidR="004C2B12" w14:paraId="5DCA79F6" w14:textId="77777777" w:rsidTr="007C013F">
        <w:trPr>
          <w:trHeight w:val="456"/>
          <w:jc w:val="center"/>
        </w:trPr>
        <w:tc>
          <w:tcPr>
            <w:tcW w:w="133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F3DC68"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hel3</w:t>
            </w:r>
          </w:p>
        </w:tc>
        <w:tc>
          <w:tcPr>
            <w:tcW w:w="1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5B5913"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0.058748719</w:t>
            </w:r>
          </w:p>
        </w:tc>
        <w:tc>
          <w:tcPr>
            <w:tcW w:w="148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74F8D5"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0.11605124</w:t>
            </w:r>
          </w:p>
        </w:tc>
        <w:tc>
          <w:tcPr>
            <w:tcW w:w="1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7ACF6F"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0.50623087</w:t>
            </w:r>
          </w:p>
        </w:tc>
        <w:tc>
          <w:tcPr>
            <w:tcW w:w="540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7496D0" w14:textId="77777777" w:rsidR="004C2B12" w:rsidRDefault="004C2B12"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0.6126945891127970</w:t>
            </w:r>
          </w:p>
        </w:tc>
      </w:tr>
    </w:tbl>
    <w:p w14:paraId="3BB5A863" w14:textId="77777777" w:rsidR="004C2B12" w:rsidRPr="00C12E68" w:rsidRDefault="004C2B12" w:rsidP="004C2B12"/>
    <w:p w14:paraId="0CB9638A" w14:textId="77777777" w:rsidR="007C4A07"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This study set out to model under-five survival in Ghana using a </w:t>
      </w:r>
      <w:proofErr w:type="spellStart"/>
      <w:r w:rsidRPr="005A611B">
        <w:rPr>
          <w:rFonts w:ascii="Times New Roman" w:eastAsia="Times New Roman" w:hAnsi="Times New Roman" w:cs="Times New Roman"/>
          <w:kern w:val="0"/>
          <w:sz w:val="24"/>
          <w:szCs w:val="24"/>
          <w14:ligatures w14:val="none"/>
        </w:rPr>
        <w:t>harmonised</w:t>
      </w:r>
      <w:proofErr w:type="spellEnd"/>
      <w:r w:rsidRPr="005A611B">
        <w:rPr>
          <w:rFonts w:ascii="Times New Roman" w:eastAsia="Times New Roman" w:hAnsi="Times New Roman" w:cs="Times New Roman"/>
          <w:kern w:val="0"/>
          <w:sz w:val="24"/>
          <w:szCs w:val="24"/>
          <w14:ligatures w14:val="none"/>
        </w:rPr>
        <w:t xml:space="preserve"> analytical pipeline that combined classical statistics, flexible semiparametric modeling, and explainable machine learning. Across logistic regression, multilevel logistic regression, generalized additive models, and </w:t>
      </w:r>
      <w:proofErr w:type="spellStart"/>
      <w:r w:rsidRPr="005A611B">
        <w:rPr>
          <w:rFonts w:ascii="Times New Roman" w:eastAsia="Times New Roman" w:hAnsi="Times New Roman" w:cs="Times New Roman"/>
          <w:kern w:val="0"/>
          <w:sz w:val="24"/>
          <w:szCs w:val="24"/>
          <w14:ligatures w14:val="none"/>
        </w:rPr>
        <w:t>XGBoost</w:t>
      </w:r>
      <w:proofErr w:type="spellEnd"/>
      <w:r w:rsidRPr="005A611B">
        <w:rPr>
          <w:rFonts w:ascii="Times New Roman" w:eastAsia="Times New Roman" w:hAnsi="Times New Roman" w:cs="Times New Roman"/>
          <w:kern w:val="0"/>
          <w:sz w:val="24"/>
          <w:szCs w:val="24"/>
          <w14:ligatures w14:val="none"/>
        </w:rPr>
        <w:t>, all models achieved closely aligned discrimination, with AUC values between 0.760 and 0.764 as summarized in Table 2. This convergence suggests that the main survival signal in the data is stable and not an artefact of any single modeling paradigm. The logistic ROC curve in Figure 1 and the multilevel ROC in Figure 2 both demonstrate substantial discriminative capacity, which confirms that routinely collected socioeconomic, demographic, and service-related covariates can reliably distinguish between surviving and non-surviving under-five children in Ghana.</w:t>
      </w:r>
      <w:r w:rsidR="007C4A07">
        <w:rPr>
          <w:rFonts w:ascii="Times New Roman" w:eastAsia="Times New Roman" w:hAnsi="Times New Roman" w:cs="Times New Roman"/>
          <w:kern w:val="0"/>
          <w:sz w:val="24"/>
          <w:szCs w:val="24"/>
          <w14:ligatures w14:val="none"/>
        </w:rPr>
        <w:t xml:space="preserve"> </w:t>
      </w:r>
    </w:p>
    <w:p w14:paraId="7083F5AF" w14:textId="77777777" w:rsidR="00BD5DCD" w:rsidRPr="007B407E" w:rsidRDefault="00BD5DCD" w:rsidP="00BD5DCD">
      <w:pPr>
        <w:pStyle w:val="Heading3"/>
        <w:rPr>
          <w:rFonts w:ascii="Times New Roman" w:hAnsi="Times New Roman" w:cs="Times New Roman"/>
          <w:color w:val="auto"/>
          <w:sz w:val="24"/>
          <w:szCs w:val="24"/>
        </w:rPr>
      </w:pPr>
      <w:r w:rsidRPr="007B407E">
        <w:rPr>
          <w:rFonts w:ascii="Times New Roman" w:hAnsi="Times New Roman" w:cs="Times New Roman"/>
          <w:color w:val="auto"/>
          <w:sz w:val="24"/>
          <w:szCs w:val="24"/>
        </w:rPr>
        <w:t>Table 2: Discrimination Summary (AUC)</w:t>
      </w:r>
    </w:p>
    <w:p w14:paraId="11753B4E" w14:textId="77777777" w:rsidR="00BD5DCD" w:rsidRDefault="00BD5DCD" w:rsidP="00BD5DCD">
      <w:pPr>
        <w:pStyle w:val="TableCaption"/>
        <w:keepNext/>
        <w:pBdr>
          <w:top w:val="none" w:sz="0" w:space="0" w:color="000000"/>
          <w:left w:val="none" w:sz="0" w:space="0" w:color="000000"/>
          <w:bottom w:val="none" w:sz="0" w:space="0" w:color="000000"/>
          <w:right w:val="none" w:sz="0" w:space="0" w:color="000000"/>
        </w:pBdr>
        <w:spacing w:before="60" w:after="60"/>
        <w:ind w:left="60" w:right="60"/>
      </w:pPr>
      <w:r>
        <w:t>Discrimination Summary (AUC)</w:t>
      </w:r>
    </w:p>
    <w:tbl>
      <w:tblPr>
        <w:tblW w:w="0" w:type="auto"/>
        <w:jc w:val="center"/>
        <w:tblLayout w:type="fixed"/>
        <w:tblLook w:val="0420" w:firstRow="1" w:lastRow="0" w:firstColumn="0" w:lastColumn="0" w:noHBand="0" w:noVBand="1"/>
      </w:tblPr>
      <w:tblGrid>
        <w:gridCol w:w="2331"/>
        <w:gridCol w:w="1451"/>
      </w:tblGrid>
      <w:tr w:rsidR="00BD5DCD" w14:paraId="7D0ADEAF" w14:textId="77777777" w:rsidTr="007C013F">
        <w:trPr>
          <w:tblHeader/>
          <w:jc w:val="center"/>
        </w:trPr>
        <w:tc>
          <w:tcPr>
            <w:tcW w:w="233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0D535"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rPr>
            </w:pPr>
            <w:r>
              <w:rPr>
                <w:rFonts w:ascii="Arial" w:eastAsia="Arial" w:hAnsi="Arial" w:cs="Arial"/>
                <w:b/>
                <w:color w:val="000000"/>
              </w:rPr>
              <w:t>Model</w:t>
            </w:r>
          </w:p>
        </w:tc>
        <w:tc>
          <w:tcPr>
            <w:tcW w:w="145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B04318"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rPr>
            </w:pPr>
            <w:r>
              <w:rPr>
                <w:rFonts w:ascii="Arial" w:eastAsia="Arial" w:hAnsi="Arial" w:cs="Arial"/>
                <w:b/>
                <w:color w:val="000000"/>
              </w:rPr>
              <w:t>AUC</w:t>
            </w:r>
          </w:p>
        </w:tc>
      </w:tr>
      <w:tr w:rsidR="00BD5DCD" w14:paraId="2BC83C93" w14:textId="77777777" w:rsidTr="007C013F">
        <w:trPr>
          <w:jc w:val="center"/>
        </w:trPr>
        <w:tc>
          <w:tcPr>
            <w:tcW w:w="233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DE027"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Logistic Regression</w:t>
            </w:r>
          </w:p>
        </w:tc>
        <w:tc>
          <w:tcPr>
            <w:tcW w:w="145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D0652"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0.7637415</w:t>
            </w:r>
          </w:p>
        </w:tc>
      </w:tr>
      <w:tr w:rsidR="00BD5DCD" w14:paraId="65CB92C4" w14:textId="77777777" w:rsidTr="007C013F">
        <w:trPr>
          <w:jc w:val="center"/>
        </w:trPr>
        <w:tc>
          <w:tcPr>
            <w:tcW w:w="23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8A380"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Multilevel Logistic</w:t>
            </w:r>
          </w:p>
        </w:tc>
        <w:tc>
          <w:tcPr>
            <w:tcW w:w="14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54603"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0.7637956</w:t>
            </w:r>
          </w:p>
        </w:tc>
      </w:tr>
      <w:tr w:rsidR="00BD5DCD" w14:paraId="4F93E591" w14:textId="77777777" w:rsidTr="007C013F">
        <w:trPr>
          <w:jc w:val="center"/>
        </w:trPr>
        <w:tc>
          <w:tcPr>
            <w:tcW w:w="23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A5373"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GAM</w:t>
            </w:r>
          </w:p>
        </w:tc>
        <w:tc>
          <w:tcPr>
            <w:tcW w:w="14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05258"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0.7614862</w:t>
            </w:r>
          </w:p>
        </w:tc>
      </w:tr>
      <w:tr w:rsidR="00BD5DCD" w14:paraId="36CD56D9" w14:textId="77777777" w:rsidTr="007C013F">
        <w:trPr>
          <w:jc w:val="center"/>
        </w:trPr>
        <w:tc>
          <w:tcPr>
            <w:tcW w:w="233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DABF38"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proofErr w:type="spellStart"/>
            <w:r>
              <w:rPr>
                <w:rFonts w:ascii="Arial" w:eastAsia="Arial" w:hAnsi="Arial" w:cs="Arial"/>
                <w:color w:val="000000"/>
              </w:rPr>
              <w:t>XGBoost</w:t>
            </w:r>
            <w:proofErr w:type="spellEnd"/>
          </w:p>
        </w:tc>
        <w:tc>
          <w:tcPr>
            <w:tcW w:w="145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E6B57E" w14:textId="77777777" w:rsidR="00BD5DCD" w:rsidRDefault="00BD5DCD" w:rsidP="007C013F">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Pr>
                <w:rFonts w:ascii="Arial" w:eastAsia="Arial" w:hAnsi="Arial" w:cs="Arial"/>
                <w:color w:val="000000"/>
              </w:rPr>
              <w:t>0.7602453</w:t>
            </w:r>
          </w:p>
        </w:tc>
      </w:tr>
    </w:tbl>
    <w:p w14:paraId="61C227F6" w14:textId="77777777" w:rsidR="00BD5DCD" w:rsidRDefault="00BD5DCD"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E3E7F7C" w14:textId="74481779" w:rsidR="005A611B" w:rsidRPr="005A611B" w:rsidRDefault="007C4A07"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370749E1" wp14:editId="2982C147">
            <wp:extent cx="5730875" cy="2019292"/>
            <wp:effectExtent l="0" t="0" r="317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6"/>
                    <a:srcRect t="6195"/>
                    <a:stretch>
                      <a:fillRect/>
                    </a:stretch>
                  </pic:blipFill>
                  <pic:spPr bwMode="auto">
                    <a:xfrm>
                      <a:off x="0" y="0"/>
                      <a:ext cx="5731642" cy="2019562"/>
                    </a:xfrm>
                    <a:prstGeom prst="rect">
                      <a:avLst/>
                    </a:prstGeom>
                    <a:noFill/>
                    <a:ln>
                      <a:noFill/>
                    </a:ln>
                    <a:extLst>
                      <a:ext uri="{53640926-AAD7-44D8-BBD7-CCE9431645EC}">
                        <a14:shadowObscured xmlns:a14="http://schemas.microsoft.com/office/drawing/2010/main"/>
                      </a:ext>
                    </a:extLst>
                  </pic:spPr>
                </pic:pic>
              </a:graphicData>
            </a:graphic>
          </wp:inline>
        </w:drawing>
      </w:r>
    </w:p>
    <w:p w14:paraId="1AB2F9F3" w14:textId="77777777" w:rsidR="007C4A07" w:rsidRPr="007B407E" w:rsidRDefault="007C4A07" w:rsidP="007C4A07">
      <w:pPr>
        <w:pStyle w:val="Heading3"/>
        <w:rPr>
          <w:rFonts w:ascii="Times New Roman" w:hAnsi="Times New Roman" w:cs="Times New Roman"/>
          <w:color w:val="auto"/>
          <w:sz w:val="24"/>
          <w:szCs w:val="24"/>
        </w:rPr>
      </w:pPr>
      <w:r w:rsidRPr="007B407E">
        <w:rPr>
          <w:rFonts w:ascii="Times New Roman" w:hAnsi="Times New Roman" w:cs="Times New Roman"/>
          <w:color w:val="auto"/>
          <w:sz w:val="24"/>
          <w:szCs w:val="24"/>
        </w:rPr>
        <w:t>Figure 1: Logistic ROC (AUC = 0.764)</w:t>
      </w:r>
    </w:p>
    <w:p w14:paraId="79B516DF" w14:textId="065D760B" w:rsidR="004C2B12" w:rsidRPr="007B407E" w:rsidRDefault="004C2B12" w:rsidP="004C2B12">
      <w:pPr>
        <w:pStyle w:val="Heading3"/>
        <w:rPr>
          <w:rFonts w:ascii="Times New Roman" w:hAnsi="Times New Roman" w:cs="Times New Roman"/>
          <w:color w:val="auto"/>
          <w:kern w:val="0"/>
          <w:sz w:val="24"/>
          <w:szCs w:val="24"/>
          <w14:ligatures w14:val="none"/>
        </w:rPr>
      </w:pPr>
      <w:r>
        <w:rPr>
          <w:noProof/>
        </w:rPr>
        <w:drawing>
          <wp:inline distT="0" distB="0" distL="0" distR="0" wp14:anchorId="22C99922" wp14:editId="344D811D">
            <wp:extent cx="5729605" cy="1850838"/>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7"/>
                    <a:srcRect t="6421"/>
                    <a:stretch>
                      <a:fillRect/>
                    </a:stretch>
                  </pic:blipFill>
                  <pic:spPr bwMode="auto">
                    <a:xfrm>
                      <a:off x="0" y="0"/>
                      <a:ext cx="5738575" cy="1853736"/>
                    </a:xfrm>
                    <a:prstGeom prst="rect">
                      <a:avLst/>
                    </a:prstGeom>
                    <a:noFill/>
                    <a:ln>
                      <a:noFill/>
                    </a:ln>
                    <a:extLst>
                      <a:ext uri="{53640926-AAD7-44D8-BBD7-CCE9431645EC}">
                        <a14:shadowObscured xmlns:a14="http://schemas.microsoft.com/office/drawing/2010/main"/>
                      </a:ext>
                    </a:extLst>
                  </pic:spPr>
                </pic:pic>
              </a:graphicData>
            </a:graphic>
          </wp:inline>
        </w:drawing>
      </w:r>
      <w:r w:rsidRPr="004C2B12">
        <w:rPr>
          <w:rFonts w:ascii="Times New Roman" w:hAnsi="Times New Roman" w:cs="Times New Roman"/>
          <w:kern w:val="0"/>
          <w:sz w:val="24"/>
          <w:szCs w:val="24"/>
          <w14:ligatures w14:val="none"/>
        </w:rPr>
        <w:t xml:space="preserve"> </w:t>
      </w:r>
      <w:r w:rsidRPr="007B407E">
        <w:rPr>
          <w:rFonts w:ascii="Times New Roman" w:hAnsi="Times New Roman" w:cs="Times New Roman"/>
          <w:color w:val="auto"/>
          <w:kern w:val="0"/>
          <w:sz w:val="24"/>
          <w:szCs w:val="24"/>
          <w14:ligatures w14:val="none"/>
        </w:rPr>
        <w:t>Figure 2: Multilevel Logistic ROC (AUC = 0.764)</w:t>
      </w:r>
    </w:p>
    <w:p w14:paraId="2EAD7A36" w14:textId="333B55F5" w:rsid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The multilevel specification in Figure 2 introduced a random intercept for region to account for unmeasured contextual differences. The near-identical AUC to the single-level model and the limited random-effect variance indicate that, in this dataset, regional clustering plays a modest role once individual and household covariates are included. This contrasts with some multi-country and spatial analyses that report strong geographic clustering of under-five mortality, and suggests that within Ghana, equity gaps may be driven more by household-level circumstances and service access than by regional boundaries alone. This pattern aligns with work showing that when health systems and infrastructure are moderately diffused across regions, within-region inequalities can dominate between-region gaps.</w:t>
      </w:r>
    </w:p>
    <w:p w14:paraId="1C7762D5" w14:textId="1388C747" w:rsidR="004C2B12" w:rsidRPr="005A611B" w:rsidRDefault="004C2B12"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0151ADF6" wp14:editId="51BCE07E">
            <wp:extent cx="5730357" cy="227266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rotWithShape="1">
                    <a:blip r:embed="rId8"/>
                    <a:srcRect t="5543"/>
                    <a:stretch>
                      <a:fillRect/>
                    </a:stretch>
                  </pic:blipFill>
                  <pic:spPr bwMode="auto">
                    <a:xfrm>
                      <a:off x="0" y="0"/>
                      <a:ext cx="5731510" cy="2273122"/>
                    </a:xfrm>
                    <a:prstGeom prst="rect">
                      <a:avLst/>
                    </a:prstGeom>
                    <a:noFill/>
                    <a:ln>
                      <a:noFill/>
                    </a:ln>
                    <a:extLst>
                      <a:ext uri="{53640926-AAD7-44D8-BBD7-CCE9431645EC}">
                        <a14:shadowObscured xmlns:a14="http://schemas.microsoft.com/office/drawing/2010/main"/>
                      </a:ext>
                    </a:extLst>
                  </pic:spPr>
                </pic:pic>
              </a:graphicData>
            </a:graphic>
          </wp:inline>
        </w:drawing>
      </w:r>
    </w:p>
    <w:p w14:paraId="66183DCA" w14:textId="77777777" w:rsidR="004C2B12" w:rsidRPr="007B407E" w:rsidRDefault="004C2B12" w:rsidP="004C2B12">
      <w:pPr>
        <w:pStyle w:val="Heading3"/>
        <w:rPr>
          <w:rFonts w:ascii="Times New Roman" w:hAnsi="Times New Roman" w:cs="Times New Roman"/>
          <w:color w:val="auto"/>
          <w:sz w:val="24"/>
          <w:szCs w:val="24"/>
        </w:rPr>
      </w:pPr>
      <w:r w:rsidRPr="007B407E">
        <w:rPr>
          <w:rFonts w:ascii="Times New Roman" w:hAnsi="Times New Roman" w:cs="Times New Roman"/>
          <w:color w:val="auto"/>
          <w:sz w:val="24"/>
          <w:szCs w:val="24"/>
        </w:rPr>
        <w:lastRenderedPageBreak/>
        <w:t>Figure 3: GAM ROC (AUC = 0.761)</w:t>
      </w:r>
    </w:p>
    <w:p w14:paraId="50362C01" w14:textId="77777777"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The generalized additive model provides additional insight into functional forms that underlie these associations. The parametric component in Table 1 identifies residence (res2), sex of household head (sexhh2), and sex of child (sexc2) as key determinants of survival. Children in the more advantaged residence category exhibit higher odds of survival, while having a female (or non-reference) household head and being in the non-reference child sex category are associated with lower survival. These associations are consistent with literature linking residential context and gender-related power structures to differential access to resources, time, and caregiving. The marginal effects of safe water source (sodw2) and health facility delivery (hel1) point in protective directions, which reinforces the well-established pathways between environmental health, obstetric care, and child survival.</w:t>
      </w:r>
    </w:p>
    <w:p w14:paraId="4723AC81" w14:textId="4117F3A9" w:rsidR="004C2B12" w:rsidRPr="00744791" w:rsidRDefault="004C2B12" w:rsidP="004C2B12">
      <w:pPr>
        <w:pStyle w:val="Heading3"/>
        <w:rPr>
          <w:rFonts w:ascii="Times New Roman" w:hAnsi="Times New Roman" w:cs="Times New Roman"/>
          <w:sz w:val="24"/>
          <w:szCs w:val="24"/>
        </w:rPr>
      </w:pPr>
      <w:r>
        <w:rPr>
          <w:noProof/>
        </w:rPr>
        <w:drawing>
          <wp:inline distT="0" distB="0" distL="0" distR="0" wp14:anchorId="00FFCC0B" wp14:editId="053D2527">
            <wp:extent cx="5729605" cy="184785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rotWithShape="1">
                    <a:blip r:embed="rId9"/>
                    <a:srcRect t="6862"/>
                    <a:stretch>
                      <a:fillRect/>
                    </a:stretch>
                  </pic:blipFill>
                  <pic:spPr bwMode="auto">
                    <a:xfrm>
                      <a:off x="0" y="0"/>
                      <a:ext cx="5729605" cy="1847850"/>
                    </a:xfrm>
                    <a:prstGeom prst="rect">
                      <a:avLst/>
                    </a:prstGeom>
                    <a:noFill/>
                    <a:ln>
                      <a:noFill/>
                    </a:ln>
                    <a:extLst>
                      <a:ext uri="{53640926-AAD7-44D8-BBD7-CCE9431645EC}">
                        <a14:shadowObscured xmlns:a14="http://schemas.microsoft.com/office/drawing/2010/main"/>
                      </a:ext>
                    </a:extLst>
                  </pic:spPr>
                </pic:pic>
              </a:graphicData>
            </a:graphic>
          </wp:inline>
        </w:drawing>
      </w:r>
      <w:r w:rsidRPr="004C2B12">
        <w:rPr>
          <w:rFonts w:ascii="Times New Roman" w:hAnsi="Times New Roman" w:cs="Times New Roman"/>
          <w:sz w:val="24"/>
          <w:szCs w:val="24"/>
        </w:rPr>
        <w:t xml:space="preserve"> </w:t>
      </w:r>
      <w:r w:rsidRPr="007B407E">
        <w:rPr>
          <w:rFonts w:ascii="Times New Roman" w:hAnsi="Times New Roman" w:cs="Times New Roman"/>
          <w:color w:val="auto"/>
          <w:sz w:val="24"/>
          <w:szCs w:val="24"/>
        </w:rPr>
        <w:t xml:space="preserve">Figure 4: GAM Smooth for </w:t>
      </w:r>
      <w:proofErr w:type="spellStart"/>
      <w:r w:rsidRPr="007B407E">
        <w:rPr>
          <w:rFonts w:ascii="Times New Roman" w:hAnsi="Times New Roman" w:cs="Times New Roman"/>
          <w:color w:val="auto"/>
          <w:sz w:val="24"/>
          <w:szCs w:val="24"/>
        </w:rPr>
        <w:t>FoT</w:t>
      </w:r>
      <w:proofErr w:type="spellEnd"/>
    </w:p>
    <w:p w14:paraId="465DC9CA" w14:textId="61D74418" w:rsidR="004C2B12" w:rsidRPr="00744791" w:rsidRDefault="004C2B12" w:rsidP="004C2B12">
      <w:pPr>
        <w:pStyle w:val="Heading3"/>
        <w:rPr>
          <w:rFonts w:ascii="Times New Roman" w:hAnsi="Times New Roman" w:cs="Times New Roman"/>
          <w:sz w:val="24"/>
          <w:szCs w:val="24"/>
        </w:rPr>
      </w:pPr>
      <w:r>
        <w:rPr>
          <w:noProof/>
        </w:rPr>
        <w:drawing>
          <wp:inline distT="0" distB="0" distL="0" distR="0" wp14:anchorId="08EBD832" wp14:editId="37913C65">
            <wp:extent cx="5729852" cy="1866900"/>
            <wp:effectExtent l="0" t="0" r="444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rotWithShape="1">
                    <a:blip r:embed="rId10"/>
                    <a:srcRect t="7837"/>
                    <a:stretch>
                      <a:fillRect/>
                    </a:stretch>
                  </pic:blipFill>
                  <pic:spPr bwMode="auto">
                    <a:xfrm>
                      <a:off x="0" y="0"/>
                      <a:ext cx="5729852" cy="1866900"/>
                    </a:xfrm>
                    <a:prstGeom prst="rect">
                      <a:avLst/>
                    </a:prstGeom>
                    <a:noFill/>
                    <a:ln>
                      <a:noFill/>
                    </a:ln>
                    <a:extLst>
                      <a:ext uri="{53640926-AAD7-44D8-BBD7-CCE9431645EC}">
                        <a14:shadowObscured xmlns:a14="http://schemas.microsoft.com/office/drawing/2010/main"/>
                      </a:ext>
                    </a:extLst>
                  </pic:spPr>
                </pic:pic>
              </a:graphicData>
            </a:graphic>
          </wp:inline>
        </w:drawing>
      </w:r>
      <w:r w:rsidRPr="004C2B12">
        <w:rPr>
          <w:rFonts w:ascii="Times New Roman" w:hAnsi="Times New Roman" w:cs="Times New Roman"/>
          <w:sz w:val="24"/>
          <w:szCs w:val="24"/>
        </w:rPr>
        <w:t xml:space="preserve"> </w:t>
      </w:r>
      <w:r w:rsidRPr="007B407E">
        <w:rPr>
          <w:rFonts w:ascii="Times New Roman" w:hAnsi="Times New Roman" w:cs="Times New Roman"/>
          <w:color w:val="auto"/>
          <w:sz w:val="24"/>
          <w:szCs w:val="24"/>
        </w:rPr>
        <w:t>Figure</w:t>
      </w:r>
      <w:r w:rsidR="007B407E">
        <w:rPr>
          <w:rFonts w:ascii="Times New Roman" w:hAnsi="Times New Roman" w:cs="Times New Roman"/>
          <w:color w:val="auto"/>
          <w:sz w:val="24"/>
          <w:szCs w:val="24"/>
        </w:rPr>
        <w:t xml:space="preserve"> </w:t>
      </w:r>
      <w:r w:rsidRPr="007B407E">
        <w:rPr>
          <w:rFonts w:ascii="Times New Roman" w:hAnsi="Times New Roman" w:cs="Times New Roman"/>
          <w:color w:val="auto"/>
          <w:sz w:val="24"/>
          <w:szCs w:val="24"/>
        </w:rPr>
        <w:t>5: GAM Smooth for Household Size</w:t>
      </w:r>
    </w:p>
    <w:p w14:paraId="4942F9A8" w14:textId="17131DEE"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The smooth terms in Figures 4 and 5 further advance understanding of the risk structure. The </w:t>
      </w:r>
      <w:proofErr w:type="spellStart"/>
      <w:r w:rsidRPr="005A611B">
        <w:rPr>
          <w:rFonts w:ascii="Times New Roman" w:eastAsia="Times New Roman" w:hAnsi="Times New Roman" w:cs="Times New Roman"/>
          <w:kern w:val="0"/>
          <w:sz w:val="24"/>
          <w:szCs w:val="24"/>
          <w14:ligatures w14:val="none"/>
        </w:rPr>
        <w:t>FoT</w:t>
      </w:r>
      <w:proofErr w:type="spellEnd"/>
      <w:r w:rsidRPr="005A611B">
        <w:rPr>
          <w:rFonts w:ascii="Times New Roman" w:eastAsia="Times New Roman" w:hAnsi="Times New Roman" w:cs="Times New Roman"/>
          <w:kern w:val="0"/>
          <w:sz w:val="24"/>
          <w:szCs w:val="24"/>
          <w14:ligatures w14:val="none"/>
        </w:rPr>
        <w:t xml:space="preserve"> smooth in Figure 4 displays a monotonic decline in mortality risk with increasing paternal age, with the steepest risk gradient at younger ages. This suggests that very young fathers may face economic instability, lower health literacy, or reduced bargaining power in household decisions, which translate into higher mortality for their children. The flattening of the curve at higher ages signals diminishing marginal benefit, indicating that interventions should be particularly concentrated among younger fathers and their households. In contrast, the essentially flat GAM smooth for household size in Figure 5 indicates that household size does not exert an independent effect once wealth, residence, water, and service variables are accounted for. This finding helps resolve mixed evidence in the literature by showing that apparent household-size effects may largely proxy underlying socioeconomic or service constraints rather than exerting an autonomous influence.</w:t>
      </w:r>
    </w:p>
    <w:p w14:paraId="1B7D063F" w14:textId="77777777" w:rsidR="004C2B12" w:rsidRDefault="004C2B12"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0C6691D4" wp14:editId="0A98E243">
            <wp:extent cx="5730240" cy="2127250"/>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rotWithShape="1">
                    <a:blip r:embed="rId11"/>
                    <a:srcRect t="5634"/>
                    <a:stretch>
                      <a:fillRect/>
                    </a:stretch>
                  </pic:blipFill>
                  <pic:spPr bwMode="auto">
                    <a:xfrm>
                      <a:off x="0" y="0"/>
                      <a:ext cx="5739432" cy="2130662"/>
                    </a:xfrm>
                    <a:prstGeom prst="rect">
                      <a:avLst/>
                    </a:prstGeom>
                    <a:noFill/>
                    <a:ln>
                      <a:noFill/>
                    </a:ln>
                    <a:extLst>
                      <a:ext uri="{53640926-AAD7-44D8-BBD7-CCE9431645EC}">
                        <a14:shadowObscured xmlns:a14="http://schemas.microsoft.com/office/drawing/2010/main"/>
                      </a:ext>
                    </a:extLst>
                  </pic:spPr>
                </pic:pic>
              </a:graphicData>
            </a:graphic>
          </wp:inline>
        </w:drawing>
      </w:r>
    </w:p>
    <w:p w14:paraId="5FBF5375" w14:textId="77777777" w:rsidR="004C2B12" w:rsidRDefault="004C2B12"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791">
        <w:rPr>
          <w:rFonts w:ascii="Times New Roman" w:hAnsi="Times New Roman" w:cs="Times New Roman"/>
          <w:sz w:val="24"/>
          <w:szCs w:val="24"/>
        </w:rPr>
        <w:t>Figure</w:t>
      </w:r>
      <w:r>
        <w:rPr>
          <w:rFonts w:ascii="Times New Roman" w:hAnsi="Times New Roman" w:cs="Times New Roman"/>
          <w:sz w:val="24"/>
          <w:szCs w:val="24"/>
        </w:rPr>
        <w:t xml:space="preserve"> 6</w:t>
      </w:r>
      <w:r w:rsidRPr="00744791">
        <w:rPr>
          <w:rFonts w:ascii="Times New Roman" w:hAnsi="Times New Roman" w:cs="Times New Roman"/>
          <w:sz w:val="24"/>
          <w:szCs w:val="24"/>
        </w:rPr>
        <w:t>:</w:t>
      </w:r>
      <w:r>
        <w:t xml:space="preserve"> </w:t>
      </w:r>
      <w:proofErr w:type="spellStart"/>
      <w:r w:rsidRPr="00A447B4">
        <w:rPr>
          <w:rFonts w:ascii="Times New Roman" w:hAnsi="Times New Roman" w:cs="Times New Roman"/>
          <w:sz w:val="24"/>
          <w:szCs w:val="24"/>
        </w:rPr>
        <w:t>XGBoost</w:t>
      </w:r>
      <w:proofErr w:type="spellEnd"/>
      <w:r w:rsidRPr="00A447B4">
        <w:rPr>
          <w:rFonts w:ascii="Times New Roman" w:hAnsi="Times New Roman" w:cs="Times New Roman"/>
          <w:sz w:val="24"/>
          <w:szCs w:val="24"/>
        </w:rPr>
        <w:t xml:space="preserve"> and </w:t>
      </w:r>
      <w:proofErr w:type="spellStart"/>
      <w:r w:rsidRPr="00A447B4">
        <w:rPr>
          <w:rFonts w:ascii="Times New Roman" w:hAnsi="Times New Roman" w:cs="Times New Roman"/>
          <w:sz w:val="24"/>
          <w:szCs w:val="24"/>
        </w:rPr>
        <w:t>Explainability</w:t>
      </w:r>
      <w:proofErr w:type="spellEnd"/>
      <w:r w:rsidRPr="005A611B">
        <w:rPr>
          <w:rFonts w:ascii="Times New Roman" w:eastAsia="Times New Roman" w:hAnsi="Times New Roman" w:cs="Times New Roman"/>
          <w:kern w:val="0"/>
          <w:sz w:val="24"/>
          <w:szCs w:val="24"/>
          <w14:ligatures w14:val="none"/>
        </w:rPr>
        <w:t xml:space="preserve"> </w:t>
      </w:r>
    </w:p>
    <w:p w14:paraId="144A4B5E" w14:textId="77777777" w:rsidR="00BD5DCD" w:rsidRDefault="004C2B12"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1C863AE5" wp14:editId="1F66555C">
            <wp:extent cx="5730240" cy="196215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rotWithShape="1">
                    <a:blip r:embed="rId12"/>
                    <a:srcRect t="6647"/>
                    <a:stretch>
                      <a:fillRect/>
                    </a:stretch>
                  </pic:blipFill>
                  <pic:spPr bwMode="auto">
                    <a:xfrm>
                      <a:off x="0" y="0"/>
                      <a:ext cx="5738863" cy="1965103"/>
                    </a:xfrm>
                    <a:prstGeom prst="rect">
                      <a:avLst/>
                    </a:prstGeom>
                    <a:noFill/>
                    <a:ln>
                      <a:noFill/>
                    </a:ln>
                    <a:extLst>
                      <a:ext uri="{53640926-AAD7-44D8-BBD7-CCE9431645EC}">
                        <a14:shadowObscured xmlns:a14="http://schemas.microsoft.com/office/drawing/2010/main"/>
                      </a:ext>
                    </a:extLst>
                  </pic:spPr>
                </pic:pic>
              </a:graphicData>
            </a:graphic>
          </wp:inline>
        </w:drawing>
      </w:r>
    </w:p>
    <w:p w14:paraId="040E2327" w14:textId="77777777" w:rsidR="00BD5DCD" w:rsidRPr="007B407E" w:rsidRDefault="00BD5DCD" w:rsidP="00BD5DCD">
      <w:pPr>
        <w:pStyle w:val="Heading3"/>
        <w:rPr>
          <w:rFonts w:ascii="Times New Roman" w:hAnsi="Times New Roman" w:cs="Times New Roman"/>
          <w:color w:val="auto"/>
          <w:sz w:val="24"/>
          <w:szCs w:val="24"/>
        </w:rPr>
      </w:pPr>
      <w:r w:rsidRPr="007B407E">
        <w:rPr>
          <w:rFonts w:ascii="Times New Roman" w:hAnsi="Times New Roman" w:cs="Times New Roman"/>
          <w:color w:val="auto"/>
          <w:sz w:val="24"/>
          <w:szCs w:val="24"/>
        </w:rPr>
        <w:t>Figure 7: Top Features by Gain</w:t>
      </w:r>
    </w:p>
    <w:p w14:paraId="29EE195C" w14:textId="5D9A83DE" w:rsidR="00BD5DCD" w:rsidRDefault="00BD5DCD"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0BC1D32A" wp14:editId="41D18662">
            <wp:extent cx="5730241" cy="17830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rotWithShape="1">
                    <a:blip r:embed="rId13"/>
                    <a:srcRect t="6649"/>
                    <a:stretch>
                      <a:fillRect/>
                    </a:stretch>
                  </pic:blipFill>
                  <pic:spPr bwMode="auto">
                    <a:xfrm>
                      <a:off x="0" y="0"/>
                      <a:ext cx="5731510" cy="1783475"/>
                    </a:xfrm>
                    <a:prstGeom prst="rect">
                      <a:avLst/>
                    </a:prstGeom>
                    <a:noFill/>
                    <a:ln>
                      <a:noFill/>
                    </a:ln>
                    <a:extLst>
                      <a:ext uri="{53640926-AAD7-44D8-BBD7-CCE9431645EC}">
                        <a14:shadowObscured xmlns:a14="http://schemas.microsoft.com/office/drawing/2010/main"/>
                      </a:ext>
                    </a:extLst>
                  </pic:spPr>
                </pic:pic>
              </a:graphicData>
            </a:graphic>
          </wp:inline>
        </w:drawing>
      </w:r>
    </w:p>
    <w:p w14:paraId="7594BAE8" w14:textId="77777777" w:rsidR="00BD5DCD" w:rsidRPr="007B407E" w:rsidRDefault="00BD5DCD" w:rsidP="00BD5DCD">
      <w:pPr>
        <w:pStyle w:val="Heading3"/>
        <w:rPr>
          <w:color w:val="auto"/>
        </w:rPr>
      </w:pPr>
      <w:r w:rsidRPr="007B407E">
        <w:rPr>
          <w:rFonts w:ascii="Times New Roman" w:hAnsi="Times New Roman" w:cs="Times New Roman"/>
          <w:color w:val="auto"/>
          <w:sz w:val="24"/>
          <w:szCs w:val="24"/>
        </w:rPr>
        <w:t>Figure 8: Mean SHAP by Feature</w:t>
      </w:r>
    </w:p>
    <w:p w14:paraId="29706CF6" w14:textId="013A0568"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The </w:t>
      </w:r>
      <w:proofErr w:type="spellStart"/>
      <w:r w:rsidRPr="005A611B">
        <w:rPr>
          <w:rFonts w:ascii="Times New Roman" w:eastAsia="Times New Roman" w:hAnsi="Times New Roman" w:cs="Times New Roman"/>
          <w:kern w:val="0"/>
          <w:sz w:val="24"/>
          <w:szCs w:val="24"/>
          <w14:ligatures w14:val="none"/>
        </w:rPr>
        <w:t>XGBoost</w:t>
      </w:r>
      <w:proofErr w:type="spellEnd"/>
      <w:r w:rsidRPr="005A611B">
        <w:rPr>
          <w:rFonts w:ascii="Times New Roman" w:eastAsia="Times New Roman" w:hAnsi="Times New Roman" w:cs="Times New Roman"/>
          <w:kern w:val="0"/>
          <w:sz w:val="24"/>
          <w:szCs w:val="24"/>
          <w14:ligatures w14:val="none"/>
        </w:rPr>
        <w:t xml:space="preserve"> model and associated </w:t>
      </w:r>
      <w:proofErr w:type="spellStart"/>
      <w:r w:rsidRPr="005A611B">
        <w:rPr>
          <w:rFonts w:ascii="Times New Roman" w:eastAsia="Times New Roman" w:hAnsi="Times New Roman" w:cs="Times New Roman"/>
          <w:kern w:val="0"/>
          <w:sz w:val="24"/>
          <w:szCs w:val="24"/>
          <w14:ligatures w14:val="none"/>
        </w:rPr>
        <w:t>explainability</w:t>
      </w:r>
      <w:proofErr w:type="spellEnd"/>
      <w:r w:rsidRPr="005A611B">
        <w:rPr>
          <w:rFonts w:ascii="Times New Roman" w:eastAsia="Times New Roman" w:hAnsi="Times New Roman" w:cs="Times New Roman"/>
          <w:kern w:val="0"/>
          <w:sz w:val="24"/>
          <w:szCs w:val="24"/>
          <w14:ligatures w14:val="none"/>
        </w:rPr>
        <w:t xml:space="preserve"> outputs in Figures 6–8 provide an important bridge between predictive power and interpretability. Despite using a fully nonparametric tree-based ensemble, </w:t>
      </w:r>
      <w:proofErr w:type="spellStart"/>
      <w:r w:rsidRPr="005A611B">
        <w:rPr>
          <w:rFonts w:ascii="Times New Roman" w:eastAsia="Times New Roman" w:hAnsi="Times New Roman" w:cs="Times New Roman"/>
          <w:kern w:val="0"/>
          <w:sz w:val="24"/>
          <w:szCs w:val="24"/>
          <w14:ligatures w14:val="none"/>
        </w:rPr>
        <w:t>XGBoost</w:t>
      </w:r>
      <w:proofErr w:type="spellEnd"/>
      <w:r w:rsidRPr="005A611B">
        <w:rPr>
          <w:rFonts w:ascii="Times New Roman" w:eastAsia="Times New Roman" w:hAnsi="Times New Roman" w:cs="Times New Roman"/>
          <w:kern w:val="0"/>
          <w:sz w:val="24"/>
          <w:szCs w:val="24"/>
          <w14:ligatures w14:val="none"/>
        </w:rPr>
        <w:t xml:space="preserve"> yields an AUC of about 0.760, very close to the parametric and semiparametric models. The top features by gain in Figure 7 and the mean SHAP values in Figure 8 both highlight </w:t>
      </w:r>
      <w:proofErr w:type="spellStart"/>
      <w:r w:rsidRPr="005A611B">
        <w:rPr>
          <w:rFonts w:ascii="Times New Roman" w:eastAsia="Times New Roman" w:hAnsi="Times New Roman" w:cs="Times New Roman"/>
          <w:kern w:val="0"/>
          <w:sz w:val="24"/>
          <w:szCs w:val="24"/>
          <w14:ligatures w14:val="none"/>
        </w:rPr>
        <w:t>FoT</w:t>
      </w:r>
      <w:proofErr w:type="spellEnd"/>
      <w:r w:rsidRPr="005A611B">
        <w:rPr>
          <w:rFonts w:ascii="Times New Roman" w:eastAsia="Times New Roman" w:hAnsi="Times New Roman" w:cs="Times New Roman"/>
          <w:kern w:val="0"/>
          <w:sz w:val="24"/>
          <w:szCs w:val="24"/>
          <w14:ligatures w14:val="none"/>
        </w:rPr>
        <w:t xml:space="preserve">, sex of household head, residence, wealth, and water source as major drivers of predicted survival. The agreement between SHAP-derived importance and the GAM/logistic coefficients strengthens confidence in these variables as </w:t>
      </w:r>
      <w:r w:rsidRPr="005A611B">
        <w:rPr>
          <w:rFonts w:ascii="Times New Roman" w:eastAsia="Times New Roman" w:hAnsi="Times New Roman" w:cs="Times New Roman"/>
          <w:kern w:val="0"/>
          <w:sz w:val="24"/>
          <w:szCs w:val="24"/>
          <w14:ligatures w14:val="none"/>
        </w:rPr>
        <w:lastRenderedPageBreak/>
        <w:t>robust determinants rather than model-specific artefacts. This triangulation is a central methodological contribution: combining GAM smooths, multilevel structures, and explainable machine learning in a unified pipeline demonstrates that key risk factors are consistently influential across distinct modeling philosophies.</w:t>
      </w:r>
    </w:p>
    <w:p w14:paraId="5A5C6B28" w14:textId="77777777" w:rsidR="00BD5DCD" w:rsidRDefault="00BD5DCD"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0C302CC5" wp14:editId="18F07E16">
            <wp:extent cx="5729712" cy="1648460"/>
            <wp:effectExtent l="0" t="0" r="444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rotWithShape="1">
                    <a:blip r:embed="rId14"/>
                    <a:srcRect t="6819"/>
                    <a:stretch>
                      <a:fillRect/>
                    </a:stretch>
                  </pic:blipFill>
                  <pic:spPr bwMode="auto">
                    <a:xfrm>
                      <a:off x="0" y="0"/>
                      <a:ext cx="5731510" cy="1648977"/>
                    </a:xfrm>
                    <a:prstGeom prst="rect">
                      <a:avLst/>
                    </a:prstGeom>
                    <a:noFill/>
                    <a:ln>
                      <a:noFill/>
                    </a:ln>
                    <a:extLst>
                      <a:ext uri="{53640926-AAD7-44D8-BBD7-CCE9431645EC}">
                        <a14:shadowObscured xmlns:a14="http://schemas.microsoft.com/office/drawing/2010/main"/>
                      </a:ext>
                    </a:extLst>
                  </pic:spPr>
                </pic:pic>
              </a:graphicData>
            </a:graphic>
          </wp:inline>
        </w:drawing>
      </w:r>
    </w:p>
    <w:p w14:paraId="3C72E5F7" w14:textId="77777777" w:rsidR="00BD5DCD" w:rsidRPr="005C1031" w:rsidRDefault="00BD5DCD" w:rsidP="00BD5DCD">
      <w:pPr>
        <w:pStyle w:val="Heading3"/>
        <w:rPr>
          <w:rFonts w:ascii="Times New Roman" w:hAnsi="Times New Roman" w:cs="Times New Roman"/>
          <w:color w:val="auto"/>
          <w:sz w:val="24"/>
          <w:szCs w:val="24"/>
        </w:rPr>
      </w:pPr>
      <w:r w:rsidRPr="005C1031">
        <w:rPr>
          <w:rFonts w:ascii="Times New Roman" w:hAnsi="Times New Roman" w:cs="Times New Roman"/>
          <w:color w:val="auto"/>
          <w:sz w:val="24"/>
          <w:szCs w:val="24"/>
        </w:rPr>
        <w:t>Figure 9: Calibration Plots</w:t>
      </w:r>
    </w:p>
    <w:p w14:paraId="5910E56B" w14:textId="7DB9C235"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Calibration analysis in Figure 9 shows that the models produce probabilities that are broadly aligned with observed risks, with logistic regression tending to be conservative at the low-risk end and </w:t>
      </w:r>
      <w:proofErr w:type="spellStart"/>
      <w:r w:rsidRPr="005A611B">
        <w:rPr>
          <w:rFonts w:ascii="Times New Roman" w:eastAsia="Times New Roman" w:hAnsi="Times New Roman" w:cs="Times New Roman"/>
          <w:kern w:val="0"/>
          <w:sz w:val="24"/>
          <w:szCs w:val="24"/>
          <w14:ligatures w14:val="none"/>
        </w:rPr>
        <w:t>XGBoost</w:t>
      </w:r>
      <w:proofErr w:type="spellEnd"/>
      <w:r w:rsidRPr="005A611B">
        <w:rPr>
          <w:rFonts w:ascii="Times New Roman" w:eastAsia="Times New Roman" w:hAnsi="Times New Roman" w:cs="Times New Roman"/>
          <w:kern w:val="0"/>
          <w:sz w:val="24"/>
          <w:szCs w:val="24"/>
          <w14:ligatures w14:val="none"/>
        </w:rPr>
        <w:t xml:space="preserve"> showing sharper alignment at higher risk levels. From a policy perspective, this calibration </w:t>
      </w:r>
      <w:proofErr w:type="spellStart"/>
      <w:r w:rsidRPr="005A611B">
        <w:rPr>
          <w:rFonts w:ascii="Times New Roman" w:eastAsia="Times New Roman" w:hAnsi="Times New Roman" w:cs="Times New Roman"/>
          <w:kern w:val="0"/>
          <w:sz w:val="24"/>
          <w:szCs w:val="24"/>
          <w14:ligatures w14:val="none"/>
        </w:rPr>
        <w:t>behaviour</w:t>
      </w:r>
      <w:proofErr w:type="spellEnd"/>
      <w:r w:rsidRPr="005A611B">
        <w:rPr>
          <w:rFonts w:ascii="Times New Roman" w:eastAsia="Times New Roman" w:hAnsi="Times New Roman" w:cs="Times New Roman"/>
          <w:kern w:val="0"/>
          <w:sz w:val="24"/>
          <w:szCs w:val="24"/>
          <w14:ligatures w14:val="none"/>
        </w:rPr>
        <w:t xml:space="preserve"> is crucial. Referral thresholds for outreach, case management, or targeted subsidies can be set using well-calibrated probabilities so that limited resources are concentrated on those children at genuinely elevated risk. In the context of SDG 3 (Good Health and Well-being), SDG 6 (Clean Water and Sanitation), and SDG 10 (Reduced Inequalities), calibrated risk scores provide an operational tool for targeting interventions toward the most vulnerable while maintaining transparency and fairness.</w:t>
      </w:r>
    </w:p>
    <w:p w14:paraId="783E21B8" w14:textId="265CEBF3"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Overall, the findings show that under-five survival in Ghana is strongly shaped by paternal age, residence, household gender structure, water source, and maternal-newborn service use. The combination of logistic regression, multilevel logistic regression, GAM, and </w:t>
      </w:r>
      <w:proofErr w:type="spellStart"/>
      <w:r w:rsidRPr="005A611B">
        <w:rPr>
          <w:rFonts w:ascii="Times New Roman" w:eastAsia="Times New Roman" w:hAnsi="Times New Roman" w:cs="Times New Roman"/>
          <w:kern w:val="0"/>
          <w:sz w:val="24"/>
          <w:szCs w:val="24"/>
          <w14:ligatures w14:val="none"/>
        </w:rPr>
        <w:t>XGBoost</w:t>
      </w:r>
      <w:proofErr w:type="spellEnd"/>
      <w:r w:rsidRPr="005A611B">
        <w:rPr>
          <w:rFonts w:ascii="Times New Roman" w:eastAsia="Times New Roman" w:hAnsi="Times New Roman" w:cs="Times New Roman"/>
          <w:kern w:val="0"/>
          <w:sz w:val="24"/>
          <w:szCs w:val="24"/>
          <w14:ligatures w14:val="none"/>
        </w:rPr>
        <w:t xml:space="preserve"> within a single analytical framework, supported by ROC curves (Figures 1</w:t>
      </w:r>
      <w:r w:rsidR="00A03B80">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3), GAM smooths (Figures 4</w:t>
      </w:r>
      <w:r w:rsidR="00A03B80">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 xml:space="preserve">5), </w:t>
      </w:r>
      <w:proofErr w:type="spellStart"/>
      <w:r w:rsidRPr="005A611B">
        <w:rPr>
          <w:rFonts w:ascii="Times New Roman" w:eastAsia="Times New Roman" w:hAnsi="Times New Roman" w:cs="Times New Roman"/>
          <w:kern w:val="0"/>
          <w:sz w:val="24"/>
          <w:szCs w:val="24"/>
          <w14:ligatures w14:val="none"/>
        </w:rPr>
        <w:t>explainability</w:t>
      </w:r>
      <w:proofErr w:type="spellEnd"/>
      <w:r w:rsidRPr="005A611B">
        <w:rPr>
          <w:rFonts w:ascii="Times New Roman" w:eastAsia="Times New Roman" w:hAnsi="Times New Roman" w:cs="Times New Roman"/>
          <w:kern w:val="0"/>
          <w:sz w:val="24"/>
          <w:szCs w:val="24"/>
          <w14:ligatures w14:val="none"/>
        </w:rPr>
        <w:t xml:space="preserve"> plots (Figures 6</w:t>
      </w:r>
      <w:r w:rsidR="00A03B80">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8), and calibration diagnostics (Figure 9), offers a comprehensive and methodologically novel lens on child survival. These results support a policy emphasis on strengthening perinatal and postnatal services, expanding access to safe water, and addressing gendered and residential inequities that constrain caregiving and service use.</w:t>
      </w:r>
    </w:p>
    <w:p w14:paraId="6358BE66" w14:textId="75DD8D03"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The first major finding is that all four modeling approaches</w:t>
      </w:r>
      <w:r w:rsidR="00E77D6A">
        <w:rPr>
          <w:rFonts w:ascii="Times New Roman" w:eastAsia="Times New Roman" w:hAnsi="Times New Roman" w:cs="Times New Roman"/>
          <w:kern w:val="0"/>
          <w:sz w:val="24"/>
          <w:szCs w:val="24"/>
          <w14:ligatures w14:val="none"/>
        </w:rPr>
        <w:t xml:space="preserve">; </w:t>
      </w:r>
      <w:r w:rsidRPr="005A611B">
        <w:rPr>
          <w:rFonts w:ascii="Times New Roman" w:eastAsia="Times New Roman" w:hAnsi="Times New Roman" w:cs="Times New Roman"/>
          <w:kern w:val="0"/>
          <w:sz w:val="24"/>
          <w:szCs w:val="24"/>
          <w14:ligatures w14:val="none"/>
        </w:rPr>
        <w:t xml:space="preserve">logistic regression, multilevel logistic regression, GAM, and </w:t>
      </w:r>
      <w:proofErr w:type="spellStart"/>
      <w:r w:rsidRPr="005A611B">
        <w:rPr>
          <w:rFonts w:ascii="Times New Roman" w:eastAsia="Times New Roman" w:hAnsi="Times New Roman" w:cs="Times New Roman"/>
          <w:kern w:val="0"/>
          <w:sz w:val="24"/>
          <w:szCs w:val="24"/>
          <w14:ligatures w14:val="none"/>
        </w:rPr>
        <w:t>XGBoost</w:t>
      </w:r>
      <w:proofErr w:type="spellEnd"/>
      <w:r w:rsidR="00E77D6A">
        <w:rPr>
          <w:rFonts w:ascii="Times New Roman" w:eastAsia="Times New Roman" w:hAnsi="Times New Roman" w:cs="Times New Roman"/>
          <w:kern w:val="0"/>
          <w:sz w:val="24"/>
          <w:szCs w:val="24"/>
          <w14:ligatures w14:val="none"/>
        </w:rPr>
        <w:t xml:space="preserve">, </w:t>
      </w:r>
      <w:r w:rsidRPr="005A611B">
        <w:rPr>
          <w:rFonts w:ascii="Times New Roman" w:eastAsia="Times New Roman" w:hAnsi="Times New Roman" w:cs="Times New Roman"/>
          <w:kern w:val="0"/>
          <w:sz w:val="24"/>
          <w:szCs w:val="24"/>
          <w14:ligatures w14:val="none"/>
        </w:rPr>
        <w:t>achieved very similar discrimination, with AUC values clustered between 0.760 and 0.764 as presented in Table 2. This indicates that the survival signal is stable and robust across classical, semiparametric, and machine learning paradigms, which increases confidence in the reliability of the identified determinants.</w:t>
      </w:r>
    </w:p>
    <w:p w14:paraId="5E8D43F2" w14:textId="77777777"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The second key finding concerns the structure of regional versus household-level effects. The multilevel logistic model in Figure 2 shows that introducing region as a random intercept yields negligible gains in AUC relative to the single-level logistic model in Figure 1, and the estimated random-effect variance is small. This implies that, conditional on the observed covariates, under-five survival disparities in Ghana are driven primarily by individual and household-level factors rather than by large regional differences.</w:t>
      </w:r>
    </w:p>
    <w:p w14:paraId="6C74732D" w14:textId="77777777"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lastRenderedPageBreak/>
        <w:t>The third major finding arises from the GAM and its smooth functions. The GAM summary in Table 1, together with the smooths in Figures 4 and 5, identifies paternal age (</w:t>
      </w:r>
      <w:proofErr w:type="spellStart"/>
      <w:r w:rsidRPr="005A611B">
        <w:rPr>
          <w:rFonts w:ascii="Times New Roman" w:eastAsia="Times New Roman" w:hAnsi="Times New Roman" w:cs="Times New Roman"/>
          <w:kern w:val="0"/>
          <w:sz w:val="24"/>
          <w:szCs w:val="24"/>
          <w14:ligatures w14:val="none"/>
        </w:rPr>
        <w:t>FoT</w:t>
      </w:r>
      <w:proofErr w:type="spellEnd"/>
      <w:r w:rsidRPr="005A611B">
        <w:rPr>
          <w:rFonts w:ascii="Times New Roman" w:eastAsia="Times New Roman" w:hAnsi="Times New Roman" w:cs="Times New Roman"/>
          <w:kern w:val="0"/>
          <w:sz w:val="24"/>
          <w:szCs w:val="24"/>
          <w14:ligatures w14:val="none"/>
        </w:rPr>
        <w:t>), residence, sex of household head, sex of child, safe water, and facility delivery as key determinants. Paternal age displays a strong nonlinear relationship with survival, with higher risk at very young paternal ages and diminishing benefit at higher ages. Household size, in contrast, shows no independent effect after adjustment, indicating that policies should focus on service and environmental conditions rather than household size per se.</w:t>
      </w:r>
    </w:p>
    <w:p w14:paraId="4A738480" w14:textId="3E361E44"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The fourth finding is that </w:t>
      </w:r>
      <w:proofErr w:type="spellStart"/>
      <w:r w:rsidRPr="005A611B">
        <w:rPr>
          <w:rFonts w:ascii="Times New Roman" w:eastAsia="Times New Roman" w:hAnsi="Times New Roman" w:cs="Times New Roman"/>
          <w:kern w:val="0"/>
          <w:sz w:val="24"/>
          <w:szCs w:val="24"/>
          <w14:ligatures w14:val="none"/>
        </w:rPr>
        <w:t>XGBoost</w:t>
      </w:r>
      <w:proofErr w:type="spellEnd"/>
      <w:r w:rsidRPr="005A611B">
        <w:rPr>
          <w:rFonts w:ascii="Times New Roman" w:eastAsia="Times New Roman" w:hAnsi="Times New Roman" w:cs="Times New Roman"/>
          <w:kern w:val="0"/>
          <w:sz w:val="24"/>
          <w:szCs w:val="24"/>
          <w14:ligatures w14:val="none"/>
        </w:rPr>
        <w:t xml:space="preserve">, combined with SHAP-based </w:t>
      </w:r>
      <w:proofErr w:type="spellStart"/>
      <w:r w:rsidRPr="005A611B">
        <w:rPr>
          <w:rFonts w:ascii="Times New Roman" w:eastAsia="Times New Roman" w:hAnsi="Times New Roman" w:cs="Times New Roman"/>
          <w:kern w:val="0"/>
          <w:sz w:val="24"/>
          <w:szCs w:val="24"/>
          <w14:ligatures w14:val="none"/>
        </w:rPr>
        <w:t>explainability</w:t>
      </w:r>
      <w:proofErr w:type="spellEnd"/>
      <w:r w:rsidRPr="005A611B">
        <w:rPr>
          <w:rFonts w:ascii="Times New Roman" w:eastAsia="Times New Roman" w:hAnsi="Times New Roman" w:cs="Times New Roman"/>
          <w:kern w:val="0"/>
          <w:sz w:val="24"/>
          <w:szCs w:val="24"/>
          <w14:ligatures w14:val="none"/>
        </w:rPr>
        <w:t>, replicates and reinforces the importance of the same core predictors. Figures 6</w:t>
      </w:r>
      <w:r w:rsidR="00E77D6A">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 xml:space="preserve">8 show that </w:t>
      </w:r>
      <w:proofErr w:type="spellStart"/>
      <w:r w:rsidRPr="005A611B">
        <w:rPr>
          <w:rFonts w:ascii="Times New Roman" w:eastAsia="Times New Roman" w:hAnsi="Times New Roman" w:cs="Times New Roman"/>
          <w:kern w:val="0"/>
          <w:sz w:val="24"/>
          <w:szCs w:val="24"/>
          <w14:ligatures w14:val="none"/>
        </w:rPr>
        <w:t>FoT</w:t>
      </w:r>
      <w:proofErr w:type="spellEnd"/>
      <w:r w:rsidRPr="005A611B">
        <w:rPr>
          <w:rFonts w:ascii="Times New Roman" w:eastAsia="Times New Roman" w:hAnsi="Times New Roman" w:cs="Times New Roman"/>
          <w:kern w:val="0"/>
          <w:sz w:val="24"/>
          <w:szCs w:val="24"/>
          <w14:ligatures w14:val="none"/>
        </w:rPr>
        <w:t>, sex of household head, residence, wealth, and water source dominate feature importance and SHAP contributions. This agreement across parametric, semiparametric, and machine learning models demonstrates that the identified factors are not model-specific artefacts, but genuine structural determinants of under-five survival.</w:t>
      </w:r>
    </w:p>
    <w:p w14:paraId="4CAF05C8" w14:textId="77777777"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Finally, calibration analysis in Figure 9 and the discrimination summary in Table 2 show that the models not only classify risk well but also produce probabilities that can be used operationally. This combination of discrimination and calibration allows the models to inform </w:t>
      </w:r>
      <w:proofErr w:type="spellStart"/>
      <w:r w:rsidRPr="005A611B">
        <w:rPr>
          <w:rFonts w:ascii="Times New Roman" w:eastAsia="Times New Roman" w:hAnsi="Times New Roman" w:cs="Times New Roman"/>
          <w:kern w:val="0"/>
          <w:sz w:val="24"/>
          <w:szCs w:val="24"/>
          <w14:ligatures w14:val="none"/>
        </w:rPr>
        <w:t>prioritisation</w:t>
      </w:r>
      <w:proofErr w:type="spellEnd"/>
      <w:r w:rsidRPr="005A611B">
        <w:rPr>
          <w:rFonts w:ascii="Times New Roman" w:eastAsia="Times New Roman" w:hAnsi="Times New Roman" w:cs="Times New Roman"/>
          <w:kern w:val="0"/>
          <w:sz w:val="24"/>
          <w:szCs w:val="24"/>
          <w14:ligatures w14:val="none"/>
        </w:rPr>
        <w:t xml:space="preserve"> of interventions under SDG 3, SDG 6, and SDG 10, including targeted support to households with young fathers, unsafe water sources, and constrained access to facility-based delivery and postnatal care.</w:t>
      </w:r>
    </w:p>
    <w:p w14:paraId="717D96FB" w14:textId="77777777" w:rsidR="005A611B" w:rsidRPr="005A611B" w:rsidRDefault="005A611B" w:rsidP="005A61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A611B">
        <w:rPr>
          <w:rFonts w:ascii="Times New Roman" w:eastAsia="Times New Roman" w:hAnsi="Times New Roman" w:cs="Times New Roman"/>
          <w:b/>
          <w:bCs/>
          <w:kern w:val="0"/>
          <w:sz w:val="27"/>
          <w:szCs w:val="27"/>
          <w14:ligatures w14:val="none"/>
        </w:rPr>
        <w:t>Conclusion</w:t>
      </w:r>
    </w:p>
    <w:p w14:paraId="7A160667" w14:textId="3B8387FD"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This research developed and applied an integrated modeling framework to identify and interpret the determinants of under-five survival in Ghana using nationally representative data. By combining logistic regression, multilevel logistic regression, generalized additive models, and </w:t>
      </w:r>
      <w:proofErr w:type="spellStart"/>
      <w:r w:rsidRPr="005A611B">
        <w:rPr>
          <w:rFonts w:ascii="Times New Roman" w:eastAsia="Times New Roman" w:hAnsi="Times New Roman" w:cs="Times New Roman"/>
          <w:kern w:val="0"/>
          <w:sz w:val="24"/>
          <w:szCs w:val="24"/>
          <w14:ligatures w14:val="none"/>
        </w:rPr>
        <w:t>XGBoost</w:t>
      </w:r>
      <w:proofErr w:type="spellEnd"/>
      <w:r w:rsidRPr="005A611B">
        <w:rPr>
          <w:rFonts w:ascii="Times New Roman" w:eastAsia="Times New Roman" w:hAnsi="Times New Roman" w:cs="Times New Roman"/>
          <w:kern w:val="0"/>
          <w:sz w:val="24"/>
          <w:szCs w:val="24"/>
          <w14:ligatures w14:val="none"/>
        </w:rPr>
        <w:t xml:space="preserve"> with SHAP-based </w:t>
      </w:r>
      <w:proofErr w:type="spellStart"/>
      <w:r w:rsidRPr="005A611B">
        <w:rPr>
          <w:rFonts w:ascii="Times New Roman" w:eastAsia="Times New Roman" w:hAnsi="Times New Roman" w:cs="Times New Roman"/>
          <w:kern w:val="0"/>
          <w:sz w:val="24"/>
          <w:szCs w:val="24"/>
          <w14:ligatures w14:val="none"/>
        </w:rPr>
        <w:t>explainability</w:t>
      </w:r>
      <w:proofErr w:type="spellEnd"/>
      <w:r w:rsidRPr="005A611B">
        <w:rPr>
          <w:rFonts w:ascii="Times New Roman" w:eastAsia="Times New Roman" w:hAnsi="Times New Roman" w:cs="Times New Roman"/>
          <w:kern w:val="0"/>
          <w:sz w:val="24"/>
          <w:szCs w:val="24"/>
          <w14:ligatures w14:val="none"/>
        </w:rPr>
        <w:t>, the study demonstrated that a relatively small set of factors</w:t>
      </w:r>
      <w:r>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 xml:space="preserve">paternal age, residence, sex of household head, sex of child, household wealth, water source, and maternal-newborn service </w:t>
      </w:r>
      <w:proofErr w:type="spellStart"/>
      <w:r w:rsidRPr="005A611B">
        <w:rPr>
          <w:rFonts w:ascii="Times New Roman" w:eastAsia="Times New Roman" w:hAnsi="Times New Roman" w:cs="Times New Roman"/>
          <w:kern w:val="0"/>
          <w:sz w:val="24"/>
          <w:szCs w:val="24"/>
          <w14:ligatures w14:val="none"/>
        </w:rPr>
        <w:t>utilisation</w:t>
      </w:r>
      <w:proofErr w:type="spellEnd"/>
      <w:r>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reliably structure child survival risk. The convergence of ROC-based discrimination (Figures 1</w:t>
      </w:r>
      <w:r>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3), GAM parametric and smooth components (Table 1, Figures 4</w:t>
      </w:r>
      <w:r>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5), machine learning feature importance and SHAP profiles (Figures 6</w:t>
      </w:r>
      <w:r>
        <w:rPr>
          <w:rFonts w:ascii="Times New Roman" w:eastAsia="Times New Roman" w:hAnsi="Times New Roman" w:cs="Times New Roman"/>
          <w:kern w:val="0"/>
          <w:sz w:val="24"/>
          <w:szCs w:val="24"/>
          <w14:ligatures w14:val="none"/>
        </w:rPr>
        <w:t>-</w:t>
      </w:r>
      <w:r w:rsidRPr="005A611B">
        <w:rPr>
          <w:rFonts w:ascii="Times New Roman" w:eastAsia="Times New Roman" w:hAnsi="Times New Roman" w:cs="Times New Roman"/>
          <w:kern w:val="0"/>
          <w:sz w:val="24"/>
          <w:szCs w:val="24"/>
          <w14:ligatures w14:val="none"/>
        </w:rPr>
        <w:t>8), and calibration plots (Figure 9), together with the AUC comparison in Table 2, provides a coherent and robust evidence base.</w:t>
      </w:r>
    </w:p>
    <w:p w14:paraId="3A009AEC" w14:textId="77777777"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The methodological contribution lies in the triangulation of classical statistical modeling, flexible semiparametric techniques, and explainable machine learning within a single pipeline applied to under-five survival. This approach addresses long-standing limitations in the literature related to linearity assumptions, </w:t>
      </w:r>
      <w:proofErr w:type="spellStart"/>
      <w:r w:rsidRPr="005A611B">
        <w:rPr>
          <w:rFonts w:ascii="Times New Roman" w:eastAsia="Times New Roman" w:hAnsi="Times New Roman" w:cs="Times New Roman"/>
          <w:kern w:val="0"/>
          <w:sz w:val="24"/>
          <w:szCs w:val="24"/>
          <w14:ligatures w14:val="none"/>
        </w:rPr>
        <w:t>underutilisation</w:t>
      </w:r>
      <w:proofErr w:type="spellEnd"/>
      <w:r w:rsidRPr="005A611B">
        <w:rPr>
          <w:rFonts w:ascii="Times New Roman" w:eastAsia="Times New Roman" w:hAnsi="Times New Roman" w:cs="Times New Roman"/>
          <w:kern w:val="0"/>
          <w:sz w:val="24"/>
          <w:szCs w:val="24"/>
          <w14:ligatures w14:val="none"/>
        </w:rPr>
        <w:t xml:space="preserve"> of nonlinearity, and opacity of black-box models. The framework shows that it is possible to retain interpretability while embracing modern machine learning tools, and to align predictive modeling with the SDG agenda by explicitly linking risk structures to SDG 3, SDG 6, and SDG 10.</w:t>
      </w:r>
    </w:p>
    <w:p w14:paraId="4444332A" w14:textId="77777777"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The substantive implications are clear. Health and social policy should </w:t>
      </w:r>
      <w:proofErr w:type="spellStart"/>
      <w:r w:rsidRPr="005A611B">
        <w:rPr>
          <w:rFonts w:ascii="Times New Roman" w:eastAsia="Times New Roman" w:hAnsi="Times New Roman" w:cs="Times New Roman"/>
          <w:kern w:val="0"/>
          <w:sz w:val="24"/>
          <w:szCs w:val="24"/>
          <w14:ligatures w14:val="none"/>
        </w:rPr>
        <w:t>prioritise</w:t>
      </w:r>
      <w:proofErr w:type="spellEnd"/>
      <w:r w:rsidRPr="005A611B">
        <w:rPr>
          <w:rFonts w:ascii="Times New Roman" w:eastAsia="Times New Roman" w:hAnsi="Times New Roman" w:cs="Times New Roman"/>
          <w:kern w:val="0"/>
          <w:sz w:val="24"/>
          <w:szCs w:val="24"/>
          <w14:ligatures w14:val="none"/>
        </w:rPr>
        <w:t xml:space="preserve"> universal, high-quality maternal and newborn care, including antenatal, delivery, and postnatal services, with particular attention to households headed by women, children of disadvantaged sex categories, and households with younger fathers. Investments in safe drinking water and basic environmental health infrastructure remain central for improving survival, aligning with SDG 6. The limited incremental contribution of regional random effects suggests that policies </w:t>
      </w:r>
      <w:r w:rsidRPr="005A611B">
        <w:rPr>
          <w:rFonts w:ascii="Times New Roman" w:eastAsia="Times New Roman" w:hAnsi="Times New Roman" w:cs="Times New Roman"/>
          <w:kern w:val="0"/>
          <w:sz w:val="24"/>
          <w:szCs w:val="24"/>
          <w14:ligatures w14:val="none"/>
        </w:rPr>
        <w:lastRenderedPageBreak/>
        <w:t>should address household-level inequities within all regions rather than assuming uniform regional deficits, which aligns with SDG 10’s focus on reducing inequalities within countries.</w:t>
      </w:r>
    </w:p>
    <w:p w14:paraId="076BAD86" w14:textId="77777777"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 xml:space="preserve">Several limitations should be acknowledged. The data are cross-sectional, so causal pathways cannot be fully established and temporal dynamics in risk cannot be captured. Residual confounding from unmeasured factors such as detailed maternal health status, intra-household decision processes, and community-level service quality is likely. Outcome classification depends on survey reporting, which may introduce misclassification errors. The ML </w:t>
      </w:r>
      <w:proofErr w:type="spellStart"/>
      <w:r w:rsidRPr="005A611B">
        <w:rPr>
          <w:rFonts w:ascii="Times New Roman" w:eastAsia="Times New Roman" w:hAnsi="Times New Roman" w:cs="Times New Roman"/>
          <w:kern w:val="0"/>
          <w:sz w:val="24"/>
          <w:szCs w:val="24"/>
          <w14:ligatures w14:val="none"/>
        </w:rPr>
        <w:t>explainability</w:t>
      </w:r>
      <w:proofErr w:type="spellEnd"/>
      <w:r w:rsidRPr="005A611B">
        <w:rPr>
          <w:rFonts w:ascii="Times New Roman" w:eastAsia="Times New Roman" w:hAnsi="Times New Roman" w:cs="Times New Roman"/>
          <w:kern w:val="0"/>
          <w:sz w:val="24"/>
          <w:szCs w:val="24"/>
          <w14:ligatures w14:val="none"/>
        </w:rPr>
        <w:t xml:space="preserve"> rests on SHAP approximations, which, although powerful, still depend on model structure and feature encoding choices. Future research can extend this work by incorporating time-to-event methods, spatially explicit random effects, and richer service quality metrics, as well as by validating the models prospectively within health system workflows.</w:t>
      </w:r>
    </w:p>
    <w:p w14:paraId="48ECAA4C" w14:textId="77777777" w:rsidR="005A611B" w:rsidRPr="005A611B" w:rsidRDefault="005A611B" w:rsidP="005A61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611B">
        <w:rPr>
          <w:rFonts w:ascii="Times New Roman" w:eastAsia="Times New Roman" w:hAnsi="Times New Roman" w:cs="Times New Roman"/>
          <w:kern w:val="0"/>
          <w:sz w:val="24"/>
          <w:szCs w:val="24"/>
          <w14:ligatures w14:val="none"/>
        </w:rPr>
        <w:t>Despite these constraints, the study shows that an integrated, explainable modeling pipeline can meaningfully inform child survival policy. Embedding such models into routine health information systems would support proactive, data-driven identification of high-risk households and guide targeted interventions that accelerate progress toward ending preventable deaths among children under five.</w:t>
      </w:r>
    </w:p>
    <w:p w14:paraId="1CBE6333" w14:textId="77777777" w:rsidR="00701520" w:rsidRDefault="00701520" w:rsidP="00A76640"/>
    <w:p w14:paraId="513A3B47" w14:textId="77777777" w:rsidR="009C2D2E" w:rsidRPr="00117CC1" w:rsidRDefault="009C2D2E" w:rsidP="009C2D2E">
      <w:pPr>
        <w:jc w:val="both"/>
        <w:rPr>
          <w:rFonts w:ascii="Times New Roman" w:hAnsi="Times New Roman" w:cs="Times New Roman"/>
          <w:b/>
          <w:bCs/>
          <w:sz w:val="20"/>
          <w:szCs w:val="20"/>
        </w:rPr>
      </w:pPr>
      <w:r w:rsidRPr="00117CC1">
        <w:rPr>
          <w:rFonts w:ascii="Times New Roman" w:hAnsi="Times New Roman" w:cs="Times New Roman"/>
          <w:b/>
          <w:bCs/>
          <w:sz w:val="20"/>
          <w:szCs w:val="20"/>
        </w:rPr>
        <w:t>Declarations</w:t>
      </w:r>
    </w:p>
    <w:p w14:paraId="591038CF" w14:textId="77777777" w:rsidR="00606ECD" w:rsidRDefault="00606ECD" w:rsidP="00606ECD">
      <w:pPr>
        <w:jc w:val="both"/>
        <w:rPr>
          <w:rFonts w:ascii="Times New Roman" w:eastAsia="Calibri" w:hAnsi="Times New Roman" w:cs="Times New Roman"/>
          <w:sz w:val="20"/>
          <w:szCs w:val="20"/>
        </w:rPr>
      </w:pPr>
      <w:r w:rsidRPr="00117CC1">
        <w:rPr>
          <w:rFonts w:ascii="Times New Roman" w:hAnsi="Times New Roman" w:cs="Times New Roman"/>
          <w:sz w:val="20"/>
          <w:szCs w:val="20"/>
        </w:rPr>
        <w:t>The</w:t>
      </w:r>
      <w:r>
        <w:rPr>
          <w:rFonts w:ascii="Times New Roman" w:eastAsia="Calibri" w:hAnsi="Times New Roman" w:cs="Times New Roman"/>
          <w:sz w:val="20"/>
          <w:szCs w:val="20"/>
        </w:rPr>
        <w:t xml:space="preserve"> </w:t>
      </w:r>
      <w:r w:rsidRPr="00117CC1">
        <w:rPr>
          <w:rFonts w:ascii="Times New Roman" w:hAnsi="Times New Roman" w:cs="Times New Roman"/>
          <w:sz w:val="20"/>
          <w:szCs w:val="20"/>
        </w:rPr>
        <w:t>data</w:t>
      </w:r>
      <w:r>
        <w:rPr>
          <w:rFonts w:ascii="Times New Roman" w:eastAsia="Calibri" w:hAnsi="Times New Roman" w:cs="Times New Roman"/>
          <w:sz w:val="20"/>
          <w:szCs w:val="20"/>
        </w:rPr>
        <w:t xml:space="preserve"> </w:t>
      </w:r>
      <w:r w:rsidRPr="00117CC1">
        <w:rPr>
          <w:rFonts w:ascii="Times New Roman" w:hAnsi="Times New Roman" w:cs="Times New Roman"/>
          <w:sz w:val="20"/>
          <w:szCs w:val="20"/>
        </w:rPr>
        <w:t>supporting</w:t>
      </w:r>
      <w:r>
        <w:rPr>
          <w:rFonts w:ascii="Times New Roman" w:eastAsia="Calibri" w:hAnsi="Times New Roman" w:cs="Times New Roman"/>
          <w:sz w:val="20"/>
          <w:szCs w:val="20"/>
        </w:rPr>
        <w:t xml:space="preserve"> </w:t>
      </w:r>
      <w:r w:rsidRPr="00117CC1">
        <w:rPr>
          <w:rFonts w:ascii="Times New Roman" w:hAnsi="Times New Roman" w:cs="Times New Roman"/>
          <w:sz w:val="20"/>
          <w:szCs w:val="20"/>
        </w:rPr>
        <w:t>this</w:t>
      </w:r>
      <w:r>
        <w:rPr>
          <w:rFonts w:ascii="Times New Roman" w:eastAsia="Calibri" w:hAnsi="Times New Roman" w:cs="Times New Roman"/>
          <w:sz w:val="20"/>
          <w:szCs w:val="20"/>
        </w:rPr>
        <w:t xml:space="preserve"> </w:t>
      </w:r>
      <w:r w:rsidRPr="00117CC1">
        <w:rPr>
          <w:rFonts w:ascii="Times New Roman" w:hAnsi="Times New Roman" w:cs="Times New Roman"/>
          <w:sz w:val="20"/>
          <w:szCs w:val="20"/>
        </w:rPr>
        <w:t>study</w:t>
      </w:r>
      <w:r>
        <w:rPr>
          <w:rFonts w:ascii="Times New Roman" w:eastAsia="Calibri" w:hAnsi="Times New Roman" w:cs="Times New Roman"/>
          <w:sz w:val="20"/>
          <w:szCs w:val="20"/>
        </w:rPr>
        <w:t xml:space="preserve"> </w:t>
      </w:r>
      <w:r w:rsidRPr="00117CC1">
        <w:rPr>
          <w:rFonts w:ascii="Times New Roman" w:hAnsi="Times New Roman" w:cs="Times New Roman"/>
          <w:sz w:val="20"/>
          <w:szCs w:val="20"/>
        </w:rPr>
        <w:t>are</w:t>
      </w:r>
      <w:r>
        <w:rPr>
          <w:rFonts w:ascii="Times New Roman" w:eastAsia="Calibri" w:hAnsi="Times New Roman" w:cs="Times New Roman"/>
          <w:sz w:val="20"/>
          <w:szCs w:val="20"/>
        </w:rPr>
        <w:t xml:space="preserve"> </w:t>
      </w:r>
      <w:r w:rsidRPr="00117CC1">
        <w:rPr>
          <w:rFonts w:ascii="Times New Roman" w:hAnsi="Times New Roman" w:cs="Times New Roman"/>
          <w:sz w:val="20"/>
          <w:szCs w:val="20"/>
        </w:rPr>
        <w:t>publicly</w:t>
      </w:r>
      <w:r>
        <w:rPr>
          <w:rFonts w:ascii="Times New Roman" w:eastAsia="Calibri" w:hAnsi="Times New Roman" w:cs="Times New Roman"/>
          <w:sz w:val="20"/>
          <w:szCs w:val="20"/>
        </w:rPr>
        <w:t xml:space="preserve"> </w:t>
      </w:r>
      <w:r w:rsidRPr="00117CC1">
        <w:rPr>
          <w:rFonts w:ascii="Times New Roman" w:hAnsi="Times New Roman" w:cs="Times New Roman"/>
          <w:sz w:val="20"/>
          <w:szCs w:val="20"/>
        </w:rPr>
        <w:t>available</w:t>
      </w:r>
      <w:r>
        <w:rPr>
          <w:rFonts w:ascii="Times New Roman" w:eastAsia="Calibri" w:hAnsi="Times New Roman" w:cs="Times New Roman"/>
          <w:sz w:val="20"/>
          <w:szCs w:val="20"/>
        </w:rPr>
        <w:t xml:space="preserve"> </w:t>
      </w:r>
    </w:p>
    <w:p w14:paraId="4200EA89" w14:textId="25FA016A" w:rsidR="009C2D2E" w:rsidRPr="00606ECD" w:rsidRDefault="009C2D2E" w:rsidP="00606ECD">
      <w:pPr>
        <w:pStyle w:val="BodyText"/>
        <w:rPr>
          <w:rFonts w:cs="Times New Roman"/>
          <w:sz w:val="20"/>
          <w:szCs w:val="20"/>
        </w:rPr>
      </w:pPr>
      <w:r w:rsidRPr="00606ECD">
        <w:rPr>
          <w:rFonts w:cs="Times New Roman"/>
          <w:sz w:val="20"/>
          <w:szCs w:val="20"/>
        </w:rPr>
        <w:t>Data</w:t>
      </w:r>
      <w:r w:rsidRPr="00606ECD">
        <w:rPr>
          <w:rFonts w:eastAsia="Calibri" w:cs="Times New Roman"/>
          <w:sz w:val="20"/>
          <w:szCs w:val="20"/>
        </w:rPr>
        <w:t xml:space="preserve"> </w:t>
      </w:r>
      <w:r w:rsidRPr="00606ECD">
        <w:rPr>
          <w:rFonts w:cs="Times New Roman"/>
          <w:sz w:val="20"/>
          <w:szCs w:val="20"/>
        </w:rPr>
        <w:t>availability</w:t>
      </w:r>
      <w:r w:rsidRPr="00606ECD">
        <w:rPr>
          <w:rFonts w:eastAsia="Calibri" w:cs="Times New Roman"/>
          <w:sz w:val="20"/>
          <w:szCs w:val="20"/>
        </w:rPr>
        <w:t xml:space="preserve"> </w:t>
      </w:r>
      <w:r w:rsidRPr="00606ECD">
        <w:rPr>
          <w:rFonts w:cs="Times New Roman"/>
          <w:sz w:val="20"/>
          <w:szCs w:val="20"/>
        </w:rPr>
        <w:t>statement</w:t>
      </w:r>
      <w:r w:rsidR="00606ECD" w:rsidRPr="00606ECD">
        <w:rPr>
          <w:rFonts w:cs="Times New Roman"/>
          <w:sz w:val="20"/>
          <w:szCs w:val="20"/>
        </w:rPr>
        <w:t xml:space="preserve"> Repository Link</w:t>
      </w:r>
      <w:r w:rsidR="00606ECD" w:rsidRPr="00265FAF">
        <w:rPr>
          <w:rFonts w:cs="Times New Roman"/>
          <w:b/>
          <w:bCs/>
          <w:sz w:val="20"/>
          <w:szCs w:val="20"/>
        </w:rPr>
        <w:t>:</w:t>
      </w:r>
      <w:r w:rsidR="00606ECD" w:rsidRPr="00265FAF">
        <w:rPr>
          <w:rFonts w:cs="Times New Roman"/>
          <w:sz w:val="20"/>
          <w:szCs w:val="20"/>
        </w:rPr>
        <w:t xml:space="preserve"> </w:t>
      </w:r>
      <w:hyperlink r:id="rId15">
        <w:r w:rsidR="00606ECD" w:rsidRPr="00265FAF">
          <w:rPr>
            <w:rStyle w:val="Hyperlink"/>
            <w:rFonts w:cs="Times New Roman"/>
            <w:sz w:val="20"/>
            <w:szCs w:val="20"/>
          </w:rPr>
          <w:t>https://osf.io/ghn3y/</w:t>
        </w:r>
      </w:hyperlink>
    </w:p>
    <w:p w14:paraId="734F0F7E" w14:textId="77777777" w:rsidR="00265FAF" w:rsidRPr="00265FAF" w:rsidRDefault="00265FAF" w:rsidP="00265FAF">
      <w:pPr>
        <w:pStyle w:val="Heading4"/>
        <w:rPr>
          <w:rFonts w:ascii="Times New Roman" w:hAnsi="Times New Roman" w:cs="Times New Roman"/>
          <w:i w:val="0"/>
          <w:iCs w:val="0"/>
          <w:color w:val="auto"/>
          <w:sz w:val="20"/>
          <w:szCs w:val="20"/>
        </w:rPr>
      </w:pPr>
      <w:bookmarkStart w:id="12" w:name="X83af7341abaa90907e8c095fcd2c9963edeb9ad"/>
      <w:r w:rsidRPr="00265FAF">
        <w:rPr>
          <w:rFonts w:ascii="Times New Roman" w:hAnsi="Times New Roman" w:cs="Times New Roman"/>
          <w:b/>
          <w:bCs/>
          <w:i w:val="0"/>
          <w:iCs w:val="0"/>
          <w:color w:val="auto"/>
          <w:sz w:val="20"/>
          <w:szCs w:val="20"/>
        </w:rPr>
        <w:t>Ethical Considerations and Reproducibility</w:t>
      </w:r>
    </w:p>
    <w:p w14:paraId="79C86669" w14:textId="445A7D5F" w:rsidR="00BF1FAB" w:rsidRPr="00DA302F" w:rsidRDefault="00265FAF" w:rsidP="00DA302F">
      <w:pPr>
        <w:pStyle w:val="FirstParagraph"/>
        <w:rPr>
          <w:rFonts w:cs="Times New Roman"/>
          <w:sz w:val="20"/>
          <w:szCs w:val="20"/>
        </w:rPr>
      </w:pPr>
      <w:r w:rsidRPr="00265FAF">
        <w:rPr>
          <w:rFonts w:cs="Times New Roman"/>
          <w:sz w:val="20"/>
          <w:szCs w:val="20"/>
        </w:rPr>
        <w:t>The dataset was fully anonymized, with no identifiable personal information. Analytical scripts, processed datasets, and code for figure generation are openly available for verification and reuse.</w:t>
      </w:r>
      <w:r w:rsidRPr="00265FAF">
        <w:rPr>
          <w:rFonts w:cs="Times New Roman"/>
          <w:sz w:val="20"/>
          <w:szCs w:val="20"/>
        </w:rPr>
        <w:br/>
        <w:t>All computations adhere to FAIR (Findable, Accessible, Interoperable, Reusable) data principles, supporting transparent and replicable research</w:t>
      </w:r>
      <w:r>
        <w:rPr>
          <w:rFonts w:cs="Times New Roman"/>
          <w:sz w:val="20"/>
          <w:szCs w:val="20"/>
        </w:rPr>
        <w:t>.</w:t>
      </w:r>
      <w:bookmarkEnd w:id="12"/>
    </w:p>
    <w:p w14:paraId="74306C47" w14:textId="7B15990F" w:rsidR="00701520" w:rsidRPr="00701520" w:rsidRDefault="00701520" w:rsidP="00701520">
      <w:pPr>
        <w:rPr>
          <w:rFonts w:ascii="Times New Roman" w:hAnsi="Times New Roman" w:cs="Times New Roman"/>
          <w:b/>
          <w:bCs/>
        </w:rPr>
      </w:pPr>
      <w:r w:rsidRPr="00C93A73">
        <w:rPr>
          <w:rFonts w:ascii="Times New Roman" w:hAnsi="Times New Roman" w:cs="Times New Roman"/>
          <w:b/>
          <w:bCs/>
        </w:rPr>
        <w:t>References</w:t>
      </w:r>
    </w:p>
    <w:p w14:paraId="7F6091F9" w14:textId="069DD421" w:rsidR="00701520" w:rsidRDefault="00701520" w:rsidP="00701520">
      <w:pPr>
        <w:rPr>
          <w:rFonts w:ascii="Times New Roman" w:hAnsi="Times New Roman" w:cs="Times New Roman"/>
        </w:rPr>
      </w:pPr>
      <w:r w:rsidRPr="00D456B0">
        <w:rPr>
          <w:rFonts w:ascii="Times New Roman" w:hAnsi="Times New Roman" w:cs="Times New Roman"/>
        </w:rPr>
        <w:t xml:space="preserve">Adeyinka, D. A., &amp; </w:t>
      </w:r>
      <w:proofErr w:type="spellStart"/>
      <w:r w:rsidRPr="00D456B0">
        <w:rPr>
          <w:rFonts w:ascii="Times New Roman" w:hAnsi="Times New Roman" w:cs="Times New Roman"/>
        </w:rPr>
        <w:t>Muhajarine</w:t>
      </w:r>
      <w:proofErr w:type="spellEnd"/>
      <w:r w:rsidRPr="00D456B0">
        <w:rPr>
          <w:rFonts w:ascii="Times New Roman" w:hAnsi="Times New Roman" w:cs="Times New Roman"/>
        </w:rPr>
        <w:t xml:space="preserve">, N. (2024). Disentangling the link between social determinants of health and child survival in Nigeria during the Sustainable Development Goals era: a hierarchical path analysis of time-to-event outcome. </w:t>
      </w:r>
      <w:r w:rsidRPr="00D456B0">
        <w:rPr>
          <w:rFonts w:ascii="Times New Roman" w:hAnsi="Times New Roman" w:cs="Times New Roman"/>
          <w:i/>
          <w:iCs/>
        </w:rPr>
        <w:t>Journal of Biosocial Science</w:t>
      </w:r>
      <w:r w:rsidRPr="00D456B0">
        <w:rPr>
          <w:rFonts w:ascii="Times New Roman" w:hAnsi="Times New Roman" w:cs="Times New Roman"/>
        </w:rPr>
        <w:t xml:space="preserve">, </w:t>
      </w:r>
      <w:r w:rsidRPr="00D456B0">
        <w:rPr>
          <w:rFonts w:ascii="Times New Roman" w:hAnsi="Times New Roman" w:cs="Times New Roman"/>
          <w:i/>
          <w:iCs/>
        </w:rPr>
        <w:t>56</w:t>
      </w:r>
      <w:r w:rsidRPr="00D456B0">
        <w:rPr>
          <w:rFonts w:ascii="Times New Roman" w:hAnsi="Times New Roman" w:cs="Times New Roman"/>
        </w:rPr>
        <w:t>(2), 357-375.</w:t>
      </w:r>
    </w:p>
    <w:p w14:paraId="71CA327D" w14:textId="6FDFBD3E" w:rsidR="00701520" w:rsidRPr="00E740C8" w:rsidRDefault="00701520" w:rsidP="00701520">
      <w:pPr>
        <w:rPr>
          <w:rFonts w:ascii="Times New Roman" w:hAnsi="Times New Roman" w:cs="Times New Roman"/>
        </w:rPr>
      </w:pPr>
      <w:r w:rsidRPr="00E740C8">
        <w:rPr>
          <w:rFonts w:ascii="Times New Roman" w:hAnsi="Times New Roman" w:cs="Times New Roman"/>
        </w:rPr>
        <w:t>Amir-</w:t>
      </w:r>
      <w:proofErr w:type="spellStart"/>
      <w:r w:rsidRPr="00E740C8">
        <w:rPr>
          <w:rFonts w:ascii="Times New Roman" w:hAnsi="Times New Roman" w:cs="Times New Roman"/>
        </w:rPr>
        <w:t>ud</w:t>
      </w:r>
      <w:proofErr w:type="spellEnd"/>
      <w:r w:rsidRPr="00E740C8">
        <w:rPr>
          <w:rFonts w:ascii="Times New Roman" w:hAnsi="Times New Roman" w:cs="Times New Roman"/>
        </w:rPr>
        <w:t xml:space="preserve">-Din, R., Kumar, R., Naeem, N., &amp; Khan, M. (2024). Air pollution and under-5 child mortality: linking satellite and IPUMS-DHS data across 41 countries in South Asia and Sub-Saharan Africa. </w:t>
      </w:r>
      <w:r w:rsidRPr="00E740C8">
        <w:rPr>
          <w:rFonts w:ascii="Times New Roman" w:hAnsi="Times New Roman" w:cs="Times New Roman"/>
          <w:i/>
          <w:iCs/>
        </w:rPr>
        <w:t>BMC Public Health</w:t>
      </w:r>
      <w:r w:rsidRPr="00E740C8">
        <w:rPr>
          <w:rFonts w:ascii="Times New Roman" w:hAnsi="Times New Roman" w:cs="Times New Roman"/>
        </w:rPr>
        <w:t xml:space="preserve">, </w:t>
      </w:r>
      <w:r w:rsidRPr="00E740C8">
        <w:rPr>
          <w:rFonts w:ascii="Times New Roman" w:hAnsi="Times New Roman" w:cs="Times New Roman"/>
          <w:i/>
          <w:iCs/>
        </w:rPr>
        <w:t>24</w:t>
      </w:r>
      <w:r w:rsidRPr="00E740C8">
        <w:rPr>
          <w:rFonts w:ascii="Times New Roman" w:hAnsi="Times New Roman" w:cs="Times New Roman"/>
        </w:rPr>
        <w:t>(1), 2996.</w:t>
      </w:r>
    </w:p>
    <w:p w14:paraId="1866265E" w14:textId="756BE9C2" w:rsidR="00701520" w:rsidRDefault="00701520" w:rsidP="00701520">
      <w:pPr>
        <w:rPr>
          <w:rFonts w:ascii="Times New Roman" w:hAnsi="Times New Roman" w:cs="Times New Roman"/>
        </w:rPr>
      </w:pPr>
      <w:r w:rsidRPr="003F7AE3">
        <w:rPr>
          <w:rFonts w:ascii="Times New Roman" w:hAnsi="Times New Roman" w:cs="Times New Roman"/>
        </w:rPr>
        <w:t xml:space="preserve">Arana-Ovalle, R., Dillon, L., </w:t>
      </w:r>
      <w:proofErr w:type="spellStart"/>
      <w:r w:rsidRPr="003F7AE3">
        <w:rPr>
          <w:rFonts w:ascii="Times New Roman" w:hAnsi="Times New Roman" w:cs="Times New Roman"/>
        </w:rPr>
        <w:t>Murua</w:t>
      </w:r>
      <w:proofErr w:type="spellEnd"/>
      <w:r w:rsidRPr="003F7AE3">
        <w:rPr>
          <w:rFonts w:ascii="Times New Roman" w:hAnsi="Times New Roman" w:cs="Times New Roman"/>
        </w:rPr>
        <w:t xml:space="preserve">, A., &amp; Zamudio-Sánchez, F. J. (2025). Dynamic interplay of kinship and net-fertility: a comprehensive analysis across demographic transitions in Mexico. </w:t>
      </w:r>
      <w:r w:rsidRPr="003F7AE3">
        <w:rPr>
          <w:rFonts w:ascii="Times New Roman" w:hAnsi="Times New Roman" w:cs="Times New Roman"/>
          <w:i/>
          <w:iCs/>
        </w:rPr>
        <w:t>The History of the Family</w:t>
      </w:r>
      <w:r w:rsidRPr="003F7AE3">
        <w:rPr>
          <w:rFonts w:ascii="Times New Roman" w:hAnsi="Times New Roman" w:cs="Times New Roman"/>
        </w:rPr>
        <w:t>, 1-32.</w:t>
      </w:r>
    </w:p>
    <w:p w14:paraId="21DAA902" w14:textId="77777777" w:rsidR="00701520" w:rsidRPr="00171872" w:rsidRDefault="00701520" w:rsidP="00701520">
      <w:pPr>
        <w:spacing w:line="240" w:lineRule="auto"/>
        <w:rPr>
          <w:rFonts w:ascii="Times New Roman" w:hAnsi="Times New Roman" w:cs="Times New Roman"/>
        </w:rPr>
      </w:pPr>
      <w:r w:rsidRPr="00171872">
        <w:rPr>
          <w:rFonts w:ascii="Times New Roman" w:hAnsi="Times New Roman" w:cs="Times New Roman"/>
        </w:rPr>
        <w:t xml:space="preserve">Ashwini, C., Bose, S. R., </w:t>
      </w:r>
      <w:proofErr w:type="spellStart"/>
      <w:r w:rsidRPr="00171872">
        <w:rPr>
          <w:rFonts w:ascii="Times New Roman" w:hAnsi="Times New Roman" w:cs="Times New Roman"/>
        </w:rPr>
        <w:t>Padmavathy</w:t>
      </w:r>
      <w:proofErr w:type="spellEnd"/>
      <w:r w:rsidRPr="00171872">
        <w:rPr>
          <w:rFonts w:ascii="Times New Roman" w:hAnsi="Times New Roman" w:cs="Times New Roman"/>
        </w:rPr>
        <w:t xml:space="preserve">, M. D., Raj, C., &amp; Ajay, J. C. (2024). Predicting Child Mortality </w:t>
      </w:r>
      <w:proofErr w:type="gramStart"/>
      <w:r w:rsidRPr="00171872">
        <w:rPr>
          <w:rFonts w:ascii="Times New Roman" w:hAnsi="Times New Roman" w:cs="Times New Roman"/>
        </w:rPr>
        <w:t>With</w:t>
      </w:r>
      <w:proofErr w:type="gramEnd"/>
      <w:r w:rsidRPr="00171872">
        <w:rPr>
          <w:rFonts w:ascii="Times New Roman" w:hAnsi="Times New Roman" w:cs="Times New Roman"/>
        </w:rPr>
        <w:t xml:space="preserve"> Diverse Regression Algorithms Using a Machine Learning Approach. </w:t>
      </w:r>
      <w:r w:rsidRPr="00171872">
        <w:rPr>
          <w:rFonts w:ascii="Times New Roman" w:hAnsi="Times New Roman" w:cs="Times New Roman"/>
          <w:i/>
          <w:iCs/>
        </w:rPr>
        <w:t>Advancing Intelligent Networks Through Distributed Optimization</w:t>
      </w:r>
      <w:r w:rsidRPr="00171872">
        <w:rPr>
          <w:rFonts w:ascii="Times New Roman" w:hAnsi="Times New Roman" w:cs="Times New Roman"/>
        </w:rPr>
        <w:t>, 329-352.</w:t>
      </w:r>
    </w:p>
    <w:p w14:paraId="7C96B021" w14:textId="47F3A998" w:rsidR="00701520" w:rsidRPr="00BE07A4" w:rsidRDefault="00701520" w:rsidP="00701520">
      <w:pPr>
        <w:rPr>
          <w:rFonts w:ascii="Times New Roman" w:hAnsi="Times New Roman" w:cs="Times New Roman"/>
        </w:rPr>
      </w:pPr>
      <w:proofErr w:type="spellStart"/>
      <w:r w:rsidRPr="00BE07A4">
        <w:rPr>
          <w:rFonts w:ascii="Times New Roman" w:hAnsi="Times New Roman" w:cs="Times New Roman"/>
        </w:rPr>
        <w:t>Birhanie</w:t>
      </w:r>
      <w:proofErr w:type="spellEnd"/>
      <w:r w:rsidRPr="00BE07A4">
        <w:rPr>
          <w:rFonts w:ascii="Times New Roman" w:hAnsi="Times New Roman" w:cs="Times New Roman"/>
        </w:rPr>
        <w:t xml:space="preserve">, A. L., </w:t>
      </w:r>
      <w:proofErr w:type="spellStart"/>
      <w:r w:rsidRPr="00BE07A4">
        <w:rPr>
          <w:rFonts w:ascii="Times New Roman" w:hAnsi="Times New Roman" w:cs="Times New Roman"/>
        </w:rPr>
        <w:t>Tessema</w:t>
      </w:r>
      <w:proofErr w:type="spellEnd"/>
      <w:r w:rsidRPr="00BE07A4">
        <w:rPr>
          <w:rFonts w:ascii="Times New Roman" w:hAnsi="Times New Roman" w:cs="Times New Roman"/>
        </w:rPr>
        <w:t xml:space="preserve">, Z. T., </w:t>
      </w:r>
      <w:proofErr w:type="spellStart"/>
      <w:r w:rsidRPr="00BE07A4">
        <w:rPr>
          <w:rFonts w:ascii="Times New Roman" w:hAnsi="Times New Roman" w:cs="Times New Roman"/>
        </w:rPr>
        <w:t>Endalew</w:t>
      </w:r>
      <w:proofErr w:type="spellEnd"/>
      <w:r w:rsidRPr="00BE07A4">
        <w:rPr>
          <w:rFonts w:ascii="Times New Roman" w:hAnsi="Times New Roman" w:cs="Times New Roman"/>
        </w:rPr>
        <w:t xml:space="preserve">, B., &amp; </w:t>
      </w:r>
      <w:proofErr w:type="spellStart"/>
      <w:r w:rsidRPr="00BE07A4">
        <w:rPr>
          <w:rFonts w:ascii="Times New Roman" w:hAnsi="Times New Roman" w:cs="Times New Roman"/>
        </w:rPr>
        <w:t>Tamirat</w:t>
      </w:r>
      <w:proofErr w:type="spellEnd"/>
      <w:r w:rsidRPr="00BE07A4">
        <w:rPr>
          <w:rFonts w:ascii="Times New Roman" w:hAnsi="Times New Roman" w:cs="Times New Roman"/>
        </w:rPr>
        <w:t xml:space="preserve">, K. S. (2025). Under-five mortality and its associated factors in sub-Saharan Africa: a multilevel analysis of recent demographic and health surveys data based on Bayesian approach. </w:t>
      </w:r>
      <w:r w:rsidRPr="00BE07A4">
        <w:rPr>
          <w:rFonts w:ascii="Times New Roman" w:hAnsi="Times New Roman" w:cs="Times New Roman"/>
          <w:i/>
          <w:iCs/>
        </w:rPr>
        <w:t>BMC pediatrics</w:t>
      </w:r>
      <w:r w:rsidRPr="00BE07A4">
        <w:rPr>
          <w:rFonts w:ascii="Times New Roman" w:hAnsi="Times New Roman" w:cs="Times New Roman"/>
        </w:rPr>
        <w:t xml:space="preserve">, </w:t>
      </w:r>
      <w:r w:rsidRPr="00BE07A4">
        <w:rPr>
          <w:rFonts w:ascii="Times New Roman" w:hAnsi="Times New Roman" w:cs="Times New Roman"/>
          <w:i/>
          <w:iCs/>
        </w:rPr>
        <w:t>25</w:t>
      </w:r>
      <w:r w:rsidRPr="00BE07A4">
        <w:rPr>
          <w:rFonts w:ascii="Times New Roman" w:hAnsi="Times New Roman" w:cs="Times New Roman"/>
        </w:rPr>
        <w:t>(1), 103.</w:t>
      </w:r>
    </w:p>
    <w:p w14:paraId="7C8EA5ED" w14:textId="69BDF845" w:rsidR="00701520" w:rsidRPr="003F7AE3" w:rsidRDefault="00701520" w:rsidP="00701520">
      <w:pPr>
        <w:rPr>
          <w:rFonts w:ascii="Times New Roman" w:hAnsi="Times New Roman" w:cs="Times New Roman"/>
        </w:rPr>
      </w:pPr>
      <w:proofErr w:type="spellStart"/>
      <w:r w:rsidRPr="003F7AE3">
        <w:rPr>
          <w:rFonts w:ascii="Times New Roman" w:hAnsi="Times New Roman" w:cs="Times New Roman"/>
        </w:rPr>
        <w:lastRenderedPageBreak/>
        <w:t>Chaku</w:t>
      </w:r>
      <w:proofErr w:type="spellEnd"/>
      <w:r w:rsidRPr="003F7AE3">
        <w:rPr>
          <w:rFonts w:ascii="Times New Roman" w:hAnsi="Times New Roman" w:cs="Times New Roman"/>
        </w:rPr>
        <w:t xml:space="preserve">, S. E., </w:t>
      </w:r>
      <w:proofErr w:type="spellStart"/>
      <w:r w:rsidRPr="003F7AE3">
        <w:rPr>
          <w:rFonts w:ascii="Times New Roman" w:hAnsi="Times New Roman" w:cs="Times New Roman"/>
        </w:rPr>
        <w:t>Nwaze</w:t>
      </w:r>
      <w:proofErr w:type="spellEnd"/>
      <w:r w:rsidRPr="003F7AE3">
        <w:rPr>
          <w:rFonts w:ascii="Times New Roman" w:hAnsi="Times New Roman" w:cs="Times New Roman"/>
        </w:rPr>
        <w:t xml:space="preserve">, N. O., Musa, G. K., &amp; </w:t>
      </w:r>
      <w:proofErr w:type="spellStart"/>
      <w:r w:rsidRPr="003F7AE3">
        <w:rPr>
          <w:rFonts w:ascii="Times New Roman" w:hAnsi="Times New Roman" w:cs="Times New Roman"/>
        </w:rPr>
        <w:t>Adehi</w:t>
      </w:r>
      <w:proofErr w:type="spellEnd"/>
      <w:r w:rsidRPr="003F7AE3">
        <w:rPr>
          <w:rFonts w:ascii="Times New Roman" w:hAnsi="Times New Roman" w:cs="Times New Roman"/>
        </w:rPr>
        <w:t xml:space="preserve">, M. U. (2025). Flexible accelerated failure time model with spatial dependency: application to under-five mortality rate. </w:t>
      </w:r>
      <w:r w:rsidRPr="003F7AE3">
        <w:rPr>
          <w:rFonts w:ascii="Times New Roman" w:hAnsi="Times New Roman" w:cs="Times New Roman"/>
          <w:i/>
          <w:iCs/>
        </w:rPr>
        <w:t>Journal of the Royal Statistical Society Nigeria Group (JRSS-NIG Group) ISSN NUMBER: 1116-249X</w:t>
      </w:r>
      <w:r w:rsidRPr="003F7AE3">
        <w:rPr>
          <w:rFonts w:ascii="Times New Roman" w:hAnsi="Times New Roman" w:cs="Times New Roman"/>
        </w:rPr>
        <w:t xml:space="preserve">, </w:t>
      </w:r>
      <w:r w:rsidRPr="003F7AE3">
        <w:rPr>
          <w:rFonts w:ascii="Times New Roman" w:hAnsi="Times New Roman" w:cs="Times New Roman"/>
          <w:i/>
          <w:iCs/>
        </w:rPr>
        <w:t>2</w:t>
      </w:r>
      <w:r w:rsidRPr="003F7AE3">
        <w:rPr>
          <w:rFonts w:ascii="Times New Roman" w:hAnsi="Times New Roman" w:cs="Times New Roman"/>
        </w:rPr>
        <w:t>(1), 430-452.</w:t>
      </w:r>
    </w:p>
    <w:p w14:paraId="0780766D" w14:textId="77777777" w:rsidR="00701520" w:rsidRDefault="00701520" w:rsidP="00701520">
      <w:pPr>
        <w:rPr>
          <w:rFonts w:ascii="Times New Roman" w:hAnsi="Times New Roman" w:cs="Times New Roman"/>
        </w:rPr>
      </w:pPr>
      <w:proofErr w:type="spellStart"/>
      <w:r w:rsidRPr="00E740C8">
        <w:rPr>
          <w:rFonts w:ascii="Times New Roman" w:hAnsi="Times New Roman" w:cs="Times New Roman"/>
        </w:rPr>
        <w:t>Dhage</w:t>
      </w:r>
      <w:proofErr w:type="spellEnd"/>
      <w:r w:rsidRPr="00E740C8">
        <w:rPr>
          <w:rFonts w:ascii="Times New Roman" w:hAnsi="Times New Roman" w:cs="Times New Roman"/>
        </w:rPr>
        <w:t xml:space="preserve">, V. D., &amp; </w:t>
      </w:r>
      <w:proofErr w:type="spellStart"/>
      <w:r w:rsidRPr="00E740C8">
        <w:rPr>
          <w:rFonts w:ascii="Times New Roman" w:hAnsi="Times New Roman" w:cs="Times New Roman"/>
        </w:rPr>
        <w:t>Nagtode</w:t>
      </w:r>
      <w:proofErr w:type="spellEnd"/>
      <w:r w:rsidRPr="00E740C8">
        <w:rPr>
          <w:rFonts w:ascii="Times New Roman" w:hAnsi="Times New Roman" w:cs="Times New Roman"/>
        </w:rPr>
        <w:t xml:space="preserve">, N. (2024). Health problems among under-five age group children in developing countries: a narrative review. </w:t>
      </w:r>
      <w:proofErr w:type="spellStart"/>
      <w:r w:rsidRPr="00E740C8">
        <w:rPr>
          <w:rFonts w:ascii="Times New Roman" w:hAnsi="Times New Roman" w:cs="Times New Roman"/>
          <w:i/>
          <w:iCs/>
        </w:rPr>
        <w:t>Cureus</w:t>
      </w:r>
      <w:proofErr w:type="spellEnd"/>
      <w:r w:rsidRPr="00E740C8">
        <w:rPr>
          <w:rFonts w:ascii="Times New Roman" w:hAnsi="Times New Roman" w:cs="Times New Roman"/>
        </w:rPr>
        <w:t xml:space="preserve">, </w:t>
      </w:r>
      <w:r w:rsidRPr="00E740C8">
        <w:rPr>
          <w:rFonts w:ascii="Times New Roman" w:hAnsi="Times New Roman" w:cs="Times New Roman"/>
          <w:i/>
          <w:iCs/>
        </w:rPr>
        <w:t>16</w:t>
      </w:r>
      <w:r w:rsidRPr="00E740C8">
        <w:rPr>
          <w:rFonts w:ascii="Times New Roman" w:hAnsi="Times New Roman" w:cs="Times New Roman"/>
        </w:rPr>
        <w:t>(2).</w:t>
      </w:r>
    </w:p>
    <w:p w14:paraId="2FD034EE" w14:textId="2D1B110F" w:rsidR="00701520" w:rsidRDefault="00701520" w:rsidP="00701520">
      <w:pPr>
        <w:rPr>
          <w:rFonts w:ascii="Times New Roman" w:hAnsi="Times New Roman" w:cs="Times New Roman"/>
        </w:rPr>
      </w:pPr>
      <w:r w:rsidRPr="00CD7E89">
        <w:rPr>
          <w:rFonts w:ascii="Times New Roman" w:hAnsi="Times New Roman" w:cs="Times New Roman"/>
        </w:rPr>
        <w:t xml:space="preserve">Faruk, M. O., </w:t>
      </w:r>
      <w:proofErr w:type="spellStart"/>
      <w:r w:rsidRPr="00CD7E89">
        <w:rPr>
          <w:rFonts w:ascii="Times New Roman" w:hAnsi="Times New Roman" w:cs="Times New Roman"/>
        </w:rPr>
        <w:t>Zahangir</w:t>
      </w:r>
      <w:proofErr w:type="spellEnd"/>
      <w:r w:rsidRPr="00CD7E89">
        <w:rPr>
          <w:rFonts w:ascii="Times New Roman" w:hAnsi="Times New Roman" w:cs="Times New Roman"/>
        </w:rPr>
        <w:t xml:space="preserve">, M. S., Akhter, S., </w:t>
      </w:r>
      <w:proofErr w:type="spellStart"/>
      <w:r w:rsidRPr="00CD7E89">
        <w:rPr>
          <w:rFonts w:ascii="Times New Roman" w:hAnsi="Times New Roman" w:cs="Times New Roman"/>
        </w:rPr>
        <w:t>Prome</w:t>
      </w:r>
      <w:proofErr w:type="spellEnd"/>
      <w:r w:rsidRPr="00CD7E89">
        <w:rPr>
          <w:rFonts w:ascii="Times New Roman" w:hAnsi="Times New Roman" w:cs="Times New Roman"/>
        </w:rPr>
        <w:t xml:space="preserve">, J. F., </w:t>
      </w:r>
      <w:proofErr w:type="spellStart"/>
      <w:r w:rsidRPr="00CD7E89">
        <w:rPr>
          <w:rFonts w:ascii="Times New Roman" w:hAnsi="Times New Roman" w:cs="Times New Roman"/>
        </w:rPr>
        <w:t>Akter</w:t>
      </w:r>
      <w:proofErr w:type="spellEnd"/>
      <w:r w:rsidRPr="00CD7E89">
        <w:rPr>
          <w:rFonts w:ascii="Times New Roman" w:hAnsi="Times New Roman" w:cs="Times New Roman"/>
        </w:rPr>
        <w:t xml:space="preserve">, N., &amp; </w:t>
      </w:r>
      <w:proofErr w:type="spellStart"/>
      <w:r w:rsidRPr="00CD7E89">
        <w:rPr>
          <w:rFonts w:ascii="Times New Roman" w:hAnsi="Times New Roman" w:cs="Times New Roman"/>
        </w:rPr>
        <w:t>Tasnim</w:t>
      </w:r>
      <w:proofErr w:type="spellEnd"/>
      <w:r w:rsidRPr="00CD7E89">
        <w:rPr>
          <w:rFonts w:ascii="Times New Roman" w:hAnsi="Times New Roman" w:cs="Times New Roman"/>
        </w:rPr>
        <w:t xml:space="preserve">, J. (2025). A review of the impact of socio-economic, demographic and cultural factors on child mortality. </w:t>
      </w:r>
      <w:r w:rsidRPr="00CD7E89">
        <w:rPr>
          <w:rFonts w:ascii="Times New Roman" w:hAnsi="Times New Roman" w:cs="Times New Roman"/>
          <w:i/>
          <w:iCs/>
        </w:rPr>
        <w:t>Discover Public Health</w:t>
      </w:r>
      <w:r w:rsidRPr="00CD7E89">
        <w:rPr>
          <w:rFonts w:ascii="Times New Roman" w:hAnsi="Times New Roman" w:cs="Times New Roman"/>
        </w:rPr>
        <w:t xml:space="preserve">, </w:t>
      </w:r>
      <w:r w:rsidRPr="00CD7E89">
        <w:rPr>
          <w:rFonts w:ascii="Times New Roman" w:hAnsi="Times New Roman" w:cs="Times New Roman"/>
          <w:i/>
          <w:iCs/>
        </w:rPr>
        <w:t>22</w:t>
      </w:r>
      <w:r w:rsidRPr="00CD7E89">
        <w:rPr>
          <w:rFonts w:ascii="Times New Roman" w:hAnsi="Times New Roman" w:cs="Times New Roman"/>
        </w:rPr>
        <w:t>(1), 141.</w:t>
      </w:r>
    </w:p>
    <w:p w14:paraId="3802B3A0" w14:textId="026A3A87" w:rsidR="00701520" w:rsidRPr="003F7AE3" w:rsidRDefault="00701520" w:rsidP="00701520">
      <w:pPr>
        <w:rPr>
          <w:rFonts w:ascii="Times New Roman" w:hAnsi="Times New Roman" w:cs="Times New Roman"/>
        </w:rPr>
      </w:pPr>
      <w:proofErr w:type="spellStart"/>
      <w:r w:rsidRPr="003F7AE3">
        <w:rPr>
          <w:rFonts w:ascii="Times New Roman" w:hAnsi="Times New Roman" w:cs="Times New Roman"/>
        </w:rPr>
        <w:t>Fenta</w:t>
      </w:r>
      <w:proofErr w:type="spellEnd"/>
      <w:r w:rsidRPr="003F7AE3">
        <w:rPr>
          <w:rFonts w:ascii="Times New Roman" w:hAnsi="Times New Roman" w:cs="Times New Roman"/>
        </w:rPr>
        <w:t xml:space="preserve">, H. M., Chen, D. G., &amp; </w:t>
      </w:r>
      <w:proofErr w:type="spellStart"/>
      <w:r w:rsidRPr="003F7AE3">
        <w:rPr>
          <w:rFonts w:ascii="Times New Roman" w:hAnsi="Times New Roman" w:cs="Times New Roman"/>
        </w:rPr>
        <w:t>Zewotir</w:t>
      </w:r>
      <w:proofErr w:type="spellEnd"/>
      <w:r w:rsidRPr="003F7AE3">
        <w:rPr>
          <w:rFonts w:ascii="Times New Roman" w:hAnsi="Times New Roman" w:cs="Times New Roman"/>
        </w:rPr>
        <w:t xml:space="preserve">, T. T. (2024). Geostatistical analysis of under-five children mortality and associated factors across sub-Saharan African countries. In </w:t>
      </w:r>
      <w:r w:rsidRPr="003F7AE3">
        <w:rPr>
          <w:rFonts w:ascii="Times New Roman" w:hAnsi="Times New Roman" w:cs="Times New Roman"/>
          <w:i/>
          <w:iCs/>
        </w:rPr>
        <w:t>Biostatistics Modeling and Public Health Applications: Study Design and Analysis Methodology in Health Sciences, Volume 1</w:t>
      </w:r>
      <w:r w:rsidRPr="003F7AE3">
        <w:rPr>
          <w:rFonts w:ascii="Times New Roman" w:hAnsi="Times New Roman" w:cs="Times New Roman"/>
        </w:rPr>
        <w:t xml:space="preserve"> (pp. 231-256). Cham: Springer Nature Switzerland.</w:t>
      </w:r>
    </w:p>
    <w:p w14:paraId="5AB1D4E5" w14:textId="77777777" w:rsidR="00701520" w:rsidRPr="003F7AE3" w:rsidRDefault="00701520" w:rsidP="00701520">
      <w:pPr>
        <w:spacing w:line="240" w:lineRule="auto"/>
        <w:rPr>
          <w:rFonts w:ascii="Times New Roman" w:hAnsi="Times New Roman" w:cs="Times New Roman"/>
        </w:rPr>
      </w:pPr>
      <w:r w:rsidRPr="003F7AE3">
        <w:rPr>
          <w:rFonts w:ascii="Times New Roman" w:hAnsi="Times New Roman" w:cs="Times New Roman"/>
        </w:rPr>
        <w:t xml:space="preserve">Frimpong, P. B., Dramani, J. B., &amp; </w:t>
      </w:r>
      <w:proofErr w:type="spellStart"/>
      <w:r w:rsidRPr="003F7AE3">
        <w:rPr>
          <w:rFonts w:ascii="Times New Roman" w:hAnsi="Times New Roman" w:cs="Times New Roman"/>
        </w:rPr>
        <w:t>Adusah-Poku</w:t>
      </w:r>
      <w:proofErr w:type="spellEnd"/>
      <w:r w:rsidRPr="003F7AE3">
        <w:rPr>
          <w:rFonts w:ascii="Times New Roman" w:hAnsi="Times New Roman" w:cs="Times New Roman"/>
        </w:rPr>
        <w:t xml:space="preserve">, F. (2025). The impact of housing quality on child survival in Ghana. </w:t>
      </w:r>
      <w:r w:rsidRPr="003F7AE3">
        <w:rPr>
          <w:rFonts w:ascii="Times New Roman" w:hAnsi="Times New Roman" w:cs="Times New Roman"/>
          <w:i/>
          <w:iCs/>
        </w:rPr>
        <w:t>International Journal of Housing Markets and Analysis</w:t>
      </w:r>
      <w:r w:rsidRPr="003F7AE3">
        <w:rPr>
          <w:rFonts w:ascii="Times New Roman" w:hAnsi="Times New Roman" w:cs="Times New Roman"/>
        </w:rPr>
        <w:t>.</w:t>
      </w:r>
    </w:p>
    <w:p w14:paraId="272352AA" w14:textId="40540ADC" w:rsidR="00701520" w:rsidRPr="003F7AE3" w:rsidRDefault="00701520" w:rsidP="00701520">
      <w:pPr>
        <w:rPr>
          <w:rFonts w:ascii="Times New Roman" w:hAnsi="Times New Roman" w:cs="Times New Roman"/>
        </w:rPr>
      </w:pPr>
      <w:proofErr w:type="spellStart"/>
      <w:r w:rsidRPr="003F7AE3">
        <w:rPr>
          <w:rFonts w:ascii="Times New Roman" w:hAnsi="Times New Roman" w:cs="Times New Roman"/>
        </w:rPr>
        <w:t>Gazze</w:t>
      </w:r>
      <w:proofErr w:type="spellEnd"/>
      <w:r w:rsidRPr="003F7AE3">
        <w:rPr>
          <w:rFonts w:ascii="Times New Roman" w:hAnsi="Times New Roman" w:cs="Times New Roman"/>
        </w:rPr>
        <w:t xml:space="preserve">, L. (2024). Hassles and environmental health screenings: Evidence from lead tests in Illinois. </w:t>
      </w:r>
      <w:r w:rsidRPr="003F7AE3">
        <w:rPr>
          <w:rFonts w:ascii="Times New Roman" w:hAnsi="Times New Roman" w:cs="Times New Roman"/>
          <w:i/>
          <w:iCs/>
        </w:rPr>
        <w:t>Journal of Human Resources</w:t>
      </w:r>
      <w:r w:rsidRPr="003F7AE3">
        <w:rPr>
          <w:rFonts w:ascii="Times New Roman" w:hAnsi="Times New Roman" w:cs="Times New Roman"/>
        </w:rPr>
        <w:t xml:space="preserve">, </w:t>
      </w:r>
      <w:r w:rsidRPr="003F7AE3">
        <w:rPr>
          <w:rFonts w:ascii="Times New Roman" w:hAnsi="Times New Roman" w:cs="Times New Roman"/>
          <w:i/>
          <w:iCs/>
        </w:rPr>
        <w:t>59</w:t>
      </w:r>
      <w:r w:rsidRPr="003F7AE3">
        <w:rPr>
          <w:rFonts w:ascii="Times New Roman" w:hAnsi="Times New Roman" w:cs="Times New Roman"/>
        </w:rPr>
        <w:t>(4), 1090-1121.</w:t>
      </w:r>
    </w:p>
    <w:p w14:paraId="241D4E77" w14:textId="73316E24" w:rsidR="00701520" w:rsidRPr="00D456B0" w:rsidRDefault="00701520" w:rsidP="00701520">
      <w:pPr>
        <w:rPr>
          <w:rFonts w:ascii="Times New Roman" w:hAnsi="Times New Roman" w:cs="Times New Roman"/>
        </w:rPr>
      </w:pPr>
      <w:proofErr w:type="spellStart"/>
      <w:r w:rsidRPr="00D456B0">
        <w:rPr>
          <w:rFonts w:ascii="Times New Roman" w:hAnsi="Times New Roman" w:cs="Times New Roman"/>
        </w:rPr>
        <w:t>Headen</w:t>
      </w:r>
      <w:proofErr w:type="spellEnd"/>
      <w:r w:rsidRPr="00D456B0">
        <w:rPr>
          <w:rFonts w:ascii="Times New Roman" w:hAnsi="Times New Roman" w:cs="Times New Roman"/>
        </w:rPr>
        <w:t xml:space="preserve">, I. (2025). Structural Racism, Geographies of Opportunity, and Maternal Health Inequities: A Dynamic Conceptual Framework. </w:t>
      </w:r>
      <w:r w:rsidRPr="00D456B0">
        <w:rPr>
          <w:rFonts w:ascii="Times New Roman" w:hAnsi="Times New Roman" w:cs="Times New Roman"/>
          <w:i/>
          <w:iCs/>
        </w:rPr>
        <w:t>Journal of racial and ethnic health disparities</w:t>
      </w:r>
      <w:r w:rsidRPr="00D456B0">
        <w:rPr>
          <w:rFonts w:ascii="Times New Roman" w:hAnsi="Times New Roman" w:cs="Times New Roman"/>
        </w:rPr>
        <w:t>, 1-18.</w:t>
      </w:r>
    </w:p>
    <w:p w14:paraId="2DDC4DDB" w14:textId="4A5B5237" w:rsidR="00701520" w:rsidRPr="00D456B0" w:rsidRDefault="00701520" w:rsidP="00701520">
      <w:pPr>
        <w:rPr>
          <w:rFonts w:ascii="Times New Roman" w:hAnsi="Times New Roman" w:cs="Times New Roman"/>
        </w:rPr>
      </w:pPr>
      <w:r w:rsidRPr="00D456B0">
        <w:rPr>
          <w:rFonts w:ascii="Times New Roman" w:hAnsi="Times New Roman" w:cs="Times New Roman"/>
        </w:rPr>
        <w:t xml:space="preserve">Iddrisu, A. K., &amp; </w:t>
      </w:r>
      <w:proofErr w:type="spellStart"/>
      <w:r w:rsidRPr="00D456B0">
        <w:rPr>
          <w:rFonts w:ascii="Times New Roman" w:hAnsi="Times New Roman" w:cs="Times New Roman"/>
        </w:rPr>
        <w:t>Boanyo</w:t>
      </w:r>
      <w:proofErr w:type="spellEnd"/>
      <w:r w:rsidRPr="00D456B0">
        <w:rPr>
          <w:rFonts w:ascii="Times New Roman" w:hAnsi="Times New Roman" w:cs="Times New Roman"/>
        </w:rPr>
        <w:t xml:space="preserve">, E. (2025). Survival analysis of under-five mortality and associated risk factors using survival analysis approaches. </w:t>
      </w:r>
      <w:r w:rsidRPr="00D456B0">
        <w:rPr>
          <w:rFonts w:ascii="Times New Roman" w:hAnsi="Times New Roman" w:cs="Times New Roman"/>
          <w:i/>
          <w:iCs/>
        </w:rPr>
        <w:t>PLOS Global Public Health</w:t>
      </w:r>
      <w:r w:rsidRPr="00D456B0">
        <w:rPr>
          <w:rFonts w:ascii="Times New Roman" w:hAnsi="Times New Roman" w:cs="Times New Roman"/>
        </w:rPr>
        <w:t xml:space="preserve">, </w:t>
      </w:r>
      <w:r w:rsidRPr="00D456B0">
        <w:rPr>
          <w:rFonts w:ascii="Times New Roman" w:hAnsi="Times New Roman" w:cs="Times New Roman"/>
          <w:i/>
          <w:iCs/>
        </w:rPr>
        <w:t>5</w:t>
      </w:r>
      <w:r w:rsidRPr="00D456B0">
        <w:rPr>
          <w:rFonts w:ascii="Times New Roman" w:hAnsi="Times New Roman" w:cs="Times New Roman"/>
        </w:rPr>
        <w:t>(9), e0005179.</w:t>
      </w:r>
    </w:p>
    <w:p w14:paraId="5C202C23" w14:textId="2C6DDAA1" w:rsidR="00701520" w:rsidRPr="00E740C8" w:rsidRDefault="00701520" w:rsidP="00701520">
      <w:pPr>
        <w:rPr>
          <w:rFonts w:ascii="Times New Roman" w:hAnsi="Times New Roman" w:cs="Times New Roman"/>
        </w:rPr>
      </w:pPr>
      <w:proofErr w:type="spellStart"/>
      <w:r w:rsidRPr="00E740C8">
        <w:rPr>
          <w:rFonts w:ascii="Times New Roman" w:hAnsi="Times New Roman" w:cs="Times New Roman"/>
        </w:rPr>
        <w:t>Kefale</w:t>
      </w:r>
      <w:proofErr w:type="spellEnd"/>
      <w:r w:rsidRPr="00E740C8">
        <w:rPr>
          <w:rFonts w:ascii="Times New Roman" w:hAnsi="Times New Roman" w:cs="Times New Roman"/>
        </w:rPr>
        <w:t xml:space="preserve">, B., </w:t>
      </w:r>
      <w:proofErr w:type="spellStart"/>
      <w:r w:rsidRPr="00E740C8">
        <w:rPr>
          <w:rFonts w:ascii="Times New Roman" w:hAnsi="Times New Roman" w:cs="Times New Roman"/>
        </w:rPr>
        <w:t>Jancey</w:t>
      </w:r>
      <w:proofErr w:type="spellEnd"/>
      <w:r w:rsidRPr="00E740C8">
        <w:rPr>
          <w:rFonts w:ascii="Times New Roman" w:hAnsi="Times New Roman" w:cs="Times New Roman"/>
        </w:rPr>
        <w:t xml:space="preserve">, J., Gebremedhin, A. T., Pereira, G., &amp; </w:t>
      </w:r>
      <w:proofErr w:type="spellStart"/>
      <w:r w:rsidRPr="00E740C8">
        <w:rPr>
          <w:rFonts w:ascii="Times New Roman" w:hAnsi="Times New Roman" w:cs="Times New Roman"/>
        </w:rPr>
        <w:t>Tessema</w:t>
      </w:r>
      <w:proofErr w:type="spellEnd"/>
      <w:r w:rsidRPr="00E740C8">
        <w:rPr>
          <w:rFonts w:ascii="Times New Roman" w:hAnsi="Times New Roman" w:cs="Times New Roman"/>
        </w:rPr>
        <w:t xml:space="preserve">, G. A. (2025). Changes in the contributions of risk factors to under-five mortality in low-and lower-middle-income countries (1997–2022): an analysis of Demographic and Health Survey data. </w:t>
      </w:r>
      <w:r w:rsidRPr="00E740C8">
        <w:rPr>
          <w:rFonts w:ascii="Times New Roman" w:hAnsi="Times New Roman" w:cs="Times New Roman"/>
          <w:i/>
          <w:iCs/>
        </w:rPr>
        <w:t>World Journal of Pediatrics</w:t>
      </w:r>
      <w:r w:rsidRPr="00E740C8">
        <w:rPr>
          <w:rFonts w:ascii="Times New Roman" w:hAnsi="Times New Roman" w:cs="Times New Roman"/>
        </w:rPr>
        <w:t>, 1-13.</w:t>
      </w:r>
    </w:p>
    <w:p w14:paraId="0EDD2564" w14:textId="0D691361" w:rsidR="00701520" w:rsidRPr="00D456B0" w:rsidRDefault="00701520" w:rsidP="00701520">
      <w:pPr>
        <w:rPr>
          <w:rFonts w:ascii="Times New Roman" w:hAnsi="Times New Roman" w:cs="Times New Roman"/>
        </w:rPr>
      </w:pPr>
      <w:r w:rsidRPr="00D456B0">
        <w:rPr>
          <w:rFonts w:ascii="Times New Roman" w:hAnsi="Times New Roman" w:cs="Times New Roman"/>
        </w:rPr>
        <w:t xml:space="preserve">LaFave, L. A., Clemmons, N., </w:t>
      </w:r>
      <w:proofErr w:type="spellStart"/>
      <w:r w:rsidRPr="00D456B0">
        <w:rPr>
          <w:rFonts w:ascii="Times New Roman" w:hAnsi="Times New Roman" w:cs="Times New Roman"/>
        </w:rPr>
        <w:t>Kotelchuck</w:t>
      </w:r>
      <w:proofErr w:type="spellEnd"/>
      <w:r w:rsidRPr="00D456B0">
        <w:rPr>
          <w:rFonts w:ascii="Times New Roman" w:hAnsi="Times New Roman" w:cs="Times New Roman"/>
        </w:rPr>
        <w:t xml:space="preserve">, M., Morales Cozier, N., </w:t>
      </w:r>
      <w:proofErr w:type="spellStart"/>
      <w:r w:rsidRPr="00D456B0">
        <w:rPr>
          <w:rFonts w:ascii="Times New Roman" w:hAnsi="Times New Roman" w:cs="Times New Roman"/>
        </w:rPr>
        <w:t>Geltman</w:t>
      </w:r>
      <w:proofErr w:type="spellEnd"/>
      <w:r w:rsidRPr="00D456B0">
        <w:rPr>
          <w:rFonts w:ascii="Times New Roman" w:hAnsi="Times New Roman" w:cs="Times New Roman"/>
        </w:rPr>
        <w:t xml:space="preserve">, A., Browne, D. R., &amp; Kenyon, K. (2024). Activating Life Course Theory through a Whole System Prevention Framework to Address the Wicked Problem of Maternal and Infant Morbidity and Mortality. </w:t>
      </w:r>
      <w:r w:rsidRPr="00D456B0">
        <w:rPr>
          <w:rFonts w:ascii="Times New Roman" w:hAnsi="Times New Roman" w:cs="Times New Roman"/>
          <w:i/>
          <w:iCs/>
        </w:rPr>
        <w:t>Community Health Equity Research &amp; Policy</w:t>
      </w:r>
      <w:r w:rsidRPr="00D456B0">
        <w:rPr>
          <w:rFonts w:ascii="Times New Roman" w:hAnsi="Times New Roman" w:cs="Times New Roman"/>
        </w:rPr>
        <w:t xml:space="preserve">, </w:t>
      </w:r>
      <w:r w:rsidRPr="00D456B0">
        <w:rPr>
          <w:rFonts w:ascii="Times New Roman" w:hAnsi="Times New Roman" w:cs="Times New Roman"/>
          <w:i/>
          <w:iCs/>
        </w:rPr>
        <w:t>44</w:t>
      </w:r>
      <w:r w:rsidRPr="00D456B0">
        <w:rPr>
          <w:rFonts w:ascii="Times New Roman" w:hAnsi="Times New Roman" w:cs="Times New Roman"/>
        </w:rPr>
        <w:t>(4), 349-364.</w:t>
      </w:r>
    </w:p>
    <w:p w14:paraId="1E7FE9F9" w14:textId="13192F42" w:rsidR="00701520" w:rsidRPr="00BE07A4" w:rsidRDefault="00701520" w:rsidP="00701520">
      <w:pPr>
        <w:rPr>
          <w:rFonts w:ascii="Times New Roman" w:hAnsi="Times New Roman" w:cs="Times New Roman"/>
        </w:rPr>
      </w:pPr>
      <w:r w:rsidRPr="00BE07A4">
        <w:rPr>
          <w:rFonts w:ascii="Times New Roman" w:hAnsi="Times New Roman" w:cs="Times New Roman"/>
        </w:rPr>
        <w:t xml:space="preserve">Mahama, T. (2025). Developing Multilevel Logistic Regression Models for Predicting Cancer Outcomes from Population Health Surveys. </w:t>
      </w:r>
      <w:r w:rsidRPr="00BE07A4">
        <w:rPr>
          <w:rFonts w:ascii="Times New Roman" w:hAnsi="Times New Roman" w:cs="Times New Roman"/>
          <w:i/>
          <w:iCs/>
        </w:rPr>
        <w:t xml:space="preserve">Int J Adv Res </w:t>
      </w:r>
      <w:proofErr w:type="spellStart"/>
      <w:r w:rsidRPr="00BE07A4">
        <w:rPr>
          <w:rFonts w:ascii="Times New Roman" w:hAnsi="Times New Roman" w:cs="Times New Roman"/>
          <w:i/>
          <w:iCs/>
        </w:rPr>
        <w:t>Publ</w:t>
      </w:r>
      <w:proofErr w:type="spellEnd"/>
      <w:r w:rsidRPr="00BE07A4">
        <w:rPr>
          <w:rFonts w:ascii="Times New Roman" w:hAnsi="Times New Roman" w:cs="Times New Roman"/>
          <w:i/>
          <w:iCs/>
        </w:rPr>
        <w:t xml:space="preserve"> Rev [Internet]</w:t>
      </w:r>
      <w:r w:rsidRPr="00BE07A4">
        <w:rPr>
          <w:rFonts w:ascii="Times New Roman" w:hAnsi="Times New Roman" w:cs="Times New Roman"/>
        </w:rPr>
        <w:t xml:space="preserve">, </w:t>
      </w:r>
      <w:r w:rsidRPr="00BE07A4">
        <w:rPr>
          <w:rFonts w:ascii="Times New Roman" w:hAnsi="Times New Roman" w:cs="Times New Roman"/>
          <w:i/>
          <w:iCs/>
        </w:rPr>
        <w:t>2</w:t>
      </w:r>
      <w:r w:rsidRPr="00BE07A4">
        <w:rPr>
          <w:rFonts w:ascii="Times New Roman" w:hAnsi="Times New Roman" w:cs="Times New Roman"/>
        </w:rPr>
        <w:t>(05), 443-64.</w:t>
      </w:r>
    </w:p>
    <w:p w14:paraId="211E2C0D" w14:textId="4836A13C" w:rsidR="00701520" w:rsidRDefault="00701520" w:rsidP="00701520">
      <w:pPr>
        <w:rPr>
          <w:rFonts w:ascii="Times New Roman" w:hAnsi="Times New Roman" w:cs="Times New Roman"/>
        </w:rPr>
      </w:pPr>
      <w:proofErr w:type="spellStart"/>
      <w:r w:rsidRPr="00BE07A4">
        <w:rPr>
          <w:rFonts w:ascii="Times New Roman" w:hAnsi="Times New Roman" w:cs="Times New Roman"/>
        </w:rPr>
        <w:t>Mazumder</w:t>
      </w:r>
      <w:proofErr w:type="spellEnd"/>
      <w:r w:rsidRPr="00BE07A4">
        <w:rPr>
          <w:rFonts w:ascii="Times New Roman" w:hAnsi="Times New Roman" w:cs="Times New Roman"/>
        </w:rPr>
        <w:t xml:space="preserve">, T., Mohanty, I., Ahmad, D., &amp; </w:t>
      </w:r>
      <w:proofErr w:type="spellStart"/>
      <w:r w:rsidRPr="00BE07A4">
        <w:rPr>
          <w:rFonts w:ascii="Times New Roman" w:hAnsi="Times New Roman" w:cs="Times New Roman"/>
        </w:rPr>
        <w:t>Niyonsenga</w:t>
      </w:r>
      <w:proofErr w:type="spellEnd"/>
      <w:r w:rsidRPr="00BE07A4">
        <w:rPr>
          <w:rFonts w:ascii="Times New Roman" w:hAnsi="Times New Roman" w:cs="Times New Roman"/>
        </w:rPr>
        <w:t xml:space="preserve">, T. (2024). An analysis of cause-specific under-5 mortality in Bangladesh using the demographic and health survey 2011 and 2017–2018. </w:t>
      </w:r>
      <w:r w:rsidRPr="00BE07A4">
        <w:rPr>
          <w:rFonts w:ascii="Times New Roman" w:hAnsi="Times New Roman" w:cs="Times New Roman"/>
          <w:i/>
          <w:iCs/>
        </w:rPr>
        <w:t>BMC pediatrics</w:t>
      </w:r>
      <w:r w:rsidRPr="00BE07A4">
        <w:rPr>
          <w:rFonts w:ascii="Times New Roman" w:hAnsi="Times New Roman" w:cs="Times New Roman"/>
        </w:rPr>
        <w:t xml:space="preserve">, </w:t>
      </w:r>
      <w:r w:rsidRPr="00BE07A4">
        <w:rPr>
          <w:rFonts w:ascii="Times New Roman" w:hAnsi="Times New Roman" w:cs="Times New Roman"/>
          <w:i/>
          <w:iCs/>
        </w:rPr>
        <w:t>24</w:t>
      </w:r>
      <w:r w:rsidRPr="00BE07A4">
        <w:rPr>
          <w:rFonts w:ascii="Times New Roman" w:hAnsi="Times New Roman" w:cs="Times New Roman"/>
        </w:rPr>
        <w:t>(1), 572.</w:t>
      </w:r>
    </w:p>
    <w:p w14:paraId="38CF7DD6" w14:textId="72D465B7" w:rsidR="00701520" w:rsidRPr="00E740C8" w:rsidRDefault="00701520" w:rsidP="00701520">
      <w:pPr>
        <w:rPr>
          <w:rFonts w:ascii="Times New Roman" w:hAnsi="Times New Roman" w:cs="Times New Roman"/>
        </w:rPr>
      </w:pPr>
      <w:proofErr w:type="spellStart"/>
      <w:r w:rsidRPr="00E740C8">
        <w:rPr>
          <w:rFonts w:ascii="Times New Roman" w:hAnsi="Times New Roman" w:cs="Times New Roman"/>
        </w:rPr>
        <w:t>Mazumder</w:t>
      </w:r>
      <w:proofErr w:type="spellEnd"/>
      <w:r w:rsidRPr="00E740C8">
        <w:rPr>
          <w:rFonts w:ascii="Times New Roman" w:hAnsi="Times New Roman" w:cs="Times New Roman"/>
        </w:rPr>
        <w:t xml:space="preserve">, T., Mohanty, I., Ahmad, D., &amp; </w:t>
      </w:r>
      <w:proofErr w:type="spellStart"/>
      <w:r w:rsidRPr="00E740C8">
        <w:rPr>
          <w:rFonts w:ascii="Times New Roman" w:hAnsi="Times New Roman" w:cs="Times New Roman"/>
        </w:rPr>
        <w:t>Niyonsenga</w:t>
      </w:r>
      <w:proofErr w:type="spellEnd"/>
      <w:r w:rsidRPr="00E740C8">
        <w:rPr>
          <w:rFonts w:ascii="Times New Roman" w:hAnsi="Times New Roman" w:cs="Times New Roman"/>
        </w:rPr>
        <w:t xml:space="preserve">, T. (2025). From parental education to under-5 mortality: how antenatal care and hand hygiene mediate the pathway mechanisms. </w:t>
      </w:r>
      <w:r w:rsidRPr="00E740C8">
        <w:rPr>
          <w:rFonts w:ascii="Times New Roman" w:hAnsi="Times New Roman" w:cs="Times New Roman"/>
          <w:i/>
          <w:iCs/>
        </w:rPr>
        <w:t>BMC Public Health</w:t>
      </w:r>
      <w:r w:rsidRPr="00E740C8">
        <w:rPr>
          <w:rFonts w:ascii="Times New Roman" w:hAnsi="Times New Roman" w:cs="Times New Roman"/>
        </w:rPr>
        <w:t xml:space="preserve">, </w:t>
      </w:r>
      <w:r w:rsidRPr="00E740C8">
        <w:rPr>
          <w:rFonts w:ascii="Times New Roman" w:hAnsi="Times New Roman" w:cs="Times New Roman"/>
          <w:i/>
          <w:iCs/>
        </w:rPr>
        <w:t>25</w:t>
      </w:r>
      <w:r w:rsidRPr="00E740C8">
        <w:rPr>
          <w:rFonts w:ascii="Times New Roman" w:hAnsi="Times New Roman" w:cs="Times New Roman"/>
        </w:rPr>
        <w:t>(1), 1976.</w:t>
      </w:r>
    </w:p>
    <w:p w14:paraId="0B1B4A65" w14:textId="77777777" w:rsidR="00701520" w:rsidRPr="00171872" w:rsidRDefault="00701520" w:rsidP="00701520">
      <w:pPr>
        <w:spacing w:line="240" w:lineRule="auto"/>
        <w:rPr>
          <w:rFonts w:ascii="Times New Roman" w:hAnsi="Times New Roman" w:cs="Times New Roman"/>
        </w:rPr>
      </w:pPr>
      <w:r w:rsidRPr="00171872">
        <w:rPr>
          <w:rFonts w:ascii="Times New Roman" w:hAnsi="Times New Roman" w:cs="Times New Roman"/>
        </w:rPr>
        <w:t xml:space="preserve">Natarajan, J., Vimal, P. H., Sen, D., Lawrence, C., Eswaran, S., </w:t>
      </w:r>
      <w:proofErr w:type="spellStart"/>
      <w:r w:rsidRPr="00171872">
        <w:rPr>
          <w:rFonts w:ascii="Times New Roman" w:hAnsi="Times New Roman" w:cs="Times New Roman"/>
        </w:rPr>
        <w:t>Chintale</w:t>
      </w:r>
      <w:proofErr w:type="spellEnd"/>
      <w:r w:rsidRPr="00171872">
        <w:rPr>
          <w:rFonts w:ascii="Times New Roman" w:hAnsi="Times New Roman" w:cs="Times New Roman"/>
        </w:rPr>
        <w:t xml:space="preserve">, P., &amp; Patil, S. A. (2025). Machine Learning-Based Maternal and Child Mortality Rate Prediction Using Random Forest Algorithm. In </w:t>
      </w:r>
      <w:r w:rsidRPr="00171872">
        <w:rPr>
          <w:rFonts w:ascii="Times New Roman" w:hAnsi="Times New Roman" w:cs="Times New Roman"/>
          <w:i/>
          <w:iCs/>
        </w:rPr>
        <w:t>Revolutionizing Healthcare Services</w:t>
      </w:r>
      <w:r w:rsidRPr="00171872">
        <w:rPr>
          <w:rFonts w:ascii="Times New Roman" w:hAnsi="Times New Roman" w:cs="Times New Roman"/>
        </w:rPr>
        <w:t xml:space="preserve"> (pp. 251-266). CRC Press.</w:t>
      </w:r>
    </w:p>
    <w:p w14:paraId="2A7EB5BC" w14:textId="594F2566" w:rsidR="00701520" w:rsidRPr="00171872" w:rsidRDefault="00701520" w:rsidP="00701520">
      <w:pPr>
        <w:rPr>
          <w:rFonts w:ascii="Times New Roman" w:hAnsi="Times New Roman" w:cs="Times New Roman"/>
        </w:rPr>
      </w:pPr>
      <w:proofErr w:type="spellStart"/>
      <w:r w:rsidRPr="00171872">
        <w:rPr>
          <w:rFonts w:ascii="Times New Roman" w:hAnsi="Times New Roman" w:cs="Times New Roman"/>
        </w:rPr>
        <w:t>Naznin</w:t>
      </w:r>
      <w:proofErr w:type="spellEnd"/>
      <w:r w:rsidRPr="00171872">
        <w:rPr>
          <w:rFonts w:ascii="Times New Roman" w:hAnsi="Times New Roman" w:cs="Times New Roman"/>
        </w:rPr>
        <w:t xml:space="preserve">, S., Uddin, M. J., &amp; Kabir, A. (2025). Identifying determinants of under-5 mortality in Bangladesh: A machine learning approach with BDHS 2022 data. </w:t>
      </w:r>
      <w:proofErr w:type="spellStart"/>
      <w:r w:rsidRPr="00171872">
        <w:rPr>
          <w:rFonts w:ascii="Times New Roman" w:hAnsi="Times New Roman" w:cs="Times New Roman"/>
          <w:i/>
          <w:iCs/>
        </w:rPr>
        <w:t>PloS</w:t>
      </w:r>
      <w:proofErr w:type="spellEnd"/>
      <w:r w:rsidRPr="00171872">
        <w:rPr>
          <w:rFonts w:ascii="Times New Roman" w:hAnsi="Times New Roman" w:cs="Times New Roman"/>
          <w:i/>
          <w:iCs/>
        </w:rPr>
        <w:t xml:space="preserve"> one</w:t>
      </w:r>
      <w:r w:rsidRPr="00171872">
        <w:rPr>
          <w:rFonts w:ascii="Times New Roman" w:hAnsi="Times New Roman" w:cs="Times New Roman"/>
        </w:rPr>
        <w:t xml:space="preserve">, </w:t>
      </w:r>
      <w:r w:rsidRPr="00171872">
        <w:rPr>
          <w:rFonts w:ascii="Times New Roman" w:hAnsi="Times New Roman" w:cs="Times New Roman"/>
          <w:i/>
          <w:iCs/>
        </w:rPr>
        <w:t>20</w:t>
      </w:r>
      <w:r w:rsidRPr="00171872">
        <w:rPr>
          <w:rFonts w:ascii="Times New Roman" w:hAnsi="Times New Roman" w:cs="Times New Roman"/>
        </w:rPr>
        <w:t>(6), e0324825.</w:t>
      </w:r>
    </w:p>
    <w:p w14:paraId="0059E52A" w14:textId="4C5AA713" w:rsidR="00701520" w:rsidRPr="00E740C8" w:rsidRDefault="00701520" w:rsidP="00701520">
      <w:pPr>
        <w:rPr>
          <w:rFonts w:ascii="Times New Roman" w:hAnsi="Times New Roman" w:cs="Times New Roman"/>
        </w:rPr>
      </w:pPr>
      <w:proofErr w:type="spellStart"/>
      <w:r w:rsidRPr="00E740C8">
        <w:rPr>
          <w:rFonts w:ascii="Times New Roman" w:hAnsi="Times New Roman" w:cs="Times New Roman"/>
        </w:rPr>
        <w:lastRenderedPageBreak/>
        <w:t>Olawade</w:t>
      </w:r>
      <w:proofErr w:type="spellEnd"/>
      <w:r w:rsidRPr="00E740C8">
        <w:rPr>
          <w:rFonts w:ascii="Times New Roman" w:hAnsi="Times New Roman" w:cs="Times New Roman"/>
        </w:rPr>
        <w:t xml:space="preserve">, D. B., Wada, O. Z., </w:t>
      </w:r>
      <w:proofErr w:type="spellStart"/>
      <w:r w:rsidRPr="00E740C8">
        <w:rPr>
          <w:rFonts w:ascii="Times New Roman" w:hAnsi="Times New Roman" w:cs="Times New Roman"/>
        </w:rPr>
        <w:t>Aderinto</w:t>
      </w:r>
      <w:proofErr w:type="spellEnd"/>
      <w:r w:rsidRPr="00E740C8">
        <w:rPr>
          <w:rFonts w:ascii="Times New Roman" w:hAnsi="Times New Roman" w:cs="Times New Roman"/>
        </w:rPr>
        <w:t xml:space="preserve">, N., </w:t>
      </w:r>
      <w:proofErr w:type="spellStart"/>
      <w:r w:rsidRPr="00E740C8">
        <w:rPr>
          <w:rFonts w:ascii="Times New Roman" w:hAnsi="Times New Roman" w:cs="Times New Roman"/>
        </w:rPr>
        <w:t>Odetayo</w:t>
      </w:r>
      <w:proofErr w:type="spellEnd"/>
      <w:r w:rsidRPr="00E740C8">
        <w:rPr>
          <w:rFonts w:ascii="Times New Roman" w:hAnsi="Times New Roman" w:cs="Times New Roman"/>
        </w:rPr>
        <w:t xml:space="preserve">, A., Adebisi, Y. A., Esan, D. T., &amp; Ling, J. (2025). Factors contributing to under-5 child mortality in Nigeria: A narrative review. </w:t>
      </w:r>
      <w:r w:rsidRPr="00E740C8">
        <w:rPr>
          <w:rFonts w:ascii="Times New Roman" w:hAnsi="Times New Roman" w:cs="Times New Roman"/>
          <w:i/>
          <w:iCs/>
        </w:rPr>
        <w:t>Medicine</w:t>
      </w:r>
      <w:r w:rsidRPr="00E740C8">
        <w:rPr>
          <w:rFonts w:ascii="Times New Roman" w:hAnsi="Times New Roman" w:cs="Times New Roman"/>
        </w:rPr>
        <w:t xml:space="preserve">, </w:t>
      </w:r>
      <w:r w:rsidRPr="00E740C8">
        <w:rPr>
          <w:rFonts w:ascii="Times New Roman" w:hAnsi="Times New Roman" w:cs="Times New Roman"/>
          <w:i/>
          <w:iCs/>
        </w:rPr>
        <w:t>104</w:t>
      </w:r>
      <w:r w:rsidRPr="00E740C8">
        <w:rPr>
          <w:rFonts w:ascii="Times New Roman" w:hAnsi="Times New Roman" w:cs="Times New Roman"/>
        </w:rPr>
        <w:t>(1), e41142.</w:t>
      </w:r>
    </w:p>
    <w:p w14:paraId="13B923AC" w14:textId="77777777" w:rsidR="00701520" w:rsidRDefault="00701520" w:rsidP="00701520">
      <w:pPr>
        <w:rPr>
          <w:rFonts w:ascii="Times New Roman" w:hAnsi="Times New Roman" w:cs="Times New Roman"/>
        </w:rPr>
      </w:pPr>
      <w:r w:rsidRPr="00E740C8">
        <w:rPr>
          <w:rFonts w:ascii="Times New Roman" w:hAnsi="Times New Roman" w:cs="Times New Roman"/>
        </w:rPr>
        <w:t xml:space="preserve">Olusola, J. A., </w:t>
      </w:r>
      <w:proofErr w:type="spellStart"/>
      <w:r w:rsidRPr="00E740C8">
        <w:rPr>
          <w:rFonts w:ascii="Times New Roman" w:hAnsi="Times New Roman" w:cs="Times New Roman"/>
        </w:rPr>
        <w:t>Oyinloye</w:t>
      </w:r>
      <w:proofErr w:type="spellEnd"/>
      <w:r w:rsidRPr="00E740C8">
        <w:rPr>
          <w:rFonts w:ascii="Times New Roman" w:hAnsi="Times New Roman" w:cs="Times New Roman"/>
        </w:rPr>
        <w:t xml:space="preserve">, A. A., </w:t>
      </w:r>
      <w:proofErr w:type="spellStart"/>
      <w:r w:rsidRPr="00E740C8">
        <w:rPr>
          <w:rFonts w:ascii="Times New Roman" w:hAnsi="Times New Roman" w:cs="Times New Roman"/>
        </w:rPr>
        <w:t>Akeju</w:t>
      </w:r>
      <w:proofErr w:type="spellEnd"/>
      <w:r w:rsidRPr="00E740C8">
        <w:rPr>
          <w:rFonts w:ascii="Times New Roman" w:hAnsi="Times New Roman" w:cs="Times New Roman"/>
        </w:rPr>
        <w:t xml:space="preserve">, K. F., </w:t>
      </w:r>
      <w:proofErr w:type="spellStart"/>
      <w:r w:rsidRPr="00E740C8">
        <w:rPr>
          <w:rFonts w:ascii="Times New Roman" w:hAnsi="Times New Roman" w:cs="Times New Roman"/>
        </w:rPr>
        <w:t>Ogunsakin</w:t>
      </w:r>
      <w:proofErr w:type="spellEnd"/>
      <w:r w:rsidRPr="00E740C8">
        <w:rPr>
          <w:rFonts w:ascii="Times New Roman" w:hAnsi="Times New Roman" w:cs="Times New Roman"/>
        </w:rPr>
        <w:t xml:space="preserve">, R. E., &amp; </w:t>
      </w:r>
      <w:proofErr w:type="spellStart"/>
      <w:r w:rsidRPr="00E740C8">
        <w:rPr>
          <w:rFonts w:ascii="Times New Roman" w:hAnsi="Times New Roman" w:cs="Times New Roman"/>
        </w:rPr>
        <w:t>Moyo</w:t>
      </w:r>
      <w:proofErr w:type="spellEnd"/>
      <w:r w:rsidRPr="00E740C8">
        <w:rPr>
          <w:rFonts w:ascii="Times New Roman" w:hAnsi="Times New Roman" w:cs="Times New Roman"/>
        </w:rPr>
        <w:t xml:space="preserve">, S. (2025). Spatial analysis of under-five mortality in Africa using geographically weighted </w:t>
      </w:r>
      <w:proofErr w:type="spellStart"/>
      <w:r w:rsidRPr="00E740C8">
        <w:rPr>
          <w:rFonts w:ascii="Times New Roman" w:hAnsi="Times New Roman" w:cs="Times New Roman"/>
        </w:rPr>
        <w:t>poisson</w:t>
      </w:r>
      <w:proofErr w:type="spellEnd"/>
      <w:r w:rsidRPr="00E740C8">
        <w:rPr>
          <w:rFonts w:ascii="Times New Roman" w:hAnsi="Times New Roman" w:cs="Times New Roman"/>
        </w:rPr>
        <w:t xml:space="preserve"> regression. </w:t>
      </w:r>
      <w:r w:rsidRPr="00E740C8">
        <w:rPr>
          <w:rFonts w:ascii="Times New Roman" w:hAnsi="Times New Roman" w:cs="Times New Roman"/>
          <w:i/>
          <w:iCs/>
        </w:rPr>
        <w:t>Discover Public Health</w:t>
      </w:r>
      <w:r w:rsidRPr="00E740C8">
        <w:rPr>
          <w:rFonts w:ascii="Times New Roman" w:hAnsi="Times New Roman" w:cs="Times New Roman"/>
        </w:rPr>
        <w:t xml:space="preserve">, </w:t>
      </w:r>
      <w:r w:rsidRPr="00E740C8">
        <w:rPr>
          <w:rFonts w:ascii="Times New Roman" w:hAnsi="Times New Roman" w:cs="Times New Roman"/>
          <w:i/>
          <w:iCs/>
        </w:rPr>
        <w:t>22</w:t>
      </w:r>
      <w:r w:rsidRPr="00E740C8">
        <w:rPr>
          <w:rFonts w:ascii="Times New Roman" w:hAnsi="Times New Roman" w:cs="Times New Roman"/>
        </w:rPr>
        <w:t>(1), 1-19.</w:t>
      </w:r>
    </w:p>
    <w:p w14:paraId="409A45CB" w14:textId="77777777" w:rsidR="00701520" w:rsidRDefault="00701520" w:rsidP="00701520">
      <w:pPr>
        <w:spacing w:line="240" w:lineRule="auto"/>
        <w:rPr>
          <w:rFonts w:ascii="Times New Roman" w:hAnsi="Times New Roman" w:cs="Times New Roman"/>
        </w:rPr>
      </w:pPr>
    </w:p>
    <w:p w14:paraId="7D32C8D8" w14:textId="4CC868C1" w:rsidR="00701520" w:rsidRPr="003F7AE3" w:rsidRDefault="00701520" w:rsidP="00701520">
      <w:pPr>
        <w:rPr>
          <w:rFonts w:ascii="Times New Roman" w:hAnsi="Times New Roman" w:cs="Times New Roman"/>
        </w:rPr>
      </w:pPr>
      <w:r w:rsidRPr="003F7AE3">
        <w:rPr>
          <w:rFonts w:ascii="Times New Roman" w:hAnsi="Times New Roman" w:cs="Times New Roman"/>
        </w:rPr>
        <w:t xml:space="preserve">Osei, C. K., &amp; </w:t>
      </w:r>
      <w:proofErr w:type="spellStart"/>
      <w:r w:rsidRPr="003F7AE3">
        <w:rPr>
          <w:rFonts w:ascii="Times New Roman" w:hAnsi="Times New Roman" w:cs="Times New Roman"/>
        </w:rPr>
        <w:t>Nketiah-Amponsah</w:t>
      </w:r>
      <w:proofErr w:type="spellEnd"/>
      <w:r w:rsidRPr="003F7AE3">
        <w:rPr>
          <w:rFonts w:ascii="Times New Roman" w:hAnsi="Times New Roman" w:cs="Times New Roman"/>
        </w:rPr>
        <w:t xml:space="preserve">, E. (2024). Exploring the policy implications of household wealth differentials and under-five child deaths in Ghana. </w:t>
      </w:r>
      <w:r w:rsidRPr="003F7AE3">
        <w:rPr>
          <w:rFonts w:ascii="Times New Roman" w:hAnsi="Times New Roman" w:cs="Times New Roman"/>
          <w:i/>
          <w:iCs/>
        </w:rPr>
        <w:t>Discover Public Health</w:t>
      </w:r>
      <w:r w:rsidRPr="003F7AE3">
        <w:rPr>
          <w:rFonts w:ascii="Times New Roman" w:hAnsi="Times New Roman" w:cs="Times New Roman"/>
        </w:rPr>
        <w:t xml:space="preserve">, </w:t>
      </w:r>
      <w:r w:rsidRPr="003F7AE3">
        <w:rPr>
          <w:rFonts w:ascii="Times New Roman" w:hAnsi="Times New Roman" w:cs="Times New Roman"/>
          <w:i/>
          <w:iCs/>
        </w:rPr>
        <w:t>21</w:t>
      </w:r>
      <w:r w:rsidRPr="003F7AE3">
        <w:rPr>
          <w:rFonts w:ascii="Times New Roman" w:hAnsi="Times New Roman" w:cs="Times New Roman"/>
        </w:rPr>
        <w:t>(1), 9.</w:t>
      </w:r>
    </w:p>
    <w:p w14:paraId="384DCF8B" w14:textId="3F67A0AF" w:rsidR="00701520" w:rsidRPr="00171872" w:rsidRDefault="00701520" w:rsidP="00701520">
      <w:pPr>
        <w:rPr>
          <w:rFonts w:ascii="Times New Roman" w:hAnsi="Times New Roman" w:cs="Times New Roman"/>
        </w:rPr>
      </w:pPr>
      <w:r w:rsidRPr="00171872">
        <w:rPr>
          <w:rFonts w:ascii="Times New Roman" w:hAnsi="Times New Roman" w:cs="Times New Roman"/>
        </w:rPr>
        <w:t xml:space="preserve">Rahman, A., &amp; Rahman, M. H. (2025). Explore the factors related to the death of offspring under age five and appraise the hazard of child mortality using machine learning techniques in Bangladesh. </w:t>
      </w:r>
      <w:r w:rsidRPr="00171872">
        <w:rPr>
          <w:rFonts w:ascii="Times New Roman" w:hAnsi="Times New Roman" w:cs="Times New Roman"/>
          <w:i/>
          <w:iCs/>
        </w:rPr>
        <w:t>BMC Public Health</w:t>
      </w:r>
      <w:r w:rsidRPr="00171872">
        <w:rPr>
          <w:rFonts w:ascii="Times New Roman" w:hAnsi="Times New Roman" w:cs="Times New Roman"/>
        </w:rPr>
        <w:t xml:space="preserve">, </w:t>
      </w:r>
      <w:r w:rsidRPr="00171872">
        <w:rPr>
          <w:rFonts w:ascii="Times New Roman" w:hAnsi="Times New Roman" w:cs="Times New Roman"/>
          <w:i/>
          <w:iCs/>
        </w:rPr>
        <w:t>25</w:t>
      </w:r>
      <w:r w:rsidRPr="00171872">
        <w:rPr>
          <w:rFonts w:ascii="Times New Roman" w:hAnsi="Times New Roman" w:cs="Times New Roman"/>
        </w:rPr>
        <w:t>(1), 360.</w:t>
      </w:r>
    </w:p>
    <w:p w14:paraId="6B1E7858" w14:textId="22BBF40F" w:rsidR="00701520" w:rsidRPr="00E740C8" w:rsidRDefault="00701520" w:rsidP="00701520">
      <w:pPr>
        <w:rPr>
          <w:rFonts w:ascii="Times New Roman" w:hAnsi="Times New Roman" w:cs="Times New Roman"/>
        </w:rPr>
      </w:pPr>
      <w:r w:rsidRPr="00E740C8">
        <w:rPr>
          <w:rFonts w:ascii="Times New Roman" w:hAnsi="Times New Roman" w:cs="Times New Roman"/>
        </w:rPr>
        <w:t xml:space="preserve">Rajapakse, V., Fernando, A., </w:t>
      </w:r>
      <w:proofErr w:type="spellStart"/>
      <w:r w:rsidRPr="00E740C8">
        <w:rPr>
          <w:rFonts w:ascii="Times New Roman" w:hAnsi="Times New Roman" w:cs="Times New Roman"/>
        </w:rPr>
        <w:t>Sudangama</w:t>
      </w:r>
      <w:proofErr w:type="spellEnd"/>
      <w:r w:rsidRPr="00E740C8">
        <w:rPr>
          <w:rFonts w:ascii="Times New Roman" w:hAnsi="Times New Roman" w:cs="Times New Roman"/>
        </w:rPr>
        <w:t xml:space="preserve">, N., </w:t>
      </w:r>
      <w:proofErr w:type="spellStart"/>
      <w:r w:rsidRPr="00E740C8">
        <w:rPr>
          <w:rFonts w:ascii="Times New Roman" w:hAnsi="Times New Roman" w:cs="Times New Roman"/>
        </w:rPr>
        <w:t>Adikari</w:t>
      </w:r>
      <w:proofErr w:type="spellEnd"/>
      <w:r w:rsidRPr="00E740C8">
        <w:rPr>
          <w:rFonts w:ascii="Times New Roman" w:hAnsi="Times New Roman" w:cs="Times New Roman"/>
        </w:rPr>
        <w:t xml:space="preserve">, D., Sundaram, A., &amp; </w:t>
      </w:r>
      <w:proofErr w:type="spellStart"/>
      <w:r w:rsidRPr="00E740C8">
        <w:rPr>
          <w:rFonts w:ascii="Times New Roman" w:hAnsi="Times New Roman" w:cs="Times New Roman"/>
        </w:rPr>
        <w:t>Jayathilaka</w:t>
      </w:r>
      <w:proofErr w:type="spellEnd"/>
      <w:r w:rsidRPr="00E740C8">
        <w:rPr>
          <w:rFonts w:ascii="Times New Roman" w:hAnsi="Times New Roman" w:cs="Times New Roman"/>
        </w:rPr>
        <w:t xml:space="preserve">, R. (2025). Economic and healthcare determinants of under-five mortality in low-income countries. </w:t>
      </w:r>
      <w:r w:rsidRPr="00E740C8">
        <w:rPr>
          <w:rFonts w:ascii="Times New Roman" w:hAnsi="Times New Roman" w:cs="Times New Roman"/>
          <w:i/>
          <w:iCs/>
        </w:rPr>
        <w:t>BMC Public Health</w:t>
      </w:r>
      <w:r w:rsidRPr="00E740C8">
        <w:rPr>
          <w:rFonts w:ascii="Times New Roman" w:hAnsi="Times New Roman" w:cs="Times New Roman"/>
        </w:rPr>
        <w:t xml:space="preserve">, </w:t>
      </w:r>
      <w:r w:rsidRPr="00E740C8">
        <w:rPr>
          <w:rFonts w:ascii="Times New Roman" w:hAnsi="Times New Roman" w:cs="Times New Roman"/>
          <w:i/>
          <w:iCs/>
        </w:rPr>
        <w:t>25</w:t>
      </w:r>
      <w:r w:rsidRPr="00E740C8">
        <w:rPr>
          <w:rFonts w:ascii="Times New Roman" w:hAnsi="Times New Roman" w:cs="Times New Roman"/>
        </w:rPr>
        <w:t>(1), 2126.</w:t>
      </w:r>
    </w:p>
    <w:p w14:paraId="733BEB5A" w14:textId="1F8EB14D" w:rsidR="00701520" w:rsidRPr="00171872" w:rsidRDefault="00701520" w:rsidP="00701520">
      <w:pPr>
        <w:rPr>
          <w:rFonts w:ascii="Times New Roman" w:hAnsi="Times New Roman" w:cs="Times New Roman"/>
        </w:rPr>
      </w:pPr>
      <w:proofErr w:type="spellStart"/>
      <w:r w:rsidRPr="00171872">
        <w:rPr>
          <w:rFonts w:ascii="Times New Roman" w:hAnsi="Times New Roman" w:cs="Times New Roman"/>
        </w:rPr>
        <w:t>Satty</w:t>
      </w:r>
      <w:proofErr w:type="spellEnd"/>
      <w:r w:rsidRPr="00171872">
        <w:rPr>
          <w:rFonts w:ascii="Times New Roman" w:hAnsi="Times New Roman" w:cs="Times New Roman"/>
        </w:rPr>
        <w:t xml:space="preserve">, A., Khamis, G. S. M., Mohammed, Z. M., Mahmoud, A. F., Abdalla, F. A., Salih, M., ... &amp; </w:t>
      </w:r>
      <w:proofErr w:type="spellStart"/>
      <w:r w:rsidRPr="00171872">
        <w:rPr>
          <w:rFonts w:ascii="Times New Roman" w:hAnsi="Times New Roman" w:cs="Times New Roman"/>
        </w:rPr>
        <w:t>Gumma</w:t>
      </w:r>
      <w:proofErr w:type="spellEnd"/>
      <w:r w:rsidRPr="00171872">
        <w:rPr>
          <w:rFonts w:ascii="Times New Roman" w:hAnsi="Times New Roman" w:cs="Times New Roman"/>
        </w:rPr>
        <w:t xml:space="preserve">, E. A. (2025). Statistical Insights </w:t>
      </w:r>
      <w:proofErr w:type="gramStart"/>
      <w:r w:rsidRPr="00171872">
        <w:rPr>
          <w:rFonts w:ascii="Times New Roman" w:hAnsi="Times New Roman" w:cs="Times New Roman"/>
        </w:rPr>
        <w:t>Into</w:t>
      </w:r>
      <w:proofErr w:type="gramEnd"/>
      <w:r w:rsidRPr="00171872">
        <w:rPr>
          <w:rFonts w:ascii="Times New Roman" w:hAnsi="Times New Roman" w:cs="Times New Roman"/>
        </w:rPr>
        <w:t xml:space="preserve"> Machine Learning Models for Predicting Under-Five Mortality: An Analysis From Multiple Indicator Cluster Survey (MICS). </w:t>
      </w:r>
      <w:r w:rsidRPr="00171872">
        <w:rPr>
          <w:rFonts w:ascii="Times New Roman" w:hAnsi="Times New Roman" w:cs="Times New Roman"/>
          <w:i/>
          <w:iCs/>
        </w:rPr>
        <w:t>IEEE Access</w:t>
      </w:r>
      <w:r w:rsidRPr="00171872">
        <w:rPr>
          <w:rFonts w:ascii="Times New Roman" w:hAnsi="Times New Roman" w:cs="Times New Roman"/>
        </w:rPr>
        <w:t xml:space="preserve">, </w:t>
      </w:r>
      <w:r w:rsidRPr="00171872">
        <w:rPr>
          <w:rFonts w:ascii="Times New Roman" w:hAnsi="Times New Roman" w:cs="Times New Roman"/>
          <w:i/>
          <w:iCs/>
        </w:rPr>
        <w:t>13</w:t>
      </w:r>
      <w:r w:rsidRPr="00171872">
        <w:rPr>
          <w:rFonts w:ascii="Times New Roman" w:hAnsi="Times New Roman" w:cs="Times New Roman"/>
        </w:rPr>
        <w:t>, 45312-45320.</w:t>
      </w:r>
    </w:p>
    <w:p w14:paraId="6EA3EE28" w14:textId="4034A63F" w:rsidR="00701520" w:rsidRPr="00D456B0" w:rsidRDefault="00701520" w:rsidP="00701520">
      <w:pPr>
        <w:rPr>
          <w:rFonts w:ascii="Times New Roman" w:hAnsi="Times New Roman" w:cs="Times New Roman"/>
        </w:rPr>
      </w:pPr>
      <w:r w:rsidRPr="00D456B0">
        <w:rPr>
          <w:rFonts w:ascii="Times New Roman" w:hAnsi="Times New Roman" w:cs="Times New Roman"/>
        </w:rPr>
        <w:t xml:space="preserve">Souza, J. P., Day, L. T., Rezende-Gomes, A. C., Zhang, J., Mori, R., </w:t>
      </w:r>
      <w:proofErr w:type="spellStart"/>
      <w:r w:rsidRPr="00D456B0">
        <w:rPr>
          <w:rFonts w:ascii="Times New Roman" w:hAnsi="Times New Roman" w:cs="Times New Roman"/>
        </w:rPr>
        <w:t>Baguiya</w:t>
      </w:r>
      <w:proofErr w:type="spellEnd"/>
      <w:r w:rsidRPr="00D456B0">
        <w:rPr>
          <w:rFonts w:ascii="Times New Roman" w:hAnsi="Times New Roman" w:cs="Times New Roman"/>
        </w:rPr>
        <w:t xml:space="preserve">, A., ... &amp; </w:t>
      </w:r>
      <w:proofErr w:type="spellStart"/>
      <w:r w:rsidRPr="00D456B0">
        <w:rPr>
          <w:rFonts w:ascii="Times New Roman" w:hAnsi="Times New Roman" w:cs="Times New Roman"/>
        </w:rPr>
        <w:t>Oladapo</w:t>
      </w:r>
      <w:proofErr w:type="spellEnd"/>
      <w:r w:rsidRPr="00D456B0">
        <w:rPr>
          <w:rFonts w:ascii="Times New Roman" w:hAnsi="Times New Roman" w:cs="Times New Roman"/>
        </w:rPr>
        <w:t xml:space="preserve">, O. T. (2024). A global analysis of the determinants of maternal health and transitions in maternal mortality. </w:t>
      </w:r>
      <w:r w:rsidRPr="00D456B0">
        <w:rPr>
          <w:rFonts w:ascii="Times New Roman" w:hAnsi="Times New Roman" w:cs="Times New Roman"/>
          <w:i/>
          <w:iCs/>
        </w:rPr>
        <w:t>The Lancet Global Health</w:t>
      </w:r>
      <w:r w:rsidRPr="00D456B0">
        <w:rPr>
          <w:rFonts w:ascii="Times New Roman" w:hAnsi="Times New Roman" w:cs="Times New Roman"/>
        </w:rPr>
        <w:t xml:space="preserve">, </w:t>
      </w:r>
      <w:r w:rsidRPr="00D456B0">
        <w:rPr>
          <w:rFonts w:ascii="Times New Roman" w:hAnsi="Times New Roman" w:cs="Times New Roman"/>
          <w:i/>
          <w:iCs/>
        </w:rPr>
        <w:t>12</w:t>
      </w:r>
      <w:r w:rsidRPr="00D456B0">
        <w:rPr>
          <w:rFonts w:ascii="Times New Roman" w:hAnsi="Times New Roman" w:cs="Times New Roman"/>
        </w:rPr>
        <w:t>(2), e306-e316.</w:t>
      </w:r>
    </w:p>
    <w:p w14:paraId="21F46F91" w14:textId="77777777" w:rsidR="00701520" w:rsidRPr="00BE07A4" w:rsidRDefault="00701520" w:rsidP="00701520">
      <w:pPr>
        <w:spacing w:line="240" w:lineRule="auto"/>
        <w:rPr>
          <w:rFonts w:ascii="Times New Roman" w:hAnsi="Times New Roman" w:cs="Times New Roman"/>
        </w:rPr>
      </w:pPr>
      <w:proofErr w:type="spellStart"/>
      <w:r w:rsidRPr="00BE07A4">
        <w:rPr>
          <w:rFonts w:ascii="Times New Roman" w:hAnsi="Times New Roman" w:cs="Times New Roman"/>
        </w:rPr>
        <w:t>Wiysonge</w:t>
      </w:r>
      <w:proofErr w:type="spellEnd"/>
      <w:r w:rsidRPr="00BE07A4">
        <w:rPr>
          <w:rFonts w:ascii="Times New Roman" w:hAnsi="Times New Roman" w:cs="Times New Roman"/>
        </w:rPr>
        <w:t xml:space="preserve">, C. S., Uthman, M. M., </w:t>
      </w:r>
      <w:proofErr w:type="spellStart"/>
      <w:r w:rsidRPr="00BE07A4">
        <w:rPr>
          <w:rFonts w:ascii="Times New Roman" w:hAnsi="Times New Roman" w:cs="Times New Roman"/>
        </w:rPr>
        <w:t>Ndwandwe</w:t>
      </w:r>
      <w:proofErr w:type="spellEnd"/>
      <w:r w:rsidRPr="00BE07A4">
        <w:rPr>
          <w:rFonts w:ascii="Times New Roman" w:hAnsi="Times New Roman" w:cs="Times New Roman"/>
        </w:rPr>
        <w:t xml:space="preserve">, D., &amp; Uthman, O. A. (2025). Multilevel Analysis of Zero-Dose Children in Sub-Saharan Africa: A Three Delays Model Study. </w:t>
      </w:r>
      <w:r w:rsidRPr="00BE07A4">
        <w:rPr>
          <w:rFonts w:ascii="Times New Roman" w:hAnsi="Times New Roman" w:cs="Times New Roman"/>
          <w:i/>
          <w:iCs/>
        </w:rPr>
        <w:t>Vaccines</w:t>
      </w:r>
      <w:r w:rsidRPr="00BE07A4">
        <w:rPr>
          <w:rFonts w:ascii="Times New Roman" w:hAnsi="Times New Roman" w:cs="Times New Roman"/>
        </w:rPr>
        <w:t xml:space="preserve">, </w:t>
      </w:r>
      <w:r w:rsidRPr="00BE07A4">
        <w:rPr>
          <w:rFonts w:ascii="Times New Roman" w:hAnsi="Times New Roman" w:cs="Times New Roman"/>
          <w:i/>
          <w:iCs/>
        </w:rPr>
        <w:t>13</w:t>
      </w:r>
      <w:r w:rsidRPr="00BE07A4">
        <w:rPr>
          <w:rFonts w:ascii="Times New Roman" w:hAnsi="Times New Roman" w:cs="Times New Roman"/>
        </w:rPr>
        <w:t>(9), 987.</w:t>
      </w:r>
    </w:p>
    <w:p w14:paraId="5BF0E5A5" w14:textId="77777777" w:rsidR="00701520" w:rsidRPr="00A76640" w:rsidRDefault="00701520" w:rsidP="00A76640"/>
    <w:p w14:paraId="69A4F971" w14:textId="77777777" w:rsidR="00037487" w:rsidRDefault="00037487" w:rsidP="00037487">
      <w:pPr>
        <w:jc w:val="center"/>
        <w:rPr>
          <w:rFonts w:ascii="Times New Roman" w:hAnsi="Times New Roman" w:cs="Times New Roman"/>
          <w:b/>
          <w:bCs/>
          <w:sz w:val="20"/>
          <w:szCs w:val="20"/>
        </w:rPr>
      </w:pPr>
      <w:r w:rsidRPr="00571986">
        <w:rPr>
          <w:rFonts w:ascii="Times New Roman" w:hAnsi="Times New Roman" w:cs="Times New Roman"/>
          <w:b/>
          <w:bCs/>
          <w:sz w:val="20"/>
          <w:szCs w:val="20"/>
        </w:rPr>
        <w:t>SUPPLEMENTARY MATERIALS</w:t>
      </w:r>
    </w:p>
    <w:p w14:paraId="790249E0" w14:textId="77777777" w:rsidR="00037487" w:rsidRPr="00571986" w:rsidRDefault="00037487" w:rsidP="00037487">
      <w:pPr>
        <w:jc w:val="center"/>
        <w:rPr>
          <w:rFonts w:ascii="Times New Roman" w:hAnsi="Times New Roman" w:cs="Times New Roman"/>
          <w:b/>
          <w:bCs/>
          <w:sz w:val="20"/>
          <w:szCs w:val="20"/>
        </w:rPr>
      </w:pPr>
      <w:r>
        <w:rPr>
          <w:rFonts w:ascii="Times New Roman" w:hAnsi="Times New Roman" w:cs="Times New Roman"/>
          <w:b/>
          <w:bCs/>
          <w:sz w:val="20"/>
          <w:szCs w:val="20"/>
        </w:rPr>
        <w:t xml:space="preserve">Appendices </w:t>
      </w:r>
    </w:p>
    <w:p w14:paraId="257273A6" w14:textId="77777777" w:rsidR="00037487" w:rsidRPr="00037487" w:rsidRDefault="00037487" w:rsidP="00037487">
      <w:pPr>
        <w:pStyle w:val="Heading4"/>
        <w:rPr>
          <w:i w:val="0"/>
          <w:iCs w:val="0"/>
          <w:color w:val="auto"/>
        </w:rPr>
      </w:pPr>
      <w:bookmarkStart w:id="13" w:name="Xdb0ba86230c66e1bc608833a1d57bbe26f6435f"/>
      <w:r w:rsidRPr="00037487">
        <w:rPr>
          <w:b/>
          <w:bCs/>
          <w:i w:val="0"/>
          <w:iCs w:val="0"/>
          <w:color w:val="auto"/>
        </w:rPr>
        <w:t>Data Characteristics and Nature of Variables</w:t>
      </w:r>
    </w:p>
    <w:p w14:paraId="32CB5FE0" w14:textId="77777777" w:rsidR="00037487" w:rsidRDefault="00037487" w:rsidP="00037487">
      <w:pPr>
        <w:pStyle w:val="FirstParagraph"/>
      </w:pPr>
      <w:r>
        <w:t xml:space="preserve">The outcome variable, </w:t>
      </w:r>
      <w:r>
        <w:rPr>
          <w:b/>
          <w:bCs/>
        </w:rPr>
        <w:t>Child Alive Status (</w:t>
      </w:r>
      <w:proofErr w:type="spellStart"/>
      <w:r>
        <w:rPr>
          <w:b/>
          <w:bCs/>
        </w:rPr>
        <w:t>ChA</w:t>
      </w:r>
      <w:proofErr w:type="spellEnd"/>
      <w:r>
        <w:rPr>
          <w:b/>
          <w:bCs/>
        </w:rPr>
        <w:t>)</w:t>
      </w:r>
      <w:r>
        <w:t xml:space="preserve">, is binary-coded as </w:t>
      </w:r>
      <w:r>
        <w:rPr>
          <w:i/>
          <w:iCs/>
        </w:rPr>
        <w:t>1 = Alive</w:t>
      </w:r>
      <w:r>
        <w:t xml:space="preserve"> and </w:t>
      </w:r>
      <w:r>
        <w:rPr>
          <w:i/>
          <w:iCs/>
        </w:rPr>
        <w:t>0 = Not Alive</w:t>
      </w:r>
      <w:r>
        <w:t>. Predictor variables include both quantitative and categorical covariates:</w:t>
      </w:r>
    </w:p>
    <w:tbl>
      <w:tblPr>
        <w:tblStyle w:val="Table"/>
        <w:tblW w:w="0" w:type="auto"/>
        <w:tblLook w:val="0020" w:firstRow="1" w:lastRow="0" w:firstColumn="0" w:lastColumn="0" w:noHBand="0" w:noVBand="0"/>
      </w:tblPr>
      <w:tblGrid>
        <w:gridCol w:w="1043"/>
        <w:gridCol w:w="3175"/>
        <w:gridCol w:w="2402"/>
      </w:tblGrid>
      <w:tr w:rsidR="00037487" w14:paraId="29991913" w14:textId="77777777" w:rsidTr="00953BBB">
        <w:trPr>
          <w:cnfStyle w:val="100000000000" w:firstRow="1" w:lastRow="0" w:firstColumn="0" w:lastColumn="0" w:oddVBand="0" w:evenVBand="0" w:oddHBand="0" w:evenHBand="0" w:firstRowFirstColumn="0" w:firstRowLastColumn="0" w:lastRowFirstColumn="0" w:lastRowLastColumn="0"/>
          <w:tblHeader/>
        </w:trPr>
        <w:tc>
          <w:tcPr>
            <w:tcW w:w="0" w:type="auto"/>
          </w:tcPr>
          <w:p w14:paraId="3F29F389" w14:textId="77777777" w:rsidR="00037487" w:rsidRDefault="00037487" w:rsidP="00953BBB">
            <w:pPr>
              <w:pStyle w:val="Compact"/>
            </w:pPr>
            <w:r>
              <w:t>Variable</w:t>
            </w:r>
          </w:p>
        </w:tc>
        <w:tc>
          <w:tcPr>
            <w:tcW w:w="0" w:type="auto"/>
          </w:tcPr>
          <w:p w14:paraId="47709C78" w14:textId="77777777" w:rsidR="00037487" w:rsidRDefault="00037487" w:rsidP="00953BBB">
            <w:pPr>
              <w:pStyle w:val="Compact"/>
            </w:pPr>
            <w:r>
              <w:t>Description</w:t>
            </w:r>
          </w:p>
        </w:tc>
        <w:tc>
          <w:tcPr>
            <w:tcW w:w="0" w:type="auto"/>
          </w:tcPr>
          <w:p w14:paraId="462F8F4B" w14:textId="77777777" w:rsidR="00037487" w:rsidRDefault="00037487" w:rsidP="00953BBB">
            <w:pPr>
              <w:pStyle w:val="Compact"/>
            </w:pPr>
            <w:r>
              <w:t>Type</w:t>
            </w:r>
          </w:p>
        </w:tc>
      </w:tr>
      <w:tr w:rsidR="00037487" w14:paraId="34BF8654" w14:textId="77777777" w:rsidTr="00953BBB">
        <w:tc>
          <w:tcPr>
            <w:tcW w:w="0" w:type="auto"/>
          </w:tcPr>
          <w:p w14:paraId="7163A5CC" w14:textId="77777777" w:rsidR="00037487" w:rsidRDefault="00037487" w:rsidP="00953BBB">
            <w:pPr>
              <w:pStyle w:val="Compact"/>
            </w:pPr>
            <w:proofErr w:type="spellStart"/>
            <w:r>
              <w:t>FoT</w:t>
            </w:r>
            <w:proofErr w:type="spellEnd"/>
          </w:p>
        </w:tc>
        <w:tc>
          <w:tcPr>
            <w:tcW w:w="0" w:type="auto"/>
          </w:tcPr>
          <w:p w14:paraId="16DC7048" w14:textId="77777777" w:rsidR="00037487" w:rsidRDefault="00037487" w:rsidP="00953BBB">
            <w:pPr>
              <w:pStyle w:val="Compact"/>
            </w:pPr>
            <w:r>
              <w:t>Father’s Age (years)</w:t>
            </w:r>
          </w:p>
        </w:tc>
        <w:tc>
          <w:tcPr>
            <w:tcW w:w="0" w:type="auto"/>
          </w:tcPr>
          <w:p w14:paraId="21CC46A9" w14:textId="77777777" w:rsidR="00037487" w:rsidRDefault="00037487" w:rsidP="00953BBB">
            <w:pPr>
              <w:pStyle w:val="Compact"/>
            </w:pPr>
            <w:r>
              <w:t>Continuous</w:t>
            </w:r>
          </w:p>
        </w:tc>
      </w:tr>
      <w:tr w:rsidR="00037487" w14:paraId="346C76BC" w14:textId="77777777" w:rsidTr="00953BBB">
        <w:tc>
          <w:tcPr>
            <w:tcW w:w="0" w:type="auto"/>
          </w:tcPr>
          <w:p w14:paraId="3291228D" w14:textId="77777777" w:rsidR="00037487" w:rsidRDefault="00037487" w:rsidP="00953BBB">
            <w:pPr>
              <w:pStyle w:val="Compact"/>
            </w:pPr>
            <w:r>
              <w:t>HHS</w:t>
            </w:r>
          </w:p>
        </w:tc>
        <w:tc>
          <w:tcPr>
            <w:tcW w:w="0" w:type="auto"/>
          </w:tcPr>
          <w:p w14:paraId="04E7537E" w14:textId="77777777" w:rsidR="00037487" w:rsidRDefault="00037487" w:rsidP="00953BBB">
            <w:pPr>
              <w:pStyle w:val="Compact"/>
            </w:pPr>
            <w:r>
              <w:t>Household Size</w:t>
            </w:r>
          </w:p>
        </w:tc>
        <w:tc>
          <w:tcPr>
            <w:tcW w:w="0" w:type="auto"/>
          </w:tcPr>
          <w:p w14:paraId="397ABB33" w14:textId="77777777" w:rsidR="00037487" w:rsidRDefault="00037487" w:rsidP="00953BBB">
            <w:pPr>
              <w:pStyle w:val="Compact"/>
            </w:pPr>
            <w:r>
              <w:t>Continuous</w:t>
            </w:r>
          </w:p>
        </w:tc>
      </w:tr>
      <w:tr w:rsidR="00037487" w14:paraId="74239390" w14:textId="77777777" w:rsidTr="00953BBB">
        <w:tc>
          <w:tcPr>
            <w:tcW w:w="0" w:type="auto"/>
          </w:tcPr>
          <w:p w14:paraId="4013D0A8" w14:textId="77777777" w:rsidR="00037487" w:rsidRDefault="00037487" w:rsidP="00953BBB">
            <w:pPr>
              <w:pStyle w:val="Compact"/>
            </w:pPr>
            <w:r>
              <w:t>WI</w:t>
            </w:r>
          </w:p>
        </w:tc>
        <w:tc>
          <w:tcPr>
            <w:tcW w:w="0" w:type="auto"/>
          </w:tcPr>
          <w:p w14:paraId="53388603" w14:textId="77777777" w:rsidR="00037487" w:rsidRDefault="00037487" w:rsidP="00953BBB">
            <w:pPr>
              <w:pStyle w:val="Compact"/>
            </w:pPr>
            <w:r>
              <w:t>Wealth Index</w:t>
            </w:r>
          </w:p>
        </w:tc>
        <w:tc>
          <w:tcPr>
            <w:tcW w:w="0" w:type="auto"/>
          </w:tcPr>
          <w:p w14:paraId="3A79F7C8" w14:textId="77777777" w:rsidR="00037487" w:rsidRDefault="00037487" w:rsidP="00953BBB">
            <w:pPr>
              <w:pStyle w:val="Compact"/>
            </w:pPr>
            <w:r>
              <w:t>Ordinal (1–5)</w:t>
            </w:r>
          </w:p>
        </w:tc>
      </w:tr>
      <w:tr w:rsidR="00037487" w14:paraId="1DD37B2A" w14:textId="77777777" w:rsidTr="00953BBB">
        <w:tc>
          <w:tcPr>
            <w:tcW w:w="0" w:type="auto"/>
          </w:tcPr>
          <w:p w14:paraId="13E0E856" w14:textId="77777777" w:rsidR="00037487" w:rsidRDefault="00037487" w:rsidP="00953BBB">
            <w:pPr>
              <w:pStyle w:val="Compact"/>
            </w:pPr>
            <w:proofErr w:type="spellStart"/>
            <w:r>
              <w:t>EduL</w:t>
            </w:r>
            <w:proofErr w:type="spellEnd"/>
          </w:p>
        </w:tc>
        <w:tc>
          <w:tcPr>
            <w:tcW w:w="0" w:type="auto"/>
          </w:tcPr>
          <w:p w14:paraId="363DE9CF" w14:textId="77777777" w:rsidR="00037487" w:rsidRDefault="00037487" w:rsidP="00953BBB">
            <w:pPr>
              <w:pStyle w:val="Compact"/>
            </w:pPr>
            <w:r>
              <w:t>Maternal Education Level</w:t>
            </w:r>
          </w:p>
        </w:tc>
        <w:tc>
          <w:tcPr>
            <w:tcW w:w="0" w:type="auto"/>
          </w:tcPr>
          <w:p w14:paraId="003F7761" w14:textId="77777777" w:rsidR="00037487" w:rsidRDefault="00037487" w:rsidP="00953BBB">
            <w:pPr>
              <w:pStyle w:val="Compact"/>
            </w:pPr>
            <w:r>
              <w:t>Ordinal (0–3)</w:t>
            </w:r>
          </w:p>
        </w:tc>
      </w:tr>
      <w:tr w:rsidR="00037487" w14:paraId="6F39CA14" w14:textId="77777777" w:rsidTr="00953BBB">
        <w:tc>
          <w:tcPr>
            <w:tcW w:w="0" w:type="auto"/>
          </w:tcPr>
          <w:p w14:paraId="5528B334" w14:textId="77777777" w:rsidR="00037487" w:rsidRDefault="00037487" w:rsidP="00953BBB">
            <w:pPr>
              <w:pStyle w:val="Compact"/>
            </w:pPr>
            <w:r>
              <w:t>Reg</w:t>
            </w:r>
          </w:p>
        </w:tc>
        <w:tc>
          <w:tcPr>
            <w:tcW w:w="0" w:type="auto"/>
          </w:tcPr>
          <w:p w14:paraId="156FBBEB" w14:textId="77777777" w:rsidR="00037487" w:rsidRDefault="00037487" w:rsidP="00953BBB">
            <w:pPr>
              <w:pStyle w:val="Compact"/>
            </w:pPr>
            <w:r>
              <w:t>Region</w:t>
            </w:r>
          </w:p>
        </w:tc>
        <w:tc>
          <w:tcPr>
            <w:tcW w:w="0" w:type="auto"/>
          </w:tcPr>
          <w:p w14:paraId="7A88DAAB" w14:textId="77777777" w:rsidR="00037487" w:rsidRDefault="00037487" w:rsidP="00953BBB">
            <w:pPr>
              <w:pStyle w:val="Compact"/>
            </w:pPr>
            <w:r>
              <w:t>Categorical (16 levels)</w:t>
            </w:r>
          </w:p>
        </w:tc>
      </w:tr>
      <w:tr w:rsidR="00037487" w14:paraId="067E98F8" w14:textId="77777777" w:rsidTr="00953BBB">
        <w:tc>
          <w:tcPr>
            <w:tcW w:w="0" w:type="auto"/>
          </w:tcPr>
          <w:p w14:paraId="170A5A21" w14:textId="77777777" w:rsidR="00037487" w:rsidRDefault="00037487" w:rsidP="00953BBB">
            <w:pPr>
              <w:pStyle w:val="Compact"/>
            </w:pPr>
            <w:r>
              <w:t>Res</w:t>
            </w:r>
          </w:p>
        </w:tc>
        <w:tc>
          <w:tcPr>
            <w:tcW w:w="0" w:type="auto"/>
          </w:tcPr>
          <w:p w14:paraId="03305705" w14:textId="77777777" w:rsidR="00037487" w:rsidRDefault="00037487" w:rsidP="00953BBB">
            <w:pPr>
              <w:pStyle w:val="Compact"/>
            </w:pPr>
            <w:r>
              <w:t>Residence Type (Urban/Rural)</w:t>
            </w:r>
          </w:p>
        </w:tc>
        <w:tc>
          <w:tcPr>
            <w:tcW w:w="0" w:type="auto"/>
          </w:tcPr>
          <w:p w14:paraId="708702AD" w14:textId="77777777" w:rsidR="00037487" w:rsidRDefault="00037487" w:rsidP="00953BBB">
            <w:pPr>
              <w:pStyle w:val="Compact"/>
            </w:pPr>
            <w:r>
              <w:t>Binary</w:t>
            </w:r>
          </w:p>
        </w:tc>
      </w:tr>
      <w:tr w:rsidR="00037487" w14:paraId="1976F031" w14:textId="77777777" w:rsidTr="00953BBB">
        <w:tc>
          <w:tcPr>
            <w:tcW w:w="0" w:type="auto"/>
          </w:tcPr>
          <w:p w14:paraId="41BF1EB6" w14:textId="77777777" w:rsidR="00037487" w:rsidRDefault="00037487" w:rsidP="00953BBB">
            <w:pPr>
              <w:pStyle w:val="Compact"/>
            </w:pPr>
            <w:proofErr w:type="spellStart"/>
            <w:r>
              <w:t>SexHH</w:t>
            </w:r>
            <w:proofErr w:type="spellEnd"/>
          </w:p>
        </w:tc>
        <w:tc>
          <w:tcPr>
            <w:tcW w:w="0" w:type="auto"/>
          </w:tcPr>
          <w:p w14:paraId="5C0A03EF" w14:textId="77777777" w:rsidR="00037487" w:rsidRDefault="00037487" w:rsidP="00953BBB">
            <w:pPr>
              <w:pStyle w:val="Compact"/>
            </w:pPr>
            <w:r>
              <w:t>Sex of Household Head</w:t>
            </w:r>
          </w:p>
        </w:tc>
        <w:tc>
          <w:tcPr>
            <w:tcW w:w="0" w:type="auto"/>
          </w:tcPr>
          <w:p w14:paraId="0745BD2C" w14:textId="77777777" w:rsidR="00037487" w:rsidRDefault="00037487" w:rsidP="00953BBB">
            <w:pPr>
              <w:pStyle w:val="Compact"/>
            </w:pPr>
            <w:r>
              <w:t>Binary</w:t>
            </w:r>
          </w:p>
        </w:tc>
      </w:tr>
      <w:tr w:rsidR="00037487" w14:paraId="26BD8001" w14:textId="77777777" w:rsidTr="00953BBB">
        <w:tc>
          <w:tcPr>
            <w:tcW w:w="0" w:type="auto"/>
          </w:tcPr>
          <w:p w14:paraId="02E94BEA" w14:textId="77777777" w:rsidR="00037487" w:rsidRDefault="00037487" w:rsidP="00953BBB">
            <w:pPr>
              <w:pStyle w:val="Compact"/>
            </w:pPr>
            <w:proofErr w:type="spellStart"/>
            <w:r>
              <w:t>SoDW</w:t>
            </w:r>
            <w:proofErr w:type="spellEnd"/>
          </w:p>
        </w:tc>
        <w:tc>
          <w:tcPr>
            <w:tcW w:w="0" w:type="auto"/>
          </w:tcPr>
          <w:p w14:paraId="4B1207C1" w14:textId="77777777" w:rsidR="00037487" w:rsidRDefault="00037487" w:rsidP="00953BBB">
            <w:pPr>
              <w:pStyle w:val="Compact"/>
            </w:pPr>
            <w:r>
              <w:t>Source of Drinking Water</w:t>
            </w:r>
          </w:p>
        </w:tc>
        <w:tc>
          <w:tcPr>
            <w:tcW w:w="0" w:type="auto"/>
          </w:tcPr>
          <w:p w14:paraId="0DC0565A" w14:textId="77777777" w:rsidR="00037487" w:rsidRDefault="00037487" w:rsidP="00953BBB">
            <w:pPr>
              <w:pStyle w:val="Compact"/>
            </w:pPr>
            <w:r>
              <w:t>Categorical</w:t>
            </w:r>
          </w:p>
        </w:tc>
      </w:tr>
      <w:tr w:rsidR="00037487" w14:paraId="1D572E71" w14:textId="77777777" w:rsidTr="00953BBB">
        <w:tc>
          <w:tcPr>
            <w:tcW w:w="0" w:type="auto"/>
          </w:tcPr>
          <w:p w14:paraId="4EE480E0" w14:textId="77777777" w:rsidR="00037487" w:rsidRDefault="00037487" w:rsidP="00953BBB">
            <w:pPr>
              <w:pStyle w:val="Compact"/>
            </w:pPr>
            <w:proofErr w:type="spellStart"/>
            <w:r>
              <w:lastRenderedPageBreak/>
              <w:t>ToLF</w:t>
            </w:r>
            <w:proofErr w:type="spellEnd"/>
          </w:p>
        </w:tc>
        <w:tc>
          <w:tcPr>
            <w:tcW w:w="0" w:type="auto"/>
          </w:tcPr>
          <w:p w14:paraId="2F30FB66" w14:textId="77777777" w:rsidR="00037487" w:rsidRDefault="00037487" w:rsidP="00953BBB">
            <w:pPr>
              <w:pStyle w:val="Compact"/>
            </w:pPr>
            <w:r>
              <w:t>Type of Toilet Facility</w:t>
            </w:r>
          </w:p>
        </w:tc>
        <w:tc>
          <w:tcPr>
            <w:tcW w:w="0" w:type="auto"/>
          </w:tcPr>
          <w:p w14:paraId="052952B9" w14:textId="77777777" w:rsidR="00037487" w:rsidRDefault="00037487" w:rsidP="00953BBB">
            <w:pPr>
              <w:pStyle w:val="Compact"/>
            </w:pPr>
            <w:r>
              <w:t>Categorical</w:t>
            </w:r>
          </w:p>
        </w:tc>
      </w:tr>
      <w:tr w:rsidR="00037487" w14:paraId="67CBD1FA" w14:textId="77777777" w:rsidTr="00953BBB">
        <w:tc>
          <w:tcPr>
            <w:tcW w:w="0" w:type="auto"/>
          </w:tcPr>
          <w:p w14:paraId="349D7779" w14:textId="77777777" w:rsidR="00037487" w:rsidRDefault="00037487" w:rsidP="00953BBB">
            <w:pPr>
              <w:pStyle w:val="Compact"/>
            </w:pPr>
            <w:r>
              <w:t>Elect</w:t>
            </w:r>
          </w:p>
        </w:tc>
        <w:tc>
          <w:tcPr>
            <w:tcW w:w="0" w:type="auto"/>
          </w:tcPr>
          <w:p w14:paraId="17FD2F4E" w14:textId="77777777" w:rsidR="00037487" w:rsidRDefault="00037487" w:rsidP="00953BBB">
            <w:pPr>
              <w:pStyle w:val="Compact"/>
            </w:pPr>
            <w:r>
              <w:t>Access to Electricity</w:t>
            </w:r>
          </w:p>
        </w:tc>
        <w:tc>
          <w:tcPr>
            <w:tcW w:w="0" w:type="auto"/>
          </w:tcPr>
          <w:p w14:paraId="670C8EB6" w14:textId="77777777" w:rsidR="00037487" w:rsidRDefault="00037487" w:rsidP="00953BBB">
            <w:pPr>
              <w:pStyle w:val="Compact"/>
            </w:pPr>
            <w:r>
              <w:t>Binary</w:t>
            </w:r>
          </w:p>
        </w:tc>
      </w:tr>
      <w:tr w:rsidR="00037487" w14:paraId="33F412B9" w14:textId="77777777" w:rsidTr="00953BBB">
        <w:tc>
          <w:tcPr>
            <w:tcW w:w="0" w:type="auto"/>
          </w:tcPr>
          <w:p w14:paraId="11435950" w14:textId="77777777" w:rsidR="00037487" w:rsidRDefault="00037487" w:rsidP="00953BBB">
            <w:pPr>
              <w:pStyle w:val="Compact"/>
            </w:pPr>
            <w:proofErr w:type="spellStart"/>
            <w:r>
              <w:t>SexC</w:t>
            </w:r>
            <w:proofErr w:type="spellEnd"/>
          </w:p>
        </w:tc>
        <w:tc>
          <w:tcPr>
            <w:tcW w:w="0" w:type="auto"/>
          </w:tcPr>
          <w:p w14:paraId="5FC5FE58" w14:textId="77777777" w:rsidR="00037487" w:rsidRDefault="00037487" w:rsidP="00953BBB">
            <w:pPr>
              <w:pStyle w:val="Compact"/>
            </w:pPr>
            <w:r>
              <w:t>Sex of Child</w:t>
            </w:r>
          </w:p>
        </w:tc>
        <w:tc>
          <w:tcPr>
            <w:tcW w:w="0" w:type="auto"/>
          </w:tcPr>
          <w:p w14:paraId="49BB5D38" w14:textId="77777777" w:rsidR="00037487" w:rsidRDefault="00037487" w:rsidP="00953BBB">
            <w:pPr>
              <w:pStyle w:val="Compact"/>
            </w:pPr>
            <w:r>
              <w:t>Binary</w:t>
            </w:r>
          </w:p>
        </w:tc>
      </w:tr>
      <w:tr w:rsidR="00037487" w14:paraId="1B93A3E6" w14:textId="77777777" w:rsidTr="00953BBB">
        <w:tc>
          <w:tcPr>
            <w:tcW w:w="0" w:type="auto"/>
          </w:tcPr>
          <w:p w14:paraId="357F13D5" w14:textId="77777777" w:rsidR="00037487" w:rsidRDefault="00037487" w:rsidP="00953BBB">
            <w:pPr>
              <w:pStyle w:val="Compact"/>
            </w:pPr>
            <w:proofErr w:type="spellStart"/>
            <w:r>
              <w:t>PostN</w:t>
            </w:r>
            <w:proofErr w:type="spellEnd"/>
          </w:p>
        </w:tc>
        <w:tc>
          <w:tcPr>
            <w:tcW w:w="0" w:type="auto"/>
          </w:tcPr>
          <w:p w14:paraId="672896F0" w14:textId="77777777" w:rsidR="00037487" w:rsidRDefault="00037487" w:rsidP="00953BBB">
            <w:pPr>
              <w:pStyle w:val="Compact"/>
            </w:pPr>
            <w:r>
              <w:t>Postnatal Care Attendance</w:t>
            </w:r>
          </w:p>
        </w:tc>
        <w:tc>
          <w:tcPr>
            <w:tcW w:w="0" w:type="auto"/>
          </w:tcPr>
          <w:p w14:paraId="1B3356BF" w14:textId="77777777" w:rsidR="00037487" w:rsidRDefault="00037487" w:rsidP="00953BBB">
            <w:pPr>
              <w:pStyle w:val="Compact"/>
            </w:pPr>
            <w:r>
              <w:t>Binary</w:t>
            </w:r>
          </w:p>
        </w:tc>
      </w:tr>
      <w:tr w:rsidR="00037487" w14:paraId="58CC2DD9" w14:textId="77777777" w:rsidTr="00953BBB">
        <w:tc>
          <w:tcPr>
            <w:tcW w:w="0" w:type="auto"/>
          </w:tcPr>
          <w:p w14:paraId="0A035F1D" w14:textId="77777777" w:rsidR="00037487" w:rsidRDefault="00037487" w:rsidP="00953BBB">
            <w:pPr>
              <w:pStyle w:val="Compact"/>
            </w:pPr>
            <w:r>
              <w:t>ANTC</w:t>
            </w:r>
          </w:p>
        </w:tc>
        <w:tc>
          <w:tcPr>
            <w:tcW w:w="0" w:type="auto"/>
          </w:tcPr>
          <w:p w14:paraId="3E64839F" w14:textId="77777777" w:rsidR="00037487" w:rsidRDefault="00037487" w:rsidP="00953BBB">
            <w:pPr>
              <w:pStyle w:val="Compact"/>
            </w:pPr>
            <w:r>
              <w:t>Antenatal Care Attendance</w:t>
            </w:r>
          </w:p>
        </w:tc>
        <w:tc>
          <w:tcPr>
            <w:tcW w:w="0" w:type="auto"/>
          </w:tcPr>
          <w:p w14:paraId="311A4B6C" w14:textId="77777777" w:rsidR="00037487" w:rsidRDefault="00037487" w:rsidP="00953BBB">
            <w:pPr>
              <w:pStyle w:val="Compact"/>
            </w:pPr>
            <w:r>
              <w:t>Binary</w:t>
            </w:r>
          </w:p>
        </w:tc>
      </w:tr>
      <w:tr w:rsidR="00037487" w14:paraId="14145810" w14:textId="77777777" w:rsidTr="00953BBB">
        <w:tc>
          <w:tcPr>
            <w:tcW w:w="0" w:type="auto"/>
          </w:tcPr>
          <w:p w14:paraId="2C07BFD7" w14:textId="77777777" w:rsidR="00037487" w:rsidRDefault="00037487" w:rsidP="00953BBB">
            <w:pPr>
              <w:pStyle w:val="Compact"/>
            </w:pPr>
            <w:r>
              <w:t>MS</w:t>
            </w:r>
          </w:p>
        </w:tc>
        <w:tc>
          <w:tcPr>
            <w:tcW w:w="0" w:type="auto"/>
          </w:tcPr>
          <w:p w14:paraId="4057650F" w14:textId="77777777" w:rsidR="00037487" w:rsidRDefault="00037487" w:rsidP="00953BBB">
            <w:pPr>
              <w:pStyle w:val="Compact"/>
            </w:pPr>
            <w:r>
              <w:t>Marital Status</w:t>
            </w:r>
          </w:p>
        </w:tc>
        <w:tc>
          <w:tcPr>
            <w:tcW w:w="0" w:type="auto"/>
          </w:tcPr>
          <w:p w14:paraId="73CCD500" w14:textId="77777777" w:rsidR="00037487" w:rsidRDefault="00037487" w:rsidP="00953BBB">
            <w:pPr>
              <w:pStyle w:val="Compact"/>
            </w:pPr>
            <w:r>
              <w:t>Categorical</w:t>
            </w:r>
          </w:p>
        </w:tc>
      </w:tr>
      <w:tr w:rsidR="00037487" w14:paraId="33394356" w14:textId="77777777" w:rsidTr="00953BBB">
        <w:tc>
          <w:tcPr>
            <w:tcW w:w="0" w:type="auto"/>
          </w:tcPr>
          <w:p w14:paraId="6B83296A" w14:textId="77777777" w:rsidR="00037487" w:rsidRDefault="00037487" w:rsidP="00953BBB">
            <w:pPr>
              <w:pStyle w:val="Compact"/>
            </w:pPr>
            <w:proofErr w:type="spellStart"/>
            <w:r>
              <w:t>ContM</w:t>
            </w:r>
            <w:proofErr w:type="spellEnd"/>
          </w:p>
        </w:tc>
        <w:tc>
          <w:tcPr>
            <w:tcW w:w="0" w:type="auto"/>
          </w:tcPr>
          <w:p w14:paraId="21D8ABEA" w14:textId="77777777" w:rsidR="00037487" w:rsidRDefault="00037487" w:rsidP="00953BBB">
            <w:pPr>
              <w:pStyle w:val="Compact"/>
            </w:pPr>
            <w:r>
              <w:t>Contraceptive Use</w:t>
            </w:r>
          </w:p>
        </w:tc>
        <w:tc>
          <w:tcPr>
            <w:tcW w:w="0" w:type="auto"/>
          </w:tcPr>
          <w:p w14:paraId="1047F2C6" w14:textId="77777777" w:rsidR="00037487" w:rsidRDefault="00037487" w:rsidP="00953BBB">
            <w:pPr>
              <w:pStyle w:val="Compact"/>
            </w:pPr>
            <w:r>
              <w:t>Binary</w:t>
            </w:r>
          </w:p>
        </w:tc>
      </w:tr>
      <w:tr w:rsidR="00037487" w14:paraId="06BDEFB8" w14:textId="77777777" w:rsidTr="00953BBB">
        <w:tc>
          <w:tcPr>
            <w:tcW w:w="0" w:type="auto"/>
          </w:tcPr>
          <w:p w14:paraId="36D916EE" w14:textId="77777777" w:rsidR="00037487" w:rsidRDefault="00037487" w:rsidP="00953BBB">
            <w:pPr>
              <w:pStyle w:val="Compact"/>
            </w:pPr>
            <w:r>
              <w:t>HEL</w:t>
            </w:r>
          </w:p>
        </w:tc>
        <w:tc>
          <w:tcPr>
            <w:tcW w:w="0" w:type="auto"/>
          </w:tcPr>
          <w:p w14:paraId="41517663" w14:textId="77777777" w:rsidR="00037487" w:rsidRDefault="00037487" w:rsidP="00953BBB">
            <w:pPr>
              <w:pStyle w:val="Compact"/>
            </w:pPr>
            <w:r>
              <w:t>Health Facility Delivery</w:t>
            </w:r>
          </w:p>
        </w:tc>
        <w:tc>
          <w:tcPr>
            <w:tcW w:w="0" w:type="auto"/>
          </w:tcPr>
          <w:p w14:paraId="6D378A34" w14:textId="77777777" w:rsidR="00037487" w:rsidRDefault="00037487" w:rsidP="00953BBB">
            <w:pPr>
              <w:pStyle w:val="Compact"/>
            </w:pPr>
            <w:r>
              <w:t>Binary</w:t>
            </w:r>
          </w:p>
        </w:tc>
      </w:tr>
    </w:tbl>
    <w:p w14:paraId="3FA21F04" w14:textId="77777777" w:rsidR="00037487" w:rsidRDefault="00037487" w:rsidP="00037487">
      <w:pPr>
        <w:pStyle w:val="BodyText"/>
      </w:pPr>
      <w:r>
        <w:t>Continuous variables (</w:t>
      </w:r>
      <w:proofErr w:type="spellStart"/>
      <w:r>
        <w:t>FoT</w:t>
      </w:r>
      <w:proofErr w:type="spellEnd"/>
      <w:r>
        <w:t xml:space="preserve">, </w:t>
      </w:r>
      <w:proofErr w:type="spellStart"/>
      <w:r>
        <w:t>HhS</w:t>
      </w:r>
      <w:proofErr w:type="spellEnd"/>
      <w:r>
        <w:t xml:space="preserve">) were normalized, and ordinal predictors (WI, </w:t>
      </w:r>
      <w:proofErr w:type="spellStart"/>
      <w:r>
        <w:t>EduL</w:t>
      </w:r>
      <w:proofErr w:type="spellEnd"/>
      <w:r>
        <w:t xml:space="preserve">) were encoded as ordered factors. All categorical variables were converted into one-hot dummy representations using the </w:t>
      </w:r>
      <w:r>
        <w:rPr>
          <w:b/>
          <w:bCs/>
        </w:rPr>
        <w:t>recipes</w:t>
      </w:r>
      <w:r>
        <w:t xml:space="preserve"> package in R to ensure compatibility with both parametric and nonparametric modeling frameworks.</w:t>
      </w:r>
    </w:p>
    <w:bookmarkEnd w:id="13"/>
    <w:p w14:paraId="7B7D6104" w14:textId="77777777" w:rsidR="00A76640" w:rsidRPr="00A76640" w:rsidRDefault="00A76640" w:rsidP="00A76640">
      <w:pPr>
        <w:rPr>
          <w:vanish/>
        </w:rPr>
      </w:pPr>
      <w:r w:rsidRPr="00A76640">
        <w:rPr>
          <w:vanish/>
        </w:rPr>
        <w:t>Top of Form</w:t>
      </w:r>
    </w:p>
    <w:p w14:paraId="13FFE040" w14:textId="77777777" w:rsidR="00A76640" w:rsidRPr="00A76640" w:rsidRDefault="00A76640" w:rsidP="00A76640">
      <w:pPr>
        <w:rPr>
          <w:vanish/>
        </w:rPr>
      </w:pPr>
      <w:r w:rsidRPr="00A76640">
        <w:rPr>
          <w:vanish/>
        </w:rPr>
        <w:t>Bottom of Form</w:t>
      </w:r>
    </w:p>
    <w:p w14:paraId="1DA0AC75" w14:textId="77777777" w:rsidR="004A1DEA" w:rsidRDefault="004A1DEA"/>
    <w:sectPr w:rsidR="004A1DE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47850" w14:textId="77777777" w:rsidR="000276A0" w:rsidRDefault="000276A0" w:rsidP="00D60A63">
      <w:pPr>
        <w:spacing w:after="0" w:line="240" w:lineRule="auto"/>
      </w:pPr>
      <w:r>
        <w:separator/>
      </w:r>
    </w:p>
  </w:endnote>
  <w:endnote w:type="continuationSeparator" w:id="0">
    <w:p w14:paraId="54A184A1" w14:textId="77777777" w:rsidR="000276A0" w:rsidRDefault="000276A0" w:rsidP="00D6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3EA1" w14:textId="77777777" w:rsidR="00395035" w:rsidRDefault="00395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593F" w14:textId="77777777" w:rsidR="00395035" w:rsidRDefault="00395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51F4" w14:textId="77777777" w:rsidR="00395035" w:rsidRDefault="00395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DC8D5" w14:textId="77777777" w:rsidR="000276A0" w:rsidRDefault="000276A0" w:rsidP="00D60A63">
      <w:pPr>
        <w:spacing w:after="0" w:line="240" w:lineRule="auto"/>
      </w:pPr>
      <w:r>
        <w:separator/>
      </w:r>
    </w:p>
  </w:footnote>
  <w:footnote w:type="continuationSeparator" w:id="0">
    <w:p w14:paraId="66438FAD" w14:textId="77777777" w:rsidR="000276A0" w:rsidRDefault="000276A0" w:rsidP="00D6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C774" w14:textId="6A66BAE4" w:rsidR="00395035" w:rsidRDefault="00395035">
    <w:pPr>
      <w:pStyle w:val="Header"/>
    </w:pPr>
    <w:r>
      <w:rPr>
        <w:noProof/>
      </w:rPr>
      <w:pict w14:anchorId="47ED0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7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2D78" w14:textId="3DC1706A" w:rsidR="00395035" w:rsidRDefault="00395035">
    <w:pPr>
      <w:pStyle w:val="Header"/>
    </w:pPr>
    <w:r>
      <w:rPr>
        <w:noProof/>
      </w:rPr>
      <w:pict w14:anchorId="4769B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7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16D8" w14:textId="2A03850B" w:rsidR="00395035" w:rsidRDefault="00395035">
    <w:pPr>
      <w:pStyle w:val="Header"/>
    </w:pPr>
    <w:r>
      <w:rPr>
        <w:noProof/>
      </w:rPr>
      <w:pict w14:anchorId="30864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27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40"/>
    <w:rsid w:val="000276A0"/>
    <w:rsid w:val="0002779B"/>
    <w:rsid w:val="00037487"/>
    <w:rsid w:val="00053A90"/>
    <w:rsid w:val="000B725B"/>
    <w:rsid w:val="00126E58"/>
    <w:rsid w:val="00151FA0"/>
    <w:rsid w:val="00164407"/>
    <w:rsid w:val="001C4EA9"/>
    <w:rsid w:val="00265FAF"/>
    <w:rsid w:val="0029581E"/>
    <w:rsid w:val="002C38DF"/>
    <w:rsid w:val="002E5288"/>
    <w:rsid w:val="00303ACF"/>
    <w:rsid w:val="00345277"/>
    <w:rsid w:val="00395035"/>
    <w:rsid w:val="003D55F0"/>
    <w:rsid w:val="004536D5"/>
    <w:rsid w:val="00485002"/>
    <w:rsid w:val="004A1DEA"/>
    <w:rsid w:val="004C2B12"/>
    <w:rsid w:val="004D3780"/>
    <w:rsid w:val="00502FFD"/>
    <w:rsid w:val="00530307"/>
    <w:rsid w:val="00546977"/>
    <w:rsid w:val="005643E6"/>
    <w:rsid w:val="005A611B"/>
    <w:rsid w:val="005C1031"/>
    <w:rsid w:val="005E74FD"/>
    <w:rsid w:val="00606ECD"/>
    <w:rsid w:val="0061497A"/>
    <w:rsid w:val="0062734D"/>
    <w:rsid w:val="00685D44"/>
    <w:rsid w:val="00701520"/>
    <w:rsid w:val="00744369"/>
    <w:rsid w:val="00776471"/>
    <w:rsid w:val="00797704"/>
    <w:rsid w:val="007B407E"/>
    <w:rsid w:val="007C4A07"/>
    <w:rsid w:val="007F6C38"/>
    <w:rsid w:val="0080036E"/>
    <w:rsid w:val="008316AF"/>
    <w:rsid w:val="00940B7B"/>
    <w:rsid w:val="00997531"/>
    <w:rsid w:val="009A40CE"/>
    <w:rsid w:val="009A4672"/>
    <w:rsid w:val="009C2D2E"/>
    <w:rsid w:val="009F21D6"/>
    <w:rsid w:val="00A03B80"/>
    <w:rsid w:val="00A45DE2"/>
    <w:rsid w:val="00A62B9C"/>
    <w:rsid w:val="00A76640"/>
    <w:rsid w:val="00B713C8"/>
    <w:rsid w:val="00BD5DCD"/>
    <w:rsid w:val="00BF1FAB"/>
    <w:rsid w:val="00CE19AE"/>
    <w:rsid w:val="00CE4DAA"/>
    <w:rsid w:val="00CF2DED"/>
    <w:rsid w:val="00CF7988"/>
    <w:rsid w:val="00D4320E"/>
    <w:rsid w:val="00D60A63"/>
    <w:rsid w:val="00D676EE"/>
    <w:rsid w:val="00DA302F"/>
    <w:rsid w:val="00E07E80"/>
    <w:rsid w:val="00E4295A"/>
    <w:rsid w:val="00E77D6A"/>
    <w:rsid w:val="00E92D10"/>
    <w:rsid w:val="00F15192"/>
    <w:rsid w:val="00F77453"/>
    <w:rsid w:val="00FC50A2"/>
    <w:rsid w:val="00FD1FA3"/>
    <w:rsid w:val="00FF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63F54F"/>
  <w15:chartTrackingRefBased/>
  <w15:docId w15:val="{0C9D2969-A056-4111-8849-3DAFF164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6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6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640"/>
    <w:rPr>
      <w:rFonts w:eastAsiaTheme="majorEastAsia" w:cstheme="majorBidi"/>
      <w:color w:val="272727" w:themeColor="text1" w:themeTint="D8"/>
    </w:rPr>
  </w:style>
  <w:style w:type="paragraph" w:styleId="Title">
    <w:name w:val="Title"/>
    <w:basedOn w:val="Normal"/>
    <w:next w:val="Normal"/>
    <w:link w:val="TitleChar"/>
    <w:uiPriority w:val="10"/>
    <w:qFormat/>
    <w:rsid w:val="00A76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640"/>
    <w:pPr>
      <w:spacing w:before="160"/>
      <w:jc w:val="center"/>
    </w:pPr>
    <w:rPr>
      <w:i/>
      <w:iCs/>
      <w:color w:val="404040" w:themeColor="text1" w:themeTint="BF"/>
    </w:rPr>
  </w:style>
  <w:style w:type="character" w:customStyle="1" w:styleId="QuoteChar">
    <w:name w:val="Quote Char"/>
    <w:basedOn w:val="DefaultParagraphFont"/>
    <w:link w:val="Quote"/>
    <w:uiPriority w:val="29"/>
    <w:rsid w:val="00A76640"/>
    <w:rPr>
      <w:i/>
      <w:iCs/>
      <w:color w:val="404040" w:themeColor="text1" w:themeTint="BF"/>
    </w:rPr>
  </w:style>
  <w:style w:type="paragraph" w:styleId="ListParagraph">
    <w:name w:val="List Paragraph"/>
    <w:basedOn w:val="Normal"/>
    <w:uiPriority w:val="34"/>
    <w:qFormat/>
    <w:rsid w:val="00A76640"/>
    <w:pPr>
      <w:ind w:left="720"/>
      <w:contextualSpacing/>
    </w:pPr>
  </w:style>
  <w:style w:type="character" w:styleId="IntenseEmphasis">
    <w:name w:val="Intense Emphasis"/>
    <w:basedOn w:val="DefaultParagraphFont"/>
    <w:uiPriority w:val="21"/>
    <w:qFormat/>
    <w:rsid w:val="00A76640"/>
    <w:rPr>
      <w:i/>
      <w:iCs/>
      <w:color w:val="2F5496" w:themeColor="accent1" w:themeShade="BF"/>
    </w:rPr>
  </w:style>
  <w:style w:type="paragraph" w:styleId="IntenseQuote">
    <w:name w:val="Intense Quote"/>
    <w:basedOn w:val="Normal"/>
    <w:next w:val="Normal"/>
    <w:link w:val="IntenseQuoteChar"/>
    <w:uiPriority w:val="30"/>
    <w:qFormat/>
    <w:rsid w:val="00A76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640"/>
    <w:rPr>
      <w:i/>
      <w:iCs/>
      <w:color w:val="2F5496" w:themeColor="accent1" w:themeShade="BF"/>
    </w:rPr>
  </w:style>
  <w:style w:type="character" w:styleId="IntenseReference">
    <w:name w:val="Intense Reference"/>
    <w:basedOn w:val="DefaultParagraphFont"/>
    <w:uiPriority w:val="32"/>
    <w:qFormat/>
    <w:rsid w:val="00A76640"/>
    <w:rPr>
      <w:b/>
      <w:bCs/>
      <w:smallCaps/>
      <w:color w:val="2F5496" w:themeColor="accent1" w:themeShade="BF"/>
      <w:spacing w:val="5"/>
    </w:rPr>
  </w:style>
  <w:style w:type="paragraph" w:styleId="BodyText">
    <w:name w:val="Body Text"/>
    <w:basedOn w:val="Normal"/>
    <w:link w:val="BodyTextChar"/>
    <w:qFormat/>
    <w:rsid w:val="00BF1FAB"/>
    <w:pPr>
      <w:spacing w:before="180" w:after="180" w:line="240" w:lineRule="auto"/>
    </w:pPr>
    <w:rPr>
      <w:rFonts w:ascii="Times New Roman" w:hAnsi="Times New Roman"/>
      <w:kern w:val="0"/>
      <w:sz w:val="24"/>
      <w:szCs w:val="24"/>
      <w14:ligatures w14:val="none"/>
    </w:rPr>
  </w:style>
  <w:style w:type="character" w:customStyle="1" w:styleId="BodyTextChar">
    <w:name w:val="Body Text Char"/>
    <w:basedOn w:val="DefaultParagraphFont"/>
    <w:link w:val="BodyText"/>
    <w:rsid w:val="00BF1FAB"/>
    <w:rPr>
      <w:rFonts w:ascii="Times New Roman" w:hAnsi="Times New Roman"/>
      <w:kern w:val="0"/>
      <w:sz w:val="24"/>
      <w:szCs w:val="24"/>
      <w:lang w:val="en-US"/>
      <w14:ligatures w14:val="none"/>
    </w:rPr>
  </w:style>
  <w:style w:type="paragraph" w:customStyle="1" w:styleId="FirstParagraph">
    <w:name w:val="First Paragraph"/>
    <w:basedOn w:val="BodyText"/>
    <w:next w:val="BodyText"/>
    <w:qFormat/>
    <w:rsid w:val="00BF1FAB"/>
  </w:style>
  <w:style w:type="paragraph" w:customStyle="1" w:styleId="Compact">
    <w:name w:val="Compact"/>
    <w:basedOn w:val="BodyText"/>
    <w:qFormat/>
    <w:rsid w:val="00BF1FAB"/>
    <w:pPr>
      <w:spacing w:before="36" w:after="36"/>
    </w:pPr>
  </w:style>
  <w:style w:type="table" w:customStyle="1" w:styleId="Table">
    <w:name w:val="Table"/>
    <w:semiHidden/>
    <w:unhideWhenUsed/>
    <w:qFormat/>
    <w:rsid w:val="00BF1FAB"/>
    <w:pPr>
      <w:spacing w:after="200" w:line="240" w:lineRule="auto"/>
    </w:pPr>
    <w:rPr>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rsid w:val="00BF1FAB"/>
    <w:rPr>
      <w:color w:val="4472C4" w:themeColor="accent1"/>
    </w:rPr>
  </w:style>
  <w:style w:type="character" w:styleId="Strong">
    <w:name w:val="Strong"/>
    <w:basedOn w:val="DefaultParagraphFont"/>
    <w:uiPriority w:val="22"/>
    <w:qFormat/>
    <w:rsid w:val="001C4EA9"/>
    <w:rPr>
      <w:b/>
      <w:bCs/>
    </w:rPr>
  </w:style>
  <w:style w:type="paragraph" w:styleId="NormalWeb">
    <w:name w:val="Normal (Web)"/>
    <w:basedOn w:val="Normal"/>
    <w:uiPriority w:val="99"/>
    <w:unhideWhenUsed/>
    <w:rsid w:val="00CE4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Caption">
    <w:name w:val="Table Caption"/>
    <w:basedOn w:val="Normal"/>
    <w:qFormat/>
    <w:rsid w:val="004C2B12"/>
    <w:pPr>
      <w:spacing w:after="0" w:line="240" w:lineRule="auto"/>
      <w:jc w:val="center"/>
    </w:pPr>
    <w:rPr>
      <w:rFonts w:eastAsiaTheme="minorEastAsia"/>
      <w:b/>
      <w:i/>
      <w:kern w:val="0"/>
      <w:sz w:val="24"/>
      <w:szCs w:val="24"/>
      <w14:ligatures w14:val="none"/>
    </w:rPr>
  </w:style>
  <w:style w:type="paragraph" w:styleId="Header">
    <w:name w:val="header"/>
    <w:basedOn w:val="Normal"/>
    <w:link w:val="HeaderChar"/>
    <w:uiPriority w:val="99"/>
    <w:unhideWhenUsed/>
    <w:rsid w:val="00D60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A63"/>
  </w:style>
  <w:style w:type="paragraph" w:styleId="Footer">
    <w:name w:val="footer"/>
    <w:basedOn w:val="Normal"/>
    <w:link w:val="FooterChar"/>
    <w:uiPriority w:val="99"/>
    <w:unhideWhenUsed/>
    <w:rsid w:val="00D60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osf.io/ghn3y/"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DDBB73-7DCC-4552-8E0E-DEE89FFA3A8F}">
  <we:reference id="wa200000368" version="1.0.0.0" store="en-001" storeType="OMEX"/>
  <we:alternateReferences>
    <we:reference id="WA200000368" version="1.0.0.0" store="" storeType="OMEX"/>
  </we:alternateReferences>
  <we:properties>
    <we:property name="documentId" value="&quot;a3c53def3921b170&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105</TotalTime>
  <Pages>15</Pages>
  <Words>5366</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1180</cp:lastModifiedBy>
  <cp:revision>43</cp:revision>
  <cp:lastPrinted>2025-11-21T14:46:00Z</cp:lastPrinted>
  <dcterms:created xsi:type="dcterms:W3CDTF">2025-11-21T09:38:00Z</dcterms:created>
  <dcterms:modified xsi:type="dcterms:W3CDTF">2025-11-22T12:02:00Z</dcterms:modified>
</cp:coreProperties>
</file>