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0E34D" w14:textId="6550E3CB" w:rsidR="004B0F6C" w:rsidRDefault="0057692D" w:rsidP="004A5C27">
      <w:pPr>
        <w:spacing w:line="360" w:lineRule="auto"/>
        <w:jc w:val="center"/>
        <w:rPr>
          <w:rFonts w:ascii="Arial" w:hAnsi="Arial" w:cs="Arial"/>
          <w:b/>
          <w:bCs/>
          <w:lang w:val="en-US"/>
        </w:rPr>
      </w:pPr>
      <w:r w:rsidRPr="0057692D">
        <w:rPr>
          <w:rFonts w:ascii="Arial" w:hAnsi="Arial" w:cs="Arial"/>
          <w:b/>
          <w:bCs/>
          <w:lang w:val="en-US"/>
        </w:rPr>
        <w:t>STEM CELL APPLICATION IN ORTHOPEDICS</w:t>
      </w:r>
    </w:p>
    <w:p w14:paraId="27673EF7" w14:textId="77777777" w:rsidR="00934498" w:rsidRPr="00352B76" w:rsidRDefault="00934498" w:rsidP="004A5C27">
      <w:pPr>
        <w:spacing w:line="360" w:lineRule="auto"/>
        <w:jc w:val="center"/>
        <w:rPr>
          <w:rFonts w:ascii="Arial" w:hAnsi="Arial" w:cs="Arial"/>
          <w:b/>
          <w:bCs/>
          <w:lang w:val="en-US"/>
        </w:rPr>
      </w:pPr>
    </w:p>
    <w:p w14:paraId="05B36899" w14:textId="77777777" w:rsidR="00B13582" w:rsidRDefault="00B13582" w:rsidP="004A5C27">
      <w:pPr>
        <w:spacing w:line="360" w:lineRule="auto"/>
        <w:jc w:val="both"/>
        <w:rPr>
          <w:b/>
          <w:bCs/>
          <w:lang w:val="en-US"/>
        </w:rPr>
      </w:pPr>
      <w:bookmarkStart w:id="0" w:name="_GoBack"/>
      <w:bookmarkEnd w:id="0"/>
    </w:p>
    <w:p w14:paraId="02E99DF0" w14:textId="554F5109" w:rsidR="0057692D" w:rsidRPr="0057692D" w:rsidRDefault="00BC73A7" w:rsidP="0057692D">
      <w:pPr>
        <w:spacing w:line="360" w:lineRule="auto"/>
        <w:jc w:val="both"/>
        <w:rPr>
          <w:rFonts w:ascii="Arial" w:hAnsi="Arial" w:cs="Arial"/>
          <w:sz w:val="20"/>
          <w:szCs w:val="20"/>
          <w:lang w:val="en-US"/>
        </w:rPr>
      </w:pPr>
      <w:r w:rsidRPr="00352B76">
        <w:rPr>
          <w:rFonts w:ascii="Arial" w:hAnsi="Arial" w:cs="Arial"/>
          <w:b/>
          <w:bCs/>
          <w:sz w:val="20"/>
          <w:szCs w:val="20"/>
          <w:lang w:val="en-US"/>
        </w:rPr>
        <w:t>Abstract</w:t>
      </w:r>
      <w:r w:rsidRPr="00352B76">
        <w:rPr>
          <w:rFonts w:ascii="Arial" w:hAnsi="Arial" w:cs="Arial"/>
          <w:sz w:val="20"/>
          <w:szCs w:val="20"/>
          <w:lang w:val="en-US"/>
        </w:rPr>
        <w:br/>
      </w:r>
      <w:r w:rsidR="0057692D" w:rsidRPr="0057692D">
        <w:rPr>
          <w:rFonts w:ascii="Arial" w:hAnsi="Arial" w:cs="Arial"/>
          <w:b/>
          <w:bCs/>
          <w:sz w:val="20"/>
          <w:szCs w:val="20"/>
          <w:lang w:val="en-US"/>
        </w:rPr>
        <w:t>Background</w:t>
      </w:r>
      <w:r w:rsidR="0057692D" w:rsidRPr="0057692D">
        <w:rPr>
          <w:rFonts w:ascii="Arial" w:hAnsi="Arial" w:cs="Arial"/>
          <w:sz w:val="20"/>
          <w:szCs w:val="20"/>
          <w:lang w:val="en-US"/>
        </w:rPr>
        <w:t>: Stem cell therapy is an emerging field in regenerative orthopaedics that offers new possibilities for managing bone, cartilage, ligament, and spinal disorders. Multiple sources of stem cells including bone marrow, adipose tissue, amnion, placenta, and umbilical cord provide populations with the ability for self renewal, differentiation, and strong paracrine activity.</w:t>
      </w:r>
    </w:p>
    <w:p w14:paraId="1970FD6D" w14:textId="5EE4A2E1"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Objectives</w:t>
      </w:r>
      <w:r w:rsidRPr="0057692D">
        <w:rPr>
          <w:rFonts w:ascii="Arial" w:hAnsi="Arial" w:cs="Arial"/>
          <w:sz w:val="20"/>
          <w:szCs w:val="20"/>
          <w:lang w:val="en-US"/>
        </w:rPr>
        <w:t>: This literature review summarizes current evidence on stem cell types, harvesting methods, biological mechanisms, and their therapeutic applications across major orthopaedic conditions such as bone defects, osteoarthritis, ligament injuries, spinal disorders, and congenital abnormalities.</w:t>
      </w:r>
    </w:p>
    <w:p w14:paraId="6F9364FB" w14:textId="04497F10"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Methods</w:t>
      </w:r>
      <w:r w:rsidRPr="0057692D">
        <w:rPr>
          <w:rFonts w:ascii="Arial" w:hAnsi="Arial" w:cs="Arial"/>
          <w:sz w:val="20"/>
          <w:szCs w:val="20"/>
          <w:lang w:val="en-US"/>
        </w:rPr>
        <w:t>: A narrative synthesis was performed using experimental, translational, and clinical studies involving mesenchymal stem cells, adipose derived stem cells, amnion derived stem cells, and umbilical cord derived stem cells.</w:t>
      </w:r>
    </w:p>
    <w:p w14:paraId="043B18AB" w14:textId="129C3CD1"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Results</w:t>
      </w:r>
      <w:r w:rsidRPr="0057692D">
        <w:rPr>
          <w:rFonts w:ascii="Arial" w:hAnsi="Arial" w:cs="Arial"/>
          <w:sz w:val="20"/>
          <w:szCs w:val="20"/>
          <w:lang w:val="en-US"/>
        </w:rPr>
        <w:t>: Stem cells support tissue regeneration through osteogenic, chondrogenic, angiogenic, and immunomodulatory pathways. In bone healing, mesenchymal stem cells enhance osteoinduction and osteogenesis, particularly when combined with biomaterials or growth factors. In cartilage restoration and osteoarthritis, stem cells promote matrix formation, reduce inflammation, and improve clinical outcomes after intra articular injection. In ligament and tendon injury, stem cells increase vascularity, fibroblast activity, and biomechanical recovery. Applications in spinal surgery include improvement of fusion rates, intervertebral disc regeneration, and neuroprotective effects after spinal cord injury. Stem cells also show promise in congenital spine and bone disorders by supporting osteogenesis and chondrogenesis. Potential complications include immune modulation imbalance, formation of ectopic bone, and uncertain long term cell survival.</w:t>
      </w:r>
    </w:p>
    <w:p w14:paraId="6A2E0CDE" w14:textId="77777777"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Conclusion</w:t>
      </w:r>
      <w:r w:rsidRPr="0057692D">
        <w:rPr>
          <w:rFonts w:ascii="Arial" w:hAnsi="Arial" w:cs="Arial"/>
          <w:sz w:val="20"/>
          <w:szCs w:val="20"/>
          <w:lang w:val="en-US"/>
        </w:rPr>
        <w:t>: Stem cell therapy provides a promising regenerative option in orthopaedic practice with increasing evidence of benefit. However, optimal protocols, cell sources, dosage, delivery techniques, and long term safety require further validation through high quality clinical studies.</w:t>
      </w:r>
    </w:p>
    <w:p w14:paraId="03B09C0F" w14:textId="77777777" w:rsidR="0057692D" w:rsidRPr="0057692D" w:rsidRDefault="0057692D" w:rsidP="0057692D">
      <w:pPr>
        <w:spacing w:line="360" w:lineRule="auto"/>
        <w:jc w:val="both"/>
        <w:rPr>
          <w:rFonts w:ascii="Arial" w:hAnsi="Arial" w:cs="Arial"/>
          <w:sz w:val="20"/>
          <w:szCs w:val="20"/>
          <w:lang w:val="en-US"/>
        </w:rPr>
      </w:pPr>
    </w:p>
    <w:p w14:paraId="671BC99D" w14:textId="295FA525" w:rsidR="00041E5B" w:rsidRPr="0057692D" w:rsidRDefault="0057692D" w:rsidP="0057692D">
      <w:pPr>
        <w:spacing w:line="360" w:lineRule="auto"/>
        <w:jc w:val="both"/>
        <w:rPr>
          <w:rFonts w:ascii="Arial" w:hAnsi="Arial" w:cs="Arial"/>
          <w:sz w:val="20"/>
          <w:szCs w:val="20"/>
          <w:lang w:val="en-US"/>
        </w:rPr>
      </w:pPr>
      <w:r w:rsidRPr="003B49DF">
        <w:rPr>
          <w:rFonts w:ascii="Arial" w:hAnsi="Arial" w:cs="Arial"/>
          <w:b/>
          <w:bCs/>
          <w:sz w:val="20"/>
          <w:szCs w:val="20"/>
          <w:lang w:val="en-US"/>
        </w:rPr>
        <w:t>Keywords</w:t>
      </w:r>
      <w:r w:rsidRPr="0057692D">
        <w:rPr>
          <w:rFonts w:ascii="Arial" w:hAnsi="Arial" w:cs="Arial"/>
          <w:sz w:val="20"/>
          <w:szCs w:val="20"/>
          <w:lang w:val="en-US"/>
        </w:rPr>
        <w:t>: stem cells, mesenchymal stem cells, orthopaedics, bone regeneration, cartilage regeneration, osteoarthritis, spinal disorders, tissue repair.</w:t>
      </w:r>
    </w:p>
    <w:p w14:paraId="45F43351" w14:textId="77777777" w:rsidR="00041E5B" w:rsidRPr="00041E5B" w:rsidRDefault="00041E5B" w:rsidP="00041E5B">
      <w:pPr>
        <w:spacing w:line="360" w:lineRule="auto"/>
        <w:jc w:val="both"/>
        <w:rPr>
          <w:rFonts w:ascii="Arial" w:hAnsi="Arial" w:cs="Arial"/>
          <w:sz w:val="20"/>
          <w:szCs w:val="20"/>
          <w:lang w:val="en-US"/>
        </w:rPr>
      </w:pPr>
    </w:p>
    <w:p w14:paraId="1B2A6C7A" w14:textId="0B44663E" w:rsidR="00987D4E" w:rsidRPr="00352B76" w:rsidRDefault="00987D4E" w:rsidP="004A5C27">
      <w:pPr>
        <w:spacing w:line="360" w:lineRule="auto"/>
        <w:rPr>
          <w:rFonts w:ascii="Arial" w:hAnsi="Arial" w:cs="Arial"/>
          <w:sz w:val="20"/>
          <w:szCs w:val="20"/>
          <w:lang w:val="en-US"/>
        </w:rPr>
      </w:pPr>
      <w:r w:rsidRPr="00352B76">
        <w:rPr>
          <w:rFonts w:ascii="Arial" w:hAnsi="Arial" w:cs="Arial"/>
          <w:b/>
          <w:bCs/>
          <w:sz w:val="20"/>
          <w:szCs w:val="20"/>
          <w:lang w:val="en-US"/>
        </w:rPr>
        <w:t>INTRODUCTION</w:t>
      </w:r>
    </w:p>
    <w:p w14:paraId="4A7C12DA" w14:textId="4573DBD3" w:rsidR="00760138" w:rsidRPr="003B49DF" w:rsidRDefault="003B49DF" w:rsidP="000E6326">
      <w:pPr>
        <w:spacing w:line="360" w:lineRule="auto"/>
        <w:ind w:firstLine="720"/>
        <w:jc w:val="both"/>
        <w:rPr>
          <w:rFonts w:ascii="Arial" w:hAnsi="Arial" w:cs="Arial"/>
          <w:sz w:val="20"/>
          <w:szCs w:val="20"/>
          <w:vertAlign w:val="superscript"/>
          <w:lang w:val="en-US"/>
        </w:rPr>
      </w:pPr>
      <w:r w:rsidRPr="003B49DF">
        <w:rPr>
          <w:rFonts w:ascii="Arial" w:hAnsi="Arial" w:cs="Arial"/>
          <w:sz w:val="20"/>
          <w:szCs w:val="20"/>
          <w:lang w:val="en-US"/>
        </w:rPr>
        <w:t xml:space="preserve">Advances in regenerative medicine offer new opportunities for orthopedic treatment, enabling the treatment of conditions that currently require surgery with less invasive procedures such as cell injections. Stem cell therapy is becoming a focus for difficult-to-treat orthopedic conditions, including femoral head osteonecrosis, long bone nonunion, and joint cartilage damage. Damage to joint cartilage can lead to osteoarthritis, and stem cell therapy can repair it. The primary sources of adult stem cells for clinical </w:t>
      </w:r>
      <w:r w:rsidRPr="003B49DF">
        <w:rPr>
          <w:rFonts w:ascii="Arial" w:hAnsi="Arial" w:cs="Arial"/>
          <w:sz w:val="20"/>
          <w:szCs w:val="20"/>
          <w:lang w:val="en-US"/>
        </w:rPr>
        <w:lastRenderedPageBreak/>
        <w:t>applications in orthopedics include bone marrow and adipose tissue, both of which contain mesenchymal stem cells that can be utilized in therapy</w:t>
      </w:r>
      <w:r w:rsidR="000E6326" w:rsidRPr="000E6326">
        <w:rPr>
          <w:rFonts w:ascii="Arial" w:hAnsi="Arial" w:cs="Arial"/>
          <w:sz w:val="20"/>
          <w:szCs w:val="20"/>
          <w:lang w:val="en-US"/>
        </w:rPr>
        <w:t>.</w:t>
      </w:r>
      <w:r>
        <w:rPr>
          <w:rFonts w:ascii="Arial" w:hAnsi="Arial" w:cs="Arial"/>
          <w:sz w:val="20"/>
          <w:szCs w:val="20"/>
          <w:vertAlign w:val="superscript"/>
          <w:lang w:val="en-US"/>
        </w:rPr>
        <w:t>1-3</w:t>
      </w:r>
    </w:p>
    <w:p w14:paraId="2E8803A0" w14:textId="77777777" w:rsidR="000E6326" w:rsidRPr="000E6326" w:rsidRDefault="000E6326" w:rsidP="000E6326">
      <w:pPr>
        <w:spacing w:line="360" w:lineRule="auto"/>
        <w:jc w:val="both"/>
        <w:rPr>
          <w:rFonts w:ascii="Arial" w:hAnsi="Arial" w:cs="Arial"/>
          <w:sz w:val="20"/>
          <w:szCs w:val="20"/>
        </w:rPr>
      </w:pPr>
    </w:p>
    <w:p w14:paraId="4376660A" w14:textId="30356035" w:rsidR="00867A0F" w:rsidRPr="00352B76" w:rsidRDefault="00867A0F" w:rsidP="004A5C27">
      <w:pPr>
        <w:spacing w:line="360" w:lineRule="auto"/>
        <w:rPr>
          <w:rFonts w:ascii="Arial" w:hAnsi="Arial" w:cs="Arial"/>
          <w:b/>
          <w:bCs/>
          <w:sz w:val="20"/>
          <w:szCs w:val="20"/>
          <w:lang w:val="en-US"/>
        </w:rPr>
      </w:pPr>
      <w:r>
        <w:rPr>
          <w:rFonts w:ascii="Arial" w:hAnsi="Arial" w:cs="Arial"/>
          <w:b/>
          <w:bCs/>
          <w:sz w:val="20"/>
          <w:szCs w:val="20"/>
          <w:lang w:val="en-US"/>
        </w:rPr>
        <w:t>STEM CELL</w:t>
      </w:r>
    </w:p>
    <w:p w14:paraId="161D7C9D" w14:textId="010A5990" w:rsidR="00555399" w:rsidRDefault="00555399" w:rsidP="00867A0F">
      <w:pPr>
        <w:spacing w:line="360" w:lineRule="auto"/>
        <w:ind w:firstLine="720"/>
        <w:jc w:val="both"/>
        <w:rPr>
          <w:rFonts w:ascii="Arial" w:hAnsi="Arial" w:cs="Arial"/>
          <w:sz w:val="20"/>
          <w:szCs w:val="20"/>
          <w:vertAlign w:val="superscript"/>
        </w:rPr>
      </w:pPr>
      <w:r w:rsidRPr="00555399">
        <w:rPr>
          <w:rFonts w:ascii="Arial" w:hAnsi="Arial" w:cs="Arial"/>
          <w:sz w:val="20"/>
          <w:szCs w:val="20"/>
        </w:rPr>
        <w:t>Stem cells possess self-renewal and differentiation capabilities, playing a crucial role in neonatal development and recovery following injury or illness by providing specific cell types for differentiated tissues and organs. During the neonatal stage, stem cells differentiate and proliferate into necessary cell types, whereas in adults, their primary functions are regenerative and restorative. The differentiation ability of stem cells, known as potency, allows their classification based on differentiation potential and origin.</w:t>
      </w:r>
      <w:r>
        <w:rPr>
          <w:rFonts w:ascii="Arial" w:hAnsi="Arial" w:cs="Arial"/>
          <w:sz w:val="20"/>
          <w:szCs w:val="20"/>
          <w:vertAlign w:val="superscript"/>
        </w:rPr>
        <w:t>5-6</w:t>
      </w:r>
    </w:p>
    <w:p w14:paraId="13846AFA" w14:textId="77777777" w:rsidR="007537FF" w:rsidRDefault="003E1539" w:rsidP="007537FF">
      <w:pPr>
        <w:keepNext/>
        <w:spacing w:line="360" w:lineRule="auto"/>
        <w:ind w:firstLine="720"/>
        <w:jc w:val="center"/>
      </w:pPr>
      <w:r w:rsidRPr="00145217">
        <w:rPr>
          <w:rFonts w:ascii="Times New Roman" w:hAnsi="Times New Roman" w:cs="Times New Roman" w:hint="cs"/>
          <w:noProof/>
          <w:lang w:val="id-ID"/>
        </w:rPr>
        <w:drawing>
          <wp:inline distT="0" distB="0" distL="0" distR="0" wp14:anchorId="18411E6C" wp14:editId="12A8416B">
            <wp:extent cx="4902200" cy="2989146"/>
            <wp:effectExtent l="0" t="0" r="0" b="0"/>
            <wp:docPr id="4" name="Picture 4" descr="Diagram of stem cells and their fun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of stem cells and their function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802" cy="2991342"/>
                    </a:xfrm>
                    <a:prstGeom prst="rect">
                      <a:avLst/>
                    </a:prstGeom>
                    <a:noFill/>
                    <a:ln>
                      <a:noFill/>
                    </a:ln>
                  </pic:spPr>
                </pic:pic>
              </a:graphicData>
            </a:graphic>
          </wp:inline>
        </w:drawing>
      </w:r>
    </w:p>
    <w:p w14:paraId="45B99EE8" w14:textId="5AD19222" w:rsidR="00555399" w:rsidRPr="007537FF" w:rsidRDefault="007537FF" w:rsidP="007537FF">
      <w:pPr>
        <w:pStyle w:val="Caption"/>
        <w:jc w:val="center"/>
        <w:rPr>
          <w:rFonts w:ascii="Arial" w:hAnsi="Arial" w:cs="Arial"/>
          <w:i w:val="0"/>
          <w:iCs w:val="0"/>
          <w:sz w:val="20"/>
          <w:szCs w:val="20"/>
          <w:vertAlign w:val="superscript"/>
        </w:rPr>
      </w:pPr>
      <w:r w:rsidRPr="007537FF">
        <w:rPr>
          <w:i w:val="0"/>
          <w:iCs w:val="0"/>
        </w:rPr>
        <w:t xml:space="preserve">Figure </w:t>
      </w:r>
      <w:r w:rsidRPr="007537FF">
        <w:rPr>
          <w:i w:val="0"/>
          <w:iCs w:val="0"/>
        </w:rPr>
        <w:fldChar w:fldCharType="begin"/>
      </w:r>
      <w:r w:rsidRPr="007537FF">
        <w:rPr>
          <w:i w:val="0"/>
          <w:iCs w:val="0"/>
        </w:rPr>
        <w:instrText xml:space="preserve"> SEQ Figure \* ARABIC </w:instrText>
      </w:r>
      <w:r w:rsidRPr="007537FF">
        <w:rPr>
          <w:i w:val="0"/>
          <w:iCs w:val="0"/>
        </w:rPr>
        <w:fldChar w:fldCharType="separate"/>
      </w:r>
      <w:r w:rsidR="001124C7">
        <w:rPr>
          <w:i w:val="0"/>
          <w:iCs w:val="0"/>
          <w:noProof/>
        </w:rPr>
        <w:t>1</w:t>
      </w:r>
      <w:r w:rsidRPr="007537FF">
        <w:rPr>
          <w:i w:val="0"/>
          <w:iCs w:val="0"/>
        </w:rPr>
        <w:fldChar w:fldCharType="end"/>
      </w:r>
      <w:r w:rsidRPr="007537FF">
        <w:rPr>
          <w:i w:val="0"/>
          <w:iCs w:val="0"/>
        </w:rPr>
        <w:t xml:space="preserve"> Oocyte Development and Stem Cell Formation</w:t>
      </w:r>
      <w:r>
        <w:rPr>
          <w:i w:val="0"/>
          <w:iCs w:val="0"/>
          <w:vertAlign w:val="superscript"/>
        </w:rPr>
        <w:t>6</w:t>
      </w:r>
    </w:p>
    <w:p w14:paraId="1B9CE450" w14:textId="353F3A8D" w:rsidR="00315B18" w:rsidRPr="00315B18" w:rsidRDefault="007537FF" w:rsidP="00EF4E16">
      <w:pPr>
        <w:spacing w:line="360" w:lineRule="auto"/>
        <w:jc w:val="both"/>
        <w:rPr>
          <w:rFonts w:ascii="Arial" w:hAnsi="Arial" w:cs="Arial"/>
          <w:sz w:val="20"/>
          <w:szCs w:val="20"/>
          <w:vertAlign w:val="superscript"/>
        </w:rPr>
      </w:pPr>
      <w:r>
        <w:rPr>
          <w:rFonts w:ascii="Arial" w:hAnsi="Arial" w:cs="Arial"/>
          <w:sz w:val="20"/>
          <w:szCs w:val="20"/>
        </w:rPr>
        <w:tab/>
      </w:r>
      <w:r w:rsidR="00315B18" w:rsidRPr="00315B18">
        <w:rPr>
          <w:rFonts w:ascii="Arial" w:hAnsi="Arial" w:cs="Arial"/>
          <w:sz w:val="20"/>
          <w:szCs w:val="20"/>
        </w:rPr>
        <w:t>Stem cells are classified based on their developmental potential, beginning with totipotent stem cells, which can produce all cell types and structures, including the placenta, as seen in zygotes. As development progresses, cells become pluripotent, able to form any cell type from the three germ layers, as found in embryonic and induced pluripotent stem cells. Differentiation then narrows to multipotent stem cells, which can create multiple cell types within a lineage like hematopoietic stem cells, while oligopotent cells can differentiate into a limited number of related types. Finally, unipotent stem cells can form only a single cell type but have strong self-renewal capabilities, making them promising for regenerative therapies.</w:t>
      </w:r>
      <w:r w:rsidR="00315B18">
        <w:rPr>
          <w:rFonts w:ascii="Arial" w:hAnsi="Arial" w:cs="Arial"/>
          <w:sz w:val="20"/>
          <w:szCs w:val="20"/>
          <w:vertAlign w:val="superscript"/>
        </w:rPr>
        <w:t>6</w:t>
      </w:r>
    </w:p>
    <w:p w14:paraId="53EFFAA8" w14:textId="77777777" w:rsidR="001124C7" w:rsidRDefault="006B1925" w:rsidP="001124C7">
      <w:pPr>
        <w:keepNext/>
        <w:spacing w:line="360" w:lineRule="auto"/>
        <w:jc w:val="center"/>
      </w:pPr>
      <w:r w:rsidRPr="00145217">
        <w:rPr>
          <w:rFonts w:ascii="Times New Roman" w:hAnsi="Times New Roman" w:cs="Times New Roman" w:hint="cs"/>
          <w:noProof/>
          <w:lang w:val="id-ID"/>
        </w:rPr>
        <w:lastRenderedPageBreak/>
        <w:drawing>
          <wp:inline distT="0" distB="0" distL="0" distR="0" wp14:anchorId="1D32CFB0" wp14:editId="41565254">
            <wp:extent cx="4097304" cy="488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344" cy="4889157"/>
                    </a:xfrm>
                    <a:prstGeom prst="rect">
                      <a:avLst/>
                    </a:prstGeom>
                    <a:noFill/>
                    <a:ln>
                      <a:noFill/>
                    </a:ln>
                  </pic:spPr>
                </pic:pic>
              </a:graphicData>
            </a:graphic>
          </wp:inline>
        </w:drawing>
      </w:r>
    </w:p>
    <w:p w14:paraId="6241FD4B" w14:textId="67880E8C" w:rsidR="007537FF" w:rsidRPr="001124C7" w:rsidRDefault="001124C7" w:rsidP="001124C7">
      <w:pPr>
        <w:pStyle w:val="Caption"/>
        <w:jc w:val="center"/>
        <w:rPr>
          <w:rFonts w:ascii="Arial" w:hAnsi="Arial" w:cs="Arial"/>
          <w:i w:val="0"/>
          <w:iCs w:val="0"/>
          <w:sz w:val="20"/>
          <w:szCs w:val="20"/>
        </w:rPr>
      </w:pPr>
      <w:r w:rsidRPr="001124C7">
        <w:rPr>
          <w:i w:val="0"/>
          <w:iCs w:val="0"/>
        </w:rPr>
        <w:t xml:space="preserve">Figure </w:t>
      </w:r>
      <w:r w:rsidRPr="001124C7">
        <w:rPr>
          <w:i w:val="0"/>
          <w:iCs w:val="0"/>
        </w:rPr>
        <w:fldChar w:fldCharType="begin"/>
      </w:r>
      <w:r w:rsidRPr="001124C7">
        <w:rPr>
          <w:i w:val="0"/>
          <w:iCs w:val="0"/>
        </w:rPr>
        <w:instrText xml:space="preserve"> SEQ Figure \* ARABIC </w:instrText>
      </w:r>
      <w:r w:rsidRPr="001124C7">
        <w:rPr>
          <w:i w:val="0"/>
          <w:iCs w:val="0"/>
        </w:rPr>
        <w:fldChar w:fldCharType="separate"/>
      </w:r>
      <w:r w:rsidRPr="001124C7">
        <w:rPr>
          <w:i w:val="0"/>
          <w:iCs w:val="0"/>
          <w:noProof/>
        </w:rPr>
        <w:t>2</w:t>
      </w:r>
      <w:r w:rsidRPr="001124C7">
        <w:rPr>
          <w:i w:val="0"/>
          <w:iCs w:val="0"/>
        </w:rPr>
        <w:fldChar w:fldCharType="end"/>
      </w:r>
      <w:r w:rsidRPr="001124C7">
        <w:rPr>
          <w:i w:val="0"/>
          <w:iCs w:val="0"/>
        </w:rPr>
        <w:t xml:space="preserve"> Types and Classification of Stem Cells</w:t>
      </w:r>
    </w:p>
    <w:p w14:paraId="13790A1A" w14:textId="3F999B41" w:rsidR="00476355" w:rsidRPr="00476355" w:rsidRDefault="00476355" w:rsidP="00476355">
      <w:pPr>
        <w:spacing w:line="360" w:lineRule="auto"/>
        <w:ind w:firstLine="720"/>
        <w:jc w:val="both"/>
        <w:rPr>
          <w:rFonts w:ascii="Arial" w:hAnsi="Arial" w:cs="Arial"/>
          <w:sz w:val="20"/>
          <w:szCs w:val="20"/>
          <w:vertAlign w:val="superscript"/>
        </w:rPr>
      </w:pPr>
      <w:r w:rsidRPr="00476355">
        <w:rPr>
          <w:rFonts w:ascii="Arial" w:hAnsi="Arial" w:cs="Arial"/>
          <w:sz w:val="20"/>
          <w:szCs w:val="20"/>
        </w:rPr>
        <w:t>Bone marrow serves as the principal source of stem cells, particularly for tissues that require continuous regeneration to replace cells damaged or lost through normal biological processes. Blood cells derived from the myeloid and lymphoid lineages have relatively short life spans, creating a constant demand for newly differentiated cells originating from hematopoietic stem cells (HSCs).</w:t>
      </w:r>
      <w:r>
        <w:rPr>
          <w:rFonts w:ascii="Arial" w:hAnsi="Arial" w:cs="Arial"/>
          <w:sz w:val="20"/>
          <w:szCs w:val="20"/>
          <w:vertAlign w:val="superscript"/>
        </w:rPr>
        <w:t>7</w:t>
      </w:r>
    </w:p>
    <w:p w14:paraId="2BCA72EA" w14:textId="138F6F74" w:rsidR="001124C7" w:rsidRDefault="005957EB" w:rsidP="007A692D">
      <w:pPr>
        <w:spacing w:line="360" w:lineRule="auto"/>
        <w:ind w:firstLine="720"/>
        <w:jc w:val="both"/>
        <w:rPr>
          <w:rFonts w:ascii="Arial" w:hAnsi="Arial" w:cs="Arial"/>
          <w:sz w:val="20"/>
          <w:szCs w:val="20"/>
          <w:vertAlign w:val="superscript"/>
        </w:rPr>
      </w:pPr>
      <w:r w:rsidRPr="005957EB">
        <w:rPr>
          <w:rFonts w:ascii="Arial" w:hAnsi="Arial" w:cs="Arial"/>
          <w:sz w:val="20"/>
          <w:szCs w:val="20"/>
        </w:rPr>
        <w:t>The extraction of stem cells from bone marrow is an invasive surgical intervention that is frequently unpleasant and entails risks of hospitalization and other consequences.  Patients frequently indicate increased post-procedural discomfort and elevated pre-procedural anxiety relative to alternative harvesting approaches.  Notwithstanding these disadvantages, bone marrow has conventionally been regarded as a prolific source of stem cells, initially producing up to 18 times more cells than the collection of peripheral blood progenitor cells.</w:t>
      </w:r>
      <w:r w:rsidR="007A692D">
        <w:rPr>
          <w:rFonts w:ascii="Arial" w:hAnsi="Arial" w:cs="Arial"/>
          <w:sz w:val="20"/>
          <w:szCs w:val="20"/>
        </w:rPr>
        <w:t xml:space="preserve"> </w:t>
      </w:r>
      <w:r w:rsidRPr="005957EB">
        <w:rPr>
          <w:rFonts w:ascii="Arial" w:hAnsi="Arial" w:cs="Arial"/>
          <w:sz w:val="20"/>
          <w:szCs w:val="20"/>
        </w:rPr>
        <w:t>Progress in cytokine-mediated mobilization therapy has subsequently revolutionized peripheral blood collection.</w:t>
      </w:r>
      <w:r w:rsidR="00EF1E02">
        <w:rPr>
          <w:rFonts w:ascii="Arial" w:hAnsi="Arial" w:cs="Arial"/>
          <w:sz w:val="20"/>
          <w:szCs w:val="20"/>
          <w:vertAlign w:val="superscript"/>
        </w:rPr>
        <w:t>48</w:t>
      </w:r>
      <w:r w:rsidRPr="005957EB">
        <w:rPr>
          <w:rFonts w:ascii="Arial" w:hAnsi="Arial" w:cs="Arial"/>
          <w:sz w:val="20"/>
          <w:szCs w:val="20"/>
        </w:rPr>
        <w:t xml:space="preserve"> Pre-treatment with certain cytokines can induce the mobilization of substantial quantities of progenitor cells into the circulation, significantly enhancing the efficacy of peripheral blood collection and establishing it as a therapeutically feasible alternative to bone marrow harvesting. Progress </w:t>
      </w:r>
      <w:r w:rsidRPr="005957EB">
        <w:rPr>
          <w:rFonts w:ascii="Arial" w:hAnsi="Arial" w:cs="Arial"/>
          <w:sz w:val="20"/>
          <w:szCs w:val="20"/>
        </w:rPr>
        <w:lastRenderedPageBreak/>
        <w:t>in cytokine-mediated mobilization therapy has subsequently revolutionized peripheral blood collection.  Pre-treatment with certain cytokines can induce the mobilization of substantial quantities of progenitor cells into the circulation, significantly enhancing the efficacy of peripheral blood collection and establishing it as a therapeutically feasible alternative to bone marrow harvesting.</w:t>
      </w:r>
      <w:r w:rsidR="007A692D">
        <w:rPr>
          <w:rFonts w:ascii="Arial" w:hAnsi="Arial" w:cs="Arial"/>
          <w:sz w:val="20"/>
          <w:szCs w:val="20"/>
        </w:rPr>
        <w:t xml:space="preserve"> </w:t>
      </w:r>
      <w:r w:rsidR="00476355" w:rsidRPr="00476355">
        <w:rPr>
          <w:rFonts w:ascii="Arial" w:hAnsi="Arial" w:cs="Arial"/>
          <w:sz w:val="20"/>
          <w:szCs w:val="20"/>
        </w:rPr>
        <w:t>HSCs reside within a specialized physiological niche in the bone marrow that supports their ability to undergo asymmetric division. Through this mechanism, one daughter cell retains stem cell properties, while the other proceeds toward differentiation. The direction of this differentiation is regulated by the surrounding microenvironment, external signals, and growth factors that interact with the cell.</w:t>
      </w:r>
      <w:r w:rsidR="00EF73CB">
        <w:rPr>
          <w:rFonts w:ascii="Arial" w:hAnsi="Arial" w:cs="Arial"/>
          <w:sz w:val="20"/>
          <w:szCs w:val="20"/>
          <w:vertAlign w:val="superscript"/>
        </w:rPr>
        <w:t>8</w:t>
      </w:r>
    </w:p>
    <w:p w14:paraId="3948099E" w14:textId="68F36669" w:rsidR="008D7CE1" w:rsidRPr="008D7CE1" w:rsidRDefault="008D7CE1" w:rsidP="008D7CE1">
      <w:pPr>
        <w:spacing w:line="360" w:lineRule="auto"/>
        <w:ind w:firstLine="720"/>
        <w:jc w:val="both"/>
        <w:rPr>
          <w:rFonts w:ascii="Arial" w:hAnsi="Arial" w:cs="Arial"/>
          <w:sz w:val="20"/>
          <w:szCs w:val="20"/>
        </w:rPr>
      </w:pPr>
      <w:r w:rsidRPr="008D7CE1">
        <w:rPr>
          <w:rFonts w:ascii="Arial" w:hAnsi="Arial" w:cs="Arial"/>
          <w:sz w:val="20"/>
          <w:szCs w:val="20"/>
        </w:rPr>
        <w:t>Pluripotent stem cell research has historically focused on embryonic stem cells (ESCs) and induced pluripotent stem cells (iPSCs). Despite significant progress in both technologies, considerable clinical challenges persist, notably the low survival rate of transplanted cells and the associated risk of tumorigenicity. Recent studies have focused on pregnancy-related tissues, successfully isolating pluripotent stem cells from amniotic fluid and placental membranes. Human amnion-derived stem cells (</w:t>
      </w:r>
      <w:proofErr w:type="spellStart"/>
      <w:r w:rsidRPr="008D7CE1">
        <w:rPr>
          <w:rFonts w:ascii="Arial" w:hAnsi="Arial" w:cs="Arial"/>
          <w:sz w:val="20"/>
          <w:szCs w:val="20"/>
        </w:rPr>
        <w:t>hADSCs</w:t>
      </w:r>
      <w:proofErr w:type="spellEnd"/>
      <w:r w:rsidRPr="008D7CE1">
        <w:rPr>
          <w:rFonts w:ascii="Arial" w:hAnsi="Arial" w:cs="Arial"/>
          <w:sz w:val="20"/>
          <w:szCs w:val="20"/>
        </w:rPr>
        <w:t>), comprising amniotic epithelial cells and amniotic mesenchymal cells, constitute a novel and promising source of cells. These cells demonstrate multiple beneficial traits, making them a potentially safer and more practical alternative to ESCs and iPSCs.</w:t>
      </w:r>
      <w:r w:rsidRPr="008D7CE1">
        <w:rPr>
          <w:rFonts w:ascii="Arial" w:hAnsi="Arial" w:cs="Arial"/>
          <w:sz w:val="20"/>
          <w:szCs w:val="20"/>
          <w:vertAlign w:val="superscript"/>
        </w:rPr>
        <w:t>9</w:t>
      </w:r>
    </w:p>
    <w:p w14:paraId="3398F64A" w14:textId="1224E9CE" w:rsidR="002E410C" w:rsidRPr="00897778" w:rsidRDefault="002E410C" w:rsidP="002E410C">
      <w:pPr>
        <w:spacing w:line="360" w:lineRule="auto"/>
        <w:ind w:firstLine="720"/>
        <w:jc w:val="both"/>
        <w:rPr>
          <w:rFonts w:ascii="Arial" w:hAnsi="Arial" w:cs="Arial"/>
          <w:sz w:val="20"/>
          <w:szCs w:val="20"/>
          <w:vertAlign w:val="superscript"/>
        </w:rPr>
      </w:pPr>
      <w:r w:rsidRPr="002E410C">
        <w:rPr>
          <w:rFonts w:ascii="Arial" w:hAnsi="Arial" w:cs="Arial"/>
          <w:sz w:val="20"/>
          <w:szCs w:val="20"/>
        </w:rPr>
        <w:t>Adipose tissue serves as a promising alternative source for mesenchymal stem cells (MSCs), overcoming challenges linked to bone marrow harvesting</w:t>
      </w:r>
      <w:r>
        <w:rPr>
          <w:rFonts w:ascii="Arial" w:hAnsi="Arial" w:cs="Arial"/>
          <w:sz w:val="20"/>
          <w:szCs w:val="20"/>
        </w:rPr>
        <w:t xml:space="preserve">, </w:t>
      </w:r>
      <w:r w:rsidRPr="002E410C">
        <w:rPr>
          <w:rFonts w:ascii="Arial" w:hAnsi="Arial" w:cs="Arial"/>
          <w:sz w:val="20"/>
          <w:szCs w:val="20"/>
        </w:rPr>
        <w:t xml:space="preserve">namely, invasiveness and low yield. Enzymatic digestion of adipose tissue yields a stromal vascular fraction (SVF) rich in adipose-derived stem cells (ADSCs), which possess classical MSC traits and surface markers. ADSCs are multipotent, differentiating into various mesodermal lineages such as osteoblasts and chondroblasts, and exhibit </w:t>
      </w:r>
      <w:proofErr w:type="spellStart"/>
      <w:r w:rsidRPr="002E410C">
        <w:rPr>
          <w:rFonts w:ascii="Arial" w:hAnsi="Arial" w:cs="Arial"/>
          <w:sz w:val="20"/>
          <w:szCs w:val="20"/>
        </w:rPr>
        <w:t>immunoprivileged</w:t>
      </w:r>
      <w:proofErr w:type="spellEnd"/>
      <w:r w:rsidRPr="002E410C">
        <w:rPr>
          <w:rFonts w:ascii="Arial" w:hAnsi="Arial" w:cs="Arial"/>
          <w:sz w:val="20"/>
          <w:szCs w:val="20"/>
        </w:rPr>
        <w:t xml:space="preserve"> properties with low MHC class II expression. They secrete paracrine and immunomodulatory factors that enhance their safety and efficacy in autologous and allogeneic transplantations.</w:t>
      </w:r>
      <w:r w:rsidR="00897778">
        <w:rPr>
          <w:rFonts w:ascii="Arial" w:hAnsi="Arial" w:cs="Arial"/>
          <w:sz w:val="20"/>
          <w:szCs w:val="20"/>
          <w:vertAlign w:val="superscript"/>
        </w:rPr>
        <w:t>14,15</w:t>
      </w:r>
    </w:p>
    <w:p w14:paraId="1FFAA7CE" w14:textId="1B8238BD" w:rsidR="002E410C" w:rsidRPr="00A730D0" w:rsidRDefault="002E410C" w:rsidP="00A730D0">
      <w:pPr>
        <w:spacing w:line="360" w:lineRule="auto"/>
        <w:ind w:firstLine="720"/>
        <w:jc w:val="both"/>
        <w:rPr>
          <w:rFonts w:ascii="Arial" w:hAnsi="Arial" w:cs="Arial"/>
          <w:sz w:val="20"/>
          <w:szCs w:val="20"/>
          <w:vertAlign w:val="superscript"/>
        </w:rPr>
      </w:pPr>
      <w:r w:rsidRPr="002E410C">
        <w:rPr>
          <w:rFonts w:ascii="Arial" w:hAnsi="Arial" w:cs="Arial"/>
          <w:sz w:val="20"/>
          <w:szCs w:val="20"/>
        </w:rPr>
        <w:t xml:space="preserve">Similarly, umbilical cord-derived stem cells present an ethically </w:t>
      </w:r>
      <w:proofErr w:type="spellStart"/>
      <w:r w:rsidRPr="002E410C">
        <w:rPr>
          <w:rFonts w:ascii="Arial" w:hAnsi="Arial" w:cs="Arial"/>
          <w:sz w:val="20"/>
          <w:szCs w:val="20"/>
        </w:rPr>
        <w:t>favorable</w:t>
      </w:r>
      <w:proofErr w:type="spellEnd"/>
      <w:r w:rsidRPr="002E410C">
        <w:rPr>
          <w:rFonts w:ascii="Arial" w:hAnsi="Arial" w:cs="Arial"/>
          <w:sz w:val="20"/>
          <w:szCs w:val="20"/>
        </w:rPr>
        <w:t xml:space="preserve"> source, with minimal risk associated with collection via venipuncture. Cord blood has been utilized for hematopoietic stem cells (HSC) since 1988, offering advantages such as ease of processing and lower immunogenicity. CD34+ cells from cord blood show effective hematopoietic potential and </w:t>
      </w:r>
      <w:proofErr w:type="spellStart"/>
      <w:r w:rsidRPr="002E410C">
        <w:rPr>
          <w:rFonts w:ascii="Arial" w:hAnsi="Arial" w:cs="Arial"/>
          <w:sz w:val="20"/>
          <w:szCs w:val="20"/>
        </w:rPr>
        <w:t>favorable</w:t>
      </w:r>
      <w:proofErr w:type="spellEnd"/>
      <w:r w:rsidRPr="002E410C">
        <w:rPr>
          <w:rFonts w:ascii="Arial" w:hAnsi="Arial" w:cs="Arial"/>
          <w:sz w:val="20"/>
          <w:szCs w:val="20"/>
        </w:rPr>
        <w:t xml:space="preserve"> long-term outcomes in transplants. Furthermore, umbilical cord tissue holds mesenchymal stem cells and progenitors capable of differentiating into multiple lineages, with ongoing research exploring their therapeutic roles in neurological disorders and regenerative medicine.</w:t>
      </w:r>
      <w:r w:rsidR="004944D0">
        <w:rPr>
          <w:rFonts w:ascii="Arial" w:hAnsi="Arial" w:cs="Arial"/>
          <w:sz w:val="20"/>
          <w:szCs w:val="20"/>
          <w:vertAlign w:val="superscript"/>
        </w:rPr>
        <w:t>17</w:t>
      </w:r>
      <w:r w:rsidR="00A228A3">
        <w:rPr>
          <w:rFonts w:ascii="Arial" w:hAnsi="Arial" w:cs="Arial"/>
          <w:sz w:val="20"/>
          <w:szCs w:val="20"/>
          <w:vertAlign w:val="superscript"/>
        </w:rPr>
        <w:t>-19</w:t>
      </w:r>
    </w:p>
    <w:p w14:paraId="7FCFD839" w14:textId="32C59E0E" w:rsidR="00EF73CB" w:rsidRDefault="002E410C" w:rsidP="002E410C">
      <w:pPr>
        <w:spacing w:line="360" w:lineRule="auto"/>
        <w:ind w:firstLine="720"/>
        <w:jc w:val="both"/>
        <w:rPr>
          <w:rFonts w:ascii="Arial" w:hAnsi="Arial" w:cs="Arial"/>
          <w:sz w:val="20"/>
          <w:szCs w:val="20"/>
          <w:vertAlign w:val="superscript"/>
        </w:rPr>
      </w:pPr>
      <w:r w:rsidRPr="002E410C">
        <w:rPr>
          <w:rFonts w:ascii="Arial" w:hAnsi="Arial" w:cs="Arial"/>
          <w:sz w:val="20"/>
          <w:szCs w:val="20"/>
        </w:rPr>
        <w:t>Placental tissue also demonstrates significant potential as a non-controversial stem cell source, encompassing various cell types like amniotic epithelial and mesenchymal stromal cells. These cells show differentiation capabilities across diverse tissue types, and placental MSC properties vary with gestational age, influencing their therapeutic applications. Notable clinical success has been observed in utilizing placenta-derived MSCs for treating acute graft-versus-host disease and in wound healing. Overall, the combination of adipose tissue, umbilical cord, and placental tissues provides abundant, versatile stem cell sources crucial for advancing regenerative medicine.</w:t>
      </w:r>
      <w:r w:rsidR="00A61D57">
        <w:rPr>
          <w:rFonts w:ascii="Arial" w:hAnsi="Arial" w:cs="Arial"/>
          <w:sz w:val="20"/>
          <w:szCs w:val="20"/>
          <w:vertAlign w:val="superscript"/>
        </w:rPr>
        <w:t>20</w:t>
      </w:r>
    </w:p>
    <w:p w14:paraId="42DE1644" w14:textId="0ED55358" w:rsidR="009F668C" w:rsidRPr="009F668C" w:rsidRDefault="009F668C" w:rsidP="009F668C">
      <w:pPr>
        <w:spacing w:line="360" w:lineRule="auto"/>
        <w:ind w:firstLine="720"/>
        <w:jc w:val="both"/>
        <w:rPr>
          <w:rFonts w:ascii="Arial" w:hAnsi="Arial" w:cs="Arial"/>
          <w:sz w:val="20"/>
          <w:szCs w:val="20"/>
          <w:vertAlign w:val="superscript"/>
        </w:rPr>
      </w:pPr>
      <w:r w:rsidRPr="009F668C">
        <w:rPr>
          <w:rFonts w:ascii="Arial" w:hAnsi="Arial" w:cs="Arial"/>
          <w:sz w:val="20"/>
          <w:szCs w:val="20"/>
        </w:rPr>
        <w:lastRenderedPageBreak/>
        <w:t>Human amniotic epithelial cells can be extracted from the amniotic membrane, cultured, and have demonstrated the ability to differentiate into neuronal cells that synthesize acetylcholine, norepinephrine, and dopamine, in addition to producing albumin, alpha-fetoprotein, storing glycogen, and metabolizing ammonia and testosterone. These findings suggest considerable promise for regenerative therapy in neurological diseases, hepatic problems, lung fibrosis, metabolic conditions, and cirrhosis. Placental mesenchymal stem cells, comprising amniotic and chorionic stromal cells, exhibit minimal HLA class I expression and express the markers CD29, CD44, CD105, and CD166, along with osteogenic differentiation capability. Its biological features are enhanced when administered at an earlier gestational age, exhibiting improved proliferation and greater differentiation capacity. Clinically, placental stromal cells have demonstrated efficacy in steroid-refractory acute graft-versus-host disease, enhancing wound healing, and may be applicable in hereditary skin disorders like epidermolysis bullosa, thereby establishing their significance as a vital candidate in regenerative therapy.</w:t>
      </w:r>
      <w:r>
        <w:rPr>
          <w:rFonts w:ascii="Arial" w:hAnsi="Arial" w:cs="Arial"/>
          <w:sz w:val="20"/>
          <w:szCs w:val="20"/>
          <w:vertAlign w:val="superscript"/>
        </w:rPr>
        <w:t>20,22,24</w:t>
      </w:r>
    </w:p>
    <w:p w14:paraId="6559765A" w14:textId="51C1DB56" w:rsidR="00946929" w:rsidRPr="00946929" w:rsidRDefault="00946929" w:rsidP="00946929">
      <w:pPr>
        <w:spacing w:line="360" w:lineRule="auto"/>
        <w:jc w:val="both"/>
        <w:rPr>
          <w:rFonts w:ascii="Arial" w:hAnsi="Arial" w:cs="Arial"/>
          <w:b/>
          <w:bCs/>
          <w:sz w:val="20"/>
          <w:szCs w:val="20"/>
        </w:rPr>
      </w:pPr>
      <w:r w:rsidRPr="00946929">
        <w:rPr>
          <w:rFonts w:ascii="Arial" w:hAnsi="Arial" w:cs="Arial"/>
          <w:b/>
          <w:bCs/>
          <w:sz w:val="20"/>
          <w:szCs w:val="20"/>
        </w:rPr>
        <w:t xml:space="preserve">Stem Cell Applications in </w:t>
      </w:r>
      <w:proofErr w:type="spellStart"/>
      <w:r w:rsidRPr="00946929">
        <w:rPr>
          <w:rFonts w:ascii="Arial" w:hAnsi="Arial" w:cs="Arial"/>
          <w:b/>
          <w:bCs/>
          <w:sz w:val="20"/>
          <w:szCs w:val="20"/>
        </w:rPr>
        <w:t>Orthopedics</w:t>
      </w:r>
      <w:proofErr w:type="spellEnd"/>
    </w:p>
    <w:p w14:paraId="361CB6CD" w14:textId="4AA2884F" w:rsidR="00946929" w:rsidRPr="00946929" w:rsidRDefault="00BB771E" w:rsidP="00946929">
      <w:pPr>
        <w:spacing w:line="360" w:lineRule="auto"/>
        <w:ind w:firstLine="720"/>
        <w:jc w:val="both"/>
        <w:rPr>
          <w:rFonts w:ascii="Arial" w:hAnsi="Arial" w:cs="Arial"/>
          <w:sz w:val="20"/>
          <w:szCs w:val="20"/>
          <w:vertAlign w:val="superscript"/>
        </w:rPr>
      </w:pPr>
      <w:r w:rsidRPr="00BB771E">
        <w:rPr>
          <w:rFonts w:ascii="Arial" w:hAnsi="Arial" w:cs="Arial"/>
          <w:sz w:val="20"/>
          <w:szCs w:val="20"/>
        </w:rPr>
        <w:t xml:space="preserve">Stem cell therapy constitutes a fundamental component of regenerative medicine within </w:t>
      </w:r>
      <w:proofErr w:type="spellStart"/>
      <w:r w:rsidRPr="00BB771E">
        <w:rPr>
          <w:rFonts w:ascii="Arial" w:hAnsi="Arial" w:cs="Arial"/>
          <w:sz w:val="20"/>
          <w:szCs w:val="20"/>
        </w:rPr>
        <w:t>orthopedics</w:t>
      </w:r>
      <w:proofErr w:type="spellEnd"/>
      <w:r w:rsidRPr="00BB771E">
        <w:rPr>
          <w:rFonts w:ascii="Arial" w:hAnsi="Arial" w:cs="Arial"/>
          <w:sz w:val="20"/>
          <w:szCs w:val="20"/>
        </w:rPr>
        <w:t xml:space="preserve">, especially in relation to bone health.  Stem cells has the capacity to develop into several cell types, rendering them essential for the healing and regeneration of bone tissue affected by trauma, </w:t>
      </w:r>
      <w:proofErr w:type="spellStart"/>
      <w:r w:rsidRPr="00BB771E">
        <w:rPr>
          <w:rFonts w:ascii="Arial" w:hAnsi="Arial" w:cs="Arial"/>
          <w:sz w:val="20"/>
          <w:szCs w:val="20"/>
        </w:rPr>
        <w:t>tumors</w:t>
      </w:r>
      <w:proofErr w:type="spellEnd"/>
      <w:r w:rsidRPr="00BB771E">
        <w:rPr>
          <w:rFonts w:ascii="Arial" w:hAnsi="Arial" w:cs="Arial"/>
          <w:sz w:val="20"/>
          <w:szCs w:val="20"/>
        </w:rPr>
        <w:t>, infections, or degenerative conditions. In the setting of bone, mesenchymal stem cells (MSCs) contribute through direct methods, including development into osteoblasts, as well as by paracrine actions that regulate the bone microenvironment, increase angiogenesis, diminish inflammation, and activate endogenous bone-forming cells. This methodology has been examined in relation to fractures, osteoporosis, intricate bone injuries, and injuries to cartilage and other supportive tissues, including tendons, ligaments, and nerves, with the objective of expediting healing, minimizing complications, and effectively restoring musculoskeletal function.</w:t>
      </w:r>
      <w:r w:rsidR="00946929">
        <w:rPr>
          <w:rFonts w:ascii="Arial" w:hAnsi="Arial" w:cs="Arial"/>
          <w:sz w:val="20"/>
          <w:szCs w:val="20"/>
          <w:vertAlign w:val="superscript"/>
        </w:rPr>
        <w:t>25,26</w:t>
      </w:r>
    </w:p>
    <w:p w14:paraId="3B1D2916" w14:textId="6B4F562A" w:rsidR="00946929" w:rsidRPr="00946929" w:rsidRDefault="00946929" w:rsidP="00946929">
      <w:pPr>
        <w:spacing w:line="360" w:lineRule="auto"/>
        <w:ind w:firstLine="720"/>
        <w:jc w:val="both"/>
        <w:rPr>
          <w:rFonts w:ascii="Arial" w:hAnsi="Arial" w:cs="Arial"/>
          <w:sz w:val="20"/>
          <w:szCs w:val="20"/>
        </w:rPr>
      </w:pPr>
      <w:r w:rsidRPr="00946929">
        <w:rPr>
          <w:rFonts w:ascii="Arial" w:hAnsi="Arial" w:cs="Arial"/>
          <w:sz w:val="20"/>
          <w:szCs w:val="20"/>
        </w:rPr>
        <w:t xml:space="preserve">Biologically, the types of stem cells used in </w:t>
      </w:r>
      <w:proofErr w:type="spellStart"/>
      <w:r w:rsidRPr="00946929">
        <w:rPr>
          <w:rFonts w:ascii="Arial" w:hAnsi="Arial" w:cs="Arial"/>
          <w:sz w:val="20"/>
          <w:szCs w:val="20"/>
        </w:rPr>
        <w:t>orthopedics</w:t>
      </w:r>
      <w:proofErr w:type="spellEnd"/>
      <w:r w:rsidRPr="00946929">
        <w:rPr>
          <w:rFonts w:ascii="Arial" w:hAnsi="Arial" w:cs="Arial"/>
          <w:sz w:val="20"/>
          <w:szCs w:val="20"/>
        </w:rPr>
        <w:t xml:space="preserve"> can be divided into embryonic stem cells and adult stem cells. Embryonic stem cells obtained at the blastocyst stage are truly pluripotent, capable of differentiating into almost all body tissues and replicating indefinitely thru asymmetric division.</w:t>
      </w:r>
      <w:r w:rsidR="00EF1E02">
        <w:rPr>
          <w:rFonts w:ascii="Arial" w:hAnsi="Arial" w:cs="Arial"/>
          <w:sz w:val="20"/>
          <w:szCs w:val="20"/>
          <w:vertAlign w:val="superscript"/>
        </w:rPr>
        <w:t>49</w:t>
      </w:r>
      <w:r w:rsidRPr="00946929">
        <w:rPr>
          <w:rFonts w:ascii="Arial" w:hAnsi="Arial" w:cs="Arial"/>
          <w:sz w:val="20"/>
          <w:szCs w:val="20"/>
        </w:rPr>
        <w:t xml:space="preserve"> However, this high proliferation potential is accompanied by the risk of tumorigenesis and raises ethical concerns, thus limiting its clinical application. Conversely, adult or postnatal stem cells, particularly MSCs derived from the mesoderm and found in bone marrow, adipose tissue, and various other tissues, are multipotent with a primary role in tissue maintenance and repair. MSCs can differentiate into adipocytes, chondrocytes, myoblasts, and osteoblasts, making them a prime candidate for clinical applications in </w:t>
      </w:r>
      <w:proofErr w:type="spellStart"/>
      <w:r w:rsidRPr="00946929">
        <w:rPr>
          <w:rFonts w:ascii="Arial" w:hAnsi="Arial" w:cs="Arial"/>
          <w:sz w:val="20"/>
          <w:szCs w:val="20"/>
        </w:rPr>
        <w:t>orthopedics</w:t>
      </w:r>
      <w:proofErr w:type="spellEnd"/>
      <w:r w:rsidRPr="00946929">
        <w:rPr>
          <w:rFonts w:ascii="Arial" w:hAnsi="Arial" w:cs="Arial"/>
          <w:sz w:val="20"/>
          <w:szCs w:val="20"/>
        </w:rPr>
        <w:t xml:space="preserve"> due to their improved safety profile and direct connection to musculoskeletal tissue.</w:t>
      </w:r>
      <w:r w:rsidRPr="00946929">
        <w:rPr>
          <w:rFonts w:ascii="Arial" w:hAnsi="Arial" w:cs="Arial"/>
          <w:sz w:val="20"/>
          <w:szCs w:val="20"/>
          <w:vertAlign w:val="superscript"/>
        </w:rPr>
        <w:t xml:space="preserve"> </w:t>
      </w:r>
      <w:r>
        <w:rPr>
          <w:rFonts w:ascii="Arial" w:hAnsi="Arial" w:cs="Arial"/>
          <w:sz w:val="20"/>
          <w:szCs w:val="20"/>
          <w:vertAlign w:val="superscript"/>
        </w:rPr>
        <w:t>27,28</w:t>
      </w:r>
    </w:p>
    <w:p w14:paraId="2BAFC6FC" w14:textId="77777777" w:rsidR="00946929" w:rsidRDefault="00946929" w:rsidP="00946929">
      <w:pPr>
        <w:spacing w:line="360" w:lineRule="auto"/>
        <w:jc w:val="both"/>
        <w:rPr>
          <w:rFonts w:ascii="Arial" w:hAnsi="Arial" w:cs="Arial"/>
          <w:b/>
          <w:bCs/>
          <w:sz w:val="20"/>
          <w:szCs w:val="20"/>
        </w:rPr>
      </w:pPr>
    </w:p>
    <w:p w14:paraId="38FAE01E" w14:textId="7F138A5B" w:rsidR="00946929" w:rsidRPr="00946929" w:rsidRDefault="00946929" w:rsidP="00946929">
      <w:pPr>
        <w:spacing w:line="360" w:lineRule="auto"/>
        <w:jc w:val="both"/>
        <w:rPr>
          <w:rFonts w:ascii="Arial" w:hAnsi="Arial" w:cs="Arial"/>
          <w:b/>
          <w:bCs/>
          <w:sz w:val="20"/>
          <w:szCs w:val="20"/>
        </w:rPr>
      </w:pPr>
      <w:r w:rsidRPr="00946929">
        <w:rPr>
          <w:rFonts w:ascii="Arial" w:hAnsi="Arial" w:cs="Arial"/>
          <w:b/>
          <w:bCs/>
          <w:sz w:val="20"/>
          <w:szCs w:val="20"/>
        </w:rPr>
        <w:t>Stem Cell Integration in Clinical Practice</w:t>
      </w:r>
    </w:p>
    <w:p w14:paraId="315F28F4" w14:textId="6387DDC1" w:rsidR="00975E08" w:rsidRPr="00975E08" w:rsidRDefault="00975E08" w:rsidP="00975E08">
      <w:pPr>
        <w:spacing w:line="360" w:lineRule="auto"/>
        <w:ind w:firstLine="720"/>
        <w:jc w:val="both"/>
        <w:rPr>
          <w:rFonts w:ascii="Arial" w:hAnsi="Arial" w:cs="Arial"/>
          <w:sz w:val="20"/>
          <w:szCs w:val="20"/>
          <w:vertAlign w:val="superscript"/>
        </w:rPr>
      </w:pPr>
      <w:r w:rsidRPr="00975E08">
        <w:rPr>
          <w:rFonts w:ascii="Arial" w:hAnsi="Arial" w:cs="Arial"/>
          <w:sz w:val="20"/>
          <w:szCs w:val="20"/>
        </w:rPr>
        <w:t xml:space="preserve">The integration of stem cell therapy into musculoskeletal clinical practice encompasses a variety of tissue targets, ranging from bone, cartilage, ligaments, and tendons to the spinal cord and joints. In bone, mesenchymal stem cells from bone marrow play a role in three main aspects: osteogenesis, </w:t>
      </w:r>
      <w:proofErr w:type="spellStart"/>
      <w:r w:rsidRPr="00975E08">
        <w:rPr>
          <w:rFonts w:ascii="Arial" w:hAnsi="Arial" w:cs="Arial"/>
          <w:sz w:val="20"/>
          <w:szCs w:val="20"/>
        </w:rPr>
        <w:t>osteoinduction</w:t>
      </w:r>
      <w:proofErr w:type="spellEnd"/>
      <w:r w:rsidRPr="00975E08">
        <w:rPr>
          <w:rFonts w:ascii="Arial" w:hAnsi="Arial" w:cs="Arial"/>
          <w:sz w:val="20"/>
          <w:szCs w:val="20"/>
        </w:rPr>
        <w:t xml:space="preserve">, </w:t>
      </w:r>
      <w:r w:rsidRPr="00975E08">
        <w:rPr>
          <w:rFonts w:ascii="Arial" w:hAnsi="Arial" w:cs="Arial"/>
          <w:sz w:val="20"/>
          <w:szCs w:val="20"/>
        </w:rPr>
        <w:lastRenderedPageBreak/>
        <w:t xml:space="preserve">and </w:t>
      </w:r>
      <w:proofErr w:type="spellStart"/>
      <w:r w:rsidRPr="00975E08">
        <w:rPr>
          <w:rFonts w:ascii="Arial" w:hAnsi="Arial" w:cs="Arial"/>
          <w:sz w:val="20"/>
          <w:szCs w:val="20"/>
        </w:rPr>
        <w:t>osteoconduction</w:t>
      </w:r>
      <w:proofErr w:type="spellEnd"/>
      <w:r w:rsidRPr="00975E08">
        <w:rPr>
          <w:rFonts w:ascii="Arial" w:hAnsi="Arial" w:cs="Arial"/>
          <w:sz w:val="20"/>
          <w:szCs w:val="20"/>
        </w:rPr>
        <w:t>. The combination of BM MSCs with scaffolds such as hydroxyapatite in animal fracture models has been shown to accelerate callus formation, increase the expression of growth factors like VEGF, BMP 2, and TGF β, and result in faster and stronger bone healing.</w:t>
      </w:r>
      <w:r>
        <w:rPr>
          <w:rFonts w:ascii="Arial" w:hAnsi="Arial" w:cs="Arial"/>
          <w:sz w:val="20"/>
          <w:szCs w:val="20"/>
          <w:vertAlign w:val="superscript"/>
        </w:rPr>
        <w:t>29,30</w:t>
      </w:r>
    </w:p>
    <w:p w14:paraId="2AA351AC" w14:textId="7E66E2E0" w:rsidR="00975E08" w:rsidRPr="00975E08" w:rsidRDefault="00975E08" w:rsidP="00975E08">
      <w:pPr>
        <w:spacing w:line="360" w:lineRule="auto"/>
        <w:ind w:firstLine="720"/>
        <w:jc w:val="both"/>
        <w:rPr>
          <w:rFonts w:ascii="Arial" w:hAnsi="Arial" w:cs="Arial"/>
          <w:sz w:val="20"/>
          <w:szCs w:val="20"/>
          <w:vertAlign w:val="superscript"/>
        </w:rPr>
      </w:pPr>
      <w:r w:rsidRPr="00975E08">
        <w:rPr>
          <w:rFonts w:ascii="Arial" w:hAnsi="Arial" w:cs="Arial"/>
          <w:sz w:val="20"/>
          <w:szCs w:val="20"/>
        </w:rPr>
        <w:t>In cartilage repair, stem cells, particularly mesenchymal stem cells derived from adipose tissue, contribute to the regeneration of osteochondral tissue by increasing the synthesis of type II collagen and aggrecan, mediated by growth factors including BMP 2 in the TGF family. Stem cells also modulate fibroblast activity and the extracellular matrix, allowing the structure and function of hyaline cartilage at the joint surface to be maintained. In ligament and tendon injuries, the addition of BM MSCs to reconstruction or repair procedures improves the quality of the tissue formed, reduces the degree of inflammation, and shortens healing time, as demonstrated in the medial collateral ligament injury model, which showed stronger and more organized tissue.</w:t>
      </w:r>
      <w:r>
        <w:rPr>
          <w:rFonts w:ascii="Arial" w:hAnsi="Arial" w:cs="Arial"/>
          <w:sz w:val="20"/>
          <w:szCs w:val="20"/>
          <w:vertAlign w:val="superscript"/>
        </w:rPr>
        <w:t>33,36</w:t>
      </w:r>
    </w:p>
    <w:p w14:paraId="2DDDD25D" w14:textId="0323CE11" w:rsidR="00975E08" w:rsidRPr="00975E08" w:rsidRDefault="00EF1E02" w:rsidP="00975E08">
      <w:pPr>
        <w:spacing w:line="360" w:lineRule="auto"/>
        <w:ind w:firstLine="720"/>
        <w:jc w:val="both"/>
        <w:rPr>
          <w:rFonts w:ascii="Arial" w:hAnsi="Arial" w:cs="Arial"/>
          <w:sz w:val="20"/>
          <w:szCs w:val="20"/>
          <w:vertAlign w:val="superscript"/>
        </w:rPr>
      </w:pPr>
      <w:r w:rsidRPr="00EF1E02">
        <w:rPr>
          <w:rFonts w:ascii="Arial" w:hAnsi="Arial" w:cs="Arial"/>
          <w:sz w:val="20"/>
          <w:szCs w:val="20"/>
        </w:rPr>
        <w:t xml:space="preserve">In osteoporosis, cell-based regenerative therapies target the inhibition of bone resorption and the enhancement of new bone production. Mesenchymal stem cells (MSCs) facilitate bone regeneration by the secretion of bioactive substances, including IGF-1, TGF-β, VEGF, HGF, angiogenin, and numerous cytokines that govern the migration, proliferation, and differentiation of osteoprogenitor cells, in addition to encouraging angiogenesis. Exosomes originating from mesenchymal stem cells (MSCs) have demonstrated the ability to inhibit bone resorption and promote </w:t>
      </w:r>
      <w:proofErr w:type="spellStart"/>
      <w:r w:rsidRPr="00EF1E02">
        <w:rPr>
          <w:rFonts w:ascii="Arial" w:hAnsi="Arial" w:cs="Arial"/>
          <w:sz w:val="20"/>
          <w:szCs w:val="20"/>
        </w:rPr>
        <w:t>remodeling</w:t>
      </w:r>
      <w:proofErr w:type="spellEnd"/>
      <w:r w:rsidRPr="00EF1E02">
        <w:rPr>
          <w:rFonts w:ascii="Arial" w:hAnsi="Arial" w:cs="Arial"/>
          <w:sz w:val="20"/>
          <w:szCs w:val="20"/>
        </w:rPr>
        <w:t xml:space="preserve"> via regulating osteogenesis, </w:t>
      </w:r>
      <w:proofErr w:type="spellStart"/>
      <w:r w:rsidRPr="00EF1E02">
        <w:rPr>
          <w:rFonts w:ascii="Arial" w:hAnsi="Arial" w:cs="Arial"/>
          <w:sz w:val="20"/>
          <w:szCs w:val="20"/>
        </w:rPr>
        <w:t>osteoclastogenesis</w:t>
      </w:r>
      <w:proofErr w:type="spellEnd"/>
      <w:r w:rsidRPr="00EF1E02">
        <w:rPr>
          <w:rFonts w:ascii="Arial" w:hAnsi="Arial" w:cs="Arial"/>
          <w:sz w:val="20"/>
          <w:szCs w:val="20"/>
        </w:rPr>
        <w:t>, and angiogenesis. Engineering MSCs to target the periosteum in animal models markedly enhanced trabecular development and bone mass.</w:t>
      </w:r>
      <w:r w:rsidR="00975E08">
        <w:rPr>
          <w:rFonts w:ascii="Arial" w:hAnsi="Arial" w:cs="Arial"/>
          <w:sz w:val="20"/>
          <w:szCs w:val="20"/>
          <w:vertAlign w:val="superscript"/>
        </w:rPr>
        <w:t>38,39</w:t>
      </w:r>
    </w:p>
    <w:p w14:paraId="79E57426" w14:textId="35184AC8" w:rsidR="005D3094" w:rsidRPr="00975E08" w:rsidRDefault="00975E08" w:rsidP="00975E08">
      <w:pPr>
        <w:spacing w:line="360" w:lineRule="auto"/>
        <w:ind w:firstLine="720"/>
        <w:jc w:val="both"/>
        <w:rPr>
          <w:rFonts w:ascii="Arial" w:hAnsi="Arial" w:cs="Arial"/>
          <w:sz w:val="20"/>
          <w:szCs w:val="20"/>
          <w:vertAlign w:val="superscript"/>
        </w:rPr>
      </w:pPr>
      <w:r w:rsidRPr="00975E08">
        <w:rPr>
          <w:rFonts w:ascii="Arial" w:hAnsi="Arial" w:cs="Arial"/>
          <w:sz w:val="20"/>
          <w:szCs w:val="20"/>
        </w:rPr>
        <w:t xml:space="preserve">In the context of spinal cord injury, mesenchymal stem cells and neural progenitor cells are being studied as key components of neuroprotective and </w:t>
      </w:r>
      <w:proofErr w:type="spellStart"/>
      <w:r w:rsidRPr="00975E08">
        <w:rPr>
          <w:rFonts w:ascii="Arial" w:hAnsi="Arial" w:cs="Arial"/>
          <w:sz w:val="20"/>
          <w:szCs w:val="20"/>
        </w:rPr>
        <w:t>neuroregenerative</w:t>
      </w:r>
      <w:proofErr w:type="spellEnd"/>
      <w:r w:rsidRPr="00975E08">
        <w:rPr>
          <w:rFonts w:ascii="Arial" w:hAnsi="Arial" w:cs="Arial"/>
          <w:sz w:val="20"/>
          <w:szCs w:val="20"/>
        </w:rPr>
        <w:t xml:space="preserve"> strategies. Stem cells are expected to support anatomical and functional repair thru the secretion of neurotrophic factors, modulation of inflammation, and support for axon growth and remyelination. Animal studies have shown functional improvement after intrathecal or local administration of MSCs, although clinical data in humans are still variable and inconclusive. In osteoarthritis, MSCs derived from bone marrow, adipose tissue, umbilical cord, and amnion are utilized due to their chondrogenic and immunomodulatory capacity. Sources such as umbilical cord and amnion exhibit higher proliferative capacity and a better growth factor secretion profile compared to bone marrow MSCs, making them attractive candidates for regenerative therapy in degenerative joint diseases. Overall, experimental evidence and early clinical trials position stem cell therapy as a promising approach in </w:t>
      </w:r>
      <w:proofErr w:type="spellStart"/>
      <w:r w:rsidRPr="00975E08">
        <w:rPr>
          <w:rFonts w:ascii="Arial" w:hAnsi="Arial" w:cs="Arial"/>
          <w:sz w:val="20"/>
          <w:szCs w:val="20"/>
        </w:rPr>
        <w:t>orthopedics</w:t>
      </w:r>
      <w:proofErr w:type="spellEnd"/>
      <w:r w:rsidRPr="00975E08">
        <w:rPr>
          <w:rFonts w:ascii="Arial" w:hAnsi="Arial" w:cs="Arial"/>
          <w:sz w:val="20"/>
          <w:szCs w:val="20"/>
        </w:rPr>
        <w:t>, although standardization of protocols, selection of cell sources, and large-scale clinical trials are still greatly needed before widespread application can be recommended.</w:t>
      </w:r>
      <w:r>
        <w:rPr>
          <w:rFonts w:ascii="Arial" w:hAnsi="Arial" w:cs="Arial"/>
          <w:sz w:val="20"/>
          <w:szCs w:val="20"/>
          <w:vertAlign w:val="superscript"/>
        </w:rPr>
        <w:t>41,46</w:t>
      </w:r>
    </w:p>
    <w:p w14:paraId="7BD9EBBB" w14:textId="77777777" w:rsidR="00946929" w:rsidRPr="005D3094" w:rsidRDefault="00946929" w:rsidP="00946929">
      <w:pPr>
        <w:spacing w:line="360" w:lineRule="auto"/>
        <w:ind w:firstLine="720"/>
        <w:jc w:val="both"/>
        <w:rPr>
          <w:rFonts w:ascii="Arial" w:hAnsi="Arial" w:cs="Arial"/>
          <w:sz w:val="20"/>
          <w:szCs w:val="20"/>
        </w:rPr>
      </w:pPr>
    </w:p>
    <w:p w14:paraId="011F25DF" w14:textId="77777777" w:rsidR="005D3094" w:rsidRPr="005D3094" w:rsidRDefault="005D3094" w:rsidP="005D3094">
      <w:pPr>
        <w:spacing w:line="360" w:lineRule="auto"/>
        <w:jc w:val="both"/>
        <w:rPr>
          <w:rFonts w:ascii="Arial" w:hAnsi="Arial" w:cs="Arial"/>
          <w:b/>
          <w:bCs/>
          <w:sz w:val="20"/>
          <w:szCs w:val="20"/>
        </w:rPr>
      </w:pPr>
      <w:r w:rsidRPr="005D3094">
        <w:rPr>
          <w:rFonts w:ascii="Arial" w:hAnsi="Arial" w:cs="Arial"/>
          <w:b/>
          <w:bCs/>
          <w:sz w:val="20"/>
          <w:szCs w:val="20"/>
        </w:rPr>
        <w:t>Stem Cell Applications in the Spine</w:t>
      </w:r>
    </w:p>
    <w:p w14:paraId="223A0A84" w14:textId="77777777"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 xml:space="preserve">Stem cell therapy for spinal disorders is emerging as a significant component of regenerative medicine, primarily concentrating on adult stem cells, including mesenchymal stem cells (MSCs) and adipose-derived stem cells (ADSCs), which can be extracted from bone marrow, adipose tissue, or blood. </w:t>
      </w:r>
      <w:r w:rsidRPr="005D3094">
        <w:rPr>
          <w:rFonts w:ascii="Arial" w:hAnsi="Arial" w:cs="Arial"/>
          <w:sz w:val="20"/>
          <w:szCs w:val="20"/>
        </w:rPr>
        <w:lastRenderedPageBreak/>
        <w:t xml:space="preserve">These cells are multipotent and can differentiate into osteoblasts, chondrocytes, and other supportive tissue cells, thereby possibly replacing or repairing damaged tissue. The primary challenges that persist include cell survival, homing, and local retention post-transplantation, prompting the creation of diverse three-dimensional scaffolds, biomimetic materials, and genetic engineering (e.g., induction of BMP-2 or other growth factor expression) to enhance the microenvironment and its regenerative outcomes. </w:t>
      </w:r>
    </w:p>
    <w:p w14:paraId="57D4AF54" w14:textId="475EFDC3"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 xml:space="preserve">Stem cells are being investigated in spinal fusion surgery to improve osteogenesis, </w:t>
      </w:r>
      <w:proofErr w:type="spellStart"/>
      <w:r w:rsidRPr="005D3094">
        <w:rPr>
          <w:rFonts w:ascii="Arial" w:hAnsi="Arial" w:cs="Arial"/>
          <w:sz w:val="20"/>
          <w:szCs w:val="20"/>
        </w:rPr>
        <w:t>osteoinduction</w:t>
      </w:r>
      <w:proofErr w:type="spellEnd"/>
      <w:r w:rsidRPr="005D3094">
        <w:rPr>
          <w:rFonts w:ascii="Arial" w:hAnsi="Arial" w:cs="Arial"/>
          <w:sz w:val="20"/>
          <w:szCs w:val="20"/>
        </w:rPr>
        <w:t xml:space="preserve">, and </w:t>
      </w:r>
      <w:proofErr w:type="spellStart"/>
      <w:r w:rsidRPr="005D3094">
        <w:rPr>
          <w:rFonts w:ascii="Arial" w:hAnsi="Arial" w:cs="Arial"/>
          <w:sz w:val="20"/>
          <w:szCs w:val="20"/>
        </w:rPr>
        <w:t>osteoconduction</w:t>
      </w:r>
      <w:proofErr w:type="spellEnd"/>
      <w:r w:rsidRPr="005D3094">
        <w:rPr>
          <w:rFonts w:ascii="Arial" w:hAnsi="Arial" w:cs="Arial"/>
          <w:sz w:val="20"/>
          <w:szCs w:val="20"/>
        </w:rPr>
        <w:t>, especially in high-risk pseudoarthrosis populations, including the elderly, smokers, and individuals with metabolic bone disorders. Autografts from the iliac crest, regarded as the gold standard, often result in donor site morbidity, whereas allografts and synthetic grafts have fewer cellular components. Mesenchymal stem cells (MSCs) and adipose-derived stem cells (ADSCs) utilized with diverse scaffolds (alginate, hydroxyapatite, beta-tricalcium phosphate, collagen sponges) and growth factors like BMP-2 have demonstrated spinal fusion efficacy comparable to autografts or full-dose BMP-2 in multiple animal models, albeit with occasionally marginally lower fusion rates, and the outcomes are significantly influenced by the extent of osteogenic differentiation of the cells prior to implantation. Clinically, its utilization is constrained by the quantity of cells that can be procured, the necessity for in vitro amplification, elevated expenses, and the requirement for specialized facilities and staff.</w:t>
      </w:r>
    </w:p>
    <w:p w14:paraId="5CA9CA70" w14:textId="26F67434"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In degenerative disk disease, stem cell-based strategies focus on repairing the nucleus pulposus matrix and decelerating deterioration, which typically results in disk fusion or replacement. Mesenchymal stem cells (MSCs) have demonstrated the capacity to develop into a nucleus pulposus-like phenotype by environmental stressors, including hypoxia, TGF-β, and genetic manipulation (e.g., SOX-9), resulting in enhanced production of type II collagen and proteoglycans in animal models. Numerous experimental investigations, including MSC implantation into degenerative discs, have demonstrated substantial enhancement and hydration of the discs without any adverse consequences. Preliminary clinical trials involving autologous MSC implantation have indicated pain alleviation and enhanced functional outcomes; however, the sample size is limited and the demographic is predominantly young, necessitating extensive research to validate long-term efficacy and safety.</w:t>
      </w:r>
    </w:p>
    <w:p w14:paraId="33110E0C" w14:textId="77935718" w:rsidR="005D3094" w:rsidRP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 xml:space="preserve">In spinal cord injury (SCI), stem cells are utilized to modulate the secondary inflammatory phase, diminish neuronal and glial cell mortality, facilitate remyelination, and provide a neurotrophic milieu </w:t>
      </w:r>
      <w:proofErr w:type="spellStart"/>
      <w:r w:rsidRPr="005D3094">
        <w:rPr>
          <w:rFonts w:ascii="Arial" w:hAnsi="Arial" w:cs="Arial"/>
          <w:sz w:val="20"/>
          <w:szCs w:val="20"/>
        </w:rPr>
        <w:t>favorable</w:t>
      </w:r>
      <w:proofErr w:type="spellEnd"/>
      <w:r w:rsidRPr="005D3094">
        <w:rPr>
          <w:rFonts w:ascii="Arial" w:hAnsi="Arial" w:cs="Arial"/>
          <w:sz w:val="20"/>
          <w:szCs w:val="20"/>
        </w:rPr>
        <w:t xml:space="preserve"> for axonal regeneration. Embryonic stem cells possess extensive differentiation capabilities, although are constrained by ethical and safety concerns. In contrast, mesenchymal stem cells (MSCs) and adult neural stem cells (NSCs) are extensively utilized in animal models, demonstrating improved axon regeneration, modulation of inflammatory cytokines (including TNF-α and IL-6), and partial restoration of motor and sensory functions. Nonetheless, the in vivo conversion of mesenchymal stem cells into functional neurons remains limited, and neural stem cells exhibit variability in survival and tissue integration contingent upon the phase of spinal cord injury at the time of intervention. Stem cell therapy for spinal conditions</w:t>
      </w:r>
      <w:r>
        <w:rPr>
          <w:rFonts w:ascii="Arial" w:hAnsi="Arial" w:cs="Arial"/>
          <w:sz w:val="20"/>
          <w:szCs w:val="20"/>
        </w:rPr>
        <w:t xml:space="preserve"> </w:t>
      </w:r>
      <w:r w:rsidRPr="005D3094">
        <w:rPr>
          <w:rFonts w:ascii="Arial" w:hAnsi="Arial" w:cs="Arial"/>
          <w:sz w:val="20"/>
          <w:szCs w:val="20"/>
        </w:rPr>
        <w:t>encompassing fusion, disc regeneration, and spinal cord injury</w:t>
      </w:r>
      <w:r>
        <w:rPr>
          <w:rFonts w:ascii="Arial" w:hAnsi="Arial" w:cs="Arial"/>
          <w:sz w:val="20"/>
          <w:szCs w:val="20"/>
        </w:rPr>
        <w:t xml:space="preserve"> </w:t>
      </w:r>
      <w:r w:rsidRPr="005D3094">
        <w:rPr>
          <w:rFonts w:ascii="Arial" w:hAnsi="Arial" w:cs="Arial"/>
          <w:sz w:val="20"/>
          <w:szCs w:val="20"/>
        </w:rPr>
        <w:t xml:space="preserve">remains in a transitional phase from experimental research to broad clinical implementation, exhibiting significant potential yet constrained by </w:t>
      </w:r>
      <w:r w:rsidRPr="005D3094">
        <w:rPr>
          <w:rFonts w:ascii="Arial" w:hAnsi="Arial" w:cs="Arial"/>
          <w:sz w:val="20"/>
          <w:szCs w:val="20"/>
        </w:rPr>
        <w:lastRenderedPageBreak/>
        <w:t>limited clinical evidence, technical challenges, financial implications, and evolving ethical and regulatory frameworks.</w:t>
      </w:r>
    </w:p>
    <w:p w14:paraId="61D4F411" w14:textId="43630FAC" w:rsidR="005D3094" w:rsidRP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 xml:space="preserve">Congenital scoliosis is a spinal deformity marked by lateral curvature of the vertebrae resulting from abnormal formation and development of the spine during embryogenesis, occurring in approximately 0.5–1 per 1000 live births, with heightened mortality risk if untreated due to cardiopulmonary complications.  This syndrome results from disturbances in </w:t>
      </w:r>
      <w:proofErr w:type="spellStart"/>
      <w:r w:rsidRPr="005D3094">
        <w:rPr>
          <w:rFonts w:ascii="Arial" w:hAnsi="Arial" w:cs="Arial"/>
          <w:sz w:val="20"/>
          <w:szCs w:val="20"/>
        </w:rPr>
        <w:t>s</w:t>
      </w:r>
      <w:r>
        <w:rPr>
          <w:rFonts w:ascii="Arial" w:hAnsi="Arial" w:cs="Arial"/>
          <w:sz w:val="20"/>
          <w:szCs w:val="20"/>
        </w:rPr>
        <w:t>o</w:t>
      </w:r>
      <w:r w:rsidRPr="005D3094">
        <w:rPr>
          <w:rFonts w:ascii="Arial" w:hAnsi="Arial" w:cs="Arial"/>
          <w:sz w:val="20"/>
          <w:szCs w:val="20"/>
        </w:rPr>
        <w:t>mitogenesis</w:t>
      </w:r>
      <w:proofErr w:type="spellEnd"/>
      <w:r w:rsidRPr="005D3094">
        <w:rPr>
          <w:rFonts w:ascii="Arial" w:hAnsi="Arial" w:cs="Arial"/>
          <w:sz w:val="20"/>
          <w:szCs w:val="20"/>
        </w:rPr>
        <w:t xml:space="preserve"> during the third to fourth week of gestation, with abnormalities categorized as formation failures, including hemivertebrae, segmentation failures, and mixed deformities.  Hemivertebra is the predominant mechanism responsible for asymmetrical spinal development.  The surgical care of congenital scoliosis poses challenges due to the absence of standardized recommendations, insufficient data supporting the superiority of surgical intervention over conservative treatment, and an elevated risk of brain injury relative to idiopathic scoliosis.</w:t>
      </w:r>
    </w:p>
    <w:p w14:paraId="60522F94" w14:textId="3AB4D619"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 xml:space="preserve">In regenerative medicine, mesenchymal stem cell (MSC)-based therapy has emerged as a promising strategy for bone repair and regeneration, particularly in congenital bone diseases.  Postnatal mesenchymal stem cells (MSCs) sourced from bone marrow, adipose tissue, and umbilical cord possess self-renewal and pluripotency abilities, enabling differentiation into osteogenic and chondrogenic lineages, thus promoting </w:t>
      </w:r>
      <w:proofErr w:type="spellStart"/>
      <w:r w:rsidRPr="005D3094">
        <w:rPr>
          <w:rFonts w:ascii="Arial" w:hAnsi="Arial" w:cs="Arial"/>
          <w:sz w:val="20"/>
          <w:szCs w:val="20"/>
        </w:rPr>
        <w:t>osteoinduction</w:t>
      </w:r>
      <w:proofErr w:type="spellEnd"/>
      <w:r w:rsidRPr="005D3094">
        <w:rPr>
          <w:rFonts w:ascii="Arial" w:hAnsi="Arial" w:cs="Arial"/>
          <w:sz w:val="20"/>
          <w:szCs w:val="20"/>
        </w:rPr>
        <w:t xml:space="preserve">, osteogenesis, and cartilage regeneration.  Mesenchymal stem cells (MSCs) functionally contribute by migrating to and homing in on injured bone regions, a process facilitated by inflammatory factors, chemokines, chemokine receptors, adhesion molecules, and proteases. They support angiogenesis through the synthesis of HIF-1α, which induces VEGF, TGF-β, SDF-1, and SCF. Additionally, they exhibit autocrine expression of BMP-2, activating the Smad and MAPK pathways to enhance osteoblast differentiation and promote new bone formation.  Moreover, MSCs contribute to the preservation and restoration of cartilage by preventing its degradation through the release of TIMP-1 and TIMP-2, while also promoting chondrocyte development via TGF-β1, TGF-β2, TGF-β3, the </w:t>
      </w:r>
      <w:proofErr w:type="spellStart"/>
      <w:r w:rsidRPr="005D3094">
        <w:rPr>
          <w:rFonts w:ascii="Arial" w:hAnsi="Arial" w:cs="Arial"/>
          <w:sz w:val="20"/>
          <w:szCs w:val="20"/>
        </w:rPr>
        <w:t>Wnt</w:t>
      </w:r>
      <w:proofErr w:type="spellEnd"/>
      <w:r w:rsidRPr="005D3094">
        <w:rPr>
          <w:rFonts w:ascii="Arial" w:hAnsi="Arial" w:cs="Arial"/>
          <w:sz w:val="20"/>
          <w:szCs w:val="20"/>
        </w:rPr>
        <w:t>/β-catenin pathway, and Thrombospondin-2.  Clinical reports indicate that MSC implantation is safe and has been utilized in osteoarthritis, intervertebral disc degeneration, osteoporosis, and certain congenital bone deformities, hence reinforcing the anticipation of its future application as an adjunct therapy for congenital spinal illnesses.</w:t>
      </w:r>
    </w:p>
    <w:p w14:paraId="2D4163CF" w14:textId="798B6909" w:rsidR="005D3094" w:rsidRPr="005D3094" w:rsidRDefault="005D3094" w:rsidP="005D3094">
      <w:pPr>
        <w:spacing w:line="360" w:lineRule="auto"/>
        <w:jc w:val="both"/>
        <w:rPr>
          <w:rFonts w:ascii="Arial" w:hAnsi="Arial" w:cs="Arial"/>
          <w:b/>
          <w:bCs/>
          <w:sz w:val="20"/>
          <w:szCs w:val="20"/>
        </w:rPr>
      </w:pPr>
      <w:r w:rsidRPr="005D3094">
        <w:rPr>
          <w:rFonts w:ascii="Arial" w:hAnsi="Arial" w:cs="Arial"/>
          <w:b/>
          <w:bCs/>
          <w:sz w:val="20"/>
          <w:szCs w:val="20"/>
        </w:rPr>
        <w:t>Stem Cell Applications for Hips and Knees</w:t>
      </w:r>
    </w:p>
    <w:p w14:paraId="63B02132" w14:textId="16ADCCC6" w:rsidR="00DC1743" w:rsidRDefault="00DC1743" w:rsidP="00DC1743">
      <w:pPr>
        <w:spacing w:line="360" w:lineRule="auto"/>
        <w:ind w:firstLine="720"/>
        <w:jc w:val="both"/>
        <w:rPr>
          <w:rFonts w:ascii="Arial" w:hAnsi="Arial" w:cs="Arial"/>
          <w:sz w:val="20"/>
          <w:szCs w:val="20"/>
        </w:rPr>
      </w:pPr>
      <w:r w:rsidRPr="00DC1743">
        <w:rPr>
          <w:rFonts w:ascii="Arial" w:hAnsi="Arial" w:cs="Arial"/>
          <w:sz w:val="20"/>
          <w:szCs w:val="20"/>
        </w:rPr>
        <w:t>Osteoarthritis (OA) is a common degenerative joint disease affecting over 300 million people globally, leading to significant disability and healthcare burdens. Mesenchymal stem cells (MSCs) present a promising therapeutic approach due to their ability to modify inflammation and support tissue repair. Intra-articular MSC injections are preferred minimally invasive treatments that aim to alleviate symptoms and slow disease progression. MSCs can be sourced from various tissues, each with unique qualities; synovium-derived MSCs show superior potential for cartilage repair. The debate continues over the best MSC source, with adipose-derived MSCs showing better one-year outcomes in safety and pain relief. Optimal dosing remains uncertain, and while autologous MSCs typically yield better long-term results, their effectiveness may be compromised in older patients or those with cardiovascular issues. Additionally, MSC-</w:t>
      </w:r>
      <w:r w:rsidRPr="00DC1743">
        <w:rPr>
          <w:rFonts w:ascii="Arial" w:hAnsi="Arial" w:cs="Arial"/>
          <w:sz w:val="20"/>
          <w:szCs w:val="20"/>
        </w:rPr>
        <w:lastRenderedPageBreak/>
        <w:t>derived exosomes are gaining interest for their ability to enhance cartilage health. Despite encouraging results from clinical studies, variability in approaches highlights the need for standardized protocols and robust clinical trials to establish effective MSC-based therapies for hip and knee OA.</w:t>
      </w:r>
    </w:p>
    <w:p w14:paraId="61868512" w14:textId="296D5DB1" w:rsidR="00090F97" w:rsidRPr="00090F97" w:rsidRDefault="00090F97" w:rsidP="00DC1743">
      <w:pPr>
        <w:spacing w:line="360" w:lineRule="auto"/>
        <w:ind w:firstLine="720"/>
        <w:jc w:val="both"/>
        <w:rPr>
          <w:rFonts w:ascii="Arial" w:hAnsi="Arial" w:cs="Arial"/>
          <w:sz w:val="20"/>
          <w:szCs w:val="20"/>
        </w:rPr>
      </w:pPr>
      <w:r w:rsidRPr="00090F97">
        <w:rPr>
          <w:rFonts w:ascii="Arial" w:hAnsi="Arial" w:cs="Arial"/>
          <w:sz w:val="20"/>
          <w:szCs w:val="20"/>
        </w:rPr>
        <w:t>Stem cell therapies are garnering attention for treating knee injuries, particularly medial collateral ligament (MCL) injuries, which comprise 40% of knee ligament cases. Despite non-operative healing in isolated injuries, residual biomechanical issues can lead to chronic symptoms. Mesenchymal stem cells (MSCs) show potential by promoting healing through differentiation and neovascularization, though most evidence stems from animal models, lacking clinical translation. Meniscal injuries, especially in poorly vascularized areas, have also been treated with MSCs, with some human trials indicating improved outcomes after MSC injections. However, the evidence is inconsistent due to confounding surgical procedures and small sample sizes. For osteochondral defects, MSC applications combined with microfracture have demonstrated improved repair outcomes, albeit with methodological variability and few high-quality trials. Chondromalacia patella (CMP) therapy using MSCs is less established, with limited data mainly derived from related osteoarthritis treatments. Overall, while MSC therapies show biological promise, rigorous clinical validation is required before they can be endorsed as standard treatment for hip and knee trauma injuries.</w:t>
      </w:r>
    </w:p>
    <w:p w14:paraId="5263828A" w14:textId="39C68C33" w:rsidR="006D36D8" w:rsidRPr="00090F97" w:rsidRDefault="00976C96" w:rsidP="00090F97">
      <w:pPr>
        <w:spacing w:line="360" w:lineRule="auto"/>
        <w:ind w:firstLine="720"/>
        <w:jc w:val="both"/>
        <w:rPr>
          <w:rFonts w:ascii="Arial" w:hAnsi="Arial" w:cs="Arial"/>
          <w:sz w:val="20"/>
          <w:szCs w:val="20"/>
          <w:vertAlign w:val="superscript"/>
        </w:rPr>
      </w:pPr>
      <w:r w:rsidRPr="00976C96">
        <w:rPr>
          <w:rFonts w:ascii="Arial" w:hAnsi="Arial" w:cs="Arial"/>
          <w:sz w:val="20"/>
          <w:szCs w:val="20"/>
        </w:rPr>
        <w:t>Mesenchymal stem cells (MSCs) are examined for their potential in orthop</w:t>
      </w:r>
      <w:r>
        <w:rPr>
          <w:rFonts w:ascii="Arial" w:hAnsi="Arial" w:cs="Arial"/>
          <w:sz w:val="20"/>
          <w:szCs w:val="20"/>
        </w:rPr>
        <w:t>a</w:t>
      </w:r>
      <w:r w:rsidRPr="00976C96">
        <w:rPr>
          <w:rFonts w:ascii="Arial" w:hAnsi="Arial" w:cs="Arial"/>
          <w:sz w:val="20"/>
          <w:szCs w:val="20"/>
        </w:rPr>
        <w:t>edic applications, namely their capacity to differentiate into diverse tissues and their immunomodulatory properties.  Notwithstanding encouraging animal research on osteoarthritis (OA), clinical results in humans are contradictory, with several trials lacking the definition of effective therapy parameters.  Although preliminary data indicates that MSC treatment is comparatively safe, rigorous randomized controlled studies are required to determine its effectiveness. Mixed results have been noted, with systematic evaluations challenging the standard application of MSCs due to inadequate long-term cell viability and inconsistencies in technological implementation</w:t>
      </w:r>
      <w:r w:rsidR="00692B29">
        <w:rPr>
          <w:rFonts w:ascii="Arial" w:hAnsi="Arial" w:cs="Arial"/>
          <w:sz w:val="20"/>
          <w:szCs w:val="20"/>
        </w:rPr>
        <w:t xml:space="preserve">. </w:t>
      </w:r>
      <w:r w:rsidRPr="00976C96">
        <w:rPr>
          <w:rFonts w:ascii="Arial" w:hAnsi="Arial" w:cs="Arial"/>
          <w:sz w:val="20"/>
          <w:szCs w:val="20"/>
        </w:rPr>
        <w:t>Moreover, MSCs present a risk for heterotopic ossification (HO), complicating their therapeutic application and requiring meticulous monitoring and additional investigation into their mechanistic functions in inflammation and ossification.</w:t>
      </w:r>
      <w:r w:rsidR="00692B29">
        <w:rPr>
          <w:rFonts w:ascii="Arial" w:hAnsi="Arial" w:cs="Arial"/>
          <w:sz w:val="20"/>
          <w:szCs w:val="20"/>
          <w:vertAlign w:val="superscript"/>
        </w:rPr>
        <w:t>46,</w:t>
      </w:r>
      <w:r w:rsidR="00794F4A">
        <w:rPr>
          <w:rFonts w:ascii="Arial" w:hAnsi="Arial" w:cs="Arial"/>
          <w:sz w:val="20"/>
          <w:szCs w:val="20"/>
          <w:vertAlign w:val="superscript"/>
        </w:rPr>
        <w:t>50,54</w:t>
      </w:r>
    </w:p>
    <w:p w14:paraId="4E8C470D" w14:textId="77777777" w:rsidR="00EF4E16" w:rsidRPr="00352B76" w:rsidRDefault="00EF4E16" w:rsidP="00EF4E16">
      <w:pPr>
        <w:spacing w:line="360" w:lineRule="auto"/>
        <w:rPr>
          <w:rFonts w:ascii="Arial" w:hAnsi="Arial" w:cs="Arial"/>
          <w:sz w:val="20"/>
          <w:szCs w:val="20"/>
          <w:lang w:val="en-US"/>
        </w:rPr>
      </w:pPr>
    </w:p>
    <w:p w14:paraId="104F03CD" w14:textId="7704BA48" w:rsidR="006B7246" w:rsidRPr="00EF4E16" w:rsidRDefault="00EF4E16" w:rsidP="004A5C27">
      <w:pPr>
        <w:spacing w:line="360" w:lineRule="auto"/>
        <w:rPr>
          <w:rFonts w:ascii="Arial" w:hAnsi="Arial" w:cs="Arial"/>
          <w:b/>
          <w:bCs/>
          <w:sz w:val="20"/>
          <w:szCs w:val="20"/>
          <w:lang w:val="en-US"/>
        </w:rPr>
      </w:pPr>
      <w:r w:rsidRPr="00EF4E16">
        <w:rPr>
          <w:rFonts w:ascii="Arial" w:hAnsi="Arial" w:cs="Arial"/>
          <w:b/>
          <w:bCs/>
          <w:sz w:val="20"/>
          <w:szCs w:val="20"/>
          <w:lang w:val="en-US"/>
        </w:rPr>
        <w:t>CONCLUSION</w:t>
      </w:r>
    </w:p>
    <w:p w14:paraId="7372C4F1" w14:textId="53CD245D" w:rsidR="004376FD" w:rsidRDefault="00CA3EA1" w:rsidP="00CA3EA1">
      <w:pPr>
        <w:spacing w:line="360" w:lineRule="auto"/>
        <w:ind w:firstLine="720"/>
        <w:jc w:val="both"/>
        <w:rPr>
          <w:rFonts w:ascii="Arial" w:hAnsi="Arial" w:cs="Arial"/>
          <w:sz w:val="20"/>
          <w:szCs w:val="20"/>
        </w:rPr>
      </w:pPr>
      <w:r w:rsidRPr="00CA3EA1">
        <w:rPr>
          <w:rFonts w:ascii="Arial" w:hAnsi="Arial" w:cs="Arial"/>
          <w:sz w:val="20"/>
          <w:szCs w:val="20"/>
        </w:rPr>
        <w:t xml:space="preserve">Stem cells are unique cells capable of differentiating into various types and self-renewal. They are classified as Totipotent, Pluripotent, Multipotent, and Oligopotent, and can be sourced from organs like bone marrow, amniotic cells, adipose tissue, umbilical cord, and placental tissue. In </w:t>
      </w:r>
      <w:proofErr w:type="spellStart"/>
      <w:r w:rsidRPr="00CA3EA1">
        <w:rPr>
          <w:rFonts w:ascii="Arial" w:hAnsi="Arial" w:cs="Arial"/>
          <w:sz w:val="20"/>
          <w:szCs w:val="20"/>
        </w:rPr>
        <w:t>orthopedics</w:t>
      </w:r>
      <w:proofErr w:type="spellEnd"/>
      <w:r w:rsidRPr="00CA3EA1">
        <w:rPr>
          <w:rFonts w:ascii="Arial" w:hAnsi="Arial" w:cs="Arial"/>
          <w:sz w:val="20"/>
          <w:szCs w:val="20"/>
        </w:rPr>
        <w:t xml:space="preserve">, stem cell therapy shows promise for bone health by facilitating new bone tissue formation, speeding healing, and minimizing complications. Both embryonic and adult stem cells are utilized in clinical practices for bone regeneration, cartilage repair, ligament and tendon repair, osteoporosis and osteoarthritis treatments, and spinal cord injury. However, potential complications include immunosuppressive effects, ectopic bone growth, and inflammatory reactions. Continued research is essential to validate the benefits and efficacy of stem cells, especially in </w:t>
      </w:r>
      <w:proofErr w:type="spellStart"/>
      <w:r w:rsidRPr="00CA3EA1">
        <w:rPr>
          <w:rFonts w:ascii="Arial" w:hAnsi="Arial" w:cs="Arial"/>
          <w:sz w:val="20"/>
          <w:szCs w:val="20"/>
        </w:rPr>
        <w:t>orthopedics</w:t>
      </w:r>
      <w:proofErr w:type="spellEnd"/>
      <w:r w:rsidR="00EF4E16" w:rsidRPr="00EF4E16">
        <w:rPr>
          <w:rFonts w:ascii="Arial" w:hAnsi="Arial" w:cs="Arial"/>
          <w:sz w:val="20"/>
          <w:szCs w:val="20"/>
        </w:rPr>
        <w:t>.</w:t>
      </w:r>
    </w:p>
    <w:p w14:paraId="0DEFC029" w14:textId="77777777" w:rsidR="00EF4E16" w:rsidRPr="00EF4E16" w:rsidRDefault="00EF4E16" w:rsidP="004A5C27">
      <w:pPr>
        <w:spacing w:line="360" w:lineRule="auto"/>
        <w:rPr>
          <w:rFonts w:ascii="Arial" w:hAnsi="Arial" w:cs="Arial"/>
          <w:sz w:val="20"/>
          <w:szCs w:val="20"/>
          <w:lang w:val="en-US"/>
        </w:rPr>
      </w:pPr>
    </w:p>
    <w:p w14:paraId="21A16BA3" w14:textId="65918055" w:rsidR="00EF4E16" w:rsidRPr="00DC5D34" w:rsidRDefault="00DC5D34" w:rsidP="004A5C27">
      <w:pPr>
        <w:spacing w:line="360" w:lineRule="auto"/>
        <w:rPr>
          <w:rFonts w:ascii="Arial" w:hAnsi="Arial" w:cs="Arial"/>
          <w:b/>
          <w:bCs/>
          <w:sz w:val="20"/>
          <w:szCs w:val="20"/>
          <w:lang w:val="en-US"/>
        </w:rPr>
      </w:pPr>
      <w:r>
        <w:rPr>
          <w:rFonts w:ascii="Arial" w:hAnsi="Arial" w:cs="Arial"/>
          <w:b/>
          <w:bCs/>
          <w:sz w:val="20"/>
          <w:szCs w:val="20"/>
          <w:lang w:val="en-US"/>
        </w:rPr>
        <w:t>REFERENCES</w:t>
      </w:r>
    </w:p>
    <w:p w14:paraId="57F1B2FF" w14:textId="2A44F75A"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Goulian AJ et al. Advancements in Regenerative Therapies for Orthopedics. J Clin Med. 2025;14(6):2061.</w:t>
      </w:r>
      <w:r w:rsidR="003D1E40">
        <w:rPr>
          <w:rFonts w:ascii="Arial" w:hAnsi="Arial" w:cs="Arial"/>
          <w:noProof/>
          <w:kern w:val="0"/>
          <w:sz w:val="20"/>
          <w:szCs w:val="20"/>
        </w:rPr>
        <w:t xml:space="preserve"> </w:t>
      </w:r>
      <w:hyperlink r:id="rId10" w:history="1">
        <w:r w:rsidR="003D1E40" w:rsidRPr="00A950AC">
          <w:rPr>
            <w:rStyle w:val="Hyperlink"/>
            <w:rFonts w:ascii="Arial" w:hAnsi="Arial" w:cs="Arial"/>
            <w:noProof/>
            <w:kern w:val="0"/>
            <w:sz w:val="20"/>
            <w:szCs w:val="20"/>
          </w:rPr>
          <w:t>https://doi.org/10.3390/jcm14062061</w:t>
        </w:r>
      </w:hyperlink>
      <w:r w:rsidR="003D1E40">
        <w:rPr>
          <w:rFonts w:ascii="Arial" w:hAnsi="Arial" w:cs="Arial"/>
          <w:noProof/>
          <w:kern w:val="0"/>
          <w:sz w:val="20"/>
          <w:szCs w:val="20"/>
        </w:rPr>
        <w:t xml:space="preserve"> </w:t>
      </w:r>
    </w:p>
    <w:p w14:paraId="6E6CCA95" w14:textId="0B670DBB"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Wang J et al. Advances in cell therapy for orthopedic diseases. Front Immunol. 2025;16:1567640.</w:t>
      </w:r>
      <w:r w:rsidR="00E262EB">
        <w:rPr>
          <w:rFonts w:ascii="Arial" w:hAnsi="Arial" w:cs="Arial"/>
          <w:noProof/>
          <w:kern w:val="0"/>
          <w:sz w:val="20"/>
          <w:szCs w:val="20"/>
        </w:rPr>
        <w:t xml:space="preserve"> </w:t>
      </w:r>
      <w:hyperlink r:id="rId11" w:history="1">
        <w:r w:rsidR="00E262EB" w:rsidRPr="00A950AC">
          <w:rPr>
            <w:rStyle w:val="Hyperlink"/>
            <w:rFonts w:ascii="Arial" w:hAnsi="Arial" w:cs="Arial"/>
            <w:noProof/>
            <w:kern w:val="0"/>
            <w:sz w:val="20"/>
            <w:szCs w:val="20"/>
          </w:rPr>
          <w:t>https://doi.org/10.3389/fimmu.2025.1567640</w:t>
        </w:r>
      </w:hyperlink>
      <w:r w:rsidR="00E262EB">
        <w:rPr>
          <w:rFonts w:ascii="Arial" w:hAnsi="Arial" w:cs="Arial"/>
          <w:noProof/>
          <w:kern w:val="0"/>
          <w:sz w:val="20"/>
          <w:szCs w:val="20"/>
        </w:rPr>
        <w:t xml:space="preserve"> </w:t>
      </w:r>
    </w:p>
    <w:p w14:paraId="5EA4B030" w14:textId="25A0259D"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Thurairajah K et al. Stem cell therapy for fracture non-union: a systematic review. J Orthop Surg (Hong Kong). 2021;29(3):23094990211036545.</w:t>
      </w:r>
      <w:r w:rsidR="003D1E40">
        <w:rPr>
          <w:rFonts w:ascii="Arial" w:hAnsi="Arial" w:cs="Arial"/>
          <w:noProof/>
          <w:kern w:val="0"/>
          <w:sz w:val="20"/>
          <w:szCs w:val="20"/>
        </w:rPr>
        <w:t xml:space="preserve"> </w:t>
      </w:r>
      <w:hyperlink r:id="rId12" w:history="1">
        <w:r w:rsidR="00E262EB" w:rsidRPr="00A950AC">
          <w:rPr>
            <w:rStyle w:val="Hyperlink"/>
            <w:rFonts w:ascii="Arial" w:hAnsi="Arial" w:cs="Arial"/>
            <w:noProof/>
            <w:kern w:val="0"/>
            <w:sz w:val="20"/>
            <w:szCs w:val="20"/>
          </w:rPr>
          <w:t>https://doi.org/10.1177/23094990211036545</w:t>
        </w:r>
      </w:hyperlink>
      <w:r w:rsidR="00E262EB">
        <w:rPr>
          <w:rFonts w:ascii="Arial" w:hAnsi="Arial" w:cs="Arial"/>
          <w:noProof/>
          <w:kern w:val="0"/>
          <w:sz w:val="20"/>
          <w:szCs w:val="20"/>
        </w:rPr>
        <w:t xml:space="preserve"> </w:t>
      </w:r>
      <w:r w:rsidR="003D1E40">
        <w:rPr>
          <w:rFonts w:ascii="Arial" w:hAnsi="Arial" w:cs="Arial"/>
          <w:noProof/>
          <w:kern w:val="0"/>
          <w:sz w:val="20"/>
          <w:szCs w:val="20"/>
        </w:rPr>
        <w:t xml:space="preserve"> </w:t>
      </w:r>
    </w:p>
    <w:p w14:paraId="6F07F73A" w14:textId="2C58954B"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Wyles CC et al. Adipose-derived mesenchymal stem cells are biologically distinct from bone marrow-derived mesenchymal stem cells and may be a more efficient cell source for certain indications. Clin Orthop Relat Res. 2015;473:254–262.</w:t>
      </w:r>
      <w:r w:rsidR="003D1E40">
        <w:rPr>
          <w:rFonts w:ascii="Arial" w:hAnsi="Arial" w:cs="Arial"/>
          <w:noProof/>
          <w:kern w:val="0"/>
          <w:sz w:val="20"/>
          <w:szCs w:val="20"/>
        </w:rPr>
        <w:t xml:space="preserve"> </w:t>
      </w:r>
    </w:p>
    <w:p w14:paraId="1FA46B73" w14:textId="02AD16E1"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Dekoninck S, Blanpain C. Stem cell dynamics, migration and plasticity during wound healing. Nat Cell Biol. 2019 Jan 2;21(1):18–24. </w:t>
      </w:r>
      <w:r w:rsidR="00E262EB">
        <w:rPr>
          <w:rFonts w:ascii="Arial" w:hAnsi="Arial" w:cs="Arial"/>
          <w:noProof/>
          <w:kern w:val="0"/>
          <w:sz w:val="20"/>
          <w:szCs w:val="20"/>
        </w:rPr>
        <w:t xml:space="preserve"> </w:t>
      </w:r>
      <w:hyperlink r:id="rId13" w:history="1">
        <w:r w:rsidR="00E262EB" w:rsidRPr="00A950AC">
          <w:rPr>
            <w:rStyle w:val="Hyperlink"/>
            <w:rFonts w:ascii="Arial" w:hAnsi="Arial" w:cs="Arial"/>
            <w:noProof/>
            <w:kern w:val="0"/>
            <w:sz w:val="20"/>
            <w:szCs w:val="20"/>
          </w:rPr>
          <w:t>https://doi.org/10.1038/s41556-018-0237-6</w:t>
        </w:r>
      </w:hyperlink>
      <w:r w:rsidR="00E262EB">
        <w:rPr>
          <w:rFonts w:ascii="Arial" w:hAnsi="Arial" w:cs="Arial"/>
          <w:noProof/>
          <w:kern w:val="0"/>
          <w:sz w:val="20"/>
          <w:szCs w:val="20"/>
        </w:rPr>
        <w:t xml:space="preserve"> </w:t>
      </w:r>
    </w:p>
    <w:p w14:paraId="01BAEC87" w14:textId="66611FCD"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Zakrzewski W, Dobrzyński M, Szymonowicz M, Rybak Z. Stem cells: past, present, and future. Stem Cell Res Ther. 2019 Dec 26;10(1):68. </w:t>
      </w:r>
      <w:r w:rsidR="00E262EB">
        <w:rPr>
          <w:rFonts w:ascii="Arial" w:hAnsi="Arial" w:cs="Arial"/>
          <w:noProof/>
          <w:kern w:val="0"/>
          <w:sz w:val="20"/>
          <w:szCs w:val="20"/>
        </w:rPr>
        <w:t xml:space="preserve"> </w:t>
      </w:r>
      <w:hyperlink r:id="rId14" w:history="1">
        <w:r w:rsidR="00E262EB" w:rsidRPr="00A950AC">
          <w:rPr>
            <w:rStyle w:val="Hyperlink"/>
            <w:rFonts w:ascii="Arial" w:hAnsi="Arial" w:cs="Arial"/>
            <w:noProof/>
            <w:kern w:val="0"/>
            <w:sz w:val="20"/>
            <w:szCs w:val="20"/>
          </w:rPr>
          <w:t>https://doi.org/10.1186/s13287-019-1165-5</w:t>
        </w:r>
      </w:hyperlink>
      <w:r w:rsidR="00E262EB">
        <w:rPr>
          <w:rFonts w:ascii="Arial" w:hAnsi="Arial" w:cs="Arial"/>
          <w:noProof/>
          <w:kern w:val="0"/>
          <w:sz w:val="20"/>
          <w:szCs w:val="20"/>
        </w:rPr>
        <w:t xml:space="preserve"> </w:t>
      </w:r>
    </w:p>
    <w:p w14:paraId="7B10B109" w14:textId="1C987D2C"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Comazzetto S, Shen B, Morrison SJ. Niches that regulate stem cells and hematopoiesis in adult bone marrow. Dev Cell. 2021 Jul;56(13):1848–60.</w:t>
      </w:r>
      <w:r w:rsidR="00E262EB">
        <w:rPr>
          <w:rFonts w:ascii="Arial" w:hAnsi="Arial" w:cs="Arial"/>
          <w:noProof/>
          <w:kern w:val="0"/>
          <w:sz w:val="20"/>
          <w:szCs w:val="20"/>
        </w:rPr>
        <w:t xml:space="preserve"> </w:t>
      </w:r>
      <w:hyperlink r:id="rId15" w:history="1">
        <w:r w:rsidR="00E262EB" w:rsidRPr="00A950AC">
          <w:rPr>
            <w:rStyle w:val="Hyperlink"/>
            <w:rFonts w:ascii="Arial" w:hAnsi="Arial" w:cs="Arial"/>
            <w:noProof/>
            <w:kern w:val="0"/>
            <w:sz w:val="20"/>
            <w:szCs w:val="20"/>
          </w:rPr>
          <w:t>https://doi.org/10.1016/j.devcel.2021.05.018</w:t>
        </w:r>
      </w:hyperlink>
      <w:r w:rsidR="00E262EB">
        <w:rPr>
          <w:rFonts w:ascii="Arial" w:hAnsi="Arial" w:cs="Arial"/>
          <w:noProof/>
          <w:kern w:val="0"/>
          <w:sz w:val="20"/>
          <w:szCs w:val="20"/>
        </w:rPr>
        <w:t xml:space="preserve"> </w:t>
      </w:r>
    </w:p>
    <w:p w14:paraId="4A6496BD" w14:textId="17F271DD"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Venkei ZG, Yamashita YM. Emerging mechanisms of asymmetric stem cell division. Journal of Cell Biology. 2018 Nov 5;217(11):3785–95. </w:t>
      </w:r>
      <w:r w:rsidR="00E262EB">
        <w:rPr>
          <w:rFonts w:ascii="Arial" w:hAnsi="Arial" w:cs="Arial"/>
          <w:noProof/>
          <w:kern w:val="0"/>
          <w:sz w:val="20"/>
          <w:szCs w:val="20"/>
        </w:rPr>
        <w:t xml:space="preserve"> </w:t>
      </w:r>
      <w:hyperlink r:id="rId16" w:history="1">
        <w:r w:rsidR="00E262EB" w:rsidRPr="00A950AC">
          <w:rPr>
            <w:rStyle w:val="Hyperlink"/>
            <w:rFonts w:ascii="Arial" w:hAnsi="Arial" w:cs="Arial"/>
            <w:noProof/>
            <w:kern w:val="0"/>
            <w:sz w:val="20"/>
            <w:szCs w:val="20"/>
          </w:rPr>
          <w:t>https://doi.org/10.1083/jcb.201807037</w:t>
        </w:r>
      </w:hyperlink>
      <w:r w:rsidR="00E262EB">
        <w:rPr>
          <w:rFonts w:ascii="Arial" w:hAnsi="Arial" w:cs="Arial"/>
          <w:noProof/>
          <w:kern w:val="0"/>
          <w:sz w:val="20"/>
          <w:szCs w:val="20"/>
        </w:rPr>
        <w:t xml:space="preserve"> </w:t>
      </w:r>
    </w:p>
    <w:p w14:paraId="0FF7B3CB" w14:textId="43F5AC4E"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Liu QW, Huang QM, Wu HY, Zuo GSL, Gu HC, Deng KY, et al. Characteristics and Therapeutic Potential of Human Amnion-Derived Stem Cells. Int J Mol Sci. 2021 Jan 19;22(2):970</w:t>
      </w:r>
      <w:r w:rsidR="00E262EB">
        <w:rPr>
          <w:rFonts w:ascii="Arial" w:hAnsi="Arial" w:cs="Arial"/>
          <w:noProof/>
          <w:kern w:val="0"/>
          <w:sz w:val="20"/>
          <w:szCs w:val="20"/>
        </w:rPr>
        <w:t xml:space="preserve"> </w:t>
      </w:r>
      <w:hyperlink r:id="rId17" w:history="1">
        <w:r w:rsidR="00E262EB" w:rsidRPr="00A950AC">
          <w:rPr>
            <w:rStyle w:val="Hyperlink"/>
            <w:rFonts w:ascii="Arial" w:hAnsi="Arial" w:cs="Arial"/>
            <w:noProof/>
            <w:kern w:val="0"/>
            <w:sz w:val="20"/>
            <w:szCs w:val="20"/>
          </w:rPr>
          <w:t>https://doi.org/10.3390/ijms22020970</w:t>
        </w:r>
      </w:hyperlink>
      <w:r w:rsidR="00E262EB">
        <w:rPr>
          <w:rFonts w:ascii="Arial" w:hAnsi="Arial" w:cs="Arial"/>
          <w:noProof/>
          <w:kern w:val="0"/>
          <w:sz w:val="20"/>
          <w:szCs w:val="20"/>
        </w:rPr>
        <w:t xml:space="preserve"> </w:t>
      </w:r>
      <w:r w:rsidRPr="006E113A">
        <w:rPr>
          <w:rFonts w:ascii="Arial" w:hAnsi="Arial" w:cs="Arial"/>
          <w:noProof/>
          <w:kern w:val="0"/>
          <w:sz w:val="20"/>
          <w:szCs w:val="20"/>
        </w:rPr>
        <w:t xml:space="preserve">. </w:t>
      </w:r>
    </w:p>
    <w:p w14:paraId="2CB93223" w14:textId="7A925DC8" w:rsidR="006E113A" w:rsidRPr="006E113A" w:rsidRDefault="006E113A" w:rsidP="003D1E40">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Mazini L, Rochette L, Amine M, Malka G. Regenerative Capacity of Adipose Derived Stem Cells (ADSCs), Comparison with Mesenchymal Stem Cells (MSCs). Int J Mol Sci. 2019 May 22;20(10):2523. </w:t>
      </w:r>
      <w:r w:rsidR="00E262EB">
        <w:rPr>
          <w:rFonts w:ascii="Arial" w:hAnsi="Arial" w:cs="Arial"/>
          <w:noProof/>
          <w:kern w:val="0"/>
          <w:sz w:val="20"/>
          <w:szCs w:val="20"/>
        </w:rPr>
        <w:t xml:space="preserve"> </w:t>
      </w:r>
      <w:hyperlink r:id="rId18" w:history="1">
        <w:r w:rsidR="00E262EB" w:rsidRPr="00A950AC">
          <w:rPr>
            <w:rStyle w:val="Hyperlink"/>
            <w:rFonts w:ascii="Arial" w:hAnsi="Arial" w:cs="Arial"/>
            <w:noProof/>
            <w:kern w:val="0"/>
            <w:sz w:val="20"/>
            <w:szCs w:val="20"/>
          </w:rPr>
          <w:t>https://doi.org/10.3390/ijms20102523</w:t>
        </w:r>
      </w:hyperlink>
      <w:r w:rsidR="00E262EB">
        <w:rPr>
          <w:rFonts w:ascii="Arial" w:hAnsi="Arial" w:cs="Arial"/>
          <w:noProof/>
          <w:kern w:val="0"/>
          <w:sz w:val="20"/>
          <w:szCs w:val="20"/>
        </w:rPr>
        <w:t xml:space="preserve"> </w:t>
      </w:r>
    </w:p>
    <w:p w14:paraId="57C535D1" w14:textId="12180EB5"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Dave SD, Vanikar A V., Trivedi HL, Thakkar UG, Gopal SC, Chandra T. Novel therapy for insulin-dependent diabetes mellitus: infusion of in vitro-generated insulin-secreting cells. Clin Exp Med. 2015 Feb 7;15(1):41–5. </w:t>
      </w:r>
      <w:r w:rsidR="00D07B7F">
        <w:rPr>
          <w:rFonts w:ascii="Arial" w:hAnsi="Arial" w:cs="Arial"/>
          <w:noProof/>
          <w:kern w:val="0"/>
          <w:sz w:val="20"/>
          <w:szCs w:val="20"/>
        </w:rPr>
        <w:t xml:space="preserve"> </w:t>
      </w:r>
      <w:hyperlink r:id="rId19" w:history="1">
        <w:r w:rsidR="00D07B7F" w:rsidRPr="00A950AC">
          <w:rPr>
            <w:rStyle w:val="Hyperlink"/>
            <w:rFonts w:ascii="Arial" w:hAnsi="Arial" w:cs="Arial"/>
            <w:noProof/>
            <w:kern w:val="0"/>
            <w:sz w:val="20"/>
            <w:szCs w:val="20"/>
          </w:rPr>
          <w:t>https://doi.org/10.1007/s10238-013-0266-1</w:t>
        </w:r>
      </w:hyperlink>
      <w:r w:rsidR="00D07B7F">
        <w:rPr>
          <w:rFonts w:ascii="Arial" w:hAnsi="Arial" w:cs="Arial"/>
          <w:noProof/>
          <w:kern w:val="0"/>
          <w:sz w:val="20"/>
          <w:szCs w:val="20"/>
        </w:rPr>
        <w:t xml:space="preserve"> </w:t>
      </w:r>
    </w:p>
    <w:p w14:paraId="43AE693E" w14:textId="27C3A270"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Stepien A, Dabrowska NL, Maciagowska M, Macoch RP, Zolocinska A, Mazur S, et al. Clinical Application of Autologous Adipose Stem Cells in Patients with Multiple Sclerosis: Preliminary Results. Mediators Inflamm. 2016;2016:1–5. </w:t>
      </w:r>
      <w:r w:rsidR="00D07B7F">
        <w:rPr>
          <w:rFonts w:ascii="Arial" w:hAnsi="Arial" w:cs="Arial"/>
          <w:noProof/>
          <w:kern w:val="0"/>
          <w:sz w:val="20"/>
          <w:szCs w:val="20"/>
        </w:rPr>
        <w:t xml:space="preserve"> </w:t>
      </w:r>
      <w:hyperlink r:id="rId20" w:history="1">
        <w:r w:rsidR="00D07B7F" w:rsidRPr="00A950AC">
          <w:rPr>
            <w:rStyle w:val="Hyperlink"/>
            <w:rFonts w:ascii="Arial" w:hAnsi="Arial" w:cs="Arial"/>
            <w:noProof/>
            <w:kern w:val="0"/>
            <w:sz w:val="20"/>
            <w:szCs w:val="20"/>
          </w:rPr>
          <w:t>https://doi.org/10.1155/2016/5302120</w:t>
        </w:r>
      </w:hyperlink>
      <w:r w:rsidR="00D07B7F">
        <w:rPr>
          <w:rFonts w:ascii="Arial" w:hAnsi="Arial" w:cs="Arial"/>
          <w:noProof/>
          <w:kern w:val="0"/>
          <w:sz w:val="20"/>
          <w:szCs w:val="20"/>
        </w:rPr>
        <w:t xml:space="preserve"> </w:t>
      </w:r>
    </w:p>
    <w:p w14:paraId="150852F5" w14:textId="4BFF4142"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Jaing TH. Umbilical Cord Blood: A Trustworthy Source o</w:t>
      </w:r>
      <w:r w:rsidR="00D07B7F">
        <w:rPr>
          <w:rFonts w:ascii="Arial" w:hAnsi="Arial" w:cs="Arial"/>
          <w:noProof/>
          <w:kern w:val="0"/>
          <w:sz w:val="20"/>
          <w:szCs w:val="20"/>
        </w:rPr>
        <w:t xml:space="preserve"> </w:t>
      </w:r>
      <w:r w:rsidRPr="006E113A">
        <w:rPr>
          <w:rFonts w:ascii="Arial" w:hAnsi="Arial" w:cs="Arial"/>
          <w:noProof/>
          <w:kern w:val="0"/>
          <w:sz w:val="20"/>
          <w:szCs w:val="20"/>
        </w:rPr>
        <w:t xml:space="preserve">f Multipotent Stem Cells for Regenerative Medicine. Cell Transplant. 2014 May 1;23(4–5):493–6. </w:t>
      </w:r>
      <w:r w:rsidR="00D07B7F">
        <w:rPr>
          <w:rFonts w:ascii="Arial" w:hAnsi="Arial" w:cs="Arial"/>
          <w:noProof/>
          <w:kern w:val="0"/>
          <w:sz w:val="20"/>
          <w:szCs w:val="20"/>
        </w:rPr>
        <w:t xml:space="preserve"> </w:t>
      </w:r>
      <w:hyperlink r:id="rId21" w:history="1">
        <w:r w:rsidR="00D07B7F" w:rsidRPr="00A950AC">
          <w:rPr>
            <w:rStyle w:val="Hyperlink"/>
            <w:rFonts w:ascii="Arial" w:hAnsi="Arial" w:cs="Arial"/>
            <w:noProof/>
            <w:kern w:val="0"/>
            <w:sz w:val="20"/>
            <w:szCs w:val="20"/>
          </w:rPr>
          <w:t>https://doi.org/10.3727/096368914X678300</w:t>
        </w:r>
      </w:hyperlink>
      <w:r w:rsidR="00D07B7F">
        <w:rPr>
          <w:rFonts w:ascii="Arial" w:hAnsi="Arial" w:cs="Arial"/>
          <w:noProof/>
          <w:kern w:val="0"/>
          <w:sz w:val="20"/>
          <w:szCs w:val="20"/>
        </w:rPr>
        <w:t xml:space="preserve"> </w:t>
      </w:r>
    </w:p>
    <w:p w14:paraId="7B6335E6" w14:textId="7003BF86"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Roura S, Pujal JM, Gálvez-Montón C, Bayes-Genis A. Impact of Umbilical Cord Blood-Derived Mesenchymal Stem Cells on Cardiovascular Research. Biomed Res Int. 2015;2015:1–6.</w:t>
      </w:r>
      <w:r w:rsidR="00D07B7F">
        <w:rPr>
          <w:rFonts w:ascii="Arial" w:hAnsi="Arial" w:cs="Arial"/>
          <w:noProof/>
          <w:kern w:val="0"/>
          <w:sz w:val="20"/>
          <w:szCs w:val="20"/>
        </w:rPr>
        <w:t xml:space="preserve"> </w:t>
      </w:r>
      <w:hyperlink r:id="rId22" w:history="1">
        <w:r w:rsidR="00D07B7F" w:rsidRPr="00A950AC">
          <w:rPr>
            <w:rStyle w:val="Hyperlink"/>
            <w:rFonts w:ascii="Arial" w:hAnsi="Arial" w:cs="Arial"/>
            <w:noProof/>
            <w:kern w:val="0"/>
            <w:sz w:val="20"/>
            <w:szCs w:val="20"/>
          </w:rPr>
          <w:t>https://doi.org/10.1155/2015/975302</w:t>
        </w:r>
      </w:hyperlink>
      <w:r w:rsidR="00D07B7F">
        <w:rPr>
          <w:rFonts w:ascii="Arial" w:hAnsi="Arial" w:cs="Arial"/>
          <w:noProof/>
          <w:kern w:val="0"/>
          <w:sz w:val="20"/>
          <w:szCs w:val="20"/>
        </w:rPr>
        <w:t xml:space="preserve"> </w:t>
      </w:r>
    </w:p>
    <w:p w14:paraId="2817C1E6" w14:textId="5FB3D7BA"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Antoniadou E, David AL. Placental stem cells. Best Pract Res Clin Obstet Gynaecol. 2016 Feb;31:13–</w:t>
      </w:r>
      <w:r w:rsidRPr="006E113A">
        <w:rPr>
          <w:rFonts w:ascii="Arial" w:hAnsi="Arial" w:cs="Arial"/>
          <w:noProof/>
          <w:kern w:val="0"/>
          <w:sz w:val="20"/>
          <w:szCs w:val="20"/>
        </w:rPr>
        <w:lastRenderedPageBreak/>
        <w:t xml:space="preserve">29. </w:t>
      </w:r>
      <w:r w:rsidR="00D07B7F">
        <w:rPr>
          <w:rFonts w:ascii="Arial" w:hAnsi="Arial" w:cs="Arial"/>
          <w:noProof/>
          <w:kern w:val="0"/>
          <w:sz w:val="20"/>
          <w:szCs w:val="20"/>
        </w:rPr>
        <w:t xml:space="preserve"> </w:t>
      </w:r>
      <w:hyperlink r:id="rId23" w:history="1">
        <w:r w:rsidR="00D07B7F" w:rsidRPr="00A950AC">
          <w:rPr>
            <w:rStyle w:val="Hyperlink"/>
            <w:rFonts w:ascii="Arial" w:hAnsi="Arial" w:cs="Arial"/>
            <w:noProof/>
            <w:kern w:val="0"/>
            <w:sz w:val="20"/>
            <w:szCs w:val="20"/>
          </w:rPr>
          <w:t>https://doi.org/10.1016/j.bpobgyn.2015.08.014</w:t>
        </w:r>
      </w:hyperlink>
      <w:r w:rsidR="00D07B7F">
        <w:rPr>
          <w:rFonts w:ascii="Arial" w:hAnsi="Arial" w:cs="Arial"/>
          <w:noProof/>
          <w:kern w:val="0"/>
          <w:sz w:val="20"/>
          <w:szCs w:val="20"/>
        </w:rPr>
        <w:t xml:space="preserve"> </w:t>
      </w:r>
    </w:p>
    <w:p w14:paraId="32766C72" w14:textId="2D6219B5"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lang w:val="nl-NL"/>
        </w:rPr>
      </w:pPr>
      <w:r w:rsidRPr="006E113A">
        <w:rPr>
          <w:rFonts w:ascii="Arial" w:hAnsi="Arial" w:cs="Arial"/>
          <w:noProof/>
          <w:kern w:val="0"/>
          <w:sz w:val="20"/>
          <w:szCs w:val="20"/>
        </w:rPr>
        <w:t xml:space="preserve">Lin JS, Zhou L, Sagayaraj A, Jumat NHB, Choolani M, Chan JKY, et al. Hepatic differentiation of human amniotic epithelial cells and in vivo therapeutic effect on animal model of cirrhosis. </w:t>
      </w:r>
      <w:r w:rsidRPr="006E113A">
        <w:rPr>
          <w:rFonts w:ascii="Arial" w:hAnsi="Arial" w:cs="Arial"/>
          <w:noProof/>
          <w:kern w:val="0"/>
          <w:sz w:val="20"/>
          <w:szCs w:val="20"/>
          <w:lang w:val="nl-NL"/>
        </w:rPr>
        <w:t xml:space="preserve">J Gastroenterol Hepatol. 2015 Nov 12;30(11):1673–82. </w:t>
      </w:r>
      <w:r w:rsidR="00D07B7F">
        <w:rPr>
          <w:rFonts w:ascii="Arial" w:hAnsi="Arial" w:cs="Arial"/>
          <w:noProof/>
          <w:kern w:val="0"/>
          <w:sz w:val="20"/>
          <w:szCs w:val="20"/>
          <w:lang w:val="nl-NL"/>
        </w:rPr>
        <w:t xml:space="preserve"> </w:t>
      </w:r>
      <w:hyperlink r:id="rId24" w:history="1">
        <w:r w:rsidR="00D07B7F" w:rsidRPr="00A950AC">
          <w:rPr>
            <w:rStyle w:val="Hyperlink"/>
            <w:rFonts w:ascii="Arial" w:hAnsi="Arial" w:cs="Arial"/>
            <w:noProof/>
            <w:kern w:val="0"/>
            <w:sz w:val="20"/>
            <w:szCs w:val="20"/>
            <w:lang w:val="nl-NL"/>
          </w:rPr>
          <w:t>https://doi.org/10.1111/jgh.12991</w:t>
        </w:r>
      </w:hyperlink>
      <w:r w:rsidR="00D07B7F">
        <w:rPr>
          <w:rFonts w:ascii="Arial" w:hAnsi="Arial" w:cs="Arial"/>
          <w:noProof/>
          <w:kern w:val="0"/>
          <w:sz w:val="20"/>
          <w:szCs w:val="20"/>
          <w:lang w:val="nl-NL"/>
        </w:rPr>
        <w:t xml:space="preserve">  </w:t>
      </w:r>
    </w:p>
    <w:p w14:paraId="042B2DBB" w14:textId="2E69C93A"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Nevala-Plagemann C, Lee C, Tolar J. Placenta-based therapies for the treatment of epidermolysis bullosa. Cytotherapy. 2015 Jun;17(6):786–95. </w:t>
      </w:r>
      <w:hyperlink r:id="rId25" w:history="1">
        <w:r w:rsidR="00D07B7F" w:rsidRPr="00A950AC">
          <w:rPr>
            <w:rStyle w:val="Hyperlink"/>
            <w:rFonts w:ascii="Arial" w:hAnsi="Arial" w:cs="Arial"/>
            <w:noProof/>
            <w:kern w:val="0"/>
            <w:sz w:val="20"/>
            <w:szCs w:val="20"/>
          </w:rPr>
          <w:t>https://doi.org/10.1016/j.jcyt.2015.03.006</w:t>
        </w:r>
      </w:hyperlink>
      <w:r w:rsidR="00D07B7F">
        <w:rPr>
          <w:rFonts w:ascii="Arial" w:hAnsi="Arial" w:cs="Arial"/>
          <w:noProof/>
          <w:kern w:val="0"/>
          <w:sz w:val="20"/>
          <w:szCs w:val="20"/>
        </w:rPr>
        <w:t xml:space="preserve"> </w:t>
      </w:r>
    </w:p>
    <w:p w14:paraId="07860A05" w14:textId="603D0BE9"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Guilak F, Sandell LJ, Huard J. Special Issue on Stem Cells. Department of Orthopaedic Surgery, Washington University, St. Louis, Missouri, Shriners Hospitals for Children. Journal of Orthopaedic Research. 2019 Jun 17;37(6):1209–11. </w:t>
      </w:r>
      <w:r w:rsidR="00D07B7F">
        <w:rPr>
          <w:rFonts w:ascii="Arial" w:hAnsi="Arial" w:cs="Arial"/>
          <w:noProof/>
          <w:kern w:val="0"/>
          <w:sz w:val="20"/>
          <w:szCs w:val="20"/>
        </w:rPr>
        <w:t xml:space="preserve"> </w:t>
      </w:r>
      <w:hyperlink r:id="rId26" w:history="1">
        <w:r w:rsidR="00D07B7F" w:rsidRPr="00A950AC">
          <w:rPr>
            <w:rStyle w:val="Hyperlink"/>
            <w:rFonts w:ascii="Arial" w:hAnsi="Arial" w:cs="Arial"/>
            <w:noProof/>
            <w:kern w:val="0"/>
            <w:sz w:val="20"/>
            <w:szCs w:val="20"/>
          </w:rPr>
          <w:t>https://doi.org/10.1002/jor.24338</w:t>
        </w:r>
      </w:hyperlink>
      <w:r w:rsidR="00D07B7F">
        <w:rPr>
          <w:rFonts w:ascii="Arial" w:hAnsi="Arial" w:cs="Arial"/>
          <w:noProof/>
          <w:kern w:val="0"/>
          <w:sz w:val="20"/>
          <w:szCs w:val="20"/>
        </w:rPr>
        <w:t xml:space="preserve"> </w:t>
      </w:r>
    </w:p>
    <w:p w14:paraId="3C3B264D" w14:textId="59716837"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Robinson PG, Murray IR, West CC, Goudie EB, Yong LY, White TO, et al. Reporting of Mesenchymal Stem Cell Preparation Protocols and Composition: A Systematic Review of the Clinical Orthopaedic Literature. Am J Sports Med. 2019 Mar 19;47(4):991–1000</w:t>
      </w:r>
      <w:r w:rsidR="00D07B7F">
        <w:rPr>
          <w:rFonts w:ascii="Arial" w:hAnsi="Arial" w:cs="Arial"/>
          <w:noProof/>
          <w:kern w:val="0"/>
          <w:sz w:val="20"/>
          <w:szCs w:val="20"/>
        </w:rPr>
        <w:t xml:space="preserve"> </w:t>
      </w:r>
      <w:hyperlink r:id="rId27" w:history="1">
        <w:r w:rsidR="00D07B7F" w:rsidRPr="00A950AC">
          <w:rPr>
            <w:rStyle w:val="Hyperlink"/>
            <w:rFonts w:ascii="Arial" w:hAnsi="Arial" w:cs="Arial"/>
            <w:noProof/>
            <w:kern w:val="0"/>
            <w:sz w:val="20"/>
            <w:szCs w:val="20"/>
          </w:rPr>
          <w:t>https://doi.org/10.1177/0363546518758667</w:t>
        </w:r>
      </w:hyperlink>
      <w:r w:rsidR="00D07B7F">
        <w:rPr>
          <w:rFonts w:ascii="Arial" w:hAnsi="Arial" w:cs="Arial"/>
          <w:noProof/>
          <w:kern w:val="0"/>
          <w:sz w:val="20"/>
          <w:szCs w:val="20"/>
        </w:rPr>
        <w:t xml:space="preserve"> </w:t>
      </w:r>
    </w:p>
    <w:p w14:paraId="44393290" w14:textId="4110FC13" w:rsidR="006E113A" w:rsidRPr="006E113A" w:rsidRDefault="006E113A" w:rsidP="00D07B7F">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Shahriyari L, Komarova NL. Symmetric vs. Asymmetric Stem Cell Divisions: An Adaptation against Cancer? PLoS One. 2013 Oct 29;8(10):e76195. </w:t>
      </w:r>
      <w:hyperlink r:id="rId28" w:history="1">
        <w:r w:rsidR="00D07B7F" w:rsidRPr="00A950AC">
          <w:rPr>
            <w:rStyle w:val="Hyperlink"/>
            <w:rFonts w:ascii="Arial" w:hAnsi="Arial" w:cs="Arial"/>
            <w:noProof/>
            <w:kern w:val="0"/>
            <w:sz w:val="20"/>
            <w:szCs w:val="20"/>
          </w:rPr>
          <w:t>https://doi.org/10.1371/journal.pone.0076195</w:t>
        </w:r>
      </w:hyperlink>
      <w:r w:rsidR="00D07B7F">
        <w:rPr>
          <w:rFonts w:ascii="Arial" w:hAnsi="Arial" w:cs="Arial"/>
          <w:noProof/>
          <w:kern w:val="0"/>
          <w:sz w:val="20"/>
          <w:szCs w:val="20"/>
        </w:rPr>
        <w:t xml:space="preserve"> </w:t>
      </w:r>
    </w:p>
    <w:p w14:paraId="615588F0" w14:textId="362CAF60"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Aldahmash A, Atteya M, Elsafadi M, Al-Nbaheen M, Al-Mubarak HA, Vishnubalaji R, et al. Teratoma Formation in Immunocompetent Mice After Syngeneic and Allogeneic Implantation of Germline Capable Mouse Embryonic Stem Cells. Asian Pacific Journal of Cancer Prevention. 2013 Oct 30;14(10):5705–11. </w:t>
      </w:r>
      <w:r w:rsidR="00903FD4">
        <w:rPr>
          <w:rFonts w:ascii="Arial" w:hAnsi="Arial" w:cs="Arial"/>
          <w:noProof/>
          <w:kern w:val="0"/>
          <w:sz w:val="20"/>
          <w:szCs w:val="20"/>
        </w:rPr>
        <w:t xml:space="preserve"> </w:t>
      </w:r>
      <w:hyperlink r:id="rId29" w:history="1">
        <w:r w:rsidR="00903FD4" w:rsidRPr="00A950AC">
          <w:rPr>
            <w:rStyle w:val="Hyperlink"/>
            <w:rFonts w:ascii="Arial" w:hAnsi="Arial" w:cs="Arial"/>
            <w:noProof/>
            <w:kern w:val="0"/>
            <w:sz w:val="20"/>
            <w:szCs w:val="20"/>
          </w:rPr>
          <w:t>https://doi.org/10.7314/apjcp.2013.14.10.5705</w:t>
        </w:r>
      </w:hyperlink>
      <w:r w:rsidR="00903FD4">
        <w:rPr>
          <w:rFonts w:ascii="Arial" w:hAnsi="Arial" w:cs="Arial"/>
          <w:noProof/>
          <w:kern w:val="0"/>
          <w:sz w:val="20"/>
          <w:szCs w:val="20"/>
        </w:rPr>
        <w:t xml:space="preserve"> </w:t>
      </w:r>
    </w:p>
    <w:p w14:paraId="29735C18" w14:textId="6F69536F"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Colosimo A, Rofani C, Ciraci E, Salerno A, Oliviero M, Maio E Di, et al. Osteogenic differentiation of CD271(+) cells from rabbit bone marrow cultured on three phase PCL/TZ-HA bioactive scaffolds: comparative study with mesenchymal stem cells (MSCs). Int J Clin Exp Med. 2015;8(8):13154–62. </w:t>
      </w:r>
      <w:r w:rsidR="00903FD4">
        <w:rPr>
          <w:rFonts w:ascii="Arial" w:hAnsi="Arial" w:cs="Arial"/>
          <w:noProof/>
          <w:kern w:val="0"/>
          <w:sz w:val="20"/>
          <w:szCs w:val="20"/>
        </w:rPr>
        <w:t xml:space="preserve"> </w:t>
      </w:r>
      <w:hyperlink r:id="rId30" w:history="1">
        <w:r w:rsidR="00903FD4" w:rsidRPr="00A950AC">
          <w:rPr>
            <w:rStyle w:val="Hyperlink"/>
            <w:rFonts w:ascii="Arial" w:hAnsi="Arial" w:cs="Arial"/>
            <w:noProof/>
            <w:kern w:val="0"/>
            <w:sz w:val="20"/>
            <w:szCs w:val="20"/>
          </w:rPr>
          <w:t>https://pubmed.ncbi.nlm.nih.gov/26550238/</w:t>
        </w:r>
      </w:hyperlink>
      <w:r w:rsidR="00903FD4">
        <w:rPr>
          <w:rFonts w:ascii="Arial" w:hAnsi="Arial" w:cs="Arial"/>
          <w:noProof/>
          <w:kern w:val="0"/>
          <w:sz w:val="20"/>
          <w:szCs w:val="20"/>
        </w:rPr>
        <w:t xml:space="preserve"> </w:t>
      </w:r>
    </w:p>
    <w:p w14:paraId="49A0D6B1" w14:textId="3B606E50"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lang w:val="de-DE"/>
        </w:rPr>
        <w:t xml:space="preserve">Anderson DJ, Gage FH, Weissman IL. </w:t>
      </w:r>
      <w:r w:rsidRPr="006E113A">
        <w:rPr>
          <w:rFonts w:ascii="Arial" w:hAnsi="Arial" w:cs="Arial"/>
          <w:noProof/>
          <w:kern w:val="0"/>
          <w:sz w:val="20"/>
          <w:szCs w:val="20"/>
        </w:rPr>
        <w:t xml:space="preserve">Can stem cells cross lineage boundaries? Nat Med. 2001 Apr 1;7(4):393–5. </w:t>
      </w:r>
      <w:r w:rsidR="00903FD4">
        <w:rPr>
          <w:rFonts w:ascii="Arial" w:hAnsi="Arial" w:cs="Arial"/>
          <w:noProof/>
          <w:kern w:val="0"/>
          <w:sz w:val="20"/>
          <w:szCs w:val="20"/>
        </w:rPr>
        <w:t xml:space="preserve">  </w:t>
      </w:r>
      <w:hyperlink r:id="rId31" w:history="1">
        <w:r w:rsidR="00903FD4" w:rsidRPr="00A950AC">
          <w:rPr>
            <w:rStyle w:val="Hyperlink"/>
            <w:rFonts w:ascii="Arial" w:hAnsi="Arial" w:cs="Arial"/>
            <w:noProof/>
            <w:kern w:val="0"/>
            <w:sz w:val="20"/>
            <w:szCs w:val="20"/>
          </w:rPr>
          <w:t>https://doi.org/10.1038/86439</w:t>
        </w:r>
      </w:hyperlink>
      <w:r w:rsidR="00903FD4">
        <w:rPr>
          <w:rFonts w:ascii="Arial" w:hAnsi="Arial" w:cs="Arial"/>
          <w:noProof/>
          <w:kern w:val="0"/>
          <w:sz w:val="20"/>
          <w:szCs w:val="20"/>
        </w:rPr>
        <w:t xml:space="preserve"> </w:t>
      </w:r>
    </w:p>
    <w:p w14:paraId="3A591333" w14:textId="402BF54C"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Zhou Y jing, Liu J min, Wei S ming, Zhang Y hao, Qu Z hua, Chen S bo. Propofol promotes spinal cord injury repair by bone marrow mesenchymal stem cell transplantation. Neural Regen Res. 2015;10(8):1305.</w:t>
      </w:r>
      <w:r w:rsidR="00903FD4">
        <w:rPr>
          <w:rFonts w:ascii="Arial" w:hAnsi="Arial" w:cs="Arial"/>
          <w:noProof/>
          <w:kern w:val="0"/>
          <w:sz w:val="20"/>
          <w:szCs w:val="20"/>
        </w:rPr>
        <w:t xml:space="preserve"> </w:t>
      </w:r>
      <w:hyperlink r:id="rId32" w:history="1">
        <w:r w:rsidR="00903FD4" w:rsidRPr="00A950AC">
          <w:rPr>
            <w:rStyle w:val="Hyperlink"/>
            <w:rFonts w:ascii="Arial" w:hAnsi="Arial" w:cs="Arial"/>
            <w:noProof/>
            <w:kern w:val="0"/>
            <w:sz w:val="20"/>
            <w:szCs w:val="20"/>
          </w:rPr>
          <w:t>https://doi.org/10.4103/1673-5374.162765</w:t>
        </w:r>
      </w:hyperlink>
      <w:r w:rsidR="00903FD4">
        <w:rPr>
          <w:rFonts w:ascii="Arial" w:hAnsi="Arial" w:cs="Arial"/>
          <w:noProof/>
          <w:kern w:val="0"/>
          <w:sz w:val="20"/>
          <w:szCs w:val="20"/>
        </w:rPr>
        <w:t xml:space="preserve"> </w:t>
      </w:r>
    </w:p>
    <w:p w14:paraId="06426FA3" w14:textId="1D7C9666"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Saether EE, Chamberlain CS, Aktas E, Leiferman EM, Brickson SL, Vanderby R. Primed Mesenchymal Stem Cells Alter and Improve Rat Medial Collateral Ligament Healing. Stem Cell Rev Rep. 2016 Feb 4;12(1):42–53.</w:t>
      </w:r>
      <w:r w:rsidR="00903FD4">
        <w:rPr>
          <w:rFonts w:ascii="Arial" w:hAnsi="Arial" w:cs="Arial"/>
          <w:noProof/>
          <w:kern w:val="0"/>
          <w:sz w:val="20"/>
          <w:szCs w:val="20"/>
        </w:rPr>
        <w:t xml:space="preserve"> </w:t>
      </w:r>
      <w:hyperlink r:id="rId33" w:history="1">
        <w:r w:rsidR="00903FD4" w:rsidRPr="00A950AC">
          <w:rPr>
            <w:rStyle w:val="Hyperlink"/>
            <w:rFonts w:ascii="Arial" w:hAnsi="Arial" w:cs="Arial"/>
            <w:noProof/>
            <w:kern w:val="0"/>
            <w:sz w:val="20"/>
            <w:szCs w:val="20"/>
          </w:rPr>
          <w:t>https://doi.org/10.1007/s12015-015-9633-5</w:t>
        </w:r>
      </w:hyperlink>
      <w:r w:rsidR="00903FD4">
        <w:rPr>
          <w:rFonts w:ascii="Arial" w:hAnsi="Arial" w:cs="Arial"/>
          <w:noProof/>
          <w:kern w:val="0"/>
          <w:sz w:val="20"/>
          <w:szCs w:val="20"/>
        </w:rPr>
        <w:t xml:space="preserve"> </w:t>
      </w:r>
    </w:p>
    <w:p w14:paraId="3DC1671A" w14:textId="4A44D19E"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Arjmand B, Sarvari M, Alavi-Moghadam S, Payab M, Goodarzi P, Gilany K, et al. Prospect of Stem Cell Therapy and Regenerative Medicine in Osteoporosis. Front Endocrinol (Lausanne). 2020 Jul 3;11. </w:t>
      </w:r>
      <w:r w:rsidR="00903FD4">
        <w:rPr>
          <w:rFonts w:ascii="Arial" w:hAnsi="Arial" w:cs="Arial"/>
          <w:noProof/>
          <w:kern w:val="0"/>
          <w:sz w:val="20"/>
          <w:szCs w:val="20"/>
        </w:rPr>
        <w:t xml:space="preserve"> </w:t>
      </w:r>
      <w:hyperlink r:id="rId34" w:history="1">
        <w:r w:rsidR="00903FD4" w:rsidRPr="00A950AC">
          <w:rPr>
            <w:rStyle w:val="Hyperlink"/>
            <w:rFonts w:ascii="Arial" w:hAnsi="Arial" w:cs="Arial"/>
            <w:noProof/>
            <w:kern w:val="0"/>
            <w:sz w:val="20"/>
            <w:szCs w:val="20"/>
          </w:rPr>
          <w:t>https://doi.org/10.3389/fendo.2020.00430</w:t>
        </w:r>
      </w:hyperlink>
      <w:r w:rsidR="00903FD4">
        <w:rPr>
          <w:rFonts w:ascii="Arial" w:hAnsi="Arial" w:cs="Arial"/>
          <w:noProof/>
          <w:kern w:val="0"/>
          <w:sz w:val="20"/>
          <w:szCs w:val="20"/>
        </w:rPr>
        <w:t xml:space="preserve"> </w:t>
      </w:r>
    </w:p>
    <w:p w14:paraId="3F9D34B3" w14:textId="1D63C0C9"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Sozen T, Ozisik L, Calik Basaran N. An overview and management of osteoporosis. Eur J Rheumatol. 2017 Mar 1;4(1):46–56. </w:t>
      </w:r>
      <w:r w:rsidR="00903FD4">
        <w:rPr>
          <w:rFonts w:ascii="Arial" w:hAnsi="Arial" w:cs="Arial"/>
          <w:noProof/>
          <w:kern w:val="0"/>
          <w:sz w:val="20"/>
          <w:szCs w:val="20"/>
        </w:rPr>
        <w:t xml:space="preserve"> </w:t>
      </w:r>
      <w:hyperlink r:id="rId35" w:history="1">
        <w:r w:rsidR="00903FD4" w:rsidRPr="00A950AC">
          <w:rPr>
            <w:rStyle w:val="Hyperlink"/>
            <w:rFonts w:ascii="Arial" w:hAnsi="Arial" w:cs="Arial"/>
            <w:noProof/>
            <w:kern w:val="0"/>
            <w:sz w:val="20"/>
            <w:szCs w:val="20"/>
          </w:rPr>
          <w:t>https://doi.org/10.5152/eurjrheum.2016.048</w:t>
        </w:r>
      </w:hyperlink>
      <w:r w:rsidR="00903FD4">
        <w:rPr>
          <w:rFonts w:ascii="Arial" w:hAnsi="Arial" w:cs="Arial"/>
          <w:noProof/>
          <w:kern w:val="0"/>
          <w:sz w:val="20"/>
          <w:szCs w:val="20"/>
        </w:rPr>
        <w:t xml:space="preserve"> </w:t>
      </w:r>
    </w:p>
    <w:p w14:paraId="0CFB9238" w14:textId="1445C486"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Gan Y, Dai K, Zhang P, Tang T, Zhu Z, Lu J. The clinical use of enriched bone marrow stem cells combined with porous beta-tricalcium phosphate in posterior spinal fusion. Biomaterials. 2008 </w:t>
      </w:r>
      <w:r w:rsidRPr="006E113A">
        <w:rPr>
          <w:rFonts w:ascii="Arial" w:hAnsi="Arial" w:cs="Arial"/>
          <w:noProof/>
          <w:kern w:val="0"/>
          <w:sz w:val="20"/>
          <w:szCs w:val="20"/>
        </w:rPr>
        <w:lastRenderedPageBreak/>
        <w:t xml:space="preserve">Oct;29(29):3973–82. </w:t>
      </w:r>
      <w:r w:rsidR="00903FD4">
        <w:rPr>
          <w:rFonts w:ascii="Arial" w:hAnsi="Arial" w:cs="Arial"/>
          <w:noProof/>
          <w:kern w:val="0"/>
          <w:sz w:val="20"/>
          <w:szCs w:val="20"/>
        </w:rPr>
        <w:t xml:space="preserve"> </w:t>
      </w:r>
      <w:hyperlink r:id="rId36" w:history="1">
        <w:r w:rsidR="00903FD4" w:rsidRPr="00A950AC">
          <w:rPr>
            <w:rStyle w:val="Hyperlink"/>
            <w:rFonts w:ascii="Arial" w:hAnsi="Arial" w:cs="Arial"/>
            <w:noProof/>
            <w:kern w:val="0"/>
            <w:sz w:val="20"/>
            <w:szCs w:val="20"/>
          </w:rPr>
          <w:t>https://doi.org/10.1016/j.biomaterials.2008.06.026</w:t>
        </w:r>
      </w:hyperlink>
      <w:r w:rsidR="00903FD4">
        <w:rPr>
          <w:rFonts w:ascii="Arial" w:hAnsi="Arial" w:cs="Arial"/>
          <w:noProof/>
          <w:kern w:val="0"/>
          <w:sz w:val="20"/>
          <w:szCs w:val="20"/>
        </w:rPr>
        <w:t xml:space="preserve"> </w:t>
      </w:r>
    </w:p>
    <w:p w14:paraId="2A2523FE" w14:textId="5622EC56"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Shimomura K, Ando W, Fujie H, Hart DA, Yoshikawa H, Nakamura N. Scaffold-free tissue engineering for injured joint surface restoration. J Exp Orthop. 2018 Dec 5;5(1):2.</w:t>
      </w:r>
      <w:r w:rsidR="00903FD4">
        <w:rPr>
          <w:rFonts w:ascii="Arial" w:hAnsi="Arial" w:cs="Arial"/>
          <w:noProof/>
          <w:kern w:val="0"/>
          <w:sz w:val="20"/>
          <w:szCs w:val="20"/>
        </w:rPr>
        <w:t xml:space="preserve"> </w:t>
      </w:r>
      <w:hyperlink r:id="rId37" w:history="1">
        <w:r w:rsidR="00903FD4" w:rsidRPr="00A950AC">
          <w:rPr>
            <w:rStyle w:val="Hyperlink"/>
            <w:rFonts w:ascii="Arial" w:hAnsi="Arial" w:cs="Arial"/>
            <w:noProof/>
            <w:kern w:val="0"/>
            <w:sz w:val="20"/>
            <w:szCs w:val="20"/>
          </w:rPr>
          <w:t>https://doi.org/10.1186/s40634-017-0118-0</w:t>
        </w:r>
      </w:hyperlink>
      <w:r w:rsidR="00903FD4">
        <w:rPr>
          <w:rFonts w:ascii="Arial" w:hAnsi="Arial" w:cs="Arial"/>
          <w:noProof/>
          <w:kern w:val="0"/>
          <w:sz w:val="20"/>
          <w:szCs w:val="20"/>
        </w:rPr>
        <w:t xml:space="preserve"> </w:t>
      </w:r>
      <w:r w:rsidRPr="006E113A">
        <w:rPr>
          <w:rFonts w:ascii="Arial" w:hAnsi="Arial" w:cs="Arial"/>
          <w:noProof/>
          <w:kern w:val="0"/>
          <w:sz w:val="20"/>
          <w:szCs w:val="20"/>
        </w:rPr>
        <w:t xml:space="preserve"> </w:t>
      </w:r>
    </w:p>
    <w:p w14:paraId="6DE2A335" w14:textId="6516F2FE"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Baroncini A, et al. </w:t>
      </w:r>
      <w:r w:rsidRPr="006E113A">
        <w:rPr>
          <w:rFonts w:ascii="Arial" w:hAnsi="Arial" w:cs="Arial"/>
          <w:i/>
          <w:iCs/>
          <w:noProof/>
          <w:kern w:val="0"/>
          <w:sz w:val="20"/>
          <w:szCs w:val="20"/>
        </w:rPr>
        <w:t>Mesenchymal stem cell applications in spine disorders.</w:t>
      </w:r>
      <w:r w:rsidRPr="006E113A">
        <w:rPr>
          <w:rFonts w:ascii="Arial" w:hAnsi="Arial" w:cs="Arial"/>
          <w:noProof/>
          <w:kern w:val="0"/>
          <w:sz w:val="20"/>
          <w:szCs w:val="20"/>
        </w:rPr>
        <w:t xml:space="preserve"> Appl Sci. 2021;11(17):7966.</w:t>
      </w:r>
      <w:r w:rsidR="00903FD4">
        <w:rPr>
          <w:rFonts w:ascii="Arial" w:hAnsi="Arial" w:cs="Arial"/>
          <w:noProof/>
          <w:kern w:val="0"/>
          <w:sz w:val="20"/>
          <w:szCs w:val="20"/>
        </w:rPr>
        <w:t xml:space="preserve"> </w:t>
      </w:r>
      <w:hyperlink r:id="rId38" w:history="1">
        <w:r w:rsidR="00903FD4" w:rsidRPr="00A950AC">
          <w:rPr>
            <w:rStyle w:val="Hyperlink"/>
            <w:rFonts w:ascii="Arial" w:hAnsi="Arial" w:cs="Arial"/>
            <w:noProof/>
            <w:kern w:val="0"/>
            <w:sz w:val="20"/>
            <w:szCs w:val="20"/>
          </w:rPr>
          <w:t>https://doi.org/10.3390/app11177966</w:t>
        </w:r>
      </w:hyperlink>
      <w:r w:rsidR="00903FD4">
        <w:rPr>
          <w:rFonts w:ascii="Arial" w:hAnsi="Arial" w:cs="Arial"/>
          <w:noProof/>
          <w:kern w:val="0"/>
          <w:sz w:val="20"/>
          <w:szCs w:val="20"/>
        </w:rPr>
        <w:t xml:space="preserve"> </w:t>
      </w:r>
    </w:p>
    <w:p w14:paraId="2A9C2396" w14:textId="58CC8A3D"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Zhang W, et al. </w:t>
      </w:r>
      <w:r w:rsidRPr="006E113A">
        <w:rPr>
          <w:rFonts w:ascii="Arial" w:hAnsi="Arial" w:cs="Arial"/>
          <w:i/>
          <w:iCs/>
          <w:noProof/>
          <w:kern w:val="0"/>
          <w:sz w:val="20"/>
          <w:szCs w:val="20"/>
        </w:rPr>
        <w:t>Mesenchymal stem cells can improve discogenic pain in patients with intervertebral disc degeneration: a systematic review and meta-analysis.</w:t>
      </w:r>
      <w:r w:rsidRPr="006E113A">
        <w:rPr>
          <w:rFonts w:ascii="Arial" w:hAnsi="Arial" w:cs="Arial"/>
          <w:noProof/>
          <w:kern w:val="0"/>
          <w:sz w:val="20"/>
          <w:szCs w:val="20"/>
        </w:rPr>
        <w:t xml:space="preserve"> Front Bioeng Biotechnol. 2023;11:1155357.</w:t>
      </w:r>
      <w:r w:rsidR="00903FD4">
        <w:rPr>
          <w:rFonts w:ascii="Arial" w:hAnsi="Arial" w:cs="Arial"/>
          <w:noProof/>
          <w:kern w:val="0"/>
          <w:sz w:val="20"/>
          <w:szCs w:val="20"/>
        </w:rPr>
        <w:t xml:space="preserve">  </w:t>
      </w:r>
      <w:hyperlink r:id="rId39" w:history="1">
        <w:r w:rsidR="00903FD4" w:rsidRPr="00A950AC">
          <w:rPr>
            <w:rStyle w:val="Hyperlink"/>
            <w:rFonts w:ascii="Arial" w:hAnsi="Arial" w:cs="Arial"/>
            <w:noProof/>
            <w:kern w:val="0"/>
            <w:sz w:val="20"/>
            <w:szCs w:val="20"/>
          </w:rPr>
          <w:t>https://doi.org/10.3389/fbioe.2023.1155357</w:t>
        </w:r>
      </w:hyperlink>
      <w:r w:rsidR="00903FD4">
        <w:rPr>
          <w:rFonts w:ascii="Arial" w:hAnsi="Arial" w:cs="Arial"/>
          <w:noProof/>
          <w:kern w:val="0"/>
          <w:sz w:val="20"/>
          <w:szCs w:val="20"/>
        </w:rPr>
        <w:t xml:space="preserve"> </w:t>
      </w:r>
    </w:p>
    <w:p w14:paraId="430E0ABB" w14:textId="76C31D98"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Brodano GB, Cappuccio M, Gasbarrini A, et al. Human mesenchymal stem cells and biomaterials interaction: a promising synergy for spinal fusion. </w:t>
      </w:r>
      <w:r w:rsidRPr="006E113A">
        <w:rPr>
          <w:rFonts w:ascii="Arial" w:hAnsi="Arial" w:cs="Arial"/>
          <w:i/>
          <w:iCs/>
          <w:noProof/>
          <w:kern w:val="0"/>
          <w:sz w:val="20"/>
          <w:szCs w:val="20"/>
        </w:rPr>
        <w:t>Eur Spine J.</w:t>
      </w:r>
      <w:r w:rsidRPr="006E113A">
        <w:rPr>
          <w:rFonts w:ascii="Arial" w:hAnsi="Arial" w:cs="Arial"/>
          <w:noProof/>
          <w:kern w:val="0"/>
          <w:sz w:val="20"/>
          <w:szCs w:val="20"/>
        </w:rPr>
        <w:t xml:space="preserve"> 2012;21(Suppl 1):S3–S9.</w:t>
      </w:r>
      <w:r w:rsidR="00903FD4">
        <w:rPr>
          <w:rFonts w:ascii="Arial" w:hAnsi="Arial" w:cs="Arial"/>
          <w:noProof/>
          <w:kern w:val="0"/>
          <w:sz w:val="20"/>
          <w:szCs w:val="20"/>
        </w:rPr>
        <w:t xml:space="preserve"> </w:t>
      </w:r>
      <w:hyperlink r:id="rId40" w:history="1">
        <w:r w:rsidR="00903FD4" w:rsidRPr="00A950AC">
          <w:rPr>
            <w:rStyle w:val="Hyperlink"/>
            <w:rFonts w:ascii="Arial" w:hAnsi="Arial" w:cs="Arial"/>
            <w:noProof/>
            <w:kern w:val="0"/>
            <w:sz w:val="20"/>
            <w:szCs w:val="20"/>
          </w:rPr>
          <w:t>https://doi.org/10.1007/s00586-012-2233-z</w:t>
        </w:r>
      </w:hyperlink>
      <w:r w:rsidR="00903FD4">
        <w:rPr>
          <w:rFonts w:ascii="Arial" w:hAnsi="Arial" w:cs="Arial"/>
          <w:noProof/>
          <w:kern w:val="0"/>
          <w:sz w:val="20"/>
          <w:szCs w:val="20"/>
        </w:rPr>
        <w:t xml:space="preserve"> </w:t>
      </w:r>
    </w:p>
    <w:p w14:paraId="0CBE8E97" w14:textId="30B8B8C4"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Lin H, Sohn J, Shen H, et al. Efficient in vivo bone formation by BMP-2 engineered human mesenchymal stem cells encapsulated in a projection stereolithographically fabricated hydrogel scaffold. Stem Cell Res Ther. 2019;10:254.</w:t>
      </w:r>
      <w:r w:rsidR="00903FD4">
        <w:rPr>
          <w:rFonts w:ascii="Arial" w:hAnsi="Arial" w:cs="Arial"/>
          <w:noProof/>
          <w:kern w:val="0"/>
          <w:sz w:val="20"/>
          <w:szCs w:val="20"/>
        </w:rPr>
        <w:t xml:space="preserve"> </w:t>
      </w:r>
      <w:hyperlink r:id="rId41" w:history="1">
        <w:r w:rsidR="00903FD4" w:rsidRPr="00A950AC">
          <w:rPr>
            <w:rStyle w:val="Hyperlink"/>
            <w:rFonts w:ascii="Arial" w:hAnsi="Arial" w:cs="Arial"/>
            <w:noProof/>
            <w:kern w:val="0"/>
            <w:sz w:val="20"/>
            <w:szCs w:val="20"/>
          </w:rPr>
          <w:t>https://doi.org/10.1186/s13287-019-1350-6</w:t>
        </w:r>
      </w:hyperlink>
      <w:r w:rsidR="00903FD4">
        <w:rPr>
          <w:rFonts w:ascii="Arial" w:hAnsi="Arial" w:cs="Arial"/>
          <w:noProof/>
          <w:kern w:val="0"/>
          <w:sz w:val="20"/>
          <w:szCs w:val="20"/>
        </w:rPr>
        <w:t xml:space="preserve"> </w:t>
      </w:r>
    </w:p>
    <w:p w14:paraId="0570E47E" w14:textId="25093BAB"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Orozco L, Soler R, Morera C, Alberca M, Sánchez A, García-Sancho J. Intervertebral disc repair by autologous mesenchymal bone marrow cells: a pilot study. Transplantation. 2011;92(7):822–8.</w:t>
      </w:r>
      <w:r w:rsidR="00903FD4">
        <w:rPr>
          <w:rFonts w:ascii="Arial" w:hAnsi="Arial" w:cs="Arial"/>
          <w:noProof/>
          <w:kern w:val="0"/>
          <w:sz w:val="20"/>
          <w:szCs w:val="20"/>
        </w:rPr>
        <w:t xml:space="preserve"> </w:t>
      </w:r>
      <w:hyperlink r:id="rId42" w:history="1">
        <w:r w:rsidR="00903FD4" w:rsidRPr="00A950AC">
          <w:rPr>
            <w:rStyle w:val="Hyperlink"/>
            <w:rFonts w:ascii="Arial" w:hAnsi="Arial" w:cs="Arial"/>
            <w:noProof/>
            <w:kern w:val="0"/>
            <w:sz w:val="20"/>
            <w:szCs w:val="20"/>
          </w:rPr>
          <w:t>https://doi.org/10.1097/TP.0b013e3182298a15</w:t>
        </w:r>
      </w:hyperlink>
      <w:r w:rsidR="00903FD4">
        <w:rPr>
          <w:rFonts w:ascii="Arial" w:hAnsi="Arial" w:cs="Arial"/>
          <w:noProof/>
          <w:kern w:val="0"/>
          <w:sz w:val="20"/>
          <w:szCs w:val="20"/>
        </w:rPr>
        <w:t xml:space="preserve"> </w:t>
      </w:r>
      <w:r w:rsidR="0045226F">
        <w:rPr>
          <w:rFonts w:ascii="Arial" w:hAnsi="Arial" w:cs="Arial"/>
          <w:noProof/>
          <w:kern w:val="0"/>
          <w:sz w:val="20"/>
          <w:szCs w:val="20"/>
        </w:rPr>
        <w:tab/>
      </w:r>
    </w:p>
    <w:p w14:paraId="56FA5AA3" w14:textId="6370DC26"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Wei A, Shen B, Williams L, Diwan A. Mesenchymal stem cells: potential application in intervertebral disc regeneration. Transl Pediatr. 2014;3(2):71–90.</w:t>
      </w:r>
      <w:r w:rsidR="0045226F">
        <w:rPr>
          <w:rFonts w:ascii="Arial" w:hAnsi="Arial" w:cs="Arial"/>
          <w:noProof/>
          <w:kern w:val="0"/>
          <w:sz w:val="20"/>
          <w:szCs w:val="20"/>
        </w:rPr>
        <w:t xml:space="preserve"> </w:t>
      </w:r>
      <w:hyperlink r:id="rId43" w:history="1">
        <w:r w:rsidR="0045226F" w:rsidRPr="00A950AC">
          <w:rPr>
            <w:rStyle w:val="Hyperlink"/>
            <w:rFonts w:ascii="Arial" w:hAnsi="Arial" w:cs="Arial"/>
            <w:noProof/>
            <w:kern w:val="0"/>
            <w:sz w:val="20"/>
            <w:szCs w:val="20"/>
          </w:rPr>
          <w:t>https://doi.org/10.3978/j.issn.2224-4336.2014.03.05</w:t>
        </w:r>
      </w:hyperlink>
      <w:r w:rsidR="0045226F">
        <w:rPr>
          <w:rFonts w:ascii="Arial" w:hAnsi="Arial" w:cs="Arial"/>
          <w:noProof/>
          <w:kern w:val="0"/>
          <w:sz w:val="20"/>
          <w:szCs w:val="20"/>
        </w:rPr>
        <w:t xml:space="preserve"> </w:t>
      </w:r>
    </w:p>
    <w:p w14:paraId="5D740724" w14:textId="4983146A"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Liau LL, Looi QH, Chia WC, Subramaniam T, Ng MH, Law JX. Treatment of spinal cord injury with mesenchymal stem cells. </w:t>
      </w:r>
      <w:r w:rsidRPr="006E113A">
        <w:rPr>
          <w:rFonts w:ascii="Arial" w:hAnsi="Arial" w:cs="Arial"/>
          <w:i/>
          <w:iCs/>
          <w:noProof/>
          <w:kern w:val="0"/>
          <w:sz w:val="20"/>
          <w:szCs w:val="20"/>
        </w:rPr>
        <w:t>Cell Biosci.</w:t>
      </w:r>
      <w:r w:rsidRPr="006E113A">
        <w:rPr>
          <w:rFonts w:ascii="Arial" w:hAnsi="Arial" w:cs="Arial"/>
          <w:noProof/>
          <w:kern w:val="0"/>
          <w:sz w:val="20"/>
          <w:szCs w:val="20"/>
        </w:rPr>
        <w:t xml:space="preserve"> 2020;10:112.</w:t>
      </w:r>
      <w:r w:rsidR="0045226F">
        <w:rPr>
          <w:rFonts w:ascii="Arial" w:hAnsi="Arial" w:cs="Arial"/>
          <w:noProof/>
          <w:kern w:val="0"/>
          <w:sz w:val="20"/>
          <w:szCs w:val="20"/>
        </w:rPr>
        <w:t xml:space="preserve"> </w:t>
      </w:r>
      <w:hyperlink r:id="rId44" w:history="1">
        <w:r w:rsidR="0045226F" w:rsidRPr="00A950AC">
          <w:rPr>
            <w:rStyle w:val="Hyperlink"/>
            <w:rFonts w:ascii="Arial" w:hAnsi="Arial" w:cs="Arial"/>
            <w:noProof/>
            <w:kern w:val="0"/>
            <w:sz w:val="20"/>
            <w:szCs w:val="20"/>
          </w:rPr>
          <w:t>https://doi.org/10.1186/s13578-020-00475-3</w:t>
        </w:r>
      </w:hyperlink>
      <w:r w:rsidR="0045226F">
        <w:rPr>
          <w:rFonts w:ascii="Arial" w:hAnsi="Arial" w:cs="Arial"/>
          <w:noProof/>
          <w:kern w:val="0"/>
          <w:sz w:val="20"/>
          <w:szCs w:val="20"/>
        </w:rPr>
        <w:t xml:space="preserve"> </w:t>
      </w:r>
    </w:p>
    <w:p w14:paraId="4742C772" w14:textId="4DD9D58E"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 xml:space="preserve">Assinck P, Duncan GJ, Hilton BJ, Plemel JR, Tetzlaff W. Cell transplantation therapy for spinal cord injury. </w:t>
      </w:r>
      <w:r w:rsidRPr="006E113A">
        <w:rPr>
          <w:rFonts w:ascii="Arial" w:hAnsi="Arial" w:cs="Arial"/>
          <w:i/>
          <w:iCs/>
          <w:noProof/>
          <w:kern w:val="0"/>
          <w:sz w:val="20"/>
          <w:szCs w:val="20"/>
        </w:rPr>
        <w:t>Nat Neurosci.</w:t>
      </w:r>
      <w:r w:rsidRPr="006E113A">
        <w:rPr>
          <w:rFonts w:ascii="Arial" w:hAnsi="Arial" w:cs="Arial"/>
          <w:noProof/>
          <w:kern w:val="0"/>
          <w:sz w:val="20"/>
          <w:szCs w:val="20"/>
        </w:rPr>
        <w:t xml:space="preserve"> 2017;20(5):637–47.</w:t>
      </w:r>
      <w:r w:rsidR="00B25B4A">
        <w:rPr>
          <w:rFonts w:ascii="Arial" w:hAnsi="Arial" w:cs="Arial"/>
          <w:noProof/>
          <w:kern w:val="0"/>
          <w:sz w:val="20"/>
          <w:szCs w:val="20"/>
        </w:rPr>
        <w:t xml:space="preserve"> </w:t>
      </w:r>
      <w:hyperlink r:id="rId45" w:history="1">
        <w:r w:rsidR="00B25B4A" w:rsidRPr="00A950AC">
          <w:rPr>
            <w:rStyle w:val="Hyperlink"/>
            <w:rFonts w:ascii="Arial" w:hAnsi="Arial" w:cs="Arial"/>
            <w:noProof/>
            <w:kern w:val="0"/>
            <w:sz w:val="20"/>
            <w:szCs w:val="20"/>
          </w:rPr>
          <w:t>https://doi.org/10.1038/nn.4541</w:t>
        </w:r>
      </w:hyperlink>
      <w:r w:rsidR="00B25B4A">
        <w:rPr>
          <w:rFonts w:ascii="Arial" w:hAnsi="Arial" w:cs="Arial"/>
          <w:noProof/>
          <w:kern w:val="0"/>
          <w:sz w:val="20"/>
          <w:szCs w:val="20"/>
        </w:rPr>
        <w:t xml:space="preserve"> </w:t>
      </w:r>
    </w:p>
    <w:p w14:paraId="67EA324F" w14:textId="235C40AB"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Giampietro PF, Raggio CL, Blank RD, McCarty C, Broeckel U, Pickart MA, et al. Congenital and idiopathic scoliosis: clinical and genetic aspects. Clin Med Res. 2003;1(2):125–36.</w:t>
      </w:r>
      <w:r w:rsidR="00B25B4A">
        <w:rPr>
          <w:rFonts w:ascii="Arial" w:hAnsi="Arial" w:cs="Arial"/>
          <w:noProof/>
          <w:kern w:val="0"/>
          <w:sz w:val="20"/>
          <w:szCs w:val="20"/>
        </w:rPr>
        <w:t xml:space="preserve"> </w:t>
      </w:r>
      <w:hyperlink r:id="rId46" w:history="1">
        <w:r w:rsidR="00B25B4A" w:rsidRPr="00A950AC">
          <w:rPr>
            <w:rStyle w:val="Hyperlink"/>
            <w:rFonts w:ascii="Arial" w:hAnsi="Arial" w:cs="Arial"/>
            <w:noProof/>
            <w:kern w:val="0"/>
            <w:sz w:val="20"/>
            <w:szCs w:val="20"/>
          </w:rPr>
          <w:t>https://doi.org/10.3121/cmr.1.2.125</w:t>
        </w:r>
      </w:hyperlink>
      <w:r w:rsidR="00B25B4A">
        <w:rPr>
          <w:rFonts w:ascii="Arial" w:hAnsi="Arial" w:cs="Arial"/>
          <w:noProof/>
          <w:kern w:val="0"/>
          <w:sz w:val="20"/>
          <w:szCs w:val="20"/>
        </w:rPr>
        <w:t xml:space="preserve"> </w:t>
      </w:r>
    </w:p>
    <w:p w14:paraId="1E98EEFF" w14:textId="7B91BA0A"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Weiss HR, Moramarco M. Congenital scoliosis (mini-review). Curr Pediatr Rev. 2016;12(1):43–7.</w:t>
      </w:r>
      <w:r w:rsidR="00B25B4A">
        <w:rPr>
          <w:rFonts w:ascii="Arial" w:hAnsi="Arial" w:cs="Arial"/>
          <w:noProof/>
          <w:kern w:val="0"/>
          <w:sz w:val="20"/>
          <w:szCs w:val="20"/>
        </w:rPr>
        <w:t xml:space="preserve"> </w:t>
      </w:r>
      <w:hyperlink r:id="rId47" w:history="1">
        <w:r w:rsidR="00B25B4A" w:rsidRPr="00A950AC">
          <w:rPr>
            <w:rStyle w:val="Hyperlink"/>
            <w:rFonts w:ascii="Arial" w:hAnsi="Arial" w:cs="Arial"/>
            <w:noProof/>
            <w:kern w:val="0"/>
            <w:sz w:val="20"/>
            <w:szCs w:val="20"/>
          </w:rPr>
          <w:t>https://doi.org/10.2174/1573396312666151117121011</w:t>
        </w:r>
      </w:hyperlink>
      <w:r w:rsidR="00B25B4A">
        <w:rPr>
          <w:rFonts w:ascii="Arial" w:hAnsi="Arial" w:cs="Arial"/>
          <w:noProof/>
          <w:kern w:val="0"/>
          <w:sz w:val="20"/>
          <w:szCs w:val="20"/>
        </w:rPr>
        <w:t xml:space="preserve"> </w:t>
      </w:r>
    </w:p>
    <w:p w14:paraId="6C156E7F" w14:textId="05BFA6B8" w:rsidR="006E113A" w:rsidRPr="006E113A" w:rsidRDefault="006E113A" w:rsidP="00903FD4">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Kangari P, Talaei-Khozani T, Razeghian-Jahromi I, Razmkhah M. Mesenchymal stem cells: amazing remedies for bone and cartilage defects. Stem Cell Res Ther. 2020;11(1):492.</w:t>
      </w:r>
      <w:r w:rsidR="00B25B4A">
        <w:rPr>
          <w:rFonts w:ascii="Arial" w:hAnsi="Arial" w:cs="Arial"/>
          <w:noProof/>
          <w:kern w:val="0"/>
          <w:sz w:val="20"/>
          <w:szCs w:val="20"/>
        </w:rPr>
        <w:t xml:space="preserve"> </w:t>
      </w:r>
      <w:hyperlink r:id="rId48" w:history="1">
        <w:r w:rsidR="00B25B4A" w:rsidRPr="00A950AC">
          <w:rPr>
            <w:rStyle w:val="Hyperlink"/>
            <w:rFonts w:ascii="Arial" w:hAnsi="Arial" w:cs="Arial"/>
            <w:noProof/>
            <w:kern w:val="0"/>
            <w:sz w:val="20"/>
            <w:szCs w:val="20"/>
          </w:rPr>
          <w:t>https://doi.org/10.1186/s13287-020-02001-1</w:t>
        </w:r>
      </w:hyperlink>
      <w:r w:rsidR="00B25B4A">
        <w:rPr>
          <w:rFonts w:ascii="Arial" w:hAnsi="Arial" w:cs="Arial"/>
          <w:noProof/>
          <w:kern w:val="0"/>
          <w:sz w:val="20"/>
          <w:szCs w:val="20"/>
        </w:rPr>
        <w:t xml:space="preserve"> </w:t>
      </w:r>
    </w:p>
    <w:p w14:paraId="0D3CF161" w14:textId="31EBA263" w:rsidR="006E113A" w:rsidRP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Oryan A, Kamali A, Moshiri A, Baghaban Eslaminejad M. Role of mesenchymal stem cells in bone regenerative medicine: what is the evidence? Cells Tissues Organs. 2017;204(2):59–83.</w:t>
      </w:r>
      <w:r w:rsidR="005C593E">
        <w:rPr>
          <w:rFonts w:ascii="Arial" w:hAnsi="Arial" w:cs="Arial"/>
          <w:noProof/>
          <w:kern w:val="0"/>
          <w:sz w:val="20"/>
          <w:szCs w:val="20"/>
        </w:rPr>
        <w:t xml:space="preserve"> </w:t>
      </w:r>
      <w:hyperlink r:id="rId49" w:history="1">
        <w:r w:rsidR="005C593E" w:rsidRPr="00A950AC">
          <w:rPr>
            <w:rStyle w:val="Hyperlink"/>
            <w:rFonts w:ascii="Arial" w:hAnsi="Arial" w:cs="Arial"/>
            <w:noProof/>
            <w:kern w:val="0"/>
            <w:sz w:val="20"/>
            <w:szCs w:val="20"/>
          </w:rPr>
          <w:t>https://doi.org/10.1159/000469704</w:t>
        </w:r>
      </w:hyperlink>
      <w:r w:rsidR="005C593E">
        <w:rPr>
          <w:rFonts w:ascii="Arial" w:hAnsi="Arial" w:cs="Arial"/>
          <w:noProof/>
          <w:kern w:val="0"/>
          <w:sz w:val="20"/>
          <w:szCs w:val="20"/>
        </w:rPr>
        <w:t xml:space="preserve"> </w:t>
      </w:r>
    </w:p>
    <w:p w14:paraId="7604D7CC" w14:textId="6637553A" w:rsidR="006E113A" w:rsidRP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lang w:val="fi-FI"/>
        </w:rPr>
        <w:t xml:space="preserve">Lin J, Huang J, Jiao Z, Nian M, Li C, Dai Y, et al. </w:t>
      </w:r>
      <w:r w:rsidRPr="006E113A">
        <w:rPr>
          <w:rFonts w:ascii="Arial" w:hAnsi="Arial" w:cs="Arial"/>
          <w:noProof/>
          <w:kern w:val="0"/>
          <w:sz w:val="20"/>
          <w:szCs w:val="20"/>
        </w:rPr>
        <w:t xml:space="preserve">Mesenchymal stem cells for osteoarthritis: recent </w:t>
      </w:r>
      <w:r w:rsidRPr="006E113A">
        <w:rPr>
          <w:rFonts w:ascii="Arial" w:hAnsi="Arial" w:cs="Arial"/>
          <w:noProof/>
          <w:kern w:val="0"/>
          <w:sz w:val="20"/>
          <w:szCs w:val="20"/>
        </w:rPr>
        <w:lastRenderedPageBreak/>
        <w:t>advances in related cell therapy. Bioeng Transl Med. 2024;10(1):e10701.</w:t>
      </w:r>
      <w:r w:rsidR="005C593E">
        <w:rPr>
          <w:rFonts w:ascii="Arial" w:hAnsi="Arial" w:cs="Arial"/>
          <w:noProof/>
          <w:kern w:val="0"/>
          <w:sz w:val="20"/>
          <w:szCs w:val="20"/>
        </w:rPr>
        <w:t xml:space="preserve"> </w:t>
      </w:r>
      <w:hyperlink r:id="rId50" w:history="1">
        <w:r w:rsidR="005C593E" w:rsidRPr="00A950AC">
          <w:rPr>
            <w:rStyle w:val="Hyperlink"/>
            <w:rFonts w:ascii="Arial" w:hAnsi="Arial" w:cs="Arial"/>
            <w:noProof/>
            <w:kern w:val="0"/>
            <w:sz w:val="20"/>
            <w:szCs w:val="20"/>
          </w:rPr>
          <w:t>https://doi.org/10.1002/btm2.10701</w:t>
        </w:r>
      </w:hyperlink>
      <w:r w:rsidR="005C593E">
        <w:rPr>
          <w:rFonts w:ascii="Arial" w:hAnsi="Arial" w:cs="Arial"/>
          <w:noProof/>
          <w:kern w:val="0"/>
          <w:sz w:val="20"/>
          <w:szCs w:val="20"/>
        </w:rPr>
        <w:t xml:space="preserve"> </w:t>
      </w:r>
    </w:p>
    <w:p w14:paraId="32D7AAD7" w14:textId="2D90F180" w:rsidR="006E113A" w:rsidRP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To K, Zhang B, Romain K, Mak C, Khan W. Synovium-derived mesenchymal stem cell transplantation in cartilage regeneration: a PRISMA review of in vivo studies. Front Bioeng Biotechnol. 2019;7:314.</w:t>
      </w:r>
      <w:r w:rsidR="005C593E">
        <w:rPr>
          <w:rFonts w:ascii="Arial" w:hAnsi="Arial" w:cs="Arial"/>
          <w:noProof/>
          <w:kern w:val="0"/>
          <w:sz w:val="20"/>
          <w:szCs w:val="20"/>
        </w:rPr>
        <w:t xml:space="preserve"> </w:t>
      </w:r>
      <w:hyperlink r:id="rId51" w:history="1">
        <w:r w:rsidR="005C593E" w:rsidRPr="00A950AC">
          <w:rPr>
            <w:rStyle w:val="Hyperlink"/>
            <w:rFonts w:ascii="Arial" w:hAnsi="Arial" w:cs="Arial"/>
            <w:noProof/>
            <w:kern w:val="0"/>
            <w:sz w:val="20"/>
            <w:szCs w:val="20"/>
          </w:rPr>
          <w:t>https://doi.org/10.3389/fbioe.2019.00314</w:t>
        </w:r>
      </w:hyperlink>
      <w:r w:rsidR="005C593E">
        <w:rPr>
          <w:rFonts w:ascii="Arial" w:hAnsi="Arial" w:cs="Arial"/>
          <w:noProof/>
          <w:kern w:val="0"/>
          <w:sz w:val="20"/>
          <w:szCs w:val="20"/>
        </w:rPr>
        <w:t xml:space="preserve"> </w:t>
      </w:r>
    </w:p>
    <w:p w14:paraId="16C1CC28" w14:textId="59046B48" w:rsidR="006E113A" w:rsidRP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Lee CS, Jeon OH, Han SB, Jang KM. Mesenchymal stem cells for enhanced healing of the medial collateral ligament of the knee joint. Medicina (Kaunas). 2023;59(4):725.</w:t>
      </w:r>
      <w:r w:rsidR="005C593E">
        <w:rPr>
          <w:rFonts w:ascii="Arial" w:hAnsi="Arial" w:cs="Arial"/>
          <w:noProof/>
          <w:kern w:val="0"/>
          <w:sz w:val="20"/>
          <w:szCs w:val="20"/>
        </w:rPr>
        <w:t xml:space="preserve"> </w:t>
      </w:r>
      <w:hyperlink r:id="rId52" w:history="1">
        <w:r w:rsidR="005C593E" w:rsidRPr="00A950AC">
          <w:rPr>
            <w:rStyle w:val="Hyperlink"/>
            <w:rFonts w:ascii="Arial" w:hAnsi="Arial" w:cs="Arial"/>
            <w:noProof/>
            <w:kern w:val="0"/>
            <w:sz w:val="20"/>
            <w:szCs w:val="20"/>
          </w:rPr>
          <w:t>https://doi.org/10.3390/medicina59040725</w:t>
        </w:r>
      </w:hyperlink>
      <w:r w:rsidR="005C593E">
        <w:rPr>
          <w:rFonts w:ascii="Arial" w:hAnsi="Arial" w:cs="Arial"/>
          <w:noProof/>
          <w:kern w:val="0"/>
          <w:sz w:val="20"/>
          <w:szCs w:val="20"/>
        </w:rPr>
        <w:t xml:space="preserve"> </w:t>
      </w:r>
    </w:p>
    <w:p w14:paraId="23C1CA0A" w14:textId="65B1AF77" w:rsidR="006E113A" w:rsidRP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rPr>
        <w:t>Rhim HC, Jeon OH, Han SB, Bae JH, Suh DW, Jang KM. Mesenchymal stem cells for enhancing biological healing after meniscal injuries. World J Stem Cells. 2021;13(8):1005-1029.</w:t>
      </w:r>
      <w:r w:rsidR="005C593E">
        <w:rPr>
          <w:rFonts w:ascii="Arial" w:hAnsi="Arial" w:cs="Arial"/>
          <w:noProof/>
          <w:kern w:val="0"/>
          <w:sz w:val="20"/>
          <w:szCs w:val="20"/>
        </w:rPr>
        <w:t xml:space="preserve"> </w:t>
      </w:r>
      <w:hyperlink r:id="rId53" w:history="1">
        <w:r w:rsidR="005C593E" w:rsidRPr="00A950AC">
          <w:rPr>
            <w:rStyle w:val="Hyperlink"/>
            <w:rFonts w:ascii="Arial" w:hAnsi="Arial" w:cs="Arial"/>
            <w:noProof/>
            <w:kern w:val="0"/>
            <w:sz w:val="20"/>
            <w:szCs w:val="20"/>
          </w:rPr>
          <w:t>https://doi.org/10.4252/wjsc.v13.i8.1005</w:t>
        </w:r>
      </w:hyperlink>
      <w:r w:rsidR="005C593E">
        <w:rPr>
          <w:rFonts w:ascii="Arial" w:hAnsi="Arial" w:cs="Arial"/>
          <w:noProof/>
          <w:kern w:val="0"/>
          <w:sz w:val="20"/>
          <w:szCs w:val="20"/>
        </w:rPr>
        <w:t xml:space="preserve"> </w:t>
      </w:r>
    </w:p>
    <w:p w14:paraId="5C709B40" w14:textId="06001B87" w:rsidR="006E113A" w:rsidRPr="005C593E" w:rsidRDefault="006E113A" w:rsidP="005C593E">
      <w:pPr>
        <w:widowControl w:val="0"/>
        <w:autoSpaceDE w:val="0"/>
        <w:autoSpaceDN w:val="0"/>
        <w:adjustRightInd w:val="0"/>
        <w:spacing w:line="360" w:lineRule="auto"/>
        <w:ind w:left="360"/>
        <w:jc w:val="both"/>
      </w:pPr>
      <w:r w:rsidRPr="006E113A">
        <w:rPr>
          <w:rFonts w:ascii="Arial" w:hAnsi="Arial" w:cs="Arial"/>
          <w:noProof/>
          <w:kern w:val="0"/>
          <w:sz w:val="20"/>
          <w:szCs w:val="20"/>
          <w:lang w:val="nl-NL"/>
        </w:rPr>
        <w:t xml:space="preserve">Pas HI, Winters M, Haisma HJ, Koenis MJ, Tol JL, Moen MH. </w:t>
      </w:r>
      <w:r w:rsidRPr="006E113A">
        <w:rPr>
          <w:rFonts w:ascii="Arial" w:hAnsi="Arial" w:cs="Arial"/>
          <w:noProof/>
          <w:kern w:val="0"/>
          <w:sz w:val="20"/>
          <w:szCs w:val="20"/>
        </w:rPr>
        <w:t>Stem cell injections in knee osteoarthritis: a systematic review of the literature. Br J Sports Med. 2017 Aug;51(15):1125–33.</w:t>
      </w:r>
      <w:r w:rsidR="005C593E">
        <w:rPr>
          <w:rFonts w:ascii="Arial" w:hAnsi="Arial" w:cs="Arial"/>
          <w:noProof/>
          <w:kern w:val="0"/>
          <w:sz w:val="20"/>
          <w:szCs w:val="20"/>
        </w:rPr>
        <w:t xml:space="preserve"> </w:t>
      </w:r>
      <w:hyperlink r:id="rId54" w:history="1">
        <w:r w:rsidR="005C593E" w:rsidRPr="00A950AC">
          <w:rPr>
            <w:rStyle w:val="Hyperlink"/>
            <w:rFonts w:ascii="Arial" w:hAnsi="Arial" w:cs="Arial"/>
            <w:noProof/>
            <w:kern w:val="0"/>
            <w:sz w:val="20"/>
            <w:szCs w:val="20"/>
          </w:rPr>
          <w:t>https://doi.org/10.1136/bjsports-2016-096793</w:t>
        </w:r>
      </w:hyperlink>
      <w:r w:rsidR="005C593E">
        <w:t xml:space="preserve"> </w:t>
      </w:r>
    </w:p>
    <w:p w14:paraId="6700DA3D" w14:textId="16E6D9EB" w:rsidR="006E113A" w:rsidRDefault="006E113A" w:rsidP="005C593E">
      <w:pPr>
        <w:widowControl w:val="0"/>
        <w:autoSpaceDE w:val="0"/>
        <w:autoSpaceDN w:val="0"/>
        <w:adjustRightInd w:val="0"/>
        <w:spacing w:line="360" w:lineRule="auto"/>
        <w:ind w:left="360"/>
        <w:jc w:val="both"/>
        <w:rPr>
          <w:rFonts w:ascii="Arial" w:hAnsi="Arial" w:cs="Arial"/>
          <w:noProof/>
          <w:kern w:val="0"/>
          <w:sz w:val="20"/>
          <w:szCs w:val="20"/>
        </w:rPr>
      </w:pPr>
      <w:r w:rsidRPr="006E113A">
        <w:rPr>
          <w:rFonts w:ascii="Arial" w:hAnsi="Arial" w:cs="Arial"/>
          <w:noProof/>
          <w:kern w:val="0"/>
          <w:sz w:val="20"/>
          <w:szCs w:val="20"/>
          <w:lang w:val="nl-NL"/>
        </w:rPr>
        <w:t xml:space="preserve">Agarwal S, Loder S, Cholok D, Li J, Breuler C, Drake J, et al. </w:t>
      </w:r>
      <w:r w:rsidRPr="006E113A">
        <w:rPr>
          <w:rFonts w:ascii="Arial" w:hAnsi="Arial" w:cs="Arial"/>
          <w:noProof/>
          <w:kern w:val="0"/>
          <w:sz w:val="20"/>
          <w:szCs w:val="20"/>
        </w:rPr>
        <w:t>Surgical Excision of Heterotopic Ossification Leads to Re-Emergence of Mesenchymal Stem Cell Populations Responsible for Recurrence. Stem Cells Transl Med. 2017 Mar 1;6(3):799–806.</w:t>
      </w:r>
      <w:r w:rsidR="005C593E">
        <w:rPr>
          <w:rFonts w:ascii="Arial" w:hAnsi="Arial" w:cs="Arial"/>
          <w:noProof/>
          <w:kern w:val="0"/>
          <w:sz w:val="20"/>
          <w:szCs w:val="20"/>
        </w:rPr>
        <w:t xml:space="preserve"> </w:t>
      </w:r>
      <w:hyperlink r:id="rId55" w:history="1">
        <w:r w:rsidR="005C593E" w:rsidRPr="00A950AC">
          <w:rPr>
            <w:rStyle w:val="Hyperlink"/>
            <w:rFonts w:ascii="Arial" w:hAnsi="Arial" w:cs="Arial"/>
            <w:noProof/>
            <w:kern w:val="0"/>
            <w:sz w:val="20"/>
            <w:szCs w:val="20"/>
          </w:rPr>
          <w:t>https://doi.org/10.1002/sctm.16-0330</w:t>
        </w:r>
      </w:hyperlink>
      <w:r w:rsidR="005C593E">
        <w:rPr>
          <w:rFonts w:ascii="Arial" w:hAnsi="Arial" w:cs="Arial"/>
          <w:noProof/>
          <w:kern w:val="0"/>
          <w:sz w:val="20"/>
          <w:szCs w:val="20"/>
        </w:rPr>
        <w:t xml:space="preserve"> </w:t>
      </w:r>
    </w:p>
    <w:p w14:paraId="7C4B97E1" w14:textId="5641C94A" w:rsidR="00EF1E02" w:rsidRDefault="00EF1E02" w:rsidP="005C593E">
      <w:pPr>
        <w:widowControl w:val="0"/>
        <w:autoSpaceDE w:val="0"/>
        <w:autoSpaceDN w:val="0"/>
        <w:adjustRightInd w:val="0"/>
        <w:spacing w:line="360" w:lineRule="auto"/>
        <w:ind w:left="360"/>
        <w:jc w:val="both"/>
        <w:rPr>
          <w:rFonts w:ascii="Arial" w:hAnsi="Arial" w:cs="Arial"/>
          <w:noProof/>
          <w:kern w:val="0"/>
          <w:sz w:val="20"/>
          <w:szCs w:val="20"/>
        </w:rPr>
      </w:pPr>
      <w:r w:rsidRPr="00EF1E02">
        <w:rPr>
          <w:rFonts w:ascii="Arial" w:hAnsi="Arial" w:cs="Arial"/>
          <w:noProof/>
          <w:kern w:val="0"/>
          <w:sz w:val="20"/>
          <w:szCs w:val="20"/>
        </w:rPr>
        <w:t xml:space="preserve">Poliwoda S, Noor N, Downs E, Schaaf A, Cantwell A, Ganti L, Kaye AD, Mosel LI, Carroll CB, Viswanath O, Urits I. Stem cells: a comprehensive review of origins and emerging clinical roles in medical practice. Orthop Rev (Pavia). 2022 Aug 25;14(3):37498. </w:t>
      </w:r>
      <w:hyperlink r:id="rId56" w:history="1">
        <w:r w:rsidR="005C593E" w:rsidRPr="00A950AC">
          <w:rPr>
            <w:rStyle w:val="Hyperlink"/>
            <w:rFonts w:ascii="Arial" w:hAnsi="Arial" w:cs="Arial"/>
            <w:noProof/>
            <w:kern w:val="0"/>
            <w:sz w:val="20"/>
            <w:szCs w:val="20"/>
          </w:rPr>
          <w:t>https://doi.org/10.52965/001c.37498</w:t>
        </w:r>
      </w:hyperlink>
      <w:r w:rsidR="005C593E">
        <w:rPr>
          <w:rFonts w:ascii="Arial" w:hAnsi="Arial" w:cs="Arial"/>
          <w:noProof/>
          <w:kern w:val="0"/>
          <w:sz w:val="20"/>
          <w:szCs w:val="20"/>
        </w:rPr>
        <w:t xml:space="preserve"> </w:t>
      </w:r>
    </w:p>
    <w:p w14:paraId="2CADE21E" w14:textId="2F6F3FCF" w:rsidR="00EF1E02" w:rsidRPr="006E113A" w:rsidRDefault="00EF1E02" w:rsidP="005C593E">
      <w:pPr>
        <w:widowControl w:val="0"/>
        <w:autoSpaceDE w:val="0"/>
        <w:autoSpaceDN w:val="0"/>
        <w:adjustRightInd w:val="0"/>
        <w:spacing w:line="360" w:lineRule="auto"/>
        <w:ind w:left="360"/>
        <w:jc w:val="both"/>
        <w:rPr>
          <w:rFonts w:ascii="Arial" w:hAnsi="Arial" w:cs="Arial"/>
          <w:noProof/>
          <w:kern w:val="0"/>
          <w:sz w:val="20"/>
          <w:szCs w:val="20"/>
        </w:rPr>
      </w:pPr>
      <w:r w:rsidRPr="00EF1E02">
        <w:rPr>
          <w:rFonts w:ascii="Arial" w:hAnsi="Arial" w:cs="Arial"/>
          <w:noProof/>
          <w:kern w:val="0"/>
          <w:sz w:val="20"/>
          <w:szCs w:val="20"/>
        </w:rPr>
        <w:t xml:space="preserve">Atala A, Murphy SV, editors. Perinatal Stem Cells. 1st ed. New York (NY): Springer; 2014. </w:t>
      </w:r>
      <w:hyperlink r:id="rId57" w:history="1">
        <w:r w:rsidR="005C593E" w:rsidRPr="00A950AC">
          <w:rPr>
            <w:rStyle w:val="Hyperlink"/>
            <w:rFonts w:ascii="Arial" w:hAnsi="Arial" w:cs="Arial"/>
            <w:noProof/>
            <w:kern w:val="0"/>
            <w:sz w:val="20"/>
            <w:szCs w:val="20"/>
          </w:rPr>
          <w:t>https://doi.org/10.1007/978-1-4939-1118-9</w:t>
        </w:r>
      </w:hyperlink>
      <w:r w:rsidR="005C593E">
        <w:rPr>
          <w:rFonts w:ascii="Arial" w:hAnsi="Arial" w:cs="Arial"/>
          <w:noProof/>
          <w:kern w:val="0"/>
          <w:sz w:val="20"/>
          <w:szCs w:val="20"/>
        </w:rPr>
        <w:t xml:space="preserve"> </w:t>
      </w:r>
    </w:p>
    <w:p w14:paraId="20F13110" w14:textId="7471EA17" w:rsidR="004376FD" w:rsidRPr="00EF4E16" w:rsidRDefault="004376FD" w:rsidP="006E113A">
      <w:pPr>
        <w:widowControl w:val="0"/>
        <w:autoSpaceDE w:val="0"/>
        <w:autoSpaceDN w:val="0"/>
        <w:adjustRightInd w:val="0"/>
        <w:spacing w:line="360" w:lineRule="auto"/>
        <w:ind w:left="640" w:hanging="640"/>
        <w:jc w:val="both"/>
        <w:rPr>
          <w:rFonts w:ascii="Arial" w:hAnsi="Arial" w:cs="Arial"/>
          <w:noProof/>
          <w:kern w:val="0"/>
          <w:sz w:val="20"/>
          <w:szCs w:val="20"/>
        </w:rPr>
      </w:pPr>
    </w:p>
    <w:sectPr w:rsidR="004376FD" w:rsidRPr="00EF4E16">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4360F" w14:textId="77777777" w:rsidR="006662E9" w:rsidRDefault="006662E9" w:rsidP="001B6244">
      <w:r>
        <w:separator/>
      </w:r>
    </w:p>
  </w:endnote>
  <w:endnote w:type="continuationSeparator" w:id="0">
    <w:p w14:paraId="677B0347" w14:textId="77777777" w:rsidR="006662E9" w:rsidRDefault="006662E9" w:rsidP="001B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stem Font">
    <w:altName w:val="Cambria"/>
    <w:charset w:val="00"/>
    <w:family w:val="roman"/>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3DA7" w14:textId="77777777" w:rsidR="001B6244" w:rsidRDefault="001B6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53C4" w14:textId="77777777" w:rsidR="001B6244" w:rsidRDefault="001B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1F8F" w14:textId="77777777" w:rsidR="001B6244" w:rsidRDefault="001B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B2169" w14:textId="77777777" w:rsidR="006662E9" w:rsidRDefault="006662E9" w:rsidP="001B6244">
      <w:r>
        <w:separator/>
      </w:r>
    </w:p>
  </w:footnote>
  <w:footnote w:type="continuationSeparator" w:id="0">
    <w:p w14:paraId="7316A369" w14:textId="77777777" w:rsidR="006662E9" w:rsidRDefault="006662E9" w:rsidP="001B6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A5FD" w14:textId="59D1DED8" w:rsidR="001B6244" w:rsidRDefault="001B6244">
    <w:pPr>
      <w:pStyle w:val="Header"/>
    </w:pPr>
    <w:r>
      <w:rPr>
        <w:noProof/>
      </w:rPr>
      <w:pict w14:anchorId="772B7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34721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6942" w14:textId="3899486D" w:rsidR="001B6244" w:rsidRDefault="001B6244">
    <w:pPr>
      <w:pStyle w:val="Header"/>
    </w:pPr>
    <w:r>
      <w:rPr>
        <w:noProof/>
      </w:rPr>
      <w:pict w14:anchorId="4A22E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34722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FA63" w14:textId="4DEAEA47" w:rsidR="001B6244" w:rsidRDefault="001B6244">
    <w:pPr>
      <w:pStyle w:val="Header"/>
    </w:pPr>
    <w:r>
      <w:rPr>
        <w:noProof/>
      </w:rPr>
      <w:pict w14:anchorId="5EA3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34721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C60E0"/>
    <w:multiLevelType w:val="hybridMultilevel"/>
    <w:tmpl w:val="13EEE27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55"/>
    <w:rsid w:val="00015037"/>
    <w:rsid w:val="00041E5B"/>
    <w:rsid w:val="00054DD6"/>
    <w:rsid w:val="00090F97"/>
    <w:rsid w:val="000C1C40"/>
    <w:rsid w:val="000E6326"/>
    <w:rsid w:val="000F150C"/>
    <w:rsid w:val="00100D33"/>
    <w:rsid w:val="00104828"/>
    <w:rsid w:val="001124C7"/>
    <w:rsid w:val="00192693"/>
    <w:rsid w:val="001B6244"/>
    <w:rsid w:val="001C39CC"/>
    <w:rsid w:val="001F087F"/>
    <w:rsid w:val="001F0DAD"/>
    <w:rsid w:val="00264C90"/>
    <w:rsid w:val="002700C3"/>
    <w:rsid w:val="002E410C"/>
    <w:rsid w:val="002F3705"/>
    <w:rsid w:val="0030325B"/>
    <w:rsid w:val="003114AC"/>
    <w:rsid w:val="00315B18"/>
    <w:rsid w:val="00332F57"/>
    <w:rsid w:val="00334746"/>
    <w:rsid w:val="0034462E"/>
    <w:rsid w:val="00352B76"/>
    <w:rsid w:val="003613C6"/>
    <w:rsid w:val="003963AB"/>
    <w:rsid w:val="003B49DF"/>
    <w:rsid w:val="003D1E40"/>
    <w:rsid w:val="003E1539"/>
    <w:rsid w:val="003F4A21"/>
    <w:rsid w:val="00404BD1"/>
    <w:rsid w:val="004376FD"/>
    <w:rsid w:val="0045226F"/>
    <w:rsid w:val="0046336B"/>
    <w:rsid w:val="00476355"/>
    <w:rsid w:val="004944D0"/>
    <w:rsid w:val="004A5C27"/>
    <w:rsid w:val="004B0F6C"/>
    <w:rsid w:val="004B2C40"/>
    <w:rsid w:val="004B6E75"/>
    <w:rsid w:val="004E10B8"/>
    <w:rsid w:val="004E38EA"/>
    <w:rsid w:val="00511823"/>
    <w:rsid w:val="00531264"/>
    <w:rsid w:val="00553962"/>
    <w:rsid w:val="00555399"/>
    <w:rsid w:val="005566D1"/>
    <w:rsid w:val="0057692D"/>
    <w:rsid w:val="00576A3C"/>
    <w:rsid w:val="005957EB"/>
    <w:rsid w:val="005B49C7"/>
    <w:rsid w:val="005C593E"/>
    <w:rsid w:val="005C6489"/>
    <w:rsid w:val="005D3094"/>
    <w:rsid w:val="005F2A3B"/>
    <w:rsid w:val="006236E1"/>
    <w:rsid w:val="00661AA4"/>
    <w:rsid w:val="006662E9"/>
    <w:rsid w:val="006834E5"/>
    <w:rsid w:val="00692B29"/>
    <w:rsid w:val="006A015E"/>
    <w:rsid w:val="006B1925"/>
    <w:rsid w:val="006B7246"/>
    <w:rsid w:val="006C0F21"/>
    <w:rsid w:val="006D36D8"/>
    <w:rsid w:val="006E113A"/>
    <w:rsid w:val="006F7A3E"/>
    <w:rsid w:val="00710DB3"/>
    <w:rsid w:val="00714178"/>
    <w:rsid w:val="00717B6D"/>
    <w:rsid w:val="007257E5"/>
    <w:rsid w:val="00750A7D"/>
    <w:rsid w:val="007537FF"/>
    <w:rsid w:val="00756934"/>
    <w:rsid w:val="00760138"/>
    <w:rsid w:val="00794F4A"/>
    <w:rsid w:val="007A692D"/>
    <w:rsid w:val="007D46DD"/>
    <w:rsid w:val="0081687F"/>
    <w:rsid w:val="008223E0"/>
    <w:rsid w:val="0082345E"/>
    <w:rsid w:val="00827CC1"/>
    <w:rsid w:val="00830FA3"/>
    <w:rsid w:val="0084137A"/>
    <w:rsid w:val="00867A0F"/>
    <w:rsid w:val="008960D7"/>
    <w:rsid w:val="00897778"/>
    <w:rsid w:val="008B550B"/>
    <w:rsid w:val="008C1732"/>
    <w:rsid w:val="008D7CE1"/>
    <w:rsid w:val="008F13D7"/>
    <w:rsid w:val="00903FD4"/>
    <w:rsid w:val="00911D6E"/>
    <w:rsid w:val="00926216"/>
    <w:rsid w:val="00934498"/>
    <w:rsid w:val="00946929"/>
    <w:rsid w:val="00975E08"/>
    <w:rsid w:val="00976C96"/>
    <w:rsid w:val="0098396E"/>
    <w:rsid w:val="00987D4E"/>
    <w:rsid w:val="009A3C57"/>
    <w:rsid w:val="009B0271"/>
    <w:rsid w:val="009F668C"/>
    <w:rsid w:val="00A228A3"/>
    <w:rsid w:val="00A369BE"/>
    <w:rsid w:val="00A56DD1"/>
    <w:rsid w:val="00A5721D"/>
    <w:rsid w:val="00A61D57"/>
    <w:rsid w:val="00A730D0"/>
    <w:rsid w:val="00A74255"/>
    <w:rsid w:val="00A827EE"/>
    <w:rsid w:val="00AB706C"/>
    <w:rsid w:val="00AD0809"/>
    <w:rsid w:val="00AD340F"/>
    <w:rsid w:val="00AF1CBA"/>
    <w:rsid w:val="00B13582"/>
    <w:rsid w:val="00B25B4A"/>
    <w:rsid w:val="00B30DB8"/>
    <w:rsid w:val="00B719E3"/>
    <w:rsid w:val="00B863E4"/>
    <w:rsid w:val="00B92389"/>
    <w:rsid w:val="00B97886"/>
    <w:rsid w:val="00BB771E"/>
    <w:rsid w:val="00BC73A7"/>
    <w:rsid w:val="00BD2C8B"/>
    <w:rsid w:val="00BF5D9E"/>
    <w:rsid w:val="00C04818"/>
    <w:rsid w:val="00C167D1"/>
    <w:rsid w:val="00C31564"/>
    <w:rsid w:val="00C60ADA"/>
    <w:rsid w:val="00C83DCA"/>
    <w:rsid w:val="00CA3EA1"/>
    <w:rsid w:val="00CD4E38"/>
    <w:rsid w:val="00CF05FF"/>
    <w:rsid w:val="00D07B7F"/>
    <w:rsid w:val="00D165B4"/>
    <w:rsid w:val="00D61530"/>
    <w:rsid w:val="00D653C1"/>
    <w:rsid w:val="00D669FF"/>
    <w:rsid w:val="00D75FE1"/>
    <w:rsid w:val="00DB7BEC"/>
    <w:rsid w:val="00DC1743"/>
    <w:rsid w:val="00DC5D34"/>
    <w:rsid w:val="00DD2659"/>
    <w:rsid w:val="00E0626A"/>
    <w:rsid w:val="00E262EB"/>
    <w:rsid w:val="00E73B57"/>
    <w:rsid w:val="00E948CC"/>
    <w:rsid w:val="00E94922"/>
    <w:rsid w:val="00E950F6"/>
    <w:rsid w:val="00EB5632"/>
    <w:rsid w:val="00EF1E02"/>
    <w:rsid w:val="00EF4E16"/>
    <w:rsid w:val="00EF73CB"/>
    <w:rsid w:val="00F261A9"/>
    <w:rsid w:val="00F30D69"/>
    <w:rsid w:val="00F545DD"/>
    <w:rsid w:val="00F561EB"/>
    <w:rsid w:val="00F662D7"/>
    <w:rsid w:val="00F80263"/>
    <w:rsid w:val="00F856C8"/>
    <w:rsid w:val="00FC2663"/>
    <w:rsid w:val="00FF09BD"/>
  </w:rsids>
  <m:mathPr>
    <m:mathFont m:val="Cambria Math"/>
    <m:brkBin m:val="before"/>
    <m:brkBinSub m:val="--"/>
    <m:smallFrac m:val="0"/>
    <m:dispDef/>
    <m:lMargin m:val="0"/>
    <m:rMargin m:val="0"/>
    <m:defJc m:val="centerGroup"/>
    <m:wrapIndent m:val="1440"/>
    <m:intLim m:val="subSup"/>
    <m:naryLim m:val="undOvr"/>
  </m:mathPr>
  <w:themeFontLang w:val="en-ID"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FFA6E"/>
  <w15:chartTrackingRefBased/>
  <w15:docId w15:val="{53C36548-6EBB-4739-9ED4-EB7BC0A5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C57"/>
  </w:style>
  <w:style w:type="paragraph" w:styleId="Heading1">
    <w:name w:val="heading 1"/>
    <w:basedOn w:val="Normal"/>
    <w:next w:val="Normal"/>
    <w:link w:val="Heading1Char"/>
    <w:uiPriority w:val="9"/>
    <w:qFormat/>
    <w:rsid w:val="00A7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55"/>
    <w:rPr>
      <w:rFonts w:eastAsiaTheme="majorEastAsia" w:cstheme="majorBidi"/>
      <w:color w:val="272727" w:themeColor="text1" w:themeTint="D8"/>
    </w:rPr>
  </w:style>
  <w:style w:type="paragraph" w:styleId="Title">
    <w:name w:val="Title"/>
    <w:basedOn w:val="Normal"/>
    <w:next w:val="Normal"/>
    <w:link w:val="TitleChar"/>
    <w:uiPriority w:val="10"/>
    <w:qFormat/>
    <w:rsid w:val="00A74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255"/>
    <w:rPr>
      <w:i/>
      <w:iCs/>
      <w:color w:val="404040" w:themeColor="text1" w:themeTint="BF"/>
    </w:rPr>
  </w:style>
  <w:style w:type="paragraph" w:styleId="ListParagraph">
    <w:name w:val="List Paragraph"/>
    <w:basedOn w:val="Normal"/>
    <w:uiPriority w:val="34"/>
    <w:qFormat/>
    <w:rsid w:val="00A74255"/>
    <w:pPr>
      <w:ind w:left="720"/>
      <w:contextualSpacing/>
    </w:pPr>
  </w:style>
  <w:style w:type="character" w:styleId="IntenseEmphasis">
    <w:name w:val="Intense Emphasis"/>
    <w:basedOn w:val="DefaultParagraphFont"/>
    <w:uiPriority w:val="21"/>
    <w:qFormat/>
    <w:rsid w:val="00A74255"/>
    <w:rPr>
      <w:i/>
      <w:iCs/>
      <w:color w:val="0F4761" w:themeColor="accent1" w:themeShade="BF"/>
    </w:rPr>
  </w:style>
  <w:style w:type="paragraph" w:styleId="IntenseQuote">
    <w:name w:val="Intense Quote"/>
    <w:basedOn w:val="Normal"/>
    <w:next w:val="Normal"/>
    <w:link w:val="IntenseQuoteChar"/>
    <w:uiPriority w:val="30"/>
    <w:qFormat/>
    <w:rsid w:val="00A7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55"/>
    <w:rPr>
      <w:i/>
      <w:iCs/>
      <w:color w:val="0F4761" w:themeColor="accent1" w:themeShade="BF"/>
    </w:rPr>
  </w:style>
  <w:style w:type="character" w:styleId="IntenseReference">
    <w:name w:val="Intense Reference"/>
    <w:basedOn w:val="DefaultParagraphFont"/>
    <w:uiPriority w:val="32"/>
    <w:qFormat/>
    <w:rsid w:val="00A74255"/>
    <w:rPr>
      <w:b/>
      <w:bCs/>
      <w:smallCaps/>
      <w:color w:val="0F4761" w:themeColor="accent1" w:themeShade="BF"/>
      <w:spacing w:val="5"/>
    </w:rPr>
  </w:style>
  <w:style w:type="paragraph" w:styleId="NormalWeb">
    <w:name w:val="Normal (Web)"/>
    <w:basedOn w:val="Normal"/>
    <w:uiPriority w:val="99"/>
    <w:semiHidden/>
    <w:unhideWhenUsed/>
    <w:rsid w:val="00B92389"/>
    <w:rPr>
      <w:rFonts w:ascii="Times New Roman" w:hAnsi="Times New Roman" w:cs="Times New Roman"/>
    </w:rPr>
  </w:style>
  <w:style w:type="paragraph" w:customStyle="1" w:styleId="p1">
    <w:name w:val="p1"/>
    <w:basedOn w:val="Normal"/>
    <w:rsid w:val="00CD4E38"/>
    <w:rPr>
      <w:rFonts w:ascii="System Font" w:eastAsiaTheme="minorEastAsia" w:hAnsi="System Font" w:cs="Times New Roman"/>
      <w:kern w:val="0"/>
      <w:sz w:val="18"/>
      <w:szCs w:val="18"/>
      <w14:ligatures w14:val="none"/>
    </w:rPr>
  </w:style>
  <w:style w:type="character" w:customStyle="1" w:styleId="s1">
    <w:name w:val="s1"/>
    <w:basedOn w:val="DefaultParagraphFont"/>
    <w:rsid w:val="00CD4E38"/>
    <w:rPr>
      <w:rFonts w:ascii=".SFUI-Regular" w:hAnsi=".SFUI-Regular" w:hint="default"/>
      <w:b w:val="0"/>
      <w:bCs w:val="0"/>
      <w:i w:val="0"/>
      <w:iCs w:val="0"/>
      <w:sz w:val="18"/>
      <w:szCs w:val="18"/>
    </w:rPr>
  </w:style>
  <w:style w:type="character" w:styleId="Hyperlink">
    <w:name w:val="Hyperlink"/>
    <w:basedOn w:val="DefaultParagraphFont"/>
    <w:uiPriority w:val="99"/>
    <w:unhideWhenUsed/>
    <w:rsid w:val="00352B76"/>
    <w:rPr>
      <w:color w:val="467886" w:themeColor="hyperlink"/>
      <w:u w:val="single"/>
    </w:rPr>
  </w:style>
  <w:style w:type="character" w:styleId="UnresolvedMention">
    <w:name w:val="Unresolved Mention"/>
    <w:basedOn w:val="DefaultParagraphFont"/>
    <w:uiPriority w:val="99"/>
    <w:semiHidden/>
    <w:unhideWhenUsed/>
    <w:rsid w:val="00352B76"/>
    <w:rPr>
      <w:color w:val="605E5C"/>
      <w:shd w:val="clear" w:color="auto" w:fill="E1DFDD"/>
    </w:rPr>
  </w:style>
  <w:style w:type="paragraph" w:styleId="Caption">
    <w:name w:val="caption"/>
    <w:basedOn w:val="Normal"/>
    <w:next w:val="Normal"/>
    <w:uiPriority w:val="35"/>
    <w:unhideWhenUsed/>
    <w:qFormat/>
    <w:rsid w:val="007537FF"/>
    <w:pPr>
      <w:spacing w:after="200"/>
    </w:pPr>
    <w:rPr>
      <w:i/>
      <w:iCs/>
      <w:color w:val="0E2841" w:themeColor="text2"/>
      <w:sz w:val="18"/>
      <w:szCs w:val="18"/>
    </w:rPr>
  </w:style>
  <w:style w:type="paragraph" w:styleId="Header">
    <w:name w:val="header"/>
    <w:basedOn w:val="Normal"/>
    <w:link w:val="HeaderChar"/>
    <w:uiPriority w:val="99"/>
    <w:unhideWhenUsed/>
    <w:rsid w:val="001B6244"/>
    <w:pPr>
      <w:tabs>
        <w:tab w:val="center" w:pos="4680"/>
        <w:tab w:val="right" w:pos="9360"/>
      </w:tabs>
    </w:pPr>
  </w:style>
  <w:style w:type="character" w:customStyle="1" w:styleId="HeaderChar">
    <w:name w:val="Header Char"/>
    <w:basedOn w:val="DefaultParagraphFont"/>
    <w:link w:val="Header"/>
    <w:uiPriority w:val="99"/>
    <w:rsid w:val="001B6244"/>
  </w:style>
  <w:style w:type="paragraph" w:styleId="Footer">
    <w:name w:val="footer"/>
    <w:basedOn w:val="Normal"/>
    <w:link w:val="FooterChar"/>
    <w:uiPriority w:val="99"/>
    <w:unhideWhenUsed/>
    <w:rsid w:val="001B6244"/>
    <w:pPr>
      <w:tabs>
        <w:tab w:val="center" w:pos="4680"/>
        <w:tab w:val="right" w:pos="9360"/>
      </w:tabs>
    </w:pPr>
  </w:style>
  <w:style w:type="character" w:customStyle="1" w:styleId="FooterChar">
    <w:name w:val="Footer Char"/>
    <w:basedOn w:val="DefaultParagraphFont"/>
    <w:link w:val="Footer"/>
    <w:uiPriority w:val="99"/>
    <w:rsid w:val="001B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5646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5">
          <w:marLeft w:val="0"/>
          <w:marRight w:val="0"/>
          <w:marTop w:val="0"/>
          <w:marBottom w:val="0"/>
          <w:divBdr>
            <w:top w:val="none" w:sz="0" w:space="0" w:color="auto"/>
            <w:left w:val="none" w:sz="0" w:space="0" w:color="auto"/>
            <w:bottom w:val="none" w:sz="0" w:space="0" w:color="auto"/>
            <w:right w:val="none" w:sz="0" w:space="0" w:color="auto"/>
          </w:divBdr>
          <w:divsChild>
            <w:div w:id="1625846850">
              <w:marLeft w:val="0"/>
              <w:marRight w:val="0"/>
              <w:marTop w:val="0"/>
              <w:marBottom w:val="0"/>
              <w:divBdr>
                <w:top w:val="none" w:sz="0" w:space="0" w:color="auto"/>
                <w:left w:val="none" w:sz="0" w:space="0" w:color="auto"/>
                <w:bottom w:val="none" w:sz="0" w:space="0" w:color="auto"/>
                <w:right w:val="none" w:sz="0" w:space="0" w:color="auto"/>
              </w:divBdr>
              <w:divsChild>
                <w:div w:id="4060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5223">
      <w:bodyDiv w:val="1"/>
      <w:marLeft w:val="0"/>
      <w:marRight w:val="0"/>
      <w:marTop w:val="0"/>
      <w:marBottom w:val="0"/>
      <w:divBdr>
        <w:top w:val="none" w:sz="0" w:space="0" w:color="auto"/>
        <w:left w:val="none" w:sz="0" w:space="0" w:color="auto"/>
        <w:bottom w:val="none" w:sz="0" w:space="0" w:color="auto"/>
        <w:right w:val="none" w:sz="0" w:space="0" w:color="auto"/>
      </w:divBdr>
      <w:divsChild>
        <w:div w:id="1269240622">
          <w:marLeft w:val="0"/>
          <w:marRight w:val="0"/>
          <w:marTop w:val="0"/>
          <w:marBottom w:val="0"/>
          <w:divBdr>
            <w:top w:val="none" w:sz="0" w:space="0" w:color="auto"/>
            <w:left w:val="none" w:sz="0" w:space="0" w:color="auto"/>
            <w:bottom w:val="none" w:sz="0" w:space="0" w:color="auto"/>
            <w:right w:val="none" w:sz="0" w:space="0" w:color="auto"/>
          </w:divBdr>
          <w:divsChild>
            <w:div w:id="2034840161">
              <w:marLeft w:val="0"/>
              <w:marRight w:val="0"/>
              <w:marTop w:val="0"/>
              <w:marBottom w:val="0"/>
              <w:divBdr>
                <w:top w:val="none" w:sz="0" w:space="0" w:color="auto"/>
                <w:left w:val="none" w:sz="0" w:space="0" w:color="auto"/>
                <w:bottom w:val="none" w:sz="0" w:space="0" w:color="auto"/>
                <w:right w:val="none" w:sz="0" w:space="0" w:color="auto"/>
              </w:divBdr>
              <w:divsChild>
                <w:div w:id="6583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jor.24338" TargetMode="External"/><Relationship Id="rId21" Type="http://schemas.openxmlformats.org/officeDocument/2006/relationships/hyperlink" Target="https://doi.org/10.3727/096368914X678300" TargetMode="External"/><Relationship Id="rId34" Type="http://schemas.openxmlformats.org/officeDocument/2006/relationships/hyperlink" Target="https://doi.org/10.3389/fendo.2020.00430" TargetMode="External"/><Relationship Id="rId42" Type="http://schemas.openxmlformats.org/officeDocument/2006/relationships/hyperlink" Target="https://doi.org/10.1097/TP.0b013e3182298a15" TargetMode="External"/><Relationship Id="rId47" Type="http://schemas.openxmlformats.org/officeDocument/2006/relationships/hyperlink" Target="https://doi.org/10.2174/1573396312666151117121011" TargetMode="External"/><Relationship Id="rId50" Type="http://schemas.openxmlformats.org/officeDocument/2006/relationships/hyperlink" Target="https://doi.org/10.1002/btm2.10701" TargetMode="External"/><Relationship Id="rId55" Type="http://schemas.openxmlformats.org/officeDocument/2006/relationships/hyperlink" Target="https://doi.org/10.1002/sctm.16-0330"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3/jcb.201807037" TargetMode="External"/><Relationship Id="rId29" Type="http://schemas.openxmlformats.org/officeDocument/2006/relationships/hyperlink" Target="https://doi.org/10.7314/apjcp.2013.14.10.5705" TargetMode="External"/><Relationship Id="rId11" Type="http://schemas.openxmlformats.org/officeDocument/2006/relationships/hyperlink" Target="https://doi.org/10.3389/fimmu.2025.1567640" TargetMode="External"/><Relationship Id="rId24" Type="http://schemas.openxmlformats.org/officeDocument/2006/relationships/hyperlink" Target="https://doi.org/10.1111/jgh.12991" TargetMode="External"/><Relationship Id="rId32" Type="http://schemas.openxmlformats.org/officeDocument/2006/relationships/hyperlink" Target="https://doi.org/10.4103/1673-5374.162765" TargetMode="External"/><Relationship Id="rId37" Type="http://schemas.openxmlformats.org/officeDocument/2006/relationships/hyperlink" Target="https://doi.org/10.1186/s40634-017-0118-0" TargetMode="External"/><Relationship Id="rId40" Type="http://schemas.openxmlformats.org/officeDocument/2006/relationships/hyperlink" Target="https://doi.org/10.1007/s00586-012-2233-z" TargetMode="External"/><Relationship Id="rId45" Type="http://schemas.openxmlformats.org/officeDocument/2006/relationships/hyperlink" Target="https://doi.org/10.1038/nn.4541" TargetMode="External"/><Relationship Id="rId53" Type="http://schemas.openxmlformats.org/officeDocument/2006/relationships/hyperlink" Target="https://doi.org/10.4252/wjsc.v13.i8.1005"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1007/s10238-013-0266-1" TargetMode="External"/><Relationship Id="rId14" Type="http://schemas.openxmlformats.org/officeDocument/2006/relationships/hyperlink" Target="https://doi.org/10.1186/s13287-019-1165-5" TargetMode="External"/><Relationship Id="rId22" Type="http://schemas.openxmlformats.org/officeDocument/2006/relationships/hyperlink" Target="https://doi.org/10.1155/2015/975302" TargetMode="External"/><Relationship Id="rId27" Type="http://schemas.openxmlformats.org/officeDocument/2006/relationships/hyperlink" Target="https://doi.org/10.1177/0363546518758667" TargetMode="External"/><Relationship Id="rId30" Type="http://schemas.openxmlformats.org/officeDocument/2006/relationships/hyperlink" Target="https://pubmed.ncbi.nlm.nih.gov/26550238/" TargetMode="External"/><Relationship Id="rId35" Type="http://schemas.openxmlformats.org/officeDocument/2006/relationships/hyperlink" Target="https://doi.org/10.5152/eurjrheum.2016.048" TargetMode="External"/><Relationship Id="rId43" Type="http://schemas.openxmlformats.org/officeDocument/2006/relationships/hyperlink" Target="https://doi.org/10.3978/j.issn.2224-4336.2014.03.05" TargetMode="External"/><Relationship Id="rId48" Type="http://schemas.openxmlformats.org/officeDocument/2006/relationships/hyperlink" Target="https://doi.org/10.1186/s13287-020-02001-1" TargetMode="External"/><Relationship Id="rId56" Type="http://schemas.openxmlformats.org/officeDocument/2006/relationships/hyperlink" Target="https://doi.org/10.52965/001c.37498"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oi.org/10.3389/fbioe.2019.00314" TargetMode="External"/><Relationship Id="rId3" Type="http://schemas.openxmlformats.org/officeDocument/2006/relationships/styles" Target="styles.xml"/><Relationship Id="rId12" Type="http://schemas.openxmlformats.org/officeDocument/2006/relationships/hyperlink" Target="https://doi.org/10.1177/23094990211036545" TargetMode="External"/><Relationship Id="rId17" Type="http://schemas.openxmlformats.org/officeDocument/2006/relationships/hyperlink" Target="https://doi.org/10.3390/ijms22020970" TargetMode="External"/><Relationship Id="rId25" Type="http://schemas.openxmlformats.org/officeDocument/2006/relationships/hyperlink" Target="https://doi.org/10.1016/j.jcyt.2015.03.006" TargetMode="External"/><Relationship Id="rId33" Type="http://schemas.openxmlformats.org/officeDocument/2006/relationships/hyperlink" Target="https://doi.org/10.1007/s12015-015-9633-5" TargetMode="External"/><Relationship Id="rId38" Type="http://schemas.openxmlformats.org/officeDocument/2006/relationships/hyperlink" Target="https://doi.org/10.3390/app11177966" TargetMode="External"/><Relationship Id="rId46" Type="http://schemas.openxmlformats.org/officeDocument/2006/relationships/hyperlink" Target="https://doi.org/10.3121/cmr.1.2.125" TargetMode="External"/><Relationship Id="rId59" Type="http://schemas.openxmlformats.org/officeDocument/2006/relationships/header" Target="header2.xml"/><Relationship Id="rId20" Type="http://schemas.openxmlformats.org/officeDocument/2006/relationships/hyperlink" Target="https://doi.org/10.1155/2016/5302120" TargetMode="External"/><Relationship Id="rId41" Type="http://schemas.openxmlformats.org/officeDocument/2006/relationships/hyperlink" Target="https://doi.org/10.1186/s13287-019-1350-6" TargetMode="External"/><Relationship Id="rId54" Type="http://schemas.openxmlformats.org/officeDocument/2006/relationships/hyperlink" Target="https://doi.org/10.1136/bjsports-2016-096793"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devcel.2021.05.018" TargetMode="External"/><Relationship Id="rId23" Type="http://schemas.openxmlformats.org/officeDocument/2006/relationships/hyperlink" Target="https://doi.org/10.1016/j.bpobgyn.2015.08.014" TargetMode="External"/><Relationship Id="rId28" Type="http://schemas.openxmlformats.org/officeDocument/2006/relationships/hyperlink" Target="https://doi.org/10.1371/journal.pone.0076195" TargetMode="External"/><Relationship Id="rId36" Type="http://schemas.openxmlformats.org/officeDocument/2006/relationships/hyperlink" Target="https://doi.org/10.1016/j.biomaterials.2008.06.026" TargetMode="External"/><Relationship Id="rId49" Type="http://schemas.openxmlformats.org/officeDocument/2006/relationships/hyperlink" Target="https://doi.org/10.1159/000469704" TargetMode="External"/><Relationship Id="rId57" Type="http://schemas.openxmlformats.org/officeDocument/2006/relationships/hyperlink" Target="https://doi.org/10.1007/978-1-4939-1118-9" TargetMode="External"/><Relationship Id="rId10" Type="http://schemas.openxmlformats.org/officeDocument/2006/relationships/hyperlink" Target="https://doi.org/10.3390/jcm14062061" TargetMode="External"/><Relationship Id="rId31" Type="http://schemas.openxmlformats.org/officeDocument/2006/relationships/hyperlink" Target="https://doi.org/10.1038/86439" TargetMode="External"/><Relationship Id="rId44" Type="http://schemas.openxmlformats.org/officeDocument/2006/relationships/hyperlink" Target="https://doi.org/10.1186/s13578-020-00475-3" TargetMode="External"/><Relationship Id="rId52" Type="http://schemas.openxmlformats.org/officeDocument/2006/relationships/hyperlink" Target="https://doi.org/10.3390/medicina59040725"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1038/s41556-018-0237-6" TargetMode="External"/><Relationship Id="rId18" Type="http://schemas.openxmlformats.org/officeDocument/2006/relationships/hyperlink" Target="https://doi.org/10.3390/ijms20102523" TargetMode="External"/><Relationship Id="rId39" Type="http://schemas.openxmlformats.org/officeDocument/2006/relationships/hyperlink" Target="https://doi.org/10.3389/fbioe.2023.1155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A228-9671-449D-A89E-53E92D1F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6028</Words>
  <Characters>34362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demaprasetya</dc:creator>
  <cp:keywords/>
  <dc:description/>
  <cp:lastModifiedBy>SDI 1084</cp:lastModifiedBy>
  <cp:revision>17</cp:revision>
  <dcterms:created xsi:type="dcterms:W3CDTF">2025-11-17T16:03:00Z</dcterms:created>
  <dcterms:modified xsi:type="dcterms:W3CDTF">2025-11-29T12:25:00Z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64d9e6c6-21f3-36ff-9757-db5d2e649223</vt:lpwstr>
  </property>
  <property fmtid="{D5CDD505-2E9C-101B-9397-08002B2CF9AE}" pid="24" name="Mendeley Citation Style_1">
    <vt:lpwstr>http://www.zotero.org/styles/vancouver</vt:lpwstr>
  </property>
</Properties>
</file>