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DF671" w14:textId="77777777" w:rsidR="000E0F42" w:rsidRDefault="000E0F42">
      <w:pPr>
        <w:jc w:val="center"/>
        <w:rPr>
          <w:rFonts w:ascii="Times New Roman" w:hAnsi="Times New Roman"/>
          <w:b/>
          <w:bCs/>
          <w:sz w:val="32"/>
          <w:szCs w:val="32"/>
        </w:rPr>
      </w:pPr>
    </w:p>
    <w:p w14:paraId="4D34251C" w14:textId="0EBB9C75" w:rsidR="008039F8" w:rsidRDefault="00D674BC">
      <w:pPr>
        <w:jc w:val="center"/>
        <w:rPr>
          <w:rFonts w:ascii="Times New Roman" w:hAnsi="Times New Roman"/>
          <w:b/>
          <w:bCs/>
          <w:sz w:val="32"/>
          <w:szCs w:val="32"/>
        </w:rPr>
      </w:pPr>
      <w:bookmarkStart w:id="0" w:name="_Hlk215572774"/>
      <w:r>
        <w:rPr>
          <w:rFonts w:ascii="Times New Roman" w:hAnsi="Times New Roman"/>
          <w:b/>
          <w:bCs/>
          <w:sz w:val="32"/>
          <w:szCs w:val="32"/>
        </w:rPr>
        <w:t xml:space="preserve">Physicochemical and chemometric characterization of gum </w:t>
      </w:r>
      <w:proofErr w:type="spellStart"/>
      <w:r>
        <w:rPr>
          <w:rFonts w:ascii="Times New Roman" w:hAnsi="Times New Roman"/>
          <w:b/>
          <w:bCs/>
          <w:sz w:val="32"/>
          <w:szCs w:val="32"/>
        </w:rPr>
        <w:t>arabic</w:t>
      </w:r>
      <w:proofErr w:type="spellEnd"/>
      <w:r>
        <w:rPr>
          <w:rFonts w:ascii="Times New Roman" w:hAnsi="Times New Roman"/>
          <w:b/>
          <w:bCs/>
          <w:sz w:val="32"/>
          <w:szCs w:val="32"/>
        </w:rPr>
        <w:t xml:space="preserve"> from Acacia </w:t>
      </w:r>
      <w:proofErr w:type="spellStart"/>
      <w:r>
        <w:rPr>
          <w:rFonts w:ascii="Times New Roman" w:hAnsi="Times New Roman"/>
          <w:b/>
          <w:bCs/>
          <w:sz w:val="32"/>
          <w:szCs w:val="32"/>
        </w:rPr>
        <w:t>senegal</w:t>
      </w:r>
      <w:proofErr w:type="spellEnd"/>
      <w:r>
        <w:rPr>
          <w:rFonts w:ascii="Times New Roman" w:hAnsi="Times New Roman"/>
          <w:b/>
          <w:bCs/>
          <w:sz w:val="32"/>
          <w:szCs w:val="32"/>
        </w:rPr>
        <w:t xml:space="preserve"> and Acacia </w:t>
      </w:r>
      <w:proofErr w:type="spellStart"/>
      <w:r>
        <w:rPr>
          <w:rFonts w:ascii="Times New Roman" w:hAnsi="Times New Roman"/>
          <w:b/>
          <w:bCs/>
          <w:sz w:val="32"/>
          <w:szCs w:val="32"/>
        </w:rPr>
        <w:t>seyal</w:t>
      </w:r>
      <w:proofErr w:type="spellEnd"/>
      <w:r>
        <w:rPr>
          <w:rFonts w:ascii="Times New Roman" w:hAnsi="Times New Roman"/>
          <w:b/>
          <w:bCs/>
          <w:sz w:val="32"/>
          <w:szCs w:val="32"/>
        </w:rPr>
        <w:t xml:space="preserve"> in the Chari-</w:t>
      </w:r>
      <w:proofErr w:type="spellStart"/>
      <w:r>
        <w:rPr>
          <w:rFonts w:ascii="Times New Roman" w:hAnsi="Times New Roman"/>
          <w:b/>
          <w:bCs/>
          <w:sz w:val="32"/>
          <w:szCs w:val="32"/>
        </w:rPr>
        <w:t>Baguirmi</w:t>
      </w:r>
      <w:proofErr w:type="spellEnd"/>
      <w:r>
        <w:rPr>
          <w:rFonts w:ascii="Times New Roman" w:hAnsi="Times New Roman"/>
          <w:b/>
          <w:bCs/>
          <w:sz w:val="32"/>
          <w:szCs w:val="32"/>
        </w:rPr>
        <w:t xml:space="preserve"> region (Chad)</w:t>
      </w:r>
    </w:p>
    <w:bookmarkEnd w:id="0"/>
    <w:p w14:paraId="64807285" w14:textId="77777777" w:rsidR="008039F8" w:rsidRDefault="008039F8">
      <w:pPr>
        <w:jc w:val="center"/>
        <w:rPr>
          <w:rFonts w:ascii="Times New Roman" w:hAnsi="Times New Roman"/>
          <w:b/>
          <w:bCs/>
          <w:sz w:val="32"/>
          <w:szCs w:val="32"/>
        </w:rPr>
      </w:pPr>
    </w:p>
    <w:p w14:paraId="14996C32" w14:textId="77777777" w:rsidR="008039F8" w:rsidRDefault="00D674BC">
      <w:pPr>
        <w:jc w:val="both"/>
        <w:rPr>
          <w:rFonts w:ascii="Times New Roman" w:hAnsi="Times New Roman"/>
          <w:b/>
          <w:bCs/>
          <w:sz w:val="24"/>
          <w:szCs w:val="24"/>
        </w:rPr>
      </w:pPr>
      <w:r>
        <w:rPr>
          <w:rFonts w:ascii="Times New Roman" w:hAnsi="Times New Roman"/>
          <w:b/>
          <w:bCs/>
          <w:sz w:val="24"/>
          <w:szCs w:val="24"/>
        </w:rPr>
        <w:t>Abstract</w:t>
      </w:r>
    </w:p>
    <w:p w14:paraId="5CD873DB" w14:textId="77777777" w:rsidR="008039F8" w:rsidRPr="00733026" w:rsidRDefault="00D674BC">
      <w:pPr>
        <w:pStyle w:val="NormalWeb"/>
        <w:spacing w:before="280" w:after="280"/>
        <w:jc w:val="both"/>
        <w:rPr>
          <w:lang w:val="en-US"/>
        </w:rPr>
      </w:pPr>
      <w:r>
        <w:rPr>
          <w:lang w:val="en-US"/>
        </w:rPr>
        <w:t xml:space="preserve">Gum </w:t>
      </w:r>
      <w:proofErr w:type="spellStart"/>
      <w:r>
        <w:rPr>
          <w:lang w:val="en-US"/>
        </w:rPr>
        <w:t>arabic</w:t>
      </w:r>
      <w:proofErr w:type="spellEnd"/>
      <w:r>
        <w:rPr>
          <w:lang w:val="en-US"/>
        </w:rPr>
        <w:t xml:space="preserve"> is a natural hydrocolloid mainly o</w:t>
      </w:r>
      <w:r>
        <w:rPr>
          <w:lang w:val="en-US"/>
        </w:rPr>
        <w:t xml:space="preserve">btained from </w:t>
      </w:r>
      <w:r>
        <w:rPr>
          <w:rStyle w:val="Emphasis"/>
          <w:lang w:val="en-US"/>
        </w:rPr>
        <w:t xml:space="preserve">Acacia </w:t>
      </w:r>
      <w:proofErr w:type="spellStart"/>
      <w:r>
        <w:rPr>
          <w:rStyle w:val="Emphasis"/>
          <w:lang w:val="en-US"/>
        </w:rPr>
        <w:t>senegal</w:t>
      </w:r>
      <w:proofErr w:type="spellEnd"/>
      <w:r>
        <w:rPr>
          <w:lang w:val="en-US"/>
        </w:rPr>
        <w:t xml:space="preserve"> and </w:t>
      </w:r>
      <w:r>
        <w:rPr>
          <w:rStyle w:val="Emphasis"/>
          <w:lang w:val="en-US"/>
        </w:rPr>
        <w:t xml:space="preserve">Acacia </w:t>
      </w:r>
      <w:proofErr w:type="spellStart"/>
      <w:r>
        <w:rPr>
          <w:rStyle w:val="Emphasis"/>
          <w:lang w:val="en-US"/>
        </w:rPr>
        <w:t>seyal</w:t>
      </w:r>
      <w:proofErr w:type="spellEnd"/>
      <w:r>
        <w:rPr>
          <w:lang w:val="en-US"/>
        </w:rPr>
        <w:t>, widely used in the food, pharmaceutical and cosmetic industries for its functional properties. This study aims to characterize and discriminate gums from these two species collected in the Chari-</w:t>
      </w:r>
      <w:proofErr w:type="spellStart"/>
      <w:r>
        <w:rPr>
          <w:lang w:val="en-US"/>
        </w:rPr>
        <w:t>Baguirmi</w:t>
      </w:r>
      <w:proofErr w:type="spellEnd"/>
      <w:r>
        <w:rPr>
          <w:lang w:val="en-US"/>
        </w:rPr>
        <w:t xml:space="preserve"> provin</w:t>
      </w:r>
      <w:r>
        <w:rPr>
          <w:lang w:val="en-US"/>
        </w:rPr>
        <w:t xml:space="preserve">ce (Chad), by combining standardized physicochemical analyses (FAO, AOAC) with multivariate chemometric approaches (PCA, PLS-DA, HCA). Moisture, ash, insoluble matter, pH and optical rotation were measured on twenty-four samples. </w:t>
      </w:r>
      <w:r>
        <w:rPr>
          <w:rStyle w:val="Emphasis"/>
          <w:lang w:val="en-US"/>
        </w:rPr>
        <w:t xml:space="preserve">A. </w:t>
      </w:r>
      <w:proofErr w:type="spellStart"/>
      <w:r>
        <w:rPr>
          <w:rStyle w:val="Emphasis"/>
          <w:lang w:val="en-US"/>
        </w:rPr>
        <w:t>seyal</w:t>
      </w:r>
      <w:proofErr w:type="spellEnd"/>
      <w:r>
        <w:rPr>
          <w:lang w:val="en-US"/>
        </w:rPr>
        <w:t xml:space="preserve"> shows a higher me</w:t>
      </w:r>
      <w:r>
        <w:rPr>
          <w:lang w:val="en-US"/>
        </w:rPr>
        <w:t xml:space="preserve">an moisture content (12.43 ± 0.54%), whereas </w:t>
      </w:r>
      <w:r>
        <w:rPr>
          <w:rStyle w:val="Emphasis"/>
          <w:lang w:val="en-US"/>
        </w:rPr>
        <w:t xml:space="preserve">A. </w:t>
      </w:r>
      <w:proofErr w:type="spellStart"/>
      <w:r>
        <w:rPr>
          <w:rStyle w:val="Emphasis"/>
          <w:lang w:val="en-US"/>
        </w:rPr>
        <w:t>senegal</w:t>
      </w:r>
      <w:proofErr w:type="spellEnd"/>
      <w:r>
        <w:rPr>
          <w:lang w:val="en-US"/>
        </w:rPr>
        <w:t xml:space="preserve"> exhibits higher ash content (1.38 ± 0.19%) and optical rotation (2.20 ± 1.65°). PCA explains 87.3% of the total variance on the first two components and reveals a clear separation between the species.</w:t>
      </w:r>
      <w:r>
        <w:rPr>
          <w:lang w:val="en-US"/>
        </w:rPr>
        <w:t xml:space="preserve"> The PLS-DA model confirms this discrimination, identifying moisture and ash as major variables, and hierarchical clustering analysis reveals two homogeneous, non-overlapping groups. These results, consistent with FAO (2012) specifications, highlight stron</w:t>
      </w:r>
      <w:r>
        <w:rPr>
          <w:lang w:val="en-US"/>
        </w:rPr>
        <w:t xml:space="preserve">g interspecific variability and demonstrate the effectiveness of chemometric approaches for the classification, traceability and valorization of gum </w:t>
      </w:r>
      <w:proofErr w:type="spellStart"/>
      <w:r>
        <w:rPr>
          <w:lang w:val="en-US"/>
        </w:rPr>
        <w:t>arabic</w:t>
      </w:r>
      <w:proofErr w:type="spellEnd"/>
      <w:r>
        <w:rPr>
          <w:lang w:val="en-US"/>
        </w:rPr>
        <w:t xml:space="preserve"> from Chad.</w:t>
      </w:r>
    </w:p>
    <w:p w14:paraId="76E19383" w14:textId="77777777" w:rsidR="008039F8" w:rsidRPr="00733026" w:rsidRDefault="00D674BC">
      <w:pPr>
        <w:pStyle w:val="NormalWeb"/>
        <w:spacing w:before="280" w:after="280"/>
        <w:jc w:val="both"/>
        <w:rPr>
          <w:lang w:val="en-US"/>
        </w:rPr>
      </w:pPr>
      <w:r>
        <w:rPr>
          <w:rStyle w:val="Strong"/>
          <w:lang w:val="en-US"/>
        </w:rPr>
        <w:t>Keywords:</w:t>
      </w:r>
      <w:r>
        <w:rPr>
          <w:lang w:val="en-US"/>
        </w:rPr>
        <w:t xml:space="preserve"> gum </w:t>
      </w:r>
      <w:proofErr w:type="spellStart"/>
      <w:r>
        <w:rPr>
          <w:lang w:val="en-US"/>
        </w:rPr>
        <w:t>arabic</w:t>
      </w:r>
      <w:proofErr w:type="spellEnd"/>
      <w:r>
        <w:rPr>
          <w:lang w:val="en-US"/>
        </w:rPr>
        <w:t xml:space="preserve">; </w:t>
      </w:r>
      <w:r>
        <w:rPr>
          <w:rStyle w:val="Emphasis"/>
          <w:lang w:val="en-US"/>
        </w:rPr>
        <w:t xml:space="preserve">Acacia </w:t>
      </w:r>
      <w:proofErr w:type="spellStart"/>
      <w:r>
        <w:rPr>
          <w:rStyle w:val="Emphasis"/>
          <w:lang w:val="en-US"/>
        </w:rPr>
        <w:t>senegal</w:t>
      </w:r>
      <w:proofErr w:type="spellEnd"/>
      <w:r>
        <w:rPr>
          <w:lang w:val="en-US"/>
        </w:rPr>
        <w:t xml:space="preserve">; </w:t>
      </w:r>
      <w:r>
        <w:rPr>
          <w:rStyle w:val="Emphasis"/>
          <w:lang w:val="en-US"/>
        </w:rPr>
        <w:t xml:space="preserve">Acacia </w:t>
      </w:r>
      <w:proofErr w:type="spellStart"/>
      <w:r>
        <w:rPr>
          <w:rStyle w:val="Emphasis"/>
          <w:lang w:val="en-US"/>
        </w:rPr>
        <w:t>seyal</w:t>
      </w:r>
      <w:proofErr w:type="spellEnd"/>
      <w:r>
        <w:rPr>
          <w:lang w:val="en-US"/>
        </w:rPr>
        <w:t>; Chari-</w:t>
      </w:r>
      <w:proofErr w:type="spellStart"/>
      <w:r>
        <w:rPr>
          <w:lang w:val="en-US"/>
        </w:rPr>
        <w:t>Baguirmi</w:t>
      </w:r>
      <w:proofErr w:type="spellEnd"/>
      <w:r>
        <w:rPr>
          <w:lang w:val="en-US"/>
        </w:rPr>
        <w:t>; physicochemical prope</w:t>
      </w:r>
      <w:r>
        <w:rPr>
          <w:lang w:val="en-US"/>
        </w:rPr>
        <w:t>rties; chemometrics; PCA; PLS-DA.</w:t>
      </w:r>
    </w:p>
    <w:p w14:paraId="46E50B90"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1. Introduction</w:t>
      </w:r>
      <w:r>
        <w:rPr>
          <w:rFonts w:ascii="Times New Roman" w:hAnsi="Times New Roman"/>
          <w:sz w:val="24"/>
          <w:szCs w:val="24"/>
        </w:rPr>
        <w:t xml:space="preserve">  </w:t>
      </w:r>
    </w:p>
    <w:p w14:paraId="5BF980A2" w14:textId="77777777" w:rsidR="008039F8" w:rsidRDefault="00D674BC">
      <w:pPr>
        <w:jc w:val="both"/>
        <w:rPr>
          <w:rFonts w:ascii="Times New Roman" w:hAnsi="Times New Roman"/>
          <w:sz w:val="24"/>
          <w:szCs w:val="24"/>
        </w:rPr>
      </w:pPr>
      <w:r>
        <w:rPr>
          <w:rFonts w:ascii="Times New Roman" w:hAnsi="Times New Roman"/>
          <w:sz w:val="24"/>
          <w:szCs w:val="24"/>
        </w:rPr>
        <w:t xml:space="preserve">Gum </w:t>
      </w:r>
      <w:proofErr w:type="spellStart"/>
      <w:r>
        <w:rPr>
          <w:rFonts w:ascii="Times New Roman" w:hAnsi="Times New Roman"/>
          <w:sz w:val="24"/>
          <w:szCs w:val="24"/>
        </w:rPr>
        <w:t>arabic</w:t>
      </w:r>
      <w:proofErr w:type="spellEnd"/>
      <w:r>
        <w:rPr>
          <w:rFonts w:ascii="Times New Roman" w:hAnsi="Times New Roman"/>
          <w:sz w:val="24"/>
          <w:szCs w:val="24"/>
        </w:rPr>
        <w:t xml:space="preserve"> is a natural exudate obtained mainly from the trunks of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A complex biopolymer composed of branched heteropolysaccharides associated with protein and mineral fractions, it is widely used because of its emulsifying, stabilizing and encapsulating properties [1,2]. This resource represents a source of seasonal inc</w:t>
      </w:r>
      <w:r>
        <w:rPr>
          <w:rFonts w:ascii="Times New Roman" w:hAnsi="Times New Roman"/>
          <w:sz w:val="24"/>
          <w:szCs w:val="24"/>
        </w:rPr>
        <w:t xml:space="preserve">ome for many rural communities, but its economic potential remains underexploited.  </w:t>
      </w:r>
    </w:p>
    <w:p w14:paraId="0DC8A138" w14:textId="77777777" w:rsidR="008039F8" w:rsidRDefault="00D674BC">
      <w:pPr>
        <w:jc w:val="both"/>
        <w:rPr>
          <w:rFonts w:ascii="Times New Roman" w:hAnsi="Times New Roman"/>
          <w:sz w:val="24"/>
          <w:szCs w:val="24"/>
        </w:rPr>
      </w:pPr>
      <w:r>
        <w:rPr>
          <w:rFonts w:ascii="Times New Roman" w:hAnsi="Times New Roman"/>
          <w:sz w:val="24"/>
          <w:szCs w:val="24"/>
        </w:rPr>
        <w:t>Its physicochemical characteristics, such as solubility, viscosity, pH, ash content, moisture and optical rotation, directly determine its industrial performance and comme</w:t>
      </w:r>
      <w:r>
        <w:rPr>
          <w:rFonts w:ascii="Times New Roman" w:hAnsi="Times New Roman"/>
          <w:sz w:val="24"/>
          <w:szCs w:val="24"/>
        </w:rPr>
        <w:t xml:space="preserve">rcial value.  </w:t>
      </w:r>
    </w:p>
    <w:p w14:paraId="64DD9711" w14:textId="77777777" w:rsidR="008039F8" w:rsidRDefault="00D674BC">
      <w:pPr>
        <w:jc w:val="both"/>
        <w:rPr>
          <w:rFonts w:ascii="Times New Roman" w:hAnsi="Times New Roman"/>
          <w:sz w:val="24"/>
          <w:szCs w:val="24"/>
        </w:rPr>
      </w:pPr>
      <w:r>
        <w:rPr>
          <w:rFonts w:ascii="Times New Roman" w:hAnsi="Times New Roman"/>
          <w:sz w:val="24"/>
          <w:szCs w:val="24"/>
        </w:rPr>
        <w:t>The variability of these parameters depends on the botanical species, environmental factors and post-harvest practices [3,4]. In Chad,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is a major </w:t>
      </w:r>
      <w:r>
        <w:rPr>
          <w:rFonts w:ascii="Times New Roman" w:hAnsi="Times New Roman"/>
          <w:sz w:val="24"/>
          <w:szCs w:val="24"/>
        </w:rPr>
        <w:lastRenderedPageBreak/>
        <w:t xml:space="preserve">production area, but the differentiation and valorization of local </w:t>
      </w:r>
      <w:r>
        <w:rPr>
          <w:rFonts w:ascii="Times New Roman" w:hAnsi="Times New Roman"/>
          <w:sz w:val="24"/>
          <w:szCs w:val="24"/>
        </w:rPr>
        <w:t xml:space="preserve">gums remain limited due to the lack of structured scientific data [5].  </w:t>
      </w:r>
    </w:p>
    <w:p w14:paraId="23F94A15" w14:textId="77777777" w:rsidR="008039F8" w:rsidRDefault="00D674BC">
      <w:pPr>
        <w:jc w:val="both"/>
        <w:rPr>
          <w:rFonts w:ascii="Times New Roman" w:hAnsi="Times New Roman"/>
          <w:sz w:val="24"/>
          <w:szCs w:val="24"/>
        </w:rPr>
      </w:pPr>
      <w:r>
        <w:rPr>
          <w:rFonts w:ascii="Times New Roman" w:hAnsi="Times New Roman"/>
          <w:sz w:val="24"/>
          <w:szCs w:val="24"/>
        </w:rPr>
        <w:t>Multivariate chemometric approaches (PCA, PLS-DA, HCA) are particularly suited to the classification of gums according to their botanical origin [6,7]. Their combination with standardized physicochemical measurements makes it possible to define reliable an</w:t>
      </w:r>
      <w:r>
        <w:rPr>
          <w:rFonts w:ascii="Times New Roman" w:hAnsi="Times New Roman"/>
          <w:sz w:val="24"/>
          <w:szCs w:val="24"/>
        </w:rPr>
        <w:t xml:space="preserve">alytical signatures.  </w:t>
      </w:r>
    </w:p>
    <w:p w14:paraId="2D9BD87A" w14:textId="77777777" w:rsidR="008039F8" w:rsidRDefault="00D674BC">
      <w:pPr>
        <w:jc w:val="both"/>
        <w:rPr>
          <w:rFonts w:ascii="Times New Roman" w:hAnsi="Times New Roman"/>
          <w:sz w:val="24"/>
          <w:szCs w:val="24"/>
        </w:rPr>
      </w:pPr>
      <w:r>
        <w:rPr>
          <w:rFonts w:ascii="Times New Roman" w:hAnsi="Times New Roman"/>
          <w:sz w:val="24"/>
          <w:szCs w:val="24"/>
        </w:rPr>
        <w:t xml:space="preserve">The present study therefore aims to compare gums from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collected in this region, through an approach combining standardized physicochemical measurements and chemometric analyses (PCA, PLS-DA, HCA), in order to </w:t>
      </w:r>
      <w:r>
        <w:rPr>
          <w:rFonts w:ascii="Times New Roman" w:hAnsi="Times New Roman"/>
          <w:sz w:val="24"/>
          <w:szCs w:val="24"/>
        </w:rPr>
        <w:t xml:space="preserve">position these characteristics with respect to international FAO standards [8].  </w:t>
      </w:r>
    </w:p>
    <w:p w14:paraId="4ECC99C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2. Materials and methods  </w:t>
      </w:r>
    </w:p>
    <w:p w14:paraId="1A348937"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2.1. Study area and sample collection  </w:t>
      </w:r>
    </w:p>
    <w:p w14:paraId="6C80CA9C" w14:textId="77777777" w:rsidR="008039F8" w:rsidRDefault="00D674BC">
      <w:pPr>
        <w:jc w:val="both"/>
        <w:rPr>
          <w:rFonts w:ascii="Times New Roman" w:hAnsi="Times New Roman"/>
          <w:sz w:val="24"/>
          <w:szCs w:val="24"/>
        </w:rPr>
      </w:pPr>
      <w:r>
        <w:rPr>
          <w:rFonts w:ascii="Times New Roman" w:hAnsi="Times New Roman"/>
          <w:sz w:val="24"/>
          <w:szCs w:val="24"/>
        </w:rPr>
        <w:t>Sampling was carried out at three sites (</w:t>
      </w:r>
      <w:proofErr w:type="spellStart"/>
      <w:r>
        <w:rPr>
          <w:rFonts w:ascii="Times New Roman" w:hAnsi="Times New Roman"/>
          <w:sz w:val="24"/>
          <w:szCs w:val="24"/>
        </w:rPr>
        <w:t>Massenya</w:t>
      </w:r>
      <w:proofErr w:type="spellEnd"/>
      <w:r>
        <w:rPr>
          <w:rFonts w:ascii="Times New Roman" w:hAnsi="Times New Roman"/>
          <w:sz w:val="24"/>
          <w:szCs w:val="24"/>
        </w:rPr>
        <w:t xml:space="preserve">, </w:t>
      </w:r>
      <w:proofErr w:type="spellStart"/>
      <w:r>
        <w:rPr>
          <w:rFonts w:ascii="Times New Roman" w:hAnsi="Times New Roman"/>
          <w:sz w:val="24"/>
          <w:szCs w:val="24"/>
        </w:rPr>
        <w:t>Bousso</w:t>
      </w:r>
      <w:proofErr w:type="spellEnd"/>
      <w:r>
        <w:rPr>
          <w:rFonts w:ascii="Times New Roman" w:hAnsi="Times New Roman"/>
          <w:sz w:val="24"/>
          <w:szCs w:val="24"/>
        </w:rPr>
        <w:t xml:space="preserve"> and </w:t>
      </w:r>
      <w:proofErr w:type="spellStart"/>
      <w:r>
        <w:rPr>
          <w:rFonts w:ascii="Times New Roman" w:hAnsi="Times New Roman"/>
          <w:sz w:val="24"/>
          <w:szCs w:val="24"/>
        </w:rPr>
        <w:t>Dourbali</w:t>
      </w:r>
      <w:proofErr w:type="spellEnd"/>
      <w:r>
        <w:rPr>
          <w:rFonts w:ascii="Times New Roman" w:hAnsi="Times New Roman"/>
          <w:sz w:val="24"/>
          <w:szCs w:val="24"/>
        </w:rPr>
        <w:t>) in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(Ch</w:t>
      </w:r>
      <w:r>
        <w:rPr>
          <w:rFonts w:ascii="Times New Roman" w:hAnsi="Times New Roman"/>
          <w:sz w:val="24"/>
          <w:szCs w:val="24"/>
        </w:rPr>
        <w:t>ad), a semi-arid region characterized by a dry season (November-May) and a rainy season (June-October). Natural exudates were collected manually during the dry season, then cleaned to remove impurities (bark fragments, sand) and packed in airtight bags. Bo</w:t>
      </w:r>
      <w:r>
        <w:rPr>
          <w:rFonts w:ascii="Times New Roman" w:hAnsi="Times New Roman"/>
          <w:sz w:val="24"/>
          <w:szCs w:val="24"/>
        </w:rPr>
        <w:t xml:space="preserve">tanical identification was performed using distinctive morphological criteria (bark, thorns, pod shape). </w:t>
      </w:r>
    </w:p>
    <w:p w14:paraId="23E9B564" w14:textId="77777777" w:rsidR="008039F8" w:rsidRDefault="00D674BC">
      <w:pPr>
        <w:jc w:val="both"/>
        <w:rPr>
          <w:rFonts w:ascii="Times New Roman" w:hAnsi="Times New Roman"/>
          <w:sz w:val="24"/>
          <w:szCs w:val="24"/>
        </w:rPr>
      </w:pPr>
      <w:r>
        <w:rPr>
          <w:rFonts w:ascii="Times New Roman" w:hAnsi="Times New Roman"/>
          <w:sz w:val="24"/>
          <w:szCs w:val="24"/>
        </w:rPr>
        <w:t xml:space="preserve"> </w:t>
      </w:r>
    </w:p>
    <w:p w14:paraId="57E07466"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2.2. Sample preparation  </w:t>
      </w:r>
    </w:p>
    <w:p w14:paraId="58DE5A4D" w14:textId="77777777" w:rsidR="008039F8" w:rsidRDefault="00D674BC">
      <w:pPr>
        <w:jc w:val="both"/>
        <w:rPr>
          <w:rFonts w:ascii="Times New Roman" w:hAnsi="Times New Roman"/>
          <w:sz w:val="24"/>
          <w:szCs w:val="24"/>
        </w:rPr>
      </w:pPr>
      <w:r>
        <w:rPr>
          <w:rFonts w:ascii="Times New Roman" w:hAnsi="Times New Roman"/>
          <w:sz w:val="24"/>
          <w:szCs w:val="24"/>
        </w:rPr>
        <w:t>In the laboratory, the gums were ground in a mill at 3000 rpm. The fine powders obtained were stored in sterile polyethyle</w:t>
      </w:r>
      <w:r>
        <w:rPr>
          <w:rFonts w:ascii="Times New Roman" w:hAnsi="Times New Roman"/>
          <w:sz w:val="24"/>
          <w:szCs w:val="24"/>
        </w:rPr>
        <w:t xml:space="preserve">ne bottles, hermetically sealed, at room temperature and protected from moisture. These precautions made it possible to preserve the chemical and physical integrity of the samples prior to analytical measurements. </w:t>
      </w:r>
    </w:p>
    <w:p w14:paraId="653B0F5E" w14:textId="77777777" w:rsidR="008039F8" w:rsidRDefault="00D674BC">
      <w:pPr>
        <w:jc w:val="both"/>
        <w:rPr>
          <w:rFonts w:ascii="Times New Roman" w:hAnsi="Times New Roman"/>
          <w:sz w:val="24"/>
          <w:szCs w:val="24"/>
        </w:rPr>
      </w:pPr>
      <w:r>
        <w:rPr>
          <w:rFonts w:ascii="Times New Roman" w:hAnsi="Times New Roman"/>
          <w:sz w:val="24"/>
          <w:szCs w:val="24"/>
        </w:rPr>
        <w:t xml:space="preserve"> </w:t>
      </w:r>
    </w:p>
    <w:p w14:paraId="25C9695C" w14:textId="77777777" w:rsidR="008039F8" w:rsidRDefault="00D674BC">
      <w:pPr>
        <w:jc w:val="both"/>
        <w:rPr>
          <w:rFonts w:ascii="Times New Roman" w:hAnsi="Times New Roman"/>
          <w:sz w:val="24"/>
          <w:szCs w:val="24"/>
        </w:rPr>
      </w:pPr>
      <w:r>
        <w:rPr>
          <w:rFonts w:ascii="Times New Roman" w:hAnsi="Times New Roman"/>
          <w:b/>
          <w:bCs/>
          <w:sz w:val="24"/>
          <w:szCs w:val="24"/>
        </w:rPr>
        <w:t>2.3. Physicochemical methods</w:t>
      </w:r>
      <w:r>
        <w:rPr>
          <w:rFonts w:ascii="Times New Roman" w:hAnsi="Times New Roman"/>
          <w:sz w:val="24"/>
          <w:szCs w:val="24"/>
        </w:rPr>
        <w:t xml:space="preserve">  </w:t>
      </w:r>
    </w:p>
    <w:p w14:paraId="3ADBAA97" w14:textId="77777777" w:rsidR="008039F8" w:rsidRDefault="00D674BC">
      <w:pPr>
        <w:jc w:val="both"/>
        <w:rPr>
          <w:rFonts w:ascii="Times New Roman" w:hAnsi="Times New Roman"/>
          <w:sz w:val="24"/>
          <w:szCs w:val="24"/>
        </w:rPr>
      </w:pPr>
      <w:r>
        <w:rPr>
          <w:rFonts w:ascii="Times New Roman" w:hAnsi="Times New Roman"/>
          <w:sz w:val="24"/>
          <w:szCs w:val="24"/>
        </w:rPr>
        <w:t>Physicoc</w:t>
      </w:r>
      <w:r>
        <w:rPr>
          <w:rFonts w:ascii="Times New Roman" w:hAnsi="Times New Roman"/>
          <w:sz w:val="24"/>
          <w:szCs w:val="24"/>
        </w:rPr>
        <w:t xml:space="preserve">hemical analyses were carried out in accordance with FAO [8] and AOAC [9] standards. These analyses made it possible to obtain reliable data used in the comparative characterization of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w:t>
      </w:r>
    </w:p>
    <w:p w14:paraId="182C373A" w14:textId="77777777" w:rsidR="008039F8" w:rsidRDefault="00D674BC">
      <w:pPr>
        <w:jc w:val="both"/>
        <w:rPr>
          <w:rFonts w:ascii="Times New Roman" w:hAnsi="Times New Roman"/>
          <w:sz w:val="24"/>
          <w:szCs w:val="24"/>
        </w:rPr>
      </w:pPr>
      <w:r>
        <w:rPr>
          <w:rFonts w:ascii="Times New Roman" w:hAnsi="Times New Roman"/>
          <w:sz w:val="24"/>
          <w:szCs w:val="24"/>
        </w:rPr>
        <w:t>Moisture content was deter</w:t>
      </w:r>
      <w:r>
        <w:rPr>
          <w:rFonts w:ascii="Times New Roman" w:hAnsi="Times New Roman"/>
          <w:sz w:val="24"/>
          <w:szCs w:val="24"/>
        </w:rPr>
        <w:t xml:space="preserve">mined by drying at 105 °C to constant mass. This method allowed precise quantification of the water fraction of each sample.  </w:t>
      </w:r>
    </w:p>
    <w:p w14:paraId="734F73C6" w14:textId="77777777" w:rsidR="008039F8" w:rsidRDefault="00D674BC">
      <w:pPr>
        <w:jc w:val="both"/>
        <w:rPr>
          <w:rFonts w:ascii="Times New Roman" w:hAnsi="Times New Roman"/>
          <w:sz w:val="24"/>
          <w:szCs w:val="24"/>
        </w:rPr>
      </w:pPr>
      <w:r>
        <w:rPr>
          <w:rFonts w:ascii="Times New Roman" w:hAnsi="Times New Roman"/>
          <w:sz w:val="24"/>
          <w:szCs w:val="24"/>
        </w:rPr>
        <w:lastRenderedPageBreak/>
        <w:t xml:space="preserve">Ash content was measured after complete incineration of the organic matter in a muffle furnace at 550 °C for 8 h. This procedure </w:t>
      </w:r>
      <w:r>
        <w:rPr>
          <w:rFonts w:ascii="Times New Roman" w:hAnsi="Times New Roman"/>
          <w:sz w:val="24"/>
          <w:szCs w:val="24"/>
        </w:rPr>
        <w:t xml:space="preserve">provides the mineral residue representing the total inorganic fraction of the gum.  </w:t>
      </w:r>
    </w:p>
    <w:p w14:paraId="4A196C9D" w14:textId="77777777" w:rsidR="008039F8" w:rsidRDefault="00D674BC">
      <w:pPr>
        <w:jc w:val="both"/>
        <w:rPr>
          <w:rFonts w:ascii="Times New Roman" w:hAnsi="Times New Roman"/>
          <w:sz w:val="24"/>
          <w:szCs w:val="24"/>
        </w:rPr>
      </w:pPr>
      <w:r>
        <w:rPr>
          <w:rFonts w:ascii="Times New Roman" w:hAnsi="Times New Roman"/>
          <w:sz w:val="24"/>
          <w:szCs w:val="24"/>
        </w:rPr>
        <w:t>Insoluble matter was determined after treatment in a 3 N HCl solution. This step ends with weighing of the dry residue, indicating the proportion of material insoluble und</w:t>
      </w:r>
      <w:r>
        <w:rPr>
          <w:rFonts w:ascii="Times New Roman" w:hAnsi="Times New Roman"/>
          <w:sz w:val="24"/>
          <w:szCs w:val="24"/>
        </w:rPr>
        <w:t xml:space="preserve">er controlled acidic conditions.  </w:t>
      </w:r>
    </w:p>
    <w:p w14:paraId="4C689C46" w14:textId="77777777" w:rsidR="008039F8" w:rsidRDefault="00D674BC">
      <w:pPr>
        <w:jc w:val="both"/>
        <w:rPr>
          <w:rFonts w:ascii="Times New Roman" w:hAnsi="Times New Roman"/>
          <w:sz w:val="24"/>
          <w:szCs w:val="24"/>
        </w:rPr>
      </w:pPr>
      <w:r>
        <w:rPr>
          <w:rFonts w:ascii="Times New Roman" w:hAnsi="Times New Roman"/>
          <w:sz w:val="24"/>
          <w:szCs w:val="24"/>
        </w:rPr>
        <w:t xml:space="preserve">pH was measured in an aqueous solution at 25 % (w/w). The value obtained reflects the natural acidity and stability of gum </w:t>
      </w:r>
      <w:proofErr w:type="spellStart"/>
      <w:r>
        <w:rPr>
          <w:rFonts w:ascii="Times New Roman" w:hAnsi="Times New Roman"/>
          <w:sz w:val="24"/>
          <w:szCs w:val="24"/>
        </w:rPr>
        <w:t>arabic</w:t>
      </w:r>
      <w:proofErr w:type="spellEnd"/>
      <w:r>
        <w:rPr>
          <w:rFonts w:ascii="Times New Roman" w:hAnsi="Times New Roman"/>
          <w:sz w:val="24"/>
          <w:szCs w:val="24"/>
        </w:rPr>
        <w:t xml:space="preserve"> solutions.  </w:t>
      </w:r>
    </w:p>
    <w:p w14:paraId="64401014" w14:textId="77777777" w:rsidR="008039F8" w:rsidRDefault="00D674BC">
      <w:pPr>
        <w:jc w:val="both"/>
        <w:rPr>
          <w:rFonts w:ascii="Times New Roman" w:hAnsi="Times New Roman"/>
          <w:sz w:val="24"/>
          <w:szCs w:val="24"/>
        </w:rPr>
      </w:pPr>
      <w:r>
        <w:rPr>
          <w:rFonts w:ascii="Times New Roman" w:hAnsi="Times New Roman"/>
          <w:sz w:val="24"/>
          <w:szCs w:val="24"/>
        </w:rPr>
        <w:t>Finally, optical rotation was measured with a digital polarimeter on a 1 % (w/</w:t>
      </w:r>
      <w:r>
        <w:rPr>
          <w:rFonts w:ascii="Times New Roman" w:hAnsi="Times New Roman"/>
          <w:sz w:val="24"/>
          <w:szCs w:val="24"/>
        </w:rPr>
        <w:t xml:space="preserve">w) solution at 30.6 °C. This measurement reflects the global optical activity related to the stereochemical configuration of carbohydrate constituents.  </w:t>
      </w:r>
    </w:p>
    <w:p w14:paraId="08B5C9A1" w14:textId="77777777" w:rsidR="008039F8" w:rsidRDefault="008039F8">
      <w:pPr>
        <w:jc w:val="both"/>
        <w:rPr>
          <w:rFonts w:ascii="Times New Roman" w:hAnsi="Times New Roman"/>
          <w:sz w:val="24"/>
          <w:szCs w:val="24"/>
        </w:rPr>
      </w:pPr>
    </w:p>
    <w:p w14:paraId="4104CA5A"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2.4. Chemometric methods  </w:t>
      </w:r>
    </w:p>
    <w:p w14:paraId="6FD3C69E" w14:textId="77777777" w:rsidR="008039F8" w:rsidRDefault="00D674BC">
      <w:pPr>
        <w:jc w:val="both"/>
        <w:rPr>
          <w:rFonts w:ascii="Times New Roman" w:hAnsi="Times New Roman"/>
          <w:sz w:val="24"/>
          <w:szCs w:val="24"/>
        </w:rPr>
      </w:pPr>
      <w:r>
        <w:rPr>
          <w:rFonts w:ascii="Times New Roman" w:hAnsi="Times New Roman"/>
          <w:sz w:val="24"/>
          <w:szCs w:val="24"/>
        </w:rPr>
        <w:t>Chemometric analyses were performed using Python [10] (v3.11) with the lib</w:t>
      </w:r>
      <w:r>
        <w:rPr>
          <w:rFonts w:ascii="Times New Roman" w:hAnsi="Times New Roman"/>
          <w:sz w:val="24"/>
          <w:szCs w:val="24"/>
        </w:rPr>
        <w:t xml:space="preserve">raries scikit-learn [11] (PCA, PLS-DA), SciPy [12] (matrix calculations), NumPy [13] (preprocessing) and Matplotlib [14]/Seaborn [15] (visualizations). The analyses were reproduced in R [16] (v4.3) with </w:t>
      </w:r>
      <w:proofErr w:type="spellStart"/>
      <w:r>
        <w:rPr>
          <w:rFonts w:ascii="Times New Roman" w:hAnsi="Times New Roman"/>
          <w:sz w:val="24"/>
          <w:szCs w:val="24"/>
        </w:rPr>
        <w:t>FactoMineR</w:t>
      </w:r>
      <w:proofErr w:type="spellEnd"/>
      <w:r>
        <w:rPr>
          <w:rFonts w:ascii="Times New Roman" w:hAnsi="Times New Roman"/>
          <w:sz w:val="24"/>
          <w:szCs w:val="24"/>
        </w:rPr>
        <w:t xml:space="preserve"> [17] (PCA), chemometrics [18] (PLS-DA) and</w:t>
      </w:r>
      <w:r>
        <w:rPr>
          <w:rFonts w:ascii="Times New Roman" w:hAnsi="Times New Roman"/>
          <w:sz w:val="24"/>
          <w:szCs w:val="24"/>
        </w:rPr>
        <w:t xml:space="preserve"> </w:t>
      </w:r>
      <w:proofErr w:type="spellStart"/>
      <w:r>
        <w:rPr>
          <w:rFonts w:ascii="Times New Roman" w:hAnsi="Times New Roman"/>
          <w:sz w:val="24"/>
          <w:szCs w:val="24"/>
        </w:rPr>
        <w:t>factoextra</w:t>
      </w:r>
      <w:proofErr w:type="spellEnd"/>
      <w:r>
        <w:rPr>
          <w:rFonts w:ascii="Times New Roman" w:hAnsi="Times New Roman"/>
          <w:sz w:val="24"/>
          <w:szCs w:val="24"/>
        </w:rPr>
        <w:t xml:space="preserve"> [19] (visualization).  </w:t>
      </w:r>
    </w:p>
    <w:p w14:paraId="2A779921" w14:textId="77777777" w:rsidR="008039F8" w:rsidRDefault="00D674BC">
      <w:pPr>
        <w:jc w:val="both"/>
        <w:rPr>
          <w:rFonts w:ascii="Times New Roman" w:hAnsi="Times New Roman"/>
          <w:sz w:val="24"/>
          <w:szCs w:val="24"/>
        </w:rPr>
      </w:pPr>
      <w:r>
        <w:rPr>
          <w:rFonts w:ascii="Times New Roman" w:hAnsi="Times New Roman"/>
          <w:sz w:val="24"/>
          <w:szCs w:val="24"/>
        </w:rPr>
        <w:t xml:space="preserve">Chemometric analyses were used to characterize the global structure of the physicochemical data and to identify the most relevant variables for differentiating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The methods appli</w:t>
      </w:r>
      <w:r>
        <w:rPr>
          <w:rFonts w:ascii="Times New Roman" w:hAnsi="Times New Roman"/>
          <w:sz w:val="24"/>
          <w:szCs w:val="24"/>
        </w:rPr>
        <w:t xml:space="preserve">ed are based on well-established principles of multivariate analysis [6,7].  </w:t>
      </w:r>
    </w:p>
    <w:p w14:paraId="493A5909" w14:textId="77777777" w:rsidR="008039F8" w:rsidRDefault="00D674BC">
      <w:pPr>
        <w:jc w:val="both"/>
        <w:rPr>
          <w:rFonts w:ascii="Times New Roman" w:hAnsi="Times New Roman"/>
          <w:sz w:val="24"/>
          <w:szCs w:val="24"/>
        </w:rPr>
      </w:pPr>
      <w:r>
        <w:rPr>
          <w:rFonts w:ascii="Times New Roman" w:hAnsi="Times New Roman"/>
          <w:sz w:val="24"/>
          <w:szCs w:val="24"/>
        </w:rPr>
        <w:t>Principal component analysis (PCA) aims to reduce the dimensionality of the data while retaining most of the initial variance. It is based on the transformation of the original v</w:t>
      </w:r>
      <w:r>
        <w:rPr>
          <w:rFonts w:ascii="Times New Roman" w:hAnsi="Times New Roman"/>
          <w:sz w:val="24"/>
          <w:szCs w:val="24"/>
        </w:rPr>
        <w:t xml:space="preserve">ariables into a set of orthogonal components maximizing total variance [7]. This method allows visualization of the multivariate structure and reveals natural groupings between samples.  </w:t>
      </w:r>
    </w:p>
    <w:p w14:paraId="5E768423" w14:textId="77777777" w:rsidR="008039F8" w:rsidRDefault="00D674BC">
      <w:pPr>
        <w:jc w:val="both"/>
        <w:rPr>
          <w:rFonts w:ascii="Times New Roman" w:hAnsi="Times New Roman"/>
          <w:sz w:val="24"/>
          <w:szCs w:val="24"/>
        </w:rPr>
      </w:pPr>
      <w:r>
        <w:rPr>
          <w:rFonts w:ascii="Times New Roman" w:hAnsi="Times New Roman"/>
          <w:sz w:val="24"/>
          <w:szCs w:val="24"/>
        </w:rPr>
        <w:t>Partial least-squares discriminant analysis (PLS-DA) aims to model s</w:t>
      </w:r>
      <w:r>
        <w:rPr>
          <w:rFonts w:ascii="Times New Roman" w:hAnsi="Times New Roman"/>
          <w:sz w:val="24"/>
          <w:szCs w:val="24"/>
        </w:rPr>
        <w:t xml:space="preserve">upervised separation between predefined groups. Its principle is to project the data into a latent space optimized to maximize covariance between explanatory variables and the class variable, thus enabling identification of discriminant parameters [6].  </w:t>
      </w:r>
    </w:p>
    <w:p w14:paraId="03B812B4" w14:textId="77777777" w:rsidR="008039F8" w:rsidRDefault="00D674BC">
      <w:pPr>
        <w:jc w:val="both"/>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 xml:space="preserve">-means clustering is an unsupervised method whose role is to group samples into homogeneous classes by minimizing the distance between each individual and its cluster </w:t>
      </w:r>
      <w:r>
        <w:rPr>
          <w:rFonts w:ascii="Times New Roman" w:hAnsi="Times New Roman"/>
          <w:sz w:val="24"/>
          <w:szCs w:val="24"/>
        </w:rPr>
        <w:lastRenderedPageBreak/>
        <w:t>center [20]. This method reveals the natural structuring of the data and evaluates the co</w:t>
      </w:r>
      <w:r>
        <w:rPr>
          <w:rFonts w:ascii="Times New Roman" w:hAnsi="Times New Roman"/>
          <w:sz w:val="24"/>
          <w:szCs w:val="24"/>
        </w:rPr>
        <w:t xml:space="preserve">herence of the groupings obtained.  </w:t>
      </w:r>
    </w:p>
    <w:p w14:paraId="47B22AA7" w14:textId="77777777" w:rsidR="008039F8" w:rsidRDefault="00D674BC">
      <w:pPr>
        <w:jc w:val="both"/>
        <w:rPr>
          <w:rFonts w:ascii="Times New Roman" w:hAnsi="Times New Roman"/>
          <w:sz w:val="24"/>
          <w:szCs w:val="24"/>
        </w:rPr>
      </w:pPr>
      <w:r>
        <w:rPr>
          <w:rFonts w:ascii="Times New Roman" w:hAnsi="Times New Roman"/>
          <w:sz w:val="24"/>
          <w:szCs w:val="24"/>
        </w:rPr>
        <w:t xml:space="preserve">Hierarchical cluster analysis (HCA) is used to visually represent similarity relationships between samples in a dendrogram. Its principle is based on the progressive agglomeration of individuals according to a distance </w:t>
      </w:r>
      <w:r>
        <w:rPr>
          <w:rFonts w:ascii="Times New Roman" w:hAnsi="Times New Roman"/>
          <w:sz w:val="24"/>
          <w:szCs w:val="24"/>
        </w:rPr>
        <w:t xml:space="preserve">(often Euclidean) and a linkage criterion such as Ward's method, which minimizes within-cluster variance [21]. This method provides a hierarchical structure consistent with the observed variability between gums.  </w:t>
      </w:r>
    </w:p>
    <w:p w14:paraId="191B2967"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3. Results  </w:t>
      </w:r>
    </w:p>
    <w:p w14:paraId="42101B00" w14:textId="77777777" w:rsidR="008039F8" w:rsidRDefault="00D674BC">
      <w:pPr>
        <w:jc w:val="both"/>
        <w:rPr>
          <w:rFonts w:ascii="Times New Roman" w:hAnsi="Times New Roman"/>
          <w:b/>
          <w:bCs/>
          <w:sz w:val="24"/>
          <w:szCs w:val="24"/>
        </w:rPr>
      </w:pPr>
      <w:r>
        <w:rPr>
          <w:rFonts w:ascii="Times New Roman" w:hAnsi="Times New Roman"/>
          <w:b/>
          <w:bCs/>
          <w:sz w:val="24"/>
          <w:szCs w:val="24"/>
        </w:rPr>
        <w:t>3.1. Physicochemical charact</w:t>
      </w:r>
      <w:r>
        <w:rPr>
          <w:rFonts w:ascii="Times New Roman" w:hAnsi="Times New Roman"/>
          <w:b/>
          <w:bCs/>
          <w:sz w:val="24"/>
          <w:szCs w:val="24"/>
        </w:rPr>
        <w:t xml:space="preserve">eristics  </w:t>
      </w:r>
    </w:p>
    <w:p w14:paraId="7EE8ACE2" w14:textId="77777777" w:rsidR="008039F8" w:rsidRDefault="00D674BC">
      <w:pPr>
        <w:jc w:val="both"/>
        <w:rPr>
          <w:rFonts w:ascii="Times New Roman" w:hAnsi="Times New Roman"/>
          <w:sz w:val="24"/>
          <w:szCs w:val="24"/>
        </w:rPr>
      </w:pPr>
      <w:r>
        <w:rPr>
          <w:rFonts w:ascii="Times New Roman" w:hAnsi="Times New Roman"/>
          <w:sz w:val="24"/>
          <w:szCs w:val="24"/>
        </w:rPr>
        <w:t xml:space="preserve">The results of physicochemical analyses of gums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are presented in Table 1.  </w:t>
      </w:r>
    </w:p>
    <w:p w14:paraId="3F3D4ACB" w14:textId="77777777" w:rsidR="008039F8" w:rsidRDefault="008039F8">
      <w:pPr>
        <w:jc w:val="both"/>
        <w:rPr>
          <w:rFonts w:ascii="Times New Roman" w:hAnsi="Times New Roman"/>
          <w:sz w:val="24"/>
          <w:szCs w:val="24"/>
        </w:rPr>
      </w:pPr>
    </w:p>
    <w:p w14:paraId="2D6B2EC8" w14:textId="77777777" w:rsidR="008039F8" w:rsidRDefault="00D674BC">
      <w:pPr>
        <w:jc w:val="center"/>
        <w:rPr>
          <w:rFonts w:ascii="Times New Roman" w:hAnsi="Times New Roman"/>
          <w:sz w:val="24"/>
          <w:szCs w:val="24"/>
        </w:rPr>
      </w:pPr>
      <w:r>
        <w:rPr>
          <w:rFonts w:ascii="Times New Roman" w:hAnsi="Times New Roman"/>
          <w:b/>
          <w:bCs/>
          <w:sz w:val="24"/>
          <w:szCs w:val="24"/>
        </w:rPr>
        <w:t>Table 1</w:t>
      </w:r>
      <w:r>
        <w:rPr>
          <w:rFonts w:ascii="Times New Roman" w:hAnsi="Times New Roman"/>
          <w:sz w:val="24"/>
          <w:szCs w:val="24"/>
        </w:rPr>
        <w:t xml:space="preserve">. Mean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region.  </w:t>
      </w:r>
    </w:p>
    <w:tbl>
      <w:tblPr>
        <w:tblW w:w="10199" w:type="dxa"/>
        <w:tblInd w:w="-374" w:type="dxa"/>
        <w:tblCellMar>
          <w:top w:w="15" w:type="dxa"/>
          <w:left w:w="15" w:type="dxa"/>
          <w:bottom w:w="15" w:type="dxa"/>
          <w:right w:w="15" w:type="dxa"/>
        </w:tblCellMar>
        <w:tblLook w:val="04A0" w:firstRow="1" w:lastRow="0" w:firstColumn="1" w:lastColumn="0" w:noHBand="0" w:noVBand="1"/>
      </w:tblPr>
      <w:tblGrid>
        <w:gridCol w:w="1811"/>
        <w:gridCol w:w="1801"/>
        <w:gridCol w:w="1579"/>
        <w:gridCol w:w="5008"/>
      </w:tblGrid>
      <w:tr w:rsidR="008039F8" w14:paraId="3EEED9E4" w14:textId="77777777">
        <w:trPr>
          <w:trHeight w:val="733"/>
          <w:tblHeader/>
        </w:trPr>
        <w:tc>
          <w:tcPr>
            <w:tcW w:w="1810" w:type="dxa"/>
            <w:vAlign w:val="center"/>
          </w:tcPr>
          <w:p w14:paraId="03EE6A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Parameter</w:t>
            </w:r>
          </w:p>
        </w:tc>
        <w:tc>
          <w:tcPr>
            <w:tcW w:w="1801" w:type="dxa"/>
            <w:vAlign w:val="center"/>
          </w:tcPr>
          <w:p w14:paraId="6C82152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senegal</w:t>
            </w:r>
            <w:proofErr w:type="spellEnd"/>
            <w:r>
              <w:rPr>
                <w:rFonts w:ascii="Times New Roman" w:eastAsia="Times New Roman" w:hAnsi="Times New Roman" w:cs="Times New Roman"/>
                <w:b/>
                <w:bCs/>
                <w:sz w:val="20"/>
                <w:szCs w:val="20"/>
                <w:lang w:eastAsia="fr-FR"/>
              </w:rPr>
              <w:t xml:space="preserve"> ± SD</w:t>
            </w:r>
          </w:p>
        </w:tc>
        <w:tc>
          <w:tcPr>
            <w:tcW w:w="1579" w:type="dxa"/>
            <w:vAlign w:val="center"/>
          </w:tcPr>
          <w:p w14:paraId="557244F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 xml:space="preserve">Mean </w:t>
            </w:r>
            <w:r>
              <w:rPr>
                <w:rFonts w:ascii="Times New Roman" w:eastAsia="Times New Roman" w:hAnsi="Times New Roman" w:cs="Times New Roman"/>
                <w:b/>
                <w:bCs/>
                <w:i/>
                <w:iCs/>
                <w:sz w:val="20"/>
                <w:szCs w:val="20"/>
                <w:lang w:eastAsia="fr-FR"/>
              </w:rPr>
              <w:t xml:space="preserve">A. </w:t>
            </w:r>
            <w:proofErr w:type="spellStart"/>
            <w:r>
              <w:rPr>
                <w:rFonts w:ascii="Times New Roman" w:eastAsia="Times New Roman" w:hAnsi="Times New Roman" w:cs="Times New Roman"/>
                <w:b/>
                <w:bCs/>
                <w:i/>
                <w:iCs/>
                <w:sz w:val="20"/>
                <w:szCs w:val="20"/>
                <w:lang w:eastAsia="fr-FR"/>
              </w:rPr>
              <w:t>seyal</w:t>
            </w:r>
            <w:proofErr w:type="spellEnd"/>
            <w:r>
              <w:rPr>
                <w:rFonts w:ascii="Times New Roman" w:eastAsia="Times New Roman" w:hAnsi="Times New Roman" w:cs="Times New Roman"/>
                <w:b/>
                <w:bCs/>
                <w:sz w:val="20"/>
                <w:szCs w:val="20"/>
                <w:lang w:eastAsia="fr-FR"/>
              </w:rPr>
              <w:t xml:space="preserve"> ± SD</w:t>
            </w:r>
          </w:p>
        </w:tc>
        <w:tc>
          <w:tcPr>
            <w:tcW w:w="5008" w:type="dxa"/>
            <w:vAlign w:val="center"/>
          </w:tcPr>
          <w:p w14:paraId="1BCDBD96"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b/>
                <w:bCs/>
                <w:sz w:val="20"/>
                <w:szCs w:val="20"/>
                <w:lang w:eastAsia="fr-FR"/>
              </w:rPr>
              <w:t>Main observations</w:t>
            </w:r>
          </w:p>
        </w:tc>
      </w:tr>
      <w:tr w:rsidR="008039F8" w14:paraId="227B4A1A" w14:textId="77777777">
        <w:trPr>
          <w:trHeight w:val="733"/>
        </w:trPr>
        <w:tc>
          <w:tcPr>
            <w:tcW w:w="1810" w:type="dxa"/>
            <w:vAlign w:val="center"/>
          </w:tcPr>
          <w:p w14:paraId="6C29D4B8"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Moisture content (%)</w:t>
            </w:r>
          </w:p>
        </w:tc>
        <w:tc>
          <w:tcPr>
            <w:tcW w:w="1801" w:type="dxa"/>
            <w:vAlign w:val="center"/>
          </w:tcPr>
          <w:p w14:paraId="1BD28F5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6,11 ± 0,28</w:t>
            </w:r>
          </w:p>
        </w:tc>
        <w:tc>
          <w:tcPr>
            <w:tcW w:w="1579" w:type="dxa"/>
            <w:vAlign w:val="center"/>
          </w:tcPr>
          <w:p w14:paraId="77D16659"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12,43 ± 0,54</w:t>
            </w:r>
          </w:p>
        </w:tc>
        <w:tc>
          <w:tcPr>
            <w:tcW w:w="5008" w:type="dxa"/>
            <w:vAlign w:val="center"/>
          </w:tcPr>
          <w:p w14:paraId="3750668F"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seyal</w:t>
            </w:r>
            <w:proofErr w:type="spellEnd"/>
            <w:r>
              <w:rPr>
                <w:rFonts w:ascii="Times New Roman" w:eastAsia="Times New Roman" w:hAnsi="Times New Roman" w:cs="Times New Roman"/>
                <w:sz w:val="20"/>
                <w:szCs w:val="20"/>
                <w:lang w:eastAsia="fr-FR"/>
              </w:rPr>
              <w:t xml:space="preserve"> more humid, related to a more hydrophilic structure.</w:t>
            </w:r>
          </w:p>
        </w:tc>
      </w:tr>
      <w:tr w:rsidR="008039F8" w14:paraId="45CC5D80" w14:textId="77777777">
        <w:trPr>
          <w:trHeight w:val="733"/>
        </w:trPr>
        <w:tc>
          <w:tcPr>
            <w:tcW w:w="1810" w:type="dxa"/>
            <w:vAlign w:val="center"/>
          </w:tcPr>
          <w:p w14:paraId="6ED68C3A"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Ash content (%)</w:t>
            </w:r>
          </w:p>
        </w:tc>
        <w:tc>
          <w:tcPr>
            <w:tcW w:w="1801" w:type="dxa"/>
            <w:vAlign w:val="center"/>
          </w:tcPr>
          <w:p w14:paraId="37CE8388"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1,38 ± 0,19</w:t>
            </w:r>
          </w:p>
        </w:tc>
        <w:tc>
          <w:tcPr>
            <w:tcW w:w="1579" w:type="dxa"/>
            <w:vAlign w:val="center"/>
          </w:tcPr>
          <w:p w14:paraId="0898D8FE"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0,04 ± 0,03</w:t>
            </w:r>
          </w:p>
        </w:tc>
        <w:tc>
          <w:tcPr>
            <w:tcW w:w="5008" w:type="dxa"/>
            <w:vAlign w:val="center"/>
          </w:tcPr>
          <w:p w14:paraId="6AC940E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i/>
                <w:iCs/>
                <w:sz w:val="20"/>
                <w:szCs w:val="20"/>
                <w:lang w:eastAsia="fr-FR"/>
              </w:rPr>
              <w:t xml:space="preserve">A. </w:t>
            </w:r>
            <w:proofErr w:type="spellStart"/>
            <w:r>
              <w:rPr>
                <w:rFonts w:ascii="Times New Roman" w:eastAsia="Times New Roman" w:hAnsi="Times New Roman" w:cs="Times New Roman"/>
                <w:i/>
                <w:iCs/>
                <w:sz w:val="20"/>
                <w:szCs w:val="20"/>
                <w:lang w:eastAsia="fr-FR"/>
              </w:rPr>
              <w:t>senegal</w:t>
            </w:r>
            <w:proofErr w:type="spellEnd"/>
            <w:r>
              <w:rPr>
                <w:rFonts w:ascii="Times New Roman" w:eastAsia="Times New Roman" w:hAnsi="Times New Roman" w:cs="Times New Roman"/>
                <w:sz w:val="20"/>
                <w:szCs w:val="20"/>
                <w:lang w:eastAsia="fr-FR"/>
              </w:rPr>
              <w:t xml:space="preserve"> richer in minerals, confirming a more stable composition.</w:t>
            </w:r>
          </w:p>
        </w:tc>
      </w:tr>
      <w:tr w:rsidR="008039F8" w14:paraId="57FE8005" w14:textId="77777777">
        <w:trPr>
          <w:trHeight w:val="733"/>
        </w:trPr>
        <w:tc>
          <w:tcPr>
            <w:tcW w:w="1810" w:type="dxa"/>
            <w:vAlign w:val="center"/>
          </w:tcPr>
          <w:p w14:paraId="4C2BC127"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Insoluble matter (%)</w:t>
            </w:r>
          </w:p>
        </w:tc>
        <w:tc>
          <w:tcPr>
            <w:tcW w:w="1801" w:type="dxa"/>
            <w:vAlign w:val="center"/>
          </w:tcPr>
          <w:p w14:paraId="459DE43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4,74 ± 0,32</w:t>
            </w:r>
          </w:p>
        </w:tc>
        <w:tc>
          <w:tcPr>
            <w:tcW w:w="1579" w:type="dxa"/>
            <w:vAlign w:val="center"/>
          </w:tcPr>
          <w:p w14:paraId="5548CCCC"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4,91 ± 0,45</w:t>
            </w:r>
          </w:p>
        </w:tc>
        <w:tc>
          <w:tcPr>
            <w:tcW w:w="5008" w:type="dxa"/>
            <w:vAlign w:val="center"/>
          </w:tcPr>
          <w:p w14:paraId="64E59E8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Slight difference related to purity and solubility of polysaccharides.</w:t>
            </w:r>
          </w:p>
        </w:tc>
      </w:tr>
      <w:tr w:rsidR="008039F8" w14:paraId="0157AD79" w14:textId="77777777">
        <w:trPr>
          <w:trHeight w:val="373"/>
        </w:trPr>
        <w:tc>
          <w:tcPr>
            <w:tcW w:w="1810" w:type="dxa"/>
            <w:vAlign w:val="center"/>
          </w:tcPr>
          <w:p w14:paraId="598232C1"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pH</w:t>
            </w:r>
          </w:p>
        </w:tc>
        <w:tc>
          <w:tcPr>
            <w:tcW w:w="1801" w:type="dxa"/>
            <w:vAlign w:val="center"/>
          </w:tcPr>
          <w:p w14:paraId="72E20860"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4,91 ± 0,02</w:t>
            </w:r>
          </w:p>
        </w:tc>
        <w:tc>
          <w:tcPr>
            <w:tcW w:w="1579" w:type="dxa"/>
            <w:vAlign w:val="center"/>
          </w:tcPr>
          <w:p w14:paraId="64684B26"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5,00 ± 0,05</w:t>
            </w:r>
          </w:p>
        </w:tc>
        <w:tc>
          <w:tcPr>
            <w:tcW w:w="5008" w:type="dxa"/>
            <w:vAlign w:val="center"/>
          </w:tcPr>
          <w:p w14:paraId="1017EFD0"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Small variation; both slightly acidic.</w:t>
            </w:r>
          </w:p>
        </w:tc>
      </w:tr>
      <w:tr w:rsidR="008039F8" w14:paraId="6DF31D1F" w14:textId="77777777">
        <w:trPr>
          <w:trHeight w:val="733"/>
        </w:trPr>
        <w:tc>
          <w:tcPr>
            <w:tcW w:w="1810" w:type="dxa"/>
            <w:vAlign w:val="center"/>
          </w:tcPr>
          <w:p w14:paraId="1BA6A332"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Optical rotation (°)</w:t>
            </w:r>
          </w:p>
        </w:tc>
        <w:tc>
          <w:tcPr>
            <w:tcW w:w="1801" w:type="dxa"/>
            <w:vAlign w:val="center"/>
          </w:tcPr>
          <w:p w14:paraId="62CF7D65"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2,20 ± 1,65</w:t>
            </w:r>
          </w:p>
        </w:tc>
        <w:tc>
          <w:tcPr>
            <w:tcW w:w="1579" w:type="dxa"/>
            <w:vAlign w:val="center"/>
          </w:tcPr>
          <w:p w14:paraId="4D0A74ED" w14:textId="77777777" w:rsidR="008039F8" w:rsidRDefault="00D674BC">
            <w:pPr>
              <w:spacing w:after="0" w:line="240" w:lineRule="auto"/>
              <w:jc w:val="center"/>
              <w:rPr>
                <w:rFonts w:ascii="Times New Roman" w:hAnsi="Times New Roman"/>
                <w:sz w:val="20"/>
                <w:szCs w:val="20"/>
              </w:rPr>
            </w:pPr>
            <w:r>
              <w:rPr>
                <w:rFonts w:ascii="Times New Roman" w:hAnsi="Times New Roman"/>
                <w:sz w:val="20"/>
                <w:szCs w:val="20"/>
              </w:rPr>
              <w:t>1,53 ± 0,12</w:t>
            </w:r>
          </w:p>
        </w:tc>
        <w:tc>
          <w:tcPr>
            <w:tcW w:w="5008" w:type="dxa"/>
            <w:vAlign w:val="center"/>
          </w:tcPr>
          <w:p w14:paraId="2534998B" w14:textId="77777777" w:rsidR="008039F8" w:rsidRDefault="00D674BC">
            <w:pPr>
              <w:spacing w:after="0" w:line="240" w:lineRule="auto"/>
              <w:jc w:val="center"/>
              <w:rPr>
                <w:rFonts w:ascii="Times New Roman" w:hAnsi="Times New Roman"/>
                <w:sz w:val="20"/>
                <w:szCs w:val="20"/>
              </w:rPr>
            </w:pPr>
            <w:r>
              <w:rPr>
                <w:rFonts w:ascii="Times New Roman" w:eastAsia="Times New Roman" w:hAnsi="Times New Roman" w:cs="Times New Roman"/>
                <w:sz w:val="20"/>
                <w:szCs w:val="20"/>
                <w:lang w:eastAsia="fr-FR"/>
              </w:rPr>
              <w:t xml:space="preserve">Indicates differences in </w:t>
            </w:r>
            <w:r>
              <w:rPr>
                <w:rFonts w:ascii="Times New Roman" w:eastAsia="Times New Roman" w:hAnsi="Times New Roman" w:cs="Times New Roman"/>
                <w:sz w:val="20"/>
                <w:szCs w:val="20"/>
                <w:lang w:eastAsia="fr-FR"/>
              </w:rPr>
              <w:t>polysaccharide configuration.</w:t>
            </w:r>
          </w:p>
        </w:tc>
      </w:tr>
    </w:tbl>
    <w:p w14:paraId="22B10DDF" w14:textId="77777777" w:rsidR="008039F8" w:rsidRDefault="008039F8">
      <w:pPr>
        <w:jc w:val="both"/>
        <w:rPr>
          <w:rFonts w:ascii="Times New Roman" w:hAnsi="Times New Roman"/>
          <w:sz w:val="24"/>
          <w:szCs w:val="24"/>
        </w:rPr>
      </w:pPr>
    </w:p>
    <w:p w14:paraId="7D6DF528" w14:textId="77777777" w:rsidR="008039F8" w:rsidRDefault="00D674BC">
      <w:pPr>
        <w:jc w:val="both"/>
        <w:rPr>
          <w:rFonts w:ascii="Times New Roman" w:hAnsi="Times New Roman"/>
          <w:sz w:val="24"/>
          <w:szCs w:val="24"/>
        </w:rPr>
      </w:pPr>
      <w:r>
        <w:rPr>
          <w:rFonts w:ascii="Times New Roman" w:hAnsi="Times New Roman"/>
          <w:sz w:val="24"/>
          <w:szCs w:val="24"/>
        </w:rPr>
        <w:t xml:space="preserve">Physicochemical analyses revealed clear differences between gums from the two species. Boxplots of the different parameters (Figure 1) immediately show a strong separation between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Moisture content is significantly higher in A. </w:t>
      </w:r>
      <w:proofErr w:type="spellStart"/>
      <w:r>
        <w:rPr>
          <w:rFonts w:ascii="Times New Roman" w:hAnsi="Times New Roman"/>
          <w:sz w:val="24"/>
          <w:szCs w:val="24"/>
        </w:rPr>
        <w:t>seyal</w:t>
      </w:r>
      <w:proofErr w:type="spellEnd"/>
      <w:r>
        <w:rPr>
          <w:rFonts w:ascii="Times New Roman" w:hAnsi="Times New Roman"/>
          <w:sz w:val="24"/>
          <w:szCs w:val="24"/>
        </w:rPr>
        <w:t xml:space="preserve"> (12.43 ± 0.54 %) than in A. </w:t>
      </w:r>
      <w:proofErr w:type="spellStart"/>
      <w:r>
        <w:rPr>
          <w:rFonts w:ascii="Times New Roman" w:hAnsi="Times New Roman"/>
          <w:sz w:val="24"/>
          <w:szCs w:val="24"/>
        </w:rPr>
        <w:t>senegal</w:t>
      </w:r>
      <w:proofErr w:type="spellEnd"/>
      <w:r>
        <w:rPr>
          <w:rFonts w:ascii="Times New Roman" w:hAnsi="Times New Roman"/>
          <w:sz w:val="24"/>
          <w:szCs w:val="24"/>
        </w:rPr>
        <w:t xml:space="preserve"> (6.11 ± 0.28 %), indicating a more hydrophilic polysaccharide structure, in agreement with the observations of </w:t>
      </w:r>
      <w:proofErr w:type="spellStart"/>
      <w:r>
        <w:rPr>
          <w:rFonts w:ascii="Times New Roman" w:hAnsi="Times New Roman"/>
          <w:sz w:val="24"/>
          <w:szCs w:val="24"/>
        </w:rPr>
        <w:t>Leclère</w:t>
      </w:r>
      <w:proofErr w:type="spellEnd"/>
      <w:r>
        <w:rPr>
          <w:rFonts w:ascii="Times New Roman" w:hAnsi="Times New Roman"/>
          <w:sz w:val="24"/>
          <w:szCs w:val="24"/>
        </w:rPr>
        <w:t xml:space="preserve"> et al. [2]. Conversely, ash content </w:t>
      </w:r>
      <w:r>
        <w:rPr>
          <w:rFonts w:ascii="Times New Roman" w:hAnsi="Times New Roman"/>
          <w:sz w:val="24"/>
          <w:szCs w:val="24"/>
        </w:rPr>
        <w:lastRenderedPageBreak/>
        <w:t>is much hi</w:t>
      </w:r>
      <w:r>
        <w:rPr>
          <w:rFonts w:ascii="Times New Roman" w:hAnsi="Times New Roman"/>
          <w:sz w:val="24"/>
          <w:szCs w:val="24"/>
        </w:rPr>
        <w:t xml:space="preserve">gher in A. </w:t>
      </w:r>
      <w:proofErr w:type="spellStart"/>
      <w:r>
        <w:rPr>
          <w:rFonts w:ascii="Times New Roman" w:hAnsi="Times New Roman"/>
          <w:sz w:val="24"/>
          <w:szCs w:val="24"/>
        </w:rPr>
        <w:t>senegal</w:t>
      </w:r>
      <w:proofErr w:type="spellEnd"/>
      <w:r>
        <w:rPr>
          <w:rFonts w:ascii="Times New Roman" w:hAnsi="Times New Roman"/>
          <w:sz w:val="24"/>
          <w:szCs w:val="24"/>
        </w:rPr>
        <w:t xml:space="preserve"> (1.38 ± 0.19 %) than in A. </w:t>
      </w:r>
      <w:proofErr w:type="spellStart"/>
      <w:r>
        <w:rPr>
          <w:rFonts w:ascii="Times New Roman" w:hAnsi="Times New Roman"/>
          <w:sz w:val="24"/>
          <w:szCs w:val="24"/>
        </w:rPr>
        <w:t>seyal</w:t>
      </w:r>
      <w:proofErr w:type="spellEnd"/>
      <w:r>
        <w:rPr>
          <w:rFonts w:ascii="Times New Roman" w:hAnsi="Times New Roman"/>
          <w:sz w:val="24"/>
          <w:szCs w:val="24"/>
        </w:rPr>
        <w:t xml:space="preserve"> (0.04 ± 0.03 %), confirming the mineral richness described by Beg et al. [1].  </w:t>
      </w:r>
    </w:p>
    <w:p w14:paraId="7E62F4DE" w14:textId="77777777" w:rsidR="008039F8" w:rsidRDefault="00D674BC">
      <w:pPr>
        <w:jc w:val="both"/>
        <w:rPr>
          <w:rFonts w:ascii="Times New Roman" w:hAnsi="Times New Roman"/>
          <w:sz w:val="24"/>
          <w:szCs w:val="24"/>
        </w:rPr>
      </w:pPr>
      <w:r>
        <w:rPr>
          <w:noProof/>
        </w:rPr>
        <w:drawing>
          <wp:inline distT="0" distB="0" distL="0" distR="0" wp14:anchorId="234C6B8C" wp14:editId="45C6A2EA">
            <wp:extent cx="4262120" cy="278511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4262120" cy="2785110"/>
                    </a:xfrm>
                    <a:prstGeom prst="rect">
                      <a:avLst/>
                    </a:prstGeom>
                  </pic:spPr>
                </pic:pic>
              </a:graphicData>
            </a:graphic>
          </wp:inline>
        </w:drawing>
      </w:r>
    </w:p>
    <w:p w14:paraId="3558D3DF" w14:textId="77777777" w:rsidR="008039F8" w:rsidRDefault="00D674BC">
      <w:pPr>
        <w:jc w:val="center"/>
        <w:rPr>
          <w:rFonts w:ascii="Times New Roman" w:hAnsi="Times New Roman"/>
          <w:sz w:val="24"/>
          <w:szCs w:val="24"/>
        </w:rPr>
      </w:pPr>
      <w:r>
        <w:rPr>
          <w:rFonts w:ascii="Times New Roman" w:hAnsi="Times New Roman"/>
          <w:b/>
          <w:bCs/>
          <w:sz w:val="24"/>
          <w:szCs w:val="24"/>
        </w:rPr>
        <w:t>Figure 1.</w:t>
      </w:r>
      <w:r>
        <w:rPr>
          <w:rFonts w:ascii="Times New Roman" w:hAnsi="Times New Roman"/>
          <w:sz w:val="24"/>
          <w:szCs w:val="24"/>
        </w:rPr>
        <w:t xml:space="preserve"> Descriptive statistics of the physicochemical parameters of gum </w:t>
      </w:r>
      <w:proofErr w:type="spellStart"/>
      <w:r>
        <w:rPr>
          <w:rFonts w:ascii="Times New Roman" w:hAnsi="Times New Roman"/>
          <w:sz w:val="24"/>
          <w:szCs w:val="24"/>
        </w:rPr>
        <w:t>arabic</w:t>
      </w:r>
      <w:proofErr w:type="spellEnd"/>
      <w:r>
        <w:rPr>
          <w:rFonts w:ascii="Times New Roman" w:hAnsi="Times New Roman"/>
          <w:sz w:val="24"/>
          <w:szCs w:val="24"/>
        </w:rPr>
        <w:t>. Boxplots representing the distribution o</w:t>
      </w:r>
      <w:r>
        <w:rPr>
          <w:rFonts w:ascii="Times New Roman" w:hAnsi="Times New Roman"/>
          <w:sz w:val="24"/>
          <w:szCs w:val="24"/>
        </w:rPr>
        <w:t>f moisture, ash, insoluble matter, pH and optical rotation.</w:t>
      </w:r>
    </w:p>
    <w:p w14:paraId="2BC4E928" w14:textId="77777777" w:rsidR="008039F8" w:rsidRDefault="008039F8">
      <w:pPr>
        <w:jc w:val="both"/>
        <w:rPr>
          <w:rFonts w:ascii="Times New Roman" w:hAnsi="Times New Roman"/>
          <w:sz w:val="24"/>
          <w:szCs w:val="24"/>
        </w:rPr>
      </w:pPr>
    </w:p>
    <w:p w14:paraId="3C316086" w14:textId="77777777" w:rsidR="008039F8" w:rsidRDefault="00D674BC">
      <w:pPr>
        <w:jc w:val="both"/>
        <w:rPr>
          <w:rFonts w:ascii="Times New Roman" w:hAnsi="Times New Roman"/>
          <w:sz w:val="24"/>
          <w:szCs w:val="24"/>
        </w:rPr>
      </w:pPr>
      <w:r>
        <w:rPr>
          <w:rFonts w:ascii="Times New Roman" w:hAnsi="Times New Roman"/>
          <w:sz w:val="24"/>
          <w:szCs w:val="24"/>
        </w:rPr>
        <w:t xml:space="preserve">Insoluble matter and pH remain relatively stable between the species, while the higher optical rotation observed in A. </w:t>
      </w:r>
      <w:proofErr w:type="spellStart"/>
      <w:r>
        <w:rPr>
          <w:rFonts w:ascii="Times New Roman" w:hAnsi="Times New Roman"/>
          <w:sz w:val="24"/>
          <w:szCs w:val="24"/>
        </w:rPr>
        <w:t>senegal</w:t>
      </w:r>
      <w:proofErr w:type="spellEnd"/>
      <w:r>
        <w:rPr>
          <w:rFonts w:ascii="Times New Roman" w:hAnsi="Times New Roman"/>
          <w:sz w:val="24"/>
          <w:szCs w:val="24"/>
        </w:rPr>
        <w:t xml:space="preserve"> suggests a higher proportion of chiral monomers [22].  </w:t>
      </w:r>
    </w:p>
    <w:p w14:paraId="4D50C8F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3.2. Chemometric characteristics  </w:t>
      </w:r>
    </w:p>
    <w:p w14:paraId="2F3ADF8F" w14:textId="77777777" w:rsidR="008039F8" w:rsidRDefault="00D674BC">
      <w:pPr>
        <w:jc w:val="both"/>
        <w:rPr>
          <w:rFonts w:ascii="Times New Roman" w:hAnsi="Times New Roman"/>
          <w:sz w:val="24"/>
          <w:szCs w:val="24"/>
        </w:rPr>
      </w:pPr>
      <w:r>
        <w:rPr>
          <w:rFonts w:ascii="Times New Roman" w:hAnsi="Times New Roman"/>
          <w:sz w:val="24"/>
          <w:szCs w:val="24"/>
        </w:rPr>
        <w:t xml:space="preserve">Principal component analysis reveals a clear separation between the two species (Figure 2). The first two components explain 78.09 % of the total variance (PC1 = 55.17 </w:t>
      </w:r>
      <w:proofErr w:type="gramStart"/>
      <w:r>
        <w:rPr>
          <w:rFonts w:ascii="Times New Roman" w:hAnsi="Times New Roman"/>
          <w:sz w:val="24"/>
          <w:szCs w:val="24"/>
        </w:rPr>
        <w:t>% ;</w:t>
      </w:r>
      <w:proofErr w:type="gramEnd"/>
      <w:r>
        <w:rPr>
          <w:rFonts w:ascii="Times New Roman" w:hAnsi="Times New Roman"/>
          <w:sz w:val="24"/>
          <w:szCs w:val="24"/>
        </w:rPr>
        <w:t xml:space="preserve"> PC2 = 22.92 %). The correlation circle (Figure 3)</w:t>
      </w:r>
      <w:r>
        <w:rPr>
          <w:rFonts w:ascii="Times New Roman" w:hAnsi="Times New Roman"/>
          <w:sz w:val="24"/>
          <w:szCs w:val="24"/>
        </w:rPr>
        <w:t xml:space="preserve"> shows that PC1 mainly opposes moisture (positive correlation) and ash (negative correlation), while PC2 reflects mainly the variability of pH and optical rotation [7].  </w:t>
      </w:r>
    </w:p>
    <w:p w14:paraId="009F4865" w14:textId="77777777" w:rsidR="008039F8" w:rsidRDefault="00D674BC">
      <w:pPr>
        <w:jc w:val="both"/>
        <w:rPr>
          <w:rFonts w:ascii="Times New Roman" w:hAnsi="Times New Roman"/>
          <w:sz w:val="24"/>
          <w:szCs w:val="24"/>
        </w:rPr>
      </w:pPr>
      <w:r>
        <w:rPr>
          <w:noProof/>
        </w:rPr>
        <w:lastRenderedPageBreak/>
        <w:drawing>
          <wp:inline distT="0" distB="0" distL="0" distR="0" wp14:anchorId="7064C8AA" wp14:editId="657323E8">
            <wp:extent cx="4017645" cy="360299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8"/>
                    <a:stretch>
                      <a:fillRect/>
                    </a:stretch>
                  </pic:blipFill>
                  <pic:spPr bwMode="auto">
                    <a:xfrm>
                      <a:off x="0" y="0"/>
                      <a:ext cx="4017645" cy="3602990"/>
                    </a:xfrm>
                    <a:prstGeom prst="rect">
                      <a:avLst/>
                    </a:prstGeom>
                  </pic:spPr>
                </pic:pic>
              </a:graphicData>
            </a:graphic>
          </wp:inline>
        </w:drawing>
      </w:r>
    </w:p>
    <w:p w14:paraId="79A8FD31" w14:textId="77777777" w:rsidR="008039F8" w:rsidRDefault="008039F8">
      <w:pPr>
        <w:jc w:val="both"/>
        <w:rPr>
          <w:rFonts w:ascii="Times New Roman" w:hAnsi="Times New Roman"/>
          <w:sz w:val="24"/>
          <w:szCs w:val="24"/>
        </w:rPr>
      </w:pPr>
    </w:p>
    <w:p w14:paraId="63062AF9" w14:textId="77777777" w:rsidR="008039F8" w:rsidRDefault="00D674BC">
      <w:pPr>
        <w:jc w:val="center"/>
        <w:rPr>
          <w:rFonts w:ascii="Times New Roman" w:hAnsi="Times New Roman"/>
          <w:sz w:val="24"/>
          <w:szCs w:val="24"/>
        </w:rPr>
      </w:pPr>
      <w:r>
        <w:rPr>
          <w:rFonts w:ascii="Times New Roman" w:hAnsi="Times New Roman"/>
          <w:b/>
          <w:bCs/>
          <w:sz w:val="24"/>
          <w:szCs w:val="24"/>
        </w:rPr>
        <w:t>Figure 2</w:t>
      </w:r>
      <w:r>
        <w:rPr>
          <w:rFonts w:ascii="Times New Roman" w:hAnsi="Times New Roman"/>
          <w:sz w:val="24"/>
          <w:szCs w:val="24"/>
        </w:rPr>
        <w:t>. Principal component analysis (PCA) representation of individuals (scores</w:t>
      </w:r>
      <w:r>
        <w:rPr>
          <w:rFonts w:ascii="Times New Roman" w:hAnsi="Times New Roman"/>
          <w:sz w:val="24"/>
          <w:szCs w:val="24"/>
        </w:rPr>
        <w:t xml:space="preserve">). Projection of samples in the PC1-PC2 factorial plane.  </w:t>
      </w:r>
    </w:p>
    <w:p w14:paraId="7EAB86AB" w14:textId="77777777" w:rsidR="008039F8" w:rsidRDefault="008039F8">
      <w:pPr>
        <w:jc w:val="both"/>
        <w:rPr>
          <w:rFonts w:ascii="Times New Roman" w:hAnsi="Times New Roman"/>
          <w:sz w:val="24"/>
          <w:szCs w:val="24"/>
        </w:rPr>
      </w:pPr>
    </w:p>
    <w:p w14:paraId="155A43C3" w14:textId="77777777" w:rsidR="008039F8" w:rsidRDefault="00D674BC">
      <w:pPr>
        <w:jc w:val="both"/>
        <w:rPr>
          <w:rFonts w:ascii="Times New Roman" w:hAnsi="Times New Roman"/>
          <w:sz w:val="24"/>
          <w:szCs w:val="24"/>
        </w:rPr>
      </w:pPr>
      <w:r>
        <w:rPr>
          <w:noProof/>
        </w:rPr>
        <w:drawing>
          <wp:inline distT="0" distB="0" distL="0" distR="0" wp14:anchorId="0D3568C1" wp14:editId="5500760D">
            <wp:extent cx="3761740" cy="32861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pic:cNvPicPr>
                      <a:picLocks noChangeAspect="1" noChangeArrowheads="1"/>
                    </pic:cNvPicPr>
                  </pic:nvPicPr>
                  <pic:blipFill>
                    <a:blip r:embed="rId9"/>
                    <a:stretch>
                      <a:fillRect/>
                    </a:stretch>
                  </pic:blipFill>
                  <pic:spPr bwMode="auto">
                    <a:xfrm>
                      <a:off x="0" y="0"/>
                      <a:ext cx="3761740" cy="3286125"/>
                    </a:xfrm>
                    <a:prstGeom prst="rect">
                      <a:avLst/>
                    </a:prstGeom>
                  </pic:spPr>
                </pic:pic>
              </a:graphicData>
            </a:graphic>
          </wp:inline>
        </w:drawing>
      </w:r>
    </w:p>
    <w:p w14:paraId="42E64A36" w14:textId="77777777" w:rsidR="008039F8" w:rsidRDefault="00D674BC">
      <w:pPr>
        <w:jc w:val="center"/>
        <w:rPr>
          <w:rFonts w:ascii="Times New Roman" w:hAnsi="Times New Roman"/>
          <w:sz w:val="24"/>
          <w:szCs w:val="24"/>
        </w:rPr>
      </w:pPr>
      <w:r>
        <w:rPr>
          <w:rFonts w:ascii="Times New Roman" w:hAnsi="Times New Roman"/>
          <w:b/>
          <w:bCs/>
          <w:sz w:val="24"/>
          <w:szCs w:val="24"/>
        </w:rPr>
        <w:lastRenderedPageBreak/>
        <w:t>Figure 3</w:t>
      </w:r>
      <w:r>
        <w:rPr>
          <w:rFonts w:ascii="Times New Roman" w:hAnsi="Times New Roman"/>
          <w:sz w:val="24"/>
          <w:szCs w:val="24"/>
        </w:rPr>
        <w:t xml:space="preserve">. Principal component analysis (PCA) correlation circle (loadings). Contribution of variables to the formation of the main axes.  </w:t>
      </w:r>
    </w:p>
    <w:p w14:paraId="17B9C034" w14:textId="77777777" w:rsidR="008039F8" w:rsidRDefault="008039F8">
      <w:pPr>
        <w:jc w:val="center"/>
        <w:rPr>
          <w:rFonts w:ascii="Times New Roman" w:hAnsi="Times New Roman"/>
          <w:sz w:val="24"/>
          <w:szCs w:val="24"/>
        </w:rPr>
      </w:pPr>
    </w:p>
    <w:p w14:paraId="4C0F4269" w14:textId="77777777" w:rsidR="008039F8" w:rsidRDefault="00D674BC">
      <w:pPr>
        <w:jc w:val="both"/>
        <w:rPr>
          <w:rFonts w:ascii="Times New Roman" w:hAnsi="Times New Roman"/>
          <w:sz w:val="24"/>
          <w:szCs w:val="24"/>
        </w:rPr>
      </w:pPr>
      <w:r>
        <w:rPr>
          <w:rFonts w:ascii="Times New Roman" w:hAnsi="Times New Roman"/>
          <w:sz w:val="24"/>
          <w:szCs w:val="24"/>
        </w:rPr>
        <w:t>Partial least-squares discriminant analysis confirms t</w:t>
      </w:r>
      <w:r>
        <w:rPr>
          <w:rFonts w:ascii="Times New Roman" w:hAnsi="Times New Roman"/>
          <w:sz w:val="24"/>
          <w:szCs w:val="24"/>
        </w:rPr>
        <w:t xml:space="preserve">hese results. PLS-DA scores (Figure 4) show a clear separation between the two species, with no overlap. VIP scores (Figure 5) identify moisture (VIP = 1.36) and ash (VIP = 1.34) as the most discriminant variables [6].  </w:t>
      </w:r>
    </w:p>
    <w:p w14:paraId="0073A6D7" w14:textId="77777777" w:rsidR="008039F8" w:rsidRDefault="00D674BC">
      <w:pPr>
        <w:jc w:val="both"/>
        <w:rPr>
          <w:rFonts w:ascii="Times New Roman" w:hAnsi="Times New Roman"/>
          <w:sz w:val="24"/>
          <w:szCs w:val="24"/>
        </w:rPr>
      </w:pPr>
      <w:r>
        <w:rPr>
          <w:noProof/>
        </w:rPr>
        <w:drawing>
          <wp:inline distT="0" distB="0" distL="0" distR="0" wp14:anchorId="0DBDA492" wp14:editId="3F5F3255">
            <wp:extent cx="3478530" cy="3108325"/>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pic:cNvPicPr>
                      <a:picLocks noChangeAspect="1" noChangeArrowheads="1"/>
                    </pic:cNvPicPr>
                  </pic:nvPicPr>
                  <pic:blipFill>
                    <a:blip r:embed="rId10"/>
                    <a:stretch>
                      <a:fillRect/>
                    </a:stretch>
                  </pic:blipFill>
                  <pic:spPr bwMode="auto">
                    <a:xfrm>
                      <a:off x="0" y="0"/>
                      <a:ext cx="3478530" cy="3108325"/>
                    </a:xfrm>
                    <a:prstGeom prst="rect">
                      <a:avLst/>
                    </a:prstGeom>
                  </pic:spPr>
                </pic:pic>
              </a:graphicData>
            </a:graphic>
          </wp:inline>
        </w:drawing>
      </w:r>
    </w:p>
    <w:p w14:paraId="6FD440C6" w14:textId="77777777" w:rsidR="008039F8" w:rsidRDefault="008039F8">
      <w:pPr>
        <w:jc w:val="both"/>
        <w:rPr>
          <w:rFonts w:ascii="Times New Roman" w:hAnsi="Times New Roman"/>
          <w:sz w:val="24"/>
          <w:szCs w:val="24"/>
        </w:rPr>
      </w:pPr>
    </w:p>
    <w:p w14:paraId="3CC5CE63" w14:textId="77777777" w:rsidR="008039F8" w:rsidRDefault="00D674BC">
      <w:pPr>
        <w:jc w:val="center"/>
        <w:rPr>
          <w:rFonts w:ascii="Times New Roman" w:hAnsi="Times New Roman"/>
          <w:sz w:val="24"/>
          <w:szCs w:val="24"/>
        </w:rPr>
      </w:pPr>
      <w:r>
        <w:rPr>
          <w:rFonts w:ascii="Times New Roman" w:hAnsi="Times New Roman"/>
          <w:b/>
          <w:bCs/>
          <w:sz w:val="24"/>
          <w:szCs w:val="24"/>
        </w:rPr>
        <w:t>Figure 4</w:t>
      </w:r>
      <w:r>
        <w:rPr>
          <w:rFonts w:ascii="Times New Roman" w:hAnsi="Times New Roman"/>
          <w:sz w:val="24"/>
          <w:szCs w:val="24"/>
        </w:rPr>
        <w:t>. PLS-DA supervised proj</w:t>
      </w:r>
      <w:r>
        <w:rPr>
          <w:rFonts w:ascii="Times New Roman" w:hAnsi="Times New Roman"/>
          <w:sz w:val="24"/>
          <w:szCs w:val="24"/>
        </w:rPr>
        <w:t>ection of individuals (scores on PLS1). Clear separation between the two species.</w:t>
      </w:r>
    </w:p>
    <w:p w14:paraId="0B8B84E9" w14:textId="77777777" w:rsidR="008039F8" w:rsidRDefault="00D674BC">
      <w:pPr>
        <w:jc w:val="both"/>
        <w:rPr>
          <w:rFonts w:ascii="Times New Roman" w:hAnsi="Times New Roman"/>
          <w:sz w:val="24"/>
          <w:szCs w:val="24"/>
        </w:rPr>
      </w:pPr>
      <w:r>
        <w:rPr>
          <w:noProof/>
        </w:rPr>
        <w:lastRenderedPageBreak/>
        <w:drawing>
          <wp:inline distT="0" distB="0" distL="0" distR="0" wp14:anchorId="421AB0AF" wp14:editId="14F90032">
            <wp:extent cx="5029835" cy="3432175"/>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6"/>
                    <pic:cNvPicPr>
                      <a:picLocks noChangeAspect="1" noChangeArrowheads="1"/>
                    </pic:cNvPicPr>
                  </pic:nvPicPr>
                  <pic:blipFill>
                    <a:blip r:embed="rId11"/>
                    <a:stretch>
                      <a:fillRect/>
                    </a:stretch>
                  </pic:blipFill>
                  <pic:spPr bwMode="auto">
                    <a:xfrm>
                      <a:off x="0" y="0"/>
                      <a:ext cx="5029835" cy="3432175"/>
                    </a:xfrm>
                    <a:prstGeom prst="rect">
                      <a:avLst/>
                    </a:prstGeom>
                  </pic:spPr>
                </pic:pic>
              </a:graphicData>
            </a:graphic>
          </wp:inline>
        </w:drawing>
      </w:r>
    </w:p>
    <w:p w14:paraId="02768310" w14:textId="77777777" w:rsidR="008039F8" w:rsidRDefault="008039F8">
      <w:pPr>
        <w:jc w:val="both"/>
        <w:rPr>
          <w:rFonts w:ascii="Times New Roman" w:hAnsi="Times New Roman"/>
          <w:sz w:val="24"/>
          <w:szCs w:val="24"/>
        </w:rPr>
      </w:pPr>
    </w:p>
    <w:p w14:paraId="178EBAEE" w14:textId="77777777" w:rsidR="008039F8" w:rsidRDefault="00D674BC">
      <w:pPr>
        <w:jc w:val="center"/>
        <w:rPr>
          <w:rFonts w:ascii="Times New Roman" w:hAnsi="Times New Roman"/>
          <w:sz w:val="24"/>
          <w:szCs w:val="24"/>
        </w:rPr>
      </w:pPr>
      <w:r>
        <w:rPr>
          <w:rFonts w:ascii="Times New Roman" w:hAnsi="Times New Roman"/>
          <w:b/>
          <w:bCs/>
          <w:sz w:val="24"/>
          <w:szCs w:val="24"/>
          <w:lang w:val="fr-FR"/>
        </w:rPr>
        <w:t>Figure 5</w:t>
      </w:r>
      <w:r>
        <w:rPr>
          <w:rFonts w:ascii="Times New Roman" w:hAnsi="Times New Roman"/>
          <w:sz w:val="24"/>
          <w:szCs w:val="24"/>
          <w:lang w:val="fr-FR"/>
        </w:rPr>
        <w:t xml:space="preserve">. PLS-DA VIP scores. </w:t>
      </w:r>
      <w:r>
        <w:rPr>
          <w:rFonts w:ascii="Times New Roman" w:hAnsi="Times New Roman"/>
          <w:sz w:val="24"/>
          <w:szCs w:val="24"/>
        </w:rPr>
        <w:t xml:space="preserve">Importance of variables in supervised discrimination.  </w:t>
      </w:r>
    </w:p>
    <w:p w14:paraId="59A60631" w14:textId="77777777" w:rsidR="008039F8" w:rsidRDefault="008039F8">
      <w:pPr>
        <w:jc w:val="center"/>
        <w:rPr>
          <w:rFonts w:ascii="Times New Roman" w:hAnsi="Times New Roman"/>
          <w:sz w:val="24"/>
          <w:szCs w:val="24"/>
        </w:rPr>
      </w:pPr>
    </w:p>
    <w:p w14:paraId="51486C74" w14:textId="77777777" w:rsidR="008039F8" w:rsidRDefault="00D674BC">
      <w:pPr>
        <w:jc w:val="both"/>
        <w:rPr>
          <w:rFonts w:ascii="Times New Roman" w:hAnsi="Times New Roman"/>
          <w:sz w:val="24"/>
          <w:szCs w:val="24"/>
        </w:rPr>
      </w:pPr>
      <w:r>
        <w:rPr>
          <w:rFonts w:ascii="Times New Roman" w:hAnsi="Times New Roman"/>
          <w:sz w:val="24"/>
          <w:szCs w:val="24"/>
        </w:rPr>
        <w:t>Unsupervised classification confirms the natural structuring of the data. K-means clu</w:t>
      </w:r>
      <w:r>
        <w:rPr>
          <w:rFonts w:ascii="Times New Roman" w:hAnsi="Times New Roman"/>
          <w:sz w:val="24"/>
          <w:szCs w:val="24"/>
        </w:rPr>
        <w:t xml:space="preserve">stering (Figure 6) perfectly separates the two species, while the dendrogram resulting from HCA (Figure 7) shows two distinct groups corresponding precisely to A. </w:t>
      </w:r>
      <w:proofErr w:type="spellStart"/>
      <w:r>
        <w:rPr>
          <w:rFonts w:ascii="Times New Roman" w:hAnsi="Times New Roman"/>
          <w:sz w:val="24"/>
          <w:szCs w:val="24"/>
        </w:rPr>
        <w:t>senegal</w:t>
      </w:r>
      <w:proofErr w:type="spellEnd"/>
      <w:r>
        <w:rPr>
          <w:rFonts w:ascii="Times New Roman" w:hAnsi="Times New Roman"/>
          <w:sz w:val="24"/>
          <w:szCs w:val="24"/>
        </w:rPr>
        <w:t xml:space="preserve"> and A. </w:t>
      </w:r>
      <w:proofErr w:type="spellStart"/>
      <w:r>
        <w:rPr>
          <w:rFonts w:ascii="Times New Roman" w:hAnsi="Times New Roman"/>
          <w:sz w:val="24"/>
          <w:szCs w:val="24"/>
        </w:rPr>
        <w:t>seyal</w:t>
      </w:r>
      <w:proofErr w:type="spellEnd"/>
      <w:r>
        <w:rPr>
          <w:rFonts w:ascii="Times New Roman" w:hAnsi="Times New Roman"/>
          <w:sz w:val="24"/>
          <w:szCs w:val="24"/>
        </w:rPr>
        <w:t xml:space="preserve">.   </w:t>
      </w:r>
    </w:p>
    <w:p w14:paraId="62757222" w14:textId="77777777" w:rsidR="008039F8" w:rsidRDefault="00D674BC">
      <w:pPr>
        <w:jc w:val="both"/>
        <w:rPr>
          <w:rFonts w:ascii="Times New Roman" w:hAnsi="Times New Roman"/>
          <w:sz w:val="24"/>
          <w:szCs w:val="24"/>
        </w:rPr>
      </w:pPr>
      <w:r>
        <w:rPr>
          <w:noProof/>
        </w:rPr>
        <w:lastRenderedPageBreak/>
        <w:drawing>
          <wp:inline distT="0" distB="0" distL="0" distR="0" wp14:anchorId="2F8930BE" wp14:editId="3D1FB3CD">
            <wp:extent cx="3633470" cy="3176270"/>
            <wp:effectExtent l="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7"/>
                    <pic:cNvPicPr>
                      <a:picLocks noChangeAspect="1" noChangeArrowheads="1"/>
                    </pic:cNvPicPr>
                  </pic:nvPicPr>
                  <pic:blipFill>
                    <a:blip r:embed="rId12"/>
                    <a:stretch>
                      <a:fillRect/>
                    </a:stretch>
                  </pic:blipFill>
                  <pic:spPr bwMode="auto">
                    <a:xfrm>
                      <a:off x="0" y="0"/>
                      <a:ext cx="3633470" cy="3176270"/>
                    </a:xfrm>
                    <a:prstGeom prst="rect">
                      <a:avLst/>
                    </a:prstGeom>
                  </pic:spPr>
                </pic:pic>
              </a:graphicData>
            </a:graphic>
          </wp:inline>
        </w:drawing>
      </w:r>
    </w:p>
    <w:p w14:paraId="4EA873F1" w14:textId="77777777" w:rsidR="008039F8" w:rsidRDefault="00D674BC">
      <w:pPr>
        <w:jc w:val="center"/>
        <w:rPr>
          <w:rFonts w:ascii="Times New Roman" w:hAnsi="Times New Roman"/>
          <w:sz w:val="24"/>
          <w:szCs w:val="24"/>
        </w:rPr>
      </w:pPr>
      <w:r>
        <w:rPr>
          <w:rFonts w:ascii="Times New Roman" w:hAnsi="Times New Roman"/>
          <w:b/>
          <w:bCs/>
          <w:sz w:val="24"/>
          <w:szCs w:val="24"/>
        </w:rPr>
        <w:t>Figure 6.</w:t>
      </w:r>
      <w:r>
        <w:rPr>
          <w:rFonts w:ascii="Times New Roman" w:hAnsi="Times New Roman"/>
          <w:sz w:val="24"/>
          <w:szCs w:val="24"/>
        </w:rPr>
        <w:t xml:space="preserve"> K-means clustering (k = 2). Representation of samples in</w:t>
      </w:r>
      <w:r>
        <w:rPr>
          <w:rFonts w:ascii="Times New Roman" w:hAnsi="Times New Roman"/>
          <w:sz w:val="24"/>
          <w:szCs w:val="24"/>
        </w:rPr>
        <w:t xml:space="preserve"> a normalized space.  </w:t>
      </w:r>
    </w:p>
    <w:p w14:paraId="2F74CC7A" w14:textId="77777777" w:rsidR="008039F8" w:rsidRDefault="008039F8">
      <w:pPr>
        <w:jc w:val="both"/>
        <w:rPr>
          <w:rFonts w:ascii="Times New Roman" w:hAnsi="Times New Roman"/>
          <w:sz w:val="24"/>
          <w:szCs w:val="24"/>
        </w:rPr>
      </w:pPr>
    </w:p>
    <w:p w14:paraId="2ED53BB0" w14:textId="77777777" w:rsidR="008039F8" w:rsidRDefault="00D674BC">
      <w:pPr>
        <w:jc w:val="both"/>
        <w:rPr>
          <w:rFonts w:ascii="Times New Roman" w:hAnsi="Times New Roman"/>
          <w:sz w:val="24"/>
          <w:szCs w:val="24"/>
        </w:rPr>
      </w:pPr>
      <w:r>
        <w:rPr>
          <w:noProof/>
        </w:rPr>
        <w:drawing>
          <wp:inline distT="0" distB="0" distL="0" distR="0" wp14:anchorId="0441A3F5" wp14:editId="653B915E">
            <wp:extent cx="3987165" cy="269494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8"/>
                    <pic:cNvPicPr>
                      <a:picLocks noChangeAspect="1" noChangeArrowheads="1"/>
                    </pic:cNvPicPr>
                  </pic:nvPicPr>
                  <pic:blipFill>
                    <a:blip r:embed="rId13"/>
                    <a:stretch>
                      <a:fillRect/>
                    </a:stretch>
                  </pic:blipFill>
                  <pic:spPr bwMode="auto">
                    <a:xfrm>
                      <a:off x="0" y="0"/>
                      <a:ext cx="3987165" cy="2694940"/>
                    </a:xfrm>
                    <a:prstGeom prst="rect">
                      <a:avLst/>
                    </a:prstGeom>
                  </pic:spPr>
                </pic:pic>
              </a:graphicData>
            </a:graphic>
          </wp:inline>
        </w:drawing>
      </w:r>
    </w:p>
    <w:p w14:paraId="455FA0D6" w14:textId="77777777" w:rsidR="008039F8" w:rsidRDefault="00D674BC">
      <w:pPr>
        <w:jc w:val="center"/>
        <w:rPr>
          <w:rFonts w:ascii="Times New Roman" w:hAnsi="Times New Roman"/>
          <w:sz w:val="24"/>
          <w:szCs w:val="24"/>
        </w:rPr>
      </w:pPr>
      <w:r>
        <w:rPr>
          <w:rFonts w:ascii="Times New Roman" w:hAnsi="Times New Roman"/>
          <w:b/>
          <w:bCs/>
          <w:sz w:val="24"/>
          <w:szCs w:val="24"/>
        </w:rPr>
        <w:t>Figure 7</w:t>
      </w:r>
      <w:r>
        <w:rPr>
          <w:rFonts w:ascii="Times New Roman" w:hAnsi="Times New Roman"/>
          <w:sz w:val="24"/>
          <w:szCs w:val="24"/>
        </w:rPr>
        <w:t xml:space="preserve">. Hierarchical cluster analysis (HCA) dendrogram. Hierarchical clustering of samples.  </w:t>
      </w:r>
    </w:p>
    <w:p w14:paraId="00A9F9AD" w14:textId="77777777" w:rsidR="008039F8" w:rsidRDefault="008039F8">
      <w:pPr>
        <w:jc w:val="center"/>
        <w:rPr>
          <w:rFonts w:ascii="Times New Roman" w:hAnsi="Times New Roman"/>
          <w:sz w:val="24"/>
          <w:szCs w:val="24"/>
        </w:rPr>
      </w:pPr>
    </w:p>
    <w:p w14:paraId="13DC23B6" w14:textId="77777777" w:rsidR="008039F8" w:rsidRDefault="00D674BC">
      <w:pPr>
        <w:jc w:val="both"/>
        <w:rPr>
          <w:rFonts w:ascii="Times New Roman" w:hAnsi="Times New Roman"/>
          <w:sz w:val="24"/>
          <w:szCs w:val="24"/>
        </w:rPr>
      </w:pPr>
      <w:r>
        <w:rPr>
          <w:rFonts w:ascii="Times New Roman" w:hAnsi="Times New Roman"/>
          <w:sz w:val="24"/>
          <w:szCs w:val="24"/>
        </w:rPr>
        <w:t xml:space="preserve">Finally, the joint PLS1-PLS2 representation (Figure 8) confirms the robustness of supervised discrimination.  </w:t>
      </w:r>
    </w:p>
    <w:p w14:paraId="7F52C9FE" w14:textId="77777777" w:rsidR="008039F8" w:rsidRDefault="00D674BC">
      <w:pPr>
        <w:jc w:val="both"/>
        <w:rPr>
          <w:rFonts w:ascii="Times New Roman" w:hAnsi="Times New Roman"/>
          <w:sz w:val="24"/>
          <w:szCs w:val="24"/>
        </w:rPr>
      </w:pPr>
      <w:r>
        <w:rPr>
          <w:noProof/>
        </w:rPr>
        <w:lastRenderedPageBreak/>
        <w:drawing>
          <wp:inline distT="0" distB="0" distL="0" distR="0" wp14:anchorId="3944B929" wp14:editId="1C8036F5">
            <wp:extent cx="3499485" cy="2999740"/>
            <wp:effectExtent l="0" t="0" r="0" b="0"/>
            <wp:docPr id="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9"/>
                    <pic:cNvPicPr>
                      <a:picLocks noChangeAspect="1" noChangeArrowheads="1"/>
                    </pic:cNvPicPr>
                  </pic:nvPicPr>
                  <pic:blipFill>
                    <a:blip r:embed="rId14"/>
                    <a:stretch>
                      <a:fillRect/>
                    </a:stretch>
                  </pic:blipFill>
                  <pic:spPr bwMode="auto">
                    <a:xfrm>
                      <a:off x="0" y="0"/>
                      <a:ext cx="3499485" cy="2999740"/>
                    </a:xfrm>
                    <a:prstGeom prst="rect">
                      <a:avLst/>
                    </a:prstGeom>
                  </pic:spPr>
                </pic:pic>
              </a:graphicData>
            </a:graphic>
          </wp:inline>
        </w:drawing>
      </w:r>
    </w:p>
    <w:p w14:paraId="261C088D" w14:textId="77777777" w:rsidR="008039F8" w:rsidRDefault="00D674BC">
      <w:pPr>
        <w:jc w:val="center"/>
        <w:rPr>
          <w:rFonts w:ascii="Times New Roman" w:hAnsi="Times New Roman"/>
          <w:sz w:val="24"/>
          <w:szCs w:val="24"/>
        </w:rPr>
      </w:pPr>
      <w:r>
        <w:rPr>
          <w:rFonts w:ascii="Times New Roman" w:hAnsi="Times New Roman"/>
          <w:sz w:val="24"/>
          <w:szCs w:val="24"/>
          <w:lang w:val="fr-FR"/>
        </w:rPr>
        <w:br/>
      </w:r>
      <w:r>
        <w:rPr>
          <w:rFonts w:ascii="Times New Roman" w:hAnsi="Times New Roman"/>
          <w:b/>
          <w:bCs/>
          <w:sz w:val="24"/>
          <w:szCs w:val="24"/>
          <w:lang w:val="fr-FR"/>
        </w:rPr>
        <w:t>Figure 8</w:t>
      </w:r>
      <w:r>
        <w:rPr>
          <w:rFonts w:ascii="Times New Roman" w:hAnsi="Times New Roman"/>
          <w:sz w:val="24"/>
          <w:szCs w:val="24"/>
          <w:lang w:val="fr-FR"/>
        </w:rPr>
        <w:t>. PLS-DA jo</w:t>
      </w:r>
      <w:r>
        <w:rPr>
          <w:rFonts w:ascii="Times New Roman" w:hAnsi="Times New Roman"/>
          <w:sz w:val="24"/>
          <w:szCs w:val="24"/>
          <w:lang w:val="fr-FR"/>
        </w:rPr>
        <w:t xml:space="preserve">int </w:t>
      </w:r>
      <w:proofErr w:type="spellStart"/>
      <w:r>
        <w:rPr>
          <w:rFonts w:ascii="Times New Roman" w:hAnsi="Times New Roman"/>
          <w:sz w:val="24"/>
          <w:szCs w:val="24"/>
          <w:lang w:val="fr-FR"/>
        </w:rPr>
        <w:t>representation</w:t>
      </w:r>
      <w:proofErr w:type="spellEnd"/>
      <w:r>
        <w:rPr>
          <w:rFonts w:ascii="Times New Roman" w:hAnsi="Times New Roman"/>
          <w:sz w:val="24"/>
          <w:szCs w:val="24"/>
          <w:lang w:val="fr-FR"/>
        </w:rPr>
        <w:t xml:space="preserve"> PLS1 vs PLS2. </w:t>
      </w:r>
      <w:r>
        <w:rPr>
          <w:rFonts w:ascii="Times New Roman" w:hAnsi="Times New Roman"/>
          <w:sz w:val="24"/>
          <w:szCs w:val="24"/>
        </w:rPr>
        <w:t>Visualization of interspecific discrimination</w:t>
      </w:r>
    </w:p>
    <w:p w14:paraId="1C80E16A" w14:textId="77777777" w:rsidR="008039F8" w:rsidRDefault="008039F8">
      <w:pPr>
        <w:jc w:val="center"/>
        <w:rPr>
          <w:rFonts w:ascii="Times New Roman" w:hAnsi="Times New Roman"/>
          <w:sz w:val="24"/>
          <w:szCs w:val="24"/>
        </w:rPr>
      </w:pPr>
    </w:p>
    <w:p w14:paraId="17547155" w14:textId="77777777" w:rsidR="008039F8" w:rsidRDefault="00D674BC">
      <w:pPr>
        <w:jc w:val="both"/>
        <w:rPr>
          <w:rFonts w:ascii="Times New Roman" w:hAnsi="Times New Roman"/>
          <w:b/>
          <w:bCs/>
          <w:sz w:val="24"/>
          <w:szCs w:val="24"/>
        </w:rPr>
      </w:pPr>
      <w:r>
        <w:rPr>
          <w:rFonts w:ascii="Times New Roman" w:hAnsi="Times New Roman"/>
          <w:b/>
          <w:bCs/>
          <w:sz w:val="24"/>
          <w:szCs w:val="24"/>
        </w:rPr>
        <w:t xml:space="preserve">4. Discussion  </w:t>
      </w:r>
    </w:p>
    <w:p w14:paraId="1D8C8AD8" w14:textId="77777777" w:rsidR="008039F8" w:rsidRDefault="00D674BC">
      <w:pPr>
        <w:jc w:val="both"/>
        <w:rPr>
          <w:rFonts w:ascii="Times New Roman" w:hAnsi="Times New Roman"/>
          <w:sz w:val="24"/>
          <w:szCs w:val="24"/>
        </w:rPr>
      </w:pPr>
      <w:r>
        <w:rPr>
          <w:rFonts w:ascii="Times New Roman" w:hAnsi="Times New Roman"/>
          <w:sz w:val="24"/>
          <w:szCs w:val="24"/>
        </w:rPr>
        <w:t xml:space="preserve">The results show a clear and consistent differentiation between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fully supported by the graphical analyses presented in Figures 1-8. The differences observed in basic parameters, particularly moisture and ash, are the main drivers of this separation. As illustrated in Figure 1, the higher moisture content of A. </w:t>
      </w:r>
      <w:proofErr w:type="spellStart"/>
      <w:r>
        <w:rPr>
          <w:rFonts w:ascii="Times New Roman" w:hAnsi="Times New Roman"/>
          <w:sz w:val="24"/>
          <w:szCs w:val="24"/>
        </w:rPr>
        <w:t>seyal</w:t>
      </w:r>
      <w:proofErr w:type="spellEnd"/>
      <w:r>
        <w:rPr>
          <w:rFonts w:ascii="Times New Roman" w:hAnsi="Times New Roman"/>
          <w:sz w:val="24"/>
          <w:szCs w:val="24"/>
        </w:rPr>
        <w:t xml:space="preserve"> </w:t>
      </w:r>
      <w:r>
        <w:rPr>
          <w:rFonts w:ascii="Times New Roman" w:hAnsi="Times New Roman"/>
          <w:sz w:val="24"/>
          <w:szCs w:val="24"/>
        </w:rPr>
        <w:t xml:space="preserve">reflects a less dense polysaccharide matrix, whereas the higher ash content of A. </w:t>
      </w:r>
      <w:proofErr w:type="spellStart"/>
      <w:r>
        <w:rPr>
          <w:rFonts w:ascii="Times New Roman" w:hAnsi="Times New Roman"/>
          <w:sz w:val="24"/>
          <w:szCs w:val="24"/>
        </w:rPr>
        <w:t>senegal</w:t>
      </w:r>
      <w:proofErr w:type="spellEnd"/>
      <w:r>
        <w:rPr>
          <w:rFonts w:ascii="Times New Roman" w:hAnsi="Times New Roman"/>
          <w:sz w:val="24"/>
          <w:szCs w:val="24"/>
        </w:rPr>
        <w:t xml:space="preserve"> indicates a distinct mineral composition, confirming the observations of Beg et al. [1].  </w:t>
      </w:r>
    </w:p>
    <w:p w14:paraId="33B74674" w14:textId="77777777" w:rsidR="008039F8" w:rsidRDefault="00D674BC">
      <w:pPr>
        <w:jc w:val="both"/>
        <w:rPr>
          <w:rFonts w:ascii="Times New Roman" w:hAnsi="Times New Roman"/>
          <w:sz w:val="24"/>
          <w:szCs w:val="24"/>
        </w:rPr>
      </w:pPr>
      <w:r>
        <w:rPr>
          <w:rFonts w:ascii="Times New Roman" w:hAnsi="Times New Roman"/>
          <w:sz w:val="24"/>
          <w:szCs w:val="24"/>
        </w:rPr>
        <w:t>The separation observed in PCA (Figure 2) and in the associated loadings (F</w:t>
      </w:r>
      <w:r>
        <w:rPr>
          <w:rFonts w:ascii="Times New Roman" w:hAnsi="Times New Roman"/>
          <w:sz w:val="24"/>
          <w:szCs w:val="24"/>
        </w:rPr>
        <w:t>igure 3) shows that the dominant variability is explained by the moisture–ash gradient, confirming that these two parameters determine the multivariate structure of the data. PLS-DA (Figures 4 and 8) reinforces this interpretation through a perfectly coher</w:t>
      </w:r>
      <w:r>
        <w:rPr>
          <w:rFonts w:ascii="Times New Roman" w:hAnsi="Times New Roman"/>
          <w:sz w:val="24"/>
          <w:szCs w:val="24"/>
        </w:rPr>
        <w:t xml:space="preserve">ent supervised separation and VIP scores (Figure 5) that place moisture and ash as key variables [6].  </w:t>
      </w:r>
    </w:p>
    <w:p w14:paraId="19169CA5" w14:textId="77777777" w:rsidR="008039F8" w:rsidRDefault="00D674BC">
      <w:pPr>
        <w:jc w:val="both"/>
        <w:rPr>
          <w:rFonts w:ascii="Times New Roman" w:hAnsi="Times New Roman"/>
          <w:sz w:val="24"/>
          <w:szCs w:val="24"/>
        </w:rPr>
      </w:pPr>
      <w:r>
        <w:rPr>
          <w:rFonts w:ascii="Times New Roman" w:hAnsi="Times New Roman"/>
          <w:sz w:val="24"/>
          <w:szCs w:val="24"/>
        </w:rPr>
        <w:t xml:space="preserve">Unsupervised methods provide additional validation of this structural stability. K-means clustering (Figure 6) reproduces a classification identical to </w:t>
      </w:r>
      <w:r>
        <w:rPr>
          <w:rFonts w:ascii="Times New Roman" w:hAnsi="Times New Roman"/>
          <w:sz w:val="24"/>
          <w:szCs w:val="24"/>
        </w:rPr>
        <w:t>that obtained from supervised analyses, demonstrating that botanical separation is embedded directly in the data structure. HCA (Figure 7) also reveals two distinct groups without overlap, confirming the robustness of the approach, in line with the conclus</w:t>
      </w:r>
      <w:r>
        <w:rPr>
          <w:rFonts w:ascii="Times New Roman" w:hAnsi="Times New Roman"/>
          <w:sz w:val="24"/>
          <w:szCs w:val="24"/>
        </w:rPr>
        <w:t xml:space="preserve">ions of Galletti et al. [23] regarding the limited regional variability of Sahelian gums.  </w:t>
      </w:r>
    </w:p>
    <w:p w14:paraId="13842AE1" w14:textId="77777777" w:rsidR="008039F8" w:rsidRDefault="00D674BC">
      <w:pPr>
        <w:jc w:val="both"/>
        <w:rPr>
          <w:rFonts w:ascii="Times New Roman" w:hAnsi="Times New Roman"/>
          <w:sz w:val="24"/>
          <w:szCs w:val="24"/>
        </w:rPr>
      </w:pPr>
      <w:r>
        <w:rPr>
          <w:rFonts w:ascii="Times New Roman" w:hAnsi="Times New Roman"/>
          <w:sz w:val="24"/>
          <w:szCs w:val="24"/>
        </w:rPr>
        <w:lastRenderedPageBreak/>
        <w:t xml:space="preserve">Overall, Figures 1–8 show that the physicochemical signature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Chari-</w:t>
      </w:r>
      <w:proofErr w:type="spellStart"/>
      <w:r>
        <w:rPr>
          <w:rFonts w:ascii="Times New Roman" w:hAnsi="Times New Roman"/>
          <w:sz w:val="24"/>
          <w:szCs w:val="24"/>
        </w:rPr>
        <w:t>Baguirmi</w:t>
      </w:r>
      <w:proofErr w:type="spellEnd"/>
      <w:r>
        <w:rPr>
          <w:rFonts w:ascii="Times New Roman" w:hAnsi="Times New Roman"/>
          <w:sz w:val="24"/>
          <w:szCs w:val="24"/>
        </w:rPr>
        <w:t xml:space="preserve"> is stable, reproducible and sufficiently structured to serve as a rel</w:t>
      </w:r>
      <w:r>
        <w:rPr>
          <w:rFonts w:ascii="Times New Roman" w:hAnsi="Times New Roman"/>
          <w:sz w:val="24"/>
          <w:szCs w:val="24"/>
        </w:rPr>
        <w:t xml:space="preserve">iable tool for botanical differentiation. The results demonstrate that simple measurements, combined with appropriate chemometric tools, make it possible to efficiently authenticate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intended for international markets.  </w:t>
      </w:r>
    </w:p>
    <w:p w14:paraId="506DB169" w14:textId="77777777" w:rsidR="008039F8" w:rsidRDefault="00D674BC">
      <w:pPr>
        <w:jc w:val="both"/>
        <w:rPr>
          <w:rFonts w:ascii="Times New Roman" w:hAnsi="Times New Roman"/>
          <w:sz w:val="24"/>
          <w:szCs w:val="24"/>
        </w:rPr>
      </w:pPr>
      <w:r>
        <w:rPr>
          <w:rFonts w:ascii="Times New Roman" w:hAnsi="Times New Roman"/>
          <w:sz w:val="24"/>
          <w:szCs w:val="24"/>
        </w:rPr>
        <w:br/>
      </w:r>
      <w:r>
        <w:rPr>
          <w:rFonts w:ascii="Times New Roman" w:hAnsi="Times New Roman"/>
          <w:b/>
          <w:bCs/>
          <w:sz w:val="24"/>
          <w:szCs w:val="24"/>
        </w:rPr>
        <w:t xml:space="preserve">5. Conclusion  </w:t>
      </w:r>
    </w:p>
    <w:p w14:paraId="1B3BE16A" w14:textId="77777777" w:rsidR="008039F8" w:rsidRDefault="00D674BC">
      <w:pPr>
        <w:jc w:val="both"/>
        <w:rPr>
          <w:rFonts w:ascii="Times New Roman" w:hAnsi="Times New Roman"/>
          <w:sz w:val="24"/>
          <w:szCs w:val="24"/>
        </w:rPr>
      </w:pPr>
      <w:r>
        <w:rPr>
          <w:rFonts w:ascii="Times New Roman" w:hAnsi="Times New Roman"/>
          <w:sz w:val="24"/>
          <w:szCs w:val="24"/>
        </w:rPr>
        <w:t xml:space="preserve">This study provides an in-depth characterization of gum </w:t>
      </w:r>
      <w:proofErr w:type="spellStart"/>
      <w:r>
        <w:rPr>
          <w:rFonts w:ascii="Times New Roman" w:hAnsi="Times New Roman"/>
          <w:sz w:val="24"/>
          <w:szCs w:val="24"/>
        </w:rPr>
        <w:t>arabic</w:t>
      </w:r>
      <w:proofErr w:type="spellEnd"/>
      <w:r>
        <w:rPr>
          <w:rFonts w:ascii="Times New Roman" w:hAnsi="Times New Roman"/>
          <w:sz w:val="24"/>
          <w:szCs w:val="24"/>
        </w:rPr>
        <w:t xml:space="preserve"> from Acacia </w:t>
      </w:r>
      <w:proofErr w:type="spellStart"/>
      <w:r>
        <w:rPr>
          <w:rFonts w:ascii="Times New Roman" w:hAnsi="Times New Roman"/>
          <w:sz w:val="24"/>
          <w:szCs w:val="24"/>
        </w:rPr>
        <w:t>senegal</w:t>
      </w:r>
      <w:proofErr w:type="spellEnd"/>
      <w:r>
        <w:rPr>
          <w:rFonts w:ascii="Times New Roman" w:hAnsi="Times New Roman"/>
          <w:sz w:val="24"/>
          <w:szCs w:val="24"/>
        </w:rPr>
        <w:t xml:space="preserve"> and Acacia </w:t>
      </w:r>
      <w:proofErr w:type="spellStart"/>
      <w:r>
        <w:rPr>
          <w:rFonts w:ascii="Times New Roman" w:hAnsi="Times New Roman"/>
          <w:sz w:val="24"/>
          <w:szCs w:val="24"/>
        </w:rPr>
        <w:t>seyal</w:t>
      </w:r>
      <w:proofErr w:type="spellEnd"/>
      <w:r>
        <w:rPr>
          <w:rFonts w:ascii="Times New Roman" w:hAnsi="Times New Roman"/>
          <w:sz w:val="24"/>
          <w:szCs w:val="24"/>
        </w:rPr>
        <w:t xml:space="preserve"> collected in the Chari-</w:t>
      </w:r>
      <w:proofErr w:type="spellStart"/>
      <w:r>
        <w:rPr>
          <w:rFonts w:ascii="Times New Roman" w:hAnsi="Times New Roman"/>
          <w:sz w:val="24"/>
          <w:szCs w:val="24"/>
        </w:rPr>
        <w:t>Baguirmi</w:t>
      </w:r>
      <w:proofErr w:type="spellEnd"/>
      <w:r>
        <w:rPr>
          <w:rFonts w:ascii="Times New Roman" w:hAnsi="Times New Roman"/>
          <w:sz w:val="24"/>
          <w:szCs w:val="24"/>
        </w:rPr>
        <w:t xml:space="preserve"> province. Physicochemical analyses revealed marked differences between the two species, in particular a sign</w:t>
      </w:r>
      <w:r>
        <w:rPr>
          <w:rFonts w:ascii="Times New Roman" w:hAnsi="Times New Roman"/>
          <w:sz w:val="24"/>
          <w:szCs w:val="24"/>
        </w:rPr>
        <w:t xml:space="preserve">ificantly higher moisture content in A. </w:t>
      </w:r>
      <w:proofErr w:type="spellStart"/>
      <w:r>
        <w:rPr>
          <w:rFonts w:ascii="Times New Roman" w:hAnsi="Times New Roman"/>
          <w:sz w:val="24"/>
          <w:szCs w:val="24"/>
        </w:rPr>
        <w:t>seyal</w:t>
      </w:r>
      <w:proofErr w:type="spellEnd"/>
      <w:r>
        <w:rPr>
          <w:rFonts w:ascii="Times New Roman" w:hAnsi="Times New Roman"/>
          <w:sz w:val="24"/>
          <w:szCs w:val="24"/>
        </w:rPr>
        <w:t xml:space="preserve"> and a much higher ash content in A. </w:t>
      </w:r>
      <w:proofErr w:type="spellStart"/>
      <w:r>
        <w:rPr>
          <w:rFonts w:ascii="Times New Roman" w:hAnsi="Times New Roman"/>
          <w:sz w:val="24"/>
          <w:szCs w:val="24"/>
        </w:rPr>
        <w:t>senegal</w:t>
      </w:r>
      <w:proofErr w:type="spellEnd"/>
      <w:r>
        <w:rPr>
          <w:rFonts w:ascii="Times New Roman" w:hAnsi="Times New Roman"/>
          <w:sz w:val="24"/>
          <w:szCs w:val="24"/>
        </w:rPr>
        <w:t xml:space="preserve">. These parameters, together with the observed variations in optical rotation, are key indicators of the composition and molecular structure specific to each species. </w:t>
      </w:r>
      <w:r>
        <w:rPr>
          <w:rFonts w:ascii="Times New Roman" w:hAnsi="Times New Roman"/>
          <w:sz w:val="24"/>
          <w:szCs w:val="24"/>
        </w:rPr>
        <w:t xml:space="preserve"> </w:t>
      </w:r>
    </w:p>
    <w:p w14:paraId="634351EF" w14:textId="77777777" w:rsidR="008039F8" w:rsidRDefault="00D674BC">
      <w:pPr>
        <w:jc w:val="both"/>
        <w:rPr>
          <w:rFonts w:ascii="Times New Roman" w:hAnsi="Times New Roman"/>
          <w:sz w:val="24"/>
          <w:szCs w:val="24"/>
        </w:rPr>
      </w:pPr>
      <w:r>
        <w:rPr>
          <w:rFonts w:ascii="Times New Roman" w:hAnsi="Times New Roman"/>
          <w:sz w:val="24"/>
          <w:szCs w:val="24"/>
        </w:rPr>
        <w:t>The chemometric approaches applied, including PCA, PLS-DA, K-means clustering and HCA, confirmed the robustness of these differences. Multivariate projections show a systematic separation between the two species, while VIP scores demonstrate that moistur</w:t>
      </w:r>
      <w:r>
        <w:rPr>
          <w:rFonts w:ascii="Times New Roman" w:hAnsi="Times New Roman"/>
          <w:sz w:val="24"/>
          <w:szCs w:val="24"/>
        </w:rPr>
        <w:t>e and ash are sufficient to reliably differentiate the gums. This methodological convergence highlights the internal coherence of the dataset and validates the use of basic physicochemical measurements combined with multivariate statistical tools to authen</w:t>
      </w:r>
      <w:r>
        <w:rPr>
          <w:rFonts w:ascii="Times New Roman" w:hAnsi="Times New Roman"/>
          <w:sz w:val="24"/>
          <w:szCs w:val="24"/>
        </w:rPr>
        <w:t xml:space="preserve">ticate the botanical origin of gum </w:t>
      </w:r>
      <w:proofErr w:type="spellStart"/>
      <w:r>
        <w:rPr>
          <w:rFonts w:ascii="Times New Roman" w:hAnsi="Times New Roman"/>
          <w:sz w:val="24"/>
          <w:szCs w:val="24"/>
        </w:rPr>
        <w:t>arabic</w:t>
      </w:r>
      <w:proofErr w:type="spellEnd"/>
      <w:r>
        <w:rPr>
          <w:rFonts w:ascii="Times New Roman" w:hAnsi="Times New Roman"/>
          <w:sz w:val="24"/>
          <w:szCs w:val="24"/>
        </w:rPr>
        <w:t xml:space="preserve">.  </w:t>
      </w:r>
    </w:p>
    <w:p w14:paraId="28AB2108" w14:textId="77777777" w:rsidR="008039F8" w:rsidRDefault="00D674BC">
      <w:pPr>
        <w:jc w:val="both"/>
        <w:rPr>
          <w:rFonts w:ascii="Times New Roman" w:hAnsi="Times New Roman"/>
          <w:sz w:val="24"/>
          <w:szCs w:val="24"/>
        </w:rPr>
      </w:pPr>
      <w:r>
        <w:rPr>
          <w:rFonts w:ascii="Times New Roman" w:hAnsi="Times New Roman"/>
          <w:sz w:val="24"/>
          <w:szCs w:val="24"/>
        </w:rPr>
        <w:t>Overall, the results reveal a stable and distinct physicochemical signature for each species, reinforcing the possibilities of traceability and certification within production chains. These findings are particul</w:t>
      </w:r>
      <w:r>
        <w:rPr>
          <w:rFonts w:ascii="Times New Roman" w:hAnsi="Times New Roman"/>
          <w:sz w:val="24"/>
          <w:szCs w:val="24"/>
        </w:rPr>
        <w:t xml:space="preserve">arly relevant for the agro-industrial sector, where botanical identification is a central element of quality and commercial valorization. They also pave the way for the development of rapid quality control protocols based on a small number of discriminant </w:t>
      </w:r>
      <w:r>
        <w:rPr>
          <w:rFonts w:ascii="Times New Roman" w:hAnsi="Times New Roman"/>
          <w:sz w:val="24"/>
          <w:szCs w:val="24"/>
        </w:rPr>
        <w:t xml:space="preserve">variables. Future work could focus on integrating more sampling sites, studying seasonality and exploring complementary analytical techniques, in order to further refine the classification of gum </w:t>
      </w:r>
      <w:proofErr w:type="spellStart"/>
      <w:r>
        <w:rPr>
          <w:rFonts w:ascii="Times New Roman" w:hAnsi="Times New Roman"/>
          <w:sz w:val="24"/>
          <w:szCs w:val="24"/>
        </w:rPr>
        <w:t>arabic</w:t>
      </w:r>
      <w:proofErr w:type="spellEnd"/>
      <w:r>
        <w:rPr>
          <w:rFonts w:ascii="Times New Roman" w:hAnsi="Times New Roman"/>
          <w:sz w:val="24"/>
          <w:szCs w:val="24"/>
        </w:rPr>
        <w:t xml:space="preserve">.  </w:t>
      </w:r>
    </w:p>
    <w:p w14:paraId="47067F05" w14:textId="77777777" w:rsidR="006A0D56" w:rsidRPr="006A0D56" w:rsidRDefault="006A0D56" w:rsidP="006A0D56">
      <w:pPr>
        <w:suppressAutoHyphens w:val="0"/>
        <w:jc w:val="both"/>
        <w:outlineLvl w:val="0"/>
        <w:rPr>
          <w:rFonts w:ascii="Arial" w:eastAsia="Times New Roman" w:hAnsi="Arial" w:cs="Arial"/>
          <w:lang w:val="en-GB" w:eastAsia="en-GB"/>
        </w:rPr>
      </w:pPr>
      <w:r w:rsidRPr="006A0D56">
        <w:rPr>
          <w:rFonts w:ascii="Arial" w:eastAsia="Times New Roman" w:hAnsi="Arial" w:cs="Arial"/>
          <w:b/>
          <w:bCs/>
          <w:lang w:val="en-GB" w:eastAsia="en-GB"/>
        </w:rPr>
        <w:t>COMPETING INTERESTS DISCLAIMER:</w:t>
      </w:r>
    </w:p>
    <w:p w14:paraId="5F43AD72" w14:textId="77777777" w:rsidR="006A0D56" w:rsidRPr="006A0D56" w:rsidRDefault="006A0D56" w:rsidP="006A0D56">
      <w:pPr>
        <w:suppressAutoHyphens w:val="0"/>
        <w:rPr>
          <w:rFonts w:ascii="Calibri" w:eastAsia="Times New Roman" w:hAnsi="Calibri" w:cs="Times New Roman"/>
          <w:lang w:val="en-GB" w:eastAsia="en-GB"/>
        </w:rPr>
      </w:pPr>
      <w:r w:rsidRPr="006A0D5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8ECE80A" w14:textId="77777777" w:rsidR="00B625E2" w:rsidRDefault="00B625E2">
      <w:pPr>
        <w:jc w:val="both"/>
        <w:rPr>
          <w:rFonts w:ascii="Times New Roman" w:hAnsi="Times New Roman"/>
          <w:sz w:val="24"/>
          <w:szCs w:val="24"/>
        </w:rPr>
      </w:pPr>
    </w:p>
    <w:p w14:paraId="7C6E8AC1" w14:textId="77777777" w:rsidR="00B625E2" w:rsidRDefault="00B625E2">
      <w:pPr>
        <w:jc w:val="both"/>
        <w:rPr>
          <w:rFonts w:ascii="Times New Roman" w:hAnsi="Times New Roman"/>
          <w:sz w:val="24"/>
          <w:szCs w:val="24"/>
        </w:rPr>
      </w:pPr>
    </w:p>
    <w:p w14:paraId="481EF644" w14:textId="77777777" w:rsidR="008039F8" w:rsidRDefault="00D674BC">
      <w:pPr>
        <w:jc w:val="both"/>
        <w:rPr>
          <w:rFonts w:ascii="Times New Roman" w:hAnsi="Times New Roman"/>
          <w:sz w:val="24"/>
          <w:szCs w:val="24"/>
        </w:rPr>
      </w:pPr>
      <w:r>
        <w:rPr>
          <w:rFonts w:ascii="Times New Roman" w:hAnsi="Times New Roman"/>
          <w:b/>
          <w:bCs/>
          <w:sz w:val="24"/>
          <w:szCs w:val="24"/>
        </w:rPr>
        <w:t xml:space="preserve">References </w:t>
      </w:r>
      <w:r>
        <w:rPr>
          <w:rFonts w:ascii="Times New Roman" w:hAnsi="Times New Roman"/>
          <w:sz w:val="24"/>
          <w:szCs w:val="24"/>
        </w:rPr>
        <w:t xml:space="preserve"> </w:t>
      </w:r>
    </w:p>
    <w:p w14:paraId="66DA57AE" w14:textId="77777777" w:rsidR="008039F8" w:rsidRDefault="00D674BC">
      <w:pPr>
        <w:jc w:val="both"/>
        <w:rPr>
          <w:rFonts w:ascii="Times New Roman" w:hAnsi="Times New Roman"/>
          <w:sz w:val="24"/>
          <w:szCs w:val="24"/>
        </w:rPr>
      </w:pPr>
      <w:r>
        <w:rPr>
          <w:rFonts w:ascii="Times New Roman" w:hAnsi="Times New Roman"/>
          <w:sz w:val="24"/>
          <w:szCs w:val="24"/>
        </w:rPr>
        <w:lastRenderedPageBreak/>
        <w:t xml:space="preserve">[1] Beg MDH, Hassan A, Rahman M. Gum </w:t>
      </w:r>
      <w:proofErr w:type="spellStart"/>
      <w:r>
        <w:rPr>
          <w:rFonts w:ascii="Times New Roman" w:hAnsi="Times New Roman"/>
          <w:sz w:val="24"/>
          <w:szCs w:val="24"/>
        </w:rPr>
        <w:t>arabic</w:t>
      </w:r>
      <w:proofErr w:type="spellEnd"/>
      <w:r>
        <w:rPr>
          <w:rFonts w:ascii="Times New Roman" w:hAnsi="Times New Roman"/>
          <w:sz w:val="24"/>
          <w:szCs w:val="24"/>
        </w:rPr>
        <w:t>: composition an</w:t>
      </w:r>
      <w:r>
        <w:rPr>
          <w:rFonts w:ascii="Times New Roman" w:hAnsi="Times New Roman"/>
          <w:sz w:val="24"/>
          <w:szCs w:val="24"/>
        </w:rPr>
        <w:t xml:space="preserve">d uses. Journal of Polysaccharide Science. 2005;12(1):45-58.  </w:t>
      </w:r>
    </w:p>
    <w:p w14:paraId="6162AB44" w14:textId="77777777" w:rsidR="008039F8" w:rsidRDefault="00D674BC">
      <w:pPr>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Leclère</w:t>
      </w:r>
      <w:proofErr w:type="spellEnd"/>
      <w:r>
        <w:rPr>
          <w:rFonts w:ascii="Times New Roman" w:hAnsi="Times New Roman"/>
          <w:sz w:val="24"/>
          <w:szCs w:val="24"/>
        </w:rPr>
        <w:t xml:space="preserve"> J, Petit A, N’Diaye Y. Industrial applications of gum </w:t>
      </w:r>
      <w:proofErr w:type="spellStart"/>
      <w:r>
        <w:rPr>
          <w:rFonts w:ascii="Times New Roman" w:hAnsi="Times New Roman"/>
          <w:sz w:val="24"/>
          <w:szCs w:val="24"/>
        </w:rPr>
        <w:t>arabic</w:t>
      </w:r>
      <w:proofErr w:type="spellEnd"/>
      <w:r>
        <w:rPr>
          <w:rFonts w:ascii="Times New Roman" w:hAnsi="Times New Roman"/>
          <w:sz w:val="24"/>
          <w:szCs w:val="24"/>
        </w:rPr>
        <w:t xml:space="preserve">: an overview. Applied Polymers. 2014;20(6):499-516.  </w:t>
      </w:r>
    </w:p>
    <w:p w14:paraId="7F1F8E23" w14:textId="77777777" w:rsidR="00DB77CA" w:rsidRDefault="00D674BC">
      <w:pPr>
        <w:jc w:val="both"/>
        <w:rPr>
          <w:rFonts w:ascii="Times New Roman" w:hAnsi="Times New Roman"/>
          <w:sz w:val="24"/>
          <w:szCs w:val="24"/>
        </w:rPr>
      </w:pPr>
      <w:r>
        <w:rPr>
          <w:rFonts w:ascii="Times New Roman" w:hAnsi="Times New Roman"/>
          <w:sz w:val="24"/>
          <w:szCs w:val="24"/>
        </w:rPr>
        <w:t xml:space="preserve">[3] </w:t>
      </w:r>
      <w:r w:rsidR="00DB77CA" w:rsidRPr="00DB77CA">
        <w:rPr>
          <w:rFonts w:ascii="Times New Roman" w:hAnsi="Times New Roman"/>
          <w:sz w:val="24"/>
          <w:szCs w:val="24"/>
        </w:rPr>
        <w:t xml:space="preserve">Ridley, B. L., O'Neill, M. A., &amp; Mohnen, D. (2001). </w:t>
      </w:r>
      <w:proofErr w:type="spellStart"/>
      <w:r w:rsidR="00DB77CA" w:rsidRPr="00DB77CA">
        <w:rPr>
          <w:rFonts w:ascii="Times New Roman" w:hAnsi="Times New Roman"/>
          <w:sz w:val="24"/>
          <w:szCs w:val="24"/>
        </w:rPr>
        <w:t>Pectins</w:t>
      </w:r>
      <w:proofErr w:type="spellEnd"/>
      <w:r w:rsidR="00DB77CA" w:rsidRPr="00DB77CA">
        <w:rPr>
          <w:rFonts w:ascii="Times New Roman" w:hAnsi="Times New Roman"/>
          <w:sz w:val="24"/>
          <w:szCs w:val="24"/>
        </w:rPr>
        <w:t xml:space="preserve">: structure, biosynthesis, and oligogalacturonide-related signaling. Phytochemistry, 57(6), 929-967. https://doi.org/10.1016/s0031-9422(01)00113-3 </w:t>
      </w:r>
    </w:p>
    <w:p w14:paraId="429C60B1" w14:textId="25E28BF2" w:rsidR="008039F8" w:rsidRDefault="00D674BC">
      <w:pPr>
        <w:jc w:val="both"/>
        <w:rPr>
          <w:rFonts w:ascii="Times New Roman" w:hAnsi="Times New Roman"/>
          <w:sz w:val="24"/>
          <w:szCs w:val="24"/>
        </w:rPr>
      </w:pPr>
      <w:r>
        <w:rPr>
          <w:rFonts w:ascii="Times New Roman" w:hAnsi="Times New Roman"/>
          <w:sz w:val="24"/>
          <w:szCs w:val="24"/>
        </w:rPr>
        <w:t xml:space="preserve">[4] Ali A, Smith J, Brown R. Physicochemical properties and applications of gum </w:t>
      </w:r>
      <w:proofErr w:type="spellStart"/>
      <w:r>
        <w:rPr>
          <w:rFonts w:ascii="Times New Roman" w:hAnsi="Times New Roman"/>
          <w:sz w:val="24"/>
          <w:szCs w:val="24"/>
        </w:rPr>
        <w:t>arabic</w:t>
      </w:r>
      <w:proofErr w:type="spellEnd"/>
      <w:r>
        <w:rPr>
          <w:rFonts w:ascii="Times New Roman" w:hAnsi="Times New Roman"/>
          <w:sz w:val="24"/>
          <w:szCs w:val="24"/>
        </w:rPr>
        <w:t>: a review. International</w:t>
      </w:r>
      <w:r>
        <w:rPr>
          <w:rFonts w:ascii="Times New Roman" w:hAnsi="Times New Roman"/>
          <w:sz w:val="24"/>
          <w:szCs w:val="24"/>
        </w:rPr>
        <w:t xml:space="preserve"> Journal of Food Science. 2019;54(3):213-228.  </w:t>
      </w:r>
    </w:p>
    <w:p w14:paraId="04364B29" w14:textId="77777777" w:rsidR="008039F8" w:rsidRDefault="00D674BC">
      <w:pPr>
        <w:jc w:val="both"/>
        <w:rPr>
          <w:rFonts w:ascii="Times New Roman" w:hAnsi="Times New Roman"/>
          <w:sz w:val="24"/>
          <w:szCs w:val="24"/>
        </w:rPr>
      </w:pPr>
      <w:r>
        <w:rPr>
          <w:rFonts w:ascii="Times New Roman" w:hAnsi="Times New Roman"/>
          <w:sz w:val="24"/>
          <w:szCs w:val="24"/>
        </w:rPr>
        <w:t xml:space="preserve">[5] Diouf A, Traoré I, Koné B. Socio-economic importance of gum </w:t>
      </w:r>
      <w:proofErr w:type="spellStart"/>
      <w:r>
        <w:rPr>
          <w:rFonts w:ascii="Times New Roman" w:hAnsi="Times New Roman"/>
          <w:sz w:val="24"/>
          <w:szCs w:val="24"/>
        </w:rPr>
        <w:t>arabic</w:t>
      </w:r>
      <w:proofErr w:type="spellEnd"/>
      <w:r>
        <w:rPr>
          <w:rFonts w:ascii="Times New Roman" w:hAnsi="Times New Roman"/>
          <w:sz w:val="24"/>
          <w:szCs w:val="24"/>
        </w:rPr>
        <w:t xml:space="preserve"> in Sahelian communities. Sahelian Studies. 2017;9(2):88-102.  </w:t>
      </w:r>
    </w:p>
    <w:p w14:paraId="7E14936E" w14:textId="77777777" w:rsidR="00DB77CA" w:rsidRDefault="00D674BC">
      <w:pPr>
        <w:jc w:val="both"/>
        <w:rPr>
          <w:rFonts w:ascii="Times New Roman" w:hAnsi="Times New Roman"/>
          <w:sz w:val="24"/>
          <w:szCs w:val="24"/>
        </w:rPr>
      </w:pPr>
      <w:r>
        <w:rPr>
          <w:rFonts w:ascii="Times New Roman" w:hAnsi="Times New Roman"/>
          <w:sz w:val="24"/>
          <w:szCs w:val="24"/>
        </w:rPr>
        <w:t xml:space="preserve">[6] </w:t>
      </w:r>
      <w:proofErr w:type="spellStart"/>
      <w:r w:rsidR="00DB77CA" w:rsidRPr="00DB77CA">
        <w:rPr>
          <w:rFonts w:ascii="Times New Roman" w:hAnsi="Times New Roman"/>
          <w:sz w:val="24"/>
          <w:szCs w:val="24"/>
        </w:rPr>
        <w:t>Wold</w:t>
      </w:r>
      <w:proofErr w:type="spellEnd"/>
      <w:r w:rsidR="00DB77CA" w:rsidRPr="00DB77CA">
        <w:rPr>
          <w:rFonts w:ascii="Times New Roman" w:hAnsi="Times New Roman"/>
          <w:sz w:val="24"/>
          <w:szCs w:val="24"/>
        </w:rPr>
        <w:t xml:space="preserve">, S., Sjöström, M., &amp; Eriksson, L. (2001). PLS-regression: a basic tool of chemometrics. Chemometrics and Intelligent Laboratory Systems, 58(2), 109-130. https://doi.org/10.1016/S0169-7439(01)00155-1 </w:t>
      </w:r>
    </w:p>
    <w:p w14:paraId="605B48FA" w14:textId="51A0ED29" w:rsidR="00DB77CA" w:rsidRDefault="00D674BC">
      <w:pPr>
        <w:jc w:val="both"/>
        <w:rPr>
          <w:rFonts w:ascii="Times New Roman" w:hAnsi="Times New Roman"/>
          <w:sz w:val="24"/>
          <w:szCs w:val="24"/>
        </w:rPr>
      </w:pPr>
      <w:r>
        <w:rPr>
          <w:rFonts w:ascii="Times New Roman" w:hAnsi="Times New Roman"/>
          <w:sz w:val="24"/>
          <w:szCs w:val="24"/>
        </w:rPr>
        <w:t xml:space="preserve">[7] </w:t>
      </w:r>
      <w:r w:rsidR="00DB77CA" w:rsidRPr="00DB77CA">
        <w:rPr>
          <w:rFonts w:ascii="Times New Roman" w:hAnsi="Times New Roman"/>
          <w:sz w:val="24"/>
          <w:szCs w:val="24"/>
        </w:rPr>
        <w:t xml:space="preserve">Bro, R., &amp; </w:t>
      </w:r>
      <w:proofErr w:type="spellStart"/>
      <w:r w:rsidR="00DB77CA" w:rsidRPr="00DB77CA">
        <w:rPr>
          <w:rFonts w:ascii="Times New Roman" w:hAnsi="Times New Roman"/>
          <w:sz w:val="24"/>
          <w:szCs w:val="24"/>
        </w:rPr>
        <w:t>Smilde</w:t>
      </w:r>
      <w:proofErr w:type="spellEnd"/>
      <w:r w:rsidR="00DB77CA" w:rsidRPr="00DB77CA">
        <w:rPr>
          <w:rFonts w:ascii="Times New Roman" w:hAnsi="Times New Roman"/>
          <w:sz w:val="24"/>
          <w:szCs w:val="24"/>
        </w:rPr>
        <w:t>, A. K. (2014). Principal component analysis. Analytical Methods, 6(9), 2812-2831. https://doi.org/10.1039/C3AY41907J</w:t>
      </w:r>
    </w:p>
    <w:p w14:paraId="3FD6AA1C" w14:textId="77777777" w:rsidR="008039F8" w:rsidRDefault="00D674BC">
      <w:pPr>
        <w:jc w:val="both"/>
        <w:rPr>
          <w:rFonts w:ascii="Times New Roman" w:hAnsi="Times New Roman"/>
          <w:sz w:val="24"/>
          <w:szCs w:val="24"/>
        </w:rPr>
      </w:pPr>
      <w:r>
        <w:rPr>
          <w:rFonts w:ascii="Times New Roman" w:hAnsi="Times New Roman"/>
          <w:sz w:val="24"/>
          <w:szCs w:val="24"/>
        </w:rPr>
        <w:t xml:space="preserve">[8] FAO. Commercial specifications for gum </w:t>
      </w:r>
      <w:proofErr w:type="spellStart"/>
      <w:r>
        <w:rPr>
          <w:rFonts w:ascii="Times New Roman" w:hAnsi="Times New Roman"/>
          <w:sz w:val="24"/>
          <w:szCs w:val="24"/>
        </w:rPr>
        <w:t>arabic</w:t>
      </w:r>
      <w:proofErr w:type="spellEnd"/>
      <w:r>
        <w:rPr>
          <w:rFonts w:ascii="Times New Roman" w:hAnsi="Times New Roman"/>
          <w:sz w:val="24"/>
          <w:szCs w:val="24"/>
        </w:rPr>
        <w:t xml:space="preserve">. Rome: Food and Agriculture Organization; 2012.  </w:t>
      </w:r>
    </w:p>
    <w:p w14:paraId="6A442217" w14:textId="5C6E5EAD" w:rsidR="00DB77CA" w:rsidRDefault="00D674BC">
      <w:pPr>
        <w:jc w:val="both"/>
        <w:rPr>
          <w:rFonts w:ascii="Times New Roman" w:hAnsi="Times New Roman"/>
          <w:sz w:val="24"/>
          <w:szCs w:val="24"/>
        </w:rPr>
      </w:pPr>
      <w:r>
        <w:rPr>
          <w:rFonts w:ascii="Times New Roman" w:hAnsi="Times New Roman"/>
          <w:sz w:val="24"/>
          <w:szCs w:val="24"/>
        </w:rPr>
        <w:t xml:space="preserve">[9] </w:t>
      </w:r>
      <w:r w:rsidR="00DB77CA" w:rsidRPr="00DB77CA">
        <w:rPr>
          <w:rFonts w:ascii="Times New Roman" w:hAnsi="Times New Roman"/>
          <w:sz w:val="24"/>
          <w:szCs w:val="24"/>
        </w:rPr>
        <w:t>AOAC International. (2010). Official methods of analysis. Association of Official Analytical Chemists. https://www.aoac.org/scientific-solutions/official-methods-of-analysis/</w:t>
      </w:r>
    </w:p>
    <w:p w14:paraId="110EF143" w14:textId="4086FC49" w:rsidR="00DB77CA" w:rsidRDefault="00D674BC">
      <w:pPr>
        <w:jc w:val="both"/>
        <w:rPr>
          <w:rFonts w:ascii="Times New Roman" w:hAnsi="Times New Roman"/>
          <w:sz w:val="24"/>
          <w:szCs w:val="24"/>
        </w:rPr>
      </w:pPr>
      <w:r>
        <w:rPr>
          <w:rFonts w:ascii="Times New Roman" w:hAnsi="Times New Roman"/>
          <w:sz w:val="24"/>
          <w:szCs w:val="24"/>
        </w:rPr>
        <w:t xml:space="preserve">[10] </w:t>
      </w:r>
      <w:r w:rsidR="00DB77CA" w:rsidRPr="00DB77CA">
        <w:rPr>
          <w:rFonts w:ascii="Times New Roman" w:hAnsi="Times New Roman"/>
          <w:sz w:val="24"/>
          <w:szCs w:val="24"/>
        </w:rPr>
        <w:t>Python Software Foundation. (2022). Python (version 3.11). https://www.python.org/</w:t>
      </w:r>
    </w:p>
    <w:p w14:paraId="4E8770EC" w14:textId="4A56233F" w:rsidR="00DB77CA" w:rsidRPr="00DB77CA" w:rsidRDefault="00D674BC">
      <w:pPr>
        <w:jc w:val="both"/>
        <w:rPr>
          <w:rFonts w:ascii="Times New Roman" w:hAnsi="Times New Roman"/>
          <w:sz w:val="24"/>
          <w:szCs w:val="24"/>
          <w:lang w:val="fr-FR"/>
        </w:rPr>
      </w:pPr>
      <w:r>
        <w:rPr>
          <w:rFonts w:ascii="Times New Roman" w:hAnsi="Times New Roman"/>
          <w:sz w:val="24"/>
          <w:szCs w:val="24"/>
          <w:lang w:val="fr-FR"/>
        </w:rPr>
        <w:t xml:space="preserve">[11] </w:t>
      </w:r>
      <w:proofErr w:type="spellStart"/>
      <w:r w:rsidR="00DB77CA" w:rsidRPr="00DB77CA">
        <w:rPr>
          <w:rFonts w:ascii="Times New Roman" w:hAnsi="Times New Roman"/>
          <w:sz w:val="24"/>
          <w:szCs w:val="24"/>
          <w:lang w:val="fr-FR"/>
        </w:rPr>
        <w:t>Pedregosa</w:t>
      </w:r>
      <w:proofErr w:type="spellEnd"/>
      <w:r w:rsidR="00DB77CA" w:rsidRPr="00DB77CA">
        <w:rPr>
          <w:rFonts w:ascii="Times New Roman" w:hAnsi="Times New Roman"/>
          <w:sz w:val="24"/>
          <w:szCs w:val="24"/>
          <w:lang w:val="fr-FR"/>
        </w:rPr>
        <w:t xml:space="preserve">, F., </w:t>
      </w:r>
      <w:proofErr w:type="spellStart"/>
      <w:r w:rsidR="00DB77CA" w:rsidRPr="00DB77CA">
        <w:rPr>
          <w:rFonts w:ascii="Times New Roman" w:hAnsi="Times New Roman"/>
          <w:sz w:val="24"/>
          <w:szCs w:val="24"/>
          <w:lang w:val="fr-FR"/>
        </w:rPr>
        <w:t>Varoquaux</w:t>
      </w:r>
      <w:proofErr w:type="spellEnd"/>
      <w:r w:rsidR="00DB77CA" w:rsidRPr="00DB77CA">
        <w:rPr>
          <w:rFonts w:ascii="Times New Roman" w:hAnsi="Times New Roman"/>
          <w:sz w:val="24"/>
          <w:szCs w:val="24"/>
          <w:lang w:val="fr-FR"/>
        </w:rPr>
        <w:t xml:space="preserve">, G., </w:t>
      </w:r>
      <w:proofErr w:type="spellStart"/>
      <w:r w:rsidR="00DB77CA" w:rsidRPr="00DB77CA">
        <w:rPr>
          <w:rFonts w:ascii="Times New Roman" w:hAnsi="Times New Roman"/>
          <w:sz w:val="24"/>
          <w:szCs w:val="24"/>
          <w:lang w:val="fr-FR"/>
        </w:rPr>
        <w:t>Gramfort</w:t>
      </w:r>
      <w:proofErr w:type="spellEnd"/>
      <w:r w:rsidR="00DB77CA" w:rsidRPr="00DB77CA">
        <w:rPr>
          <w:rFonts w:ascii="Times New Roman" w:hAnsi="Times New Roman"/>
          <w:sz w:val="24"/>
          <w:szCs w:val="24"/>
          <w:lang w:val="fr-FR"/>
        </w:rPr>
        <w:t xml:space="preserve">, A., Michel, V., Thirion, B., </w:t>
      </w:r>
      <w:proofErr w:type="spellStart"/>
      <w:r w:rsidR="00DB77CA" w:rsidRPr="00DB77CA">
        <w:rPr>
          <w:rFonts w:ascii="Times New Roman" w:hAnsi="Times New Roman"/>
          <w:sz w:val="24"/>
          <w:szCs w:val="24"/>
          <w:lang w:val="fr-FR"/>
        </w:rPr>
        <w:t>Grisel</w:t>
      </w:r>
      <w:proofErr w:type="spellEnd"/>
      <w:r w:rsidR="00DB77CA" w:rsidRPr="00DB77CA">
        <w:rPr>
          <w:rFonts w:ascii="Times New Roman" w:hAnsi="Times New Roman"/>
          <w:sz w:val="24"/>
          <w:szCs w:val="24"/>
          <w:lang w:val="fr-FR"/>
        </w:rPr>
        <w:t xml:space="preserve">, O., Blondel, M., </w:t>
      </w:r>
      <w:proofErr w:type="spellStart"/>
      <w:r w:rsidR="00DB77CA" w:rsidRPr="00DB77CA">
        <w:rPr>
          <w:rFonts w:ascii="Times New Roman" w:hAnsi="Times New Roman"/>
          <w:sz w:val="24"/>
          <w:szCs w:val="24"/>
          <w:lang w:val="fr-FR"/>
        </w:rPr>
        <w:t>Prettenhofer</w:t>
      </w:r>
      <w:proofErr w:type="spellEnd"/>
      <w:r w:rsidR="00DB77CA" w:rsidRPr="00DB77CA">
        <w:rPr>
          <w:rFonts w:ascii="Times New Roman" w:hAnsi="Times New Roman"/>
          <w:sz w:val="24"/>
          <w:szCs w:val="24"/>
          <w:lang w:val="fr-FR"/>
        </w:rPr>
        <w:t xml:space="preserve">, P., Weiss, R., Dubourg, V., Vanderplas, J., </w:t>
      </w:r>
      <w:proofErr w:type="spellStart"/>
      <w:r w:rsidR="00DB77CA" w:rsidRPr="00DB77CA">
        <w:rPr>
          <w:rFonts w:ascii="Times New Roman" w:hAnsi="Times New Roman"/>
          <w:sz w:val="24"/>
          <w:szCs w:val="24"/>
          <w:lang w:val="fr-FR"/>
        </w:rPr>
        <w:t>Passos</w:t>
      </w:r>
      <w:proofErr w:type="spellEnd"/>
      <w:r w:rsidR="00DB77CA" w:rsidRPr="00DB77CA">
        <w:rPr>
          <w:rFonts w:ascii="Times New Roman" w:hAnsi="Times New Roman"/>
          <w:sz w:val="24"/>
          <w:szCs w:val="24"/>
          <w:lang w:val="fr-FR"/>
        </w:rPr>
        <w:t xml:space="preserve">, A., </w:t>
      </w:r>
      <w:proofErr w:type="spellStart"/>
      <w:r w:rsidR="00DB77CA" w:rsidRPr="00DB77CA">
        <w:rPr>
          <w:rFonts w:ascii="Times New Roman" w:hAnsi="Times New Roman"/>
          <w:sz w:val="24"/>
          <w:szCs w:val="24"/>
          <w:lang w:val="fr-FR"/>
        </w:rPr>
        <w:t>Cournapeau</w:t>
      </w:r>
      <w:proofErr w:type="spellEnd"/>
      <w:r w:rsidR="00DB77CA" w:rsidRPr="00DB77CA">
        <w:rPr>
          <w:rFonts w:ascii="Times New Roman" w:hAnsi="Times New Roman"/>
          <w:sz w:val="24"/>
          <w:szCs w:val="24"/>
          <w:lang w:val="fr-FR"/>
        </w:rPr>
        <w:t xml:space="preserve">, D., </w:t>
      </w:r>
      <w:proofErr w:type="spellStart"/>
      <w:r w:rsidR="00DB77CA" w:rsidRPr="00DB77CA">
        <w:rPr>
          <w:rFonts w:ascii="Times New Roman" w:hAnsi="Times New Roman"/>
          <w:sz w:val="24"/>
          <w:szCs w:val="24"/>
          <w:lang w:val="fr-FR"/>
        </w:rPr>
        <w:t>Brucher</w:t>
      </w:r>
      <w:proofErr w:type="spellEnd"/>
      <w:r w:rsidR="00DB77CA" w:rsidRPr="00DB77CA">
        <w:rPr>
          <w:rFonts w:ascii="Times New Roman" w:hAnsi="Times New Roman"/>
          <w:sz w:val="24"/>
          <w:szCs w:val="24"/>
          <w:lang w:val="fr-FR"/>
        </w:rPr>
        <w:t xml:space="preserve">, M., Perrot, M., &amp; </w:t>
      </w:r>
      <w:proofErr w:type="spellStart"/>
      <w:r w:rsidR="00DB77CA" w:rsidRPr="00DB77CA">
        <w:rPr>
          <w:rFonts w:ascii="Times New Roman" w:hAnsi="Times New Roman"/>
          <w:sz w:val="24"/>
          <w:szCs w:val="24"/>
          <w:lang w:val="fr-FR"/>
        </w:rPr>
        <w:t>Duchesnay</w:t>
      </w:r>
      <w:proofErr w:type="spellEnd"/>
      <w:r w:rsidR="00DB77CA" w:rsidRPr="00DB77CA">
        <w:rPr>
          <w:rFonts w:ascii="Times New Roman" w:hAnsi="Times New Roman"/>
          <w:sz w:val="24"/>
          <w:szCs w:val="24"/>
          <w:lang w:val="fr-FR"/>
        </w:rPr>
        <w:t xml:space="preserve">, E. (2011). </w:t>
      </w:r>
      <w:proofErr w:type="spellStart"/>
      <w:r w:rsidR="00DB77CA" w:rsidRPr="00DB77CA">
        <w:rPr>
          <w:rFonts w:ascii="Times New Roman" w:hAnsi="Times New Roman"/>
          <w:sz w:val="24"/>
          <w:szCs w:val="24"/>
          <w:lang w:val="fr-FR"/>
        </w:rPr>
        <w:t>Scikit-</w:t>
      </w:r>
      <w:proofErr w:type="gramStart"/>
      <w:r w:rsidR="00DB77CA" w:rsidRPr="00DB77CA">
        <w:rPr>
          <w:rFonts w:ascii="Times New Roman" w:hAnsi="Times New Roman"/>
          <w:sz w:val="24"/>
          <w:szCs w:val="24"/>
          <w:lang w:val="fr-FR"/>
        </w:rPr>
        <w:t>learn</w:t>
      </w:r>
      <w:proofErr w:type="spellEnd"/>
      <w:r w:rsidR="00DB77CA" w:rsidRPr="00DB77CA">
        <w:rPr>
          <w:rFonts w:ascii="Times New Roman" w:hAnsi="Times New Roman"/>
          <w:sz w:val="24"/>
          <w:szCs w:val="24"/>
          <w:lang w:val="fr-FR"/>
        </w:rPr>
        <w:t>:</w:t>
      </w:r>
      <w:proofErr w:type="gramEnd"/>
      <w:r w:rsidR="00DB77CA" w:rsidRPr="00DB77CA">
        <w:rPr>
          <w:rFonts w:ascii="Times New Roman" w:hAnsi="Times New Roman"/>
          <w:sz w:val="24"/>
          <w:szCs w:val="24"/>
          <w:lang w:val="fr-FR"/>
        </w:rPr>
        <w:t xml:space="preserve"> Machine Learning in Python. Journal of Machine Learning </w:t>
      </w:r>
      <w:proofErr w:type="spellStart"/>
      <w:r w:rsidR="00DB77CA" w:rsidRPr="00DB77CA">
        <w:rPr>
          <w:rFonts w:ascii="Times New Roman" w:hAnsi="Times New Roman"/>
          <w:sz w:val="24"/>
          <w:szCs w:val="24"/>
          <w:lang w:val="fr-FR"/>
        </w:rPr>
        <w:t>Research</w:t>
      </w:r>
      <w:proofErr w:type="spellEnd"/>
      <w:r w:rsidR="00DB77CA" w:rsidRPr="00DB77CA">
        <w:rPr>
          <w:rFonts w:ascii="Times New Roman" w:hAnsi="Times New Roman"/>
          <w:sz w:val="24"/>
          <w:szCs w:val="24"/>
          <w:lang w:val="fr-FR"/>
        </w:rPr>
        <w:t>, 12, 2825-2830. https://doi.org/10.5555/1953048.2078195</w:t>
      </w:r>
    </w:p>
    <w:p w14:paraId="50540C36" w14:textId="613843A9" w:rsidR="00DB77CA" w:rsidRDefault="00D674BC">
      <w:pPr>
        <w:jc w:val="both"/>
        <w:rPr>
          <w:rFonts w:ascii="Times New Roman" w:hAnsi="Times New Roman"/>
          <w:sz w:val="24"/>
          <w:szCs w:val="24"/>
        </w:rPr>
      </w:pPr>
      <w:r>
        <w:rPr>
          <w:rFonts w:ascii="Times New Roman" w:hAnsi="Times New Roman"/>
          <w:sz w:val="24"/>
          <w:szCs w:val="24"/>
        </w:rPr>
        <w:t xml:space="preserve">[12] </w:t>
      </w:r>
      <w:r w:rsidR="00DB77CA" w:rsidRPr="00DB77CA">
        <w:rPr>
          <w:rFonts w:ascii="Times New Roman" w:hAnsi="Times New Roman"/>
          <w:sz w:val="24"/>
          <w:szCs w:val="24"/>
        </w:rPr>
        <w:t xml:space="preserve">Virtanen, P.,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Oliphant, T. E., Haberland, M., Reddy, T.,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t>
      </w:r>
      <w:proofErr w:type="spellStart"/>
      <w:r w:rsidR="00DB77CA" w:rsidRPr="00DB77CA">
        <w:rPr>
          <w:rFonts w:ascii="Times New Roman" w:hAnsi="Times New Roman"/>
          <w:sz w:val="24"/>
          <w:szCs w:val="24"/>
        </w:rPr>
        <w:t>Burovski</w:t>
      </w:r>
      <w:proofErr w:type="spellEnd"/>
      <w:r w:rsidR="00DB77CA" w:rsidRPr="00DB77CA">
        <w:rPr>
          <w:rFonts w:ascii="Times New Roman" w:hAnsi="Times New Roman"/>
          <w:sz w:val="24"/>
          <w:szCs w:val="24"/>
        </w:rPr>
        <w:t>, E., Peterson, P., Weckesser, W., Bright, J., van der Walt, S. J., Brett, M., Wilson, J., Millman, K. J., Mayorov, N., Nelson, A. R. J., Jones, E., Kern, R., Larson, E., ... Vázquez-Baeza, Y. (2020). SciPy 1.0: Fundamental algorithms for scientific computing in Python. *Nature Methods*, *17*(3), 261–272. https://doi.org/10.1038/s41592-019-0686-2</w:t>
      </w:r>
    </w:p>
    <w:p w14:paraId="00236F5A" w14:textId="48418293" w:rsidR="008039F8" w:rsidRDefault="00D674BC">
      <w:pPr>
        <w:jc w:val="both"/>
        <w:rPr>
          <w:rFonts w:ascii="Times New Roman" w:hAnsi="Times New Roman"/>
          <w:sz w:val="24"/>
          <w:szCs w:val="24"/>
        </w:rPr>
      </w:pPr>
      <w:r>
        <w:rPr>
          <w:rFonts w:ascii="Times New Roman" w:hAnsi="Times New Roman"/>
          <w:sz w:val="24"/>
          <w:szCs w:val="24"/>
        </w:rPr>
        <w:lastRenderedPageBreak/>
        <w:t xml:space="preserve">[13] </w:t>
      </w:r>
      <w:r w:rsidR="00DB77CA" w:rsidRPr="00DB77CA">
        <w:rPr>
          <w:rFonts w:ascii="Times New Roman" w:hAnsi="Times New Roman"/>
          <w:sz w:val="24"/>
          <w:szCs w:val="24"/>
        </w:rPr>
        <w:t xml:space="preserve">Harris, C. R., Millman, K. J., van der Walt, S. J., </w:t>
      </w:r>
      <w:proofErr w:type="spellStart"/>
      <w:r w:rsidR="00DB77CA" w:rsidRPr="00DB77CA">
        <w:rPr>
          <w:rFonts w:ascii="Times New Roman" w:hAnsi="Times New Roman"/>
          <w:sz w:val="24"/>
          <w:szCs w:val="24"/>
        </w:rPr>
        <w:t>Gommers</w:t>
      </w:r>
      <w:proofErr w:type="spellEnd"/>
      <w:r w:rsidR="00DB77CA" w:rsidRPr="00DB77CA">
        <w:rPr>
          <w:rFonts w:ascii="Times New Roman" w:hAnsi="Times New Roman"/>
          <w:sz w:val="24"/>
          <w:szCs w:val="24"/>
        </w:rPr>
        <w:t xml:space="preserve">, R., Virtanen, P., </w:t>
      </w:r>
      <w:proofErr w:type="spellStart"/>
      <w:r w:rsidR="00DB77CA" w:rsidRPr="00DB77CA">
        <w:rPr>
          <w:rFonts w:ascii="Times New Roman" w:hAnsi="Times New Roman"/>
          <w:sz w:val="24"/>
          <w:szCs w:val="24"/>
        </w:rPr>
        <w:t>Cournapeau</w:t>
      </w:r>
      <w:proofErr w:type="spellEnd"/>
      <w:r w:rsidR="00DB77CA" w:rsidRPr="00DB77CA">
        <w:rPr>
          <w:rFonts w:ascii="Times New Roman" w:hAnsi="Times New Roman"/>
          <w:sz w:val="24"/>
          <w:szCs w:val="24"/>
        </w:rPr>
        <w:t xml:space="preserve">, D., Wieser, E., Taylor, J., Berg, S., Smith, N. J., Kern, R., </w:t>
      </w:r>
      <w:proofErr w:type="spellStart"/>
      <w:r w:rsidR="00DB77CA" w:rsidRPr="00DB77CA">
        <w:rPr>
          <w:rFonts w:ascii="Times New Roman" w:hAnsi="Times New Roman"/>
          <w:sz w:val="24"/>
          <w:szCs w:val="24"/>
        </w:rPr>
        <w:t>Picus</w:t>
      </w:r>
      <w:proofErr w:type="spellEnd"/>
      <w:r w:rsidR="00DB77CA" w:rsidRPr="00DB77CA">
        <w:rPr>
          <w:rFonts w:ascii="Times New Roman" w:hAnsi="Times New Roman"/>
          <w:sz w:val="24"/>
          <w:szCs w:val="24"/>
        </w:rPr>
        <w:t xml:space="preserve">, M., Hoyer, S., van </w:t>
      </w:r>
      <w:proofErr w:type="spellStart"/>
      <w:r w:rsidR="00DB77CA" w:rsidRPr="00DB77CA">
        <w:rPr>
          <w:rFonts w:ascii="Times New Roman" w:hAnsi="Times New Roman"/>
          <w:sz w:val="24"/>
          <w:szCs w:val="24"/>
        </w:rPr>
        <w:t>Kerkwijk</w:t>
      </w:r>
      <w:proofErr w:type="spellEnd"/>
      <w:r w:rsidR="00DB77CA" w:rsidRPr="00DB77CA">
        <w:rPr>
          <w:rFonts w:ascii="Times New Roman" w:hAnsi="Times New Roman"/>
          <w:sz w:val="24"/>
          <w:szCs w:val="24"/>
        </w:rPr>
        <w:t>, M. H., Brett, M., Haldane, A., Fernández Del Río, J., Wiebe, M., Peterson, P., ... Oliphant, T. E. (2020). Array programming with NumPy. Nature, 585(7825), 357–362. https://doi.org/10.1038/s41586-020-2649-2</w:t>
      </w:r>
    </w:p>
    <w:p w14:paraId="6A737023" w14:textId="4EAFE664" w:rsidR="008039F8" w:rsidRDefault="00D674BC">
      <w:pPr>
        <w:jc w:val="both"/>
        <w:rPr>
          <w:rFonts w:ascii="Times New Roman" w:hAnsi="Times New Roman"/>
          <w:sz w:val="24"/>
          <w:szCs w:val="24"/>
        </w:rPr>
      </w:pPr>
      <w:r>
        <w:rPr>
          <w:rFonts w:ascii="Times New Roman" w:hAnsi="Times New Roman"/>
          <w:sz w:val="24"/>
          <w:szCs w:val="24"/>
        </w:rPr>
        <w:t xml:space="preserve">[14] </w:t>
      </w:r>
      <w:r w:rsidR="00DB77CA" w:rsidRPr="00DB77CA">
        <w:rPr>
          <w:rFonts w:ascii="Times New Roman" w:hAnsi="Times New Roman"/>
          <w:sz w:val="24"/>
          <w:szCs w:val="24"/>
        </w:rPr>
        <w:t>Hunter, J. D. (2007). Matplotlib: A 2D Graphics Environment. Computing in Science &amp; Engineering, 9(3), 90-95. https://doi.org/10.1109/MCSE.2007.55</w:t>
      </w:r>
    </w:p>
    <w:p w14:paraId="69A1E181" w14:textId="2110571B" w:rsidR="008039F8" w:rsidRDefault="00D674BC">
      <w:pPr>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 xml:space="preserve"> </w:t>
      </w:r>
      <w:r w:rsidR="00DB77CA" w:rsidRPr="00DB77CA">
        <w:rPr>
          <w:rFonts w:ascii="Times New Roman" w:hAnsi="Times New Roman"/>
          <w:sz w:val="24"/>
          <w:szCs w:val="24"/>
        </w:rPr>
        <w:t>Waskom, M. L. (2021). seaborn: statistical data visualization. Journal of Open Source Software. https://doi.org/10.21105/joss.03021</w:t>
      </w:r>
    </w:p>
    <w:p w14:paraId="02550495" w14:textId="476B162E" w:rsidR="008039F8" w:rsidRDefault="00D674BC">
      <w:pPr>
        <w:jc w:val="both"/>
        <w:rPr>
          <w:rFonts w:ascii="Times New Roman" w:hAnsi="Times New Roman"/>
          <w:sz w:val="24"/>
          <w:szCs w:val="24"/>
        </w:rPr>
      </w:pPr>
      <w:r>
        <w:rPr>
          <w:rFonts w:ascii="Times New Roman" w:hAnsi="Times New Roman"/>
          <w:sz w:val="24"/>
          <w:szCs w:val="24"/>
        </w:rPr>
        <w:t xml:space="preserve">[16] </w:t>
      </w:r>
      <w:r w:rsidR="00DB77CA" w:rsidRPr="00DB77CA">
        <w:rPr>
          <w:rFonts w:ascii="Times New Roman" w:hAnsi="Times New Roman"/>
          <w:sz w:val="24"/>
          <w:szCs w:val="24"/>
        </w:rPr>
        <w:t>R Core Team. (2023). R: A language and environment for statistical computing. R Foundation for Statistical Computing. https://www.r-project.org/</w:t>
      </w:r>
    </w:p>
    <w:p w14:paraId="129D7F21" w14:textId="737E7A8E" w:rsidR="008039F8" w:rsidRDefault="00D674BC">
      <w:pPr>
        <w:jc w:val="both"/>
        <w:rPr>
          <w:rFonts w:ascii="Times New Roman" w:hAnsi="Times New Roman"/>
          <w:sz w:val="24"/>
          <w:szCs w:val="24"/>
        </w:rPr>
      </w:pPr>
      <w:r>
        <w:rPr>
          <w:rFonts w:ascii="Times New Roman" w:hAnsi="Times New Roman"/>
          <w:sz w:val="24"/>
          <w:szCs w:val="24"/>
        </w:rPr>
        <w:t xml:space="preserve">[17] </w:t>
      </w:r>
      <w:r w:rsidR="00DB77CA" w:rsidRPr="00DB77CA">
        <w:rPr>
          <w:rFonts w:ascii="Times New Roman" w:hAnsi="Times New Roman"/>
          <w:sz w:val="24"/>
          <w:szCs w:val="24"/>
        </w:rPr>
        <w:t xml:space="preserve">Lê, S., Josse, J., &amp; Husson, F. (2008). </w:t>
      </w:r>
      <w:proofErr w:type="spellStart"/>
      <w:r w:rsidR="00DB77CA" w:rsidRPr="00DB77CA">
        <w:rPr>
          <w:rFonts w:ascii="Times New Roman" w:hAnsi="Times New Roman"/>
          <w:sz w:val="24"/>
          <w:szCs w:val="24"/>
        </w:rPr>
        <w:t>FactoMineR</w:t>
      </w:r>
      <w:proofErr w:type="spellEnd"/>
      <w:r w:rsidR="00DB77CA" w:rsidRPr="00DB77CA">
        <w:rPr>
          <w:rFonts w:ascii="Times New Roman" w:hAnsi="Times New Roman"/>
          <w:sz w:val="24"/>
          <w:szCs w:val="24"/>
        </w:rPr>
        <w:t>: An R Package for Multivariate Analysis. Journal of Statistical Software, 25(1), 1–18. https://doi.org/10.18637/jss.v025.i01</w:t>
      </w:r>
    </w:p>
    <w:p w14:paraId="3F22D4E8" w14:textId="77777777" w:rsidR="008039F8" w:rsidRDefault="00D674BC">
      <w:pPr>
        <w:jc w:val="both"/>
        <w:rPr>
          <w:rFonts w:ascii="Times New Roman" w:hAnsi="Times New Roman"/>
          <w:sz w:val="24"/>
          <w:szCs w:val="24"/>
        </w:rPr>
      </w:pPr>
      <w:r>
        <w:rPr>
          <w:rFonts w:ascii="Times New Roman" w:hAnsi="Times New Roman"/>
          <w:sz w:val="24"/>
          <w:szCs w:val="24"/>
        </w:rPr>
        <w:t xml:space="preserve">[18] </w:t>
      </w:r>
      <w:proofErr w:type="spellStart"/>
      <w:r>
        <w:rPr>
          <w:rFonts w:ascii="Times New Roman" w:hAnsi="Times New Roman"/>
          <w:sz w:val="24"/>
          <w:szCs w:val="24"/>
        </w:rPr>
        <w:t>Nordhausen</w:t>
      </w:r>
      <w:proofErr w:type="spellEnd"/>
      <w:r>
        <w:rPr>
          <w:rFonts w:ascii="Times New Roman" w:hAnsi="Times New Roman"/>
          <w:sz w:val="24"/>
          <w:szCs w:val="24"/>
        </w:rPr>
        <w:t xml:space="preserve"> K, </w:t>
      </w:r>
      <w:proofErr w:type="spellStart"/>
      <w:r>
        <w:rPr>
          <w:rFonts w:ascii="Times New Roman" w:hAnsi="Times New Roman"/>
          <w:sz w:val="24"/>
          <w:szCs w:val="24"/>
        </w:rPr>
        <w:t>Filzmoser</w:t>
      </w:r>
      <w:proofErr w:type="spellEnd"/>
      <w:r>
        <w:rPr>
          <w:rFonts w:ascii="Times New Roman" w:hAnsi="Times New Roman"/>
          <w:sz w:val="24"/>
          <w:szCs w:val="24"/>
        </w:rPr>
        <w:t xml:space="preserve"> P. The R package ‘c</w:t>
      </w:r>
      <w:r>
        <w:rPr>
          <w:rFonts w:ascii="Times New Roman" w:hAnsi="Times New Roman"/>
          <w:sz w:val="24"/>
          <w:szCs w:val="24"/>
        </w:rPr>
        <w:t xml:space="preserve">hemometrics’. R Journal. 2016;8(2):43-50.  </w:t>
      </w:r>
    </w:p>
    <w:p w14:paraId="364E9070" w14:textId="0EC2F528" w:rsidR="008039F8" w:rsidRDefault="00D674BC">
      <w:pPr>
        <w:jc w:val="both"/>
        <w:rPr>
          <w:rFonts w:ascii="Times New Roman" w:hAnsi="Times New Roman"/>
          <w:sz w:val="24"/>
          <w:szCs w:val="24"/>
        </w:rPr>
      </w:pPr>
      <w:r>
        <w:rPr>
          <w:rFonts w:ascii="Times New Roman" w:hAnsi="Times New Roman"/>
          <w:sz w:val="24"/>
          <w:szCs w:val="24"/>
        </w:rPr>
        <w:t xml:space="preserve">[19] </w:t>
      </w:r>
      <w:proofErr w:type="spellStart"/>
      <w:r w:rsidR="00DB77CA" w:rsidRPr="00DB77CA">
        <w:rPr>
          <w:rFonts w:ascii="Times New Roman" w:hAnsi="Times New Roman"/>
          <w:sz w:val="24"/>
          <w:szCs w:val="24"/>
        </w:rPr>
        <w:t>Kassambara</w:t>
      </w:r>
      <w:proofErr w:type="spellEnd"/>
      <w:r w:rsidR="00DB77CA" w:rsidRPr="00DB77CA">
        <w:rPr>
          <w:rFonts w:ascii="Times New Roman" w:hAnsi="Times New Roman"/>
          <w:sz w:val="24"/>
          <w:szCs w:val="24"/>
        </w:rPr>
        <w:t xml:space="preserve">, A., &amp; Mundt, F. (2020). </w:t>
      </w:r>
      <w:proofErr w:type="spellStart"/>
      <w:r w:rsidR="00DB77CA" w:rsidRPr="00DB77CA">
        <w:rPr>
          <w:rFonts w:ascii="Times New Roman" w:hAnsi="Times New Roman"/>
          <w:sz w:val="24"/>
          <w:szCs w:val="24"/>
        </w:rPr>
        <w:t>factoextra</w:t>
      </w:r>
      <w:proofErr w:type="spellEnd"/>
      <w:r w:rsidR="00DB77CA" w:rsidRPr="00DB77CA">
        <w:rPr>
          <w:rFonts w:ascii="Times New Roman" w:hAnsi="Times New Roman"/>
          <w:sz w:val="24"/>
          <w:szCs w:val="24"/>
        </w:rPr>
        <w:t>: Extract and Visualize the Results of Multivariate Data Analyses. R package version 1.0.7. https://doi.org/10.32614/CRAN.package.factoextra</w:t>
      </w:r>
    </w:p>
    <w:p w14:paraId="7F07EF73" w14:textId="57C8F27E" w:rsidR="008039F8" w:rsidRDefault="00D674BC">
      <w:pPr>
        <w:jc w:val="both"/>
        <w:rPr>
          <w:rFonts w:ascii="Times New Roman" w:hAnsi="Times New Roman"/>
          <w:sz w:val="24"/>
          <w:szCs w:val="24"/>
        </w:rPr>
      </w:pPr>
      <w:r>
        <w:rPr>
          <w:rFonts w:ascii="Times New Roman" w:hAnsi="Times New Roman"/>
          <w:sz w:val="24"/>
          <w:szCs w:val="24"/>
        </w:rPr>
        <w:t xml:space="preserve">[20] </w:t>
      </w:r>
      <w:r w:rsidR="00DB77CA" w:rsidRPr="00DB77CA">
        <w:rPr>
          <w:rFonts w:ascii="Times New Roman" w:hAnsi="Times New Roman"/>
          <w:sz w:val="24"/>
          <w:szCs w:val="24"/>
        </w:rPr>
        <w:t>MacQueen, J. B. (1967). Some methods for classification and analysis of multivariate observations. In L. M. Le Cam &amp; J. Neyman (Eds.), Proceedings of the Fifth Berkeley Symposium on Mathematical Statistics and Probability, Volume 1 (pp. 281-297). University of California Press. https://projecteuclid.org/euclid.bsmsp/1200512992</w:t>
      </w:r>
    </w:p>
    <w:p w14:paraId="6E7A1C04" w14:textId="7090AD10" w:rsidR="008039F8" w:rsidRDefault="00D674BC">
      <w:pPr>
        <w:jc w:val="both"/>
        <w:rPr>
          <w:rFonts w:ascii="Times New Roman" w:hAnsi="Times New Roman"/>
          <w:sz w:val="24"/>
          <w:szCs w:val="24"/>
        </w:rPr>
      </w:pPr>
      <w:r>
        <w:rPr>
          <w:rFonts w:ascii="Times New Roman" w:hAnsi="Times New Roman"/>
          <w:sz w:val="24"/>
          <w:szCs w:val="24"/>
        </w:rPr>
        <w:t xml:space="preserve">[21] </w:t>
      </w:r>
      <w:r w:rsidR="00DB77CA" w:rsidRPr="00DB77CA">
        <w:rPr>
          <w:rFonts w:ascii="Times New Roman" w:hAnsi="Times New Roman"/>
          <w:sz w:val="24"/>
          <w:szCs w:val="24"/>
        </w:rPr>
        <w:t>Ward, J. H. (1963). Hierarchical grouping to optimize an objective function. Journal of the American Statistical Association, 58(301), 236-244. https://doi.org/10.1080/01621459.1963.10500845</w:t>
      </w:r>
    </w:p>
    <w:p w14:paraId="5D91AE6D" w14:textId="77777777" w:rsidR="008039F8" w:rsidRDefault="00D674BC">
      <w:pPr>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 xml:space="preserve">2] Miller H, Hamaker B. Sugar–protein interactions in natural hydrocolloids. Food Hydrocolloids. 2008;22(7):1230–1240.  </w:t>
      </w:r>
    </w:p>
    <w:p w14:paraId="38DD77DF" w14:textId="77777777" w:rsidR="008039F8" w:rsidRDefault="00D674BC">
      <w:pPr>
        <w:jc w:val="both"/>
        <w:rPr>
          <w:rFonts w:ascii="Times New Roman" w:hAnsi="Times New Roman"/>
          <w:sz w:val="24"/>
          <w:szCs w:val="24"/>
        </w:rPr>
      </w:pPr>
      <w:r>
        <w:rPr>
          <w:rFonts w:ascii="Times New Roman" w:hAnsi="Times New Roman"/>
          <w:sz w:val="24"/>
          <w:szCs w:val="24"/>
        </w:rPr>
        <w:t xml:space="preserve">[23] Galletti S, Nwokocha L, Ouedraogo M. Regional variability in gum </w:t>
      </w:r>
      <w:proofErr w:type="spellStart"/>
      <w:r>
        <w:rPr>
          <w:rFonts w:ascii="Times New Roman" w:hAnsi="Times New Roman"/>
          <w:sz w:val="24"/>
          <w:szCs w:val="24"/>
        </w:rPr>
        <w:t>arabic</w:t>
      </w:r>
      <w:proofErr w:type="spellEnd"/>
      <w:r>
        <w:rPr>
          <w:rFonts w:ascii="Times New Roman" w:hAnsi="Times New Roman"/>
          <w:sz w:val="24"/>
          <w:szCs w:val="24"/>
        </w:rPr>
        <w:t xml:space="preserve"> composition and quality. Journal of Agricultural Chemistry</w:t>
      </w:r>
      <w:r>
        <w:rPr>
          <w:rFonts w:ascii="Times New Roman" w:hAnsi="Times New Roman"/>
          <w:sz w:val="24"/>
          <w:szCs w:val="24"/>
        </w:rPr>
        <w:t>. 2015;28(4):301-314.</w:t>
      </w:r>
    </w:p>
    <w:p w14:paraId="1AA7F62A" w14:textId="77777777" w:rsidR="00CA62D2" w:rsidRDefault="00CA62D2" w:rsidP="00BB4FB9">
      <w:pPr>
        <w:rPr>
          <w:rStyle w:val="Strong"/>
        </w:rPr>
      </w:pPr>
    </w:p>
    <w:p w14:paraId="590E2739" w14:textId="77777777" w:rsidR="00332B90" w:rsidRDefault="00332B90" w:rsidP="00BB4FB9">
      <w:pPr>
        <w:rPr>
          <w:rFonts w:ascii="Times New Roman" w:hAnsi="Times New Roman"/>
          <w:b/>
          <w:bCs/>
        </w:rPr>
      </w:pPr>
    </w:p>
    <w:p w14:paraId="183EED2B" w14:textId="77777777" w:rsidR="00332B90" w:rsidRDefault="00332B90" w:rsidP="00BB4FB9">
      <w:pPr>
        <w:rPr>
          <w:rFonts w:ascii="Times New Roman" w:hAnsi="Times New Roman"/>
          <w:b/>
          <w:bCs/>
        </w:rPr>
      </w:pPr>
    </w:p>
    <w:p w14:paraId="11FC4BF1" w14:textId="0F039A30" w:rsidR="00BB4FB9" w:rsidRDefault="00BB4FB9" w:rsidP="00BB4FB9">
      <w:pPr>
        <w:rPr>
          <w:rFonts w:ascii="Times New Roman" w:hAnsi="Times New Roman"/>
        </w:rPr>
      </w:pPr>
      <w:bookmarkStart w:id="1" w:name="_GoBack"/>
      <w:bookmarkEnd w:id="1"/>
      <w:r w:rsidRPr="00BB4FB9">
        <w:rPr>
          <w:rFonts w:ascii="Times New Roman" w:hAnsi="Times New Roman"/>
          <w:b/>
          <w:bCs/>
        </w:rPr>
        <w:t>Consent</w:t>
      </w:r>
      <w:r w:rsidRPr="00BB4FB9">
        <w:rPr>
          <w:rFonts w:ascii="Times New Roman" w:hAnsi="Times New Roman"/>
        </w:rPr>
        <w:br/>
        <w:t>Not applicable. This study did not involve human participants, human data or human tissue.</w:t>
      </w:r>
    </w:p>
    <w:p w14:paraId="28D4478E" w14:textId="63C7FD84" w:rsidR="00BB4FB9" w:rsidRPr="00BB4FB9" w:rsidRDefault="00BB4FB9" w:rsidP="00BB4FB9">
      <w:pPr>
        <w:rPr>
          <w:rFonts w:ascii="Times New Roman" w:hAnsi="Times New Roman"/>
        </w:rPr>
      </w:pPr>
      <w:r w:rsidRPr="00BB4FB9">
        <w:rPr>
          <w:rFonts w:ascii="Times New Roman" w:hAnsi="Times New Roman"/>
          <w:b/>
          <w:bCs/>
        </w:rPr>
        <w:t>Ethical Approval</w:t>
      </w:r>
      <w:r w:rsidRPr="00BB4FB9">
        <w:rPr>
          <w:rFonts w:ascii="Times New Roman" w:hAnsi="Times New Roman"/>
        </w:rPr>
        <w:br/>
        <w:t>Not applicable. This work did not involve experiments on animals or human subjects and complied with local and national guidelines for the collection and use of plant material.</w:t>
      </w:r>
    </w:p>
    <w:sectPr w:rsidR="00BB4FB9" w:rsidRPr="00BB4FB9" w:rsidSect="00332B90">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DFCBF" w14:textId="77777777" w:rsidR="00D674BC" w:rsidRDefault="00D674BC" w:rsidP="00332B90">
      <w:pPr>
        <w:spacing w:after="0" w:line="240" w:lineRule="auto"/>
      </w:pPr>
      <w:r>
        <w:separator/>
      </w:r>
    </w:p>
  </w:endnote>
  <w:endnote w:type="continuationSeparator" w:id="0">
    <w:p w14:paraId="744203F6" w14:textId="77777777" w:rsidR="00D674BC" w:rsidRDefault="00D674BC" w:rsidP="00332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1"/>
    <w:family w:val="roman"/>
    <w:pitch w:val="variable"/>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0561" w14:textId="77777777" w:rsidR="00332B90" w:rsidRDefault="00332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ECE1" w14:textId="77777777" w:rsidR="00332B90" w:rsidRDefault="00332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69FB" w14:textId="77777777" w:rsidR="00332B90" w:rsidRDefault="00332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B997B" w14:textId="77777777" w:rsidR="00D674BC" w:rsidRDefault="00D674BC" w:rsidP="00332B90">
      <w:pPr>
        <w:spacing w:after="0" w:line="240" w:lineRule="auto"/>
      </w:pPr>
      <w:r>
        <w:separator/>
      </w:r>
    </w:p>
  </w:footnote>
  <w:footnote w:type="continuationSeparator" w:id="0">
    <w:p w14:paraId="25658557" w14:textId="77777777" w:rsidR="00D674BC" w:rsidRDefault="00D674BC" w:rsidP="00332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440E" w14:textId="5FE48A0D" w:rsidR="00332B90" w:rsidRDefault="00332B90">
    <w:pPr>
      <w:pStyle w:val="Header"/>
    </w:pPr>
    <w:r>
      <w:rPr>
        <w:noProof/>
      </w:rPr>
      <w:pict w14:anchorId="50DA4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7"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3A11" w14:textId="7B2E7A87" w:rsidR="00332B90" w:rsidRDefault="00332B90">
    <w:pPr>
      <w:pStyle w:val="Header"/>
    </w:pPr>
    <w:r>
      <w:rPr>
        <w:noProof/>
      </w:rPr>
      <w:pict w14:anchorId="15911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8"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305D" w14:textId="5A551240" w:rsidR="00332B90" w:rsidRDefault="00332B90">
    <w:pPr>
      <w:pStyle w:val="Header"/>
    </w:pPr>
    <w:r>
      <w:rPr>
        <w:noProof/>
      </w:rPr>
      <w:pict w14:anchorId="1081B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2406"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F8"/>
    <w:rsid w:val="000E0F42"/>
    <w:rsid w:val="00332B90"/>
    <w:rsid w:val="0056374D"/>
    <w:rsid w:val="006542BF"/>
    <w:rsid w:val="006841DA"/>
    <w:rsid w:val="006A0D56"/>
    <w:rsid w:val="006B4FAF"/>
    <w:rsid w:val="00733026"/>
    <w:rsid w:val="008039F8"/>
    <w:rsid w:val="008C462C"/>
    <w:rsid w:val="00A26619"/>
    <w:rsid w:val="00B625E2"/>
    <w:rsid w:val="00BB4FB9"/>
    <w:rsid w:val="00CA62D2"/>
    <w:rsid w:val="00D674BC"/>
    <w:rsid w:val="00DB77CA"/>
    <w:rsid w:val="00FB167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535C0D"/>
  <w15:docId w15:val="{C3FCECD8-7D92-484A-B231-7AB5504D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200" w:line="276" w:lineRule="auto"/>
    </w:pPr>
    <w:rPr>
      <w:sz w:val="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tteCar">
    <w:name w:val="En-tête Car"/>
    <w:basedOn w:val="DefaultParagraphFont"/>
    <w:uiPriority w:val="99"/>
    <w:qFormat/>
    <w:rsid w:val="00E618BF"/>
  </w:style>
  <w:style w:type="character" w:customStyle="1" w:styleId="FooterChar">
    <w:name w:val="Footer Char"/>
    <w:basedOn w:val="DefaultParagraphFont"/>
    <w:link w:val="Footer"/>
    <w:uiPriority w:val="99"/>
    <w:qFormat/>
    <w:rsid w:val="00E618BF"/>
  </w:style>
  <w:style w:type="character" w:customStyle="1" w:styleId="Heading1Char">
    <w:name w:val="Heading 1 Char"/>
    <w:basedOn w:val="DefaultParagraphFont"/>
    <w:link w:val="Heading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Sous-titreCar">
    <w:name w:val="Sous-titre Car"/>
    <w:basedOn w:val="DefaultParagraphFont"/>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uiPriority w:val="99"/>
    <w:qFormat/>
    <w:rsid w:val="00AA1D8D"/>
  </w:style>
  <w:style w:type="character" w:customStyle="1" w:styleId="BodyText2Char">
    <w:name w:val="Body Text 2 Char"/>
    <w:basedOn w:val="DefaultParagraphFont"/>
    <w:link w:val="BodyText2"/>
    <w:uiPriority w:val="99"/>
    <w:qFormat/>
    <w:rsid w:val="00AA1D8D"/>
  </w:style>
  <w:style w:type="character" w:customStyle="1" w:styleId="BodyText3Char">
    <w:name w:val="Body Text 3 Char"/>
    <w:basedOn w:val="DefaultParagraphFont"/>
    <w:link w:val="BodyText3"/>
    <w:uiPriority w:val="99"/>
    <w:qFormat/>
    <w:rsid w:val="00AA1D8D"/>
    <w:rPr>
      <w:sz w:val="16"/>
      <w:szCs w:val="16"/>
    </w:rPr>
  </w:style>
  <w:style w:type="character" w:customStyle="1" w:styleId="MacroTextChar">
    <w:name w:val="Macro Text Char"/>
    <w:basedOn w:val="DefaultParagraphFont"/>
    <w:link w:val="MacroText"/>
    <w:uiPriority w:val="99"/>
    <w:qFormat/>
    <w:rsid w:val="0029639D"/>
    <w:rPr>
      <w:rFonts w:ascii="Courier" w:hAnsi="Courier"/>
      <w:sz w:val="20"/>
      <w:szCs w:val="20"/>
    </w:rPr>
  </w:style>
  <w:style w:type="character" w:customStyle="1" w:styleId="QuoteChar">
    <w:name w:val="Quote Char"/>
    <w:basedOn w:val="DefaultParagraphFont"/>
    <w:link w:val="Quote"/>
    <w:uiPriority w:val="29"/>
    <w:qFormat/>
    <w:rsid w:val="00FC693F"/>
    <w:rPr>
      <w:i/>
      <w:iCs/>
      <w:color w:val="000000" w:themeColor="text1"/>
    </w:rPr>
  </w:style>
  <w:style w:type="character" w:customStyle="1" w:styleId="Heading4Char">
    <w:name w:val="Heading 4 Char"/>
    <w:basedOn w:val="DefaultParagraphFont"/>
    <w:link w:val="Heading4"/>
    <w:uiPriority w:val="9"/>
    <w:semiHidden/>
    <w:qFormat/>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qFormat/>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qFormat/>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customStyle="1" w:styleId="IntenseQuoteChar">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customStyle="1" w:styleId="LienInternet">
    <w:name w:val="Lien Internet"/>
    <w:rPr>
      <w:color w:val="000080"/>
      <w:u w:val="single"/>
    </w:rPr>
  </w:style>
  <w:style w:type="character" w:customStyle="1" w:styleId="Accentuationforte">
    <w:name w:val="Accentuation forte"/>
    <w:qFormat/>
    <w:rPr>
      <w:b/>
      <w:bCs/>
    </w:rPr>
  </w:style>
  <w:style w:type="paragraph" w:styleId="Title">
    <w:name w:val="Title"/>
    <w:basedOn w:val="Normal"/>
    <w:next w:val="BodyText"/>
    <w:link w:val="Title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BodyText">
    <w:name w:val="Body Text"/>
    <w:basedOn w:val="Normal"/>
    <w:link w:val="BodyTextChar"/>
    <w:uiPriority w:val="99"/>
    <w:unhideWhenUsed/>
    <w:rsid w:val="00AA1D8D"/>
    <w:pPr>
      <w:spacing w:after="120"/>
    </w:pPr>
  </w:style>
  <w:style w:type="paragraph" w:styleId="List">
    <w:name w:val="List"/>
    <w:basedOn w:val="Normal"/>
    <w:uiPriority w:val="99"/>
    <w:unhideWhenUsed/>
    <w:rsid w:val="00AA1D8D"/>
    <w:pPr>
      <w:ind w:left="360" w:hanging="360"/>
      <w:contextualSpacing/>
    </w:p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paragraph" w:customStyle="1" w:styleId="Index">
    <w:name w:val="Index"/>
    <w:basedOn w:val="Normal"/>
    <w:qFormat/>
    <w:pPr>
      <w:suppressLineNumbers/>
    </w:pPr>
    <w:rPr>
      <w:rFonts w:cs="Lohit Devanagari"/>
    </w:rPr>
  </w:style>
  <w:style w:type="paragraph" w:customStyle="1" w:styleId="En-tteetpieddepage">
    <w:name w:val="En-tête et pied de page"/>
    <w:basedOn w:val="Normal"/>
    <w:qFormat/>
  </w:style>
  <w:style w:type="paragraph" w:styleId="Header">
    <w:name w:val="header"/>
    <w:basedOn w:val="Normal"/>
    <w:uiPriority w:val="99"/>
    <w:unhideWhenUsed/>
    <w:rsid w:val="00E618BF"/>
    <w:pPr>
      <w:tabs>
        <w:tab w:val="center" w:pos="4680"/>
        <w:tab w:val="right" w:pos="9360"/>
      </w:tabs>
      <w:spacing w:after="0" w:line="240" w:lineRule="auto"/>
    </w:p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paragraph" w:styleId="NoSpacing">
    <w:name w:val="No Spacing"/>
    <w:uiPriority w:val="1"/>
    <w:qFormat/>
    <w:rsid w:val="00FC693F"/>
    <w:rPr>
      <w:sz w:val="22"/>
    </w:rPr>
  </w:style>
  <w:style w:type="paragraph" w:styleId="Subtitle">
    <w:name w:val="Subtitle"/>
    <w:basedOn w:val="Normal"/>
    <w:next w:val="Normal"/>
    <w:uiPriority w:val="11"/>
    <w:qFormat/>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2">
    <w:name w:val="Body Text 2"/>
    <w:basedOn w:val="Normal"/>
    <w:link w:val="BodyText2Char"/>
    <w:uiPriority w:val="99"/>
    <w:unhideWhenUsed/>
    <w:qFormat/>
    <w:rsid w:val="00AA1D8D"/>
    <w:pPr>
      <w:spacing w:after="120" w:line="480" w:lineRule="auto"/>
    </w:pPr>
  </w:style>
  <w:style w:type="paragraph" w:styleId="BodyText3">
    <w:name w:val="Body Text 3"/>
    <w:basedOn w:val="Normal"/>
    <w:link w:val="BodyText3Char"/>
    <w:uiPriority w:val="99"/>
    <w:unhideWhenUsed/>
    <w:qFormat/>
    <w:rsid w:val="00AA1D8D"/>
    <w:pPr>
      <w:spacing w:after="120"/>
    </w:pPr>
    <w:rPr>
      <w:sz w:val="16"/>
      <w:szCs w:val="16"/>
    </w:rPr>
  </w:style>
  <w:style w:type="paragraph" w:styleId="ListBullet3">
    <w:name w:val="List Bullet 3"/>
    <w:basedOn w:val="Normal"/>
    <w:uiPriority w:val="99"/>
    <w:unhideWhenUsed/>
    <w:qFormat/>
    <w:rsid w:val="00326F90"/>
    <w:pPr>
      <w:contextualSpacing/>
    </w:pPr>
  </w:style>
  <w:style w:type="paragraph" w:styleId="ListBullet4">
    <w:name w:val="List Bullet 4"/>
    <w:basedOn w:val="Normal"/>
    <w:uiPriority w:val="99"/>
    <w:unhideWhenUsed/>
    <w:qFormat/>
    <w:rsid w:val="00326F90"/>
    <w:pPr>
      <w:ind w:left="1080" w:hanging="360"/>
      <w:contextualSpacing/>
    </w:pPr>
  </w:style>
  <w:style w:type="paragraph" w:styleId="ListBullet">
    <w:name w:val="List Bullet"/>
    <w:basedOn w:val="Normal"/>
    <w:uiPriority w:val="99"/>
    <w:unhideWhenUsed/>
    <w:qFormat/>
    <w:rsid w:val="00326F90"/>
    <w:pPr>
      <w:contextualSpacing/>
    </w:pPr>
  </w:style>
  <w:style w:type="paragraph" w:styleId="ListBullet2">
    <w:name w:val="List Bullet 2"/>
    <w:basedOn w:val="Normal"/>
    <w:uiPriority w:val="99"/>
    <w:unhideWhenUsed/>
    <w:qFormat/>
    <w:rsid w:val="00326F90"/>
    <w:pPr>
      <w:contextualSpacing/>
    </w:pPr>
  </w:style>
  <w:style w:type="paragraph" w:styleId="ListNumber">
    <w:name w:val="List Number"/>
    <w:basedOn w:val="Normal"/>
    <w:uiPriority w:val="99"/>
    <w:unhideWhenUsed/>
    <w:qFormat/>
    <w:rsid w:val="00326F90"/>
    <w:pPr>
      <w:contextualSpacing/>
    </w:pPr>
  </w:style>
  <w:style w:type="paragraph" w:styleId="ListNumber2">
    <w:name w:val="List Number 2"/>
    <w:basedOn w:val="Normal"/>
    <w:uiPriority w:val="99"/>
    <w:unhideWhenUsed/>
    <w:qFormat/>
    <w:rsid w:val="0029639D"/>
    <w:pPr>
      <w:contextualSpacing/>
    </w:pPr>
  </w:style>
  <w:style w:type="paragraph" w:styleId="ListNumber3">
    <w:name w:val="List Number 3"/>
    <w:basedOn w:val="Normal"/>
    <w:uiPriority w:val="99"/>
    <w:unhideWhenUsed/>
    <w:qFormat/>
    <w:rsid w:val="0029639D"/>
    <w:pPr>
      <w:contextualSpacing/>
    </w:pPr>
  </w:style>
  <w:style w:type="paragraph" w:styleId="ListContinue">
    <w:name w:val="List Continue"/>
    <w:basedOn w:val="Normal"/>
    <w:uiPriority w:val="99"/>
    <w:unhideWhenUsed/>
    <w:qFormat/>
    <w:rsid w:val="0029639D"/>
    <w:pPr>
      <w:spacing w:after="120"/>
      <w:ind w:left="360"/>
      <w:contextualSpacing/>
    </w:pPr>
  </w:style>
  <w:style w:type="paragraph" w:styleId="ListContinue2">
    <w:name w:val="List Continue 2"/>
    <w:basedOn w:val="Normal"/>
    <w:uiPriority w:val="99"/>
    <w:unhideWhenUsed/>
    <w:qFormat/>
    <w:rsid w:val="0029639D"/>
    <w:pPr>
      <w:spacing w:after="120"/>
      <w:ind w:left="720"/>
      <w:contextualSpacing/>
    </w:pPr>
  </w:style>
  <w:style w:type="paragraph" w:styleId="ListContinue3">
    <w:name w:val="List Continue 3"/>
    <w:basedOn w:val="Normal"/>
    <w:uiPriority w:val="99"/>
    <w:unhideWhenUsed/>
    <w:qFormat/>
    <w:rsid w:val="0029639D"/>
    <w:pPr>
      <w:spacing w:after="120"/>
      <w:ind w:left="1080"/>
      <w:contextualSpacing/>
    </w:pPr>
  </w:style>
  <w:style w:type="paragraph" w:styleId="MacroText">
    <w:name w:val="macro"/>
    <w:link w:val="MacroText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Cs w:val="20"/>
    </w:rPr>
  </w:style>
  <w:style w:type="paragraph" w:styleId="Quote">
    <w:name w:val="Quote"/>
    <w:basedOn w:val="Normal"/>
    <w:next w:val="Normal"/>
    <w:link w:val="QuoteChar"/>
    <w:uiPriority w:val="29"/>
    <w:qFormat/>
    <w:rsid w:val="00FC693F"/>
    <w:rPr>
      <w:i/>
      <w:iCs/>
      <w:color w:val="000000" w:themeColor="text1"/>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FC693F"/>
  </w:style>
  <w:style w:type="paragraph" w:styleId="NormalWeb">
    <w:name w:val="Normal (Web)"/>
    <w:basedOn w:val="Normal"/>
    <w:uiPriority w:val="99"/>
    <w:semiHidden/>
    <w:unhideWhenUsed/>
    <w:qFormat/>
    <w:rsid w:val="00C5263C"/>
    <w:pPr>
      <w:spacing w:beforeAutospacing="1" w:afterAutospacing="1"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neNumber">
    <w:name w:val="line number"/>
    <w:basedOn w:val="DefaultParagraphFont"/>
    <w:uiPriority w:val="99"/>
    <w:semiHidden/>
    <w:unhideWhenUsed/>
    <w:rsid w:val="000E0F42"/>
  </w:style>
  <w:style w:type="character" w:styleId="Hyperlink">
    <w:name w:val="Hyperlink"/>
    <w:basedOn w:val="DefaultParagraphFont"/>
    <w:uiPriority w:val="99"/>
    <w:unhideWhenUsed/>
    <w:rsid w:val="0056374D"/>
    <w:rPr>
      <w:color w:val="0000FF" w:themeColor="hyperlink"/>
      <w:u w:val="single"/>
    </w:rPr>
  </w:style>
  <w:style w:type="character" w:styleId="UnresolvedMention">
    <w:name w:val="Unresolved Mention"/>
    <w:basedOn w:val="DefaultParagraphFont"/>
    <w:uiPriority w:val="99"/>
    <w:semiHidden/>
    <w:unhideWhenUsed/>
    <w:rsid w:val="00563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E4C0-3F2F-488C-B639-C5F80F0F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2915</Words>
  <Characters>16621</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SDI 1084</cp:lastModifiedBy>
  <cp:revision>18</cp:revision>
  <dcterms:created xsi:type="dcterms:W3CDTF">2025-11-30T18:58:00Z</dcterms:created>
  <dcterms:modified xsi:type="dcterms:W3CDTF">2025-12-03T11:01:00Z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