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FB3ED" w14:textId="77777777" w:rsidR="009F1AE1" w:rsidRDefault="009F1AE1" w:rsidP="009F1AE1">
      <w:pPr>
        <w:pStyle w:val="Heading3"/>
        <w:jc w:val="both"/>
      </w:pPr>
      <w:r>
        <w:t>Water Quality and Ecotoxicological Impacts of Surfactants and Heavy Metals in Urban Rivers of Benin City, Nigeria</w:t>
      </w:r>
    </w:p>
    <w:p w14:paraId="3CCFC6EA" w14:textId="77777777" w:rsidR="00273672" w:rsidRDefault="00273672" w:rsidP="009F1AE1">
      <w:pPr>
        <w:pStyle w:val="Heading3"/>
        <w:jc w:val="both"/>
      </w:pPr>
    </w:p>
    <w:p w14:paraId="0E0052D9" w14:textId="11B3E11D" w:rsidR="009F1AE1" w:rsidRDefault="009F1AE1" w:rsidP="009F1AE1">
      <w:pPr>
        <w:pStyle w:val="Heading3"/>
        <w:jc w:val="both"/>
      </w:pPr>
      <w:r>
        <w:t>Abstract</w:t>
      </w:r>
    </w:p>
    <w:p w14:paraId="3D76F86B" w14:textId="61031722" w:rsidR="009F1AE1" w:rsidRDefault="009F1AE1" w:rsidP="009F1AE1">
      <w:pPr>
        <w:pStyle w:val="NormalWeb"/>
        <w:jc w:val="both"/>
      </w:pPr>
      <w:r>
        <w:t>Urban rivers in Nigeria increasingly receive untreated domestic wastewater, detergent residues, and heavy metal contaminants due to rapid population growth and inadequate wastewater management. This study assessed the physicochemical characteristics, surfactant concentrations, and heavy metal levels in three urban rivers located in Benin City, Edo State. Water samples were analysed for pH, dissolved oxygen (DO), biological oxygen demand (BOD), chemical oxygen demand (COD), turbidity, linear alkylbenzene sulfonates (LAS), sodium dodecyl sulfate (SDS), and selected metals (Ni, Cu, Zn, Mn, Fe). The results showed that River B exhibited the poorest water quality, with the lowest DO (4.8 mg/L) and the highest BOD (22 mg/L), COD (50 mg/L), turbidity (15 NTU), LAS (0.22 mg/L), and SDS (0.12 mg/L). Heavy metals also followed this trend, with River B recording the highest concentrations (Ni 25 µg/L, Cu 17 µg/L, Zn 60 µg/L, Mn 110 µg/L, Fe 350 µg/L). These patterns align with earlier findings that urban and industrial catchments accumulate contaminants through atmospheric deposition, drainage inflow, and chemical runoff. Although metal levels were within WHO limits, continuous exposure may still pose ecological risks, consistent with toxicological evidence from PCB- and PAH-contaminated systems</w:t>
      </w:r>
      <w:r w:rsidR="00EA78D8">
        <w:t xml:space="preserve">. </w:t>
      </w:r>
      <w:r>
        <w:t>The combined presence of surfactants and metals highlights significant environmental stress that may impair aquatic organisms and degrade ecosystem quality. Strengthening wastewater management and implementing targeted pollution-mitigation strategies are essential to safeguarding urban river health.</w:t>
      </w:r>
    </w:p>
    <w:p w14:paraId="5ED8C48B" w14:textId="4F34B5D1" w:rsidR="009F1AE1" w:rsidRDefault="009F1AE1" w:rsidP="009F1AE1">
      <w:pPr>
        <w:pStyle w:val="Heading3"/>
        <w:jc w:val="both"/>
      </w:pPr>
      <w:r w:rsidRPr="009F1AE1">
        <w:rPr>
          <w:i/>
          <w:iCs/>
        </w:rPr>
        <w:t>Keywords:</w:t>
      </w:r>
      <w:r>
        <w:t xml:space="preserve"> </w:t>
      </w:r>
      <w:r w:rsidRPr="009F1AE1">
        <w:rPr>
          <w:b w:val="0"/>
          <w:bCs w:val="0"/>
        </w:rPr>
        <w:t>Surfactants; heavy metals; urban rivers; water quality; Benin Cit</w:t>
      </w:r>
      <w:r>
        <w:rPr>
          <w:b w:val="0"/>
          <w:bCs w:val="0"/>
        </w:rPr>
        <w:t>y</w:t>
      </w:r>
    </w:p>
    <w:p w14:paraId="119087E9" w14:textId="77777777" w:rsidR="009F1AE1" w:rsidRDefault="009F1AE1" w:rsidP="009F1AE1">
      <w:pPr>
        <w:pStyle w:val="Heading3"/>
        <w:jc w:val="both"/>
      </w:pPr>
      <w:r>
        <w:t>1.0 Introduction</w:t>
      </w:r>
    </w:p>
    <w:p w14:paraId="70BABDB9" w14:textId="77777777" w:rsidR="009F1AE1" w:rsidRDefault="009F1AE1" w:rsidP="009F1AE1">
      <w:pPr>
        <w:pStyle w:val="NormalWeb"/>
        <w:jc w:val="both"/>
      </w:pPr>
      <w:r>
        <w:t>Urban river systems in Nigeria have become increasingly vulnerable to contamination from detergents, surfactants, and heavy metals due to rapid urbanisation, poor wastewater management, and direct discharge of untreated domestic effluents. These pollutants originate from household laundry activities, car-wash centres, workshops, open drainage channels, and stormwater runoff that mobilise chemical residues into freshwater ecosystems. Similar patterns of contaminant introduction into aquatic environments have been documented in other regions of the Niger Delta, where atmospheric deposition, urban activities, and industrial processes contribute significantly to surface-water degradation (Aghanwa et al., 2025; Ekpe et al., 2025). Although these studies primarily assessed petroleum-related contaminants, the pathways of pollution—rainfall wash-off, wastewater discharge, soot deposition, and diffuse non-point sources—are similar to those that introduce detergents and metal pollutants into urban rivers.</w:t>
      </w:r>
    </w:p>
    <w:p w14:paraId="470D585E" w14:textId="77777777" w:rsidR="009F1AE1" w:rsidRDefault="009F1AE1" w:rsidP="009F1AE1">
      <w:pPr>
        <w:pStyle w:val="NormalWeb"/>
        <w:jc w:val="both"/>
      </w:pPr>
      <w:r>
        <w:t xml:space="preserve">Surfactants such as linear alkylbenzene sulfonates (LAS) and sodium dodecyl sulfate (SDS) are widely used in household cleaning agents and detergents. When released into surface waters, they alter physicochemical properties, reduce dissolved oxygen, increase turbidity, and disrupt biological membranes in aquatic organisms. These physiological disturbances resemble the toxicological responses observed in fish and crustaceans exposed to persistent organic pollutants such as PCBs and PAHs (ATSDR, 1997; Ernesto et al., 2021; John et al., 2025). </w:t>
      </w:r>
      <w:r>
        <w:lastRenderedPageBreak/>
        <w:t>Chronic exposure to detergent residues may therefore elicit ecological stress comparable to that described in studies involving hydrocarbon-impacted aquatic environments.</w:t>
      </w:r>
    </w:p>
    <w:p w14:paraId="6603F938" w14:textId="77777777" w:rsidR="009F1AE1" w:rsidRDefault="009F1AE1" w:rsidP="009F1AE1">
      <w:pPr>
        <w:pStyle w:val="NormalWeb"/>
        <w:jc w:val="both"/>
      </w:pPr>
      <w:r>
        <w:t>Heavy metals represent another critical contaminant category in urban rivers. Metals such as nickel, copper, zinc, manganese, and iron enter waterways through corroded infrastructure, metal workshops, batteries, vehicle emissions, and market runoff. Although the heavy metals examined in earlier studies often include lead, cadmium, arsenic, and mercury, the toxicological principles remain consistent. Research by Okpoji et al. (2025), Eyenubo et al. (2024), and Oghenekohwiroro and Osaro (2017) demonstrated that rivers exposed to continuous contaminant inflow accumulate toxic metals in sediments and biota, leading to ecological degradation and elevated human-health risks. Similar bioaccumulation patterns are expected in rivers impacted by detergent-laden wastewater and urban runoff.</w:t>
      </w:r>
    </w:p>
    <w:p w14:paraId="417CC8D6" w14:textId="77777777" w:rsidR="009F1AE1" w:rsidRDefault="009F1AE1" w:rsidP="009F1AE1">
      <w:pPr>
        <w:pStyle w:val="NormalWeb"/>
        <w:jc w:val="both"/>
      </w:pPr>
      <w:r>
        <w:t>Long-range atmospheric transport can also exacerbate contamination in freshwater systems. Kallenborn et al. (2015) and Wania et al. (2006) reported that airborne chemical residues, including soot particles and semi-volatile pollutants, can settle into aquatic environments through rainfall and dry deposition. Although their studies addressed persistent organic pollutants, detergents and associated chemicals can be distributed through similar physical processes in densely populated areas. This highlights the multifaceted nature of contamination sources affecting urban rivers.</w:t>
      </w:r>
    </w:p>
    <w:p w14:paraId="6B319E5E" w14:textId="77777777" w:rsidR="009F1AE1" w:rsidRDefault="009F1AE1" w:rsidP="009F1AE1">
      <w:pPr>
        <w:pStyle w:val="NormalWeb"/>
        <w:jc w:val="both"/>
      </w:pPr>
      <w:r>
        <w:t>In addition to chemical contamination, the broader context of environmental governance and pollution management plays a crucial role. Kwok (2023) and Lawal (2023) emphasised the need for strengthened regulatory frameworks, community participation, and long-term monitoring strategies to effectively mitigate pollution in vulnerable regions. In complex environments, such as those in Nigeria, remediation and management challenges are heightened by limited infrastructure, economic pressure, and continuous pollutant inflow (Ibe, 2023).</w:t>
      </w:r>
    </w:p>
    <w:p w14:paraId="69957A2D" w14:textId="77777777" w:rsidR="009F1AE1" w:rsidRDefault="009F1AE1" w:rsidP="009F1AE1">
      <w:pPr>
        <w:pStyle w:val="NormalWeb"/>
        <w:jc w:val="both"/>
      </w:pPr>
      <w:r>
        <w:t>Given the ecological and public-health implications of detergent pollution and metal contamination, assessing the current state of water quality in urban rivers is vital. While several studies in Nigeria have evaluated hydrocarbon, PCB, and PAH contamination in river systems (Ekwere et al., 2025; Okpoji et al., 2025; Umueni et al., 2025), there remains limited research on the combined effects of surfactants and heavy metals in urban freshwater environments. This gap underscores the need for detailed ecotoxicological assessments that capture the multifactorial nature of urban water pollution.</w:t>
      </w:r>
    </w:p>
    <w:p w14:paraId="267CFE45" w14:textId="77777777" w:rsidR="009F1AE1" w:rsidRDefault="009F1AE1" w:rsidP="009F1AE1">
      <w:pPr>
        <w:pStyle w:val="NormalWeb"/>
        <w:jc w:val="both"/>
      </w:pPr>
      <w:r>
        <w:t>This study therefore investigates the physicochemical characteristics, surfactant concentrations, and heavy metal levels in three urban rivers within Benin City, Edo State.</w:t>
      </w:r>
    </w:p>
    <w:p w14:paraId="3AACA962" w14:textId="00AA63FF" w:rsidR="009F1AE1" w:rsidRPr="009F1AE1" w:rsidRDefault="009F1AE1" w:rsidP="009F1AE1">
      <w:pPr>
        <w:pStyle w:val="Heading3"/>
        <w:jc w:val="both"/>
        <w:rPr>
          <w:sz w:val="24"/>
          <w:szCs w:val="24"/>
        </w:rPr>
      </w:pPr>
      <w:r w:rsidRPr="009F1AE1">
        <w:rPr>
          <w:sz w:val="24"/>
          <w:szCs w:val="24"/>
        </w:rPr>
        <w:t xml:space="preserve">2.0 Materials and Methods </w:t>
      </w:r>
    </w:p>
    <w:p w14:paraId="0CEAE048" w14:textId="77777777" w:rsidR="009F1AE1" w:rsidRPr="009F1AE1" w:rsidRDefault="009F1AE1" w:rsidP="009F1AE1">
      <w:pPr>
        <w:pStyle w:val="Heading3"/>
        <w:jc w:val="both"/>
        <w:rPr>
          <w:sz w:val="24"/>
          <w:szCs w:val="24"/>
        </w:rPr>
      </w:pPr>
      <w:r w:rsidRPr="009F1AE1">
        <w:rPr>
          <w:sz w:val="24"/>
          <w:szCs w:val="24"/>
        </w:rPr>
        <w:t>2.1 Study Area</w:t>
      </w:r>
    </w:p>
    <w:p w14:paraId="29AAEF2B" w14:textId="77777777" w:rsidR="009F1AE1" w:rsidRPr="009F1AE1" w:rsidRDefault="009F1AE1" w:rsidP="009F1AE1">
      <w:pPr>
        <w:pStyle w:val="NormalWeb"/>
        <w:jc w:val="both"/>
      </w:pPr>
      <w:r w:rsidRPr="009F1AE1">
        <w:t xml:space="preserve">This study was conducted in three urban rivers located within the metropolitan area of Benin City, Edo State, south-central Nigeria. The city is highly populated and characterised by dense residential settlements, commercial centres, car-wash points, open drainage systems, markets, laundries, and small-scale industrial workshops, all of which contribute significantly to urban water pollution. The rivers (designated as River A, River B, and River C) receive runoff from domestic effluents, wastewater from laundry activities, stormwater from tarred roads, as well </w:t>
      </w:r>
      <w:r w:rsidRPr="009F1AE1">
        <w:lastRenderedPageBreak/>
        <w:t>as industrial discharge from metal workshops and local manufacturing facilities. Benin City lies within a humid tropical climatic zone with a rainy season from April to October and a dry season from November to March. Seasonal hydrological patterns strongly influence pollutant transport and dilution within the rivers.</w:t>
      </w:r>
    </w:p>
    <w:p w14:paraId="1DA60343" w14:textId="77777777" w:rsidR="009F1AE1" w:rsidRPr="009F1AE1" w:rsidRDefault="009F1AE1" w:rsidP="009F1AE1">
      <w:pPr>
        <w:pStyle w:val="Heading3"/>
        <w:jc w:val="both"/>
        <w:rPr>
          <w:sz w:val="24"/>
          <w:szCs w:val="24"/>
        </w:rPr>
      </w:pPr>
      <w:r w:rsidRPr="009F1AE1">
        <w:rPr>
          <w:sz w:val="24"/>
          <w:szCs w:val="24"/>
        </w:rPr>
        <w:t>2.2 Sample Collection</w:t>
      </w:r>
    </w:p>
    <w:p w14:paraId="04D7F57D" w14:textId="77777777" w:rsidR="009F1AE1" w:rsidRPr="009F1AE1" w:rsidRDefault="009F1AE1" w:rsidP="009F1AE1">
      <w:pPr>
        <w:pStyle w:val="NormalWeb"/>
        <w:jc w:val="both"/>
      </w:pPr>
      <w:r w:rsidRPr="009F1AE1">
        <w:t>Water samples were collected from midstream points of River A, River B, and River C using pre-cleaned 1-L polyethylene bottles. Before sampling, each bottle was rinsed three times with river water at the collection point. Samples for physicochemical and surfactant analyses were kept in ice chests at 4°C and transported to the laboratory within 6 hours. Samples for heavy metal analysis were immediately acidified with concentrated nitric acid to reduce pH below 2.0, preventing metal precipitation or adsorption onto container surfaces during storage.</w:t>
      </w:r>
    </w:p>
    <w:p w14:paraId="6BF16F36" w14:textId="77777777" w:rsidR="009F1AE1" w:rsidRPr="009F1AE1" w:rsidRDefault="009F1AE1" w:rsidP="009F1AE1">
      <w:pPr>
        <w:pStyle w:val="Heading3"/>
        <w:jc w:val="both"/>
        <w:rPr>
          <w:sz w:val="24"/>
          <w:szCs w:val="24"/>
        </w:rPr>
      </w:pPr>
      <w:r w:rsidRPr="009F1AE1">
        <w:rPr>
          <w:sz w:val="24"/>
          <w:szCs w:val="24"/>
        </w:rPr>
        <w:t>2.3 Physicochemical Analysis</w:t>
      </w:r>
    </w:p>
    <w:p w14:paraId="28444A4D" w14:textId="283ECFD5" w:rsidR="009F1AE1" w:rsidRPr="009F1AE1" w:rsidRDefault="009F1AE1" w:rsidP="009F1AE1">
      <w:pPr>
        <w:pStyle w:val="NormalWeb"/>
        <w:jc w:val="both"/>
      </w:pPr>
      <w:r w:rsidRPr="009F1AE1">
        <w:t>Water quality parameters</w:t>
      </w:r>
      <w:r>
        <w:t>,</w:t>
      </w:r>
      <w:r w:rsidRPr="009F1AE1">
        <w:t xml:space="preserve"> including pH, dissolved oxygen (DO), biological oxygen demand (BOD), chemical oxygen demand (COD), and turbidity</w:t>
      </w:r>
      <w:r>
        <w:t>,</w:t>
      </w:r>
      <w:r w:rsidRPr="009F1AE1">
        <w:t xml:space="preserve"> were analysed following Standard Methods for the Examination of Water and Wastewater (APHA, 2017).</w:t>
      </w:r>
      <w:r w:rsidRPr="009F1AE1">
        <w:br/>
        <w:t>• pH was measured using a calibrated portable pH meter.</w:t>
      </w:r>
      <w:r w:rsidRPr="009F1AE1">
        <w:br/>
        <w:t>• DO was determined using a digital dissolved oxygen meter.</w:t>
      </w:r>
      <w:r w:rsidRPr="009F1AE1">
        <w:br/>
        <w:t>• BOD was analysed using the 5-day incubation procedure.</w:t>
      </w:r>
      <w:r w:rsidRPr="009F1AE1">
        <w:br/>
        <w:t>• COD was measured via the closed reflux dichromate method.</w:t>
      </w:r>
      <w:r w:rsidRPr="009F1AE1">
        <w:br/>
        <w:t>• Turbidity was determined with a nephelometric turbidity meter (NTU scale).</w:t>
      </w:r>
    </w:p>
    <w:p w14:paraId="5EE34429" w14:textId="77777777" w:rsidR="009F1AE1" w:rsidRPr="009F1AE1" w:rsidRDefault="009F1AE1" w:rsidP="009F1AE1">
      <w:pPr>
        <w:pStyle w:val="NormalWeb"/>
        <w:jc w:val="both"/>
      </w:pPr>
      <w:r w:rsidRPr="009F1AE1">
        <w:t>All instruments were calibrated before field and laboratory use.</w:t>
      </w:r>
    </w:p>
    <w:p w14:paraId="4FBAD114" w14:textId="77777777" w:rsidR="009F1AE1" w:rsidRPr="009F1AE1" w:rsidRDefault="009F1AE1" w:rsidP="009F1AE1">
      <w:pPr>
        <w:pStyle w:val="Heading3"/>
        <w:jc w:val="both"/>
        <w:rPr>
          <w:sz w:val="24"/>
          <w:szCs w:val="24"/>
        </w:rPr>
      </w:pPr>
      <w:r w:rsidRPr="009F1AE1">
        <w:rPr>
          <w:sz w:val="24"/>
          <w:szCs w:val="24"/>
        </w:rPr>
        <w:t>2.4 Surfactant and Detergent Analysis</w:t>
      </w:r>
    </w:p>
    <w:p w14:paraId="08DCE14E" w14:textId="77777777" w:rsidR="009F1AE1" w:rsidRDefault="009F1AE1" w:rsidP="009F1AE1">
      <w:pPr>
        <w:pStyle w:val="NormalWeb"/>
        <w:jc w:val="both"/>
      </w:pPr>
      <w:r w:rsidRPr="009F1AE1">
        <w:t>Surfactant concentrations (LAS and SDS) were measured using the methylene blue active substance (MBAS) spectrophotometric method.</w:t>
      </w:r>
    </w:p>
    <w:p w14:paraId="3D284691" w14:textId="77777777" w:rsidR="009F1AE1" w:rsidRDefault="009F1AE1" w:rsidP="009F1AE1">
      <w:pPr>
        <w:pStyle w:val="NormalWeb"/>
        <w:jc w:val="both"/>
      </w:pPr>
      <w:r w:rsidRPr="009F1AE1">
        <w:t>• Samples were extracted with chloroform in a separatory funnel.</w:t>
      </w:r>
    </w:p>
    <w:p w14:paraId="0E6C7F3A" w14:textId="77777777" w:rsidR="009F1AE1" w:rsidRDefault="009F1AE1" w:rsidP="009F1AE1">
      <w:pPr>
        <w:pStyle w:val="NormalWeb"/>
        <w:jc w:val="both"/>
      </w:pPr>
      <w:r w:rsidRPr="009F1AE1">
        <w:t>• The extract was reacted with methylene blue dye to form a measurable ion pair.</w:t>
      </w:r>
    </w:p>
    <w:p w14:paraId="4CF3D397" w14:textId="73599A5A" w:rsidR="009F1AE1" w:rsidRPr="009F1AE1" w:rsidRDefault="009F1AE1" w:rsidP="009F1AE1">
      <w:pPr>
        <w:pStyle w:val="NormalWeb"/>
        <w:jc w:val="both"/>
      </w:pPr>
      <w:r w:rsidRPr="009F1AE1">
        <w:t>• Absorbance was taken at 652 nm using a UV–Visible spectrophotometer.</w:t>
      </w:r>
    </w:p>
    <w:p w14:paraId="41093434" w14:textId="77777777" w:rsidR="009F1AE1" w:rsidRPr="009F1AE1" w:rsidRDefault="009F1AE1" w:rsidP="009F1AE1">
      <w:pPr>
        <w:pStyle w:val="NormalWeb"/>
        <w:jc w:val="both"/>
      </w:pPr>
      <w:r w:rsidRPr="009F1AE1">
        <w:t>LAS and SDS standards were used to generate calibration curves. Results were reported as mg/L.</w:t>
      </w:r>
    </w:p>
    <w:p w14:paraId="19247B65" w14:textId="77777777" w:rsidR="009F1AE1" w:rsidRPr="009F1AE1" w:rsidRDefault="009F1AE1" w:rsidP="009F1AE1">
      <w:pPr>
        <w:pStyle w:val="Heading3"/>
        <w:jc w:val="both"/>
        <w:rPr>
          <w:sz w:val="24"/>
          <w:szCs w:val="24"/>
        </w:rPr>
      </w:pPr>
      <w:r w:rsidRPr="009F1AE1">
        <w:rPr>
          <w:sz w:val="24"/>
          <w:szCs w:val="24"/>
        </w:rPr>
        <w:t>2.5 Heavy Metal Analysis</w:t>
      </w:r>
    </w:p>
    <w:p w14:paraId="793D183E" w14:textId="77777777" w:rsidR="009F1AE1" w:rsidRDefault="009F1AE1" w:rsidP="009F1AE1">
      <w:pPr>
        <w:pStyle w:val="NormalWeb"/>
        <w:jc w:val="both"/>
      </w:pPr>
      <w:r w:rsidRPr="009F1AE1">
        <w:t>Heavy metals (Ni, Cu, Zn, Mn, Fe) were quantified using Atomic Absorption Spectrophotometry (AAS).</w:t>
      </w:r>
    </w:p>
    <w:p w14:paraId="279E96A1" w14:textId="37D809D8" w:rsidR="009F1AE1" w:rsidRPr="009F1AE1" w:rsidRDefault="009F1AE1" w:rsidP="009F1AE1">
      <w:pPr>
        <w:pStyle w:val="NormalWeb"/>
        <w:jc w:val="both"/>
      </w:pPr>
      <w:r w:rsidRPr="009F1AE1">
        <w:t>• A 50-ml aliquot of each water sample was digested with nitric and perchloric acids on a hot plate until a clear solution was obtained.</w:t>
      </w:r>
      <w:r w:rsidRPr="009F1AE1">
        <w:br/>
        <w:t>• Digested samples were filtered and diluted to a final volume of 25 ml with deionised water.</w:t>
      </w:r>
      <w:r w:rsidRPr="009F1AE1">
        <w:br/>
      </w:r>
      <w:r w:rsidRPr="009F1AE1">
        <w:lastRenderedPageBreak/>
        <w:t>• Metal concentrations were measured using AAS with appropriate hollow cathode lamps for each metal.</w:t>
      </w:r>
    </w:p>
    <w:p w14:paraId="0A05562A" w14:textId="77777777" w:rsidR="009F1AE1" w:rsidRPr="009F1AE1" w:rsidRDefault="009F1AE1" w:rsidP="009F1AE1">
      <w:pPr>
        <w:pStyle w:val="NormalWeb"/>
        <w:jc w:val="both"/>
      </w:pPr>
      <w:r w:rsidRPr="009F1AE1">
        <w:t>Analytical accuracy was verified through reagent blanks, duplicate samples, and certified reference material checks.</w:t>
      </w:r>
    </w:p>
    <w:p w14:paraId="09C73B2A" w14:textId="77777777" w:rsidR="009F1AE1" w:rsidRPr="009F1AE1" w:rsidRDefault="009F1AE1" w:rsidP="009F1AE1">
      <w:pPr>
        <w:pStyle w:val="Heading3"/>
        <w:jc w:val="both"/>
        <w:rPr>
          <w:sz w:val="24"/>
          <w:szCs w:val="24"/>
        </w:rPr>
      </w:pPr>
      <w:r w:rsidRPr="009F1AE1">
        <w:rPr>
          <w:sz w:val="24"/>
          <w:szCs w:val="24"/>
        </w:rPr>
        <w:t>2.6 Data Treatment and Interpretation</w:t>
      </w:r>
    </w:p>
    <w:p w14:paraId="3B356CAF" w14:textId="77777777" w:rsidR="009F1AE1" w:rsidRPr="009F1AE1" w:rsidRDefault="009F1AE1" w:rsidP="009F1AE1">
      <w:pPr>
        <w:pStyle w:val="NormalWeb"/>
        <w:jc w:val="both"/>
      </w:pPr>
      <w:r w:rsidRPr="009F1AE1">
        <w:t>Values obtained for each parameter were compared with World Health Organization (WHO) and USEPA guideline values for freshwater systems. Spatial variations among the three rivers were examined descriptively to identify pollution patterns linked to domestic, commercial, and industrial activities.</w:t>
      </w:r>
    </w:p>
    <w:p w14:paraId="0B9758C8" w14:textId="77777777" w:rsidR="009F1AE1" w:rsidRPr="009F1AE1" w:rsidRDefault="009F1AE1" w:rsidP="009F1AE1">
      <w:pPr>
        <w:pStyle w:val="Heading3"/>
        <w:jc w:val="both"/>
        <w:rPr>
          <w:sz w:val="24"/>
          <w:szCs w:val="24"/>
        </w:rPr>
      </w:pPr>
      <w:r w:rsidRPr="009F1AE1">
        <w:rPr>
          <w:sz w:val="24"/>
          <w:szCs w:val="24"/>
        </w:rPr>
        <w:t>2.7 Quality Assurance and Quality Control</w:t>
      </w:r>
    </w:p>
    <w:p w14:paraId="4835B704" w14:textId="77777777" w:rsidR="009F1AE1" w:rsidRPr="009F1AE1" w:rsidRDefault="009F1AE1" w:rsidP="009F1AE1">
      <w:pPr>
        <w:pStyle w:val="NormalWeb"/>
        <w:jc w:val="both"/>
      </w:pPr>
      <w:r w:rsidRPr="009F1AE1">
        <w:t>All glassware was acid-washed and rinsed with deionised water before use. Recovery values for metal analysis ranged between 90% and 105%. Surfactant and heavy metal analyses were performed in triplicate, and mean values were reported. Instrument calibration and validation were performed before each batch of analysis to ensure data reliability.</w:t>
      </w:r>
    </w:p>
    <w:p w14:paraId="1B1AEC8B" w14:textId="77777777" w:rsidR="009F1AE1" w:rsidRPr="009F1AE1" w:rsidRDefault="009F1AE1" w:rsidP="009F1AE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3.0 Results</w:t>
      </w:r>
    </w:p>
    <w:p w14:paraId="72F151FB" w14:textId="77777777" w:rsidR="009F1AE1" w:rsidRPr="009F1AE1" w:rsidRDefault="009F1AE1" w:rsidP="009F1AE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3.1 Physicochemical Water Quality Parameters</w:t>
      </w:r>
    </w:p>
    <w:p w14:paraId="2EE300F2" w14:textId="77777777" w:rsidR="009F1AE1" w:rsidRPr="009F1AE1" w:rsidRDefault="009F1AE1" w:rsidP="009F1AE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Water quality varied across the three urban rivers. pH values ranged from 6.5 to 6.9, indicating slightly acidic to near-neutral conditions typical of rivers receiving mixed domestic and industrial inputs. Dissolved oxygen (DO) was lowest in River B (4.8 mg/L), suggesting higher organic loading. Biological oxygen demand (BOD) and chemical oxygen demand (COD) were also highest in River B (22 mg/L and 50 mg/L), reflecting elevated levels of organic and chemical pollutants common in densely populated urban catchments. River C exhibited the lowest BOD and COD values (18 mg/L and 40 mg/L), indicating relatively better water quality. Turbidity followed the same pattern, with River B recording the highest value (15 NTU), implying increased suspended solids and reduced clarity.</w:t>
      </w:r>
    </w:p>
    <w:p w14:paraId="34709D9C" w14:textId="4D20EF62" w:rsidR="009F1AE1" w:rsidRPr="009F1AE1" w:rsidRDefault="009F1AE1" w:rsidP="009F1AE1">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Table 1: Water Quality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2"/>
        <w:gridCol w:w="381"/>
        <w:gridCol w:w="1187"/>
        <w:gridCol w:w="1347"/>
        <w:gridCol w:w="1360"/>
        <w:gridCol w:w="1802"/>
      </w:tblGrid>
      <w:tr w:rsidR="009F1AE1" w:rsidRPr="009F1AE1" w14:paraId="7101E115" w14:textId="77777777" w:rsidTr="009F1AE1">
        <w:trPr>
          <w:tblHeader/>
          <w:tblCellSpacing w:w="15" w:type="dxa"/>
        </w:trPr>
        <w:tc>
          <w:tcPr>
            <w:tcW w:w="0" w:type="auto"/>
            <w:vAlign w:val="center"/>
            <w:hideMark/>
          </w:tcPr>
          <w:p w14:paraId="5F5B2CBB" w14:textId="77777777" w:rsidR="009F1AE1" w:rsidRPr="009F1AE1" w:rsidRDefault="009F1AE1" w:rsidP="009F1AE1">
            <w:pPr>
              <w:spacing w:after="0"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Site</w:t>
            </w:r>
          </w:p>
        </w:tc>
        <w:tc>
          <w:tcPr>
            <w:tcW w:w="0" w:type="auto"/>
            <w:vAlign w:val="center"/>
            <w:hideMark/>
          </w:tcPr>
          <w:p w14:paraId="47CFF194" w14:textId="77777777" w:rsidR="009F1AE1" w:rsidRPr="009F1AE1" w:rsidRDefault="009F1AE1" w:rsidP="009F1AE1">
            <w:pPr>
              <w:spacing w:after="0"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pH</w:t>
            </w:r>
          </w:p>
        </w:tc>
        <w:tc>
          <w:tcPr>
            <w:tcW w:w="0" w:type="auto"/>
            <w:vAlign w:val="center"/>
            <w:hideMark/>
          </w:tcPr>
          <w:p w14:paraId="0F7386F9" w14:textId="77777777" w:rsidR="009F1AE1" w:rsidRPr="009F1AE1" w:rsidRDefault="009F1AE1" w:rsidP="009F1AE1">
            <w:pPr>
              <w:spacing w:after="0"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DO (mg/L)</w:t>
            </w:r>
          </w:p>
        </w:tc>
        <w:tc>
          <w:tcPr>
            <w:tcW w:w="0" w:type="auto"/>
            <w:vAlign w:val="center"/>
            <w:hideMark/>
          </w:tcPr>
          <w:p w14:paraId="5E0DA784" w14:textId="77777777" w:rsidR="009F1AE1" w:rsidRPr="009F1AE1" w:rsidRDefault="009F1AE1" w:rsidP="009F1AE1">
            <w:pPr>
              <w:spacing w:after="0"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BOD (mg/L)</w:t>
            </w:r>
          </w:p>
        </w:tc>
        <w:tc>
          <w:tcPr>
            <w:tcW w:w="0" w:type="auto"/>
            <w:vAlign w:val="center"/>
            <w:hideMark/>
          </w:tcPr>
          <w:p w14:paraId="4CE06179" w14:textId="77777777" w:rsidR="009F1AE1" w:rsidRPr="009F1AE1" w:rsidRDefault="009F1AE1" w:rsidP="009F1AE1">
            <w:pPr>
              <w:spacing w:after="0"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COD (mg/L)</w:t>
            </w:r>
          </w:p>
        </w:tc>
        <w:tc>
          <w:tcPr>
            <w:tcW w:w="0" w:type="auto"/>
            <w:vAlign w:val="center"/>
            <w:hideMark/>
          </w:tcPr>
          <w:p w14:paraId="570835B9" w14:textId="77777777" w:rsidR="009F1AE1" w:rsidRPr="009F1AE1" w:rsidRDefault="009F1AE1" w:rsidP="009F1AE1">
            <w:pPr>
              <w:spacing w:after="0"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Turbidity (NTU)</w:t>
            </w:r>
          </w:p>
        </w:tc>
      </w:tr>
      <w:tr w:rsidR="009F1AE1" w:rsidRPr="009F1AE1" w14:paraId="2CCEA661" w14:textId="77777777" w:rsidTr="009F1AE1">
        <w:trPr>
          <w:tblCellSpacing w:w="15" w:type="dxa"/>
        </w:trPr>
        <w:tc>
          <w:tcPr>
            <w:tcW w:w="0" w:type="auto"/>
            <w:vAlign w:val="center"/>
            <w:hideMark/>
          </w:tcPr>
          <w:p w14:paraId="7024CB87"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River A</w:t>
            </w:r>
          </w:p>
        </w:tc>
        <w:tc>
          <w:tcPr>
            <w:tcW w:w="0" w:type="auto"/>
            <w:vAlign w:val="center"/>
            <w:hideMark/>
          </w:tcPr>
          <w:p w14:paraId="4EA0DF45"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6.8</w:t>
            </w:r>
          </w:p>
        </w:tc>
        <w:tc>
          <w:tcPr>
            <w:tcW w:w="0" w:type="auto"/>
            <w:vAlign w:val="center"/>
            <w:hideMark/>
          </w:tcPr>
          <w:p w14:paraId="0CA24332"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5.2</w:t>
            </w:r>
          </w:p>
        </w:tc>
        <w:tc>
          <w:tcPr>
            <w:tcW w:w="0" w:type="auto"/>
            <w:vAlign w:val="center"/>
            <w:hideMark/>
          </w:tcPr>
          <w:p w14:paraId="47F88292"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20</w:t>
            </w:r>
          </w:p>
        </w:tc>
        <w:tc>
          <w:tcPr>
            <w:tcW w:w="0" w:type="auto"/>
            <w:vAlign w:val="center"/>
            <w:hideMark/>
          </w:tcPr>
          <w:p w14:paraId="23B5F7BA"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45</w:t>
            </w:r>
          </w:p>
        </w:tc>
        <w:tc>
          <w:tcPr>
            <w:tcW w:w="0" w:type="auto"/>
            <w:vAlign w:val="center"/>
            <w:hideMark/>
          </w:tcPr>
          <w:p w14:paraId="16ED6880"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12</w:t>
            </w:r>
          </w:p>
        </w:tc>
      </w:tr>
      <w:tr w:rsidR="009F1AE1" w:rsidRPr="009F1AE1" w14:paraId="4167D89B" w14:textId="77777777" w:rsidTr="009F1AE1">
        <w:trPr>
          <w:tblCellSpacing w:w="15" w:type="dxa"/>
        </w:trPr>
        <w:tc>
          <w:tcPr>
            <w:tcW w:w="0" w:type="auto"/>
            <w:vAlign w:val="center"/>
            <w:hideMark/>
          </w:tcPr>
          <w:p w14:paraId="0ED1B3B4"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River B</w:t>
            </w:r>
          </w:p>
        </w:tc>
        <w:tc>
          <w:tcPr>
            <w:tcW w:w="0" w:type="auto"/>
            <w:vAlign w:val="center"/>
            <w:hideMark/>
          </w:tcPr>
          <w:p w14:paraId="1DE7B96A"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6.5</w:t>
            </w:r>
          </w:p>
        </w:tc>
        <w:tc>
          <w:tcPr>
            <w:tcW w:w="0" w:type="auto"/>
            <w:vAlign w:val="center"/>
            <w:hideMark/>
          </w:tcPr>
          <w:p w14:paraId="5DC0D3C0"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4.8</w:t>
            </w:r>
          </w:p>
        </w:tc>
        <w:tc>
          <w:tcPr>
            <w:tcW w:w="0" w:type="auto"/>
            <w:vAlign w:val="center"/>
            <w:hideMark/>
          </w:tcPr>
          <w:p w14:paraId="49884816"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22</w:t>
            </w:r>
          </w:p>
        </w:tc>
        <w:tc>
          <w:tcPr>
            <w:tcW w:w="0" w:type="auto"/>
            <w:vAlign w:val="center"/>
            <w:hideMark/>
          </w:tcPr>
          <w:p w14:paraId="0C425DF2"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50</w:t>
            </w:r>
          </w:p>
        </w:tc>
        <w:tc>
          <w:tcPr>
            <w:tcW w:w="0" w:type="auto"/>
            <w:vAlign w:val="center"/>
            <w:hideMark/>
          </w:tcPr>
          <w:p w14:paraId="691ABA3E"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15</w:t>
            </w:r>
          </w:p>
        </w:tc>
      </w:tr>
      <w:tr w:rsidR="009F1AE1" w:rsidRPr="009F1AE1" w14:paraId="4E80D818" w14:textId="77777777" w:rsidTr="009F1AE1">
        <w:trPr>
          <w:tblCellSpacing w:w="15" w:type="dxa"/>
        </w:trPr>
        <w:tc>
          <w:tcPr>
            <w:tcW w:w="0" w:type="auto"/>
            <w:vAlign w:val="center"/>
            <w:hideMark/>
          </w:tcPr>
          <w:p w14:paraId="47ED845B"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River C</w:t>
            </w:r>
          </w:p>
        </w:tc>
        <w:tc>
          <w:tcPr>
            <w:tcW w:w="0" w:type="auto"/>
            <w:vAlign w:val="center"/>
            <w:hideMark/>
          </w:tcPr>
          <w:p w14:paraId="7DFB6CEC"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6.9</w:t>
            </w:r>
          </w:p>
        </w:tc>
        <w:tc>
          <w:tcPr>
            <w:tcW w:w="0" w:type="auto"/>
            <w:vAlign w:val="center"/>
            <w:hideMark/>
          </w:tcPr>
          <w:p w14:paraId="318EA015"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5.5</w:t>
            </w:r>
          </w:p>
        </w:tc>
        <w:tc>
          <w:tcPr>
            <w:tcW w:w="0" w:type="auto"/>
            <w:vAlign w:val="center"/>
            <w:hideMark/>
          </w:tcPr>
          <w:p w14:paraId="47A01354"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18</w:t>
            </w:r>
          </w:p>
        </w:tc>
        <w:tc>
          <w:tcPr>
            <w:tcW w:w="0" w:type="auto"/>
            <w:vAlign w:val="center"/>
            <w:hideMark/>
          </w:tcPr>
          <w:p w14:paraId="63126537"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40</w:t>
            </w:r>
          </w:p>
        </w:tc>
        <w:tc>
          <w:tcPr>
            <w:tcW w:w="0" w:type="auto"/>
            <w:vAlign w:val="center"/>
            <w:hideMark/>
          </w:tcPr>
          <w:p w14:paraId="53C1D7CE"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10</w:t>
            </w:r>
          </w:p>
        </w:tc>
      </w:tr>
    </w:tbl>
    <w:p w14:paraId="2309B7E1" w14:textId="12ADE681" w:rsidR="009F1AE1" w:rsidRPr="009F1AE1" w:rsidRDefault="009F1AE1" w:rsidP="009F1AE1">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3.2 Surfactant and Detergent Concentrations</w:t>
      </w:r>
    </w:p>
    <w:p w14:paraId="46DFEE3B" w14:textId="77777777" w:rsidR="009F1AE1" w:rsidRPr="009F1AE1" w:rsidRDefault="009F1AE1" w:rsidP="009F1AE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Surfactants were detected across all rivers, confirming widespread detergent contamination. Linear alkylbenzene sulfonates (LAS) ranged from 0.15 to 0.22 mg/L, with River B showing the highest concentration (0.22 mg/L). Sodium dodecyl sulfate (SDS) followed a similar trend, with River B recording 0.12 mg/L. River C consistently had the lowest surfactant levels. LAS concentrations in Rivers A and B fall within or slightly above the WHO/USEPA safe range of 0.1–0.2 mg/L, suggesting potential ecological stress, especially in River B.</w:t>
      </w:r>
    </w:p>
    <w:p w14:paraId="27174A6A" w14:textId="77777777" w:rsidR="009F1AE1" w:rsidRDefault="009F1AE1" w:rsidP="009F1AE1">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lastRenderedPageBreak/>
        <w:t>Table 2: Surfactant Concentrations (mg/L)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2"/>
        <w:gridCol w:w="527"/>
        <w:gridCol w:w="501"/>
        <w:gridCol w:w="2176"/>
      </w:tblGrid>
      <w:tr w:rsidR="009F1AE1" w:rsidRPr="009F1AE1" w14:paraId="0F91353A" w14:textId="77777777" w:rsidTr="009F1AE1">
        <w:trPr>
          <w:tblHeader/>
          <w:tblCellSpacing w:w="15" w:type="dxa"/>
        </w:trPr>
        <w:tc>
          <w:tcPr>
            <w:tcW w:w="0" w:type="auto"/>
            <w:vAlign w:val="center"/>
            <w:hideMark/>
          </w:tcPr>
          <w:p w14:paraId="56C1174F" w14:textId="77777777" w:rsidR="009F1AE1" w:rsidRPr="009F1AE1" w:rsidRDefault="009F1AE1" w:rsidP="009F1AE1">
            <w:pPr>
              <w:spacing w:after="0"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Site</w:t>
            </w:r>
          </w:p>
        </w:tc>
        <w:tc>
          <w:tcPr>
            <w:tcW w:w="0" w:type="auto"/>
            <w:vAlign w:val="center"/>
            <w:hideMark/>
          </w:tcPr>
          <w:p w14:paraId="48A81D39" w14:textId="77777777" w:rsidR="009F1AE1" w:rsidRPr="009F1AE1" w:rsidRDefault="009F1AE1" w:rsidP="009F1AE1">
            <w:pPr>
              <w:spacing w:after="0"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LAS</w:t>
            </w:r>
          </w:p>
        </w:tc>
        <w:tc>
          <w:tcPr>
            <w:tcW w:w="0" w:type="auto"/>
            <w:vAlign w:val="center"/>
            <w:hideMark/>
          </w:tcPr>
          <w:p w14:paraId="7475E048" w14:textId="77777777" w:rsidR="009F1AE1" w:rsidRPr="009F1AE1" w:rsidRDefault="009F1AE1" w:rsidP="009F1AE1">
            <w:pPr>
              <w:spacing w:after="0"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SDS</w:t>
            </w:r>
          </w:p>
        </w:tc>
        <w:tc>
          <w:tcPr>
            <w:tcW w:w="0" w:type="auto"/>
            <w:vAlign w:val="center"/>
            <w:hideMark/>
          </w:tcPr>
          <w:p w14:paraId="692A1C6B" w14:textId="77777777" w:rsidR="009F1AE1" w:rsidRPr="009F1AE1" w:rsidRDefault="009F1AE1" w:rsidP="009F1AE1">
            <w:pPr>
              <w:spacing w:after="0"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WHO/USEPA Limit</w:t>
            </w:r>
          </w:p>
        </w:tc>
      </w:tr>
      <w:tr w:rsidR="009F1AE1" w:rsidRPr="009F1AE1" w14:paraId="607A9168" w14:textId="77777777" w:rsidTr="009F1AE1">
        <w:trPr>
          <w:tblCellSpacing w:w="15" w:type="dxa"/>
        </w:trPr>
        <w:tc>
          <w:tcPr>
            <w:tcW w:w="0" w:type="auto"/>
            <w:vAlign w:val="center"/>
            <w:hideMark/>
          </w:tcPr>
          <w:p w14:paraId="50B3AB51"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River A</w:t>
            </w:r>
          </w:p>
        </w:tc>
        <w:tc>
          <w:tcPr>
            <w:tcW w:w="0" w:type="auto"/>
            <w:vAlign w:val="center"/>
            <w:hideMark/>
          </w:tcPr>
          <w:p w14:paraId="17C01393"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0.18</w:t>
            </w:r>
          </w:p>
        </w:tc>
        <w:tc>
          <w:tcPr>
            <w:tcW w:w="0" w:type="auto"/>
            <w:vAlign w:val="center"/>
            <w:hideMark/>
          </w:tcPr>
          <w:p w14:paraId="3EBBBD61"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0.10</w:t>
            </w:r>
          </w:p>
        </w:tc>
        <w:tc>
          <w:tcPr>
            <w:tcW w:w="0" w:type="auto"/>
            <w:vAlign w:val="center"/>
            <w:hideMark/>
          </w:tcPr>
          <w:p w14:paraId="435CF6F3"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0.1–0.2</w:t>
            </w:r>
          </w:p>
        </w:tc>
      </w:tr>
      <w:tr w:rsidR="009F1AE1" w:rsidRPr="009F1AE1" w14:paraId="7B41CAA3" w14:textId="77777777" w:rsidTr="009F1AE1">
        <w:trPr>
          <w:tblCellSpacing w:w="15" w:type="dxa"/>
        </w:trPr>
        <w:tc>
          <w:tcPr>
            <w:tcW w:w="0" w:type="auto"/>
            <w:vAlign w:val="center"/>
            <w:hideMark/>
          </w:tcPr>
          <w:p w14:paraId="59292769"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River B</w:t>
            </w:r>
          </w:p>
        </w:tc>
        <w:tc>
          <w:tcPr>
            <w:tcW w:w="0" w:type="auto"/>
            <w:vAlign w:val="center"/>
            <w:hideMark/>
          </w:tcPr>
          <w:p w14:paraId="1AD9BED0"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0.22</w:t>
            </w:r>
          </w:p>
        </w:tc>
        <w:tc>
          <w:tcPr>
            <w:tcW w:w="0" w:type="auto"/>
            <w:vAlign w:val="center"/>
            <w:hideMark/>
          </w:tcPr>
          <w:p w14:paraId="2E79F8F8"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0.12</w:t>
            </w:r>
          </w:p>
        </w:tc>
        <w:tc>
          <w:tcPr>
            <w:tcW w:w="0" w:type="auto"/>
            <w:vAlign w:val="center"/>
            <w:hideMark/>
          </w:tcPr>
          <w:p w14:paraId="18511FE8"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w:t>
            </w:r>
          </w:p>
        </w:tc>
      </w:tr>
      <w:tr w:rsidR="009F1AE1" w:rsidRPr="009F1AE1" w14:paraId="6B805B2D" w14:textId="77777777" w:rsidTr="009F1AE1">
        <w:trPr>
          <w:tblCellSpacing w:w="15" w:type="dxa"/>
        </w:trPr>
        <w:tc>
          <w:tcPr>
            <w:tcW w:w="0" w:type="auto"/>
            <w:vAlign w:val="center"/>
            <w:hideMark/>
          </w:tcPr>
          <w:p w14:paraId="2607DABC"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River C</w:t>
            </w:r>
          </w:p>
        </w:tc>
        <w:tc>
          <w:tcPr>
            <w:tcW w:w="0" w:type="auto"/>
            <w:vAlign w:val="center"/>
            <w:hideMark/>
          </w:tcPr>
          <w:p w14:paraId="165F1A2B"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0.15</w:t>
            </w:r>
          </w:p>
        </w:tc>
        <w:tc>
          <w:tcPr>
            <w:tcW w:w="0" w:type="auto"/>
            <w:vAlign w:val="center"/>
            <w:hideMark/>
          </w:tcPr>
          <w:p w14:paraId="597B9C1E"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0.09</w:t>
            </w:r>
          </w:p>
        </w:tc>
        <w:tc>
          <w:tcPr>
            <w:tcW w:w="0" w:type="auto"/>
            <w:vAlign w:val="center"/>
            <w:hideMark/>
          </w:tcPr>
          <w:p w14:paraId="76210316"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w:t>
            </w:r>
          </w:p>
        </w:tc>
      </w:tr>
    </w:tbl>
    <w:p w14:paraId="58A2385F" w14:textId="3636B4AD" w:rsidR="009F1AE1" w:rsidRPr="009F1AE1" w:rsidRDefault="009F1AE1" w:rsidP="009F1AE1">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 xml:space="preserve">3.3 Heavy Metal Concentrations </w:t>
      </w:r>
    </w:p>
    <w:p w14:paraId="62596715" w14:textId="6163ACA8" w:rsidR="009F1AE1" w:rsidRPr="009F1AE1" w:rsidRDefault="009F1AE1" w:rsidP="009F1AE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 xml:space="preserve">The concentrations of the newly selected metals—Ni, Cu, Zn, Mn, and Fe—are shown in Table 3. Nickel (Ni) ranged from 18 to 25 µg/L, with River B recording the highest value. Copper (Cu) ranged from 12 to 17 µg/L, also </w:t>
      </w:r>
      <w:r>
        <w:rPr>
          <w:rFonts w:ascii="Times New Roman" w:eastAsia="Times New Roman" w:hAnsi="Times New Roman" w:cs="Times New Roman"/>
          <w:sz w:val="24"/>
          <w:szCs w:val="24"/>
          <w:lang w:eastAsia="en-GB"/>
        </w:rPr>
        <w:t xml:space="preserve">the </w:t>
      </w:r>
      <w:r w:rsidRPr="009F1AE1">
        <w:rPr>
          <w:rFonts w:ascii="Times New Roman" w:eastAsia="Times New Roman" w:hAnsi="Times New Roman" w:cs="Times New Roman"/>
          <w:sz w:val="24"/>
          <w:szCs w:val="24"/>
          <w:lang w:eastAsia="en-GB"/>
        </w:rPr>
        <w:t>highest in River B. Zinc (Zn) levels were between 45 and 60 µg/L, reflecting widespread galvanised metal runoff and household waste input. Manganese (Mn) values ranged from 80 to 110 µg/L, while iron (Fe) showed the highest concentrations overall because of soil erosion, domestic discharges, and corroded infrastructure.</w:t>
      </w:r>
    </w:p>
    <w:p w14:paraId="01B43D60" w14:textId="77777777" w:rsidR="009F1AE1" w:rsidRDefault="009F1AE1" w:rsidP="009F1AE1">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Table 3: Heavy Metal Concentrations (µg/L)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2"/>
        <w:gridCol w:w="300"/>
        <w:gridCol w:w="367"/>
        <w:gridCol w:w="354"/>
        <w:gridCol w:w="420"/>
        <w:gridCol w:w="420"/>
        <w:gridCol w:w="4136"/>
      </w:tblGrid>
      <w:tr w:rsidR="009F1AE1" w:rsidRPr="009F1AE1" w14:paraId="056CD55F" w14:textId="77777777" w:rsidTr="009F1AE1">
        <w:trPr>
          <w:tblHeader/>
          <w:tblCellSpacing w:w="15" w:type="dxa"/>
        </w:trPr>
        <w:tc>
          <w:tcPr>
            <w:tcW w:w="0" w:type="auto"/>
            <w:vAlign w:val="center"/>
            <w:hideMark/>
          </w:tcPr>
          <w:p w14:paraId="5CA9B3C5" w14:textId="77777777" w:rsidR="009F1AE1" w:rsidRPr="009F1AE1" w:rsidRDefault="009F1AE1" w:rsidP="009F1AE1">
            <w:pPr>
              <w:spacing w:after="0"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Site</w:t>
            </w:r>
          </w:p>
        </w:tc>
        <w:tc>
          <w:tcPr>
            <w:tcW w:w="0" w:type="auto"/>
            <w:vAlign w:val="center"/>
            <w:hideMark/>
          </w:tcPr>
          <w:p w14:paraId="75628067" w14:textId="77777777" w:rsidR="009F1AE1" w:rsidRPr="009F1AE1" w:rsidRDefault="009F1AE1" w:rsidP="009F1AE1">
            <w:pPr>
              <w:spacing w:after="0"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Ni</w:t>
            </w:r>
          </w:p>
        </w:tc>
        <w:tc>
          <w:tcPr>
            <w:tcW w:w="0" w:type="auto"/>
            <w:vAlign w:val="center"/>
            <w:hideMark/>
          </w:tcPr>
          <w:p w14:paraId="5EE4E893" w14:textId="77777777" w:rsidR="009F1AE1" w:rsidRPr="009F1AE1" w:rsidRDefault="009F1AE1" w:rsidP="009F1AE1">
            <w:pPr>
              <w:spacing w:after="0"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Cu</w:t>
            </w:r>
          </w:p>
        </w:tc>
        <w:tc>
          <w:tcPr>
            <w:tcW w:w="0" w:type="auto"/>
            <w:vAlign w:val="center"/>
            <w:hideMark/>
          </w:tcPr>
          <w:p w14:paraId="0EBB44AB" w14:textId="77777777" w:rsidR="009F1AE1" w:rsidRPr="009F1AE1" w:rsidRDefault="009F1AE1" w:rsidP="009F1AE1">
            <w:pPr>
              <w:spacing w:after="0"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Zn</w:t>
            </w:r>
          </w:p>
        </w:tc>
        <w:tc>
          <w:tcPr>
            <w:tcW w:w="0" w:type="auto"/>
            <w:vAlign w:val="center"/>
            <w:hideMark/>
          </w:tcPr>
          <w:p w14:paraId="414611DD" w14:textId="77777777" w:rsidR="009F1AE1" w:rsidRPr="009F1AE1" w:rsidRDefault="009F1AE1" w:rsidP="009F1AE1">
            <w:pPr>
              <w:spacing w:after="0"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Mn</w:t>
            </w:r>
          </w:p>
        </w:tc>
        <w:tc>
          <w:tcPr>
            <w:tcW w:w="0" w:type="auto"/>
            <w:vAlign w:val="center"/>
            <w:hideMark/>
          </w:tcPr>
          <w:p w14:paraId="38281889" w14:textId="77777777" w:rsidR="009F1AE1" w:rsidRPr="009F1AE1" w:rsidRDefault="009F1AE1" w:rsidP="009F1AE1">
            <w:pPr>
              <w:spacing w:after="0"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Fe</w:t>
            </w:r>
          </w:p>
        </w:tc>
        <w:tc>
          <w:tcPr>
            <w:tcW w:w="0" w:type="auto"/>
            <w:vAlign w:val="center"/>
            <w:hideMark/>
          </w:tcPr>
          <w:p w14:paraId="75422405" w14:textId="77777777" w:rsidR="009F1AE1" w:rsidRPr="009F1AE1" w:rsidRDefault="009F1AE1" w:rsidP="009F1AE1">
            <w:pPr>
              <w:spacing w:after="0" w:line="240" w:lineRule="auto"/>
              <w:jc w:val="both"/>
              <w:rPr>
                <w:rFonts w:ascii="Times New Roman" w:eastAsia="Times New Roman" w:hAnsi="Times New Roman" w:cs="Times New Roman"/>
                <w:b/>
                <w:bCs/>
                <w:sz w:val="24"/>
                <w:szCs w:val="24"/>
                <w:lang w:eastAsia="en-GB"/>
              </w:rPr>
            </w:pPr>
            <w:r w:rsidRPr="009F1AE1">
              <w:rPr>
                <w:rFonts w:ascii="Times New Roman" w:eastAsia="Times New Roman" w:hAnsi="Times New Roman" w:cs="Times New Roman"/>
                <w:b/>
                <w:bCs/>
                <w:sz w:val="24"/>
                <w:szCs w:val="24"/>
                <w:lang w:eastAsia="en-GB"/>
              </w:rPr>
              <w:t>WHO Limits (µg/L)</w:t>
            </w:r>
          </w:p>
        </w:tc>
      </w:tr>
      <w:tr w:rsidR="009F1AE1" w:rsidRPr="009F1AE1" w14:paraId="0356003A" w14:textId="77777777" w:rsidTr="009F1AE1">
        <w:trPr>
          <w:tblCellSpacing w:w="15" w:type="dxa"/>
        </w:trPr>
        <w:tc>
          <w:tcPr>
            <w:tcW w:w="0" w:type="auto"/>
            <w:vAlign w:val="center"/>
            <w:hideMark/>
          </w:tcPr>
          <w:p w14:paraId="3B42533C"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River A</w:t>
            </w:r>
          </w:p>
        </w:tc>
        <w:tc>
          <w:tcPr>
            <w:tcW w:w="0" w:type="auto"/>
            <w:vAlign w:val="center"/>
            <w:hideMark/>
          </w:tcPr>
          <w:p w14:paraId="7A8007B3"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20</w:t>
            </w:r>
          </w:p>
        </w:tc>
        <w:tc>
          <w:tcPr>
            <w:tcW w:w="0" w:type="auto"/>
            <w:vAlign w:val="center"/>
            <w:hideMark/>
          </w:tcPr>
          <w:p w14:paraId="1CB4553E"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14</w:t>
            </w:r>
          </w:p>
        </w:tc>
        <w:tc>
          <w:tcPr>
            <w:tcW w:w="0" w:type="auto"/>
            <w:vAlign w:val="center"/>
            <w:hideMark/>
          </w:tcPr>
          <w:p w14:paraId="4D36DEB3"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50</w:t>
            </w:r>
          </w:p>
        </w:tc>
        <w:tc>
          <w:tcPr>
            <w:tcW w:w="0" w:type="auto"/>
            <w:vAlign w:val="center"/>
            <w:hideMark/>
          </w:tcPr>
          <w:p w14:paraId="4D0A5530"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90</w:t>
            </w:r>
          </w:p>
        </w:tc>
        <w:tc>
          <w:tcPr>
            <w:tcW w:w="0" w:type="auto"/>
            <w:vAlign w:val="center"/>
            <w:hideMark/>
          </w:tcPr>
          <w:p w14:paraId="2072FC50"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300</w:t>
            </w:r>
          </w:p>
        </w:tc>
        <w:tc>
          <w:tcPr>
            <w:tcW w:w="0" w:type="auto"/>
            <w:vAlign w:val="center"/>
            <w:hideMark/>
          </w:tcPr>
          <w:p w14:paraId="764655C9"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Ni 70, Cu 2000, Zn 3000, Mn 400, Fe 300</w:t>
            </w:r>
          </w:p>
        </w:tc>
      </w:tr>
      <w:tr w:rsidR="009F1AE1" w:rsidRPr="009F1AE1" w14:paraId="4B781716" w14:textId="77777777" w:rsidTr="009F1AE1">
        <w:trPr>
          <w:tblCellSpacing w:w="15" w:type="dxa"/>
        </w:trPr>
        <w:tc>
          <w:tcPr>
            <w:tcW w:w="0" w:type="auto"/>
            <w:vAlign w:val="center"/>
            <w:hideMark/>
          </w:tcPr>
          <w:p w14:paraId="15535C75"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River B</w:t>
            </w:r>
          </w:p>
        </w:tc>
        <w:tc>
          <w:tcPr>
            <w:tcW w:w="0" w:type="auto"/>
            <w:vAlign w:val="center"/>
            <w:hideMark/>
          </w:tcPr>
          <w:p w14:paraId="3A0EAE80"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25</w:t>
            </w:r>
          </w:p>
        </w:tc>
        <w:tc>
          <w:tcPr>
            <w:tcW w:w="0" w:type="auto"/>
            <w:vAlign w:val="center"/>
            <w:hideMark/>
          </w:tcPr>
          <w:p w14:paraId="60492E9A"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17</w:t>
            </w:r>
          </w:p>
        </w:tc>
        <w:tc>
          <w:tcPr>
            <w:tcW w:w="0" w:type="auto"/>
            <w:vAlign w:val="center"/>
            <w:hideMark/>
          </w:tcPr>
          <w:p w14:paraId="728DBC6F"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60</w:t>
            </w:r>
          </w:p>
        </w:tc>
        <w:tc>
          <w:tcPr>
            <w:tcW w:w="0" w:type="auto"/>
            <w:vAlign w:val="center"/>
            <w:hideMark/>
          </w:tcPr>
          <w:p w14:paraId="4282DD25"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110</w:t>
            </w:r>
          </w:p>
        </w:tc>
        <w:tc>
          <w:tcPr>
            <w:tcW w:w="0" w:type="auto"/>
            <w:vAlign w:val="center"/>
            <w:hideMark/>
          </w:tcPr>
          <w:p w14:paraId="316AA0CB"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350</w:t>
            </w:r>
          </w:p>
        </w:tc>
        <w:tc>
          <w:tcPr>
            <w:tcW w:w="0" w:type="auto"/>
            <w:vAlign w:val="center"/>
            <w:hideMark/>
          </w:tcPr>
          <w:p w14:paraId="62A7691B"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w:t>
            </w:r>
          </w:p>
        </w:tc>
      </w:tr>
      <w:tr w:rsidR="009F1AE1" w:rsidRPr="009F1AE1" w14:paraId="47788943" w14:textId="77777777" w:rsidTr="009F1AE1">
        <w:trPr>
          <w:tblCellSpacing w:w="15" w:type="dxa"/>
        </w:trPr>
        <w:tc>
          <w:tcPr>
            <w:tcW w:w="0" w:type="auto"/>
            <w:vAlign w:val="center"/>
            <w:hideMark/>
          </w:tcPr>
          <w:p w14:paraId="591A7E82"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River C</w:t>
            </w:r>
          </w:p>
        </w:tc>
        <w:tc>
          <w:tcPr>
            <w:tcW w:w="0" w:type="auto"/>
            <w:vAlign w:val="center"/>
            <w:hideMark/>
          </w:tcPr>
          <w:p w14:paraId="6874210F"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18</w:t>
            </w:r>
          </w:p>
        </w:tc>
        <w:tc>
          <w:tcPr>
            <w:tcW w:w="0" w:type="auto"/>
            <w:vAlign w:val="center"/>
            <w:hideMark/>
          </w:tcPr>
          <w:p w14:paraId="4A252280"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12</w:t>
            </w:r>
          </w:p>
        </w:tc>
        <w:tc>
          <w:tcPr>
            <w:tcW w:w="0" w:type="auto"/>
            <w:vAlign w:val="center"/>
            <w:hideMark/>
          </w:tcPr>
          <w:p w14:paraId="0DA9717A"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45</w:t>
            </w:r>
          </w:p>
        </w:tc>
        <w:tc>
          <w:tcPr>
            <w:tcW w:w="0" w:type="auto"/>
            <w:vAlign w:val="center"/>
            <w:hideMark/>
          </w:tcPr>
          <w:p w14:paraId="38731B27"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80</w:t>
            </w:r>
          </w:p>
        </w:tc>
        <w:tc>
          <w:tcPr>
            <w:tcW w:w="0" w:type="auto"/>
            <w:vAlign w:val="center"/>
            <w:hideMark/>
          </w:tcPr>
          <w:p w14:paraId="32E58C19"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280</w:t>
            </w:r>
          </w:p>
        </w:tc>
        <w:tc>
          <w:tcPr>
            <w:tcW w:w="0" w:type="auto"/>
            <w:vAlign w:val="center"/>
            <w:hideMark/>
          </w:tcPr>
          <w:p w14:paraId="2B3C6843" w14:textId="77777777" w:rsidR="009F1AE1" w:rsidRPr="009F1AE1" w:rsidRDefault="009F1AE1" w:rsidP="009F1AE1">
            <w:pPr>
              <w:spacing w:after="0" w:line="240" w:lineRule="auto"/>
              <w:jc w:val="both"/>
              <w:rPr>
                <w:rFonts w:ascii="Times New Roman" w:eastAsia="Times New Roman" w:hAnsi="Times New Roman" w:cs="Times New Roman"/>
                <w:sz w:val="24"/>
                <w:szCs w:val="24"/>
                <w:lang w:eastAsia="en-GB"/>
              </w:rPr>
            </w:pPr>
            <w:r w:rsidRPr="009F1AE1">
              <w:rPr>
                <w:rFonts w:ascii="Times New Roman" w:eastAsia="Times New Roman" w:hAnsi="Times New Roman" w:cs="Times New Roman"/>
                <w:sz w:val="24"/>
                <w:szCs w:val="24"/>
                <w:lang w:eastAsia="en-GB"/>
              </w:rPr>
              <w:t>–</w:t>
            </w:r>
          </w:p>
        </w:tc>
      </w:tr>
    </w:tbl>
    <w:p w14:paraId="0C664FB1" w14:textId="771F92D6" w:rsidR="00F26C03" w:rsidRDefault="00F26C03" w:rsidP="009F1AE1">
      <w:pPr>
        <w:spacing w:before="100" w:beforeAutospacing="1" w:after="100" w:afterAutospacing="1" w:line="240" w:lineRule="auto"/>
        <w:jc w:val="both"/>
        <w:rPr>
          <w:rFonts w:ascii="Times New Roman" w:hAnsi="Times New Roman" w:cs="Times New Roman"/>
          <w:sz w:val="24"/>
          <w:szCs w:val="24"/>
        </w:rPr>
      </w:pPr>
    </w:p>
    <w:p w14:paraId="6ED0EF37" w14:textId="77777777" w:rsidR="009F1AE1" w:rsidRDefault="009F1AE1" w:rsidP="009F1AE1">
      <w:pPr>
        <w:pStyle w:val="Heading3"/>
        <w:jc w:val="both"/>
      </w:pPr>
      <w:r>
        <w:t>4.0 Discussion</w:t>
      </w:r>
    </w:p>
    <w:p w14:paraId="60760F88" w14:textId="77777777" w:rsidR="009F1AE1" w:rsidRDefault="009F1AE1" w:rsidP="009F1AE1">
      <w:pPr>
        <w:pStyle w:val="NormalWeb"/>
        <w:jc w:val="both"/>
      </w:pPr>
      <w:r>
        <w:t>The findings of this study indicate that the three urban rivers in Benin City, Edo State, are experiencing substantial ecological pressure from surfactants, detergent residues, and heavy metals. The elevated levels of organic pollution (high BOD and COD), combined with measurable concentrations of LAS, SDS, and metals, show a pollution profile consistent with the broader patterns of contamination previously reported in aquatic systems across Nigeria and other regions coping with anthropogenic stressors. Similar to the observations by Aghanwa et al. (2025), who reported deposition of soot-associated metals into surface waters, the present study suggests that atmospheric fallout and urban runoff may be important pathways through which contaminants enter these rivers. The low dissolved oxygen in River B indicates heavy microbial decomposition of organic waste, an outcome consistent with hydrological and chemical stress described in studies of polluted river systems.</w:t>
      </w:r>
    </w:p>
    <w:p w14:paraId="2C3ECCAB" w14:textId="77777777" w:rsidR="009F1AE1" w:rsidRDefault="009F1AE1" w:rsidP="009F1AE1">
      <w:pPr>
        <w:pStyle w:val="NormalWeb"/>
        <w:jc w:val="both"/>
      </w:pPr>
      <w:r>
        <w:t xml:space="preserve">Although the pollutants investigated here differ from petroleum hydrocarbons, parallels can be drawn from existing research on aquatic contaminants in the Niger Delta. For instance, Okpoji et al. (2025), Eyenubo et al. (2024), and Oghenekohwiroro and Osaro (2017) demonstrated that aquatic ecosystems receiving continuous contaminant inflow accumulate harmful substances in water and sediments, leading to ecological degradation. The elevated surfactant levels observed in River B reflect similar contaminant-loading dynamics, where unchecked discharges create conditions that impair water quality and reduce ecological resilience. Surfactants, like PCBs and hydrocarbons, are known to affect membrane integrity and </w:t>
      </w:r>
      <w:r>
        <w:lastRenderedPageBreak/>
        <w:t>biochemical processes in aquatic organisms, supporting the toxicological frameworks outlined in ATSDR (1997) and IARC (2015).</w:t>
      </w:r>
    </w:p>
    <w:p w14:paraId="003E840E" w14:textId="77777777" w:rsidR="009F1AE1" w:rsidRDefault="009F1AE1" w:rsidP="009F1AE1">
      <w:pPr>
        <w:pStyle w:val="NormalWeb"/>
        <w:jc w:val="both"/>
      </w:pPr>
      <w:r>
        <w:t>The higher surfactant concentrations in River B can be associated with household detergents, commercial laundries, and vehicular wash-off—sources analogous to the diffuse pollutant inputs described by Ekpe et al. (2025) in irrigation systems receiving chemical residues. Additionally, the behaviour of surfactants in water systems shares characteristics with persistent organic pollutants discussed by Kallenborn et al. (2015) and Wania et al. (2006), especially regarding their transport, partitioning, and environmental fate. Although surfactants are more biodegradable than PCBs, their repeated introduction from urban activities ensures continuous exposure, similar to the chronic pollutant load described by Aghanwa et al. (2025) in gas-flaring regions.</w:t>
      </w:r>
    </w:p>
    <w:p w14:paraId="795CCEF2" w14:textId="77777777" w:rsidR="009F1AE1" w:rsidRDefault="009F1AE1" w:rsidP="009F1AE1">
      <w:pPr>
        <w:pStyle w:val="NormalWeb"/>
        <w:jc w:val="both"/>
      </w:pPr>
      <w:r>
        <w:t>The heavy metal results for Ni, Cu, Zn, Mn, and Fe show spatial variation, with River B consistently exhibiting the highest concentrations. These metals, though different from the Pb, Cd, Hg, and As examined in the cited studies, behave similarly in terms of bioavailability, mobility, and ecological risk. For example, Okpoji et al. (2025) documented elevated heavy metals in blue crab tissues from oil-polluted creeks, demonstrating how metals accumulate in food webs and contribute to toxicological burdens. Likewise, Umueni et al. (2025) and Okagbare et al. (2025) described how riverine systems receiving petroleum residues also accumulate metals in sediments, reducing environmental quality. The pattern documented in this study—higher contamination in the river receiving the most domestic and commercial effluents—is consistent with the widespread observations of metal accumulation in disturbed aquatic ecosystems.</w:t>
      </w:r>
    </w:p>
    <w:p w14:paraId="787C0D27" w14:textId="77777777" w:rsidR="009F1AE1" w:rsidRDefault="009F1AE1" w:rsidP="009F1AE1">
      <w:pPr>
        <w:pStyle w:val="NormalWeb"/>
        <w:jc w:val="both"/>
      </w:pPr>
      <w:r>
        <w:t>The elevated metal loads in River B are also supported by previous findings in urban or industrialised areas, such as those reported by Okpoji et al. (2025), who highlighted the influence of human activities on water chemistry in Andoni communities. The present study aligns with their conclusion that rivers exposed to multiple pollutant sources show heightened ecological stress. Furthermore, the chronic nature of metal contamination observed here mirrors the persistent exposure problems described by Stewart et al. (2000) and Ernesto et al. (2021), who investigated the impacts of PCBs in aquatic organisms. These studies reinforce the toxicological principle that repeated contaminant input—whether PCBs, PAHs, metals, or detergents—produces long-term biological effects.</w:t>
      </w:r>
    </w:p>
    <w:p w14:paraId="4A118754" w14:textId="77777777" w:rsidR="009F1AE1" w:rsidRDefault="009F1AE1" w:rsidP="009F1AE1">
      <w:pPr>
        <w:pStyle w:val="NormalWeb"/>
        <w:jc w:val="both"/>
      </w:pPr>
      <w:r>
        <w:t>While this study focuses on LAS, SDS, and selected metals, the environmental behaviour of these contaminants can be interpreted using frameworks from broader ecotoxicological literature. For example, the ecological risk concepts applied by John et al. (2025) and Ekwere et al. (2025) in fish exposed to PAHs can be analogously applied to fish exposed to surfactants, as both contaminant classes induce oxidative stress and membrane damage. In addition, Lawal (2023) highlighted challenges of managing persistent pollutants, which similarly apply to detergent-laden wastewater, given the lack of proper drainage infrastructure in many Nigerian cities.</w:t>
      </w:r>
    </w:p>
    <w:p w14:paraId="1D818C97" w14:textId="77777777" w:rsidR="009F1AE1" w:rsidRDefault="009F1AE1" w:rsidP="009F1AE1">
      <w:pPr>
        <w:pStyle w:val="NormalWeb"/>
        <w:jc w:val="both"/>
      </w:pPr>
      <w:r>
        <w:t>The elevated turbidity and reduced water quality observed in River B also mirror findings by Okpoji et al. (2025) and Okpoji et al. (2025), where pollutant-rich runoff created conditions that altered the physicochemical status of surface waters. Although the contaminant profiles differ, the ecological consequences—reduced water clarity, increased chemical oxygen demand, and suppressed dissolved oxygen—remain comparable.</w:t>
      </w:r>
    </w:p>
    <w:p w14:paraId="5517E7DF" w14:textId="77777777" w:rsidR="009F1AE1" w:rsidRDefault="009F1AE1" w:rsidP="009F1AE1">
      <w:pPr>
        <w:pStyle w:val="Heading3"/>
        <w:jc w:val="both"/>
      </w:pPr>
      <w:r>
        <w:lastRenderedPageBreak/>
        <w:t>Conclusion</w:t>
      </w:r>
    </w:p>
    <w:p w14:paraId="11274881" w14:textId="7174C759" w:rsidR="009F1AE1" w:rsidRDefault="009F1AE1" w:rsidP="009F1AE1">
      <w:pPr>
        <w:pStyle w:val="NormalWeb"/>
        <w:jc w:val="both"/>
      </w:pPr>
      <w:r>
        <w:t>This study demonstrates that the three urban rivers in Benin City, Edo State, are under considerable ecotoxicological stress arising from detergent residues, surfactants, and heavy metals. River B, located in a densely populated and commercially active zone, showed the highest pollutant load, reflecting the cumulative impact of domestic wastewater, market runoff, and urban drainage discharge. Although the concentrations of metals such as Ni, Cu, Zn, Mn, and Fe were within WHO guideline limits, their elevated presence, combined with high LAS and SDS levels, indicates potential long-term ecological risks similar to those previously reported in PCB- and hydrocarbon-impacted aquatic systems. The deterioration of physicochemical parameters—including reduced dissolved oxygen and elevated organic pollution—further supports evidence of declining water quality attributable to anthropogenic inputs.</w:t>
      </w:r>
    </w:p>
    <w:p w14:paraId="2B154552" w14:textId="632DF13F" w:rsidR="009F1AE1" w:rsidRDefault="009F1AE1" w:rsidP="009F1AE1">
      <w:pPr>
        <w:pStyle w:val="NormalWeb"/>
        <w:jc w:val="both"/>
      </w:pPr>
      <w:r>
        <w:t>The ecological patterns observed in this study align with broader research showing that Nigerian freshwater bodies are vulnerable to chemical contamination from multiple sources, including atmospheric deposition, surface runoff, and industrial activities. These conditions, if unaddressed, may threaten aquatic biodiversity, compromise ecosystem functioning, and increase potential health risks to communities that use the rivers for domestic purposes. Effective wastewater management, public sensitisation, enforcement of environmental regulations, and routine monitoring are critical to reducing pollutant inflow and improving the ecological status of urban rivers in Edo State and beyond.</w:t>
      </w:r>
    </w:p>
    <w:p w14:paraId="074F8504" w14:textId="77777777" w:rsidR="004C7A96" w:rsidRPr="00840533" w:rsidRDefault="004C7A96" w:rsidP="004C7A96">
      <w:pPr>
        <w:spacing w:line="240" w:lineRule="auto"/>
        <w:ind w:left="720" w:hanging="720"/>
        <w:jc w:val="both"/>
        <w:rPr>
          <w:rFonts w:ascii="Times New Roman" w:hAnsi="Times New Roman" w:cs="Times New Roman"/>
          <w:b/>
          <w:bCs/>
          <w:sz w:val="24"/>
          <w:szCs w:val="24"/>
        </w:rPr>
      </w:pPr>
      <w:r w:rsidRPr="00840533">
        <w:rPr>
          <w:rFonts w:ascii="Times New Roman" w:hAnsi="Times New Roman" w:cs="Times New Roman"/>
          <w:b/>
          <w:bCs/>
          <w:sz w:val="24"/>
          <w:szCs w:val="24"/>
        </w:rPr>
        <w:t xml:space="preserve">References </w:t>
      </w:r>
    </w:p>
    <w:p w14:paraId="10AE9085" w14:textId="77777777" w:rsidR="004C7A96" w:rsidRPr="00840533" w:rsidRDefault="004C7A96" w:rsidP="004C7A96">
      <w:pPr>
        <w:pStyle w:val="NormalWeb"/>
        <w:ind w:left="720" w:hanging="720"/>
        <w:jc w:val="both"/>
      </w:pPr>
      <w:r w:rsidRPr="00840533">
        <w:t xml:space="preserve">Agency for Toxic Substances and Disease Registry (ATSDR). (1997). </w:t>
      </w:r>
      <w:r w:rsidRPr="00840533">
        <w:rPr>
          <w:rStyle w:val="Emphasis"/>
        </w:rPr>
        <w:t>Toxicological Profile for Polychlorinated Biphenyls (PCBs).</w:t>
      </w:r>
      <w:r w:rsidRPr="00840533">
        <w:t xml:space="preserve"> Public Health Service, U.S. Department of Health and Human Services, Atlanta, GA.</w:t>
      </w:r>
      <w:r>
        <w:t xml:space="preserve"> </w:t>
      </w:r>
      <w:hyperlink r:id="rId6" w:history="1">
        <w:r w:rsidRPr="001F5C6A">
          <w:rPr>
            <w:rStyle w:val="Hyperlink"/>
          </w:rPr>
          <w:t>https://sjrda.stuchalk.domains.unf.edu/files/content/sjrda_42.pdf</w:t>
        </w:r>
      </w:hyperlink>
      <w:r>
        <w:t xml:space="preserve"> </w:t>
      </w:r>
    </w:p>
    <w:p w14:paraId="13EAFC49" w14:textId="77777777" w:rsidR="004C7A96" w:rsidRPr="00840533" w:rsidRDefault="004C7A96" w:rsidP="004C7A96">
      <w:pPr>
        <w:pStyle w:val="NormalWeb"/>
        <w:ind w:left="720" w:hanging="720"/>
        <w:jc w:val="both"/>
      </w:pPr>
      <w:r w:rsidRPr="00840533">
        <w:t xml:space="preserve">Aghanwa, C. I., Umueni, U. E., Etukudo, N. J., Amachree, J. B., Okpoji, A. U., Ejeka, C. J., &amp; Ekwere, I. O. (2025). Atmospheric deposition of soot and heavy metals from gas flaring into surface waters of Ebocha, Rivers State, Nigeria. </w:t>
      </w:r>
      <w:r w:rsidRPr="00840533">
        <w:rPr>
          <w:rStyle w:val="Emphasis"/>
        </w:rPr>
        <w:t>Asian Journal of Environment &amp; Ecology, 24</w:t>
      </w:r>
      <w:r w:rsidRPr="00840533">
        <w:t>(11), 137–147.</w:t>
      </w:r>
      <w:r>
        <w:t xml:space="preserve"> </w:t>
      </w:r>
      <w:r w:rsidRPr="008D3E8C">
        <w:rPr>
          <w:b/>
          <w:bCs/>
        </w:rPr>
        <w:t>DOI: </w:t>
      </w:r>
      <w:hyperlink r:id="rId7" w:history="1">
        <w:r w:rsidRPr="008D3E8C">
          <w:rPr>
            <w:rStyle w:val="Hyperlink"/>
          </w:rPr>
          <w:t>10.9734/ajee/2025/v24i11822</w:t>
        </w:r>
      </w:hyperlink>
    </w:p>
    <w:p w14:paraId="38DD3850" w14:textId="77777777" w:rsidR="004C7A96" w:rsidRPr="00840533" w:rsidRDefault="004C7A96" w:rsidP="004C7A96">
      <w:pPr>
        <w:pStyle w:val="NormalWeb"/>
        <w:ind w:left="720" w:hanging="720"/>
        <w:jc w:val="both"/>
      </w:pPr>
      <w:r w:rsidRPr="00840533">
        <w:t xml:space="preserve">Ekpe, J. E., Okpoji, A. U., Ekwere, I. O., Anarada, C. J., Ewuola, A. A., Ufuoma, V. O., Okpanachi, C. B., Okonkwo, C. O., &amp; Obunezi, O. A. (2025). Physico-chemical transport of pesticides and nutrients in irrigation water and their fate in agro-ecosystems of Rivers State, Nigeria. </w:t>
      </w:r>
      <w:r w:rsidRPr="00840533">
        <w:rPr>
          <w:rStyle w:val="Emphasis"/>
        </w:rPr>
        <w:t>Palgo Journal of Agriculture, 9</w:t>
      </w:r>
      <w:r w:rsidRPr="00840533">
        <w:t xml:space="preserve">(2), 30–37. </w:t>
      </w:r>
      <w:r w:rsidRPr="00D2339D">
        <w:t>DOI :</w:t>
      </w:r>
      <w:r>
        <w:t xml:space="preserve"> </w:t>
      </w:r>
      <w:hyperlink r:id="rId8" w:history="1">
        <w:r w:rsidRPr="001F5C6A">
          <w:rPr>
            <w:rStyle w:val="Hyperlink"/>
          </w:rPr>
          <w:t>https://doi.org/10.5281/zenodo.17148360</w:t>
        </w:r>
      </w:hyperlink>
      <w:r>
        <w:t xml:space="preserve"> </w:t>
      </w:r>
    </w:p>
    <w:p w14:paraId="19C62CF5" w14:textId="77777777" w:rsidR="004C7A96" w:rsidRPr="00840533" w:rsidRDefault="004C7A96" w:rsidP="004C7A96">
      <w:pPr>
        <w:pStyle w:val="NormalWeb"/>
        <w:ind w:left="720" w:hanging="720"/>
        <w:jc w:val="both"/>
      </w:pPr>
      <w:r w:rsidRPr="00840533">
        <w:t>Ekwere, I. O., Okpoji, A. U., Igwegbe, K. C., Okonkwo, C. O., Yekeen, A. A., Obunezi, O. C., Okpanachi, C. B., Garuba, M. H., Ogini, O. R., &amp; Odibo, U. E. (2025). Nutritional–Toxicological Trade-Off: Comparative study of polycyclic aromatic hydrocarbons in smoked and oven-dried Nile tilapia (</w:t>
      </w:r>
      <w:r w:rsidRPr="00840533">
        <w:rPr>
          <w:rStyle w:val="Emphasis"/>
        </w:rPr>
        <w:t>Oreochromis niloticus</w:t>
      </w:r>
      <w:r w:rsidRPr="00840533">
        <w:t xml:space="preserve">). </w:t>
      </w:r>
      <w:r w:rsidRPr="00840533">
        <w:rPr>
          <w:rStyle w:val="Emphasis"/>
        </w:rPr>
        <w:t>Journal of Environment, Climate, and Ecology, 2</w:t>
      </w:r>
      <w:r w:rsidRPr="00840533">
        <w:t xml:space="preserve">(2), 90–97. </w:t>
      </w:r>
      <w:hyperlink r:id="rId9" w:history="1">
        <w:r w:rsidRPr="007105DD">
          <w:rPr>
            <w:rStyle w:val="Hyperlink"/>
          </w:rPr>
          <w:t>https://doi.org/10.69739/jece.v2i2.952</w:t>
        </w:r>
      </w:hyperlink>
    </w:p>
    <w:p w14:paraId="62B768F3" w14:textId="77777777" w:rsidR="004C7A96" w:rsidRPr="00840533" w:rsidRDefault="004C7A96" w:rsidP="004C7A96">
      <w:pPr>
        <w:pStyle w:val="NormalWeb"/>
        <w:ind w:left="720" w:hanging="720"/>
        <w:jc w:val="both"/>
      </w:pPr>
      <w:r w:rsidRPr="00840533">
        <w:t>Ekwere, I. O., Okpoji, A. U., Ufuoma, V. O., Akinola, A. E., Raymond, C. A., Clement, R. O., Alaekwe, I. O., Etesin, M. O., &amp; Edodi, I. O. (2025). Nutritional evaluation of Nile tilapia (</w:t>
      </w:r>
      <w:r w:rsidRPr="00840533">
        <w:rPr>
          <w:rStyle w:val="Emphasis"/>
        </w:rPr>
        <w:t>Oreochromis niloticus</w:t>
      </w:r>
      <w:r w:rsidRPr="00840533">
        <w:t xml:space="preserve">) processed by different drying methods in Akwa Ibom </w:t>
      </w:r>
      <w:r w:rsidRPr="00840533">
        <w:lastRenderedPageBreak/>
        <w:t xml:space="preserve">State, Nigeria. </w:t>
      </w:r>
      <w:r w:rsidRPr="00840533">
        <w:rPr>
          <w:rStyle w:val="Emphasis"/>
        </w:rPr>
        <w:t>Journal of Sustainable Research and Development, 1</w:t>
      </w:r>
      <w:r w:rsidRPr="00840533">
        <w:t xml:space="preserve">(2), 11–17. </w:t>
      </w:r>
      <w:hyperlink r:id="rId10" w:history="1">
        <w:r w:rsidRPr="001F5C6A">
          <w:rPr>
            <w:rStyle w:val="Hyperlink"/>
            <w:lang w:val="en-US"/>
          </w:rPr>
          <w:t>https://doi.org/10.69739/jsrd.v1i2.1033</w:t>
        </w:r>
      </w:hyperlink>
      <w:r>
        <w:rPr>
          <w:lang w:val="en-US"/>
        </w:rPr>
        <w:t xml:space="preserve"> </w:t>
      </w:r>
    </w:p>
    <w:p w14:paraId="31422A17" w14:textId="77777777" w:rsidR="004C7A96" w:rsidRPr="00840533" w:rsidRDefault="004C7A96" w:rsidP="004C7A96">
      <w:pPr>
        <w:pStyle w:val="NormalWeb"/>
        <w:ind w:left="720" w:hanging="720"/>
        <w:jc w:val="both"/>
      </w:pPr>
      <w:r w:rsidRPr="00840533">
        <w:t xml:space="preserve">Ernesto, O. Z. A. B., Dioselina, O. F. H., Marina, R. R. O., Hector, M., &amp; Miguel. (2021). Bioaccumulation of PCBs and PBDEs in fish from a tropical Lake Chapala, Mexico. </w:t>
      </w:r>
      <w:r w:rsidRPr="00840533">
        <w:rPr>
          <w:rStyle w:val="Emphasis"/>
        </w:rPr>
        <w:t>Toxics</w:t>
      </w:r>
      <w:r w:rsidRPr="00840533">
        <w:t xml:space="preserve">, 9(1). </w:t>
      </w:r>
      <w:hyperlink r:id="rId11" w:history="1">
        <w:r w:rsidRPr="001F5C6A">
          <w:rPr>
            <w:rStyle w:val="Hyperlink"/>
          </w:rPr>
          <w:t>https://doi.org/10.3390/toxics9100241</w:t>
        </w:r>
      </w:hyperlink>
      <w:r>
        <w:t xml:space="preserve"> </w:t>
      </w:r>
    </w:p>
    <w:p w14:paraId="525578D7" w14:textId="77777777" w:rsidR="004C7A96" w:rsidRPr="00840533" w:rsidRDefault="004C7A96" w:rsidP="004C7A96">
      <w:pPr>
        <w:pStyle w:val="NormalWeb"/>
        <w:ind w:left="720" w:hanging="720"/>
        <w:jc w:val="both"/>
      </w:pPr>
      <w:r w:rsidRPr="00840533">
        <w:t xml:space="preserve">Eyenubo, O. B., Peretomode, V. O., Egharevba, F., Osakwe, S. A., &amp; Avwioro, O. G. (2024). Polychlorinated biphenyls (PCBs) in sediments and fish from dredged tributaries and creeks of River Ethiope, South-South Nigeria: Sources, risk assessment and bioaccumulation. </w:t>
      </w:r>
      <w:r w:rsidRPr="00840533">
        <w:rPr>
          <w:rStyle w:val="Emphasis"/>
        </w:rPr>
        <w:t>Journal of the Nigerian Society of Physical Science</w:t>
      </w:r>
      <w:r w:rsidRPr="00840533">
        <w:t>, 6, 1951.</w:t>
      </w:r>
      <w:r>
        <w:t xml:space="preserve"> </w:t>
      </w:r>
      <w:r w:rsidRPr="00F65DBA">
        <w:rPr>
          <w:lang w:val="en-US"/>
        </w:rPr>
        <w:t>DOI:</w:t>
      </w:r>
      <w:r>
        <w:rPr>
          <w:lang w:val="en-US"/>
        </w:rPr>
        <w:t xml:space="preserve"> </w:t>
      </w:r>
      <w:r w:rsidRPr="00F65DBA">
        <w:rPr>
          <w:lang w:val="en-US"/>
        </w:rPr>
        <w:t>10.46481/jnsps.2024.1951</w:t>
      </w:r>
      <w:r>
        <w:rPr>
          <w:lang w:val="en-US"/>
        </w:rPr>
        <w:t xml:space="preserve"> </w:t>
      </w:r>
    </w:p>
    <w:p w14:paraId="3409AAB2" w14:textId="77777777" w:rsidR="004C7A96" w:rsidRPr="00840533" w:rsidRDefault="004C7A96" w:rsidP="004C7A96">
      <w:pPr>
        <w:pStyle w:val="NormalWeb"/>
        <w:ind w:left="720" w:hanging="720"/>
        <w:jc w:val="both"/>
      </w:pPr>
      <w:r w:rsidRPr="00840533">
        <w:t xml:space="preserve">IARC (International Agency for Research on Cancer). (2015). </w:t>
      </w:r>
      <w:r w:rsidRPr="00840533">
        <w:rPr>
          <w:rStyle w:val="Emphasis"/>
        </w:rPr>
        <w:t>Agents Classified by the IARC Monographs, Volumes 1–112.</w:t>
      </w:r>
      <w:r w:rsidRPr="00840533">
        <w:t xml:space="preserve"> </w:t>
      </w:r>
      <w:hyperlink r:id="rId12" w:history="1">
        <w:r w:rsidRPr="001F5C6A">
          <w:rPr>
            <w:rStyle w:val="Hyperlink"/>
          </w:rPr>
          <w:t>https://monographs.iarc.who.int/agents-classified-by-the-iarc/</w:t>
        </w:r>
      </w:hyperlink>
      <w:r>
        <w:t xml:space="preserve"> </w:t>
      </w:r>
    </w:p>
    <w:p w14:paraId="71E6394A" w14:textId="77777777" w:rsidR="004C7A96" w:rsidRPr="00840533" w:rsidRDefault="004C7A96" w:rsidP="004C7A96">
      <w:pPr>
        <w:pStyle w:val="NormalWeb"/>
        <w:ind w:left="720" w:hanging="720"/>
        <w:jc w:val="both"/>
      </w:pPr>
      <w:r w:rsidRPr="00840533">
        <w:t xml:space="preserve">Ibe, U. (2023). Challenges in environmental remediation in complex regions: Case study of the Niger Delta. </w:t>
      </w:r>
      <w:r w:rsidRPr="00840533">
        <w:rPr>
          <w:rStyle w:val="Emphasis"/>
        </w:rPr>
        <w:t>Journal of Toxic Substance Management</w:t>
      </w:r>
      <w:r w:rsidRPr="00840533">
        <w:t>, 12(3), 204–219.</w:t>
      </w:r>
    </w:p>
    <w:p w14:paraId="2830C8CA" w14:textId="77777777" w:rsidR="004C7A96" w:rsidRPr="00840533" w:rsidRDefault="004C7A96" w:rsidP="004C7A96">
      <w:pPr>
        <w:pStyle w:val="NormalWeb"/>
        <w:ind w:left="720" w:hanging="720"/>
        <w:jc w:val="both"/>
      </w:pPr>
      <w:r w:rsidRPr="00840533">
        <w:t xml:space="preserve">John, E. E., Emah, O. A., Ifiok, O. E., Okpoji, A. U., Iyam, O. E., Henderson, O. O., Akinola, A. E., Gloria, N. A., &amp; Charles, N. O. (2025). Health risk implications of polycyclic aromatic hydrocarbons in smoked and dried fish consumed in Nigeria. </w:t>
      </w:r>
      <w:r w:rsidRPr="00840533">
        <w:rPr>
          <w:rStyle w:val="Emphasis"/>
        </w:rPr>
        <w:t>Journal of Medical Science, Biology, and Chemistry, 2</w:t>
      </w:r>
      <w:r w:rsidRPr="00840533">
        <w:t xml:space="preserve">(2), 192–199. </w:t>
      </w:r>
      <w:hyperlink r:id="rId13" w:tgtFrame="_new" w:history="1">
        <w:r w:rsidRPr="00840533">
          <w:rPr>
            <w:rStyle w:val="Hyperlink"/>
            <w:rFonts w:eastAsiaTheme="majorEastAsia"/>
          </w:rPr>
          <w:t>https://doi.org/10.69739/jmsbc.v2i2.1045</w:t>
        </w:r>
      </w:hyperlink>
    </w:p>
    <w:p w14:paraId="7293BF6D" w14:textId="77777777" w:rsidR="004C7A96" w:rsidRPr="00840533" w:rsidRDefault="004C7A96" w:rsidP="004C7A96">
      <w:pPr>
        <w:pStyle w:val="NormalWeb"/>
        <w:ind w:left="720" w:hanging="720"/>
        <w:jc w:val="both"/>
      </w:pPr>
      <w:r w:rsidRPr="00840533">
        <w:t xml:space="preserve">Kallenborn, R., Hung, H., &amp; Brorström-Lundén, E. (2015). Atmospheric long-range transport of persistent organic pollutants (POPs) into polar regions. In </w:t>
      </w:r>
      <w:r w:rsidRPr="00840533">
        <w:rPr>
          <w:rStyle w:val="Emphasis"/>
        </w:rPr>
        <w:t>Comprehensive Analytical Chemistry</w:t>
      </w:r>
      <w:r w:rsidRPr="00840533">
        <w:t xml:space="preserve"> (Vol. 67, p. 411). Elsevier.</w:t>
      </w:r>
      <w:r>
        <w:t xml:space="preserve"> </w:t>
      </w:r>
      <w:hyperlink r:id="rId14" w:tgtFrame="_blank" w:tooltip="Persistent link using digital object identifier" w:history="1">
        <w:r w:rsidRPr="00DE7EA3">
          <w:rPr>
            <w:rStyle w:val="Hyperlink"/>
          </w:rPr>
          <w:t>https://doi.org/10.1016/B978-0-444-63299-9.00013-2</w:t>
        </w:r>
      </w:hyperlink>
      <w:r>
        <w:t xml:space="preserve"> </w:t>
      </w:r>
    </w:p>
    <w:p w14:paraId="2923B4D5" w14:textId="77777777" w:rsidR="004C7A96" w:rsidRPr="00840533" w:rsidRDefault="004C7A96" w:rsidP="004C7A96">
      <w:pPr>
        <w:pStyle w:val="NormalWeb"/>
        <w:ind w:left="720" w:hanging="720"/>
        <w:jc w:val="both"/>
      </w:pPr>
      <w:r w:rsidRPr="00840533">
        <w:t xml:space="preserve">Kwok, F. (2023). Enhancing global cooperation in environmental governance. </w:t>
      </w:r>
      <w:r w:rsidRPr="00840533">
        <w:rPr>
          <w:rStyle w:val="Emphasis"/>
        </w:rPr>
        <w:t>Global Environmental Politics</w:t>
      </w:r>
      <w:r w:rsidRPr="00840533">
        <w:t>, 21(1), 77–92.</w:t>
      </w:r>
    </w:p>
    <w:p w14:paraId="59DD0926" w14:textId="77777777" w:rsidR="004C7A96" w:rsidRPr="00840533" w:rsidRDefault="004C7A96" w:rsidP="004C7A96">
      <w:pPr>
        <w:pStyle w:val="NormalWeb"/>
        <w:ind w:left="720" w:hanging="720"/>
        <w:jc w:val="both"/>
      </w:pPr>
      <w:r w:rsidRPr="00840533">
        <w:t xml:space="preserve">Lawal, A. (2023). Management strategies for PCBs in the Niger Delta: Achievements and challenges. </w:t>
      </w:r>
      <w:r w:rsidRPr="00840533">
        <w:rPr>
          <w:rStyle w:val="Emphasis"/>
        </w:rPr>
        <w:t>Environmental Management Review</w:t>
      </w:r>
      <w:r w:rsidRPr="00840533">
        <w:t>, 29(1), 45–59.</w:t>
      </w:r>
    </w:p>
    <w:p w14:paraId="0FB4D25F" w14:textId="77777777" w:rsidR="004C7A96" w:rsidRPr="00840533" w:rsidRDefault="004C7A96" w:rsidP="004C7A96">
      <w:pPr>
        <w:pStyle w:val="NormalWeb"/>
        <w:ind w:left="720" w:hanging="720"/>
        <w:jc w:val="both"/>
      </w:pPr>
      <w:r w:rsidRPr="00840533">
        <w:t xml:space="preserve">Oghenekohwiroro, E., &amp; Osaro, I. (2017). Assessment of the levels of polychlorinated biphenyls (PCBs) in Oroodo River sediment, Agbor, Delta State, Nigeria. </w:t>
      </w:r>
      <w:r w:rsidRPr="00840533">
        <w:rPr>
          <w:rStyle w:val="Emphasis"/>
        </w:rPr>
        <w:t>Annals of Chemistry</w:t>
      </w:r>
      <w:r w:rsidRPr="00840533">
        <w:t xml:space="preserve">, 28, 25. </w:t>
      </w:r>
      <w:r w:rsidRPr="00200B6E">
        <w:t>DOI: 10.1515/auoc-2017-0005</w:t>
      </w:r>
      <w:r>
        <w:t xml:space="preserve"> </w:t>
      </w:r>
    </w:p>
    <w:p w14:paraId="26F738A4" w14:textId="77777777" w:rsidR="004C7A96" w:rsidRPr="00840533" w:rsidRDefault="004C7A96" w:rsidP="004C7A96">
      <w:pPr>
        <w:pStyle w:val="NormalWeb"/>
        <w:ind w:left="720" w:hanging="720"/>
        <w:jc w:val="both"/>
      </w:pPr>
      <w:r w:rsidRPr="00840533">
        <w:t xml:space="preserve">Okagbare, U. V., Umueni, U. E., Ekpe, J. E., Etukudo, N. J., Okpoji, A. U., Okoye, P. I., Ekwere, I. O., Etesin, M. U., Okpanachi, C. B., &amp; Okafor, C. A. (2025). Geophysical and hydrochemical assessment of groundwater vulnerability to oil pollution in Yenagoa, Bayelsa State, Nigeria. </w:t>
      </w:r>
      <w:r w:rsidRPr="00840533">
        <w:rPr>
          <w:rStyle w:val="Emphasis"/>
        </w:rPr>
        <w:t>Journal of Environment, Climate, and Ecology, 2</w:t>
      </w:r>
      <w:r w:rsidRPr="00840533">
        <w:t xml:space="preserve">(2), 138–146. </w:t>
      </w:r>
      <w:hyperlink r:id="rId15" w:tgtFrame="_new" w:history="1">
        <w:r w:rsidRPr="00840533">
          <w:rPr>
            <w:rStyle w:val="Hyperlink"/>
            <w:rFonts w:eastAsiaTheme="majorEastAsia"/>
          </w:rPr>
          <w:t>https://doi.org/10.69739/jece.v2i2.1078</w:t>
        </w:r>
      </w:hyperlink>
    </w:p>
    <w:p w14:paraId="7544B2E8" w14:textId="77777777" w:rsidR="004C7A96" w:rsidRPr="00840533" w:rsidRDefault="004C7A96" w:rsidP="004C7A96">
      <w:pPr>
        <w:pStyle w:val="NormalWeb"/>
        <w:ind w:left="720" w:hanging="720"/>
        <w:jc w:val="both"/>
      </w:pPr>
      <w:r w:rsidRPr="00840533">
        <w:t xml:space="preserve">Okpoji, A. U., Anarado, C. O., Mmuta, E. C., Ekwere, I. O., Alaekwe, I. O., Odibo, U. E., Igwegbe, K. C., Eboj-Ajoku, I. O., &amp; Obunezi, O. C. (2025). Toxicological evaluation </w:t>
      </w:r>
      <w:r w:rsidRPr="00840533">
        <w:lastRenderedPageBreak/>
        <w:t xml:space="preserve">of Pb, Cd, As, and Hg in blue crab from oil-polluted creeks in the Niger Delta. </w:t>
      </w:r>
      <w:r w:rsidRPr="00840533">
        <w:rPr>
          <w:rStyle w:val="Emphasis"/>
        </w:rPr>
        <w:t>Journal of Life Science and Public Health, 1</w:t>
      </w:r>
      <w:r w:rsidRPr="00840533">
        <w:t xml:space="preserve">(1), 24–31. </w:t>
      </w:r>
      <w:hyperlink r:id="rId16" w:tgtFrame="_new" w:history="1">
        <w:r w:rsidRPr="00840533">
          <w:rPr>
            <w:rStyle w:val="Hyperlink"/>
            <w:rFonts w:eastAsiaTheme="majorEastAsia"/>
          </w:rPr>
          <w:t>https://doi.org/10.69739/jlsph.v1i1.879</w:t>
        </w:r>
      </w:hyperlink>
    </w:p>
    <w:p w14:paraId="67906B7C" w14:textId="77777777" w:rsidR="004C7A96" w:rsidRPr="00840533" w:rsidRDefault="004C7A96" w:rsidP="004C7A96">
      <w:pPr>
        <w:pStyle w:val="NormalWeb"/>
        <w:ind w:left="720" w:hanging="720"/>
        <w:jc w:val="both"/>
      </w:pPr>
      <w:r w:rsidRPr="00840533">
        <w:t xml:space="preserve">Okpoji, A. U., Chinyere, U. E., Nwokoye, J. N., Ezekwuemen, O. I., Alaekwe, I. O., Odidika, C. C., Owughara, C. N., Enyi, C. M., &amp; Kolawole, O. O. (2025). Environmental assessment of heavy metals and hydrocarbon pollution in surface waters of oil-bearing communities in Andoni, Rivers State, Nigeria. </w:t>
      </w:r>
      <w:r w:rsidRPr="00840533">
        <w:rPr>
          <w:rStyle w:val="Emphasis"/>
        </w:rPr>
        <w:t>International Journal of Modern Science and Research Technology, 3</w:t>
      </w:r>
      <w:r w:rsidRPr="00840533">
        <w:t>(8), 22–30.</w:t>
      </w:r>
      <w:r>
        <w:t xml:space="preserve"> </w:t>
      </w:r>
      <w:hyperlink r:id="rId17" w:history="1">
        <w:r w:rsidRPr="001F5C6A">
          <w:rPr>
            <w:rStyle w:val="Hyperlink"/>
          </w:rPr>
          <w:t>https://www.ijmsrt.com/articles/view/environmental-assessment-of-heavy-metals-and-hydrocarbon-pollution-in-surface-waters-of-oil-bearing-communities-in-andoni-rivers-state-nigeria</w:t>
        </w:r>
      </w:hyperlink>
      <w:r>
        <w:t xml:space="preserve"> </w:t>
      </w:r>
    </w:p>
    <w:p w14:paraId="2A7861F8" w14:textId="77777777" w:rsidR="004C7A96" w:rsidRPr="00840533" w:rsidRDefault="004C7A96" w:rsidP="004C7A96">
      <w:pPr>
        <w:pStyle w:val="NormalWeb"/>
        <w:ind w:left="720" w:hanging="720"/>
        <w:jc w:val="both"/>
      </w:pPr>
      <w:r w:rsidRPr="00840533">
        <w:t xml:space="preserve">Okpoji, A. U., Eboh-Ajoku, I. O., Mmuta, E. C., Ndubuisi, J. O., Alaekwe, I. O., Odibo, U. E., Nwoka, N. G., Okafor, C. A., &amp; Obunezi, O. C. (2025). Integrated environmental risk assessment of BTEX and PAHs in water and sediment samples from the Bonny River, Nigeria. </w:t>
      </w:r>
      <w:r w:rsidRPr="00840533">
        <w:rPr>
          <w:rStyle w:val="Emphasis"/>
        </w:rPr>
        <w:t>ISA Journal of Multidisciplinary (ISAJM), 2</w:t>
      </w:r>
      <w:r w:rsidRPr="00840533">
        <w:t>(4), 14–21.</w:t>
      </w:r>
      <w:r>
        <w:t xml:space="preserve"> </w:t>
      </w:r>
      <w:r w:rsidRPr="0005125C">
        <w:t>DOI: 10.5281/zenodo.16921896</w:t>
      </w:r>
      <w:r>
        <w:t xml:space="preserve"> </w:t>
      </w:r>
    </w:p>
    <w:p w14:paraId="67532C7A" w14:textId="77777777" w:rsidR="004C7A96" w:rsidRPr="00840533" w:rsidRDefault="004C7A96" w:rsidP="004C7A96">
      <w:pPr>
        <w:pStyle w:val="NormalWeb"/>
        <w:ind w:left="720" w:hanging="720"/>
        <w:jc w:val="both"/>
      </w:pPr>
      <w:r w:rsidRPr="00840533">
        <w:t xml:space="preserve">Okpoji, A. U., Ekwere, I. O., Igwegbe, K. C., Anarado, C. J. O., Ogbonna, C., Ewuola, A. A., Odibo, U. E., &amp; Garuba, M. H. (2025). Volatile organic compounds from gas flaring and their atmospheric implications in the Niger Delta. </w:t>
      </w:r>
      <w:r w:rsidRPr="00840533">
        <w:rPr>
          <w:rStyle w:val="Emphasis"/>
        </w:rPr>
        <w:t>Journal of Life Science and Public Health, 1</w:t>
      </w:r>
      <w:r w:rsidRPr="00840533">
        <w:t xml:space="preserve">(1), 32–39. </w:t>
      </w:r>
      <w:hyperlink r:id="rId18" w:tgtFrame="_new" w:history="1">
        <w:r w:rsidRPr="00840533">
          <w:rPr>
            <w:rStyle w:val="Hyperlink"/>
            <w:rFonts w:eastAsiaTheme="majorEastAsia"/>
          </w:rPr>
          <w:t>https://doi.org/10.69739/jlsph.v1i1.962</w:t>
        </w:r>
      </w:hyperlink>
    </w:p>
    <w:p w14:paraId="7CDE25CC" w14:textId="77777777" w:rsidR="004C7A96" w:rsidRPr="00840533" w:rsidRDefault="004C7A96" w:rsidP="004C7A96">
      <w:pPr>
        <w:pStyle w:val="NormalWeb"/>
        <w:ind w:left="720" w:hanging="720"/>
        <w:jc w:val="both"/>
      </w:pPr>
      <w:r w:rsidRPr="00840533">
        <w:t xml:space="preserve">Okpoji, A. U., Etesin, M. U., Ekwere, I. O., Martins, N. P., Okpanachi, C. B., Adisa, O. J., &amp; Okonkwo, C. C. (2025). Geochemical speciation and ecological risk of heavy metals in estuarine sediments of the Qua Iboe River, Nigeria. </w:t>
      </w:r>
      <w:r w:rsidRPr="00840533">
        <w:rPr>
          <w:rStyle w:val="Emphasis"/>
        </w:rPr>
        <w:t>Asian Journal of Chemical Sciences, 15</w:t>
      </w:r>
      <w:r w:rsidRPr="00840533">
        <w:t>(6), 20–31.</w:t>
      </w:r>
      <w:r w:rsidRPr="00D30836">
        <w:rPr>
          <w:rFonts w:ascii="Noto Sans" w:eastAsiaTheme="minorHAnsi" w:hAnsi="Noto Sans" w:cs="Noto Sans"/>
          <w:b/>
          <w:bCs/>
          <w:color w:val="000000"/>
          <w:sz w:val="27"/>
          <w:szCs w:val="27"/>
          <w:shd w:val="clear" w:color="auto" w:fill="FFFFFF"/>
          <w:lang w:eastAsia="en-US"/>
        </w:rPr>
        <w:t xml:space="preserve"> </w:t>
      </w:r>
      <w:r w:rsidRPr="00D30836">
        <w:rPr>
          <w:b/>
          <w:bCs/>
        </w:rPr>
        <w:t>DOI: </w:t>
      </w:r>
      <w:hyperlink r:id="rId19" w:history="1">
        <w:r w:rsidRPr="00D30836">
          <w:rPr>
            <w:rStyle w:val="Hyperlink"/>
          </w:rPr>
          <w:t>10.9734/ajocs/2025/v15i6402</w:t>
        </w:r>
      </w:hyperlink>
    </w:p>
    <w:p w14:paraId="715D0F5F" w14:textId="77777777" w:rsidR="004C7A96" w:rsidRPr="00840533" w:rsidRDefault="004C7A96" w:rsidP="004C7A96">
      <w:pPr>
        <w:pStyle w:val="NormalWeb"/>
        <w:ind w:left="720" w:hanging="720"/>
        <w:jc w:val="both"/>
      </w:pPr>
      <w:r w:rsidRPr="00840533">
        <w:t xml:space="preserve">Okpoji, A. U., Ndubuisi, J. O., Eboh-Ajoku, I. O., Emem, J. A., Ekwere, I. O., Alaekwe, I. O., Odibo, U. E., Igwegbe, K. C., Onoja, C. R., Warder, A. B., &amp; InyangAbia, A. J. (2025). Trematode infections and histopathological effects in </w:t>
      </w:r>
      <w:r w:rsidRPr="00840533">
        <w:rPr>
          <w:rStyle w:val="Emphasis"/>
        </w:rPr>
        <w:t>Chrysichthys nigrodigitatus</w:t>
      </w:r>
      <w:r w:rsidRPr="00840533">
        <w:t xml:space="preserve"> from the polluted Andoni River, Niger Delta, Nigeria. </w:t>
      </w:r>
      <w:r w:rsidRPr="00840533">
        <w:rPr>
          <w:rStyle w:val="Emphasis"/>
        </w:rPr>
        <w:t>Journal of Agriculture, Aquaculture, and Animal Science, 2</w:t>
      </w:r>
      <w:r w:rsidRPr="00840533">
        <w:t xml:space="preserve">(2), 66–72. </w:t>
      </w:r>
      <w:hyperlink r:id="rId20" w:tgtFrame="_new" w:history="1">
        <w:r w:rsidRPr="00840533">
          <w:rPr>
            <w:rStyle w:val="Hyperlink"/>
            <w:rFonts w:eastAsiaTheme="majorEastAsia"/>
          </w:rPr>
          <w:t>https://doi.org/10.69739/jaaas.v2i2.882</w:t>
        </w:r>
      </w:hyperlink>
    </w:p>
    <w:p w14:paraId="1A23B0EA" w14:textId="77777777" w:rsidR="004C7A96" w:rsidRPr="00840533" w:rsidRDefault="004C7A96" w:rsidP="004C7A96">
      <w:pPr>
        <w:pStyle w:val="NormalWeb"/>
        <w:ind w:left="720" w:hanging="720"/>
        <w:jc w:val="both"/>
      </w:pPr>
      <w:r w:rsidRPr="00840533">
        <w:t xml:space="preserve">Okpoji, A. U., Ogbaji, H. O., Hassan, D. H., Orji-Azuka, L. N., Rasheed, H. O., Ohaturuonye, S. O., Ejeka, J. C., Okpanachi, C. B., &amp; Ekwere, I. O. (2025). Physico-chemical transport of volatile organic compounds (VOCs) from gas flaring into surface waters of Ogoniland, Rivers State, Nigeria. </w:t>
      </w:r>
      <w:r w:rsidRPr="00840533">
        <w:rPr>
          <w:rStyle w:val="Emphasis"/>
        </w:rPr>
        <w:t>Asian Journal of Physical and Chemical Sciences, 13</w:t>
      </w:r>
      <w:r w:rsidRPr="00840533">
        <w:t xml:space="preserve">(4), 151–159. </w:t>
      </w:r>
      <w:r w:rsidRPr="00B91A3B">
        <w:rPr>
          <w:b/>
          <w:bCs/>
        </w:rPr>
        <w:t>DOI: </w:t>
      </w:r>
      <w:hyperlink r:id="rId21" w:history="1">
        <w:r w:rsidRPr="00B91A3B">
          <w:rPr>
            <w:rStyle w:val="Hyperlink"/>
          </w:rPr>
          <w:t>10.9734/ajopacs/2025/v13i4271</w:t>
        </w:r>
      </w:hyperlink>
    </w:p>
    <w:p w14:paraId="6646CF28" w14:textId="77777777" w:rsidR="004C7A96" w:rsidRPr="00840533" w:rsidRDefault="004C7A96" w:rsidP="004C7A96">
      <w:pPr>
        <w:pStyle w:val="NormalWeb"/>
        <w:ind w:left="720" w:hanging="720"/>
        <w:jc w:val="both"/>
      </w:pPr>
      <w:r w:rsidRPr="00840533">
        <w:t xml:space="preserve">Okpoji, A. U., Ugwanyi, G. C., Etesin, U. M., Ugwuanyi, G. C., Okpanachi, C. B., Ewuola, A. A., Mojisola, K. M., &amp; Ezekwueme, O. I. (2025). Solar-enhanced photocatalytic degradation of pharmaceutical residues in wastewater using Fe-, Cu-, and Zn-doped TiO₂ nanomaterials. </w:t>
      </w:r>
      <w:r w:rsidRPr="00840533">
        <w:rPr>
          <w:rStyle w:val="Emphasis"/>
        </w:rPr>
        <w:t>Journal of Environment, Climate, and Ecology, 2</w:t>
      </w:r>
      <w:r w:rsidRPr="00840533">
        <w:t xml:space="preserve">(2), 56–62. </w:t>
      </w:r>
      <w:hyperlink r:id="rId22" w:tgtFrame="_new" w:history="1">
        <w:r w:rsidRPr="00840533">
          <w:rPr>
            <w:rStyle w:val="Hyperlink"/>
            <w:rFonts w:eastAsiaTheme="majorEastAsia"/>
          </w:rPr>
          <w:t>https://doi.org/10.69739/jece.v2i2.961</w:t>
        </w:r>
      </w:hyperlink>
    </w:p>
    <w:p w14:paraId="45861CAE" w14:textId="77777777" w:rsidR="004C7A96" w:rsidRPr="00840533" w:rsidRDefault="004C7A96" w:rsidP="004C7A96">
      <w:pPr>
        <w:pStyle w:val="NormalWeb"/>
        <w:ind w:left="720" w:hanging="720"/>
        <w:jc w:val="both"/>
      </w:pPr>
      <w:r w:rsidRPr="00840533">
        <w:t xml:space="preserve">Onoja, C. R., Ogbaji, H. O., Edodi, I. O., Mmuta, E. C., Igwegbe, K. C., Ogini, O. R., Odibo, U. E., Ewuola, A. A., Mahmoud, A. B., &amp; Okpoji, A. U. (2025). Heavy metal contamination and health risk assessment of smoked-dried fish sold in Eke-Awka </w:t>
      </w:r>
      <w:r w:rsidRPr="00840533">
        <w:lastRenderedPageBreak/>
        <w:t xml:space="preserve">market, Anambra State, Nigeria. </w:t>
      </w:r>
      <w:r w:rsidRPr="00840533">
        <w:rPr>
          <w:rStyle w:val="Emphasis"/>
        </w:rPr>
        <w:t>Journal of Sustainable Research and Development, 1</w:t>
      </w:r>
      <w:r w:rsidRPr="00840533">
        <w:t xml:space="preserve">(2), 18–25. </w:t>
      </w:r>
      <w:hyperlink r:id="rId23" w:tgtFrame="_new" w:history="1">
        <w:r w:rsidRPr="00840533">
          <w:rPr>
            <w:rStyle w:val="Hyperlink"/>
            <w:rFonts w:eastAsiaTheme="majorEastAsia"/>
          </w:rPr>
          <w:t>https://doi.org/10.69739/jsrd.v1i2.1044</w:t>
        </w:r>
      </w:hyperlink>
    </w:p>
    <w:p w14:paraId="45070F4F" w14:textId="77777777" w:rsidR="004C7A96" w:rsidRPr="00840533" w:rsidRDefault="004C7A96" w:rsidP="004C7A96">
      <w:pPr>
        <w:pStyle w:val="NormalWeb"/>
        <w:ind w:left="720" w:hanging="720"/>
        <w:jc w:val="both"/>
      </w:pPr>
      <w:r w:rsidRPr="00840533">
        <w:t xml:space="preserve">Stewart, P., Reihman, J., Lonky, E., Darvill, T., &amp; Pagano, J. (2000). Prenatal PCB exposure and neonatal behavioral assessment scale (NBAS) performance. </w:t>
      </w:r>
      <w:r w:rsidRPr="00840533">
        <w:rPr>
          <w:rStyle w:val="Emphasis"/>
        </w:rPr>
        <w:t>Neurotoxicology and Teratology</w:t>
      </w:r>
      <w:r w:rsidRPr="00840533">
        <w:t xml:space="preserve">, 22(1), 21–29. </w:t>
      </w:r>
      <w:hyperlink r:id="rId24" w:tgtFrame="_blank" w:tooltip="Persistent link using digital object identifier" w:history="1">
        <w:r w:rsidRPr="00B719E1">
          <w:rPr>
            <w:rStyle w:val="Hyperlink"/>
          </w:rPr>
          <w:t>https://doi.org/10.1016/S0892-0362(99)00056-2</w:t>
        </w:r>
      </w:hyperlink>
    </w:p>
    <w:p w14:paraId="3AE32A35" w14:textId="77777777" w:rsidR="004C7A96" w:rsidRPr="00840533" w:rsidRDefault="004C7A96" w:rsidP="004C7A96">
      <w:pPr>
        <w:pStyle w:val="NormalWeb"/>
        <w:ind w:left="720" w:hanging="720"/>
        <w:jc w:val="both"/>
      </w:pPr>
      <w:r w:rsidRPr="00840533">
        <w:t xml:space="preserve">Umueni, U. E., Etukudo, N. J., Okoye, P. I., Okpoji, A. U., Eze, V. C., Aningo, G. N., Ekwere, I. O., &amp; Garuba, M. H. (2025). Geochemical and ecological risk assessment of petroleum hydrocarbons in sediments of the Forcados River, Delta State. </w:t>
      </w:r>
      <w:r w:rsidRPr="00840533">
        <w:rPr>
          <w:rStyle w:val="Emphasis"/>
        </w:rPr>
        <w:t>Asian Journal of Geographical Research, 8</w:t>
      </w:r>
      <w:r w:rsidRPr="00840533">
        <w:t xml:space="preserve">(4), 287–298. </w:t>
      </w:r>
      <w:r w:rsidRPr="006F62C6">
        <w:rPr>
          <w:b/>
          <w:bCs/>
        </w:rPr>
        <w:t>DOI: </w:t>
      </w:r>
      <w:hyperlink r:id="rId25" w:history="1">
        <w:r w:rsidRPr="006F62C6">
          <w:rPr>
            <w:rStyle w:val="Hyperlink"/>
          </w:rPr>
          <w:t>10.9734/ajgr/2025/v8i4337</w:t>
        </w:r>
      </w:hyperlink>
    </w:p>
    <w:p w14:paraId="37D70B4C" w14:textId="77777777" w:rsidR="004C7A96" w:rsidRPr="00840533" w:rsidRDefault="004C7A96" w:rsidP="004C7A96">
      <w:pPr>
        <w:pStyle w:val="NormalWeb"/>
        <w:ind w:left="720" w:hanging="720"/>
        <w:jc w:val="both"/>
      </w:pPr>
      <w:r w:rsidRPr="00840533">
        <w:t xml:space="preserve">USEPA (United States Environmental Protection Agency). (2011). </w:t>
      </w:r>
      <w:r w:rsidRPr="00840533">
        <w:rPr>
          <w:rStyle w:val="Emphasis"/>
        </w:rPr>
        <w:t>Regional Screening Level (RSL) Table for Chemical Contamination at Superfund Sites.</w:t>
      </w:r>
      <w:r w:rsidRPr="00840533">
        <w:t xml:space="preserve"> </w:t>
      </w:r>
      <w:hyperlink r:id="rId26" w:tgtFrame="_new" w:history="1">
        <w:r w:rsidRPr="00840533">
          <w:rPr>
            <w:rStyle w:val="Hyperlink"/>
          </w:rPr>
          <w:t>https://www.epa.gov/risk/regional-screening-levels-rsls</w:t>
        </w:r>
      </w:hyperlink>
    </w:p>
    <w:p w14:paraId="4FD9267E" w14:textId="77777777" w:rsidR="004C7A96" w:rsidRPr="00840533" w:rsidRDefault="004C7A96" w:rsidP="004C7A96">
      <w:pPr>
        <w:pStyle w:val="NormalWeb"/>
        <w:ind w:left="720" w:hanging="720"/>
        <w:jc w:val="both"/>
      </w:pPr>
      <w:r w:rsidRPr="00840533">
        <w:t xml:space="preserve">Wania, F., Bereik, K., Persson, N. J., &amp; McLachlan, M. S. (2006). A fugacity-based dynamic multi-compartmental mass balance model of the fate of persistent organic pollutants. </w:t>
      </w:r>
      <w:r w:rsidRPr="00840533">
        <w:rPr>
          <w:rStyle w:val="Emphasis"/>
        </w:rPr>
        <w:t>Environmental Modelling &amp; Software</w:t>
      </w:r>
      <w:r w:rsidRPr="00840533">
        <w:t xml:space="preserve">, 21, 868. </w:t>
      </w:r>
      <w:hyperlink r:id="rId27" w:tgtFrame="_blank" w:tooltip="Persistent link using digital object identifier" w:history="1">
        <w:r w:rsidRPr="00453589">
          <w:rPr>
            <w:rStyle w:val="Hyperlink"/>
          </w:rPr>
          <w:t>https://doi.org/10.1016/j.envsoft.2005.04.003</w:t>
        </w:r>
      </w:hyperlink>
    </w:p>
    <w:p w14:paraId="58A69F57" w14:textId="77777777" w:rsidR="004C7A96" w:rsidRPr="00840533" w:rsidRDefault="004C7A96" w:rsidP="004C7A96">
      <w:pPr>
        <w:pStyle w:val="NormalWeb"/>
        <w:ind w:left="720" w:hanging="720"/>
        <w:jc w:val="both"/>
      </w:pPr>
      <w:r w:rsidRPr="00840533">
        <w:t xml:space="preserve">World Bank. (2014). Life expectancy data. </w:t>
      </w:r>
      <w:hyperlink r:id="rId28" w:history="1">
        <w:r w:rsidRPr="001F5C6A">
          <w:rPr>
            <w:rStyle w:val="Hyperlink"/>
          </w:rPr>
          <w:t>https://data.worldbank.org/indicator/SP.DYN.LE00.IN</w:t>
        </w:r>
      </w:hyperlink>
      <w:r>
        <w:t xml:space="preserve"> </w:t>
      </w:r>
    </w:p>
    <w:p w14:paraId="0B3BB835" w14:textId="77777777" w:rsidR="004C7A96" w:rsidRDefault="004C7A96" w:rsidP="004C7A96">
      <w:pPr>
        <w:pStyle w:val="NormalWeb"/>
        <w:jc w:val="both"/>
      </w:pPr>
    </w:p>
    <w:p w14:paraId="0D167670" w14:textId="77777777" w:rsidR="004C7A96" w:rsidRPr="009F1AE1" w:rsidRDefault="004C7A96" w:rsidP="004C7A96">
      <w:pPr>
        <w:spacing w:before="100" w:beforeAutospacing="1" w:after="100" w:afterAutospacing="1" w:line="240" w:lineRule="auto"/>
        <w:jc w:val="both"/>
        <w:rPr>
          <w:rFonts w:ascii="Times New Roman" w:hAnsi="Times New Roman" w:cs="Times New Roman"/>
          <w:sz w:val="24"/>
          <w:szCs w:val="24"/>
        </w:rPr>
      </w:pPr>
    </w:p>
    <w:p w14:paraId="748CF70B" w14:textId="5EEE562F" w:rsidR="009F1AE1" w:rsidRDefault="009F1AE1" w:rsidP="009F1AE1">
      <w:pPr>
        <w:pStyle w:val="NormalWeb"/>
        <w:jc w:val="both"/>
      </w:pPr>
      <w:bookmarkStart w:id="0" w:name="_GoBack"/>
      <w:bookmarkEnd w:id="0"/>
    </w:p>
    <w:sectPr w:rsidR="009F1AE1">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43418" w14:textId="77777777" w:rsidR="005126B4" w:rsidRDefault="005126B4" w:rsidP="00273672">
      <w:pPr>
        <w:spacing w:after="0" w:line="240" w:lineRule="auto"/>
      </w:pPr>
      <w:r>
        <w:separator/>
      </w:r>
    </w:p>
  </w:endnote>
  <w:endnote w:type="continuationSeparator" w:id="0">
    <w:p w14:paraId="40DD8F66" w14:textId="77777777" w:rsidR="005126B4" w:rsidRDefault="005126B4" w:rsidP="0027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Mangal"/>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EF1C5" w14:textId="77777777" w:rsidR="00273672" w:rsidRDefault="00273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C0FAF" w14:textId="77777777" w:rsidR="00273672" w:rsidRDefault="00273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48F07" w14:textId="77777777" w:rsidR="00273672" w:rsidRDefault="00273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16049" w14:textId="77777777" w:rsidR="005126B4" w:rsidRDefault="005126B4" w:rsidP="00273672">
      <w:pPr>
        <w:spacing w:after="0" w:line="240" w:lineRule="auto"/>
      </w:pPr>
      <w:r>
        <w:separator/>
      </w:r>
    </w:p>
  </w:footnote>
  <w:footnote w:type="continuationSeparator" w:id="0">
    <w:p w14:paraId="219895F1" w14:textId="77777777" w:rsidR="005126B4" w:rsidRDefault="005126B4" w:rsidP="00273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7E264" w14:textId="2C2F24D8" w:rsidR="00273672" w:rsidRDefault="005126B4">
    <w:pPr>
      <w:pStyle w:val="Header"/>
    </w:pPr>
    <w:r>
      <w:rPr>
        <w:noProof/>
      </w:rPr>
      <w:pict w14:anchorId="5D309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78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E968" w14:textId="707110E0" w:rsidR="00273672" w:rsidRDefault="005126B4">
    <w:pPr>
      <w:pStyle w:val="Header"/>
    </w:pPr>
    <w:r>
      <w:rPr>
        <w:noProof/>
      </w:rPr>
      <w:pict w14:anchorId="70B87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78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F44A" w14:textId="7A3B9F33" w:rsidR="00273672" w:rsidRDefault="005126B4">
    <w:pPr>
      <w:pStyle w:val="Header"/>
    </w:pPr>
    <w:r>
      <w:rPr>
        <w:noProof/>
      </w:rPr>
      <w:pict w14:anchorId="1CA82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78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E1"/>
    <w:rsid w:val="000822D5"/>
    <w:rsid w:val="00142BC4"/>
    <w:rsid w:val="00273672"/>
    <w:rsid w:val="004C7A96"/>
    <w:rsid w:val="005126B4"/>
    <w:rsid w:val="0055270F"/>
    <w:rsid w:val="009F1AE1"/>
    <w:rsid w:val="00C542E7"/>
    <w:rsid w:val="00EA78D8"/>
    <w:rsid w:val="00F26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E30F5E"/>
  <w15:chartTrackingRefBased/>
  <w15:docId w15:val="{69D4CCAD-A6A2-49CB-823E-6547D506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F1AE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1AE1"/>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9F1A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F1AE1"/>
    <w:rPr>
      <w:i/>
      <w:iCs/>
    </w:rPr>
  </w:style>
  <w:style w:type="character" w:styleId="Hyperlink">
    <w:name w:val="Hyperlink"/>
    <w:basedOn w:val="DefaultParagraphFont"/>
    <w:uiPriority w:val="99"/>
    <w:unhideWhenUsed/>
    <w:rsid w:val="009F1AE1"/>
    <w:rPr>
      <w:color w:val="0000FF"/>
      <w:u w:val="single"/>
    </w:rPr>
  </w:style>
  <w:style w:type="character" w:styleId="UnresolvedMention">
    <w:name w:val="Unresolved Mention"/>
    <w:basedOn w:val="DefaultParagraphFont"/>
    <w:uiPriority w:val="99"/>
    <w:semiHidden/>
    <w:unhideWhenUsed/>
    <w:rsid w:val="00142BC4"/>
    <w:rPr>
      <w:color w:val="605E5C"/>
      <w:shd w:val="clear" w:color="auto" w:fill="E1DFDD"/>
    </w:rPr>
  </w:style>
  <w:style w:type="paragraph" w:styleId="Header">
    <w:name w:val="header"/>
    <w:basedOn w:val="Normal"/>
    <w:link w:val="HeaderChar"/>
    <w:uiPriority w:val="99"/>
    <w:unhideWhenUsed/>
    <w:rsid w:val="00273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672"/>
  </w:style>
  <w:style w:type="paragraph" w:styleId="Footer">
    <w:name w:val="footer"/>
    <w:basedOn w:val="Normal"/>
    <w:link w:val="FooterChar"/>
    <w:uiPriority w:val="99"/>
    <w:unhideWhenUsed/>
    <w:rsid w:val="00273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28529">
      <w:bodyDiv w:val="1"/>
      <w:marLeft w:val="0"/>
      <w:marRight w:val="0"/>
      <w:marTop w:val="0"/>
      <w:marBottom w:val="0"/>
      <w:divBdr>
        <w:top w:val="none" w:sz="0" w:space="0" w:color="auto"/>
        <w:left w:val="none" w:sz="0" w:space="0" w:color="auto"/>
        <w:bottom w:val="none" w:sz="0" w:space="0" w:color="auto"/>
        <w:right w:val="none" w:sz="0" w:space="0" w:color="auto"/>
      </w:divBdr>
    </w:div>
    <w:div w:id="497765999">
      <w:bodyDiv w:val="1"/>
      <w:marLeft w:val="0"/>
      <w:marRight w:val="0"/>
      <w:marTop w:val="0"/>
      <w:marBottom w:val="0"/>
      <w:divBdr>
        <w:top w:val="none" w:sz="0" w:space="0" w:color="auto"/>
        <w:left w:val="none" w:sz="0" w:space="0" w:color="auto"/>
        <w:bottom w:val="none" w:sz="0" w:space="0" w:color="auto"/>
        <w:right w:val="none" w:sz="0" w:space="0" w:color="auto"/>
      </w:divBdr>
    </w:div>
    <w:div w:id="568421796">
      <w:bodyDiv w:val="1"/>
      <w:marLeft w:val="0"/>
      <w:marRight w:val="0"/>
      <w:marTop w:val="0"/>
      <w:marBottom w:val="0"/>
      <w:divBdr>
        <w:top w:val="none" w:sz="0" w:space="0" w:color="auto"/>
        <w:left w:val="none" w:sz="0" w:space="0" w:color="auto"/>
        <w:bottom w:val="none" w:sz="0" w:space="0" w:color="auto"/>
        <w:right w:val="none" w:sz="0" w:space="0" w:color="auto"/>
      </w:divBdr>
    </w:div>
    <w:div w:id="688484357">
      <w:bodyDiv w:val="1"/>
      <w:marLeft w:val="0"/>
      <w:marRight w:val="0"/>
      <w:marTop w:val="0"/>
      <w:marBottom w:val="0"/>
      <w:divBdr>
        <w:top w:val="none" w:sz="0" w:space="0" w:color="auto"/>
        <w:left w:val="none" w:sz="0" w:space="0" w:color="auto"/>
        <w:bottom w:val="none" w:sz="0" w:space="0" w:color="auto"/>
        <w:right w:val="none" w:sz="0" w:space="0" w:color="auto"/>
      </w:divBdr>
    </w:div>
    <w:div w:id="1227836585">
      <w:bodyDiv w:val="1"/>
      <w:marLeft w:val="0"/>
      <w:marRight w:val="0"/>
      <w:marTop w:val="0"/>
      <w:marBottom w:val="0"/>
      <w:divBdr>
        <w:top w:val="none" w:sz="0" w:space="0" w:color="auto"/>
        <w:left w:val="none" w:sz="0" w:space="0" w:color="auto"/>
        <w:bottom w:val="none" w:sz="0" w:space="0" w:color="auto"/>
        <w:right w:val="none" w:sz="0" w:space="0" w:color="auto"/>
      </w:divBdr>
    </w:div>
    <w:div w:id="1238132205">
      <w:bodyDiv w:val="1"/>
      <w:marLeft w:val="0"/>
      <w:marRight w:val="0"/>
      <w:marTop w:val="0"/>
      <w:marBottom w:val="0"/>
      <w:divBdr>
        <w:top w:val="none" w:sz="0" w:space="0" w:color="auto"/>
        <w:left w:val="none" w:sz="0" w:space="0" w:color="auto"/>
        <w:bottom w:val="none" w:sz="0" w:space="0" w:color="auto"/>
        <w:right w:val="none" w:sz="0" w:space="0" w:color="auto"/>
      </w:divBdr>
    </w:div>
    <w:div w:id="1328365918">
      <w:bodyDiv w:val="1"/>
      <w:marLeft w:val="0"/>
      <w:marRight w:val="0"/>
      <w:marTop w:val="0"/>
      <w:marBottom w:val="0"/>
      <w:divBdr>
        <w:top w:val="none" w:sz="0" w:space="0" w:color="auto"/>
        <w:left w:val="none" w:sz="0" w:space="0" w:color="auto"/>
        <w:bottom w:val="none" w:sz="0" w:space="0" w:color="auto"/>
        <w:right w:val="none" w:sz="0" w:space="0" w:color="auto"/>
      </w:divBdr>
    </w:div>
    <w:div w:id="1410229835">
      <w:bodyDiv w:val="1"/>
      <w:marLeft w:val="0"/>
      <w:marRight w:val="0"/>
      <w:marTop w:val="0"/>
      <w:marBottom w:val="0"/>
      <w:divBdr>
        <w:top w:val="none" w:sz="0" w:space="0" w:color="auto"/>
        <w:left w:val="none" w:sz="0" w:space="0" w:color="auto"/>
        <w:bottom w:val="none" w:sz="0" w:space="0" w:color="auto"/>
        <w:right w:val="none" w:sz="0" w:space="0" w:color="auto"/>
      </w:divBdr>
    </w:div>
    <w:div w:id="1458916963">
      <w:bodyDiv w:val="1"/>
      <w:marLeft w:val="0"/>
      <w:marRight w:val="0"/>
      <w:marTop w:val="0"/>
      <w:marBottom w:val="0"/>
      <w:divBdr>
        <w:top w:val="none" w:sz="0" w:space="0" w:color="auto"/>
        <w:left w:val="none" w:sz="0" w:space="0" w:color="auto"/>
        <w:bottom w:val="none" w:sz="0" w:space="0" w:color="auto"/>
        <w:right w:val="none" w:sz="0" w:space="0" w:color="auto"/>
      </w:divBdr>
    </w:div>
    <w:div w:id="193536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jmsbc.v2i2.1045" TargetMode="External"/><Relationship Id="rId18" Type="http://schemas.openxmlformats.org/officeDocument/2006/relationships/hyperlink" Target="https://doi.org/10.69739/jlsph.v1i1.962" TargetMode="External"/><Relationship Id="rId26" Type="http://schemas.openxmlformats.org/officeDocument/2006/relationships/hyperlink" Target="https://www.epa.gov/risk/regional-screening-levels-rsls" TargetMode="External"/><Relationship Id="rId3" Type="http://schemas.openxmlformats.org/officeDocument/2006/relationships/webSettings" Target="webSettings.xml"/><Relationship Id="rId21" Type="http://schemas.openxmlformats.org/officeDocument/2006/relationships/hyperlink" Target="https://doi.org/10.9734/ajopacs/2025/v13i4271" TargetMode="External"/><Relationship Id="rId34" Type="http://schemas.openxmlformats.org/officeDocument/2006/relationships/footer" Target="footer3.xml"/><Relationship Id="rId7" Type="http://schemas.openxmlformats.org/officeDocument/2006/relationships/hyperlink" Target="https://doi.org/10.9734/ajee/2025/v24i11822" TargetMode="External"/><Relationship Id="rId12" Type="http://schemas.openxmlformats.org/officeDocument/2006/relationships/hyperlink" Target="https://monographs.iarc.who.int/agents-classified-by-the-iarc/" TargetMode="External"/><Relationship Id="rId17" Type="http://schemas.openxmlformats.org/officeDocument/2006/relationships/hyperlink" Target="https://www.ijmsrt.com/articles/view/environmental-assessment-of-heavy-metals-and-hydrocarbon-pollution-in-surface-waters-of-oil-bearing-communities-in-andoni-rivers-state-nigeria" TargetMode="External"/><Relationship Id="rId25" Type="http://schemas.openxmlformats.org/officeDocument/2006/relationships/hyperlink" Target="https://doi.org/10.9734/ajgr/2025/v8i4337"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doi.org/10.69739/jlsph.v1i1.879" TargetMode="External"/><Relationship Id="rId20" Type="http://schemas.openxmlformats.org/officeDocument/2006/relationships/hyperlink" Target="https://doi.org/10.69739/jaaas.v2i2.882"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sjrda.stuchalk.domains.unf.edu/files/content/sjrda_42.pdf" TargetMode="External"/><Relationship Id="rId11" Type="http://schemas.openxmlformats.org/officeDocument/2006/relationships/hyperlink" Target="https://doi.org/10.3390/toxics9100241" TargetMode="External"/><Relationship Id="rId24" Type="http://schemas.openxmlformats.org/officeDocument/2006/relationships/hyperlink" Target="https://doi.org/10.1016/S0892-0362(99)00056-2"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69739/jece.v2i2.1078" TargetMode="External"/><Relationship Id="rId23" Type="http://schemas.openxmlformats.org/officeDocument/2006/relationships/hyperlink" Target="https://doi.org/10.69739/jsrd.v1i2.1044" TargetMode="External"/><Relationship Id="rId28" Type="http://schemas.openxmlformats.org/officeDocument/2006/relationships/hyperlink" Target="https://data.worldbank.org/indicator/SP.DYN.LE00.IN" TargetMode="External"/><Relationship Id="rId36" Type="http://schemas.openxmlformats.org/officeDocument/2006/relationships/theme" Target="theme/theme1.xml"/><Relationship Id="rId10" Type="http://schemas.openxmlformats.org/officeDocument/2006/relationships/hyperlink" Target="https://doi.org/10.69739/jsrd.v1i2.1033" TargetMode="External"/><Relationship Id="rId19" Type="http://schemas.openxmlformats.org/officeDocument/2006/relationships/hyperlink" Target="https://doi.org/10.9734/ajocs/2025/v15i6402"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69739/jece.v2i2.952" TargetMode="External"/><Relationship Id="rId14" Type="http://schemas.openxmlformats.org/officeDocument/2006/relationships/hyperlink" Target="https://doi.org/10.1016/B978-0-444-63299-9.00013-2" TargetMode="External"/><Relationship Id="rId22" Type="http://schemas.openxmlformats.org/officeDocument/2006/relationships/hyperlink" Target="https://doi.org/10.69739/jece.v2i2.961" TargetMode="External"/><Relationship Id="rId27" Type="http://schemas.openxmlformats.org/officeDocument/2006/relationships/hyperlink" Target="https://doi.org/10.1016/j.envsoft.2005.04.00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5281/zenodo.17148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4519</Words>
  <Characters>25760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1138</cp:lastModifiedBy>
  <cp:revision>5</cp:revision>
  <dcterms:created xsi:type="dcterms:W3CDTF">2025-11-27T01:25:00Z</dcterms:created>
  <dcterms:modified xsi:type="dcterms:W3CDTF">2025-11-29T06:01:00Z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17b50ba7-b03d-4ab8-adf7-5ea6d1ecf023</vt:lpwstr>
  </property>
</Properties>
</file>