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56B5A" w14:textId="15A1F0F8" w:rsidR="007F56C2" w:rsidRDefault="00327DC6" w:rsidP="00327DC6">
      <w:pPr>
        <w:tabs>
          <w:tab w:val="left" w:pos="1071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Title: </w:t>
      </w:r>
      <w:r w:rsidR="00061A28">
        <w:rPr>
          <w:rFonts w:ascii="Times New Roman" w:hAnsi="Times New Roman" w:cs="Times New Roman"/>
          <w:b/>
          <w:sz w:val="24"/>
          <w:szCs w:val="24"/>
        </w:rPr>
        <w:t xml:space="preserve">Radiometric </w:t>
      </w:r>
      <w:r w:rsidR="00B71491" w:rsidRPr="0009093E">
        <w:rPr>
          <w:rFonts w:ascii="Times New Roman" w:hAnsi="Times New Roman" w:cs="Times New Roman"/>
          <w:b/>
          <w:sz w:val="24"/>
          <w:szCs w:val="24"/>
        </w:rPr>
        <w:t>and geochemical techniques</w:t>
      </w:r>
      <w:r w:rsidR="007F56C2" w:rsidRPr="0009093E">
        <w:rPr>
          <w:rFonts w:ascii="Times New Roman" w:hAnsi="Times New Roman" w:cs="Times New Roman"/>
          <w:b/>
          <w:sz w:val="24"/>
          <w:szCs w:val="24"/>
        </w:rPr>
        <w:t xml:space="preserve"> for</w:t>
      </w:r>
      <w:r w:rsidR="008225BA">
        <w:rPr>
          <w:rFonts w:ascii="Times New Roman" w:hAnsi="Times New Roman" w:cs="Times New Roman"/>
          <w:b/>
          <w:sz w:val="24"/>
          <w:szCs w:val="24"/>
        </w:rPr>
        <w:t xml:space="preserve"> delineating hydrothermal alteration zone</w:t>
      </w:r>
      <w:r w:rsidR="00C4762C">
        <w:rPr>
          <w:rFonts w:ascii="Times New Roman" w:hAnsi="Times New Roman" w:cs="Times New Roman"/>
          <w:b/>
          <w:sz w:val="24"/>
          <w:szCs w:val="24"/>
        </w:rPr>
        <w:t>s</w:t>
      </w:r>
      <w:r w:rsidR="008225BA">
        <w:rPr>
          <w:rFonts w:ascii="Times New Roman" w:hAnsi="Times New Roman" w:cs="Times New Roman"/>
          <w:b/>
          <w:sz w:val="24"/>
          <w:szCs w:val="24"/>
        </w:rPr>
        <w:t xml:space="preserve"> and evaluating the mineralization potential</w:t>
      </w:r>
      <w:r w:rsidR="00C4762C">
        <w:rPr>
          <w:rFonts w:ascii="Times New Roman" w:hAnsi="Times New Roman" w:cs="Times New Roman"/>
          <w:b/>
          <w:sz w:val="24"/>
          <w:szCs w:val="24"/>
        </w:rPr>
        <w:t>s</w:t>
      </w:r>
      <w:r w:rsidR="008225BA">
        <w:rPr>
          <w:rFonts w:ascii="Times New Roman" w:hAnsi="Times New Roman" w:cs="Times New Roman"/>
          <w:b/>
          <w:sz w:val="24"/>
          <w:szCs w:val="24"/>
        </w:rPr>
        <w:t xml:space="preserve"> of the Basement Rocks</w:t>
      </w:r>
      <w:r w:rsidR="007F56C2" w:rsidRPr="0009093E">
        <w:rPr>
          <w:rFonts w:ascii="Times New Roman" w:hAnsi="Times New Roman" w:cs="Times New Roman"/>
          <w:b/>
          <w:sz w:val="24"/>
          <w:szCs w:val="24"/>
        </w:rPr>
        <w:t xml:space="preserve"> in Orin-Ekiti and </w:t>
      </w:r>
      <w:r w:rsidR="00151D26" w:rsidRPr="0009093E">
        <w:rPr>
          <w:rFonts w:ascii="Times New Roman" w:hAnsi="Times New Roman" w:cs="Times New Roman"/>
          <w:b/>
          <w:sz w:val="24"/>
          <w:szCs w:val="24"/>
        </w:rPr>
        <w:t>its</w:t>
      </w:r>
      <w:r w:rsidR="007F56C2" w:rsidRPr="0009093E">
        <w:rPr>
          <w:rFonts w:ascii="Times New Roman" w:hAnsi="Times New Roman" w:cs="Times New Roman"/>
          <w:b/>
          <w:sz w:val="24"/>
          <w:szCs w:val="24"/>
        </w:rPr>
        <w:t xml:space="preserve"> Environs, Southwestern Nigeria.</w:t>
      </w:r>
    </w:p>
    <w:p w14:paraId="3FD75109" w14:textId="77777777" w:rsidR="00327DC6" w:rsidRDefault="00327DC6" w:rsidP="00327DC6">
      <w:pPr>
        <w:tabs>
          <w:tab w:val="left" w:pos="10710"/>
        </w:tabs>
        <w:spacing w:after="0" w:line="240" w:lineRule="auto"/>
        <w:rPr>
          <w:rFonts w:ascii="Times New Roman" w:hAnsi="Times New Roman" w:cs="Times New Roman"/>
          <w:b/>
          <w:sz w:val="24"/>
          <w:szCs w:val="24"/>
        </w:rPr>
      </w:pPr>
    </w:p>
    <w:p w14:paraId="5EB5A58F" w14:textId="77777777" w:rsidR="00FD08E1" w:rsidRDefault="00FD08E1" w:rsidP="003D6405">
      <w:pPr>
        <w:tabs>
          <w:tab w:val="left" w:pos="10710"/>
        </w:tabs>
        <w:spacing w:after="0" w:line="240" w:lineRule="auto"/>
        <w:jc w:val="both"/>
        <w:rPr>
          <w:b/>
        </w:rPr>
      </w:pPr>
    </w:p>
    <w:p w14:paraId="0B8C9F2A" w14:textId="2CDABDF2" w:rsidR="000F57BC" w:rsidRDefault="000F57BC" w:rsidP="003D6405">
      <w:pPr>
        <w:tabs>
          <w:tab w:val="left" w:pos="10710"/>
        </w:tabs>
        <w:spacing w:after="0" w:line="240" w:lineRule="auto"/>
        <w:jc w:val="both"/>
        <w:rPr>
          <w:b/>
        </w:rPr>
      </w:pPr>
      <w:r w:rsidRPr="000F57BC">
        <w:rPr>
          <w:b/>
        </w:rPr>
        <w:t>ABSTRACT</w:t>
      </w:r>
    </w:p>
    <w:p w14:paraId="3EC012EA" w14:textId="6CA8AA4F" w:rsidR="00105A62" w:rsidRPr="00105A62" w:rsidRDefault="00105A62" w:rsidP="00B9322E">
      <w:pPr>
        <w:jc w:val="both"/>
        <w:rPr>
          <w:rFonts w:ascii="Times New Roman" w:hAnsi="Times New Roman" w:cs="Times New Roman"/>
          <w:sz w:val="24"/>
          <w:szCs w:val="24"/>
        </w:rPr>
      </w:pPr>
      <w:r w:rsidRPr="00105A62">
        <w:rPr>
          <w:rFonts w:ascii="Times New Roman" w:hAnsi="Times New Roman" w:cs="Times New Roman"/>
          <w:sz w:val="24"/>
          <w:szCs w:val="24"/>
        </w:rPr>
        <w:t xml:space="preserve">The Orin-Ekiti area of southwestern Nigeria, within the Pan-African Basement Complex, exhibits marked radiometric and geochemical variations. These variations indicate complex hydrothermal and structural evolution that remains poorly understood. This knowledge gap limits the understanding of mineralization controls and the area’s resource </w:t>
      </w:r>
      <w:r>
        <w:rPr>
          <w:rFonts w:ascii="Times New Roman" w:hAnsi="Times New Roman" w:cs="Times New Roman"/>
          <w:sz w:val="24"/>
          <w:szCs w:val="24"/>
        </w:rPr>
        <w:t>potential</w:t>
      </w:r>
      <w:r w:rsidRPr="00105A62">
        <w:rPr>
          <w:rFonts w:ascii="Times New Roman" w:hAnsi="Times New Roman" w:cs="Times New Roman"/>
          <w:sz w:val="24"/>
          <w:szCs w:val="24"/>
        </w:rPr>
        <w:t xml:space="preserve">. Geological mapping at a scale of 1:25,000 delineated major lithologies comprising </w:t>
      </w:r>
      <w:proofErr w:type="spellStart"/>
      <w:r w:rsidRPr="00105A62">
        <w:rPr>
          <w:rFonts w:ascii="Times New Roman" w:hAnsi="Times New Roman" w:cs="Times New Roman"/>
          <w:sz w:val="24"/>
          <w:szCs w:val="24"/>
        </w:rPr>
        <w:t>charnockite</w:t>
      </w:r>
      <w:proofErr w:type="spellEnd"/>
      <w:r w:rsidRPr="00105A62">
        <w:rPr>
          <w:rFonts w:ascii="Times New Roman" w:hAnsi="Times New Roman" w:cs="Times New Roman"/>
          <w:sz w:val="24"/>
          <w:szCs w:val="24"/>
        </w:rPr>
        <w:t xml:space="preserve"> and migmatite, with minor granite gneiss and quartz veins. Thirty-five rock samples were collected across the mapped terrain</w:t>
      </w:r>
      <w:r>
        <w:rPr>
          <w:rFonts w:ascii="Times New Roman" w:hAnsi="Times New Roman" w:cs="Times New Roman"/>
          <w:sz w:val="24"/>
          <w:szCs w:val="24"/>
        </w:rPr>
        <w:t>;</w:t>
      </w:r>
      <w:r w:rsidRPr="00105A62">
        <w:rPr>
          <w:rFonts w:ascii="Times New Roman" w:hAnsi="Times New Roman" w:cs="Times New Roman"/>
          <w:sz w:val="24"/>
          <w:szCs w:val="24"/>
        </w:rPr>
        <w:t xml:space="preserve"> 15 were carefully selected for detailed geochemical analysis based on spatial representation and freshness. High-resolution airborne radiometric data (K, Th, and U) from the Nigerian Geological Survey Agency (NGSA) were processed and integrated with geological and geochemical datasets to delineate alteration and mineralization zones. Data processing, performed in Oasis </w:t>
      </w:r>
      <w:proofErr w:type="spellStart"/>
      <w:r w:rsidRPr="00105A62">
        <w:rPr>
          <w:rFonts w:ascii="Times New Roman" w:hAnsi="Times New Roman" w:cs="Times New Roman"/>
          <w:sz w:val="24"/>
          <w:szCs w:val="24"/>
        </w:rPr>
        <w:t>Montaj</w:t>
      </w:r>
      <w:proofErr w:type="spellEnd"/>
      <w:r w:rsidRPr="00105A62">
        <w:rPr>
          <w:rFonts w:ascii="Times New Roman" w:hAnsi="Times New Roman" w:cs="Times New Roman"/>
          <w:sz w:val="24"/>
          <w:szCs w:val="24"/>
        </w:rPr>
        <w:t xml:space="preserve"> and ArcGIS environments, included gridding, ratio mapping, and ternary (K–Th–U) image enhancement to identify hydrothermal alteration and radiogenic enrichment patterns. Geochemical analyses involved complete digestion of samples using a four-acid and lithium metaborate/tetraborate fusion method, followed by Inductively Coupled Plasma–Mass Spectrometry (ICP–MS) at ACME Analytical Laboratories, Canada, for trace element determinations. Statistical and multivariate analyses, conducted</w:t>
      </w:r>
      <w:r>
        <w:rPr>
          <w:rFonts w:ascii="Times New Roman" w:hAnsi="Times New Roman" w:cs="Times New Roman"/>
          <w:sz w:val="24"/>
          <w:szCs w:val="24"/>
        </w:rPr>
        <w:t xml:space="preserve"> with Microsoft Excel </w:t>
      </w:r>
      <w:r w:rsidRPr="00105A62">
        <w:rPr>
          <w:rFonts w:ascii="Times New Roman" w:hAnsi="Times New Roman" w:cs="Times New Roman"/>
          <w:sz w:val="24"/>
          <w:szCs w:val="24"/>
        </w:rPr>
        <w:t>and SPSS, were used to evaluate compositional variations and identify geochemical associations relevant to mineralization. Factor analysis identified five significant geochemical components explaining 93.87% of total variance. Group I (Cu–Pb–Zn–Mn–Fe) represents base-metal sulfide mineralization associated with hydrothermal alteration, while Groups II and III (Pb–As–</w:t>
      </w:r>
      <w:proofErr w:type="spellStart"/>
      <w:r w:rsidRPr="00105A62">
        <w:rPr>
          <w:rFonts w:ascii="Times New Roman" w:hAnsi="Times New Roman" w:cs="Times New Roman"/>
          <w:sz w:val="24"/>
          <w:szCs w:val="24"/>
        </w:rPr>
        <w:t>Rb</w:t>
      </w:r>
      <w:proofErr w:type="spellEnd"/>
      <w:r w:rsidRPr="00105A62">
        <w:rPr>
          <w:rFonts w:ascii="Times New Roman" w:hAnsi="Times New Roman" w:cs="Times New Roman"/>
          <w:sz w:val="24"/>
          <w:szCs w:val="24"/>
        </w:rPr>
        <w:t>) indicate polymetallic and auriferous pathfinder associations. Strong elemental correlations such as Cu–Cr (r = 0.922) and Zn–Pb (r = 0.726) confirmed a common hydrothermal and mafic source. This study provides the first integrated radiometric, geochemical model for delineating uranium, Thorium, and Potassium base-metal potentials in southwestern Nigeria and establishes Orin-Ekiti and its environs as a promising target for future mineral exploration.</w:t>
      </w:r>
    </w:p>
    <w:p w14:paraId="327F9E8E" w14:textId="7582B33A" w:rsidR="00B9322E" w:rsidRDefault="00DA216C" w:rsidP="00B9322E">
      <w:pPr>
        <w:jc w:val="both"/>
        <w:rPr>
          <w:rFonts w:ascii="Times New Roman" w:hAnsi="Times New Roman" w:cs="Times New Roman"/>
          <w:b/>
          <w:i/>
          <w:sz w:val="24"/>
          <w:szCs w:val="24"/>
        </w:rPr>
      </w:pPr>
      <w:r w:rsidRPr="005A1ECC">
        <w:rPr>
          <w:rFonts w:ascii="Times New Roman" w:hAnsi="Times New Roman" w:cs="Times New Roman"/>
          <w:b/>
          <w:i/>
          <w:sz w:val="24"/>
          <w:szCs w:val="24"/>
        </w:rPr>
        <w:t xml:space="preserve">Key Words: Orin-Ekiti, Basement Complex, </w:t>
      </w:r>
      <w:r w:rsidR="005A1ECC" w:rsidRPr="005A1ECC">
        <w:rPr>
          <w:rFonts w:ascii="Times New Roman" w:hAnsi="Times New Roman" w:cs="Times New Roman"/>
          <w:b/>
          <w:i/>
          <w:sz w:val="24"/>
          <w:szCs w:val="24"/>
        </w:rPr>
        <w:t xml:space="preserve">Sulfide Mineralization, Auriferous, </w:t>
      </w:r>
      <w:r w:rsidR="00565040">
        <w:rPr>
          <w:rFonts w:ascii="Times New Roman" w:hAnsi="Times New Roman" w:cs="Times New Roman"/>
          <w:b/>
          <w:i/>
          <w:sz w:val="24"/>
          <w:szCs w:val="24"/>
        </w:rPr>
        <w:t>Polymetallic</w:t>
      </w:r>
    </w:p>
    <w:p w14:paraId="1697FAE5" w14:textId="77777777" w:rsidR="00B9322E" w:rsidRPr="00B9322E" w:rsidRDefault="00B9322E" w:rsidP="00B9322E">
      <w:pPr>
        <w:tabs>
          <w:tab w:val="left" w:pos="10710"/>
        </w:tabs>
        <w:spacing w:line="240" w:lineRule="auto"/>
        <w:jc w:val="both"/>
        <w:rPr>
          <w:rFonts w:ascii="Times New Roman" w:hAnsi="Times New Roman" w:cs="Times New Roman"/>
          <w:b/>
          <w:sz w:val="24"/>
          <w:szCs w:val="24"/>
        </w:rPr>
      </w:pPr>
      <w:r w:rsidRPr="00B9322E">
        <w:rPr>
          <w:rFonts w:ascii="Times New Roman" w:hAnsi="Times New Roman" w:cs="Times New Roman"/>
          <w:b/>
          <w:sz w:val="24"/>
          <w:szCs w:val="24"/>
        </w:rPr>
        <w:t>1.0 Introduction</w:t>
      </w:r>
    </w:p>
    <w:p w14:paraId="2B31443D" w14:textId="45E10CD9" w:rsidR="006378B4" w:rsidRPr="006378B4" w:rsidRDefault="006378B4" w:rsidP="006378B4">
      <w:pPr>
        <w:pStyle w:val="NormalWeb"/>
        <w:jc w:val="both"/>
      </w:pPr>
      <w:r w:rsidRPr="006378B4">
        <w:t xml:space="preserve">The Nigerian Basement Complex, part of the West African Craton, comprises diverse Precambrian lithologies shaped by multiple </w:t>
      </w:r>
      <w:proofErr w:type="spellStart"/>
      <w:r w:rsidRPr="006378B4">
        <w:t>tectonothermal</w:t>
      </w:r>
      <w:proofErr w:type="spellEnd"/>
      <w:r w:rsidRPr="006378B4">
        <w:t xml:space="preserve"> events, including the Liberian, Eburnean, and Pan-African </w:t>
      </w:r>
      <w:proofErr w:type="spellStart"/>
      <w:r w:rsidRPr="006378B4">
        <w:t>orogenies</w:t>
      </w:r>
      <w:proofErr w:type="spellEnd"/>
      <w:r w:rsidRPr="006378B4">
        <w:t xml:space="preserve">. These events produced migmatites, gneisses, schists, </w:t>
      </w:r>
      <w:proofErr w:type="spellStart"/>
      <w:r w:rsidRPr="006378B4">
        <w:t>charnockites</w:t>
      </w:r>
      <w:proofErr w:type="spellEnd"/>
      <w:r w:rsidRPr="006378B4">
        <w:t>, and granitoids that dominate southwestern Nigeri</w:t>
      </w:r>
      <w:r w:rsidR="009429CA">
        <w:t>a (</w:t>
      </w:r>
      <w:proofErr w:type="spellStart"/>
      <w:r w:rsidR="009429CA">
        <w:t>Rahaman</w:t>
      </w:r>
      <w:proofErr w:type="spellEnd"/>
      <w:r w:rsidR="009429CA">
        <w:t xml:space="preserve">, 1988; </w:t>
      </w:r>
      <w:proofErr w:type="spellStart"/>
      <w:r w:rsidR="009429CA">
        <w:t>Ogunyele</w:t>
      </w:r>
      <w:proofErr w:type="spellEnd"/>
      <w:r w:rsidR="009429CA">
        <w:t xml:space="preserve"> et al., 2017</w:t>
      </w:r>
      <w:r w:rsidRPr="006378B4">
        <w:t xml:space="preserve">). In the Orin-Ekiti area, </w:t>
      </w:r>
      <w:proofErr w:type="spellStart"/>
      <w:r w:rsidRPr="006378B4">
        <w:t>charnockite</w:t>
      </w:r>
      <w:proofErr w:type="spellEnd"/>
      <w:r w:rsidRPr="006378B4">
        <w:t xml:space="preserve"> and migmatite units form the major lithologies, with prominent </w:t>
      </w:r>
      <w:proofErr w:type="spellStart"/>
      <w:r w:rsidRPr="006378B4">
        <w:t>charnockitic</w:t>
      </w:r>
      <w:proofErr w:type="spellEnd"/>
      <w:r w:rsidRPr="006378B4">
        <w:t xml:space="preserve"> bodies around Orin, </w:t>
      </w:r>
      <w:proofErr w:type="spellStart"/>
      <w:r w:rsidRPr="006378B4">
        <w:t>Usi</w:t>
      </w:r>
      <w:proofErr w:type="spellEnd"/>
      <w:r w:rsidRPr="006378B4">
        <w:t xml:space="preserve">, and </w:t>
      </w:r>
      <w:proofErr w:type="spellStart"/>
      <w:r w:rsidRPr="006378B4">
        <w:t>Ewu</w:t>
      </w:r>
      <w:proofErr w:type="spellEnd"/>
      <w:r w:rsidRPr="006378B4">
        <w:t xml:space="preserve">, and migmatite complexes toward </w:t>
      </w:r>
      <w:proofErr w:type="spellStart"/>
      <w:r w:rsidRPr="006378B4">
        <w:t>Iddo</w:t>
      </w:r>
      <w:proofErr w:type="spellEnd"/>
      <w:r w:rsidRPr="006378B4">
        <w:t xml:space="preserve">-Ekiti, Ora, and </w:t>
      </w:r>
      <w:proofErr w:type="spellStart"/>
      <w:r w:rsidRPr="006378B4">
        <w:t>Ilogbo</w:t>
      </w:r>
      <w:proofErr w:type="spellEnd"/>
      <w:r w:rsidRPr="006378B4">
        <w:t>. These units reflect strong crustal reworking, partial melting, and metasomatism often linked with hydrothermal alteration and possibl</w:t>
      </w:r>
      <w:r w:rsidR="00E4436C">
        <w:t>e mineralization (Christopher et al., 2020</w:t>
      </w:r>
      <w:r w:rsidRPr="006378B4">
        <w:t>).</w:t>
      </w:r>
      <w:r>
        <w:t xml:space="preserve"> </w:t>
      </w:r>
      <w:r w:rsidRPr="006378B4">
        <w:t xml:space="preserve">Although the region is geologically significant, few studies have applied integrated radiometric </w:t>
      </w:r>
      <w:r w:rsidRPr="006378B4">
        <w:lastRenderedPageBreak/>
        <w:t>and geochemical techniques to characterize alteration zones. Earlier works emphasized petrography and regional structure, leaving gaps in quantitative radiometric interpretatio</w:t>
      </w:r>
      <w:r w:rsidR="009429CA">
        <w:t>n (</w:t>
      </w:r>
      <w:proofErr w:type="spellStart"/>
      <w:r w:rsidR="009429CA">
        <w:t>Rahaman</w:t>
      </w:r>
      <w:proofErr w:type="spellEnd"/>
      <w:r w:rsidR="009429CA">
        <w:t xml:space="preserve">, 1988; </w:t>
      </w:r>
      <w:proofErr w:type="spellStart"/>
      <w:r w:rsidR="009429CA">
        <w:t>Ogunyele</w:t>
      </w:r>
      <w:proofErr w:type="spellEnd"/>
      <w:r w:rsidR="009429CA">
        <w:t xml:space="preserve"> et al., 2017</w:t>
      </w:r>
      <w:r w:rsidRPr="006378B4">
        <w:t>). Nearby studies in s</w:t>
      </w:r>
      <w:r w:rsidR="00741425">
        <w:t>outhwestern Nigeria (</w:t>
      </w:r>
      <w:proofErr w:type="spellStart"/>
      <w:r w:rsidR="00741425">
        <w:t>Igonor</w:t>
      </w:r>
      <w:proofErr w:type="spellEnd"/>
      <w:r w:rsidR="00741425">
        <w:t xml:space="preserve"> &amp; Abimbola, 2016</w:t>
      </w:r>
      <w:r w:rsidR="00052E99">
        <w:t xml:space="preserve">; </w:t>
      </w:r>
      <w:proofErr w:type="spellStart"/>
      <w:r w:rsidR="00052E99">
        <w:t>Onyejiuwaka</w:t>
      </w:r>
      <w:proofErr w:type="spellEnd"/>
      <w:r w:rsidR="00052E99">
        <w:t xml:space="preserve"> &amp; </w:t>
      </w:r>
      <w:proofErr w:type="spellStart"/>
      <w:r w:rsidR="00052E99">
        <w:t>Nwokeabia</w:t>
      </w:r>
      <w:proofErr w:type="spellEnd"/>
      <w:r w:rsidR="00052E99">
        <w:t>, 2020</w:t>
      </w:r>
      <w:r w:rsidRPr="006378B4">
        <w:t xml:space="preserve">) provided insights into crustal evolution and radiometric patterns but did not fully integrate airborne </w:t>
      </w:r>
      <w:proofErr w:type="spellStart"/>
      <w:r w:rsidRPr="006378B4">
        <w:t>radiometrics</w:t>
      </w:r>
      <w:proofErr w:type="spellEnd"/>
      <w:r w:rsidRPr="006378B4">
        <w:t xml:space="preserve"> with whole-rock geochemistry. Airborne gamma-ray surveys, which measure K, U, and Th, have proven effective in mapping hydrothermal pathways and metasomatic enrichmen</w:t>
      </w:r>
      <w:r w:rsidR="00E4436C">
        <w:t>t zones (</w:t>
      </w:r>
      <w:r w:rsidRPr="006378B4">
        <w:t>Wilford et al., 1997). When combined with trace-element and REE geochemistry, these datasets help distinguish primary magmatic signatures from seconda</w:t>
      </w:r>
      <w:r w:rsidR="00052E99">
        <w:t>ry alteration processes (</w:t>
      </w:r>
      <w:proofErr w:type="spellStart"/>
      <w:r w:rsidR="00052E99">
        <w:t>Onyejiuwaka</w:t>
      </w:r>
      <w:proofErr w:type="spellEnd"/>
      <w:r w:rsidR="00052E99">
        <w:t xml:space="preserve"> &amp; </w:t>
      </w:r>
      <w:proofErr w:type="spellStart"/>
      <w:r w:rsidR="00052E99">
        <w:t>Nwokeabia</w:t>
      </w:r>
      <w:proofErr w:type="spellEnd"/>
      <w:r w:rsidR="00052E99">
        <w:t>, 2020).</w:t>
      </w:r>
      <w:r w:rsidRPr="006378B4">
        <w:t xml:space="preserve"> Hydrothermal circulation along fractures in Orin-Ekiti likely mobilized elements such as Fe, Cu, Sn, and </w:t>
      </w:r>
      <w:proofErr w:type="spellStart"/>
      <w:r w:rsidRPr="006378B4">
        <w:t>Nb</w:t>
      </w:r>
      <w:proofErr w:type="spellEnd"/>
      <w:r w:rsidRPr="006378B4">
        <w:t>, producing local enrichment zones; however, the alteration architecture remains poorly constrained due to limited integrated radiometric–geochemical studies. This study</w:t>
      </w:r>
      <w:r w:rsidR="00565040">
        <w:t>,</w:t>
      </w:r>
      <w:r w:rsidRPr="006378B4">
        <w:t xml:space="preserve"> therefore</w:t>
      </w:r>
      <w:r w:rsidR="00565040">
        <w:t>,</w:t>
      </w:r>
      <w:r w:rsidRPr="006378B4">
        <w:t xml:space="preserve"> applies combined radiometric and geochemical methods to delineate alteration halos, identify structural controls, and evaluate the mineralization potential of the Orin-Ekiti basement.</w:t>
      </w:r>
    </w:p>
    <w:p w14:paraId="2FE18136" w14:textId="33E229D9" w:rsidR="00EB2F15" w:rsidRPr="00B9322E" w:rsidRDefault="00852EAF" w:rsidP="00B9322E">
      <w:pPr>
        <w:tabs>
          <w:tab w:val="left" w:pos="10710"/>
        </w:tabs>
        <w:spacing w:line="240" w:lineRule="auto"/>
        <w:jc w:val="both"/>
        <w:rPr>
          <w:rFonts w:ascii="Times New Roman" w:hAnsi="Times New Roman" w:cs="Times New Roman"/>
          <w:sz w:val="24"/>
          <w:szCs w:val="24"/>
        </w:rPr>
      </w:pPr>
      <w:r w:rsidRPr="00B9322E">
        <w:rPr>
          <w:rFonts w:ascii="Times New Roman" w:hAnsi="Times New Roman" w:cs="Times New Roman"/>
          <w:b/>
          <w:sz w:val="24"/>
          <w:szCs w:val="24"/>
        </w:rPr>
        <w:t>1.1</w:t>
      </w:r>
      <w:r w:rsidR="00E51530" w:rsidRPr="00B9322E">
        <w:rPr>
          <w:rFonts w:ascii="Times New Roman" w:hAnsi="Times New Roman" w:cs="Times New Roman"/>
          <w:b/>
          <w:sz w:val="24"/>
          <w:szCs w:val="24"/>
        </w:rPr>
        <w:t xml:space="preserve"> </w:t>
      </w:r>
      <w:r w:rsidR="00B56AB0" w:rsidRPr="00B9322E">
        <w:rPr>
          <w:rFonts w:ascii="Times New Roman" w:hAnsi="Times New Roman" w:cs="Times New Roman"/>
          <w:b/>
          <w:sz w:val="24"/>
          <w:szCs w:val="24"/>
        </w:rPr>
        <w:t>L</w:t>
      </w:r>
      <w:r w:rsidR="001A1660">
        <w:rPr>
          <w:rFonts w:ascii="Times New Roman" w:hAnsi="Times New Roman" w:cs="Times New Roman"/>
          <w:b/>
          <w:sz w:val="24"/>
          <w:szCs w:val="24"/>
        </w:rPr>
        <w:t>ocation and</w:t>
      </w:r>
      <w:r w:rsidR="00B56AB0" w:rsidRPr="00B9322E">
        <w:rPr>
          <w:rFonts w:ascii="Times New Roman" w:hAnsi="Times New Roman" w:cs="Times New Roman"/>
          <w:b/>
          <w:sz w:val="24"/>
          <w:szCs w:val="24"/>
        </w:rPr>
        <w:t xml:space="preserve"> D</w:t>
      </w:r>
      <w:r w:rsidR="001A1660" w:rsidRPr="00B9322E">
        <w:rPr>
          <w:rFonts w:ascii="Times New Roman" w:hAnsi="Times New Roman" w:cs="Times New Roman"/>
          <w:b/>
          <w:sz w:val="24"/>
          <w:szCs w:val="24"/>
        </w:rPr>
        <w:t>escription</w:t>
      </w:r>
      <w:r w:rsidR="001A1660">
        <w:rPr>
          <w:rFonts w:ascii="Times New Roman" w:hAnsi="Times New Roman" w:cs="Times New Roman"/>
          <w:b/>
          <w:sz w:val="24"/>
          <w:szCs w:val="24"/>
        </w:rPr>
        <w:t xml:space="preserve"> of the Study A</w:t>
      </w:r>
      <w:r w:rsidR="001A1660" w:rsidRPr="00B9322E">
        <w:rPr>
          <w:rFonts w:ascii="Times New Roman" w:hAnsi="Times New Roman" w:cs="Times New Roman"/>
          <w:b/>
          <w:sz w:val="24"/>
          <w:szCs w:val="24"/>
        </w:rPr>
        <w:t>rea</w:t>
      </w:r>
    </w:p>
    <w:p w14:paraId="7E152A6C" w14:textId="60DE12D0" w:rsidR="00213BD7" w:rsidRDefault="00DA576D" w:rsidP="00DA576D">
      <w:pPr>
        <w:pStyle w:val="NormalWeb"/>
        <w:jc w:val="both"/>
      </w:pPr>
      <w:r>
        <w:t xml:space="preserve">The study area, Orin-Ekiti and its environs, is located in </w:t>
      </w:r>
      <w:proofErr w:type="spellStart"/>
      <w:r>
        <w:t>Ido</w:t>
      </w:r>
      <w:proofErr w:type="spellEnd"/>
      <w:r>
        <w:t>/</w:t>
      </w:r>
      <w:proofErr w:type="spellStart"/>
      <w:r>
        <w:t>Osi</w:t>
      </w:r>
      <w:proofErr w:type="spellEnd"/>
      <w:r>
        <w:t xml:space="preserve"> Local Government Area of Ekiti State in southwestern Nigeria and lies within the Precambrian Basement Complex terrain </w:t>
      </w:r>
      <w:r w:rsidRPr="006E6877">
        <w:t>within latitudes 7</w:t>
      </w:r>
      <w:r w:rsidRPr="006E6877">
        <w:rPr>
          <w:vertAlign w:val="superscript"/>
        </w:rPr>
        <w:t>0</w:t>
      </w:r>
      <w:r w:rsidRPr="006E6877">
        <w:t>49</w:t>
      </w:r>
      <w:r w:rsidRPr="006E6877">
        <w:rPr>
          <w:vertAlign w:val="superscript"/>
        </w:rPr>
        <w:t>1</w:t>
      </w:r>
      <w:r w:rsidRPr="006E6877">
        <w:t>00</w:t>
      </w:r>
      <w:r w:rsidRPr="006E6877">
        <w:rPr>
          <w:vertAlign w:val="superscript"/>
        </w:rPr>
        <w:t>11</w:t>
      </w:r>
      <w:r w:rsidRPr="006E6877">
        <w:t>N to 7</w:t>
      </w:r>
      <w:r w:rsidRPr="006E6877">
        <w:rPr>
          <w:vertAlign w:val="superscript"/>
        </w:rPr>
        <w:t>0</w:t>
      </w:r>
      <w:r w:rsidRPr="006E6877">
        <w:t>56</w:t>
      </w:r>
      <w:r w:rsidRPr="006E6877">
        <w:rPr>
          <w:vertAlign w:val="superscript"/>
        </w:rPr>
        <w:t>1</w:t>
      </w:r>
      <w:r w:rsidRPr="006E6877">
        <w:t>00</w:t>
      </w:r>
      <w:r w:rsidRPr="006E6877">
        <w:rPr>
          <w:vertAlign w:val="superscript"/>
        </w:rPr>
        <w:t>11</w:t>
      </w:r>
      <w:r w:rsidRPr="006E6877">
        <w:t>N</w:t>
      </w:r>
      <w:r w:rsidRPr="006E6877">
        <w:rPr>
          <w:lang w:val="en-GB"/>
        </w:rPr>
        <w:t xml:space="preserve"> and longitude 5</w:t>
      </w:r>
      <w:r w:rsidRPr="006E6877">
        <w:rPr>
          <w:vertAlign w:val="superscript"/>
          <w:lang w:val="en-GB"/>
        </w:rPr>
        <w:t>0</w:t>
      </w:r>
      <w:r w:rsidRPr="006E6877">
        <w:rPr>
          <w:lang w:val="en-GB"/>
        </w:rPr>
        <w:t>8</w:t>
      </w:r>
      <w:r w:rsidRPr="006E6877">
        <w:rPr>
          <w:vertAlign w:val="superscript"/>
          <w:lang w:val="en-GB"/>
        </w:rPr>
        <w:t>1</w:t>
      </w:r>
      <w:r w:rsidRPr="006E6877">
        <w:rPr>
          <w:lang w:val="en-GB"/>
        </w:rPr>
        <w:t>00</w:t>
      </w:r>
      <w:r w:rsidRPr="006E6877">
        <w:rPr>
          <w:vertAlign w:val="superscript"/>
          <w:lang w:val="en-GB"/>
        </w:rPr>
        <w:t>11</w:t>
      </w:r>
      <w:r w:rsidRPr="006E6877">
        <w:rPr>
          <w:lang w:val="en-GB"/>
        </w:rPr>
        <w:t>E to 5</w:t>
      </w:r>
      <w:r w:rsidRPr="006E6877">
        <w:rPr>
          <w:vertAlign w:val="superscript"/>
          <w:lang w:val="en-GB"/>
        </w:rPr>
        <w:t>0</w:t>
      </w:r>
      <w:r w:rsidRPr="006E6877">
        <w:rPr>
          <w:lang w:val="en-GB"/>
        </w:rPr>
        <w:t>15</w:t>
      </w:r>
      <w:r w:rsidRPr="006E6877">
        <w:rPr>
          <w:vertAlign w:val="superscript"/>
          <w:lang w:val="en-GB"/>
        </w:rPr>
        <w:t>1</w:t>
      </w:r>
      <w:r w:rsidRPr="006E6877">
        <w:rPr>
          <w:lang w:val="en-GB"/>
        </w:rPr>
        <w:t>00</w:t>
      </w:r>
      <w:r w:rsidRPr="006E6877">
        <w:rPr>
          <w:vertAlign w:val="superscript"/>
          <w:lang w:val="en-GB"/>
        </w:rPr>
        <w:t>11</w:t>
      </w:r>
      <w:r>
        <w:rPr>
          <w:lang w:val="en-GB"/>
        </w:rPr>
        <w:t>E (</w:t>
      </w:r>
      <w:r w:rsidRPr="00DA576D">
        <w:rPr>
          <w:b/>
          <w:lang w:val="en-GB"/>
        </w:rPr>
        <w:t>Figure 1</w:t>
      </w:r>
      <w:r>
        <w:rPr>
          <w:lang w:val="en-GB"/>
        </w:rPr>
        <w:t>)</w:t>
      </w:r>
      <w:r w:rsidR="00603E68">
        <w:rPr>
          <w:lang w:val="en-GB"/>
        </w:rPr>
        <w:t>,</w:t>
      </w:r>
      <w:r>
        <w:t xml:space="preserve"> which hosts significant bauxite and basement rock exposures (</w:t>
      </w:r>
      <w:proofErr w:type="spellStart"/>
      <w:r>
        <w:t>Talabi</w:t>
      </w:r>
      <w:proofErr w:type="spellEnd"/>
      <w:r>
        <w:t xml:space="preserve"> et al., 2018; NSRMEA, 2022). Government records confirm that Orin-Ekiti is situated within </w:t>
      </w:r>
      <w:proofErr w:type="spellStart"/>
      <w:r>
        <w:t>Ido</w:t>
      </w:r>
      <w:proofErr w:type="spellEnd"/>
      <w:r>
        <w:t>/</w:t>
      </w:r>
      <w:proofErr w:type="spellStart"/>
      <w:r>
        <w:t>Osi</w:t>
      </w:r>
      <w:proofErr w:type="spellEnd"/>
      <w:r>
        <w:t xml:space="preserve"> LGA and is underlain by crystalline basement rocks that support known bauxite mineralization (Ekitistate.gov.ng, 2022). Major outcrop lithologies in the surrounding region, particularly </w:t>
      </w:r>
      <w:proofErr w:type="spellStart"/>
      <w:r>
        <w:t>charnockite</w:t>
      </w:r>
      <w:proofErr w:type="spellEnd"/>
      <w:r>
        <w:t xml:space="preserve"> and migmatite, contribute to the rugged topography characterized by inselbergs and elev</w:t>
      </w:r>
      <w:r w:rsidR="0099169A">
        <w:t>ated ridges (</w:t>
      </w:r>
      <w:proofErr w:type="spellStart"/>
      <w:r w:rsidR="0099169A">
        <w:t>Okpoli</w:t>
      </w:r>
      <w:proofErr w:type="spellEnd"/>
      <w:r w:rsidR="0099169A">
        <w:t xml:space="preserve"> et al., 2025</w:t>
      </w:r>
      <w:r>
        <w:t>). The regional climate is tropical with a bimodal rainfall pattern typical of southwestern Nigeria, resulting in intense weathering and the development of lateritic profiles over bas</w:t>
      </w:r>
      <w:r w:rsidR="00B041B9">
        <w:t>ement rocks (</w:t>
      </w:r>
      <w:proofErr w:type="spellStart"/>
      <w:r w:rsidR="00B041B9">
        <w:t>OlaOlorun</w:t>
      </w:r>
      <w:proofErr w:type="spellEnd"/>
      <w:r w:rsidR="00B041B9">
        <w:t xml:space="preserve"> et al.,</w:t>
      </w:r>
      <w:r>
        <w:t xml:space="preserve"> 2023). Geoelectric and geophysical investigations in nearby basement terrains such as Ado-Ekiti reveal deeply weathered crystalline rocks, where aquifers occur within both the regolith and fractured bedrock zones (</w:t>
      </w:r>
      <w:proofErr w:type="spellStart"/>
      <w:r>
        <w:t>Oyinloye</w:t>
      </w:r>
      <w:proofErr w:type="spellEnd"/>
      <w:r>
        <w:t xml:space="preserve"> &amp; </w:t>
      </w:r>
      <w:proofErr w:type="spellStart"/>
      <w:r>
        <w:t>Ademilua</w:t>
      </w:r>
      <w:proofErr w:type="spellEnd"/>
      <w:r>
        <w:t xml:space="preserve">, 2005). Accessibility to Orin-Ekiti is enhanced by major and secondary road networks linking the town to </w:t>
      </w:r>
      <w:proofErr w:type="spellStart"/>
      <w:r>
        <w:t>Ilogbo</w:t>
      </w:r>
      <w:proofErr w:type="spellEnd"/>
      <w:r>
        <w:t xml:space="preserve">, Ora, </w:t>
      </w:r>
      <w:proofErr w:type="spellStart"/>
      <w:r>
        <w:t>Usi</w:t>
      </w:r>
      <w:proofErr w:type="spellEnd"/>
      <w:r>
        <w:t xml:space="preserve">, </w:t>
      </w:r>
      <w:proofErr w:type="spellStart"/>
      <w:r>
        <w:t>Ewu</w:t>
      </w:r>
      <w:proofErr w:type="spellEnd"/>
      <w:r>
        <w:t xml:space="preserve">, and </w:t>
      </w:r>
      <w:proofErr w:type="spellStart"/>
      <w:r>
        <w:t>Iddo</w:t>
      </w:r>
      <w:proofErr w:type="spellEnd"/>
      <w:r>
        <w:t xml:space="preserve">-Ekiti, facilitating effective geological mapping and sampling (NSRMEA, 2022). The combination of basement-controlled geomorphology, </w:t>
      </w:r>
      <w:proofErr w:type="spellStart"/>
      <w:r>
        <w:t>favourable</w:t>
      </w:r>
      <w:proofErr w:type="spellEnd"/>
      <w:r>
        <w:t xml:space="preserve"> climatic conditions, and good accessibility makes Orin-Ekiti an ideal locality for integrated geological and geophysical investigations into petrogenesis, structural evolution, and mineralization potential within the Nigerian Basement Complex.</w:t>
      </w:r>
    </w:p>
    <w:p w14:paraId="217810FC" w14:textId="18254322" w:rsidR="001A1660" w:rsidRDefault="001A1660" w:rsidP="003D6405">
      <w:pPr>
        <w:tabs>
          <w:tab w:val="left" w:pos="10710"/>
        </w:tabs>
        <w:spacing w:line="240" w:lineRule="auto"/>
        <w:jc w:val="both"/>
        <w:rPr>
          <w:rFonts w:ascii="Times New Roman" w:hAnsi="Times New Roman" w:cs="Times New Roman"/>
          <w:sz w:val="24"/>
          <w:szCs w:val="24"/>
        </w:rPr>
      </w:pPr>
    </w:p>
    <w:p w14:paraId="688D3F4C" w14:textId="2FDBD515" w:rsidR="001A1660" w:rsidRDefault="001A1660" w:rsidP="003D6405">
      <w:pPr>
        <w:tabs>
          <w:tab w:val="left" w:pos="10710"/>
        </w:tabs>
        <w:spacing w:line="240" w:lineRule="auto"/>
        <w:jc w:val="both"/>
        <w:rPr>
          <w:rFonts w:ascii="Times New Roman" w:hAnsi="Times New Roman" w:cs="Times New Roman"/>
          <w:sz w:val="24"/>
          <w:szCs w:val="24"/>
        </w:rPr>
      </w:pPr>
    </w:p>
    <w:p w14:paraId="1F8A40DA" w14:textId="7BCEA0CE" w:rsidR="001A1660" w:rsidRDefault="001A1660" w:rsidP="003D6405">
      <w:pPr>
        <w:tabs>
          <w:tab w:val="left" w:pos="10710"/>
        </w:tabs>
        <w:spacing w:line="240" w:lineRule="auto"/>
        <w:jc w:val="both"/>
        <w:rPr>
          <w:rFonts w:ascii="Times New Roman" w:hAnsi="Times New Roman" w:cs="Times New Roman"/>
          <w:sz w:val="24"/>
          <w:szCs w:val="24"/>
        </w:rPr>
      </w:pPr>
    </w:p>
    <w:p w14:paraId="40FBF11A" w14:textId="5A820A16" w:rsidR="001A1660" w:rsidRDefault="001A1660" w:rsidP="003D6405">
      <w:pPr>
        <w:tabs>
          <w:tab w:val="left" w:pos="10710"/>
        </w:tabs>
        <w:spacing w:line="240" w:lineRule="auto"/>
        <w:jc w:val="both"/>
        <w:rPr>
          <w:rFonts w:ascii="Times New Roman" w:hAnsi="Times New Roman" w:cs="Times New Roman"/>
          <w:sz w:val="24"/>
          <w:szCs w:val="24"/>
        </w:rPr>
      </w:pPr>
    </w:p>
    <w:p w14:paraId="49C9D41F" w14:textId="550D0BE9" w:rsidR="001A1660" w:rsidRDefault="001A1660" w:rsidP="003D6405">
      <w:pPr>
        <w:tabs>
          <w:tab w:val="left" w:pos="10710"/>
        </w:tabs>
        <w:spacing w:line="240" w:lineRule="auto"/>
        <w:jc w:val="both"/>
        <w:rPr>
          <w:rFonts w:ascii="Times New Roman" w:hAnsi="Times New Roman" w:cs="Times New Roman"/>
          <w:sz w:val="24"/>
          <w:szCs w:val="24"/>
        </w:rPr>
      </w:pPr>
    </w:p>
    <w:p w14:paraId="708EBA0A" w14:textId="162AA2B5" w:rsidR="001A1660" w:rsidRDefault="001A1660" w:rsidP="003D6405">
      <w:pPr>
        <w:tabs>
          <w:tab w:val="left" w:pos="10710"/>
        </w:tabs>
        <w:spacing w:line="240" w:lineRule="auto"/>
        <w:jc w:val="both"/>
        <w:rPr>
          <w:rFonts w:ascii="Times New Roman" w:hAnsi="Times New Roman" w:cs="Times New Roman"/>
          <w:sz w:val="24"/>
          <w:szCs w:val="24"/>
        </w:rPr>
      </w:pPr>
    </w:p>
    <w:p w14:paraId="7CB0A4D6" w14:textId="733DA155" w:rsidR="001A1660" w:rsidRDefault="001A1660" w:rsidP="003D6405">
      <w:pPr>
        <w:tabs>
          <w:tab w:val="left" w:pos="10710"/>
        </w:tabs>
        <w:spacing w:line="240" w:lineRule="auto"/>
        <w:jc w:val="both"/>
        <w:rPr>
          <w:rFonts w:ascii="Times New Roman" w:hAnsi="Times New Roman" w:cs="Times New Roman"/>
          <w:sz w:val="24"/>
          <w:szCs w:val="24"/>
        </w:rPr>
      </w:pPr>
    </w:p>
    <w:p w14:paraId="1E633849" w14:textId="6C58739D" w:rsidR="001A1660" w:rsidRDefault="001A1660" w:rsidP="003D6405">
      <w:pPr>
        <w:tabs>
          <w:tab w:val="left" w:pos="10710"/>
        </w:tabs>
        <w:spacing w:line="240" w:lineRule="auto"/>
        <w:jc w:val="both"/>
        <w:rPr>
          <w:rFonts w:ascii="Times New Roman" w:hAnsi="Times New Roman" w:cs="Times New Roman"/>
          <w:sz w:val="24"/>
          <w:szCs w:val="24"/>
        </w:rPr>
      </w:pPr>
    </w:p>
    <w:p w14:paraId="185838F6" w14:textId="24B45CCF" w:rsidR="001A1660" w:rsidRDefault="001A1660" w:rsidP="003D6405">
      <w:pPr>
        <w:tabs>
          <w:tab w:val="left" w:pos="10710"/>
        </w:tabs>
        <w:spacing w:line="240" w:lineRule="auto"/>
        <w:jc w:val="both"/>
        <w:rPr>
          <w:rFonts w:ascii="Times New Roman" w:hAnsi="Times New Roman" w:cs="Times New Roman"/>
          <w:sz w:val="24"/>
          <w:szCs w:val="24"/>
        </w:rPr>
      </w:pPr>
    </w:p>
    <w:p w14:paraId="36593323" w14:textId="1C91CCD3" w:rsidR="001A1660" w:rsidRDefault="001A1660" w:rsidP="003D6405">
      <w:pPr>
        <w:tabs>
          <w:tab w:val="left" w:pos="10710"/>
        </w:tabs>
        <w:spacing w:line="240" w:lineRule="auto"/>
        <w:jc w:val="both"/>
        <w:rPr>
          <w:rFonts w:ascii="Times New Roman" w:hAnsi="Times New Roman" w:cs="Times New Roman"/>
          <w:sz w:val="24"/>
          <w:szCs w:val="24"/>
        </w:rPr>
      </w:pPr>
    </w:p>
    <w:p w14:paraId="275876FF" w14:textId="12C4EADA" w:rsidR="001A1660" w:rsidRDefault="001A1660" w:rsidP="003D6405">
      <w:pPr>
        <w:tabs>
          <w:tab w:val="left" w:pos="10710"/>
        </w:tabs>
        <w:spacing w:line="240" w:lineRule="auto"/>
        <w:jc w:val="both"/>
        <w:rPr>
          <w:rFonts w:ascii="Times New Roman" w:hAnsi="Times New Roman" w:cs="Times New Roman"/>
          <w:sz w:val="24"/>
          <w:szCs w:val="24"/>
        </w:rPr>
      </w:pPr>
    </w:p>
    <w:p w14:paraId="27726DA3" w14:textId="77777777" w:rsidR="001A1660" w:rsidRDefault="001A1660" w:rsidP="003D6405">
      <w:pPr>
        <w:tabs>
          <w:tab w:val="left" w:pos="10710"/>
        </w:tabs>
        <w:spacing w:line="240" w:lineRule="auto"/>
        <w:jc w:val="both"/>
        <w:rPr>
          <w:rFonts w:ascii="Times New Roman" w:hAnsi="Times New Roman" w:cs="Times New Roman"/>
          <w:sz w:val="24"/>
          <w:szCs w:val="24"/>
        </w:rPr>
      </w:pPr>
    </w:p>
    <w:p w14:paraId="0A81D757" w14:textId="46BA6A41" w:rsidR="001A1660" w:rsidRDefault="001A1660" w:rsidP="003D6405">
      <w:pPr>
        <w:tabs>
          <w:tab w:val="left" w:pos="10710"/>
        </w:tabs>
        <w:spacing w:line="240" w:lineRule="auto"/>
        <w:jc w:val="both"/>
        <w:rPr>
          <w:rFonts w:ascii="Times New Roman" w:hAnsi="Times New Roman" w:cs="Times New Roman"/>
          <w:sz w:val="24"/>
          <w:szCs w:val="24"/>
        </w:rPr>
      </w:pPr>
    </w:p>
    <w:p w14:paraId="788B0E5C" w14:textId="55F291E3" w:rsidR="001A1660" w:rsidRDefault="001A1660" w:rsidP="003D6405">
      <w:pPr>
        <w:tabs>
          <w:tab w:val="left" w:pos="10710"/>
        </w:tabs>
        <w:spacing w:line="240" w:lineRule="auto"/>
        <w:jc w:val="both"/>
        <w:rPr>
          <w:rFonts w:ascii="Times New Roman" w:hAnsi="Times New Roman" w:cs="Times New Roman"/>
          <w:sz w:val="24"/>
          <w:szCs w:val="24"/>
        </w:rPr>
      </w:pPr>
      <w:r w:rsidRPr="007C50AB">
        <w:rPr>
          <w:rFonts w:ascii="Times New Roman" w:hAnsi="Times New Roman" w:cs="Times New Roman"/>
          <w:noProof/>
          <w:sz w:val="24"/>
          <w:szCs w:val="24"/>
        </w:rPr>
        <w:drawing>
          <wp:inline distT="0" distB="0" distL="0" distR="0" wp14:anchorId="71CAEE1E" wp14:editId="3FB3A55A">
            <wp:extent cx="5943600" cy="3962400"/>
            <wp:effectExtent l="0" t="0" r="0" b="0"/>
            <wp:docPr id="3" name="Picture 3" descr="C:\Users\user\Desktop\Math.Proj\mat topo 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h.Proj\mat topo ma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D75F868" w14:textId="14BBC29D" w:rsidR="0042371E" w:rsidRPr="00983427" w:rsidRDefault="001A1660" w:rsidP="003D6405">
      <w:pPr>
        <w:tabs>
          <w:tab w:val="left" w:pos="10710"/>
        </w:tabs>
        <w:spacing w:line="240" w:lineRule="auto"/>
        <w:jc w:val="both"/>
        <w:rPr>
          <w:rFonts w:ascii="Times New Roman" w:hAnsi="Times New Roman" w:cs="Times New Roman"/>
          <w:sz w:val="24"/>
          <w:szCs w:val="24"/>
        </w:rPr>
      </w:pPr>
      <w:r w:rsidRPr="007076A2">
        <w:rPr>
          <w:rFonts w:ascii="Times New Roman" w:hAnsi="Times New Roman" w:cs="Times New Roman"/>
          <w:b/>
          <w:sz w:val="24"/>
          <w:szCs w:val="24"/>
        </w:rPr>
        <w:t>Figure 1</w:t>
      </w:r>
      <w:r w:rsidRPr="007C50AB">
        <w:rPr>
          <w:rFonts w:ascii="Times New Roman" w:hAnsi="Times New Roman" w:cs="Times New Roman"/>
          <w:sz w:val="24"/>
          <w:szCs w:val="24"/>
        </w:rPr>
        <w:t xml:space="preserve">: </w:t>
      </w:r>
      <w:r w:rsidRPr="00B129AC">
        <w:rPr>
          <w:rFonts w:ascii="Times New Roman" w:hAnsi="Times New Roman" w:cs="Times New Roman"/>
          <w:sz w:val="24"/>
          <w:szCs w:val="24"/>
        </w:rPr>
        <w:t>Map of Nigeria, insert the Ekiti State and the Study Areas.</w:t>
      </w:r>
      <w:r w:rsidRPr="007C50AB">
        <w:rPr>
          <w:rFonts w:ascii="Times New Roman" w:hAnsi="Times New Roman" w:cs="Times New Roman"/>
          <w:b/>
          <w:sz w:val="24"/>
          <w:szCs w:val="24"/>
        </w:rPr>
        <w:t xml:space="preserve"> </w:t>
      </w:r>
      <w:r w:rsidR="00C91B0D">
        <w:rPr>
          <w:rFonts w:ascii="Times New Roman" w:hAnsi="Times New Roman" w:cs="Times New Roman"/>
          <w:sz w:val="24"/>
          <w:szCs w:val="24"/>
        </w:rPr>
        <w:t>Federal Surveys, Nigeria, 2006</w:t>
      </w:r>
      <w:r w:rsidR="00843DED">
        <w:rPr>
          <w:rFonts w:ascii="Times New Roman" w:hAnsi="Times New Roman" w:cs="Times New Roman"/>
          <w:sz w:val="24"/>
          <w:szCs w:val="24"/>
        </w:rPr>
        <w:t>.</w:t>
      </w:r>
    </w:p>
    <w:p w14:paraId="702C2A61" w14:textId="77777777" w:rsidR="0042371E" w:rsidRDefault="0042371E" w:rsidP="003D6405">
      <w:pPr>
        <w:tabs>
          <w:tab w:val="left" w:pos="10710"/>
        </w:tabs>
        <w:spacing w:line="240" w:lineRule="auto"/>
        <w:jc w:val="both"/>
        <w:rPr>
          <w:rFonts w:ascii="Times New Roman" w:hAnsi="Times New Roman" w:cs="Times New Roman"/>
          <w:b/>
          <w:sz w:val="24"/>
          <w:szCs w:val="24"/>
        </w:rPr>
      </w:pPr>
    </w:p>
    <w:p w14:paraId="3BC5A0B2" w14:textId="77777777" w:rsidR="0042371E" w:rsidRPr="007076A2" w:rsidRDefault="0042371E" w:rsidP="0042371E">
      <w:pPr>
        <w:pStyle w:val="Heading1"/>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2.0 </w:t>
      </w:r>
      <w:r w:rsidRPr="007076A2">
        <w:rPr>
          <w:rFonts w:ascii="Times New Roman" w:hAnsi="Times New Roman" w:cs="Times New Roman"/>
          <w:b/>
          <w:color w:val="000000" w:themeColor="text1"/>
          <w:sz w:val="24"/>
          <w:szCs w:val="24"/>
        </w:rPr>
        <w:t>GEOLOGICAL SETTING</w:t>
      </w:r>
    </w:p>
    <w:p w14:paraId="37F5CF9A" w14:textId="0326A3CE" w:rsidR="004951FF" w:rsidRPr="004951FF" w:rsidRDefault="004951FF" w:rsidP="004951FF">
      <w:pPr>
        <w:spacing w:before="100" w:beforeAutospacing="1" w:after="100" w:afterAutospacing="1" w:line="240" w:lineRule="auto"/>
        <w:jc w:val="both"/>
        <w:rPr>
          <w:rFonts w:ascii="Times New Roman" w:eastAsia="Times New Roman" w:hAnsi="Times New Roman" w:cs="Times New Roman"/>
          <w:sz w:val="24"/>
          <w:szCs w:val="24"/>
        </w:rPr>
      </w:pPr>
      <w:r w:rsidRPr="004951FF">
        <w:rPr>
          <w:rFonts w:ascii="Times New Roman" w:hAnsi="Times New Roman" w:cs="Times New Roman"/>
          <w:sz w:val="24"/>
          <w:szCs w:val="24"/>
        </w:rPr>
        <w:t>Orin-Ekiti lies within the southwestern Nigerian Basement Complex, part of the Pan-African mobile belt situated between the West African and Congo cratons (</w:t>
      </w:r>
      <w:proofErr w:type="spellStart"/>
      <w:r w:rsidRPr="004951FF">
        <w:rPr>
          <w:rFonts w:ascii="Times New Roman" w:hAnsi="Times New Roman" w:cs="Times New Roman"/>
          <w:sz w:val="24"/>
          <w:szCs w:val="24"/>
        </w:rPr>
        <w:t>Talabi</w:t>
      </w:r>
      <w:proofErr w:type="spellEnd"/>
      <w:r w:rsidRPr="004951FF">
        <w:rPr>
          <w:rFonts w:ascii="Times New Roman" w:hAnsi="Times New Roman" w:cs="Times New Roman"/>
          <w:sz w:val="24"/>
          <w:szCs w:val="24"/>
        </w:rPr>
        <w:t xml:space="preserve"> et al., 2018; NSRMEA, 2022). The Nigerian Basement Complex consists of ancient Precambrian crystalline rocks that have experienced multiple phases of deformation, metamorphism, and magmatism associated with major orogenic events such as the Liberian (≈2700 Ma), Eburnean (≈2000 Ma), </w:t>
      </w:r>
      <w:proofErr w:type="spellStart"/>
      <w:r w:rsidRPr="004951FF">
        <w:rPr>
          <w:rFonts w:ascii="Times New Roman" w:hAnsi="Times New Roman" w:cs="Times New Roman"/>
          <w:sz w:val="24"/>
          <w:szCs w:val="24"/>
        </w:rPr>
        <w:t>Kibaran</w:t>
      </w:r>
      <w:proofErr w:type="spellEnd"/>
      <w:r w:rsidRPr="004951FF">
        <w:rPr>
          <w:rFonts w:ascii="Times New Roman" w:hAnsi="Times New Roman" w:cs="Times New Roman"/>
          <w:sz w:val="24"/>
          <w:szCs w:val="24"/>
        </w:rPr>
        <w:t xml:space="preserve"> (≈1100 </w:t>
      </w:r>
      <w:r w:rsidRPr="004951FF">
        <w:rPr>
          <w:rFonts w:ascii="Times New Roman" w:hAnsi="Times New Roman" w:cs="Times New Roman"/>
          <w:sz w:val="24"/>
          <w:szCs w:val="24"/>
        </w:rPr>
        <w:lastRenderedPageBreak/>
        <w:t>Ma), and Pan-Africa</w:t>
      </w:r>
      <w:r w:rsidR="00741425">
        <w:rPr>
          <w:rFonts w:ascii="Times New Roman" w:hAnsi="Times New Roman" w:cs="Times New Roman"/>
          <w:sz w:val="24"/>
          <w:szCs w:val="24"/>
        </w:rPr>
        <w:t>n (≈600 Ma) cycles (</w:t>
      </w:r>
      <w:proofErr w:type="spellStart"/>
      <w:r w:rsidR="00741425">
        <w:rPr>
          <w:rFonts w:ascii="Times New Roman" w:hAnsi="Times New Roman" w:cs="Times New Roman"/>
          <w:sz w:val="24"/>
          <w:szCs w:val="24"/>
        </w:rPr>
        <w:t>Igonor</w:t>
      </w:r>
      <w:proofErr w:type="spellEnd"/>
      <w:r w:rsidR="00741425">
        <w:rPr>
          <w:rFonts w:ascii="Times New Roman" w:hAnsi="Times New Roman" w:cs="Times New Roman"/>
          <w:sz w:val="24"/>
          <w:szCs w:val="24"/>
        </w:rPr>
        <w:t xml:space="preserve"> &amp; Abimbola, 2016;</w:t>
      </w:r>
      <w:r w:rsidR="001D5533">
        <w:rPr>
          <w:rFonts w:ascii="Times New Roman" w:hAnsi="Times New Roman" w:cs="Times New Roman"/>
          <w:sz w:val="24"/>
          <w:szCs w:val="24"/>
        </w:rPr>
        <w:t xml:space="preserve"> Dada, 2008</w:t>
      </w:r>
      <w:r w:rsidRPr="004951FF">
        <w:rPr>
          <w:rFonts w:ascii="Times New Roman" w:hAnsi="Times New Roman" w:cs="Times New Roman"/>
          <w:sz w:val="24"/>
          <w:szCs w:val="24"/>
        </w:rPr>
        <w:t xml:space="preserve">). The region is dominated by polycyclic metamorphic terrains including migmatite–gneiss complexes, </w:t>
      </w:r>
      <w:proofErr w:type="spellStart"/>
      <w:r w:rsidRPr="004951FF">
        <w:rPr>
          <w:rFonts w:ascii="Times New Roman" w:hAnsi="Times New Roman" w:cs="Times New Roman"/>
          <w:sz w:val="24"/>
          <w:szCs w:val="24"/>
        </w:rPr>
        <w:t>charnockitic</w:t>
      </w:r>
      <w:proofErr w:type="spellEnd"/>
      <w:r w:rsidRPr="004951FF">
        <w:rPr>
          <w:rFonts w:ascii="Times New Roman" w:hAnsi="Times New Roman" w:cs="Times New Roman"/>
          <w:sz w:val="24"/>
          <w:szCs w:val="24"/>
        </w:rPr>
        <w:t xml:space="preserve"> intrusions, and granitoids, with extensive folding, faulting, and shearing influencing the structural ar</w:t>
      </w:r>
      <w:r w:rsidR="00603E68">
        <w:rPr>
          <w:rFonts w:ascii="Times New Roman" w:hAnsi="Times New Roman" w:cs="Times New Roman"/>
          <w:sz w:val="24"/>
          <w:szCs w:val="24"/>
        </w:rPr>
        <w:t>chitecture (</w:t>
      </w:r>
      <w:proofErr w:type="spellStart"/>
      <w:r w:rsidR="00603E68">
        <w:rPr>
          <w:rFonts w:ascii="Times New Roman" w:hAnsi="Times New Roman" w:cs="Times New Roman"/>
          <w:sz w:val="24"/>
          <w:szCs w:val="24"/>
        </w:rPr>
        <w:t>Okpoli</w:t>
      </w:r>
      <w:proofErr w:type="spellEnd"/>
      <w:r w:rsidR="00603E68">
        <w:rPr>
          <w:rFonts w:ascii="Times New Roman" w:hAnsi="Times New Roman" w:cs="Times New Roman"/>
          <w:sz w:val="24"/>
          <w:szCs w:val="24"/>
        </w:rPr>
        <w:t xml:space="preserve"> et al., 2025;</w:t>
      </w:r>
      <w:r w:rsidR="009429CA">
        <w:rPr>
          <w:rFonts w:ascii="Times New Roman" w:hAnsi="Times New Roman" w:cs="Times New Roman"/>
          <w:sz w:val="24"/>
          <w:szCs w:val="24"/>
        </w:rPr>
        <w:t xml:space="preserve">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Pr="009429CA">
        <w:rPr>
          <w:rFonts w:ascii="Times New Roman" w:hAnsi="Times New Roman" w:cs="Times New Roman"/>
          <w:sz w:val="24"/>
          <w:szCs w:val="24"/>
        </w:rPr>
        <w:t xml:space="preserve">). In Orin-Ekiti, the basement is mainly composed of migmatite and </w:t>
      </w:r>
      <w:proofErr w:type="spellStart"/>
      <w:r w:rsidRPr="009429CA">
        <w:rPr>
          <w:rFonts w:ascii="Times New Roman" w:hAnsi="Times New Roman" w:cs="Times New Roman"/>
          <w:sz w:val="24"/>
          <w:szCs w:val="24"/>
        </w:rPr>
        <w:t>charnockite</w:t>
      </w:r>
      <w:proofErr w:type="spellEnd"/>
      <w:r w:rsidRPr="009429CA">
        <w:rPr>
          <w:rFonts w:ascii="Times New Roman" w:hAnsi="Times New Roman" w:cs="Times New Roman"/>
          <w:sz w:val="24"/>
          <w:szCs w:val="24"/>
        </w:rPr>
        <w:t>. Migmatite, the oldest</w:t>
      </w:r>
      <w:r w:rsidRPr="004951FF">
        <w:rPr>
          <w:rFonts w:ascii="Times New Roman" w:hAnsi="Times New Roman" w:cs="Times New Roman"/>
          <w:sz w:val="24"/>
          <w:szCs w:val="24"/>
        </w:rPr>
        <w:t xml:space="preserve"> unit, forms the foundation of the terrain and displays alternating light and dark mineral bands of quartz, feldspar, and biotite, with gneissic foliation trending NE–SW. These rocks exhibit </w:t>
      </w:r>
      <w:proofErr w:type="spellStart"/>
      <w:r w:rsidRPr="004951FF">
        <w:rPr>
          <w:rFonts w:ascii="Times New Roman" w:hAnsi="Times New Roman" w:cs="Times New Roman"/>
          <w:sz w:val="24"/>
          <w:szCs w:val="24"/>
        </w:rPr>
        <w:t>stromatic</w:t>
      </w:r>
      <w:proofErr w:type="spellEnd"/>
      <w:r w:rsidRPr="004951FF">
        <w:rPr>
          <w:rFonts w:ascii="Times New Roman" w:hAnsi="Times New Roman" w:cs="Times New Roman"/>
          <w:sz w:val="24"/>
          <w:szCs w:val="24"/>
        </w:rPr>
        <w:t xml:space="preserve"> and nebulitic textures, reflecting high-grade metamorphism under amphibolite to granulite facies conditions during Pan-African</w:t>
      </w:r>
      <w:r w:rsidR="003B1D48">
        <w:rPr>
          <w:rFonts w:ascii="Times New Roman" w:hAnsi="Times New Roman" w:cs="Times New Roman"/>
          <w:sz w:val="24"/>
          <w:szCs w:val="24"/>
        </w:rPr>
        <w:t xml:space="preserve"> tectonism (</w:t>
      </w:r>
      <w:proofErr w:type="spellStart"/>
      <w:r w:rsidR="003B1D48">
        <w:rPr>
          <w:rFonts w:ascii="Times New Roman" w:hAnsi="Times New Roman" w:cs="Times New Roman"/>
          <w:sz w:val="24"/>
          <w:szCs w:val="24"/>
        </w:rPr>
        <w:t>OlaOlorun</w:t>
      </w:r>
      <w:proofErr w:type="spellEnd"/>
      <w:r w:rsidR="003B1D48">
        <w:rPr>
          <w:rFonts w:ascii="Times New Roman" w:hAnsi="Times New Roman" w:cs="Times New Roman"/>
          <w:sz w:val="24"/>
          <w:szCs w:val="24"/>
        </w:rPr>
        <w:t xml:space="preserve"> </w:t>
      </w:r>
      <w:r w:rsidR="00DB0104">
        <w:rPr>
          <w:rFonts w:ascii="Times New Roman" w:hAnsi="Times New Roman" w:cs="Times New Roman"/>
          <w:sz w:val="24"/>
          <w:szCs w:val="24"/>
        </w:rPr>
        <w:t>et al.,</w:t>
      </w:r>
      <w:r w:rsidRPr="004951FF">
        <w:rPr>
          <w:rFonts w:ascii="Times New Roman" w:hAnsi="Times New Roman" w:cs="Times New Roman"/>
          <w:sz w:val="24"/>
          <w:szCs w:val="24"/>
        </w:rPr>
        <w:t xml:space="preserve"> 2023). Younger </w:t>
      </w:r>
      <w:proofErr w:type="spellStart"/>
      <w:r w:rsidRPr="004951FF">
        <w:rPr>
          <w:rFonts w:ascii="Times New Roman" w:hAnsi="Times New Roman" w:cs="Times New Roman"/>
          <w:sz w:val="24"/>
          <w:szCs w:val="24"/>
        </w:rPr>
        <w:t>charnockitic</w:t>
      </w:r>
      <w:proofErr w:type="spellEnd"/>
      <w:r w:rsidRPr="004951FF">
        <w:rPr>
          <w:rFonts w:ascii="Times New Roman" w:hAnsi="Times New Roman" w:cs="Times New Roman"/>
          <w:sz w:val="24"/>
          <w:szCs w:val="24"/>
        </w:rPr>
        <w:t xml:space="preserve"> intrusions occur as massive, coarse-grained bodies composed primarily of orthopyroxene, plagioclase, quartz, microcline, and biotite. Their dark grey to greenish-grey coloration and strong resistance to weathering make them prominent as inselbergs and rugged hills in the study area. Geochemical data </w:t>
      </w:r>
      <w:r w:rsidR="00052E99">
        <w:rPr>
          <w:rFonts w:ascii="Times New Roman" w:hAnsi="Times New Roman" w:cs="Times New Roman"/>
          <w:sz w:val="24"/>
          <w:szCs w:val="24"/>
        </w:rPr>
        <w:t>classify</w:t>
      </w:r>
      <w:r w:rsidRPr="004951FF">
        <w:rPr>
          <w:rFonts w:ascii="Times New Roman" w:hAnsi="Times New Roman" w:cs="Times New Roman"/>
          <w:sz w:val="24"/>
          <w:szCs w:val="24"/>
        </w:rPr>
        <w:t xml:space="preserve"> the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as calc-alkaline to weakly peraluminous, suggesting derivation from crustal melting and subsequent fractional crystallization under high-temperature con</w:t>
      </w:r>
      <w:r w:rsidR="00D84FF8">
        <w:rPr>
          <w:rFonts w:ascii="Times New Roman" w:hAnsi="Times New Roman" w:cs="Times New Roman"/>
          <w:sz w:val="24"/>
          <w:szCs w:val="24"/>
        </w:rPr>
        <w:t>ditions (</w:t>
      </w:r>
      <w:proofErr w:type="spellStart"/>
      <w:r w:rsidR="00D84FF8">
        <w:rPr>
          <w:rFonts w:ascii="Times New Roman" w:hAnsi="Times New Roman" w:cs="Times New Roman"/>
          <w:sz w:val="24"/>
          <w:szCs w:val="24"/>
        </w:rPr>
        <w:t>Ogunyele</w:t>
      </w:r>
      <w:proofErr w:type="spellEnd"/>
      <w:r w:rsidR="00D84FF8">
        <w:rPr>
          <w:rFonts w:ascii="Times New Roman" w:hAnsi="Times New Roman" w:cs="Times New Roman"/>
          <w:sz w:val="24"/>
          <w:szCs w:val="24"/>
        </w:rPr>
        <w:t xml:space="preserve"> et al., 2020</w:t>
      </w:r>
      <w:r w:rsidRPr="004951FF">
        <w:rPr>
          <w:rFonts w:ascii="Times New Roman" w:hAnsi="Times New Roman" w:cs="Times New Roman"/>
          <w:sz w:val="24"/>
          <w:szCs w:val="24"/>
        </w:rPr>
        <w:t>). Structurally, Orin-Ekiti is influenced by NE–SW and NW–SE faults, joints, and foliation planes</w:t>
      </w:r>
      <w:r w:rsidR="00BA7CC6">
        <w:rPr>
          <w:rFonts w:ascii="Times New Roman" w:hAnsi="Times New Roman" w:cs="Times New Roman"/>
          <w:sz w:val="24"/>
          <w:szCs w:val="24"/>
        </w:rPr>
        <w:t>, consistent with Pan-African deformation trends (</w:t>
      </w:r>
      <w:proofErr w:type="spellStart"/>
      <w:r w:rsidR="00BA7CC6">
        <w:rPr>
          <w:rFonts w:ascii="Times New Roman" w:hAnsi="Times New Roman" w:cs="Times New Roman"/>
          <w:sz w:val="24"/>
          <w:szCs w:val="24"/>
        </w:rPr>
        <w:t>Akingboye</w:t>
      </w:r>
      <w:proofErr w:type="spellEnd"/>
      <w:r w:rsidR="00BA7CC6">
        <w:rPr>
          <w:rFonts w:ascii="Times New Roman" w:hAnsi="Times New Roman" w:cs="Times New Roman"/>
          <w:sz w:val="24"/>
          <w:szCs w:val="24"/>
        </w:rPr>
        <w:t xml:space="preserve"> &amp; </w:t>
      </w:r>
      <w:proofErr w:type="spellStart"/>
      <w:r w:rsidR="00BA7CC6">
        <w:rPr>
          <w:rFonts w:ascii="Times New Roman" w:hAnsi="Times New Roman" w:cs="Times New Roman"/>
          <w:sz w:val="24"/>
          <w:szCs w:val="24"/>
        </w:rPr>
        <w:t>Ogunyele</w:t>
      </w:r>
      <w:proofErr w:type="spellEnd"/>
      <w:r w:rsidR="00BA7CC6">
        <w:rPr>
          <w:rFonts w:ascii="Times New Roman" w:hAnsi="Times New Roman" w:cs="Times New Roman"/>
          <w:sz w:val="24"/>
          <w:szCs w:val="24"/>
        </w:rPr>
        <w:t xml:space="preserve"> 2017</w:t>
      </w:r>
      <w:r w:rsidRPr="004951FF">
        <w:rPr>
          <w:rFonts w:ascii="Times New Roman" w:hAnsi="Times New Roman" w:cs="Times New Roman"/>
          <w:sz w:val="24"/>
          <w:szCs w:val="24"/>
        </w:rPr>
        <w:t xml:space="preserve">). Migmatites display strong gneissic banding parallel to tectonic foliation, whereas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show weak to moderate foliation. These structural elements play critical roles in controlling drainage, local topography, and potential mineralization pathways along shear zones where hydrothermal fluids may concentrate ore-formi</w:t>
      </w:r>
      <w:r w:rsidR="00060351">
        <w:rPr>
          <w:rFonts w:ascii="Times New Roman" w:hAnsi="Times New Roman" w:cs="Times New Roman"/>
          <w:sz w:val="24"/>
          <w:szCs w:val="24"/>
        </w:rPr>
        <w:t>ng elements (</w:t>
      </w:r>
      <w:proofErr w:type="spellStart"/>
      <w:r w:rsidR="00060351">
        <w:rPr>
          <w:rFonts w:ascii="Times New Roman" w:hAnsi="Times New Roman" w:cs="Times New Roman"/>
          <w:sz w:val="24"/>
          <w:szCs w:val="24"/>
        </w:rPr>
        <w:t>OlaOlorun</w:t>
      </w:r>
      <w:proofErr w:type="spellEnd"/>
      <w:r w:rsidR="002C101B">
        <w:rPr>
          <w:rFonts w:ascii="Times New Roman" w:hAnsi="Times New Roman" w:cs="Times New Roman"/>
          <w:sz w:val="24"/>
          <w:szCs w:val="24"/>
        </w:rPr>
        <w:t xml:space="preserve"> et al.,</w:t>
      </w:r>
      <w:r w:rsidR="00603E68">
        <w:rPr>
          <w:rFonts w:ascii="Times New Roman" w:hAnsi="Times New Roman" w:cs="Times New Roman"/>
          <w:sz w:val="24"/>
          <w:szCs w:val="24"/>
        </w:rPr>
        <w:t xml:space="preserve"> 2023; </w:t>
      </w:r>
      <w:proofErr w:type="spellStart"/>
      <w:r w:rsidR="00603E68">
        <w:rPr>
          <w:rFonts w:ascii="Times New Roman" w:hAnsi="Times New Roman" w:cs="Times New Roman"/>
          <w:sz w:val="24"/>
          <w:szCs w:val="24"/>
        </w:rPr>
        <w:t>Okpoli</w:t>
      </w:r>
      <w:proofErr w:type="spellEnd"/>
      <w:r w:rsidR="00603E68">
        <w:rPr>
          <w:rFonts w:ascii="Times New Roman" w:hAnsi="Times New Roman" w:cs="Times New Roman"/>
          <w:sz w:val="24"/>
          <w:szCs w:val="24"/>
        </w:rPr>
        <w:t xml:space="preserve"> et al., 2025</w:t>
      </w:r>
      <w:r w:rsidR="0076262F">
        <w:rPr>
          <w:rFonts w:ascii="Times New Roman" w:hAnsi="Times New Roman" w:cs="Times New Roman"/>
          <w:sz w:val="24"/>
          <w:szCs w:val="24"/>
        </w:rPr>
        <w:t>). T</w:t>
      </w:r>
      <w:r w:rsidRPr="004951FF">
        <w:rPr>
          <w:rFonts w:ascii="Times New Roman" w:hAnsi="Times New Roman" w:cs="Times New Roman"/>
          <w:sz w:val="24"/>
          <w:szCs w:val="24"/>
        </w:rPr>
        <w:t xml:space="preserve">he geological framework of Orin-Ekiti reflects the interplay of high-grade metamorphism and late-stage magmatism during the Pan-African orogeny, with migmatites representing the metamorphic basement and </w:t>
      </w:r>
      <w:proofErr w:type="spellStart"/>
      <w:r w:rsidRPr="004951FF">
        <w:rPr>
          <w:rFonts w:ascii="Times New Roman" w:hAnsi="Times New Roman" w:cs="Times New Roman"/>
          <w:sz w:val="24"/>
          <w:szCs w:val="24"/>
        </w:rPr>
        <w:t>charnockites</w:t>
      </w:r>
      <w:proofErr w:type="spellEnd"/>
      <w:r w:rsidRPr="004951FF">
        <w:rPr>
          <w:rFonts w:ascii="Times New Roman" w:hAnsi="Times New Roman" w:cs="Times New Roman"/>
          <w:sz w:val="24"/>
          <w:szCs w:val="24"/>
        </w:rPr>
        <w:t xml:space="preserve"> marking the magmatic culmination of crustal evolution in the southwestern Nigerian Basement Complex.</w:t>
      </w:r>
    </w:p>
    <w:p w14:paraId="745661CD" w14:textId="77777777" w:rsidR="004951FF" w:rsidRPr="004951FF" w:rsidRDefault="004951FF" w:rsidP="004951FF">
      <w:pPr>
        <w:pStyle w:val="ListParagraph"/>
        <w:spacing w:before="100" w:beforeAutospacing="1" w:after="100" w:afterAutospacing="1" w:line="240" w:lineRule="auto"/>
        <w:ind w:left="360"/>
        <w:jc w:val="both"/>
        <w:rPr>
          <w:rFonts w:ascii="Times New Roman" w:eastAsia="Times New Roman" w:hAnsi="Times New Roman" w:cs="Times New Roman"/>
        </w:rPr>
      </w:pPr>
    </w:p>
    <w:p w14:paraId="6683BE9B" w14:textId="1E329CA3" w:rsidR="0042371E" w:rsidRPr="004951FF" w:rsidRDefault="0042371E" w:rsidP="004951FF">
      <w:pPr>
        <w:pStyle w:val="ListParagraph"/>
        <w:numPr>
          <w:ilvl w:val="0"/>
          <w:numId w:val="27"/>
        </w:numPr>
        <w:spacing w:before="100" w:beforeAutospacing="1" w:after="100" w:afterAutospacing="1" w:line="240" w:lineRule="auto"/>
        <w:jc w:val="both"/>
        <w:rPr>
          <w:rFonts w:ascii="Times New Roman" w:eastAsia="Times New Roman" w:hAnsi="Times New Roman" w:cs="Times New Roman"/>
        </w:rPr>
      </w:pPr>
      <w:r w:rsidRPr="004951FF">
        <w:rPr>
          <w:rFonts w:ascii="Times New Roman" w:eastAsia="Times New Roman" w:hAnsi="Times New Roman" w:cs="Times New Roman"/>
        </w:rPr>
        <w:t>MATERIALS AND METHODS</w:t>
      </w:r>
    </w:p>
    <w:p w14:paraId="673438CB" w14:textId="77777777" w:rsidR="0042371E" w:rsidRPr="006B79EF" w:rsidRDefault="0042371E" w:rsidP="0042371E">
      <w:pPr>
        <w:spacing w:before="100" w:beforeAutospacing="1" w:after="100" w:afterAutospacing="1" w:line="240" w:lineRule="auto"/>
        <w:jc w:val="both"/>
        <w:rPr>
          <w:rFonts w:ascii="Times New Roman" w:eastAsia="Times New Roman" w:hAnsi="Times New Roman" w:cs="Times New Roman"/>
          <w:b/>
          <w:sz w:val="24"/>
          <w:szCs w:val="24"/>
        </w:rPr>
      </w:pPr>
      <w:r w:rsidRPr="006B79EF">
        <w:rPr>
          <w:rFonts w:ascii="Times New Roman" w:eastAsia="Times New Roman" w:hAnsi="Times New Roman" w:cs="Times New Roman"/>
          <w:b/>
          <w:sz w:val="24"/>
          <w:szCs w:val="24"/>
        </w:rPr>
        <w:t>3.1 Materials and Methods for Radiometric Dataset</w:t>
      </w:r>
    </w:p>
    <w:p w14:paraId="5973A095" w14:textId="7F14778F" w:rsidR="0042371E" w:rsidRPr="0042371E" w:rsidRDefault="00434EC8" w:rsidP="00434EC8">
      <w:pPr>
        <w:spacing w:before="100" w:beforeAutospacing="1" w:after="100" w:afterAutospacing="1" w:line="240" w:lineRule="auto"/>
        <w:jc w:val="both"/>
        <w:rPr>
          <w:rFonts w:ascii="Times New Roman" w:eastAsia="Times New Roman" w:hAnsi="Times New Roman" w:cs="Times New Roman"/>
          <w:sz w:val="24"/>
          <w:szCs w:val="24"/>
        </w:rPr>
      </w:pPr>
      <w:r w:rsidRPr="00434EC8">
        <w:rPr>
          <w:rFonts w:ascii="Times New Roman" w:eastAsia="Times New Roman" w:hAnsi="Times New Roman" w:cs="Times New Roman"/>
          <w:sz w:val="24"/>
          <w:szCs w:val="24"/>
        </w:rPr>
        <w:t xml:space="preserve">The radiometric dataset for this study was obtained from high-resolution airborne geophysical surveys over Orin-Ekiti, extracted from the Ado-Ekiti Map Sheet 244 (1:25,000). Acquired in 2024 by the Nigerian Geological Survey Agency (NGSA), the survey aimed to map lithological variations and detect hydrothermal alteration zones within the Nigerian Basement Complex. Data were collected at 50 m flight altitude, with 150 m flight line spacing in a NW–SE direction and NE–SW tie lines for positional control. The survey measured natural gamma-ray emissions of potassium (K), uranium (U), and thorium (Th), whose variations indicate lithology, weathering intensity, and hydrothermal alteration associated with mineralization (Nigerian Geological Survey Agency, 2023; Olufemi et al., 2025). The datasets, supplied in </w:t>
      </w:r>
      <w:proofErr w:type="spellStart"/>
      <w:r w:rsidRPr="00434EC8">
        <w:rPr>
          <w:rFonts w:ascii="Times New Roman" w:eastAsia="Times New Roman" w:hAnsi="Times New Roman" w:cs="Times New Roman"/>
          <w:sz w:val="24"/>
          <w:szCs w:val="24"/>
        </w:rPr>
        <w:t>Geosoft</w:t>
      </w:r>
      <w:proofErr w:type="spellEnd"/>
      <w:r w:rsidRPr="00434EC8">
        <w:rPr>
          <w:rFonts w:ascii="Times New Roman" w:eastAsia="Times New Roman" w:hAnsi="Times New Roman" w:cs="Times New Roman"/>
          <w:sz w:val="24"/>
          <w:szCs w:val="24"/>
        </w:rPr>
        <w:t xml:space="preserve">-compatible grids, were processed in Oasis </w:t>
      </w:r>
      <w:proofErr w:type="spellStart"/>
      <w:r w:rsidRPr="00434EC8">
        <w:rPr>
          <w:rFonts w:ascii="Times New Roman" w:eastAsia="Times New Roman" w:hAnsi="Times New Roman" w:cs="Times New Roman"/>
          <w:sz w:val="24"/>
          <w:szCs w:val="24"/>
        </w:rPr>
        <w:t>Montaj</w:t>
      </w:r>
      <w:proofErr w:type="spellEnd"/>
      <w:r w:rsidRPr="00434EC8">
        <w:rPr>
          <w:rFonts w:ascii="Times New Roman" w:eastAsia="Times New Roman" w:hAnsi="Times New Roman" w:cs="Times New Roman"/>
          <w:sz w:val="24"/>
          <w:szCs w:val="24"/>
        </w:rPr>
        <w:t xml:space="preserve">™ 8.4 HJ, including clipping, gridding, and corrections for diurnal and cosmic background effects. Radiometric signatures were enhanced using color composite imaging to produce K, Th, U, and potassium deviation (KD) anomaly maps, subsequently reclassified in ArcGIS 10.8. A ternary K–Th–U map assigned red, green, and blue channels to visualize lithological contrasts </w:t>
      </w:r>
      <w:r w:rsidR="00052E99">
        <w:rPr>
          <w:rFonts w:ascii="Times New Roman" w:eastAsia="Times New Roman" w:hAnsi="Times New Roman" w:cs="Times New Roman"/>
          <w:sz w:val="24"/>
          <w:szCs w:val="24"/>
        </w:rPr>
        <w:t>and alteration patterns (</w:t>
      </w:r>
      <w:proofErr w:type="spellStart"/>
      <w:r w:rsidR="00052E99" w:rsidRPr="00E11089">
        <w:rPr>
          <w:rFonts w:ascii="Times New Roman" w:hAnsi="Times New Roman" w:cs="Times New Roman"/>
          <w:sz w:val="24"/>
          <w:szCs w:val="24"/>
        </w:rPr>
        <w:t>Onyejiuwaka</w:t>
      </w:r>
      <w:proofErr w:type="spellEnd"/>
      <w:r w:rsidR="00052E99" w:rsidRPr="00E11089">
        <w:rPr>
          <w:rFonts w:ascii="Times New Roman" w:hAnsi="Times New Roman" w:cs="Times New Roman"/>
          <w:sz w:val="24"/>
          <w:szCs w:val="24"/>
        </w:rPr>
        <w:t xml:space="preserve"> &amp; </w:t>
      </w:r>
      <w:proofErr w:type="spellStart"/>
      <w:r w:rsidR="00052E99" w:rsidRPr="00E11089">
        <w:rPr>
          <w:rFonts w:ascii="Times New Roman" w:hAnsi="Times New Roman" w:cs="Times New Roman"/>
          <w:sz w:val="24"/>
          <w:szCs w:val="24"/>
        </w:rPr>
        <w:t>Nwokeabia</w:t>
      </w:r>
      <w:proofErr w:type="spellEnd"/>
      <w:r w:rsidR="00052E99" w:rsidRPr="00E11089">
        <w:rPr>
          <w:rFonts w:ascii="Times New Roman" w:hAnsi="Times New Roman" w:cs="Times New Roman"/>
          <w:sz w:val="24"/>
          <w:szCs w:val="24"/>
        </w:rPr>
        <w:t>, 2020</w:t>
      </w:r>
      <w:r w:rsidRPr="00434EC8">
        <w:rPr>
          <w:rFonts w:ascii="Times New Roman" w:eastAsia="Times New Roman" w:hAnsi="Times New Roman" w:cs="Times New Roman"/>
          <w:sz w:val="24"/>
          <w:szCs w:val="24"/>
        </w:rPr>
        <w:t xml:space="preserve">). Maps were compared with geological maps to correlate radioelement anomalies with lithological contacts, particularly within </w:t>
      </w:r>
      <w:proofErr w:type="spellStart"/>
      <w:r w:rsidRPr="00434EC8">
        <w:rPr>
          <w:rFonts w:ascii="Times New Roman" w:eastAsia="Times New Roman" w:hAnsi="Times New Roman" w:cs="Times New Roman"/>
          <w:sz w:val="24"/>
          <w:szCs w:val="24"/>
        </w:rPr>
        <w:t>charnockite</w:t>
      </w:r>
      <w:proofErr w:type="spellEnd"/>
      <w:r w:rsidRPr="00434EC8">
        <w:rPr>
          <w:rFonts w:ascii="Times New Roman" w:eastAsia="Times New Roman" w:hAnsi="Times New Roman" w:cs="Times New Roman"/>
          <w:sz w:val="24"/>
          <w:szCs w:val="24"/>
        </w:rPr>
        <w:t xml:space="preserve"> and migmatite units. Integration with field observations validated </w:t>
      </w:r>
      <w:r w:rsidRPr="00434EC8">
        <w:rPr>
          <w:rFonts w:ascii="Times New Roman" w:eastAsia="Times New Roman" w:hAnsi="Times New Roman" w:cs="Times New Roman"/>
          <w:sz w:val="24"/>
          <w:szCs w:val="24"/>
        </w:rPr>
        <w:lastRenderedPageBreak/>
        <w:t>anomalies and established relationships between radiometric signatures, hydrothermal alteration, and mineralization potential. Areas with high K but low Th and U were interpreted as hydrothermally altered zones, while high Th and U indicated less altered lithologies. Potassium deviation (KD) isolates K introduced by hydrothermal fluids from other sources, using the K–Th relationship as a</w:t>
      </w:r>
      <w:r w:rsidR="00D56BA9">
        <w:rPr>
          <w:rFonts w:ascii="Times New Roman" w:eastAsia="Times New Roman" w:hAnsi="Times New Roman" w:cs="Times New Roman"/>
          <w:sz w:val="24"/>
          <w:szCs w:val="24"/>
        </w:rPr>
        <w:t xml:space="preserve"> baseline (</w:t>
      </w:r>
      <w:proofErr w:type="spellStart"/>
      <w:r w:rsidR="00D56BA9" w:rsidRPr="00D56BA9">
        <w:rPr>
          <w:rStyle w:val="Strong"/>
          <w:rFonts w:ascii="Times New Roman" w:hAnsi="Times New Roman" w:cs="Times New Roman"/>
          <w:b w:val="0"/>
          <w:sz w:val="24"/>
          <w:szCs w:val="24"/>
        </w:rPr>
        <w:t>Ohwo</w:t>
      </w:r>
      <w:proofErr w:type="spellEnd"/>
      <w:r w:rsidR="00D56BA9" w:rsidRPr="00D56BA9">
        <w:rPr>
          <w:rStyle w:val="Strong"/>
          <w:rFonts w:ascii="Times New Roman" w:hAnsi="Times New Roman" w:cs="Times New Roman"/>
          <w:b w:val="0"/>
          <w:sz w:val="24"/>
          <w:szCs w:val="24"/>
        </w:rPr>
        <w:t xml:space="preserve"> &amp; </w:t>
      </w:r>
      <w:proofErr w:type="spellStart"/>
      <w:r w:rsidR="00D56BA9" w:rsidRPr="00D56BA9">
        <w:rPr>
          <w:rStyle w:val="Strong"/>
          <w:rFonts w:ascii="Times New Roman" w:hAnsi="Times New Roman" w:cs="Times New Roman"/>
          <w:b w:val="0"/>
          <w:sz w:val="24"/>
          <w:szCs w:val="24"/>
        </w:rPr>
        <w:t>Soalpe</w:t>
      </w:r>
      <w:proofErr w:type="spellEnd"/>
      <w:r w:rsidR="00D56BA9">
        <w:rPr>
          <w:rStyle w:val="Strong"/>
        </w:rPr>
        <w:t xml:space="preserve">, </w:t>
      </w:r>
      <w:r w:rsidR="00D56BA9">
        <w:t>2024</w:t>
      </w:r>
      <w:r w:rsidRPr="00434EC8">
        <w:rPr>
          <w:rFonts w:ascii="Times New Roman" w:eastAsia="Times New Roman" w:hAnsi="Times New Roman" w:cs="Times New Roman"/>
          <w:sz w:val="24"/>
          <w:szCs w:val="24"/>
        </w:rPr>
        <w:t xml:space="preserve">). Potassic alteration (KD) is a key indicator in many ore systems (e.g., porphyry Cu ± Mo ± Au, high-sulfidation, mesothermal). Mapping KD highlights potassic halos and edges associated with mineralization. Its effectiveness increases when integrated with structural data, intrusion mapping, other radiometric ratios (K/U, Th/U), magnetic data, and ground geochemistry. Data processing and map generation were conducted in </w:t>
      </w:r>
      <w:proofErr w:type="spellStart"/>
      <w:r w:rsidRPr="00434EC8">
        <w:rPr>
          <w:rFonts w:ascii="Times New Roman" w:eastAsia="Times New Roman" w:hAnsi="Times New Roman" w:cs="Times New Roman"/>
          <w:sz w:val="24"/>
          <w:szCs w:val="24"/>
        </w:rPr>
        <w:t>Geosoft</w:t>
      </w:r>
      <w:proofErr w:type="spellEnd"/>
      <w:r w:rsidRPr="00434EC8">
        <w:rPr>
          <w:rFonts w:ascii="Times New Roman" w:eastAsia="Times New Roman" w:hAnsi="Times New Roman" w:cs="Times New Roman"/>
          <w:sz w:val="24"/>
          <w:szCs w:val="24"/>
        </w:rPr>
        <w:t xml:space="preserve"> Oasis </w:t>
      </w:r>
      <w:proofErr w:type="spellStart"/>
      <w:r w:rsidRPr="00434EC8">
        <w:rPr>
          <w:rFonts w:ascii="Times New Roman" w:eastAsia="Times New Roman" w:hAnsi="Times New Roman" w:cs="Times New Roman"/>
          <w:sz w:val="24"/>
          <w:szCs w:val="24"/>
        </w:rPr>
        <w:t>Montaj</w:t>
      </w:r>
      <w:proofErr w:type="spellEnd"/>
      <w:r w:rsidRPr="00434EC8">
        <w:rPr>
          <w:rFonts w:ascii="Times New Roman" w:eastAsia="Times New Roman" w:hAnsi="Times New Roman" w:cs="Times New Roman"/>
          <w:sz w:val="24"/>
          <w:szCs w:val="24"/>
        </w:rPr>
        <w:t>, with ArcGIS 10.8 used for spatial visualization. This approach follows established methods for Nigerian basement terrains (</w:t>
      </w:r>
      <w:proofErr w:type="spellStart"/>
      <w:r w:rsidRPr="00434EC8">
        <w:rPr>
          <w:rFonts w:ascii="Times New Roman" w:eastAsia="Times New Roman" w:hAnsi="Times New Roman" w:cs="Times New Roman"/>
          <w:sz w:val="24"/>
          <w:szCs w:val="24"/>
        </w:rPr>
        <w:t>Tal</w:t>
      </w:r>
      <w:r w:rsidR="009429CA">
        <w:rPr>
          <w:rFonts w:ascii="Times New Roman" w:eastAsia="Times New Roman" w:hAnsi="Times New Roman" w:cs="Times New Roman"/>
          <w:sz w:val="24"/>
          <w:szCs w:val="24"/>
        </w:rPr>
        <w:t>abi</w:t>
      </w:r>
      <w:proofErr w:type="spellEnd"/>
      <w:r w:rsidR="009429CA">
        <w:rPr>
          <w:rFonts w:ascii="Times New Roman" w:eastAsia="Times New Roman" w:hAnsi="Times New Roman" w:cs="Times New Roman"/>
          <w:sz w:val="24"/>
          <w:szCs w:val="24"/>
        </w:rPr>
        <w:t xml:space="preserve"> et al., 2018;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Pr="009429CA">
        <w:rPr>
          <w:rFonts w:ascii="Times New Roman" w:eastAsia="Times New Roman" w:hAnsi="Times New Roman" w:cs="Times New Roman"/>
          <w:sz w:val="24"/>
          <w:szCs w:val="24"/>
        </w:rPr>
        <w:t>;</w:t>
      </w:r>
      <w:r w:rsidRPr="00434EC8">
        <w:rPr>
          <w:rFonts w:ascii="Times New Roman" w:eastAsia="Times New Roman" w:hAnsi="Times New Roman" w:cs="Times New Roman"/>
          <w:sz w:val="24"/>
          <w:szCs w:val="24"/>
        </w:rPr>
        <w:t xml:space="preserve"> Adekoya </w:t>
      </w:r>
      <w:r w:rsidR="00E11089">
        <w:rPr>
          <w:rFonts w:ascii="Times New Roman" w:eastAsia="Times New Roman" w:hAnsi="Times New Roman" w:cs="Times New Roman"/>
          <w:sz w:val="24"/>
          <w:szCs w:val="24"/>
        </w:rPr>
        <w:t>et al., 2020</w:t>
      </w:r>
      <w:r w:rsidRPr="00434EC8">
        <w:rPr>
          <w:rFonts w:ascii="Times New Roman" w:eastAsia="Times New Roman" w:hAnsi="Times New Roman" w:cs="Times New Roman"/>
          <w:sz w:val="24"/>
          <w:szCs w:val="24"/>
        </w:rPr>
        <w:t>) and provides a robust framework for delineating alteration zones and assessing mineralization potential.</w:t>
      </w:r>
      <w:r w:rsidR="00153AF0">
        <w:rPr>
          <w:rFonts w:ascii="Times New Roman" w:eastAsia="Times New Roman" w:hAnsi="Times New Roman" w:cs="Times New Roman"/>
          <w:sz w:val="24"/>
          <w:szCs w:val="24"/>
        </w:rPr>
        <w:t xml:space="preserve"> </w:t>
      </w:r>
      <w:r w:rsidR="0042371E" w:rsidRPr="0042371E">
        <w:rPr>
          <w:rFonts w:ascii="Times New Roman" w:eastAsia="Times New Roman" w:hAnsi="Times New Roman" w:cs="Times New Roman"/>
          <w:sz w:val="24"/>
          <w:szCs w:val="24"/>
        </w:rPr>
        <w:t>Two commonly used formulations which could either be used to generate KD are;</w:t>
      </w:r>
    </w:p>
    <w:p w14:paraId="517AFA05" w14:textId="77777777" w:rsidR="00434EC8" w:rsidRDefault="0042371E" w:rsidP="00434EC8">
      <w:pPr>
        <w:pStyle w:val="NormalWeb"/>
      </w:pPr>
      <w:r>
        <w:rPr>
          <w:noProof/>
        </w:rPr>
        <w:drawing>
          <wp:inline distT="0" distB="0" distL="0" distR="0" wp14:anchorId="20F9D08A" wp14:editId="2AC2076A">
            <wp:extent cx="54483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00" cy="762000"/>
                    </a:xfrm>
                    <a:prstGeom prst="rect">
                      <a:avLst/>
                    </a:prstGeom>
                  </pic:spPr>
                </pic:pic>
              </a:graphicData>
            </a:graphic>
          </wp:inline>
        </w:drawing>
      </w:r>
    </w:p>
    <w:p w14:paraId="571B07A4" w14:textId="4E39418D" w:rsidR="0042371E" w:rsidRDefault="0042371E" w:rsidP="00434EC8">
      <w:pPr>
        <w:pStyle w:val="NormalWeb"/>
        <w:jc w:val="both"/>
        <w:rPr>
          <w:b/>
          <w:color w:val="000000" w:themeColor="text1"/>
        </w:rPr>
      </w:pPr>
      <w:r w:rsidRPr="00B24F5A">
        <w:t>Where K is a measure of Potassium</w:t>
      </w:r>
      <w:r w:rsidR="00B24F5A">
        <w:t xml:space="preserve"> </w:t>
      </w:r>
      <w:r w:rsidRPr="00B24F5A">
        <w:t>(</w:t>
      </w:r>
      <w:proofErr w:type="spellStart"/>
      <w:r w:rsidRPr="00B24F5A">
        <w:t>e.g</w:t>
      </w:r>
      <w:proofErr w:type="spellEnd"/>
      <w:r w:rsidRPr="00B24F5A">
        <w:t xml:space="preserve">, </w:t>
      </w:r>
      <w:proofErr w:type="spellStart"/>
      <w:r w:rsidRPr="00B24F5A">
        <w:t>wt</w:t>
      </w:r>
      <w:proofErr w:type="spellEnd"/>
      <w:r w:rsidRPr="00B24F5A">
        <w:t xml:space="preserve">% or ppm), Th is equivalent </w:t>
      </w:r>
      <w:r w:rsidR="009C7D08">
        <w:t xml:space="preserve">to </w:t>
      </w:r>
      <w:r w:rsidRPr="00B24F5A">
        <w:t>thorium</w:t>
      </w:r>
      <w:r w:rsidR="00434EC8">
        <w:t xml:space="preserve"> </w:t>
      </w:r>
      <w:r w:rsidRPr="00B24F5A">
        <w:t>(ppm),</w:t>
      </w:r>
      <w:r w:rsidR="009C7D08">
        <w:t xml:space="preserve"> </w:t>
      </w:r>
      <w:r w:rsidR="00B041B9">
        <w:t>and</w:t>
      </w:r>
      <w:r w:rsidRPr="00B24F5A">
        <w:t xml:space="preserve"> K/Th is the regional background of the K/Th ratio</w:t>
      </w:r>
      <w:r w:rsidR="009C7D08">
        <w:t>,</w:t>
      </w:r>
      <w:r w:rsidR="00D56BA9">
        <w:t xml:space="preserve"> (</w:t>
      </w:r>
      <w:proofErr w:type="spellStart"/>
      <w:r w:rsidR="00D56BA9" w:rsidRPr="00B041B9">
        <w:rPr>
          <w:rStyle w:val="Strong"/>
          <w:rFonts w:eastAsiaTheme="majorEastAsia"/>
          <w:b w:val="0"/>
        </w:rPr>
        <w:t>Ohwon</w:t>
      </w:r>
      <w:proofErr w:type="spellEnd"/>
      <w:r w:rsidR="00D56BA9" w:rsidRPr="00B041B9">
        <w:rPr>
          <w:rStyle w:val="Strong"/>
          <w:rFonts w:eastAsiaTheme="majorEastAsia"/>
          <w:b w:val="0"/>
        </w:rPr>
        <w:t xml:space="preserve"> &amp; </w:t>
      </w:r>
      <w:proofErr w:type="spellStart"/>
      <w:r w:rsidR="00D56BA9" w:rsidRPr="00B041B9">
        <w:rPr>
          <w:rStyle w:val="Strong"/>
          <w:rFonts w:eastAsiaTheme="majorEastAsia"/>
          <w:b w:val="0"/>
        </w:rPr>
        <w:t>Soalpe</w:t>
      </w:r>
      <w:proofErr w:type="spellEnd"/>
      <w:r w:rsidR="00D56BA9" w:rsidRPr="00B041B9">
        <w:rPr>
          <w:rStyle w:val="Strong"/>
          <w:rFonts w:eastAsiaTheme="majorEastAsia"/>
          <w:b w:val="0"/>
        </w:rPr>
        <w:t xml:space="preserve">, </w:t>
      </w:r>
      <w:r w:rsidR="00D56BA9" w:rsidRPr="00B041B9">
        <w:rPr>
          <w:b/>
        </w:rPr>
        <w:t>2024).</w:t>
      </w:r>
      <w:r w:rsidR="00D56BA9">
        <w:t xml:space="preserve"> </w:t>
      </w:r>
      <w:r w:rsidRPr="00B24F5A">
        <w:t xml:space="preserve">. Potassic alteration (KD) is a key indicator in many ore systems (e.g., porphyry Cu ± Mo ± Au, high-sulfidation, mesothermal). </w:t>
      </w:r>
    </w:p>
    <w:p w14:paraId="170D7522" w14:textId="0E4F3073" w:rsidR="0042371E" w:rsidRPr="000C5290" w:rsidRDefault="0042371E" w:rsidP="0042371E">
      <w:pPr>
        <w:spacing w:after="0" w:line="240" w:lineRule="auto"/>
        <w:jc w:val="both"/>
        <w:rPr>
          <w:rFonts w:ascii="Times New Roman" w:hAnsi="Times New Roman" w:cs="Times New Roman"/>
          <w:b/>
          <w:color w:val="000000" w:themeColor="text1"/>
          <w:sz w:val="24"/>
          <w:szCs w:val="24"/>
        </w:rPr>
      </w:pPr>
      <w:r w:rsidRPr="000C5290">
        <w:rPr>
          <w:rFonts w:ascii="Times New Roman" w:hAnsi="Times New Roman" w:cs="Times New Roman"/>
          <w:b/>
          <w:color w:val="000000" w:themeColor="text1"/>
          <w:sz w:val="24"/>
          <w:szCs w:val="24"/>
        </w:rPr>
        <w:t>3.2 Materials and Methods for the Geochemical Dataset</w:t>
      </w:r>
    </w:p>
    <w:p w14:paraId="7A535212" w14:textId="15C71567" w:rsidR="0042371E" w:rsidRDefault="00B24F5A" w:rsidP="0042371E">
      <w:pPr>
        <w:pStyle w:val="NormalWeb"/>
        <w:jc w:val="both"/>
      </w:pPr>
      <w:r>
        <w:t xml:space="preserve">Field-based geological mapping and laboratory geochemical analyses were conducted on rock samples from Orin-Ekiti to ground-truth radiometric anomalies and delineate lithological boundaries. Outcrops were characterized by </w:t>
      </w:r>
      <w:r w:rsidR="009C7D08">
        <w:t>their texture, color, mineral composition, and structural features, with sample locations recorded using a GPS device</w:t>
      </w:r>
      <w:r>
        <w:t>. Structural data, including foliations, joints, veins, and shear zones, were measured using a compass clinometer. A total of 35 representative rock samples were collected at ~500 m spacing, with 15 fresh samples selected for geochemical analysis. Samples were cleaned, crushed, and pulverized, then subjected to partial digestion using four-acid treatment and lithium metaborate/tetrabora</w:t>
      </w:r>
      <w:r w:rsidR="008455D5">
        <w:t>te fusion (</w:t>
      </w:r>
      <w:r w:rsidR="008455D5" w:rsidRPr="008455D5">
        <w:rPr>
          <w:rStyle w:val="Strong"/>
          <w:rFonts w:eastAsiaTheme="majorEastAsia"/>
          <w:b w:val="0"/>
        </w:rPr>
        <w:t>González Jiménez</w:t>
      </w:r>
      <w:r w:rsidR="008455D5">
        <w:t>, 2015</w:t>
      </w:r>
      <w:r>
        <w:t xml:space="preserve">) to ensure complete recovery of trace elements. The resulting solutions were analyzed at ACME Analytical Laboratories, Canada, using ICP–MS for trace elements (Cr, Ni, </w:t>
      </w:r>
      <w:proofErr w:type="spellStart"/>
      <w:r>
        <w:t>Zr</w:t>
      </w:r>
      <w:proofErr w:type="spellEnd"/>
      <w:r>
        <w:t xml:space="preserve">, Y, </w:t>
      </w:r>
      <w:proofErr w:type="spellStart"/>
      <w:r>
        <w:t>Rb</w:t>
      </w:r>
      <w:proofErr w:type="spellEnd"/>
      <w:r>
        <w:t xml:space="preserve">, Sr, Ba). Geochemical data were processed and interpreted using Microsoft Excel, </w:t>
      </w:r>
      <w:proofErr w:type="spellStart"/>
      <w:r>
        <w:t>RockWorks</w:t>
      </w:r>
      <w:proofErr w:type="spellEnd"/>
      <w:r>
        <w:t xml:space="preserve"> 17, and SPSS for statistical and multivariate analyses. This facilitated </w:t>
      </w:r>
      <w:r w:rsidR="009C7D08">
        <w:t xml:space="preserve">the </w:t>
      </w:r>
      <w:r>
        <w:t xml:space="preserve">identification of geochemical anomalies, alteration trends, and element associations indicative of hydrothermal processes. Integration with field observations and radiometric data provided a comprehensive assessment of hydrothermal alteration zones and mineralization potential within the </w:t>
      </w:r>
      <w:proofErr w:type="spellStart"/>
      <w:r>
        <w:t>charnockitic</w:t>
      </w:r>
      <w:proofErr w:type="spellEnd"/>
      <w:r>
        <w:t xml:space="preserve"> and </w:t>
      </w:r>
      <w:proofErr w:type="spellStart"/>
      <w:r>
        <w:t>migmatitic</w:t>
      </w:r>
      <w:proofErr w:type="spellEnd"/>
      <w:r>
        <w:t xml:space="preserve"> units of Orin-Ekiti. </w:t>
      </w:r>
    </w:p>
    <w:p w14:paraId="126A28A6" w14:textId="77777777" w:rsidR="0042371E" w:rsidRDefault="0042371E" w:rsidP="0042371E">
      <w:pPr>
        <w:spacing w:after="0" w:line="240" w:lineRule="auto"/>
        <w:jc w:val="both"/>
        <w:rPr>
          <w:rFonts w:ascii="Times New Roman" w:hAnsi="Times New Roman" w:cs="Times New Roman"/>
          <w:b/>
          <w:color w:val="000000" w:themeColor="text1"/>
          <w:sz w:val="24"/>
          <w:szCs w:val="24"/>
        </w:rPr>
      </w:pPr>
    </w:p>
    <w:p w14:paraId="6DA9CA72" w14:textId="3D31ECC7" w:rsidR="00B06CD1" w:rsidRPr="00F1189E" w:rsidRDefault="000C5290" w:rsidP="004951FF">
      <w:pPr>
        <w:pStyle w:val="ListParagraph"/>
        <w:numPr>
          <w:ilvl w:val="0"/>
          <w:numId w:val="26"/>
        </w:numPr>
        <w:tabs>
          <w:tab w:val="left" w:pos="10710"/>
        </w:tabs>
        <w:spacing w:line="240" w:lineRule="auto"/>
        <w:jc w:val="both"/>
        <w:rPr>
          <w:rFonts w:ascii="Times New Roman" w:hAnsi="Times New Roman" w:cs="Times New Roman"/>
          <w:b/>
        </w:rPr>
      </w:pPr>
      <w:r w:rsidRPr="00F1189E">
        <w:rPr>
          <w:rFonts w:ascii="Times New Roman" w:hAnsi="Times New Roman" w:cs="Times New Roman"/>
          <w:b/>
        </w:rPr>
        <w:t xml:space="preserve">Radiometric </w:t>
      </w:r>
      <w:r w:rsidR="00B06CD1" w:rsidRPr="00F1189E">
        <w:rPr>
          <w:rFonts w:ascii="Times New Roman" w:hAnsi="Times New Roman" w:cs="Times New Roman"/>
          <w:b/>
        </w:rPr>
        <w:t>Results</w:t>
      </w:r>
      <w:r w:rsidR="00A65FB3" w:rsidRPr="00F1189E">
        <w:rPr>
          <w:rFonts w:ascii="Times New Roman" w:hAnsi="Times New Roman" w:cs="Times New Roman"/>
          <w:b/>
        </w:rPr>
        <w:t xml:space="preserve"> and Discussion</w:t>
      </w:r>
      <w:r w:rsidR="00B06CD1" w:rsidRPr="00F1189E">
        <w:rPr>
          <w:rFonts w:ascii="Times New Roman" w:hAnsi="Times New Roman" w:cs="Times New Roman"/>
          <w:b/>
        </w:rPr>
        <w:t xml:space="preserve"> </w:t>
      </w:r>
    </w:p>
    <w:p w14:paraId="586D1C7F" w14:textId="403DFF3C" w:rsidR="000C5290" w:rsidRPr="006F7BBE" w:rsidRDefault="000C5290" w:rsidP="00330A7A">
      <w:pPr>
        <w:pStyle w:val="ListParagraph"/>
        <w:tabs>
          <w:tab w:val="left" w:pos="10710"/>
        </w:tabs>
        <w:spacing w:line="240" w:lineRule="auto"/>
        <w:ind w:left="360"/>
        <w:jc w:val="both"/>
        <w:rPr>
          <w:rFonts w:ascii="Times New Roman" w:hAnsi="Times New Roman" w:cs="Times New Roman"/>
          <w:b/>
        </w:rPr>
      </w:pPr>
      <w:r w:rsidRPr="006F7BBE">
        <w:rPr>
          <w:rFonts w:ascii="Times New Roman" w:hAnsi="Times New Roman" w:cs="Times New Roman"/>
          <w:b/>
        </w:rPr>
        <w:lastRenderedPageBreak/>
        <w:t>4.1 Potassium Radiometric</w:t>
      </w:r>
    </w:p>
    <w:p w14:paraId="1F6257BB" w14:textId="222C0B0D" w:rsidR="003D1A35" w:rsidRDefault="009C7D08" w:rsidP="00835596">
      <w:pPr>
        <w:spacing w:before="100" w:beforeAutospacing="1" w:after="100" w:afterAutospacing="1" w:line="240" w:lineRule="auto"/>
        <w:jc w:val="both"/>
        <w:rPr>
          <w:rFonts w:ascii="Times New Roman" w:eastAsia="Times New Roman" w:hAnsi="Times New Roman" w:cs="Times New Roman"/>
          <w:sz w:val="24"/>
          <w:szCs w:val="24"/>
        </w:rPr>
      </w:pPr>
      <w:r w:rsidRPr="009C7D08">
        <w:rPr>
          <w:rFonts w:ascii="Times New Roman" w:eastAsia="Times New Roman" w:hAnsi="Times New Roman" w:cs="Times New Roman"/>
          <w:sz w:val="24"/>
          <w:szCs w:val="24"/>
        </w:rPr>
        <w:t>The potassium (K%) radiometric map of Orin-Ekiti (</w:t>
      </w:r>
      <w:r w:rsidRPr="009C7D08">
        <w:rPr>
          <w:rFonts w:ascii="Times New Roman" w:eastAsia="Times New Roman" w:hAnsi="Times New Roman" w:cs="Times New Roman"/>
          <w:b/>
          <w:sz w:val="24"/>
          <w:szCs w:val="24"/>
        </w:rPr>
        <w:t>Figure 2</w:t>
      </w:r>
      <w:r w:rsidRPr="009C7D08">
        <w:rPr>
          <w:rFonts w:ascii="Times New Roman" w:eastAsia="Times New Roman" w:hAnsi="Times New Roman" w:cs="Times New Roman"/>
          <w:sz w:val="24"/>
          <w:szCs w:val="24"/>
        </w:rPr>
        <w:t xml:space="preserve">) shows clear spatial variations in potassium distribution (0.2–3.0%), expressed as violet–red (high) to green–blue (low). High K anomalies (1.8–3.0%) occur mainly in the central and southwestern zones around </w:t>
      </w:r>
      <w:proofErr w:type="spellStart"/>
      <w:r w:rsidRPr="009C7D08">
        <w:rPr>
          <w:rFonts w:ascii="Times New Roman" w:eastAsia="Times New Roman" w:hAnsi="Times New Roman" w:cs="Times New Roman"/>
          <w:sz w:val="24"/>
          <w:szCs w:val="24"/>
        </w:rPr>
        <w:t>Ilogbo</w:t>
      </w:r>
      <w:proofErr w:type="spellEnd"/>
      <w:r w:rsidRPr="009C7D08">
        <w:rPr>
          <w:rFonts w:ascii="Times New Roman" w:eastAsia="Times New Roman" w:hAnsi="Times New Roman" w:cs="Times New Roman"/>
          <w:sz w:val="24"/>
          <w:szCs w:val="24"/>
        </w:rPr>
        <w:t xml:space="preserve">, </w:t>
      </w:r>
      <w:proofErr w:type="spellStart"/>
      <w:r w:rsidRPr="009C7D08">
        <w:rPr>
          <w:rFonts w:ascii="Times New Roman" w:eastAsia="Times New Roman" w:hAnsi="Times New Roman" w:cs="Times New Roman"/>
          <w:sz w:val="24"/>
          <w:szCs w:val="24"/>
        </w:rPr>
        <w:t>Iddo</w:t>
      </w:r>
      <w:proofErr w:type="spellEnd"/>
      <w:r w:rsidRPr="009C7D08">
        <w:rPr>
          <w:rFonts w:ascii="Times New Roman" w:eastAsia="Times New Roman" w:hAnsi="Times New Roman" w:cs="Times New Roman"/>
          <w:sz w:val="24"/>
          <w:szCs w:val="24"/>
        </w:rPr>
        <w:t xml:space="preserve">-Ekiti, and Orin. These areas coincide with granitic and </w:t>
      </w:r>
      <w:proofErr w:type="spellStart"/>
      <w:r w:rsidRPr="009C7D08">
        <w:rPr>
          <w:rFonts w:ascii="Times New Roman" w:eastAsia="Times New Roman" w:hAnsi="Times New Roman" w:cs="Times New Roman"/>
          <w:sz w:val="24"/>
          <w:szCs w:val="24"/>
        </w:rPr>
        <w:t>charnockitic</w:t>
      </w:r>
      <w:proofErr w:type="spellEnd"/>
      <w:r w:rsidRPr="009C7D08">
        <w:rPr>
          <w:rFonts w:ascii="Times New Roman" w:eastAsia="Times New Roman" w:hAnsi="Times New Roman" w:cs="Times New Roman"/>
          <w:sz w:val="24"/>
          <w:szCs w:val="24"/>
        </w:rPr>
        <w:t xml:space="preserve"> rocks enriched in K-feldspar, biotite, and muscovite (</w:t>
      </w:r>
      <w:proofErr w:type="spellStart"/>
      <w:r w:rsidRPr="009C7D08">
        <w:rPr>
          <w:rFonts w:ascii="Times New Roman" w:eastAsia="Times New Roman" w:hAnsi="Times New Roman" w:cs="Times New Roman"/>
          <w:sz w:val="24"/>
          <w:szCs w:val="24"/>
        </w:rPr>
        <w:t>Olarewaju</w:t>
      </w:r>
      <w:proofErr w:type="spellEnd"/>
      <w:r w:rsidRPr="009C7D08">
        <w:rPr>
          <w:rFonts w:ascii="Times New Roman" w:eastAsia="Times New Roman" w:hAnsi="Times New Roman" w:cs="Times New Roman"/>
          <w:sz w:val="24"/>
          <w:szCs w:val="24"/>
        </w:rPr>
        <w:t xml:space="preserve"> et al</w:t>
      </w:r>
      <w:r w:rsidR="00112010">
        <w:rPr>
          <w:rFonts w:ascii="Times New Roman" w:eastAsia="Times New Roman" w:hAnsi="Times New Roman" w:cs="Times New Roman"/>
          <w:sz w:val="24"/>
          <w:szCs w:val="24"/>
        </w:rPr>
        <w:t xml:space="preserve">., 2013; </w:t>
      </w:r>
      <w:proofErr w:type="spellStart"/>
      <w:r w:rsidR="00112010">
        <w:rPr>
          <w:rFonts w:ascii="Times New Roman" w:eastAsia="Times New Roman" w:hAnsi="Times New Roman" w:cs="Times New Roman"/>
          <w:sz w:val="24"/>
          <w:szCs w:val="24"/>
        </w:rPr>
        <w:t>Igonor</w:t>
      </w:r>
      <w:proofErr w:type="spellEnd"/>
      <w:r w:rsidR="00112010">
        <w:rPr>
          <w:rFonts w:ascii="Times New Roman" w:eastAsia="Times New Roman" w:hAnsi="Times New Roman" w:cs="Times New Roman"/>
          <w:sz w:val="24"/>
          <w:szCs w:val="24"/>
        </w:rPr>
        <w:t xml:space="preserve"> &amp; Abimbola 2016</w:t>
      </w:r>
      <w:r w:rsidRPr="009C7D08">
        <w:rPr>
          <w:rFonts w:ascii="Times New Roman" w:eastAsia="Times New Roman" w:hAnsi="Times New Roman" w:cs="Times New Roman"/>
          <w:sz w:val="24"/>
          <w:szCs w:val="24"/>
        </w:rPr>
        <w:t>). The enrichment also suggests potassic hydrothermal alterati</w:t>
      </w:r>
      <w:r>
        <w:rPr>
          <w:rFonts w:ascii="Times New Roman" w:eastAsia="Times New Roman" w:hAnsi="Times New Roman" w:cs="Times New Roman"/>
          <w:sz w:val="24"/>
          <w:szCs w:val="24"/>
        </w:rPr>
        <w:t xml:space="preserve">on, </w:t>
      </w:r>
      <w:r w:rsidRPr="009C7D08">
        <w:rPr>
          <w:rFonts w:ascii="Times New Roman" w:eastAsia="Times New Roman" w:hAnsi="Times New Roman" w:cs="Times New Roman"/>
          <w:sz w:val="24"/>
          <w:szCs w:val="24"/>
        </w:rPr>
        <w:t xml:space="preserve">marked by </w:t>
      </w:r>
      <w:proofErr w:type="spellStart"/>
      <w:r w:rsidRPr="009C7D08">
        <w:rPr>
          <w:rFonts w:ascii="Times New Roman" w:eastAsia="Times New Roman" w:hAnsi="Times New Roman" w:cs="Times New Roman"/>
          <w:sz w:val="24"/>
          <w:szCs w:val="24"/>
        </w:rPr>
        <w:t>sericiti</w:t>
      </w:r>
      <w:r w:rsidR="00835596">
        <w:rPr>
          <w:rFonts w:ascii="Times New Roman" w:eastAsia="Times New Roman" w:hAnsi="Times New Roman" w:cs="Times New Roman"/>
          <w:sz w:val="24"/>
          <w:szCs w:val="24"/>
        </w:rPr>
        <w:t>zation</w:t>
      </w:r>
      <w:proofErr w:type="spellEnd"/>
      <w:r w:rsidR="00835596">
        <w:rPr>
          <w:rFonts w:ascii="Times New Roman" w:eastAsia="Times New Roman" w:hAnsi="Times New Roman" w:cs="Times New Roman"/>
          <w:sz w:val="24"/>
          <w:szCs w:val="24"/>
        </w:rPr>
        <w:t xml:space="preserve"> and secondary K-feldspar, </w:t>
      </w:r>
      <w:r w:rsidRPr="009C7D08">
        <w:rPr>
          <w:rFonts w:ascii="Times New Roman" w:eastAsia="Times New Roman" w:hAnsi="Times New Roman" w:cs="Times New Roman"/>
          <w:sz w:val="24"/>
          <w:szCs w:val="24"/>
        </w:rPr>
        <w:t>commonly associated with mineralized basemen</w:t>
      </w:r>
      <w:r w:rsidR="00E4436C">
        <w:rPr>
          <w:rFonts w:ascii="Times New Roman" w:eastAsia="Times New Roman" w:hAnsi="Times New Roman" w:cs="Times New Roman"/>
          <w:sz w:val="24"/>
          <w:szCs w:val="24"/>
        </w:rPr>
        <w:t>t systems (</w:t>
      </w:r>
      <w:r w:rsidR="00E4436C" w:rsidRPr="00E4436C">
        <w:rPr>
          <w:rStyle w:val="Strong"/>
          <w:rFonts w:ascii="Times New Roman" w:hAnsi="Times New Roman" w:cs="Times New Roman"/>
          <w:b w:val="0"/>
          <w:sz w:val="24"/>
          <w:szCs w:val="24"/>
        </w:rPr>
        <w:t>Reilly &amp; Corey</w:t>
      </w:r>
      <w:r w:rsidR="0076262F">
        <w:rPr>
          <w:rStyle w:val="Strong"/>
          <w:rFonts w:ascii="Times New Roman" w:hAnsi="Times New Roman" w:cs="Times New Roman"/>
          <w:b w:val="0"/>
          <w:sz w:val="24"/>
          <w:szCs w:val="24"/>
        </w:rPr>
        <w:t xml:space="preserve">, </w:t>
      </w:r>
      <w:r w:rsidR="00E4436C" w:rsidRPr="00E4436C">
        <w:rPr>
          <w:rStyle w:val="Strong"/>
          <w:rFonts w:ascii="Times New Roman" w:hAnsi="Times New Roman" w:cs="Times New Roman"/>
          <w:b w:val="0"/>
          <w:sz w:val="24"/>
          <w:szCs w:val="24"/>
        </w:rPr>
        <w:t>1988</w:t>
      </w:r>
      <w:r w:rsidR="00E4436C">
        <w:rPr>
          <w:rStyle w:val="Strong"/>
        </w:rPr>
        <w:t>)</w:t>
      </w:r>
      <w:r w:rsidR="00E4436C">
        <w:rPr>
          <w:rFonts w:ascii="Times New Roman" w:eastAsia="Times New Roman" w:hAnsi="Times New Roman" w:cs="Times New Roman"/>
          <w:sz w:val="24"/>
          <w:szCs w:val="24"/>
        </w:rPr>
        <w:t>.</w:t>
      </w:r>
    </w:p>
    <w:p w14:paraId="7356DD06" w14:textId="20674ED2" w:rsidR="009C7D08" w:rsidRPr="00E11089" w:rsidRDefault="009C7D08" w:rsidP="00835596">
      <w:pPr>
        <w:spacing w:before="100" w:beforeAutospacing="1" w:after="100" w:afterAutospacing="1" w:line="240" w:lineRule="auto"/>
        <w:jc w:val="both"/>
        <w:rPr>
          <w:rFonts w:ascii="Times New Roman" w:eastAsia="Times New Roman" w:hAnsi="Times New Roman" w:cs="Times New Roman"/>
          <w:sz w:val="24"/>
          <w:szCs w:val="24"/>
        </w:rPr>
      </w:pPr>
      <w:r w:rsidRPr="009C7D08">
        <w:rPr>
          <w:rFonts w:ascii="Times New Roman" w:eastAsia="Times New Roman" w:hAnsi="Times New Roman" w:cs="Times New Roman"/>
          <w:sz w:val="24"/>
          <w:szCs w:val="24"/>
        </w:rPr>
        <w:t xml:space="preserve">Moderate K values (1.0–1.7%) follow NE–SW structural belts crossing the central part of the map near </w:t>
      </w:r>
      <w:proofErr w:type="spellStart"/>
      <w:r w:rsidRPr="009C7D08">
        <w:rPr>
          <w:rFonts w:ascii="Times New Roman" w:eastAsia="Times New Roman" w:hAnsi="Times New Roman" w:cs="Times New Roman"/>
          <w:sz w:val="24"/>
          <w:szCs w:val="24"/>
        </w:rPr>
        <w:t>Usin</w:t>
      </w:r>
      <w:proofErr w:type="spellEnd"/>
      <w:r w:rsidRPr="009C7D08">
        <w:rPr>
          <w:rFonts w:ascii="Times New Roman" w:eastAsia="Times New Roman" w:hAnsi="Times New Roman" w:cs="Times New Roman"/>
          <w:sz w:val="24"/>
          <w:szCs w:val="24"/>
        </w:rPr>
        <w:t xml:space="preserve"> and </w:t>
      </w:r>
      <w:proofErr w:type="spellStart"/>
      <w:r w:rsidRPr="009C7D08">
        <w:rPr>
          <w:rFonts w:ascii="Times New Roman" w:eastAsia="Times New Roman" w:hAnsi="Times New Roman" w:cs="Times New Roman"/>
          <w:sz w:val="24"/>
          <w:szCs w:val="24"/>
        </w:rPr>
        <w:t>Ilogbo</w:t>
      </w:r>
      <w:proofErr w:type="spellEnd"/>
      <w:r w:rsidRPr="009C7D08">
        <w:rPr>
          <w:rFonts w:ascii="Times New Roman" w:eastAsia="Times New Roman" w:hAnsi="Times New Roman" w:cs="Times New Roman"/>
          <w:sz w:val="24"/>
          <w:szCs w:val="24"/>
        </w:rPr>
        <w:t>. These linear anomalies likely represent fractures or shear zones that focused fluid flow, consistent with structural controls documented in Nigeri</w:t>
      </w:r>
      <w:r w:rsidR="00481FCD">
        <w:rPr>
          <w:rFonts w:ascii="Times New Roman" w:eastAsia="Times New Roman" w:hAnsi="Times New Roman" w:cs="Times New Roman"/>
          <w:sz w:val="24"/>
          <w:szCs w:val="24"/>
        </w:rPr>
        <w:t>an basement terrains (</w:t>
      </w:r>
      <w:proofErr w:type="spellStart"/>
      <w:r w:rsidR="00481FCD">
        <w:rPr>
          <w:rFonts w:ascii="Times New Roman" w:eastAsia="Times New Roman" w:hAnsi="Times New Roman" w:cs="Times New Roman"/>
          <w:sz w:val="24"/>
          <w:szCs w:val="24"/>
        </w:rPr>
        <w:t>Adepelumi</w:t>
      </w:r>
      <w:proofErr w:type="spellEnd"/>
      <w:r w:rsidR="00481FCD">
        <w:rPr>
          <w:rFonts w:ascii="Times New Roman" w:eastAsia="Times New Roman" w:hAnsi="Times New Roman" w:cs="Times New Roman"/>
          <w:sz w:val="24"/>
          <w:szCs w:val="24"/>
        </w:rPr>
        <w:t xml:space="preserve"> et al., 2008; </w:t>
      </w:r>
      <w:proofErr w:type="spellStart"/>
      <w:r w:rsidR="00481FCD">
        <w:rPr>
          <w:rFonts w:ascii="Times New Roman" w:eastAsia="Times New Roman" w:hAnsi="Times New Roman" w:cs="Times New Roman"/>
          <w:sz w:val="24"/>
          <w:szCs w:val="24"/>
        </w:rPr>
        <w:t>Akingboye</w:t>
      </w:r>
      <w:proofErr w:type="spellEnd"/>
      <w:r w:rsidR="00481FCD">
        <w:rPr>
          <w:rFonts w:ascii="Times New Roman" w:eastAsia="Times New Roman" w:hAnsi="Times New Roman" w:cs="Times New Roman"/>
          <w:sz w:val="24"/>
          <w:szCs w:val="24"/>
        </w:rPr>
        <w:t xml:space="preserve"> &amp; </w:t>
      </w:r>
      <w:proofErr w:type="spellStart"/>
      <w:r w:rsidR="00481FCD">
        <w:rPr>
          <w:rFonts w:ascii="Times New Roman" w:eastAsia="Times New Roman" w:hAnsi="Times New Roman" w:cs="Times New Roman"/>
          <w:sz w:val="24"/>
          <w:szCs w:val="24"/>
        </w:rPr>
        <w:t>Ogunyele</w:t>
      </w:r>
      <w:proofErr w:type="spellEnd"/>
      <w:r w:rsidR="00481FCD">
        <w:rPr>
          <w:rFonts w:ascii="Times New Roman" w:eastAsia="Times New Roman" w:hAnsi="Times New Roman" w:cs="Times New Roman"/>
          <w:sz w:val="24"/>
          <w:szCs w:val="24"/>
        </w:rPr>
        <w:t>, 2017</w:t>
      </w:r>
      <w:r w:rsidR="003D1A35">
        <w:rPr>
          <w:rFonts w:ascii="Times New Roman" w:eastAsia="Times New Roman" w:hAnsi="Times New Roman" w:cs="Times New Roman"/>
          <w:sz w:val="24"/>
          <w:szCs w:val="24"/>
        </w:rPr>
        <w:t xml:space="preserve">). </w:t>
      </w:r>
      <w:r w:rsidRPr="009C7D08">
        <w:rPr>
          <w:rFonts w:ascii="Times New Roman" w:eastAsia="Times New Roman" w:hAnsi="Times New Roman" w:cs="Times New Roman"/>
          <w:sz w:val="24"/>
          <w:szCs w:val="24"/>
        </w:rPr>
        <w:t xml:space="preserve">Low potassium zones (≤0.8%) dominate the eastern and northern areas around </w:t>
      </w:r>
      <w:proofErr w:type="spellStart"/>
      <w:r w:rsidRPr="009C7D08">
        <w:rPr>
          <w:rFonts w:ascii="Times New Roman" w:eastAsia="Times New Roman" w:hAnsi="Times New Roman" w:cs="Times New Roman"/>
          <w:sz w:val="24"/>
          <w:szCs w:val="24"/>
        </w:rPr>
        <w:t>Aiyetoro</w:t>
      </w:r>
      <w:proofErr w:type="spellEnd"/>
      <w:r w:rsidRPr="009C7D08">
        <w:rPr>
          <w:rFonts w:ascii="Times New Roman" w:eastAsia="Times New Roman" w:hAnsi="Times New Roman" w:cs="Times New Roman"/>
          <w:sz w:val="24"/>
          <w:szCs w:val="24"/>
        </w:rPr>
        <w:t xml:space="preserve">, </w:t>
      </w:r>
      <w:proofErr w:type="spellStart"/>
      <w:r w:rsidRPr="009C7D08">
        <w:rPr>
          <w:rFonts w:ascii="Times New Roman" w:eastAsia="Times New Roman" w:hAnsi="Times New Roman" w:cs="Times New Roman"/>
          <w:sz w:val="24"/>
          <w:szCs w:val="24"/>
        </w:rPr>
        <w:t>Ewu</w:t>
      </w:r>
      <w:proofErr w:type="spellEnd"/>
      <w:r w:rsidRPr="009C7D08">
        <w:rPr>
          <w:rFonts w:ascii="Times New Roman" w:eastAsia="Times New Roman" w:hAnsi="Times New Roman" w:cs="Times New Roman"/>
          <w:sz w:val="24"/>
          <w:szCs w:val="24"/>
        </w:rPr>
        <w:t>, and Ora. These correspond to quartz-rich or weakly altered migmatite–gneiss units with inherently low K content, and may also reflect leaching during hydrothermal activity or intense tropic</w:t>
      </w:r>
      <w:r w:rsidR="009429CA">
        <w:rPr>
          <w:rFonts w:ascii="Times New Roman" w:eastAsia="Times New Roman" w:hAnsi="Times New Roman" w:cs="Times New Roman"/>
          <w:sz w:val="24"/>
          <w:szCs w:val="24"/>
        </w:rPr>
        <w:t>al weathering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003D1A35">
        <w:rPr>
          <w:rFonts w:ascii="Times New Roman" w:eastAsia="Times New Roman" w:hAnsi="Times New Roman" w:cs="Times New Roman"/>
          <w:sz w:val="24"/>
          <w:szCs w:val="24"/>
        </w:rPr>
        <w:t>). T</w:t>
      </w:r>
      <w:r w:rsidRPr="009C7D08">
        <w:rPr>
          <w:rFonts w:ascii="Times New Roman" w:eastAsia="Times New Roman" w:hAnsi="Times New Roman" w:cs="Times New Roman"/>
          <w:sz w:val="24"/>
          <w:szCs w:val="24"/>
        </w:rPr>
        <w:t xml:space="preserve">he map reveals: (1) K-enriched zones indicating potassic alteration and possible hydrothermal mineralization; (2) moderate anomalies along NE–SW structures, suggesting fault-related mineralizing pathways; and (3) K-depleted zones marking unaltered or silicified rocks. These patterns highlight the central and southwestern regions as priority targets for further structural, geochemical, and </w:t>
      </w:r>
      <w:r w:rsidR="00052E99">
        <w:rPr>
          <w:rFonts w:ascii="Times New Roman" w:eastAsia="Times New Roman" w:hAnsi="Times New Roman" w:cs="Times New Roman"/>
          <w:sz w:val="24"/>
          <w:szCs w:val="24"/>
        </w:rPr>
        <w:t>geophysical exploration (</w:t>
      </w:r>
      <w:proofErr w:type="spellStart"/>
      <w:r w:rsidR="00052E99" w:rsidRPr="00E11089">
        <w:rPr>
          <w:rFonts w:ascii="Times New Roman" w:hAnsi="Times New Roman" w:cs="Times New Roman"/>
          <w:sz w:val="24"/>
          <w:szCs w:val="24"/>
        </w:rPr>
        <w:t>Onyejiuwaka</w:t>
      </w:r>
      <w:proofErr w:type="spellEnd"/>
      <w:r w:rsidR="00052E99" w:rsidRPr="00E11089">
        <w:rPr>
          <w:rFonts w:ascii="Times New Roman" w:hAnsi="Times New Roman" w:cs="Times New Roman"/>
          <w:sz w:val="24"/>
          <w:szCs w:val="24"/>
        </w:rPr>
        <w:t xml:space="preserve"> &amp; </w:t>
      </w:r>
      <w:proofErr w:type="spellStart"/>
      <w:r w:rsidR="00052E99" w:rsidRPr="00E11089">
        <w:rPr>
          <w:rFonts w:ascii="Times New Roman" w:hAnsi="Times New Roman" w:cs="Times New Roman"/>
          <w:sz w:val="24"/>
          <w:szCs w:val="24"/>
        </w:rPr>
        <w:t>Nwokeabia</w:t>
      </w:r>
      <w:proofErr w:type="spellEnd"/>
      <w:r w:rsidR="00052E99" w:rsidRPr="00E11089">
        <w:rPr>
          <w:rFonts w:ascii="Times New Roman" w:hAnsi="Times New Roman" w:cs="Times New Roman"/>
          <w:sz w:val="24"/>
          <w:szCs w:val="24"/>
        </w:rPr>
        <w:t>, 2020</w:t>
      </w:r>
      <w:r w:rsidRPr="00E11089">
        <w:rPr>
          <w:rFonts w:ascii="Times New Roman" w:eastAsia="Times New Roman" w:hAnsi="Times New Roman" w:cs="Times New Roman"/>
          <w:sz w:val="24"/>
          <w:szCs w:val="24"/>
        </w:rPr>
        <w:t>).</w:t>
      </w:r>
    </w:p>
    <w:p w14:paraId="63C7BD26" w14:textId="5F18B222" w:rsidR="00F1189E" w:rsidRDefault="00F1189E" w:rsidP="00F1189E">
      <w:pPr>
        <w:spacing w:line="240" w:lineRule="auto"/>
        <w:ind w:right="-15"/>
        <w:jc w:val="both"/>
        <w:rPr>
          <w:rFonts w:ascii="Times New Roman" w:hAnsi="Times New Roman" w:cs="Times New Roman"/>
          <w:b/>
          <w:sz w:val="24"/>
          <w:szCs w:val="24"/>
        </w:rPr>
      </w:pPr>
      <w:r>
        <w:rPr>
          <w:rFonts w:ascii="Times New Roman" w:hAnsi="Times New Roman" w:cs="Times New Roman"/>
          <w:b/>
          <w:sz w:val="24"/>
          <w:szCs w:val="24"/>
        </w:rPr>
        <w:t>4.2 Thorium Radiometric</w:t>
      </w:r>
    </w:p>
    <w:p w14:paraId="05838857" w14:textId="6FB604E5" w:rsidR="003D1A35" w:rsidRPr="003D1A35" w:rsidRDefault="003D1A35" w:rsidP="00565040">
      <w:pPr>
        <w:spacing w:before="100" w:beforeAutospacing="1" w:after="100" w:afterAutospacing="1" w:line="240" w:lineRule="auto"/>
        <w:jc w:val="both"/>
        <w:rPr>
          <w:rFonts w:ascii="Times New Roman" w:eastAsia="Times New Roman" w:hAnsi="Times New Roman" w:cs="Times New Roman"/>
          <w:sz w:val="24"/>
          <w:szCs w:val="24"/>
        </w:rPr>
      </w:pPr>
      <w:r w:rsidRPr="003D1A35">
        <w:rPr>
          <w:rFonts w:ascii="Times New Roman" w:eastAsia="Times New Roman" w:hAnsi="Times New Roman" w:cs="Times New Roman"/>
          <w:sz w:val="24"/>
          <w:szCs w:val="24"/>
        </w:rPr>
        <w:t>The thorium (Th) radiometric map of Orin-Ekiti and its environs (</w:t>
      </w:r>
      <w:r w:rsidRPr="0088750D">
        <w:rPr>
          <w:rFonts w:ascii="Times New Roman" w:eastAsia="Times New Roman" w:hAnsi="Times New Roman" w:cs="Times New Roman"/>
          <w:b/>
          <w:sz w:val="24"/>
          <w:szCs w:val="24"/>
        </w:rPr>
        <w:t>Figure 4</w:t>
      </w:r>
      <w:r w:rsidRPr="003D1A35">
        <w:rPr>
          <w:rFonts w:ascii="Times New Roman" w:eastAsia="Times New Roman" w:hAnsi="Times New Roman" w:cs="Times New Roman"/>
          <w:sz w:val="24"/>
          <w:szCs w:val="24"/>
        </w:rPr>
        <w:t xml:space="preserve">) shows clear spatial variations in Th concentration that reflect lithological differences, weathering intensity, and structural controls. High thorium values (red–violet zones) dominate around </w:t>
      </w:r>
      <w:proofErr w:type="spellStart"/>
      <w:r w:rsidRPr="003D1A35">
        <w:rPr>
          <w:rFonts w:ascii="Times New Roman" w:eastAsia="Times New Roman" w:hAnsi="Times New Roman" w:cs="Times New Roman"/>
          <w:sz w:val="24"/>
          <w:szCs w:val="24"/>
        </w:rPr>
        <w:t>Ilogbo</w:t>
      </w:r>
      <w:proofErr w:type="spellEnd"/>
      <w:r w:rsidRPr="003D1A35">
        <w:rPr>
          <w:rFonts w:ascii="Times New Roman" w:eastAsia="Times New Roman" w:hAnsi="Times New Roman" w:cs="Times New Roman"/>
          <w:sz w:val="24"/>
          <w:szCs w:val="24"/>
        </w:rPr>
        <w:t xml:space="preserve">, </w:t>
      </w:r>
      <w:proofErr w:type="spellStart"/>
      <w:r w:rsidRPr="003D1A35">
        <w:rPr>
          <w:rFonts w:ascii="Times New Roman" w:eastAsia="Times New Roman" w:hAnsi="Times New Roman" w:cs="Times New Roman"/>
          <w:sz w:val="24"/>
          <w:szCs w:val="24"/>
        </w:rPr>
        <w:t>Iddo</w:t>
      </w:r>
      <w:proofErr w:type="spellEnd"/>
      <w:r w:rsidRPr="003D1A35">
        <w:rPr>
          <w:rFonts w:ascii="Times New Roman" w:eastAsia="Times New Roman" w:hAnsi="Times New Roman" w:cs="Times New Roman"/>
          <w:sz w:val="24"/>
          <w:szCs w:val="24"/>
        </w:rPr>
        <w:t xml:space="preserve">-Ekiti, and parts of Orin. These areas correspond to granitic and </w:t>
      </w:r>
      <w:proofErr w:type="spellStart"/>
      <w:r w:rsidRPr="003D1A35">
        <w:rPr>
          <w:rFonts w:ascii="Times New Roman" w:eastAsia="Times New Roman" w:hAnsi="Times New Roman" w:cs="Times New Roman"/>
          <w:sz w:val="24"/>
          <w:szCs w:val="24"/>
        </w:rPr>
        <w:t>charnockitic</w:t>
      </w:r>
      <w:proofErr w:type="spellEnd"/>
      <w:r w:rsidRPr="003D1A35">
        <w:rPr>
          <w:rFonts w:ascii="Times New Roman" w:eastAsia="Times New Roman" w:hAnsi="Times New Roman" w:cs="Times New Roman"/>
          <w:sz w:val="24"/>
          <w:szCs w:val="24"/>
        </w:rPr>
        <w:t xml:space="preserve"> rocks that typically host Th-rich accessory minerals such as monazite, zircon, and </w:t>
      </w:r>
      <w:proofErr w:type="spellStart"/>
      <w:r w:rsidRPr="003D1A35">
        <w:rPr>
          <w:rFonts w:ascii="Times New Roman" w:eastAsia="Times New Roman" w:hAnsi="Times New Roman" w:cs="Times New Roman"/>
          <w:sz w:val="24"/>
          <w:szCs w:val="24"/>
        </w:rPr>
        <w:t>allanite</w:t>
      </w:r>
      <w:proofErr w:type="spellEnd"/>
      <w:r w:rsidRPr="003D1A35">
        <w:rPr>
          <w:rFonts w:ascii="Times New Roman" w:eastAsia="Times New Roman" w:hAnsi="Times New Roman" w:cs="Times New Roman"/>
          <w:sz w:val="24"/>
          <w:szCs w:val="24"/>
        </w:rPr>
        <w:t xml:space="preserve"> (Wilford et </w:t>
      </w:r>
      <w:r w:rsidR="001E3C9B">
        <w:rPr>
          <w:rFonts w:ascii="Times New Roman" w:eastAsia="Times New Roman" w:hAnsi="Times New Roman" w:cs="Times New Roman"/>
          <w:sz w:val="24"/>
          <w:szCs w:val="24"/>
        </w:rPr>
        <w:t xml:space="preserve">al., 1997; </w:t>
      </w:r>
      <w:r w:rsidR="001E3C9B" w:rsidRPr="001E3C9B">
        <w:rPr>
          <w:rStyle w:val="Strong"/>
          <w:rFonts w:ascii="Times New Roman" w:hAnsi="Times New Roman" w:cs="Times New Roman"/>
          <w:b w:val="0"/>
          <w:sz w:val="24"/>
          <w:szCs w:val="24"/>
        </w:rPr>
        <w:t>Reilly &amp; Corey, 1988</w:t>
      </w:r>
      <w:r w:rsidR="001E3C9B">
        <w:rPr>
          <w:rStyle w:val="Strong"/>
        </w:rPr>
        <w:t>)</w:t>
      </w:r>
      <w:r w:rsidR="001E3C9B">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Because thorium is immobile during weathering, these high-Th zones indicate stable felsic lithologies and potential locations of REE-bearing pegmatites or granitic intrusion</w:t>
      </w:r>
      <w:r w:rsidR="009429CA">
        <w:rPr>
          <w:rFonts w:ascii="Times New Roman" w:eastAsia="Times New Roman" w:hAnsi="Times New Roman" w:cs="Times New Roman"/>
          <w:sz w:val="24"/>
          <w:szCs w:val="24"/>
        </w:rPr>
        <w:t>s (</w:t>
      </w:r>
      <w:proofErr w:type="spellStart"/>
      <w:r w:rsidR="009429CA">
        <w:rPr>
          <w:rFonts w:ascii="Times New Roman" w:eastAsia="Times New Roman" w:hAnsi="Times New Roman" w:cs="Times New Roman"/>
          <w:sz w:val="24"/>
          <w:szCs w:val="24"/>
        </w:rPr>
        <w:t>Rahaman</w:t>
      </w:r>
      <w:proofErr w:type="spellEnd"/>
      <w:r w:rsidR="009429CA">
        <w:rPr>
          <w:rFonts w:ascii="Times New Roman" w:eastAsia="Times New Roman" w:hAnsi="Times New Roman" w:cs="Times New Roman"/>
          <w:sz w:val="24"/>
          <w:szCs w:val="24"/>
        </w:rPr>
        <w:t xml:space="preserve">, 1988; </w:t>
      </w:r>
      <w:proofErr w:type="spellStart"/>
      <w:r w:rsidR="009429CA" w:rsidRPr="009429CA">
        <w:rPr>
          <w:rFonts w:ascii="Times New Roman" w:hAnsi="Times New Roman" w:cs="Times New Roman"/>
          <w:sz w:val="24"/>
          <w:szCs w:val="24"/>
        </w:rPr>
        <w:t>Ogunyele</w:t>
      </w:r>
      <w:proofErr w:type="spellEnd"/>
      <w:r w:rsidR="009429CA" w:rsidRPr="009429CA">
        <w:rPr>
          <w:rFonts w:ascii="Times New Roman" w:hAnsi="Times New Roman" w:cs="Times New Roman"/>
          <w:sz w:val="24"/>
          <w:szCs w:val="24"/>
        </w:rPr>
        <w:t xml:space="preserve"> et al., 2017</w:t>
      </w:r>
      <w:r w:rsidRPr="003D1A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 xml:space="preserve">Moderate thorium anomalies (yellow–green tones) around </w:t>
      </w:r>
      <w:proofErr w:type="spellStart"/>
      <w:r w:rsidRPr="003D1A35">
        <w:rPr>
          <w:rFonts w:ascii="Times New Roman" w:eastAsia="Times New Roman" w:hAnsi="Times New Roman" w:cs="Times New Roman"/>
          <w:sz w:val="24"/>
          <w:szCs w:val="24"/>
        </w:rPr>
        <w:t>Usi</w:t>
      </w:r>
      <w:proofErr w:type="spellEnd"/>
      <w:r w:rsidRPr="003D1A35">
        <w:rPr>
          <w:rFonts w:ascii="Times New Roman" w:eastAsia="Times New Roman" w:hAnsi="Times New Roman" w:cs="Times New Roman"/>
          <w:sz w:val="24"/>
          <w:szCs w:val="24"/>
        </w:rPr>
        <w:t xml:space="preserve"> and </w:t>
      </w:r>
      <w:proofErr w:type="spellStart"/>
      <w:r w:rsidRPr="003D1A35">
        <w:rPr>
          <w:rFonts w:ascii="Times New Roman" w:eastAsia="Times New Roman" w:hAnsi="Times New Roman" w:cs="Times New Roman"/>
          <w:sz w:val="24"/>
          <w:szCs w:val="24"/>
        </w:rPr>
        <w:t>Aiyetoro</w:t>
      </w:r>
      <w:proofErr w:type="spellEnd"/>
      <w:r w:rsidRPr="003D1A35">
        <w:rPr>
          <w:rFonts w:ascii="Times New Roman" w:eastAsia="Times New Roman" w:hAnsi="Times New Roman" w:cs="Times New Roman"/>
          <w:sz w:val="24"/>
          <w:szCs w:val="24"/>
        </w:rPr>
        <w:t xml:space="preserve"> suggest mixed lithologies</w:t>
      </w:r>
      <w:r w:rsidR="001E3C9B">
        <w:rPr>
          <w:rFonts w:ascii="Times New Roman" w:eastAsia="Times New Roman" w:hAnsi="Times New Roman" w:cs="Times New Roman"/>
          <w:sz w:val="24"/>
          <w:szCs w:val="24"/>
        </w:rPr>
        <w:t>, with granitic gneiss transitioning</w:t>
      </w:r>
      <w:r w:rsidRPr="003D1A35">
        <w:rPr>
          <w:rFonts w:ascii="Times New Roman" w:eastAsia="Times New Roman" w:hAnsi="Times New Roman" w:cs="Times New Roman"/>
          <w:sz w:val="24"/>
          <w:szCs w:val="24"/>
        </w:rPr>
        <w:t xml:space="preserve"> into </w:t>
      </w:r>
      <w:proofErr w:type="spellStart"/>
      <w:r w:rsidRPr="003D1A35">
        <w:rPr>
          <w:rFonts w:ascii="Times New Roman" w:eastAsia="Times New Roman" w:hAnsi="Times New Roman" w:cs="Times New Roman"/>
          <w:sz w:val="24"/>
          <w:szCs w:val="24"/>
        </w:rPr>
        <w:t>migmatitic</w:t>
      </w:r>
      <w:proofErr w:type="spellEnd"/>
      <w:r w:rsidRPr="003D1A35">
        <w:rPr>
          <w:rFonts w:ascii="Times New Roman" w:eastAsia="Times New Roman" w:hAnsi="Times New Roman" w:cs="Times New Roman"/>
          <w:sz w:val="24"/>
          <w:szCs w:val="24"/>
        </w:rPr>
        <w:t xml:space="preserve"> complexes. These intermediate signatures may reflect partial melting and hybrid basement rocks with moderate </w:t>
      </w:r>
      <w:r w:rsidR="00E4436C">
        <w:rPr>
          <w:rFonts w:ascii="Times New Roman" w:eastAsia="Times New Roman" w:hAnsi="Times New Roman" w:cs="Times New Roman"/>
          <w:sz w:val="24"/>
          <w:szCs w:val="24"/>
        </w:rPr>
        <w:t>radiogenic content (Christopher et al., 2022</w:t>
      </w:r>
      <w:r w:rsidRPr="003D1A35">
        <w:rPr>
          <w:rFonts w:ascii="Times New Roman" w:eastAsia="Times New Roman" w:hAnsi="Times New Roman" w:cs="Times New Roman"/>
          <w:sz w:val="24"/>
          <w:szCs w:val="24"/>
        </w:rPr>
        <w:t xml:space="preserve">). Low thorium values (blue–cyan zones) in </w:t>
      </w:r>
      <w:proofErr w:type="spellStart"/>
      <w:r w:rsidRPr="003D1A35">
        <w:rPr>
          <w:rFonts w:ascii="Times New Roman" w:eastAsia="Times New Roman" w:hAnsi="Times New Roman" w:cs="Times New Roman"/>
          <w:sz w:val="24"/>
          <w:szCs w:val="24"/>
        </w:rPr>
        <w:t>Ewu</w:t>
      </w:r>
      <w:proofErr w:type="spellEnd"/>
      <w:r w:rsidRPr="003D1A35">
        <w:rPr>
          <w:rFonts w:ascii="Times New Roman" w:eastAsia="Times New Roman" w:hAnsi="Times New Roman" w:cs="Times New Roman"/>
          <w:sz w:val="24"/>
          <w:szCs w:val="24"/>
        </w:rPr>
        <w:t xml:space="preserve"> and southern Ora correlate with quartzite, highly weathered terrains, and lithologies </w:t>
      </w:r>
      <w:r>
        <w:rPr>
          <w:rFonts w:ascii="Times New Roman" w:eastAsia="Times New Roman" w:hAnsi="Times New Roman" w:cs="Times New Roman"/>
          <w:sz w:val="24"/>
          <w:szCs w:val="24"/>
        </w:rPr>
        <w:t xml:space="preserve">deficient in accessory minerals, </w:t>
      </w:r>
      <w:r w:rsidRPr="003D1A35">
        <w:rPr>
          <w:rFonts w:ascii="Times New Roman" w:eastAsia="Times New Roman" w:hAnsi="Times New Roman" w:cs="Times New Roman"/>
          <w:sz w:val="24"/>
          <w:szCs w:val="24"/>
        </w:rPr>
        <w:t>indicating low mineralization potential (</w:t>
      </w:r>
      <w:proofErr w:type="spellStart"/>
      <w:r w:rsidRPr="003D1A35">
        <w:rPr>
          <w:rFonts w:ascii="Times New Roman" w:eastAsia="Times New Roman" w:hAnsi="Times New Roman" w:cs="Times New Roman"/>
          <w:sz w:val="24"/>
          <w:szCs w:val="24"/>
        </w:rPr>
        <w:t>Adepelumi</w:t>
      </w:r>
      <w:proofErr w:type="spellEnd"/>
      <w:r w:rsidRPr="003D1A35">
        <w:rPr>
          <w:rFonts w:ascii="Times New Roman" w:eastAsia="Times New Roman" w:hAnsi="Times New Roman" w:cs="Times New Roman"/>
          <w:sz w:val="24"/>
          <w:szCs w:val="24"/>
        </w:rPr>
        <w:t xml:space="preserve"> et al., 2008).</w:t>
      </w:r>
      <w:r>
        <w:rPr>
          <w:rFonts w:ascii="Times New Roman" w:eastAsia="Times New Roman" w:hAnsi="Times New Roman" w:cs="Times New Roman"/>
          <w:sz w:val="24"/>
          <w:szCs w:val="24"/>
        </w:rPr>
        <w:t xml:space="preserve"> </w:t>
      </w:r>
      <w:r w:rsidRPr="003D1A35">
        <w:rPr>
          <w:rFonts w:ascii="Times New Roman" w:eastAsia="Times New Roman" w:hAnsi="Times New Roman" w:cs="Times New Roman"/>
          <w:sz w:val="24"/>
          <w:szCs w:val="24"/>
        </w:rPr>
        <w:t xml:space="preserve">Structurally, the NE–SW alignment of high-Th anomalies follows the regional tectonic trend and likely represents shear zones, intrusive contacts, or fracture corridors that focused hydrothermal fluids. These structural pathways commonly enhance radiogenic mineral concentration and may indicate </w:t>
      </w:r>
      <w:proofErr w:type="spellStart"/>
      <w:r w:rsidRPr="003D1A35">
        <w:rPr>
          <w:rFonts w:ascii="Times New Roman" w:eastAsia="Times New Roman" w:hAnsi="Times New Roman" w:cs="Times New Roman"/>
          <w:sz w:val="24"/>
          <w:szCs w:val="24"/>
        </w:rPr>
        <w:t>favourable</w:t>
      </w:r>
      <w:proofErr w:type="spellEnd"/>
      <w:r w:rsidRPr="003D1A35">
        <w:rPr>
          <w:rFonts w:ascii="Times New Roman" w:eastAsia="Times New Roman" w:hAnsi="Times New Roman" w:cs="Times New Roman"/>
          <w:sz w:val="24"/>
          <w:szCs w:val="24"/>
        </w:rPr>
        <w:t xml:space="preserve"> zones for REE or uranium mineralization in</w:t>
      </w:r>
      <w:r w:rsidR="00052E99">
        <w:rPr>
          <w:rFonts w:ascii="Times New Roman" w:eastAsia="Times New Roman" w:hAnsi="Times New Roman" w:cs="Times New Roman"/>
          <w:sz w:val="24"/>
          <w:szCs w:val="24"/>
        </w:rPr>
        <w:t xml:space="preserve"> basement terrains (</w:t>
      </w:r>
      <w:proofErr w:type="spellStart"/>
      <w:r w:rsidR="00052E99" w:rsidRPr="00E11089">
        <w:rPr>
          <w:rFonts w:ascii="Times New Roman" w:hAnsi="Times New Roman" w:cs="Times New Roman"/>
          <w:sz w:val="24"/>
          <w:szCs w:val="24"/>
        </w:rPr>
        <w:t>Onyejiuwaka</w:t>
      </w:r>
      <w:proofErr w:type="spellEnd"/>
      <w:r w:rsidR="00052E99" w:rsidRPr="00E11089">
        <w:rPr>
          <w:rFonts w:ascii="Times New Roman" w:hAnsi="Times New Roman" w:cs="Times New Roman"/>
          <w:sz w:val="24"/>
          <w:szCs w:val="24"/>
        </w:rPr>
        <w:t xml:space="preserve"> &amp; </w:t>
      </w:r>
      <w:proofErr w:type="spellStart"/>
      <w:r w:rsidR="00052E99" w:rsidRPr="00E11089">
        <w:rPr>
          <w:rFonts w:ascii="Times New Roman" w:hAnsi="Times New Roman" w:cs="Times New Roman"/>
          <w:sz w:val="24"/>
          <w:szCs w:val="24"/>
        </w:rPr>
        <w:t>Nwokeabia</w:t>
      </w:r>
      <w:proofErr w:type="spellEnd"/>
      <w:r w:rsidR="00E11089">
        <w:rPr>
          <w:rFonts w:ascii="Times New Roman" w:hAnsi="Times New Roman" w:cs="Times New Roman"/>
          <w:sz w:val="24"/>
          <w:szCs w:val="24"/>
        </w:rPr>
        <w:t xml:space="preserve">, </w:t>
      </w:r>
      <w:r w:rsidR="00052E99" w:rsidRPr="00E11089">
        <w:rPr>
          <w:rFonts w:ascii="Times New Roman" w:hAnsi="Times New Roman" w:cs="Times New Roman"/>
          <w:sz w:val="24"/>
          <w:szCs w:val="24"/>
        </w:rPr>
        <w:t>2020</w:t>
      </w:r>
      <w:r w:rsidRPr="00E110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3D1A35">
        <w:rPr>
          <w:rFonts w:ascii="Times New Roman" w:eastAsia="Times New Roman" w:hAnsi="Times New Roman" w:cs="Times New Roman"/>
          <w:sz w:val="24"/>
          <w:szCs w:val="24"/>
        </w:rPr>
        <w:t>he thorium radiometric map highlights granitic–</w:t>
      </w:r>
      <w:proofErr w:type="spellStart"/>
      <w:r w:rsidRPr="003D1A35">
        <w:rPr>
          <w:rFonts w:ascii="Times New Roman" w:eastAsia="Times New Roman" w:hAnsi="Times New Roman" w:cs="Times New Roman"/>
          <w:sz w:val="24"/>
          <w:szCs w:val="24"/>
        </w:rPr>
        <w:t>charnockitic</w:t>
      </w:r>
      <w:proofErr w:type="spellEnd"/>
      <w:r w:rsidRPr="003D1A35">
        <w:rPr>
          <w:rFonts w:ascii="Times New Roman" w:eastAsia="Times New Roman" w:hAnsi="Times New Roman" w:cs="Times New Roman"/>
          <w:sz w:val="24"/>
          <w:szCs w:val="24"/>
        </w:rPr>
        <w:t xml:space="preserve"> intrusions, structurally controlled radiogenic enrichment, and potential REE or U-bearing systems within the Orin-Ekiti basement complex.</w:t>
      </w:r>
    </w:p>
    <w:p w14:paraId="2E0C4A26" w14:textId="77777777" w:rsidR="006B442E" w:rsidRPr="007C50AB" w:rsidRDefault="006B442E" w:rsidP="003D6405">
      <w:pPr>
        <w:spacing w:after="144" w:line="240" w:lineRule="auto"/>
        <w:jc w:val="both"/>
        <w:rPr>
          <w:rFonts w:ascii="Times New Roman" w:hAnsi="Times New Roman" w:cs="Times New Roman"/>
          <w:sz w:val="24"/>
          <w:szCs w:val="24"/>
        </w:rPr>
      </w:pPr>
    </w:p>
    <w:p w14:paraId="59E88264" w14:textId="5934D9A9" w:rsidR="006B442E" w:rsidRPr="007C50AB" w:rsidRDefault="006B442E" w:rsidP="003D6405">
      <w:pPr>
        <w:spacing w:after="144" w:line="240" w:lineRule="auto"/>
        <w:jc w:val="both"/>
        <w:rPr>
          <w:rFonts w:ascii="Times New Roman" w:hAnsi="Times New Roman" w:cs="Times New Roman"/>
          <w:sz w:val="24"/>
          <w:szCs w:val="24"/>
        </w:rPr>
        <w:sectPr w:rsidR="006B442E" w:rsidRPr="007C50AB" w:rsidSect="00F5082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14:paraId="22398EC4" w14:textId="06DD8978" w:rsidR="006F7BBE" w:rsidRDefault="00A74DE1" w:rsidP="003D6405">
      <w:pPr>
        <w:spacing w:after="144" w:line="240" w:lineRule="auto"/>
        <w:jc w:val="both"/>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lastRenderedPageBreak/>
        <w:t xml:space="preserve">  </w:t>
      </w:r>
      <w:r w:rsidR="006F7BBE">
        <w:rPr>
          <w:rFonts w:ascii="Times New Roman" w:hAnsi="Times New Roman" w:cs="Times New Roman"/>
          <w:noProof/>
          <w:sz w:val="24"/>
          <w:szCs w:val="24"/>
          <w14:ligatures w14:val="standardContextual"/>
        </w:rPr>
        <w:t xml:space="preserve">                    </w:t>
      </w:r>
    </w:p>
    <w:p w14:paraId="09AE4A45" w14:textId="25CEA403" w:rsidR="003C4AB9" w:rsidRPr="00036BB4" w:rsidRDefault="003C4AB9" w:rsidP="006F7BBE">
      <w:pPr>
        <w:spacing w:after="144" w:line="240" w:lineRule="auto"/>
        <w:jc w:val="both"/>
        <w:rPr>
          <w:rFonts w:ascii="Times New Roman" w:hAnsi="Times New Roman" w:cs="Times New Roman"/>
          <w:noProof/>
          <w:sz w:val="24"/>
          <w:szCs w:val="24"/>
          <w14:ligatures w14:val="standardContextual"/>
        </w:rPr>
      </w:pPr>
      <w:r w:rsidRPr="006F7BBE">
        <w:rPr>
          <w:rFonts w:ascii="Times New Roman" w:hAnsi="Times New Roman" w:cs="Times New Roman"/>
          <w:noProof/>
          <w:sz w:val="24"/>
          <w:szCs w:val="24"/>
          <w14:ligatures w14:val="standardContextual"/>
        </w:rPr>
        <w:drawing>
          <wp:inline distT="0" distB="0" distL="0" distR="0" wp14:anchorId="0B9AFC33" wp14:editId="65ABDF33">
            <wp:extent cx="3822700" cy="3725136"/>
            <wp:effectExtent l="0" t="0" r="635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3208" cy="3735376"/>
                    </a:xfrm>
                    <a:prstGeom prst="rect">
                      <a:avLst/>
                    </a:prstGeom>
                  </pic:spPr>
                </pic:pic>
              </a:graphicData>
            </a:graphic>
          </wp:inline>
        </w:drawing>
      </w:r>
      <w:r w:rsidR="001F0FBF" w:rsidRPr="00521EB3">
        <w:rPr>
          <w:rFonts w:ascii="Times New Roman" w:hAnsi="Times New Roman" w:cs="Times New Roman"/>
          <w:b/>
          <w:noProof/>
          <w:sz w:val="24"/>
          <w:szCs w:val="24"/>
        </w:rPr>
        <w:drawing>
          <wp:inline distT="0" distB="0" distL="0" distR="0" wp14:anchorId="0376D11F" wp14:editId="6223D1A7">
            <wp:extent cx="3321597" cy="450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9772" cy="4540338"/>
                    </a:xfrm>
                    <a:prstGeom prst="rect">
                      <a:avLst/>
                    </a:prstGeom>
                  </pic:spPr>
                </pic:pic>
              </a:graphicData>
            </a:graphic>
          </wp:inline>
        </w:drawing>
      </w:r>
    </w:p>
    <w:p w14:paraId="0891B7D6" w14:textId="183698CB" w:rsidR="00894894" w:rsidRDefault="006C18C2" w:rsidP="00642326">
      <w:pPr>
        <w:pStyle w:val="NormalWeb"/>
        <w:rPr>
          <w:noProof/>
          <w14:ligatures w14:val="standardContextual"/>
        </w:rPr>
      </w:pPr>
      <w:r>
        <w:t xml:space="preserve">    </w:t>
      </w:r>
      <w:r w:rsidRPr="007C50AB">
        <w:t xml:space="preserve">     </w:t>
      </w:r>
      <w:r w:rsidR="001F0FBF">
        <w:rPr>
          <w:b/>
        </w:rPr>
        <w:t>Figure 2</w:t>
      </w:r>
      <w:r w:rsidR="001F0FBF" w:rsidRPr="003C4AB9">
        <w:t>: Potassium Radiometric Map</w:t>
      </w:r>
      <w:r w:rsidR="001F0FBF">
        <w:t xml:space="preserve"> </w:t>
      </w:r>
      <w:r w:rsidRPr="007C50AB">
        <w:t xml:space="preserve">        </w:t>
      </w:r>
      <w:r w:rsidR="0083581B">
        <w:rPr>
          <w:noProof/>
          <w14:ligatures w14:val="standardContextual"/>
        </w:rPr>
        <w:t xml:space="preserve"> </w:t>
      </w:r>
      <w:r w:rsidR="0088750D">
        <w:rPr>
          <w:noProof/>
          <w14:ligatures w14:val="standardContextual"/>
        </w:rPr>
        <w:t xml:space="preserve">                      </w:t>
      </w:r>
      <w:r w:rsidR="001F0FBF">
        <w:rPr>
          <w:b/>
          <w:noProof/>
          <w14:ligatures w14:val="standardContextual"/>
        </w:rPr>
        <w:t xml:space="preserve">Figure 3: </w:t>
      </w:r>
      <w:r w:rsidR="001F0FBF">
        <w:rPr>
          <w:noProof/>
          <w14:ligatures w14:val="standardContextual"/>
        </w:rPr>
        <w:t>Potassium Radiometric Reclassified</w:t>
      </w:r>
      <w:r w:rsidR="001F0FBF">
        <w:rPr>
          <w:b/>
          <w:noProof/>
          <w14:ligatures w14:val="standardContextual"/>
        </w:rPr>
        <w:t xml:space="preserve"> </w:t>
      </w:r>
      <w:r w:rsidR="001F0FBF" w:rsidRPr="00036BB4">
        <w:rPr>
          <w:noProof/>
          <w14:ligatures w14:val="standardContextual"/>
        </w:rPr>
        <w:t>Map</w:t>
      </w:r>
      <w:r w:rsidR="001F0FBF">
        <w:t xml:space="preserve">                                        </w:t>
      </w:r>
    </w:p>
    <w:p w14:paraId="589EBCEB" w14:textId="417EFE51" w:rsidR="006952D6" w:rsidRDefault="009E4130" w:rsidP="003D6405">
      <w:pPr>
        <w:spacing w:after="0" w:line="240" w:lineRule="auto"/>
        <w:ind w:left="-3" w:right="-15" w:hanging="10"/>
        <w:jc w:val="both"/>
        <w:rPr>
          <w:rFonts w:ascii="Times New Roman" w:hAnsi="Times New Roman" w:cs="Times New Roman"/>
          <w:sz w:val="24"/>
          <w:szCs w:val="24"/>
        </w:rPr>
      </w:pPr>
      <w:r w:rsidRPr="007C50AB">
        <w:rPr>
          <w:rFonts w:ascii="Times New Roman" w:hAnsi="Times New Roman" w:cs="Times New Roman"/>
          <w:sz w:val="24"/>
          <w:szCs w:val="24"/>
        </w:rPr>
        <w:t xml:space="preserve">                                                                                                                                       </w:t>
      </w:r>
    </w:p>
    <w:p w14:paraId="2D7A9BB7" w14:textId="58139C54" w:rsidR="003C4AB9" w:rsidRPr="006F7BBE" w:rsidRDefault="003C4AB9" w:rsidP="003C4AB9">
      <w:pPr>
        <w:spacing w:after="144" w:line="240" w:lineRule="auto"/>
        <w:jc w:val="both"/>
        <w:rPr>
          <w:rFonts w:ascii="Times New Roman" w:hAnsi="Times New Roman" w:cs="Times New Roman"/>
          <w:noProof/>
          <w:sz w:val="24"/>
          <w:szCs w:val="24"/>
          <w14:ligatures w14:val="standardContextual"/>
        </w:rPr>
      </w:pPr>
      <w:r>
        <w:rPr>
          <w:rFonts w:ascii="Times New Roman" w:hAnsi="Times New Roman" w:cs="Times New Roman"/>
          <w:b/>
          <w:sz w:val="24"/>
          <w:szCs w:val="24"/>
        </w:rPr>
        <w:t xml:space="preserve">   </w:t>
      </w:r>
      <w:r>
        <w:t xml:space="preserve">                                                        </w:t>
      </w:r>
      <w:r w:rsidR="001F0FBF">
        <w:t xml:space="preserve">                      </w:t>
      </w:r>
      <w:r>
        <w:t xml:space="preserve">                                        </w:t>
      </w:r>
    </w:p>
    <w:p w14:paraId="292DEA5B" w14:textId="77777777" w:rsidR="006952D6" w:rsidRDefault="006952D6" w:rsidP="003D6405">
      <w:pPr>
        <w:spacing w:after="0" w:line="240" w:lineRule="auto"/>
        <w:ind w:left="-3" w:right="-15" w:hanging="10"/>
        <w:jc w:val="both"/>
        <w:rPr>
          <w:rFonts w:ascii="Times New Roman" w:hAnsi="Times New Roman" w:cs="Times New Roman"/>
          <w:sz w:val="24"/>
          <w:szCs w:val="24"/>
        </w:rPr>
      </w:pPr>
    </w:p>
    <w:p w14:paraId="2350319F" w14:textId="79B79FDE" w:rsidR="009E4130" w:rsidRPr="007C50AB" w:rsidRDefault="00073DF1" w:rsidP="003D6405">
      <w:pPr>
        <w:spacing w:after="0" w:line="240" w:lineRule="auto"/>
        <w:ind w:left="-3" w:right="-15" w:hanging="10"/>
        <w:jc w:val="both"/>
        <w:rPr>
          <w:rFonts w:ascii="Times New Roman" w:hAnsi="Times New Roman" w:cs="Times New Roman"/>
          <w:sz w:val="24"/>
          <w:szCs w:val="24"/>
        </w:rPr>
        <w:sectPr w:rsidR="009E4130" w:rsidRPr="007C50AB" w:rsidSect="00F5082F">
          <w:type w:val="continuous"/>
          <w:pgSz w:w="15840" w:h="12240" w:orient="landscape"/>
          <w:pgMar w:top="1440" w:right="1440" w:bottom="1440" w:left="1440" w:header="720" w:footer="720" w:gutter="0"/>
          <w:cols w:space="720"/>
          <w:docGrid w:linePitch="360"/>
        </w:sectPr>
      </w:pPr>
      <w:r>
        <w:rPr>
          <w:rFonts w:ascii="Times New Roman" w:hAnsi="Times New Roman" w:cs="Times New Roman"/>
          <w:noProof/>
          <w:sz w:val="24"/>
          <w:szCs w:val="24"/>
          <w14:ligatures w14:val="standardContextual"/>
        </w:rPr>
        <w:lastRenderedPageBreak/>
        <mc:AlternateContent>
          <mc:Choice Requires="wps">
            <w:drawing>
              <wp:anchor distT="0" distB="0" distL="114300" distR="114300" simplePos="0" relativeHeight="251667456" behindDoc="0" locked="0" layoutInCell="1" allowOverlap="1" wp14:anchorId="147CF439" wp14:editId="4E0F0053">
                <wp:simplePos x="0" y="0"/>
                <wp:positionH relativeFrom="column">
                  <wp:posOffset>176270</wp:posOffset>
                </wp:positionH>
                <wp:positionV relativeFrom="paragraph">
                  <wp:posOffset>4538949</wp:posOffset>
                </wp:positionV>
                <wp:extent cx="8064347" cy="341523"/>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8064347" cy="341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4298D" w14:textId="2AB42C89" w:rsidR="00510E29" w:rsidRPr="00073DF1" w:rsidRDefault="00510E29">
                            <w:pPr>
                              <w:rPr>
                                <w:rFonts w:ascii="Times New Roman" w:hAnsi="Times New Roman" w:cs="Times New Roman"/>
                                <w:sz w:val="24"/>
                                <w:szCs w:val="24"/>
                              </w:rPr>
                            </w:pPr>
                            <w:r w:rsidRPr="001F0FBF">
                              <w:rPr>
                                <w:rFonts w:ascii="Times New Roman" w:hAnsi="Times New Roman" w:cs="Times New Roman"/>
                                <w:b/>
                                <w:sz w:val="24"/>
                                <w:szCs w:val="24"/>
                              </w:rPr>
                              <w:t>Figure 4</w:t>
                            </w:r>
                            <w:r>
                              <w:rPr>
                                <w:rFonts w:ascii="Times New Roman" w:hAnsi="Times New Roman" w:cs="Times New Roman"/>
                                <w:sz w:val="24"/>
                                <w:szCs w:val="24"/>
                              </w:rPr>
                              <w:t>:</w:t>
                            </w:r>
                            <w:r w:rsidRPr="00073DF1">
                              <w:rPr>
                                <w:rFonts w:ascii="Times New Roman" w:hAnsi="Times New Roman" w:cs="Times New Roman"/>
                                <w:sz w:val="24"/>
                                <w:szCs w:val="24"/>
                              </w:rPr>
                              <w:t xml:space="preserve"> Thorium Radiometric Map                                      </w:t>
                            </w:r>
                            <w:r>
                              <w:rPr>
                                <w:rFonts w:ascii="Times New Roman" w:hAnsi="Times New Roman" w:cs="Times New Roman"/>
                                <w:sz w:val="24"/>
                                <w:szCs w:val="24"/>
                              </w:rPr>
                              <w:t xml:space="preserve">                        </w:t>
                            </w:r>
                            <w:r w:rsidRPr="001F0FBF">
                              <w:rPr>
                                <w:rFonts w:ascii="Times New Roman" w:hAnsi="Times New Roman" w:cs="Times New Roman"/>
                                <w:b/>
                                <w:sz w:val="24"/>
                                <w:szCs w:val="24"/>
                              </w:rPr>
                              <w:t>Figure 5</w:t>
                            </w:r>
                            <w:r>
                              <w:rPr>
                                <w:rFonts w:ascii="Times New Roman" w:hAnsi="Times New Roman" w:cs="Times New Roman"/>
                                <w:sz w:val="24"/>
                                <w:szCs w:val="24"/>
                              </w:rPr>
                              <w:t xml:space="preserve">: </w:t>
                            </w:r>
                            <w:r w:rsidRPr="00073DF1">
                              <w:rPr>
                                <w:rFonts w:ascii="Times New Roman" w:hAnsi="Times New Roman" w:cs="Times New Roman"/>
                                <w:sz w:val="24"/>
                                <w:szCs w:val="24"/>
                              </w:rPr>
                              <w:t xml:space="preserve"> Thorium Radiometric classified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7CF439" id="_x0000_t202" coordsize="21600,21600" o:spt="202" path="m,l,21600r21600,l21600,xe">
                <v:stroke joinstyle="miter"/>
                <v:path gradientshapeok="t" o:connecttype="rect"/>
              </v:shapetype>
              <v:shape id="Text Box 35" o:spid="_x0000_s1026" type="#_x0000_t202" style="position:absolute;left:0;text-align:left;margin-left:13.9pt;margin-top:357.4pt;width:635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YffgIAAGQ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" filled="f" stroked="f" strokeweight=".5pt">
                <v:textbox>
                  <w:txbxContent>
                    <w:p w14:paraId="7C64298D" w14:textId="2AB42C89" w:rsidR="00510E29" w:rsidRPr="00073DF1" w:rsidRDefault="00510E29">
                      <w:pPr>
                        <w:rPr>
                          <w:rFonts w:ascii="Times New Roman" w:hAnsi="Times New Roman" w:cs="Times New Roman"/>
                          <w:sz w:val="24"/>
                          <w:szCs w:val="24"/>
                        </w:rPr>
                      </w:pPr>
                      <w:r w:rsidRPr="001F0FBF">
                        <w:rPr>
                          <w:rFonts w:ascii="Times New Roman" w:hAnsi="Times New Roman" w:cs="Times New Roman"/>
                          <w:b/>
                          <w:sz w:val="24"/>
                          <w:szCs w:val="24"/>
                        </w:rPr>
                        <w:t>Figure 4</w:t>
                      </w:r>
                      <w:r>
                        <w:rPr>
                          <w:rFonts w:ascii="Times New Roman" w:hAnsi="Times New Roman" w:cs="Times New Roman"/>
                          <w:sz w:val="24"/>
                          <w:szCs w:val="24"/>
                        </w:rPr>
                        <w:t>:</w:t>
                      </w:r>
                      <w:r w:rsidRPr="00073DF1">
                        <w:rPr>
                          <w:rFonts w:ascii="Times New Roman" w:hAnsi="Times New Roman" w:cs="Times New Roman"/>
                          <w:sz w:val="24"/>
                          <w:szCs w:val="24"/>
                        </w:rPr>
                        <w:t xml:space="preserve"> Thorium Radiometric Map                                      </w:t>
                      </w:r>
                      <w:r>
                        <w:rPr>
                          <w:rFonts w:ascii="Times New Roman" w:hAnsi="Times New Roman" w:cs="Times New Roman"/>
                          <w:sz w:val="24"/>
                          <w:szCs w:val="24"/>
                        </w:rPr>
                        <w:t xml:space="preserve">                        </w:t>
                      </w:r>
                      <w:r w:rsidRPr="001F0FBF">
                        <w:rPr>
                          <w:rFonts w:ascii="Times New Roman" w:hAnsi="Times New Roman" w:cs="Times New Roman"/>
                          <w:b/>
                          <w:sz w:val="24"/>
                          <w:szCs w:val="24"/>
                        </w:rPr>
                        <w:t>Figure 5</w:t>
                      </w:r>
                      <w:r>
                        <w:rPr>
                          <w:rFonts w:ascii="Times New Roman" w:hAnsi="Times New Roman" w:cs="Times New Roman"/>
                          <w:sz w:val="24"/>
                          <w:szCs w:val="24"/>
                        </w:rPr>
                        <w:t xml:space="preserve">: </w:t>
                      </w:r>
                      <w:r w:rsidRPr="00073DF1">
                        <w:rPr>
                          <w:rFonts w:ascii="Times New Roman" w:hAnsi="Times New Roman" w:cs="Times New Roman"/>
                          <w:sz w:val="24"/>
                          <w:szCs w:val="24"/>
                        </w:rPr>
                        <w:t xml:space="preserve"> Thorium Radiometric classified Map    </w:t>
                      </w:r>
                    </w:p>
                  </w:txbxContent>
                </v:textbox>
              </v:shape>
            </w:pict>
          </mc:Fallback>
        </mc:AlternateContent>
      </w:r>
      <w:r w:rsidR="006952D6">
        <w:rPr>
          <w:rFonts w:ascii="Times New Roman" w:hAnsi="Times New Roman" w:cs="Times New Roman"/>
          <w:noProof/>
          <w:sz w:val="24"/>
          <w:szCs w:val="24"/>
          <w14:ligatures w14:val="standardContextual"/>
        </w:rPr>
        <mc:AlternateContent>
          <mc:Choice Requires="wps">
            <w:drawing>
              <wp:anchor distT="0" distB="0" distL="114300" distR="114300" simplePos="0" relativeHeight="251665408" behindDoc="0" locked="0" layoutInCell="1" allowOverlap="1" wp14:anchorId="51EE955E" wp14:editId="48A653F3">
                <wp:simplePos x="0" y="0"/>
                <wp:positionH relativeFrom="column">
                  <wp:posOffset>4245429</wp:posOffset>
                </wp:positionH>
                <wp:positionV relativeFrom="paragraph">
                  <wp:posOffset>-87086</wp:posOffset>
                </wp:positionV>
                <wp:extent cx="4076155" cy="5156616"/>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76155" cy="5156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EF5D7" w14:textId="77777777" w:rsidR="00510E29" w:rsidRDefault="00510E29"/>
                          <w:p w14:paraId="38D39711" w14:textId="13A06256" w:rsidR="00510E29" w:rsidRDefault="00510E29">
                            <w:r w:rsidRPr="001528A5">
                              <w:rPr>
                                <w:rFonts w:ascii="Times New Roman" w:hAnsi="Times New Roman" w:cs="Times New Roman"/>
                                <w:b/>
                                <w:noProof/>
                                <w:sz w:val="24"/>
                                <w:szCs w:val="24"/>
                              </w:rPr>
                              <w:drawing>
                                <wp:inline distT="0" distB="0" distL="0" distR="0" wp14:anchorId="513975AC" wp14:editId="32F30EC3">
                                  <wp:extent cx="4032135" cy="4759287"/>
                                  <wp:effectExtent l="0" t="0" r="6985" b="3810"/>
                                  <wp:docPr id="11" name="Picture 11" descr="C:\Users\HP\Desktop\MATECO PAPER 2\TH RAD. RECLASS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ATECO PAPER 2\TH RAD. RECLASSIFI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755" cy="4800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E955E" id="Text Box 5" o:spid="_x0000_s1027" type="#_x0000_t202" style="position:absolute;left:0;text-align:left;margin-left:334.3pt;margin-top:-6.85pt;width:320.95pt;height:406.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" filled="f" stroked="f" strokeweight=".5pt">
                <v:textbox>
                  <w:txbxContent>
                    <w:p w14:paraId="708EF5D7" w14:textId="77777777" w:rsidR="00510E29" w:rsidRDefault="00510E29"/>
                    <w:p w14:paraId="38D39711" w14:textId="13A06256" w:rsidR="00510E29" w:rsidRDefault="00510E29">
                      <w:r w:rsidRPr="001528A5">
                        <w:rPr>
                          <w:rFonts w:ascii="Times New Roman" w:hAnsi="Times New Roman" w:cs="Times New Roman"/>
                          <w:b/>
                          <w:noProof/>
                          <w:sz w:val="24"/>
                          <w:szCs w:val="24"/>
                        </w:rPr>
                        <w:drawing>
                          <wp:inline distT="0" distB="0" distL="0" distR="0" wp14:anchorId="513975AC" wp14:editId="32F30EC3">
                            <wp:extent cx="4032135" cy="4759287"/>
                            <wp:effectExtent l="0" t="0" r="6985" b="3810"/>
                            <wp:docPr id="11" name="Picture 11" descr="C:\Users\HP\Desktop\MATECO PAPER 2\TH RAD. RECLASS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ATECO PAPER 2\TH RAD. RECLASSIFI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6755" cy="4800151"/>
                                    </a:xfrm>
                                    <a:prstGeom prst="rect">
                                      <a:avLst/>
                                    </a:prstGeom>
                                    <a:noFill/>
                                    <a:ln>
                                      <a:noFill/>
                                    </a:ln>
                                  </pic:spPr>
                                </pic:pic>
                              </a:graphicData>
                            </a:graphic>
                          </wp:inline>
                        </w:drawing>
                      </w:r>
                    </w:p>
                  </w:txbxContent>
                </v:textbox>
              </v:shape>
            </w:pict>
          </mc:Fallback>
        </mc:AlternateContent>
      </w:r>
      <w:r w:rsidR="009E4130" w:rsidRPr="007C50AB">
        <w:rPr>
          <w:rFonts w:ascii="Times New Roman" w:hAnsi="Times New Roman" w:cs="Times New Roman"/>
          <w:sz w:val="24"/>
          <w:szCs w:val="24"/>
        </w:rPr>
        <w:t xml:space="preserve"> </w:t>
      </w:r>
      <w:r w:rsidR="006952D6" w:rsidRPr="00762C87">
        <w:rPr>
          <w:rFonts w:ascii="Times New Roman" w:hAnsi="Times New Roman" w:cs="Times New Roman"/>
          <w:b/>
          <w:noProof/>
          <w:sz w:val="24"/>
          <w:szCs w:val="24"/>
        </w:rPr>
        <w:drawing>
          <wp:inline distT="0" distB="0" distL="0" distR="0" wp14:anchorId="3C3BA6EF" wp14:editId="6510F76E">
            <wp:extent cx="4060372" cy="40331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3078" cy="4055675"/>
                    </a:xfrm>
                    <a:prstGeom prst="rect">
                      <a:avLst/>
                    </a:prstGeom>
                  </pic:spPr>
                </pic:pic>
              </a:graphicData>
            </a:graphic>
          </wp:inline>
        </w:drawing>
      </w:r>
      <w:r w:rsidR="009E4130" w:rsidRPr="007C50AB">
        <w:rPr>
          <w:rFonts w:ascii="Times New Roman" w:hAnsi="Times New Roman" w:cs="Times New Roman"/>
          <w:sz w:val="24"/>
          <w:szCs w:val="24"/>
        </w:rPr>
        <w:t xml:space="preserve">                       </w:t>
      </w:r>
    </w:p>
    <w:p w14:paraId="125CC297" w14:textId="1508F9E1" w:rsidR="00036BB4" w:rsidRPr="007461CE" w:rsidRDefault="00073DF1" w:rsidP="007461CE">
      <w:pPr>
        <w:spacing w:line="240" w:lineRule="auto"/>
        <w:ind w:right="-15"/>
        <w:jc w:val="both"/>
        <w:rPr>
          <w:rFonts w:ascii="Times New Roman" w:hAnsi="Times New Roman" w:cs="Times New Roman"/>
          <w:b/>
          <w:sz w:val="24"/>
          <w:szCs w:val="24"/>
        </w:rPr>
      </w:pPr>
      <w:r>
        <w:rPr>
          <w:rFonts w:ascii="Times New Roman" w:eastAsia="Times New Roman" w:hAnsi="Times New Roman" w:cs="Times New Roman"/>
          <w:b/>
          <w:sz w:val="24"/>
          <w:szCs w:val="24"/>
        </w:rPr>
        <w:lastRenderedPageBreak/>
        <w:t>4.3</w:t>
      </w:r>
      <w:r w:rsidR="00036BB4" w:rsidRPr="00036BB4">
        <w:rPr>
          <w:rFonts w:ascii="Times New Roman" w:eastAsia="Times New Roman" w:hAnsi="Times New Roman" w:cs="Times New Roman"/>
          <w:b/>
          <w:sz w:val="24"/>
          <w:szCs w:val="24"/>
        </w:rPr>
        <w:t xml:space="preserve"> Uranium Radiometric</w:t>
      </w:r>
    </w:p>
    <w:p w14:paraId="0B4E0ADC" w14:textId="30A55EF0" w:rsidR="00565040" w:rsidRPr="00565040" w:rsidRDefault="00565040" w:rsidP="00565040">
      <w:pPr>
        <w:spacing w:before="100" w:beforeAutospacing="1" w:after="100" w:afterAutospacing="1" w:line="240" w:lineRule="auto"/>
        <w:jc w:val="both"/>
        <w:rPr>
          <w:rFonts w:ascii="Times New Roman" w:eastAsia="Times New Roman" w:hAnsi="Times New Roman" w:cs="Times New Roman"/>
          <w:sz w:val="24"/>
          <w:szCs w:val="24"/>
        </w:rPr>
      </w:pPr>
      <w:r w:rsidRPr="00565040">
        <w:rPr>
          <w:rFonts w:ascii="Times New Roman" w:eastAsia="Times New Roman" w:hAnsi="Times New Roman" w:cs="Times New Roman"/>
          <w:sz w:val="24"/>
          <w:szCs w:val="24"/>
        </w:rPr>
        <w:t>The uranium (U) radiometric map of Orin-Ekiti and its environs (</w:t>
      </w:r>
      <w:r w:rsidRPr="00D41FCA">
        <w:rPr>
          <w:rFonts w:ascii="Times New Roman" w:eastAsia="Times New Roman" w:hAnsi="Times New Roman" w:cs="Times New Roman"/>
          <w:b/>
          <w:sz w:val="24"/>
          <w:szCs w:val="24"/>
        </w:rPr>
        <w:t xml:space="preserve">Figure 6) </w:t>
      </w:r>
      <w:r w:rsidRPr="00565040">
        <w:rPr>
          <w:rFonts w:ascii="Times New Roman" w:eastAsia="Times New Roman" w:hAnsi="Times New Roman" w:cs="Times New Roman"/>
          <w:sz w:val="24"/>
          <w:szCs w:val="24"/>
        </w:rPr>
        <w:t>shows distinct uranium variations that reflect lithology, alteration processes, and structural controls within the basement terrain. Uranium values range from low (blue–green) to high (red–violet), corresponding to differences in radioelement concentration, weathering behavior, and mobility during hydrothermal alt</w:t>
      </w:r>
      <w:r w:rsidR="0072035A">
        <w:rPr>
          <w:rFonts w:ascii="Times New Roman" w:eastAsia="Times New Roman" w:hAnsi="Times New Roman" w:cs="Times New Roman"/>
          <w:sz w:val="24"/>
          <w:szCs w:val="24"/>
        </w:rPr>
        <w:t>eration (</w:t>
      </w:r>
      <w:r w:rsidRPr="00565040">
        <w:rPr>
          <w:rFonts w:ascii="Times New Roman" w:eastAsia="Times New Roman" w:hAnsi="Times New Roman" w:cs="Times New Roman"/>
          <w:sz w:val="24"/>
          <w:szCs w:val="24"/>
        </w:rPr>
        <w:t xml:space="preserve">Wilford et al., 1997). High uranium anomalies, mainly around </w:t>
      </w:r>
      <w:proofErr w:type="spellStart"/>
      <w:r w:rsidRPr="00565040">
        <w:rPr>
          <w:rFonts w:ascii="Times New Roman" w:eastAsia="Times New Roman" w:hAnsi="Times New Roman" w:cs="Times New Roman"/>
          <w:sz w:val="24"/>
          <w:szCs w:val="24"/>
        </w:rPr>
        <w:t>Ilogbo</w:t>
      </w:r>
      <w:proofErr w:type="spellEnd"/>
      <w:r w:rsidRPr="00565040">
        <w:rPr>
          <w:rFonts w:ascii="Times New Roman" w:eastAsia="Times New Roman" w:hAnsi="Times New Roman" w:cs="Times New Roman"/>
          <w:sz w:val="24"/>
          <w:szCs w:val="24"/>
        </w:rPr>
        <w:t xml:space="preserve">, </w:t>
      </w:r>
      <w:proofErr w:type="spellStart"/>
      <w:r w:rsidRPr="00565040">
        <w:rPr>
          <w:rFonts w:ascii="Times New Roman" w:eastAsia="Times New Roman" w:hAnsi="Times New Roman" w:cs="Times New Roman"/>
          <w:sz w:val="24"/>
          <w:szCs w:val="24"/>
        </w:rPr>
        <w:t>Iddo</w:t>
      </w:r>
      <w:proofErr w:type="spellEnd"/>
      <w:r w:rsidRPr="00565040">
        <w:rPr>
          <w:rFonts w:ascii="Times New Roman" w:eastAsia="Times New Roman" w:hAnsi="Times New Roman" w:cs="Times New Roman"/>
          <w:sz w:val="24"/>
          <w:szCs w:val="24"/>
        </w:rPr>
        <w:t xml:space="preserve">-Ekiti, and parts of Orin and Ora, coincide with regions of elevated K and Th in the companion maps. These zones are underlain by felsic lithologies such as granite and </w:t>
      </w:r>
      <w:proofErr w:type="spellStart"/>
      <w:r w:rsidRPr="00565040">
        <w:rPr>
          <w:rFonts w:ascii="Times New Roman" w:eastAsia="Times New Roman" w:hAnsi="Times New Roman" w:cs="Times New Roman"/>
          <w:sz w:val="24"/>
          <w:szCs w:val="24"/>
        </w:rPr>
        <w:t>charnockite</w:t>
      </w:r>
      <w:proofErr w:type="spellEnd"/>
      <w:r w:rsidRPr="00565040">
        <w:rPr>
          <w:rFonts w:ascii="Times New Roman" w:eastAsia="Times New Roman" w:hAnsi="Times New Roman" w:cs="Times New Roman"/>
          <w:sz w:val="24"/>
          <w:szCs w:val="24"/>
        </w:rPr>
        <w:t>, which are naturally enriched in U-bearing accessory minerals like uraninite, monazite, and zirco</w:t>
      </w:r>
      <w:r w:rsidR="009429CA">
        <w:rPr>
          <w:rFonts w:ascii="Times New Roman" w:eastAsia="Times New Roman" w:hAnsi="Times New Roman" w:cs="Times New Roman"/>
          <w:sz w:val="24"/>
          <w:szCs w:val="24"/>
        </w:rPr>
        <w:t>n (</w:t>
      </w:r>
      <w:proofErr w:type="spellStart"/>
      <w:r w:rsidR="009429CA">
        <w:rPr>
          <w:rFonts w:ascii="Times New Roman" w:eastAsia="Times New Roman" w:hAnsi="Times New Roman" w:cs="Times New Roman"/>
          <w:sz w:val="24"/>
          <w:szCs w:val="24"/>
        </w:rPr>
        <w:t>Rahaman</w:t>
      </w:r>
      <w:proofErr w:type="spellEnd"/>
      <w:r w:rsidR="009429CA">
        <w:rPr>
          <w:rFonts w:ascii="Times New Roman" w:eastAsia="Times New Roman" w:hAnsi="Times New Roman" w:cs="Times New Roman"/>
          <w:sz w:val="24"/>
          <w:szCs w:val="24"/>
        </w:rPr>
        <w:t xml:space="preserve">, 1988; </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Pr="00565040">
        <w:rPr>
          <w:rFonts w:ascii="Times New Roman" w:eastAsia="Times New Roman" w:hAnsi="Times New Roman" w:cs="Times New Roman"/>
          <w:sz w:val="24"/>
          <w:szCs w:val="24"/>
        </w:rPr>
        <w:t>). The clustering of high U values along fracture and shear zones suggests that hydrothermal fluids mobilized and redeposited uranium along structura</w:t>
      </w:r>
      <w:r w:rsidR="008455D5">
        <w:rPr>
          <w:rFonts w:ascii="Times New Roman" w:eastAsia="Times New Roman" w:hAnsi="Times New Roman" w:cs="Times New Roman"/>
          <w:sz w:val="24"/>
          <w:szCs w:val="24"/>
        </w:rPr>
        <w:t>l pathways</w:t>
      </w:r>
      <w:r w:rsidR="004E3CF8">
        <w:rPr>
          <w:rFonts w:ascii="Times New Roman" w:eastAsia="Times New Roman" w:hAnsi="Times New Roman" w:cs="Times New Roman"/>
          <w:sz w:val="24"/>
          <w:szCs w:val="24"/>
        </w:rPr>
        <w:t xml:space="preserve"> (</w:t>
      </w:r>
      <w:proofErr w:type="spellStart"/>
      <w:r w:rsidR="004E3CF8" w:rsidRPr="004E3CF8">
        <w:rPr>
          <w:rStyle w:val="Strong"/>
          <w:rFonts w:ascii="Times New Roman" w:hAnsi="Times New Roman" w:cs="Times New Roman"/>
          <w:b w:val="0"/>
          <w:sz w:val="24"/>
          <w:szCs w:val="24"/>
        </w:rPr>
        <w:t>Onyejiuwaka</w:t>
      </w:r>
      <w:proofErr w:type="spellEnd"/>
      <w:r w:rsidR="004E3CF8" w:rsidRPr="004E3CF8">
        <w:rPr>
          <w:rStyle w:val="Strong"/>
          <w:rFonts w:ascii="Times New Roman" w:hAnsi="Times New Roman" w:cs="Times New Roman"/>
          <w:b w:val="0"/>
          <w:sz w:val="24"/>
          <w:szCs w:val="24"/>
        </w:rPr>
        <w:t xml:space="preserve"> &amp; </w:t>
      </w:r>
      <w:proofErr w:type="spellStart"/>
      <w:r w:rsidR="004E3CF8" w:rsidRPr="004E3CF8">
        <w:rPr>
          <w:rStyle w:val="Strong"/>
          <w:rFonts w:ascii="Times New Roman" w:hAnsi="Times New Roman" w:cs="Times New Roman"/>
          <w:b w:val="0"/>
          <w:sz w:val="24"/>
          <w:szCs w:val="24"/>
        </w:rPr>
        <w:t>Nwokeabia</w:t>
      </w:r>
      <w:proofErr w:type="spellEnd"/>
      <w:r w:rsidR="004E3CF8" w:rsidRPr="004E3CF8">
        <w:rPr>
          <w:rStyle w:val="Strong"/>
          <w:rFonts w:ascii="Times New Roman" w:hAnsi="Times New Roman" w:cs="Times New Roman"/>
          <w:b w:val="0"/>
          <w:sz w:val="24"/>
          <w:szCs w:val="24"/>
        </w:rPr>
        <w:t>, 2020).</w:t>
      </w:r>
      <w:r>
        <w:rPr>
          <w:rFonts w:ascii="Times New Roman" w:eastAsia="Times New Roman" w:hAnsi="Times New Roman" w:cs="Times New Roman"/>
          <w:sz w:val="24"/>
          <w:szCs w:val="24"/>
        </w:rPr>
        <w:t xml:space="preserve"> </w:t>
      </w:r>
      <w:r w:rsidRPr="00565040">
        <w:rPr>
          <w:rFonts w:ascii="Times New Roman" w:eastAsia="Times New Roman" w:hAnsi="Times New Roman" w:cs="Times New Roman"/>
          <w:sz w:val="24"/>
          <w:szCs w:val="24"/>
        </w:rPr>
        <w:t xml:space="preserve">Moderate U concentrations (green–yellow) in </w:t>
      </w:r>
      <w:proofErr w:type="spellStart"/>
      <w:r w:rsidRPr="00565040">
        <w:rPr>
          <w:rFonts w:ascii="Times New Roman" w:eastAsia="Times New Roman" w:hAnsi="Times New Roman" w:cs="Times New Roman"/>
          <w:sz w:val="24"/>
          <w:szCs w:val="24"/>
        </w:rPr>
        <w:t>Usi</w:t>
      </w:r>
      <w:proofErr w:type="spellEnd"/>
      <w:r w:rsidRPr="00565040">
        <w:rPr>
          <w:rFonts w:ascii="Times New Roman" w:eastAsia="Times New Roman" w:hAnsi="Times New Roman" w:cs="Times New Roman"/>
          <w:sz w:val="24"/>
          <w:szCs w:val="24"/>
        </w:rPr>
        <w:t xml:space="preserve"> and parts of </w:t>
      </w:r>
      <w:proofErr w:type="spellStart"/>
      <w:r w:rsidRPr="00565040">
        <w:rPr>
          <w:rFonts w:ascii="Times New Roman" w:eastAsia="Times New Roman" w:hAnsi="Times New Roman" w:cs="Times New Roman"/>
          <w:sz w:val="24"/>
          <w:szCs w:val="24"/>
        </w:rPr>
        <w:t>Aiyetoro</w:t>
      </w:r>
      <w:proofErr w:type="spellEnd"/>
      <w:r w:rsidRPr="00565040">
        <w:rPr>
          <w:rFonts w:ascii="Times New Roman" w:eastAsia="Times New Roman" w:hAnsi="Times New Roman" w:cs="Times New Roman"/>
          <w:sz w:val="24"/>
          <w:szCs w:val="24"/>
        </w:rPr>
        <w:t xml:space="preserve"> likely correspond to </w:t>
      </w:r>
      <w:proofErr w:type="spellStart"/>
      <w:r w:rsidRPr="00565040">
        <w:rPr>
          <w:rFonts w:ascii="Times New Roman" w:eastAsia="Times New Roman" w:hAnsi="Times New Roman" w:cs="Times New Roman"/>
          <w:sz w:val="24"/>
          <w:szCs w:val="24"/>
        </w:rPr>
        <w:t>migmatitic</w:t>
      </w:r>
      <w:proofErr w:type="spellEnd"/>
      <w:r w:rsidRPr="00565040">
        <w:rPr>
          <w:rFonts w:ascii="Times New Roman" w:eastAsia="Times New Roman" w:hAnsi="Times New Roman" w:cs="Times New Roman"/>
          <w:sz w:val="24"/>
          <w:szCs w:val="24"/>
        </w:rPr>
        <w:t xml:space="preserve"> and granitic gneiss rocks that contain intermediate levels of radiogenic minerals due to partial melting and metamorphic differentiation. In contrast, low uranium signatures (blue–cyan) observed in </w:t>
      </w:r>
      <w:proofErr w:type="spellStart"/>
      <w:r w:rsidRPr="00565040">
        <w:rPr>
          <w:rFonts w:ascii="Times New Roman" w:eastAsia="Times New Roman" w:hAnsi="Times New Roman" w:cs="Times New Roman"/>
          <w:sz w:val="24"/>
          <w:szCs w:val="24"/>
        </w:rPr>
        <w:t>Ewu</w:t>
      </w:r>
      <w:proofErr w:type="spellEnd"/>
      <w:r w:rsidRPr="00565040">
        <w:rPr>
          <w:rFonts w:ascii="Times New Roman" w:eastAsia="Times New Roman" w:hAnsi="Times New Roman" w:cs="Times New Roman"/>
          <w:sz w:val="24"/>
          <w:szCs w:val="24"/>
        </w:rPr>
        <w:t xml:space="preserve"> and the southern flank of Ora reflect quartzite and intensely weathered units where uranium has been leached by oxidizing fluids (</w:t>
      </w:r>
      <w:proofErr w:type="spellStart"/>
      <w:r w:rsidRPr="00565040">
        <w:rPr>
          <w:rFonts w:ascii="Times New Roman" w:eastAsia="Times New Roman" w:hAnsi="Times New Roman" w:cs="Times New Roman"/>
          <w:sz w:val="24"/>
          <w:szCs w:val="24"/>
        </w:rPr>
        <w:t>Adepelumi</w:t>
      </w:r>
      <w:proofErr w:type="spellEnd"/>
      <w:r w:rsidRPr="00565040">
        <w:rPr>
          <w:rFonts w:ascii="Times New Roman" w:eastAsia="Times New Roman" w:hAnsi="Times New Roman" w:cs="Times New Roman"/>
          <w:sz w:val="24"/>
          <w:szCs w:val="24"/>
        </w:rPr>
        <w:t xml:space="preserve"> et al.</w:t>
      </w:r>
      <w:r w:rsidR="0076262F">
        <w:rPr>
          <w:rFonts w:ascii="Times New Roman" w:eastAsia="Times New Roman" w:hAnsi="Times New Roman" w:cs="Times New Roman"/>
          <w:sz w:val="24"/>
          <w:szCs w:val="24"/>
        </w:rPr>
        <w:t xml:space="preserve">, 2008; </w:t>
      </w:r>
      <w:proofErr w:type="spellStart"/>
      <w:r w:rsidR="0076262F">
        <w:rPr>
          <w:rFonts w:ascii="Times New Roman" w:eastAsia="Times New Roman" w:hAnsi="Times New Roman" w:cs="Times New Roman"/>
          <w:sz w:val="24"/>
          <w:szCs w:val="24"/>
        </w:rPr>
        <w:t>Ogunyele</w:t>
      </w:r>
      <w:proofErr w:type="spellEnd"/>
      <w:r w:rsidR="0076262F">
        <w:rPr>
          <w:rFonts w:ascii="Times New Roman" w:eastAsia="Times New Roman" w:hAnsi="Times New Roman" w:cs="Times New Roman"/>
          <w:sz w:val="24"/>
          <w:szCs w:val="24"/>
        </w:rPr>
        <w:t xml:space="preserve"> et al., 2017</w:t>
      </w:r>
      <w:r w:rsidRPr="00565040">
        <w:rPr>
          <w:rFonts w:ascii="Times New Roman" w:eastAsia="Times New Roman" w:hAnsi="Times New Roman" w:cs="Times New Roman"/>
          <w:sz w:val="24"/>
          <w:szCs w:val="24"/>
        </w:rPr>
        <w:t>). Structurally, the NE–SW to ENE–WSW alignment of uranium anomalies aligns with major Pan-African trends, indicating that deformation strongly influenced uranium concentration. These lineament-controlled patterns are typical of secondary uranium mineralization where fluids precipitate U minerals along faults and she</w:t>
      </w:r>
      <w:r w:rsidR="008455D5">
        <w:rPr>
          <w:rFonts w:ascii="Times New Roman" w:eastAsia="Times New Roman" w:hAnsi="Times New Roman" w:cs="Times New Roman"/>
          <w:sz w:val="24"/>
          <w:szCs w:val="24"/>
        </w:rPr>
        <w:t>ar systems (</w:t>
      </w:r>
      <w:proofErr w:type="spellStart"/>
      <w:r w:rsidR="00052E99" w:rsidRPr="004E3CF8">
        <w:rPr>
          <w:rFonts w:ascii="Times New Roman" w:hAnsi="Times New Roman" w:cs="Times New Roman"/>
          <w:sz w:val="24"/>
          <w:szCs w:val="24"/>
        </w:rPr>
        <w:t>Onyejiuwaka</w:t>
      </w:r>
      <w:proofErr w:type="spellEnd"/>
      <w:r w:rsidR="00052E99" w:rsidRPr="004E3CF8">
        <w:rPr>
          <w:rFonts w:ascii="Times New Roman" w:hAnsi="Times New Roman" w:cs="Times New Roman"/>
          <w:sz w:val="24"/>
          <w:szCs w:val="24"/>
        </w:rPr>
        <w:t xml:space="preserve"> &amp; </w:t>
      </w:r>
      <w:proofErr w:type="spellStart"/>
      <w:r w:rsidR="00052E99" w:rsidRPr="004E3CF8">
        <w:rPr>
          <w:rFonts w:ascii="Times New Roman" w:hAnsi="Times New Roman" w:cs="Times New Roman"/>
          <w:sz w:val="24"/>
          <w:szCs w:val="24"/>
        </w:rPr>
        <w:t>Nwokeabia</w:t>
      </w:r>
      <w:proofErr w:type="spellEnd"/>
      <w:r w:rsidR="004E3CF8">
        <w:rPr>
          <w:rFonts w:ascii="Times New Roman" w:hAnsi="Times New Roman" w:cs="Times New Roman"/>
          <w:sz w:val="24"/>
          <w:szCs w:val="24"/>
        </w:rPr>
        <w:t>,</w:t>
      </w:r>
      <w:r w:rsidR="00052E99" w:rsidRPr="004E3CF8">
        <w:rPr>
          <w:rFonts w:ascii="Times New Roman" w:hAnsi="Times New Roman" w:cs="Times New Roman"/>
          <w:sz w:val="24"/>
          <w:szCs w:val="24"/>
        </w:rPr>
        <w:t xml:space="preserve"> 2020</w:t>
      </w:r>
      <w:r w:rsidRPr="004E3C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565040">
        <w:rPr>
          <w:rFonts w:ascii="Times New Roman" w:eastAsia="Times New Roman" w:hAnsi="Times New Roman" w:cs="Times New Roman"/>
          <w:sz w:val="24"/>
          <w:szCs w:val="24"/>
        </w:rPr>
        <w:t>he uranium distribution highlights key radiogenic and hydrothermal alteration zones. Areas where high U, Th, and K anomalies overlap represent granitoid intrusions and deformation corridors that have strong potential for uranium and rare earth element (REE) mineralization.</w:t>
      </w:r>
    </w:p>
    <w:p w14:paraId="577979F2" w14:textId="0E2221F2" w:rsidR="00656C6E" w:rsidRDefault="00073DF1" w:rsidP="00656C6E">
      <w:pPr>
        <w:pStyle w:val="NormalWeb"/>
        <w:rPr>
          <w:b/>
        </w:rPr>
      </w:pPr>
      <w:r>
        <w:rPr>
          <w:b/>
        </w:rPr>
        <w:t>4.4</w:t>
      </w:r>
      <w:r w:rsidR="00656C6E" w:rsidRPr="006F7BBE">
        <w:rPr>
          <w:b/>
        </w:rPr>
        <w:t xml:space="preserve"> Potassium Deviation</w:t>
      </w:r>
    </w:p>
    <w:p w14:paraId="692C68DD" w14:textId="1F958486" w:rsidR="00F5082F" w:rsidRDefault="00F5082F" w:rsidP="00F5082F">
      <w:pPr>
        <w:pStyle w:val="NormalWeb"/>
        <w:jc w:val="both"/>
      </w:pPr>
      <w:r>
        <w:t>The potassium deviation map of Orin-Ekiti and its environs (</w:t>
      </w:r>
      <w:r w:rsidRPr="00F5082F">
        <w:rPr>
          <w:b/>
        </w:rPr>
        <w:t>Figure 8</w:t>
      </w:r>
      <w:r>
        <w:t xml:space="preserve">) shows variations in potassium concentration relative to the background mean, allowing the identification of alteration zones and prospective mineralized structures. Positive potassium deviations (violet–red colors) mark areas where K values are significantly above average. These high-deviation zones occur mainly around </w:t>
      </w:r>
      <w:proofErr w:type="spellStart"/>
      <w:r>
        <w:t>Ilogun</w:t>
      </w:r>
      <w:proofErr w:type="spellEnd"/>
      <w:r>
        <w:t xml:space="preserve">, </w:t>
      </w:r>
      <w:proofErr w:type="spellStart"/>
      <w:r>
        <w:t>Iddo</w:t>
      </w:r>
      <w:proofErr w:type="spellEnd"/>
      <w:r>
        <w:t xml:space="preserve">-Ekiti, and parts of Orin, corresponding to granitic and </w:t>
      </w:r>
      <w:proofErr w:type="spellStart"/>
      <w:r>
        <w:t>charnockitic</w:t>
      </w:r>
      <w:proofErr w:type="spellEnd"/>
      <w:r>
        <w:t xml:space="preserve"> rocks enriched in K-feldspar, biotite, and muscov</w:t>
      </w:r>
      <w:r w:rsidR="0072035A">
        <w:t>ite (</w:t>
      </w:r>
      <w:proofErr w:type="spellStart"/>
      <w:r w:rsidR="0072035A">
        <w:t>Rahaman</w:t>
      </w:r>
      <w:proofErr w:type="spellEnd"/>
      <w:r w:rsidR="0072035A">
        <w:t>, 1988; Christopher et al., 2022</w:t>
      </w:r>
      <w:r>
        <w:t>). Such enrichment is typical of potassic hydrothermal alteration, which often forms as mineralizing fluids introduce or redistribute potassium within f</w:t>
      </w:r>
      <w:r w:rsidR="00603E68">
        <w:t>elsic basement rocks (</w:t>
      </w:r>
      <w:proofErr w:type="spellStart"/>
      <w:r w:rsidR="00052E99">
        <w:t>Onyejiuwaka</w:t>
      </w:r>
      <w:proofErr w:type="spellEnd"/>
      <w:r w:rsidR="00052E99">
        <w:t xml:space="preserve"> &amp; </w:t>
      </w:r>
      <w:proofErr w:type="spellStart"/>
      <w:r w:rsidR="00052E99">
        <w:t>Nwokeabia</w:t>
      </w:r>
      <w:proofErr w:type="spellEnd"/>
      <w:r w:rsidR="00603E68">
        <w:t xml:space="preserve">, </w:t>
      </w:r>
      <w:r w:rsidR="00052E99">
        <w:t>2020</w:t>
      </w:r>
      <w:r>
        <w:t xml:space="preserve">). Moderate potassium deviations (yellow–green shades) appear in transitional zones around </w:t>
      </w:r>
      <w:proofErr w:type="spellStart"/>
      <w:r>
        <w:t>Usi</w:t>
      </w:r>
      <w:proofErr w:type="spellEnd"/>
      <w:r>
        <w:t xml:space="preserve"> and portions of </w:t>
      </w:r>
      <w:proofErr w:type="spellStart"/>
      <w:r>
        <w:t>Ilogun</w:t>
      </w:r>
      <w:proofErr w:type="spellEnd"/>
      <w:r>
        <w:t>, aligning with NE–SW structural trends. These patterns suggest that faults and shear zones facilitated fluid circu</w:t>
      </w:r>
      <w:r w:rsidR="00060D8E">
        <w:t xml:space="preserve">lation and localized alteration, </w:t>
      </w:r>
      <w:r>
        <w:t>an observation consistent with structural controls documented in regional basement studies (</w:t>
      </w:r>
      <w:proofErr w:type="spellStart"/>
      <w:r>
        <w:t>Adepelumi</w:t>
      </w:r>
      <w:proofErr w:type="spellEnd"/>
      <w:r>
        <w:t xml:space="preserve"> </w:t>
      </w:r>
      <w:r w:rsidR="008455D5">
        <w:t>et al., 2008</w:t>
      </w:r>
      <w:r>
        <w:t xml:space="preserve">). Low potassium deviations (blue–cyan colors) dominate </w:t>
      </w:r>
      <w:proofErr w:type="spellStart"/>
      <w:r>
        <w:t>Aiyetoro</w:t>
      </w:r>
      <w:proofErr w:type="spellEnd"/>
      <w:r>
        <w:t xml:space="preserve">, </w:t>
      </w:r>
      <w:proofErr w:type="spellStart"/>
      <w:r>
        <w:t>Ewu</w:t>
      </w:r>
      <w:proofErr w:type="spellEnd"/>
      <w:r>
        <w:t>, and parts of Ora, where quartz-rich migmatite and strongly weathered lithologies show limited potassic enrichment. These areas represent relatively unaltered or leached terrains with minimal hydrothermal</w:t>
      </w:r>
      <w:r w:rsidR="00DB5E83">
        <w:t xml:space="preserve"> overprinting (</w:t>
      </w:r>
      <w:proofErr w:type="spellStart"/>
      <w:r w:rsidR="00DB5E83" w:rsidRPr="00DB5E83">
        <w:t>Ogunyele</w:t>
      </w:r>
      <w:proofErr w:type="spellEnd"/>
      <w:r w:rsidR="00DB5E83" w:rsidRPr="00DB5E83">
        <w:t xml:space="preserve"> et al., 2017</w:t>
      </w:r>
      <w:r w:rsidRPr="00DB5E83">
        <w:t>).</w:t>
      </w:r>
    </w:p>
    <w:p w14:paraId="4E7CEDB8" w14:textId="77777777" w:rsidR="00F5082F" w:rsidRPr="006F7BBE" w:rsidRDefault="00F5082F" w:rsidP="00F5082F">
      <w:pPr>
        <w:pStyle w:val="NormalWeb"/>
        <w:jc w:val="both"/>
        <w:rPr>
          <w:b/>
        </w:rPr>
      </w:pPr>
    </w:p>
    <w:p w14:paraId="17A6AA2E" w14:textId="13AA51EA" w:rsidR="00762C87" w:rsidRPr="00F1189E" w:rsidRDefault="00762C87" w:rsidP="00656C6E">
      <w:pPr>
        <w:pStyle w:val="NormalWeb"/>
        <w:jc w:val="both"/>
        <w:sectPr w:rsidR="00762C87" w:rsidRPr="00F1189E" w:rsidSect="00F5082F">
          <w:pgSz w:w="12240" w:h="15840"/>
          <w:pgMar w:top="1440" w:right="1440" w:bottom="1440" w:left="1440" w:header="720" w:footer="720" w:gutter="0"/>
          <w:cols w:space="720"/>
          <w:docGrid w:linePitch="360"/>
        </w:sectPr>
      </w:pPr>
    </w:p>
    <w:p w14:paraId="1B56809D" w14:textId="32909A1D" w:rsidR="001528A5" w:rsidRDefault="001528A5" w:rsidP="001528A5">
      <w:pPr>
        <w:spacing w:line="240" w:lineRule="auto"/>
        <w:ind w:left="-3" w:right="-15" w:hanging="10"/>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p>
    <w:p w14:paraId="13C8C939" w14:textId="77777777" w:rsidR="001528A5" w:rsidRDefault="001528A5" w:rsidP="003D6405">
      <w:pPr>
        <w:spacing w:line="240" w:lineRule="auto"/>
        <w:ind w:left="-3" w:right="-15" w:hanging="10"/>
        <w:jc w:val="both"/>
        <w:rPr>
          <w:rFonts w:ascii="Times New Roman" w:hAnsi="Times New Roman" w:cs="Times New Roman"/>
          <w:b/>
          <w:sz w:val="24"/>
          <w:szCs w:val="24"/>
        </w:rPr>
      </w:pPr>
    </w:p>
    <w:p w14:paraId="7287D9C1" w14:textId="77777777" w:rsidR="001528A5" w:rsidRDefault="001528A5" w:rsidP="003D6405">
      <w:pPr>
        <w:spacing w:line="240" w:lineRule="auto"/>
        <w:ind w:left="-3" w:right="-15" w:hanging="10"/>
        <w:jc w:val="both"/>
        <w:rPr>
          <w:rFonts w:ascii="Times New Roman" w:hAnsi="Times New Roman" w:cs="Times New Roman"/>
          <w:b/>
          <w:sz w:val="24"/>
          <w:szCs w:val="24"/>
        </w:rPr>
      </w:pPr>
    </w:p>
    <w:p w14:paraId="1012214B" w14:textId="0637FFEC" w:rsidR="001528A5" w:rsidRDefault="001528A5" w:rsidP="003D6405">
      <w:pPr>
        <w:spacing w:line="240" w:lineRule="auto"/>
        <w:ind w:left="-3" w:right="-15" w:hanging="10"/>
        <w:jc w:val="both"/>
        <w:rPr>
          <w:rFonts w:ascii="Times New Roman" w:hAnsi="Times New Roman" w:cs="Times New Roman"/>
          <w:b/>
          <w:sz w:val="24"/>
          <w:szCs w:val="24"/>
        </w:rPr>
      </w:pPr>
      <w:r w:rsidRPr="001528A5">
        <w:rPr>
          <w:rFonts w:ascii="Times New Roman" w:hAnsi="Times New Roman" w:cs="Times New Roman"/>
          <w:b/>
          <w:noProof/>
          <w:sz w:val="24"/>
          <w:szCs w:val="24"/>
        </w:rPr>
        <w:drawing>
          <wp:inline distT="0" distB="0" distL="0" distR="0" wp14:anchorId="4DAE6050" wp14:editId="4A825334">
            <wp:extent cx="3625850" cy="36822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9127" cy="3705891"/>
                    </a:xfrm>
                    <a:prstGeom prst="rect">
                      <a:avLst/>
                    </a:prstGeom>
                  </pic:spPr>
                </pic:pic>
              </a:graphicData>
            </a:graphic>
          </wp:inline>
        </w:drawing>
      </w:r>
      <w:r w:rsidR="00403788">
        <w:rPr>
          <w:rFonts w:ascii="Times New Roman" w:hAnsi="Times New Roman" w:cs="Times New Roman"/>
          <w:b/>
          <w:noProof/>
          <w:sz w:val="24"/>
          <w:szCs w:val="24"/>
        </w:rPr>
        <w:t xml:space="preserve">                               </w:t>
      </w:r>
      <w:r w:rsidR="00403788" w:rsidRPr="00403788">
        <w:rPr>
          <w:rFonts w:ascii="Times New Roman" w:hAnsi="Times New Roman" w:cs="Times New Roman"/>
          <w:b/>
          <w:noProof/>
          <w:sz w:val="24"/>
          <w:szCs w:val="24"/>
        </w:rPr>
        <w:drawing>
          <wp:inline distT="0" distB="0" distL="0" distR="0" wp14:anchorId="554726D9" wp14:editId="24DA4083">
            <wp:extent cx="2749550" cy="368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160" cy="3690515"/>
                    </a:xfrm>
                    <a:prstGeom prst="rect">
                      <a:avLst/>
                    </a:prstGeom>
                  </pic:spPr>
                </pic:pic>
              </a:graphicData>
            </a:graphic>
          </wp:inline>
        </w:drawing>
      </w:r>
    </w:p>
    <w:p w14:paraId="73A47153" w14:textId="57674884" w:rsidR="00403788" w:rsidRPr="00403788" w:rsidRDefault="001F0FBF" w:rsidP="003D6405">
      <w:pPr>
        <w:spacing w:line="240" w:lineRule="auto"/>
        <w:ind w:left="-3" w:right="-15" w:hanging="10"/>
        <w:jc w:val="both"/>
        <w:rPr>
          <w:rFonts w:ascii="Times New Roman" w:hAnsi="Times New Roman" w:cs="Times New Roman"/>
          <w:sz w:val="24"/>
          <w:szCs w:val="24"/>
        </w:rPr>
      </w:pPr>
      <w:r>
        <w:rPr>
          <w:rFonts w:ascii="Times New Roman" w:hAnsi="Times New Roman" w:cs="Times New Roman"/>
          <w:b/>
          <w:sz w:val="24"/>
          <w:szCs w:val="24"/>
        </w:rPr>
        <w:t>Figure 6</w:t>
      </w:r>
      <w:r w:rsidR="00403788">
        <w:rPr>
          <w:rFonts w:ascii="Times New Roman" w:hAnsi="Times New Roman" w:cs="Times New Roman"/>
          <w:b/>
          <w:sz w:val="24"/>
          <w:szCs w:val="24"/>
        </w:rPr>
        <w:t xml:space="preserve">: </w:t>
      </w:r>
      <w:r w:rsidR="00403788">
        <w:rPr>
          <w:rFonts w:ascii="Times New Roman" w:hAnsi="Times New Roman" w:cs="Times New Roman"/>
          <w:sz w:val="24"/>
          <w:szCs w:val="24"/>
        </w:rPr>
        <w:t xml:space="preserve">Uranium Radiometric Map                                                                  </w:t>
      </w:r>
      <w:r w:rsidR="00403788" w:rsidRPr="00403788">
        <w:rPr>
          <w:rFonts w:ascii="Times New Roman" w:hAnsi="Times New Roman" w:cs="Times New Roman"/>
          <w:b/>
          <w:sz w:val="24"/>
          <w:szCs w:val="24"/>
        </w:rPr>
        <w:t>F</w:t>
      </w:r>
      <w:r>
        <w:rPr>
          <w:rFonts w:ascii="Times New Roman" w:hAnsi="Times New Roman" w:cs="Times New Roman"/>
          <w:b/>
          <w:sz w:val="24"/>
          <w:szCs w:val="24"/>
        </w:rPr>
        <w:t>igure 7</w:t>
      </w:r>
      <w:r w:rsidR="00403788">
        <w:rPr>
          <w:rFonts w:ascii="Times New Roman" w:hAnsi="Times New Roman" w:cs="Times New Roman"/>
          <w:sz w:val="24"/>
          <w:szCs w:val="24"/>
        </w:rPr>
        <w:t>: Uranium Radiometric Map Reclassified</w:t>
      </w:r>
    </w:p>
    <w:p w14:paraId="14DA68EF"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7D1E8527"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1447BEFE"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3B6BC504"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761D9070" w14:textId="1DCF51A5" w:rsidR="00403788" w:rsidRDefault="00656C6E" w:rsidP="003D6405">
      <w:pPr>
        <w:spacing w:line="240" w:lineRule="auto"/>
        <w:ind w:left="-3" w:right="-15" w:hanging="10"/>
        <w:jc w:val="both"/>
        <w:rPr>
          <w:rFonts w:ascii="Times New Roman" w:hAnsi="Times New Roman" w:cs="Times New Roman"/>
          <w:b/>
          <w:sz w:val="24"/>
          <w:szCs w:val="24"/>
        </w:rPr>
      </w:pPr>
      <w:r>
        <w:rPr>
          <w:rFonts w:ascii="Times New Roman" w:hAnsi="Times New Roman" w:cs="Times New Roman"/>
          <w:noProof/>
          <w:sz w:val="24"/>
          <w:szCs w:val="24"/>
          <w14:ligatures w14:val="standardContextual"/>
        </w:rPr>
        <w:lastRenderedPageBreak/>
        <mc:AlternateContent>
          <mc:Choice Requires="wps">
            <w:drawing>
              <wp:anchor distT="0" distB="0" distL="114300" distR="114300" simplePos="0" relativeHeight="251666432" behindDoc="0" locked="0" layoutInCell="1" allowOverlap="1" wp14:anchorId="357BEA61" wp14:editId="7806AC94">
                <wp:simplePos x="0" y="0"/>
                <wp:positionH relativeFrom="column">
                  <wp:posOffset>4572000</wp:posOffset>
                </wp:positionH>
                <wp:positionV relativeFrom="paragraph">
                  <wp:posOffset>-77273</wp:posOffset>
                </wp:positionV>
                <wp:extent cx="4197949" cy="522847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197949" cy="5228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19CE6" w14:textId="40977C1D" w:rsidR="00510E29" w:rsidRDefault="00510E29">
                            <w:r w:rsidRPr="00521EB3">
                              <w:rPr>
                                <w:rFonts w:ascii="Times New Roman" w:hAnsi="Times New Roman" w:cs="Times New Roman"/>
                                <w:b/>
                                <w:noProof/>
                                <w:sz w:val="24"/>
                                <w:szCs w:val="24"/>
                              </w:rPr>
                              <w:drawing>
                                <wp:inline distT="0" distB="0" distL="0" distR="0" wp14:anchorId="0E8149EB" wp14:editId="01032E2A">
                                  <wp:extent cx="4031615" cy="477520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3310" cy="4824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EA61" id="Text Box 31" o:spid="_x0000_s1028" type="#_x0000_t202" style="position:absolute;left:0;text-align:left;margin-left:5in;margin-top:-6.1pt;width:330.55pt;height:4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" filled="f" stroked="f" strokeweight=".5pt">
                <v:textbox>
                  <w:txbxContent>
                    <w:p w14:paraId="15319CE6" w14:textId="40977C1D" w:rsidR="00510E29" w:rsidRDefault="00510E29">
                      <w:r w:rsidRPr="00521EB3">
                        <w:rPr>
                          <w:rFonts w:ascii="Times New Roman" w:hAnsi="Times New Roman" w:cs="Times New Roman"/>
                          <w:b/>
                          <w:noProof/>
                          <w:sz w:val="24"/>
                          <w:szCs w:val="24"/>
                        </w:rPr>
                        <w:drawing>
                          <wp:inline distT="0" distB="0" distL="0" distR="0" wp14:anchorId="0E8149EB" wp14:editId="01032E2A">
                            <wp:extent cx="4031615" cy="477520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3310" cy="4824585"/>
                                    </a:xfrm>
                                    <a:prstGeom prst="rect">
                                      <a:avLst/>
                                    </a:prstGeom>
                                  </pic:spPr>
                                </pic:pic>
                              </a:graphicData>
                            </a:graphic>
                          </wp:inline>
                        </w:drawing>
                      </w:r>
                    </w:p>
                  </w:txbxContent>
                </v:textbox>
              </v:shape>
            </w:pict>
          </mc:Fallback>
        </mc:AlternateContent>
      </w:r>
      <w:r w:rsidRPr="006F7BBE">
        <w:rPr>
          <w:rFonts w:ascii="Times New Roman" w:hAnsi="Times New Roman" w:cs="Times New Roman"/>
          <w:noProof/>
          <w:sz w:val="24"/>
          <w:szCs w:val="24"/>
          <w14:ligatures w14:val="standardContextual"/>
        </w:rPr>
        <w:drawing>
          <wp:inline distT="0" distB="0" distL="0" distR="0" wp14:anchorId="55C1E97F" wp14:editId="0126563C">
            <wp:extent cx="4477013" cy="450760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9159" cy="4529903"/>
                    </a:xfrm>
                    <a:prstGeom prst="rect">
                      <a:avLst/>
                    </a:prstGeom>
                  </pic:spPr>
                </pic:pic>
              </a:graphicData>
            </a:graphic>
          </wp:inline>
        </w:drawing>
      </w:r>
    </w:p>
    <w:p w14:paraId="154E5F6C" w14:textId="77777777" w:rsidR="00403788" w:rsidRDefault="00403788" w:rsidP="003D6405">
      <w:pPr>
        <w:spacing w:line="240" w:lineRule="auto"/>
        <w:ind w:left="-3" w:right="-15" w:hanging="10"/>
        <w:jc w:val="both"/>
        <w:rPr>
          <w:rFonts w:ascii="Times New Roman" w:hAnsi="Times New Roman" w:cs="Times New Roman"/>
          <w:b/>
          <w:sz w:val="24"/>
          <w:szCs w:val="24"/>
        </w:rPr>
      </w:pPr>
    </w:p>
    <w:p w14:paraId="4B1B6771" w14:textId="041468B5" w:rsidR="00656C6E" w:rsidRDefault="001F0FBF" w:rsidP="00656C6E">
      <w:r w:rsidRPr="001F0FBF">
        <w:rPr>
          <w:rFonts w:ascii="Times New Roman" w:hAnsi="Times New Roman" w:cs="Times New Roman"/>
          <w:b/>
          <w:sz w:val="24"/>
          <w:szCs w:val="24"/>
        </w:rPr>
        <w:t>Figure 8</w:t>
      </w:r>
      <w:r>
        <w:rPr>
          <w:rFonts w:ascii="Times New Roman" w:hAnsi="Times New Roman" w:cs="Times New Roman"/>
          <w:sz w:val="24"/>
          <w:szCs w:val="24"/>
        </w:rPr>
        <w:t>:</w:t>
      </w:r>
      <w:r w:rsidR="00656C6E">
        <w:rPr>
          <w:rFonts w:ascii="Times New Roman" w:hAnsi="Times New Roman" w:cs="Times New Roman"/>
          <w:sz w:val="24"/>
          <w:szCs w:val="24"/>
        </w:rPr>
        <w:t xml:space="preserve"> Potassium Deviation Map                                                                             </w:t>
      </w:r>
      <w:r>
        <w:rPr>
          <w:rFonts w:ascii="Times New Roman" w:hAnsi="Times New Roman" w:cs="Times New Roman"/>
          <w:b/>
          <w:sz w:val="24"/>
          <w:szCs w:val="24"/>
        </w:rPr>
        <w:t>Figure 9</w:t>
      </w:r>
      <w:r w:rsidR="00656C6E">
        <w:rPr>
          <w:rFonts w:ascii="Times New Roman" w:hAnsi="Times New Roman" w:cs="Times New Roman"/>
          <w:sz w:val="24"/>
          <w:szCs w:val="24"/>
        </w:rPr>
        <w:t xml:space="preserve">: Potassium Deviation Reclassified Map      </w:t>
      </w:r>
    </w:p>
    <w:p w14:paraId="610935A6" w14:textId="06F04889" w:rsidR="00656C6E" w:rsidRPr="00656C6E" w:rsidRDefault="00656C6E" w:rsidP="003D6405">
      <w:pPr>
        <w:spacing w:line="240" w:lineRule="auto"/>
        <w:ind w:left="-3" w:right="-15" w:hanging="10"/>
        <w:jc w:val="both"/>
        <w:rPr>
          <w:rFonts w:ascii="Times New Roman" w:hAnsi="Times New Roman" w:cs="Times New Roman"/>
          <w:sz w:val="24"/>
          <w:szCs w:val="24"/>
        </w:rPr>
        <w:sectPr w:rsidR="00656C6E" w:rsidRPr="00656C6E" w:rsidSect="00F5082F">
          <w:pgSz w:w="15840" w:h="12240" w:orient="landscape"/>
          <w:pgMar w:top="1440" w:right="1440" w:bottom="1440" w:left="1440" w:header="720" w:footer="720" w:gutter="0"/>
          <w:cols w:space="720"/>
          <w:docGrid w:linePitch="360"/>
        </w:sectPr>
      </w:pPr>
      <w:r>
        <w:rPr>
          <w:rFonts w:ascii="Times New Roman" w:hAnsi="Times New Roman" w:cs="Times New Roman"/>
          <w:sz w:val="24"/>
          <w:szCs w:val="24"/>
        </w:rPr>
        <w:t xml:space="preserve">                   </w:t>
      </w:r>
    </w:p>
    <w:p w14:paraId="6C1F1A7F" w14:textId="22FF7E54" w:rsidR="00F1189E" w:rsidRDefault="00F1189E" w:rsidP="00F5082F">
      <w:pPr>
        <w:spacing w:line="240" w:lineRule="auto"/>
        <w:ind w:right="-15"/>
        <w:jc w:val="both"/>
        <w:rPr>
          <w:rFonts w:ascii="Times New Roman" w:hAnsi="Times New Roman" w:cs="Times New Roman"/>
          <w:b/>
          <w:sz w:val="24"/>
          <w:szCs w:val="24"/>
        </w:rPr>
      </w:pPr>
      <w:r w:rsidRPr="00DA53F5">
        <w:rPr>
          <w:rFonts w:ascii="Times New Roman" w:hAnsi="Times New Roman" w:cs="Times New Roman"/>
          <w:b/>
          <w:sz w:val="24"/>
          <w:szCs w:val="24"/>
        </w:rPr>
        <w:lastRenderedPageBreak/>
        <w:t>4.5 Ternary Diagram</w:t>
      </w:r>
    </w:p>
    <w:p w14:paraId="43E69FA2" w14:textId="3BBC1061" w:rsidR="00F5082F" w:rsidRPr="00F5082F" w:rsidRDefault="00F5082F" w:rsidP="00F5082F">
      <w:pPr>
        <w:pStyle w:val="NormalWeb"/>
        <w:jc w:val="both"/>
      </w:pPr>
      <w:r>
        <w:t>The ternary radiometric map (</w:t>
      </w:r>
      <w:r w:rsidRPr="00F5082F">
        <w:rPr>
          <w:b/>
        </w:rPr>
        <w:t>Figure 10</w:t>
      </w:r>
      <w:r>
        <w:t xml:space="preserve">) combines potassium (K), thorium (Th), and uranium (U) into a single composite visualization where color variations reflect the relative dominance of the three radioelements. In this system, red indicates K-rich zones, green highlights Th-enriched areas, and blue corresponds to U enrichment, with mixed colors representing proportional combinations (yellow: </w:t>
      </w:r>
      <w:proofErr w:type="spellStart"/>
      <w:r>
        <w:t>K+Th</w:t>
      </w:r>
      <w:proofErr w:type="spellEnd"/>
      <w:r>
        <w:t xml:space="preserve">, cyan: </w:t>
      </w:r>
      <w:proofErr w:type="spellStart"/>
      <w:r>
        <w:t>Th+U</w:t>
      </w:r>
      <w:proofErr w:type="spellEnd"/>
      <w:r>
        <w:t>, magenta: K+U) (G</w:t>
      </w:r>
      <w:r w:rsidR="00C91B0D">
        <w:t>eoscience Australia, 2021</w:t>
      </w:r>
      <w:r>
        <w:t xml:space="preserve">; </w:t>
      </w:r>
      <w:r w:rsidR="00B041B9">
        <w:rPr>
          <w:rStyle w:val="Strong"/>
          <w:rFonts w:eastAsiaTheme="majorEastAsia"/>
          <w:b w:val="0"/>
        </w:rPr>
        <w:t>Wilford, (2002</w:t>
      </w:r>
      <w:r w:rsidR="00C91B0D">
        <w:rPr>
          <w:rStyle w:val="Strong"/>
          <w:rFonts w:eastAsiaTheme="majorEastAsia"/>
        </w:rPr>
        <w:t>)</w:t>
      </w:r>
      <w:r>
        <w:t xml:space="preserve">. This integrated approach helps reveal subtle lithological differences and alteration signatures that may not be apparent on single-element maps (IAEA, 2003).In the Orin-Ekiti area, the ternary map delineates two prominent geochemical zones. The central </w:t>
      </w:r>
      <w:proofErr w:type="spellStart"/>
      <w:r>
        <w:t>Iddo</w:t>
      </w:r>
      <w:proofErr w:type="spellEnd"/>
      <w:r>
        <w:t>-Ekiti–</w:t>
      </w:r>
      <w:proofErr w:type="spellStart"/>
      <w:r>
        <w:t>Usi</w:t>
      </w:r>
      <w:proofErr w:type="spellEnd"/>
      <w:r>
        <w:t>–</w:t>
      </w:r>
      <w:proofErr w:type="spellStart"/>
      <w:r>
        <w:t>Ilogbo</w:t>
      </w:r>
      <w:proofErr w:type="spellEnd"/>
      <w:r>
        <w:t xml:space="preserve"> corridor exhibits cyan to blue hues, indicating high Th–U enrichment characteristic of migmatite and </w:t>
      </w:r>
      <w:proofErr w:type="spellStart"/>
      <w:r>
        <w:t>charnockite</w:t>
      </w:r>
      <w:proofErr w:type="spellEnd"/>
      <w:r>
        <w:t xml:space="preserve"> terrain, with pure blue streaks marking possible hydrothermal uranium enrichment controlled by NE–SW fractures. In contrast, the northern </w:t>
      </w:r>
      <w:proofErr w:type="spellStart"/>
      <w:r>
        <w:t>Aiyetoro</w:t>
      </w:r>
      <w:proofErr w:type="spellEnd"/>
      <w:r>
        <w:t>–</w:t>
      </w:r>
      <w:proofErr w:type="spellStart"/>
      <w:r>
        <w:t>Ewu</w:t>
      </w:r>
      <w:proofErr w:type="spellEnd"/>
      <w:r>
        <w:t xml:space="preserve"> region is dominated by red to yellow colors, reflecting K- and Th-rich granitic and </w:t>
      </w:r>
      <w:proofErr w:type="spellStart"/>
      <w:r>
        <w:t>charnockitic</w:t>
      </w:r>
      <w:proofErr w:type="spellEnd"/>
      <w:r>
        <w:t xml:space="preserve"> units with only limited U remobilization. Elevated U/Th ratios in the central corridor point to secondary uranium deposition along structural pathways, whereas lower ratios in the northern sector indicate primary uranium held in relatively unaltered feldspar-rich rocks. These patterns are consistent with structural and lithological controls on radioactive mineral enrichment across the Nigeria</w:t>
      </w:r>
      <w:r w:rsidR="00BF5BBE">
        <w:t>n Basement Complex (</w:t>
      </w:r>
      <w:r>
        <w:t>IAEA, 2010).</w:t>
      </w:r>
    </w:p>
    <w:p w14:paraId="37B44146" w14:textId="029425EC" w:rsidR="00460C91" w:rsidRDefault="00460C91" w:rsidP="00460C91">
      <w:pPr>
        <w:pStyle w:val="NormalWeb"/>
      </w:pPr>
      <w:r w:rsidRPr="00460C91">
        <w:rPr>
          <w:noProof/>
        </w:rPr>
        <w:drawing>
          <wp:inline distT="0" distB="0" distL="0" distR="0" wp14:anchorId="76EE082F" wp14:editId="4A06DDED">
            <wp:extent cx="4375150" cy="4033596"/>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0162" cy="4056655"/>
                    </a:xfrm>
                    <a:prstGeom prst="rect">
                      <a:avLst/>
                    </a:prstGeom>
                  </pic:spPr>
                </pic:pic>
              </a:graphicData>
            </a:graphic>
          </wp:inline>
        </w:drawing>
      </w:r>
    </w:p>
    <w:p w14:paraId="516E362F" w14:textId="76AF615C" w:rsidR="00403788" w:rsidRDefault="001F0FBF" w:rsidP="006900F5">
      <w:pPr>
        <w:spacing w:line="240" w:lineRule="auto"/>
        <w:ind w:right="-15"/>
        <w:jc w:val="both"/>
        <w:rPr>
          <w:rFonts w:ascii="Times New Roman" w:hAnsi="Times New Roman" w:cs="Times New Roman"/>
          <w:sz w:val="24"/>
          <w:szCs w:val="24"/>
        </w:rPr>
      </w:pPr>
      <w:r>
        <w:rPr>
          <w:rFonts w:ascii="Times New Roman" w:hAnsi="Times New Roman" w:cs="Times New Roman"/>
          <w:b/>
          <w:sz w:val="24"/>
          <w:szCs w:val="24"/>
        </w:rPr>
        <w:t>Figure 10</w:t>
      </w:r>
      <w:r w:rsidR="00466175">
        <w:rPr>
          <w:rFonts w:ascii="Times New Roman" w:hAnsi="Times New Roman" w:cs="Times New Roman"/>
          <w:b/>
          <w:sz w:val="24"/>
          <w:szCs w:val="24"/>
        </w:rPr>
        <w:t xml:space="preserve">: </w:t>
      </w:r>
      <w:r w:rsidR="00466175">
        <w:rPr>
          <w:rFonts w:ascii="Times New Roman" w:hAnsi="Times New Roman" w:cs="Times New Roman"/>
          <w:sz w:val="24"/>
          <w:szCs w:val="24"/>
        </w:rPr>
        <w:t>Ternary Diagram</w:t>
      </w:r>
    </w:p>
    <w:p w14:paraId="5EACDA66" w14:textId="1100153E" w:rsidR="008D6474" w:rsidRDefault="008D6474" w:rsidP="008D6474">
      <w:pPr>
        <w:pStyle w:val="NormalWeb"/>
      </w:pPr>
      <w:r>
        <w:rPr>
          <w:rStyle w:val="Strong"/>
          <w:rFonts w:eastAsiaTheme="majorEastAsia"/>
        </w:rPr>
        <w:lastRenderedPageBreak/>
        <w:t>4.6 Geological Map of the Study Area</w:t>
      </w:r>
    </w:p>
    <w:p w14:paraId="0870B787" w14:textId="3B9D2571" w:rsidR="00C91B0D" w:rsidRPr="00C91B0D" w:rsidRDefault="00C91B0D" w:rsidP="009E5CBE">
      <w:pPr>
        <w:spacing w:before="100" w:beforeAutospacing="1" w:after="100" w:afterAutospacing="1" w:line="240" w:lineRule="auto"/>
        <w:jc w:val="both"/>
        <w:rPr>
          <w:rFonts w:ascii="Times New Roman" w:hAnsi="Times New Roman" w:cs="Times New Roman"/>
          <w:sz w:val="24"/>
          <w:szCs w:val="24"/>
        </w:rPr>
      </w:pPr>
      <w:r w:rsidRPr="00C91B0D">
        <w:rPr>
          <w:rFonts w:ascii="Times New Roman" w:hAnsi="Times New Roman" w:cs="Times New Roman"/>
          <w:sz w:val="24"/>
          <w:szCs w:val="24"/>
        </w:rPr>
        <w:t>The geological map of Orin-Ekiti and its environs (</w:t>
      </w:r>
      <w:r w:rsidRPr="008F24FD">
        <w:rPr>
          <w:rFonts w:ascii="Times New Roman" w:hAnsi="Times New Roman" w:cs="Times New Roman"/>
          <w:b/>
          <w:sz w:val="24"/>
          <w:szCs w:val="24"/>
        </w:rPr>
        <w:t>Figure 11</w:t>
      </w:r>
      <w:r w:rsidRPr="00C91B0D">
        <w:rPr>
          <w:rFonts w:ascii="Times New Roman" w:hAnsi="Times New Roman" w:cs="Times New Roman"/>
          <w:sz w:val="24"/>
          <w:szCs w:val="24"/>
        </w:rPr>
        <w:t xml:space="preserve">) reveals two dominant lithological units: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(Ch) and Migmatite (Mg), characteristic of the N</w:t>
      </w:r>
      <w:r w:rsidR="00C523ED">
        <w:rPr>
          <w:rFonts w:ascii="Times New Roman" w:hAnsi="Times New Roman" w:cs="Times New Roman"/>
          <w:sz w:val="24"/>
          <w:szCs w:val="24"/>
        </w:rPr>
        <w:t xml:space="preserve">igerian Basement Complex </w:t>
      </w:r>
      <w:proofErr w:type="gramStart"/>
      <w:r w:rsidR="00C523ED">
        <w:rPr>
          <w:rFonts w:ascii="Times New Roman" w:hAnsi="Times New Roman" w:cs="Times New Roman"/>
          <w:sz w:val="24"/>
          <w:szCs w:val="24"/>
        </w:rPr>
        <w:t>(</w:t>
      </w:r>
      <w:r w:rsidR="00741425">
        <w:rPr>
          <w:rFonts w:ascii="Times New Roman" w:hAnsi="Times New Roman" w:cs="Times New Roman"/>
          <w:sz w:val="24"/>
          <w:szCs w:val="24"/>
        </w:rPr>
        <w:t xml:space="preserve"> </w:t>
      </w:r>
      <w:proofErr w:type="spellStart"/>
      <w:r w:rsidR="00741425">
        <w:rPr>
          <w:rFonts w:ascii="Times New Roman" w:hAnsi="Times New Roman" w:cs="Times New Roman"/>
          <w:sz w:val="24"/>
          <w:szCs w:val="24"/>
        </w:rPr>
        <w:t>Igonor</w:t>
      </w:r>
      <w:proofErr w:type="spellEnd"/>
      <w:proofErr w:type="gramEnd"/>
      <w:r w:rsidR="00741425">
        <w:rPr>
          <w:rFonts w:ascii="Times New Roman" w:hAnsi="Times New Roman" w:cs="Times New Roman"/>
          <w:sz w:val="24"/>
          <w:szCs w:val="24"/>
        </w:rPr>
        <w:t xml:space="preserve"> &amp; Abimbola, 2016</w:t>
      </w:r>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depicted in dark brown, occurs mainly in the northwestern sector, covering </w:t>
      </w:r>
      <w:proofErr w:type="spellStart"/>
      <w:r w:rsidRPr="00C91B0D">
        <w:rPr>
          <w:rFonts w:ascii="Times New Roman" w:hAnsi="Times New Roman" w:cs="Times New Roman"/>
          <w:sz w:val="24"/>
          <w:szCs w:val="24"/>
        </w:rPr>
        <w:t>Aiyetoro</w:t>
      </w:r>
      <w:proofErr w:type="spellEnd"/>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Ewu</w:t>
      </w:r>
      <w:proofErr w:type="spellEnd"/>
      <w:r w:rsidRPr="00C91B0D">
        <w:rPr>
          <w:rFonts w:ascii="Times New Roman" w:hAnsi="Times New Roman" w:cs="Times New Roman"/>
          <w:sz w:val="24"/>
          <w:szCs w:val="24"/>
        </w:rPr>
        <w:t xml:space="preserve">, </w:t>
      </w:r>
      <w:proofErr w:type="spellStart"/>
      <w:r w:rsidRPr="00C91B0D">
        <w:rPr>
          <w:rFonts w:ascii="Times New Roman" w:hAnsi="Times New Roman" w:cs="Times New Roman"/>
          <w:sz w:val="24"/>
          <w:szCs w:val="24"/>
        </w:rPr>
        <w:t>Usi</w:t>
      </w:r>
      <w:proofErr w:type="spellEnd"/>
      <w:r w:rsidRPr="00C91B0D">
        <w:rPr>
          <w:rFonts w:ascii="Times New Roman" w:hAnsi="Times New Roman" w:cs="Times New Roman"/>
          <w:sz w:val="24"/>
          <w:szCs w:val="24"/>
        </w:rPr>
        <w:t xml:space="preserve">, and </w:t>
      </w:r>
      <w:proofErr w:type="spellStart"/>
      <w:r w:rsidRPr="00C91B0D">
        <w:rPr>
          <w:rFonts w:ascii="Times New Roman" w:hAnsi="Times New Roman" w:cs="Times New Roman"/>
          <w:sz w:val="24"/>
          <w:szCs w:val="24"/>
        </w:rPr>
        <w:t>Ilogbo</w:t>
      </w:r>
      <w:proofErr w:type="spellEnd"/>
      <w:r w:rsidRPr="00C91B0D">
        <w:rPr>
          <w:rFonts w:ascii="Times New Roman" w:hAnsi="Times New Roman" w:cs="Times New Roman"/>
          <w:sz w:val="24"/>
          <w:szCs w:val="24"/>
        </w:rPr>
        <w:t>, and as a smaller body near Orin. This unit comprises hypersthene-bearing, felsic to intermediate rocks formed under granulite-facies conditions and enriched in radioactive elements such as uranium (U), thorium (Th), and potassium (K), indicating its potential as a source rock</w:t>
      </w:r>
      <w:r w:rsidR="00112010">
        <w:rPr>
          <w:rFonts w:ascii="Times New Roman" w:hAnsi="Times New Roman" w:cs="Times New Roman"/>
          <w:sz w:val="24"/>
          <w:szCs w:val="24"/>
        </w:rPr>
        <w:t xml:space="preserve"> for mineralization (</w:t>
      </w:r>
      <w:proofErr w:type="spellStart"/>
      <w:r w:rsidR="00112010">
        <w:rPr>
          <w:rFonts w:ascii="Times New Roman" w:hAnsi="Times New Roman" w:cs="Times New Roman"/>
          <w:sz w:val="24"/>
          <w:szCs w:val="24"/>
        </w:rPr>
        <w:t>Igonor</w:t>
      </w:r>
      <w:proofErr w:type="spellEnd"/>
      <w:r w:rsidR="00112010">
        <w:rPr>
          <w:rFonts w:ascii="Times New Roman" w:hAnsi="Times New Roman" w:cs="Times New Roman"/>
          <w:sz w:val="24"/>
          <w:szCs w:val="24"/>
        </w:rPr>
        <w:t xml:space="preserve"> &amp; Abimbola 2016</w:t>
      </w:r>
      <w:r w:rsidRPr="00C91B0D">
        <w:rPr>
          <w:rFonts w:ascii="Times New Roman" w:hAnsi="Times New Roman" w:cs="Times New Roman"/>
          <w:sz w:val="24"/>
          <w:szCs w:val="24"/>
        </w:rPr>
        <w:t xml:space="preserve">). Migmatite, shown in light brown, dominates the central and southern areas, particularly around </w:t>
      </w:r>
      <w:proofErr w:type="spellStart"/>
      <w:r w:rsidRPr="00C91B0D">
        <w:rPr>
          <w:rFonts w:ascii="Times New Roman" w:hAnsi="Times New Roman" w:cs="Times New Roman"/>
          <w:sz w:val="24"/>
          <w:szCs w:val="24"/>
        </w:rPr>
        <w:t>Iddo</w:t>
      </w:r>
      <w:proofErr w:type="spellEnd"/>
      <w:r w:rsidRPr="00C91B0D">
        <w:rPr>
          <w:rFonts w:ascii="Times New Roman" w:hAnsi="Times New Roman" w:cs="Times New Roman"/>
          <w:sz w:val="24"/>
          <w:szCs w:val="24"/>
        </w:rPr>
        <w:t xml:space="preserve">-Ekiti and Ora. These composite rocks, consisting of a dark metamorphic </w:t>
      </w:r>
      <w:proofErr w:type="spellStart"/>
      <w:r w:rsidRPr="00C91B0D">
        <w:rPr>
          <w:rFonts w:ascii="Times New Roman" w:hAnsi="Times New Roman" w:cs="Times New Roman"/>
          <w:sz w:val="24"/>
          <w:szCs w:val="24"/>
        </w:rPr>
        <w:t>paleosome</w:t>
      </w:r>
      <w:proofErr w:type="spellEnd"/>
      <w:r w:rsidRPr="00C91B0D">
        <w:rPr>
          <w:rFonts w:ascii="Times New Roman" w:hAnsi="Times New Roman" w:cs="Times New Roman"/>
          <w:sz w:val="24"/>
          <w:szCs w:val="24"/>
        </w:rPr>
        <w:t xml:space="preserve"> and a light granitic </w:t>
      </w:r>
      <w:proofErr w:type="spellStart"/>
      <w:r w:rsidRPr="00C91B0D">
        <w:rPr>
          <w:rFonts w:ascii="Times New Roman" w:hAnsi="Times New Roman" w:cs="Times New Roman"/>
          <w:sz w:val="24"/>
          <w:szCs w:val="24"/>
        </w:rPr>
        <w:t>neosome</w:t>
      </w:r>
      <w:proofErr w:type="spellEnd"/>
      <w:r w:rsidRPr="00C91B0D">
        <w:rPr>
          <w:rFonts w:ascii="Times New Roman" w:hAnsi="Times New Roman" w:cs="Times New Roman"/>
          <w:sz w:val="24"/>
          <w:szCs w:val="24"/>
        </w:rPr>
        <w:t>, are typical high-grade metamorphic units that provide favorable hosts for mineralization, especially along fractures and sh</w:t>
      </w:r>
      <w:r w:rsidR="00DB5E83">
        <w:rPr>
          <w:rFonts w:ascii="Times New Roman" w:hAnsi="Times New Roman" w:cs="Times New Roman"/>
          <w:sz w:val="24"/>
          <w:szCs w:val="24"/>
        </w:rPr>
        <w:t>ear zones (</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Pr="00DB5E83">
        <w:rPr>
          <w:rFonts w:ascii="Times New Roman" w:hAnsi="Times New Roman" w:cs="Times New Roman"/>
          <w:sz w:val="24"/>
          <w:szCs w:val="24"/>
        </w:rPr>
        <w:t>)</w:t>
      </w:r>
      <w:r w:rsidRPr="00C91B0D">
        <w:rPr>
          <w:rFonts w:ascii="Times New Roman" w:hAnsi="Times New Roman" w:cs="Times New Roman"/>
          <w:sz w:val="24"/>
          <w:szCs w:val="24"/>
        </w:rPr>
        <w:t xml:space="preserve">. The spatial relationship between the units suggests that the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acts as a source of U, Th, and K, while the more extensive Migmatite serves as </w:t>
      </w:r>
      <w:r w:rsidR="004E3CF8">
        <w:rPr>
          <w:rFonts w:ascii="Times New Roman" w:hAnsi="Times New Roman" w:cs="Times New Roman"/>
          <w:sz w:val="24"/>
          <w:szCs w:val="24"/>
        </w:rPr>
        <w:t xml:space="preserve">a </w:t>
      </w:r>
      <w:r w:rsidRPr="00C91B0D">
        <w:rPr>
          <w:rFonts w:ascii="Times New Roman" w:hAnsi="Times New Roman" w:cs="Times New Roman"/>
          <w:sz w:val="24"/>
          <w:szCs w:val="24"/>
        </w:rPr>
        <w:t xml:space="preserve">structural and geochemical </w:t>
      </w:r>
      <w:r w:rsidR="00514AE6">
        <w:rPr>
          <w:rFonts w:ascii="Times New Roman" w:hAnsi="Times New Roman" w:cs="Times New Roman"/>
          <w:sz w:val="24"/>
          <w:szCs w:val="24"/>
        </w:rPr>
        <w:t>trap</w:t>
      </w:r>
      <w:r w:rsidRPr="00C91B0D">
        <w:rPr>
          <w:rFonts w:ascii="Times New Roman" w:hAnsi="Times New Roman" w:cs="Times New Roman"/>
          <w:sz w:val="24"/>
          <w:szCs w:val="24"/>
        </w:rPr>
        <w:t xml:space="preserve"> for mobilized uranium. The NE–SW orientation of the Migmatite belt through </w:t>
      </w:r>
      <w:proofErr w:type="spellStart"/>
      <w:r w:rsidRPr="00C91B0D">
        <w:rPr>
          <w:rFonts w:ascii="Times New Roman" w:hAnsi="Times New Roman" w:cs="Times New Roman"/>
          <w:sz w:val="24"/>
          <w:szCs w:val="24"/>
        </w:rPr>
        <w:t>Iddo</w:t>
      </w:r>
      <w:proofErr w:type="spellEnd"/>
      <w:r w:rsidRPr="00C91B0D">
        <w:rPr>
          <w:rFonts w:ascii="Times New Roman" w:hAnsi="Times New Roman" w:cs="Times New Roman"/>
          <w:sz w:val="24"/>
          <w:szCs w:val="24"/>
        </w:rPr>
        <w:t xml:space="preserve">-Ekiti, </w:t>
      </w:r>
      <w:proofErr w:type="spellStart"/>
      <w:r w:rsidRPr="00C91B0D">
        <w:rPr>
          <w:rFonts w:ascii="Times New Roman" w:hAnsi="Times New Roman" w:cs="Times New Roman"/>
          <w:sz w:val="24"/>
          <w:szCs w:val="24"/>
        </w:rPr>
        <w:t>Usi</w:t>
      </w:r>
      <w:proofErr w:type="spellEnd"/>
      <w:r w:rsidRPr="00C91B0D">
        <w:rPr>
          <w:rFonts w:ascii="Times New Roman" w:hAnsi="Times New Roman" w:cs="Times New Roman"/>
          <w:sz w:val="24"/>
          <w:szCs w:val="24"/>
        </w:rPr>
        <w:t xml:space="preserve">, and </w:t>
      </w:r>
      <w:proofErr w:type="spellStart"/>
      <w:r w:rsidRPr="00C91B0D">
        <w:rPr>
          <w:rFonts w:ascii="Times New Roman" w:hAnsi="Times New Roman" w:cs="Times New Roman"/>
          <w:sz w:val="24"/>
          <w:szCs w:val="24"/>
        </w:rPr>
        <w:t>Ilogbo</w:t>
      </w:r>
      <w:proofErr w:type="spellEnd"/>
      <w:r w:rsidRPr="00C91B0D">
        <w:rPr>
          <w:rFonts w:ascii="Times New Roman" w:hAnsi="Times New Roman" w:cs="Times New Roman"/>
          <w:sz w:val="24"/>
          <w:szCs w:val="24"/>
        </w:rPr>
        <w:t xml:space="preserve"> indicates structural control on fluid pathways and mineral deposition. The map highlights the compositional and spatial contrast between the uranium- and potassium-rich </w:t>
      </w:r>
      <w:proofErr w:type="spellStart"/>
      <w:r w:rsidRPr="00C91B0D">
        <w:rPr>
          <w:rFonts w:ascii="Times New Roman" w:hAnsi="Times New Roman" w:cs="Times New Roman"/>
          <w:sz w:val="24"/>
          <w:szCs w:val="24"/>
        </w:rPr>
        <w:t>Charnockite</w:t>
      </w:r>
      <w:proofErr w:type="spellEnd"/>
      <w:r w:rsidRPr="00C91B0D">
        <w:rPr>
          <w:rFonts w:ascii="Times New Roman" w:hAnsi="Times New Roman" w:cs="Times New Roman"/>
          <w:sz w:val="24"/>
          <w:szCs w:val="24"/>
        </w:rPr>
        <w:t xml:space="preserve"> and the host Migmatite, providing critical insights into the mineralization potential of the study area</w:t>
      </w:r>
    </w:p>
    <w:p w14:paraId="1876C7BE" w14:textId="6EFB5223" w:rsidR="009E5CBE" w:rsidRPr="00403788" w:rsidRDefault="00C91B0D" w:rsidP="009E5CB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t xml:space="preserve">                            </w:t>
      </w:r>
      <w:r w:rsidR="009E5CBE" w:rsidRPr="00403788">
        <w:rPr>
          <w:rFonts w:ascii="Times New Roman" w:hAnsi="Times New Roman" w:cs="Times New Roman"/>
          <w:noProof/>
          <w:sz w:val="24"/>
          <w:szCs w:val="24"/>
        </w:rPr>
        <w:drawing>
          <wp:inline distT="0" distB="0" distL="0" distR="0" wp14:anchorId="7D693A1D" wp14:editId="5FFAC310">
            <wp:extent cx="3524250" cy="3606085"/>
            <wp:effectExtent l="0" t="0" r="0" b="0"/>
            <wp:docPr id="34" name="Picture 34" descr="C:\Users\HP\Desktop\MATECO PAPER 2\Geological map of the study area After NGSA 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MATECO PAPER 2\Geological map of the study area After NGSA 2006.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6137" cy="3628480"/>
                    </a:xfrm>
                    <a:prstGeom prst="rect">
                      <a:avLst/>
                    </a:prstGeom>
                    <a:noFill/>
                    <a:ln>
                      <a:noFill/>
                    </a:ln>
                  </pic:spPr>
                </pic:pic>
              </a:graphicData>
            </a:graphic>
          </wp:inline>
        </w:drawing>
      </w:r>
    </w:p>
    <w:p w14:paraId="5BF71C9D" w14:textId="6ED47F3B" w:rsidR="00403788" w:rsidRDefault="00403788" w:rsidP="003D6405">
      <w:pPr>
        <w:spacing w:line="240" w:lineRule="auto"/>
        <w:ind w:right="-15"/>
        <w:jc w:val="both"/>
        <w:rPr>
          <w:rFonts w:ascii="Times New Roman" w:hAnsi="Times New Roman" w:cs="Times New Roman"/>
          <w:sz w:val="16"/>
          <w:szCs w:val="16"/>
        </w:rPr>
      </w:pPr>
    </w:p>
    <w:p w14:paraId="79C3963B" w14:textId="02166F7C" w:rsidR="00C91B0D" w:rsidRPr="00C91B0D" w:rsidRDefault="009E5CBE" w:rsidP="00C91B0D">
      <w:pPr>
        <w:tabs>
          <w:tab w:val="left" w:pos="10710"/>
        </w:tabs>
        <w:spacing w:line="240" w:lineRule="auto"/>
        <w:jc w:val="both"/>
        <w:rPr>
          <w:rStyle w:val="Strong"/>
          <w:rFonts w:ascii="Times New Roman" w:hAnsi="Times New Roman" w:cs="Times New Roman"/>
          <w:b w:val="0"/>
          <w:bCs w:val="0"/>
          <w:sz w:val="24"/>
          <w:szCs w:val="24"/>
        </w:rPr>
      </w:pPr>
      <w:r w:rsidRPr="009E5CBE">
        <w:rPr>
          <w:rFonts w:ascii="Times New Roman" w:hAnsi="Times New Roman" w:cs="Times New Roman"/>
          <w:b/>
          <w:sz w:val="24"/>
          <w:szCs w:val="24"/>
        </w:rPr>
        <w:t>Figure 1</w:t>
      </w:r>
      <w:r w:rsidR="00E95F4C">
        <w:rPr>
          <w:rFonts w:ascii="Times New Roman" w:hAnsi="Times New Roman" w:cs="Times New Roman"/>
          <w:b/>
          <w:sz w:val="24"/>
          <w:szCs w:val="24"/>
        </w:rPr>
        <w:t>1</w:t>
      </w:r>
      <w:r w:rsidRPr="008D4B36">
        <w:rPr>
          <w:rFonts w:ascii="Times New Roman" w:hAnsi="Times New Roman" w:cs="Times New Roman"/>
          <w:sz w:val="24"/>
          <w:szCs w:val="24"/>
        </w:rPr>
        <w:t xml:space="preserve">: </w:t>
      </w:r>
      <w:r>
        <w:rPr>
          <w:rFonts w:ascii="Times New Roman" w:hAnsi="Times New Roman" w:cs="Times New Roman"/>
          <w:sz w:val="24"/>
          <w:szCs w:val="24"/>
        </w:rPr>
        <w:t>Geologic</w:t>
      </w:r>
      <w:r w:rsidR="001770D3">
        <w:rPr>
          <w:rFonts w:ascii="Times New Roman" w:hAnsi="Times New Roman" w:cs="Times New Roman"/>
          <w:sz w:val="24"/>
          <w:szCs w:val="24"/>
        </w:rPr>
        <w:t>al</w:t>
      </w:r>
      <w:r w:rsidRPr="008D4B36">
        <w:rPr>
          <w:rFonts w:ascii="Times New Roman" w:hAnsi="Times New Roman" w:cs="Times New Roman"/>
          <w:sz w:val="24"/>
          <w:szCs w:val="24"/>
        </w:rPr>
        <w:t xml:space="preserve"> Maps of the Study</w:t>
      </w:r>
      <w:r w:rsidR="00B23797">
        <w:rPr>
          <w:rFonts w:ascii="Times New Roman" w:hAnsi="Times New Roman" w:cs="Times New Roman"/>
          <w:sz w:val="24"/>
          <w:szCs w:val="24"/>
        </w:rPr>
        <w:t xml:space="preserve"> Area </w:t>
      </w:r>
      <w:r w:rsidR="00B23797" w:rsidRPr="004E3CF8">
        <w:rPr>
          <w:rFonts w:ascii="Times New Roman" w:hAnsi="Times New Roman" w:cs="Times New Roman"/>
          <w:sz w:val="24"/>
          <w:szCs w:val="24"/>
        </w:rPr>
        <w:t>(</w:t>
      </w:r>
      <w:r w:rsidR="00B23797" w:rsidRPr="004E3CF8">
        <w:rPr>
          <w:rFonts w:ascii="Times New Roman" w:hAnsi="Times New Roman" w:cs="Times New Roman"/>
          <w:color w:val="222222"/>
          <w:sz w:val="24"/>
          <w:szCs w:val="24"/>
          <w:shd w:val="clear" w:color="auto" w:fill="FFFFFF"/>
        </w:rPr>
        <w:t>Parker et al., 196</w:t>
      </w:r>
      <w:r w:rsidR="00510E29" w:rsidRPr="004E3CF8">
        <w:rPr>
          <w:rFonts w:ascii="Times New Roman" w:hAnsi="Times New Roman" w:cs="Times New Roman"/>
          <w:color w:val="222222"/>
          <w:sz w:val="24"/>
          <w:szCs w:val="24"/>
          <w:shd w:val="clear" w:color="auto" w:fill="FFFFFF"/>
        </w:rPr>
        <w:t>4</w:t>
      </w:r>
      <w:r w:rsidR="001770D3" w:rsidRPr="004E3CF8">
        <w:rPr>
          <w:rFonts w:ascii="Times New Roman" w:hAnsi="Times New Roman" w:cs="Times New Roman"/>
          <w:sz w:val="24"/>
          <w:szCs w:val="24"/>
        </w:rPr>
        <w:t>)</w:t>
      </w:r>
      <w:r w:rsidR="001770D3">
        <w:rPr>
          <w:rFonts w:ascii="Times New Roman" w:hAnsi="Times New Roman" w:cs="Times New Roman"/>
          <w:sz w:val="24"/>
          <w:szCs w:val="24"/>
        </w:rPr>
        <w:t xml:space="preserve">   </w:t>
      </w:r>
    </w:p>
    <w:p w14:paraId="6D15635A" w14:textId="38FE053E" w:rsidR="00C91B0D" w:rsidRDefault="00B23797" w:rsidP="008D6474">
      <w:pPr>
        <w:pStyle w:val="NormalWeb"/>
        <w:rPr>
          <w:rStyle w:val="Strong"/>
          <w:rFonts w:eastAsiaTheme="majorEastAsia"/>
        </w:rPr>
      </w:pPr>
      <w:r>
        <w:rPr>
          <w:rStyle w:val="Strong"/>
          <w:rFonts w:eastAsiaTheme="majorEastAsia"/>
        </w:rPr>
        <w:t xml:space="preserve"> </w:t>
      </w:r>
    </w:p>
    <w:p w14:paraId="326E91AC" w14:textId="69729D9C" w:rsidR="008D6474" w:rsidRDefault="008D6474" w:rsidP="008D6474">
      <w:pPr>
        <w:pStyle w:val="NormalWeb"/>
      </w:pPr>
      <w:r>
        <w:rPr>
          <w:rStyle w:val="Strong"/>
          <w:rFonts w:eastAsiaTheme="majorEastAsia"/>
        </w:rPr>
        <w:lastRenderedPageBreak/>
        <w:t>4.7 Potassium Deviation Superimposed on the Geological Map</w:t>
      </w:r>
    </w:p>
    <w:p w14:paraId="1F109C0F" w14:textId="186A5FE6" w:rsidR="00C91B0D" w:rsidRDefault="00C91B0D" w:rsidP="00C91B0D">
      <w:pPr>
        <w:pStyle w:val="NormalWeb"/>
        <w:jc w:val="both"/>
      </w:pPr>
      <w:r>
        <w:t>The Potassium Deviation (KD) map (</w:t>
      </w:r>
      <w:r w:rsidRPr="008F24FD">
        <w:rPr>
          <w:b/>
        </w:rPr>
        <w:t>Figure 12)</w:t>
      </w:r>
      <w:r>
        <w:t>, when superimposed on the geological map, serves as a key geochemical tool for identifying hydrothermal alteration zones and potential mineralization areas. KD anomalies, representing significant positive or negative deviations in potassium concentration, indicate metasomatic or hydrothermal processes linked to ore fo</w:t>
      </w:r>
      <w:r w:rsidR="004E3CF8">
        <w:t>rmation (</w:t>
      </w:r>
      <w:r>
        <w:t xml:space="preserve">Wilford </w:t>
      </w:r>
      <w:r w:rsidR="007851E7">
        <w:t>et al., 1997</w:t>
      </w:r>
      <w:r>
        <w:t xml:space="preserve">). Prominent purple KD zones are observed mainly within the </w:t>
      </w:r>
      <w:proofErr w:type="spellStart"/>
      <w:r>
        <w:t>Charnockite</w:t>
      </w:r>
      <w:proofErr w:type="spellEnd"/>
      <w:r>
        <w:t xml:space="preserve">, along the </w:t>
      </w:r>
      <w:proofErr w:type="spellStart"/>
      <w:r>
        <w:t>Charnockite</w:t>
      </w:r>
      <w:proofErr w:type="spellEnd"/>
      <w:r>
        <w:t xml:space="preserve">–Migmatite contact, and locally in Migmatite terrains. In the </w:t>
      </w:r>
      <w:proofErr w:type="spellStart"/>
      <w:r>
        <w:t>Charnockite</w:t>
      </w:r>
      <w:proofErr w:type="spellEnd"/>
      <w:r>
        <w:t xml:space="preserve">, anomalies north of </w:t>
      </w:r>
      <w:proofErr w:type="spellStart"/>
      <w:r>
        <w:t>Usi</w:t>
      </w:r>
      <w:proofErr w:type="spellEnd"/>
      <w:r>
        <w:t xml:space="preserve"> and south of </w:t>
      </w:r>
      <w:proofErr w:type="spellStart"/>
      <w:r>
        <w:t>Ewu</w:t>
      </w:r>
      <w:proofErr w:type="spellEnd"/>
      <w:r>
        <w:t xml:space="preserve"> likely reflect potassic alteration or potassium leaching, processes commonly associated with uranium mobilization in granitic a</w:t>
      </w:r>
      <w:r w:rsidR="004E3CF8">
        <w:t>nd metamorphic rocks (</w:t>
      </w:r>
      <w:proofErr w:type="spellStart"/>
      <w:r w:rsidR="004E3CF8" w:rsidRPr="004E3CF8">
        <w:rPr>
          <w:rStyle w:val="Strong"/>
          <w:rFonts w:eastAsiaTheme="majorEastAsia"/>
          <w:b w:val="0"/>
        </w:rPr>
        <w:t>Onyejiuwaka</w:t>
      </w:r>
      <w:proofErr w:type="spellEnd"/>
      <w:r w:rsidR="004E3CF8" w:rsidRPr="004E3CF8">
        <w:rPr>
          <w:rStyle w:val="Strong"/>
          <w:rFonts w:eastAsiaTheme="majorEastAsia"/>
          <w:b w:val="0"/>
        </w:rPr>
        <w:t xml:space="preserve"> &amp; </w:t>
      </w:r>
      <w:proofErr w:type="spellStart"/>
      <w:r w:rsidR="004E3CF8" w:rsidRPr="004E3CF8">
        <w:rPr>
          <w:rStyle w:val="Strong"/>
          <w:rFonts w:eastAsiaTheme="majorEastAsia"/>
          <w:b w:val="0"/>
        </w:rPr>
        <w:t>Nwokeabia</w:t>
      </w:r>
      <w:proofErr w:type="spellEnd"/>
      <w:r w:rsidR="004E3CF8" w:rsidRPr="004E3CF8">
        <w:rPr>
          <w:rStyle w:val="Strong"/>
          <w:rFonts w:eastAsiaTheme="majorEastAsia"/>
          <w:b w:val="0"/>
        </w:rPr>
        <w:t>, 2020</w:t>
      </w:r>
      <w:r>
        <w:t xml:space="preserve">). Along the </w:t>
      </w:r>
      <w:proofErr w:type="spellStart"/>
      <w:r>
        <w:t>Charnockite</w:t>
      </w:r>
      <w:proofErr w:type="spellEnd"/>
      <w:r>
        <w:t xml:space="preserve">–Migmatite contact, linear KD anomalies align with NE–SW and E–W structural trends, indicating enhanced permeability and hydrothermal fluid flow, which control uranium </w:t>
      </w:r>
      <w:r w:rsidR="00DB5E83">
        <w:t>deposition (</w:t>
      </w:r>
      <w:proofErr w:type="spellStart"/>
      <w:r w:rsidR="00DB5E83">
        <w:t>Ogunyele</w:t>
      </w:r>
      <w:proofErr w:type="spellEnd"/>
      <w:r w:rsidR="00DB5E83">
        <w:t xml:space="preserve"> et al., 2017</w:t>
      </w:r>
      <w:r>
        <w:t xml:space="preserve">). Within the Migmatite, smaller KD patches near </w:t>
      </w:r>
      <w:proofErr w:type="spellStart"/>
      <w:r>
        <w:t>Iddo</w:t>
      </w:r>
      <w:proofErr w:type="spellEnd"/>
      <w:r>
        <w:t xml:space="preserve">-Ekiti and southwest of </w:t>
      </w:r>
      <w:proofErr w:type="spellStart"/>
      <w:r>
        <w:t>Ilogbo</w:t>
      </w:r>
      <w:proofErr w:type="spellEnd"/>
      <w:r>
        <w:t xml:space="preserve"> suggest localized potassic alteration from fluid infiltration, corroborated by coincident high equivalent uranium (</w:t>
      </w:r>
      <w:proofErr w:type="spellStart"/>
      <w:r>
        <w:t>eU</w:t>
      </w:r>
      <w:proofErr w:type="spellEnd"/>
      <w:r>
        <w:t>) zones. These spatial relationships confirm that hydrothermal alteration and structural controls jointly influence uranium mineraliz</w:t>
      </w:r>
      <w:r w:rsidR="004A01B0">
        <w:t>ation in the study area (</w:t>
      </w:r>
      <w:proofErr w:type="spellStart"/>
      <w:r w:rsidR="004A01B0">
        <w:t>Onyejiuwaka</w:t>
      </w:r>
      <w:proofErr w:type="spellEnd"/>
      <w:r w:rsidR="004A01B0">
        <w:t xml:space="preserve"> &amp; </w:t>
      </w:r>
      <w:proofErr w:type="spellStart"/>
      <w:r w:rsidR="004A01B0">
        <w:t>Nwokeabia</w:t>
      </w:r>
      <w:proofErr w:type="spellEnd"/>
      <w:r w:rsidR="004A01B0">
        <w:t>, 2020)</w:t>
      </w:r>
      <w:r>
        <w:t>.</w:t>
      </w:r>
    </w:p>
    <w:p w14:paraId="5A3A4769" w14:textId="186AA8A5" w:rsidR="006900F5" w:rsidRDefault="006900F5" w:rsidP="001770D3">
      <w:pPr>
        <w:tabs>
          <w:tab w:val="left" w:pos="10710"/>
        </w:tabs>
        <w:spacing w:line="240" w:lineRule="auto"/>
        <w:jc w:val="both"/>
        <w:rPr>
          <w:rFonts w:ascii="Times New Roman" w:hAnsi="Times New Roman" w:cs="Times New Roman"/>
          <w:sz w:val="24"/>
          <w:szCs w:val="24"/>
        </w:rPr>
      </w:pPr>
    </w:p>
    <w:p w14:paraId="4ED47E7C" w14:textId="5161A786" w:rsidR="008D6474" w:rsidRDefault="008D6474" w:rsidP="001770D3">
      <w:pPr>
        <w:tabs>
          <w:tab w:val="left" w:pos="10710"/>
        </w:tabs>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Pr="00DA53F5">
        <w:rPr>
          <w:rFonts w:ascii="Times New Roman" w:eastAsia="Times New Roman" w:hAnsi="Times New Roman" w:cs="Times New Roman"/>
          <w:noProof/>
          <w:sz w:val="24"/>
          <w:szCs w:val="24"/>
        </w:rPr>
        <w:drawing>
          <wp:inline distT="0" distB="0" distL="0" distR="0" wp14:anchorId="368178FD" wp14:editId="787E936D">
            <wp:extent cx="3708400" cy="36601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7328" cy="3708431"/>
                    </a:xfrm>
                    <a:prstGeom prst="rect">
                      <a:avLst/>
                    </a:prstGeom>
                  </pic:spPr>
                </pic:pic>
              </a:graphicData>
            </a:graphic>
          </wp:inline>
        </w:drawing>
      </w:r>
    </w:p>
    <w:p w14:paraId="2A64AF8D" w14:textId="3AB121B5" w:rsidR="008D6474" w:rsidRDefault="008D6474" w:rsidP="001770D3">
      <w:pPr>
        <w:tabs>
          <w:tab w:val="left" w:pos="10710"/>
        </w:tabs>
        <w:spacing w:line="240" w:lineRule="auto"/>
        <w:jc w:val="both"/>
        <w:rPr>
          <w:rFonts w:ascii="Times New Roman" w:eastAsia="Times New Roman" w:hAnsi="Times New Roman" w:cs="Times New Roman"/>
          <w:noProof/>
          <w:sz w:val="24"/>
          <w:szCs w:val="24"/>
        </w:rPr>
      </w:pPr>
    </w:p>
    <w:p w14:paraId="772B68F2" w14:textId="77777777" w:rsidR="00E95F4C" w:rsidRDefault="00E95F4C" w:rsidP="00E95F4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12</w:t>
      </w:r>
      <w:r w:rsidR="008D6474">
        <w:rPr>
          <w:rFonts w:ascii="Times New Roman" w:eastAsia="Times New Roman" w:hAnsi="Times New Roman" w:cs="Times New Roman"/>
          <w:sz w:val="24"/>
          <w:szCs w:val="24"/>
        </w:rPr>
        <w:t>: Potassium Deviation Superimposed on Geological Map of the Study Area</w:t>
      </w:r>
    </w:p>
    <w:p w14:paraId="07A652CF" w14:textId="0DFE3705" w:rsidR="00E95F4C" w:rsidRPr="00E95F4C" w:rsidRDefault="00E95F4C" w:rsidP="00E95F4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4.8</w:t>
      </w:r>
      <w:r w:rsidRPr="00925848">
        <w:rPr>
          <w:rFonts w:ascii="Times New Roman" w:hAnsi="Times New Roman" w:cs="Times New Roman"/>
          <w:b/>
          <w:sz w:val="24"/>
          <w:szCs w:val="24"/>
        </w:rPr>
        <w:t>: Trace Elements Geochemistry of the Rocks</w:t>
      </w:r>
    </w:p>
    <w:p w14:paraId="7C7CABE8" w14:textId="7A3D94B5" w:rsidR="00E95F4C" w:rsidRPr="008F24FD" w:rsidRDefault="008F24FD" w:rsidP="008F24FD">
      <w:pPr>
        <w:tabs>
          <w:tab w:val="left" w:pos="10710"/>
        </w:tabs>
        <w:spacing w:after="0" w:line="240" w:lineRule="auto"/>
        <w:jc w:val="both"/>
        <w:rPr>
          <w:rFonts w:ascii="Times New Roman" w:hAnsi="Times New Roman" w:cs="Times New Roman"/>
          <w:b/>
          <w:color w:val="0D0D0D"/>
          <w:sz w:val="24"/>
          <w:szCs w:val="24"/>
        </w:rPr>
      </w:pPr>
      <w:r w:rsidRPr="008F24FD">
        <w:rPr>
          <w:rFonts w:ascii="Times New Roman" w:hAnsi="Times New Roman" w:cs="Times New Roman"/>
          <w:sz w:val="24"/>
          <w:szCs w:val="24"/>
        </w:rPr>
        <w:lastRenderedPageBreak/>
        <w:t xml:space="preserve">The trace element data from Orin-Ekiti and surrounding towns such as Ora,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Odo</w:t>
      </w:r>
      <w:proofErr w:type="spellEnd"/>
      <w:r w:rsidRPr="008F24FD">
        <w:rPr>
          <w:rFonts w:ascii="Times New Roman" w:hAnsi="Times New Roman" w:cs="Times New Roman"/>
          <w:sz w:val="24"/>
          <w:szCs w:val="24"/>
        </w:rPr>
        <w:t xml:space="preserve">-Ora, and </w:t>
      </w:r>
      <w:proofErr w:type="spellStart"/>
      <w:r w:rsidRPr="008F24FD">
        <w:rPr>
          <w:rFonts w:ascii="Times New Roman" w:hAnsi="Times New Roman" w:cs="Times New Roman"/>
          <w:sz w:val="24"/>
          <w:szCs w:val="24"/>
        </w:rPr>
        <w:t>Ewu</w:t>
      </w:r>
      <w:proofErr w:type="spellEnd"/>
      <w:r w:rsidRPr="008F24FD">
        <w:rPr>
          <w:rFonts w:ascii="Times New Roman" w:hAnsi="Times New Roman" w:cs="Times New Roman"/>
          <w:sz w:val="24"/>
          <w:szCs w:val="24"/>
        </w:rPr>
        <w:t xml:space="preserve"> (</w:t>
      </w:r>
      <w:r w:rsidRPr="008F24FD">
        <w:rPr>
          <w:rFonts w:ascii="Times New Roman" w:hAnsi="Times New Roman" w:cs="Times New Roman"/>
          <w:b/>
          <w:sz w:val="24"/>
          <w:szCs w:val="24"/>
        </w:rPr>
        <w:t>Table 1</w:t>
      </w:r>
      <w:r w:rsidRPr="008F24FD">
        <w:rPr>
          <w:rFonts w:ascii="Times New Roman" w:hAnsi="Times New Roman" w:cs="Times New Roman"/>
          <w:sz w:val="24"/>
          <w:szCs w:val="24"/>
        </w:rPr>
        <w:t xml:space="preserve">) reveal geochemical variations reflecting lithological diversity and crustal evolution. Barium (Ba) concentrations range from 21 ppm at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to 2367 ppm at Orin-Ekiti, indicating variable feldspar c</w:t>
      </w:r>
      <w:r w:rsidR="00E24438">
        <w:rPr>
          <w:rFonts w:ascii="Times New Roman" w:hAnsi="Times New Roman" w:cs="Times New Roman"/>
          <w:sz w:val="24"/>
          <w:szCs w:val="24"/>
        </w:rPr>
        <w:t>ontent</w:t>
      </w:r>
      <w:r w:rsidR="00EF48BA">
        <w:rPr>
          <w:rFonts w:ascii="Times New Roman" w:hAnsi="Times New Roman" w:cs="Times New Roman"/>
          <w:sz w:val="24"/>
          <w:szCs w:val="24"/>
        </w:rPr>
        <w:t xml:space="preserve"> </w:t>
      </w:r>
      <w:r w:rsidR="00EF48BA" w:rsidRPr="00EF48BA">
        <w:rPr>
          <w:rFonts w:ascii="Times New Roman" w:hAnsi="Times New Roman" w:cs="Times New Roman"/>
          <w:sz w:val="24"/>
          <w:szCs w:val="24"/>
        </w:rPr>
        <w:t>(Taylor &amp; McLennan, 1985)</w:t>
      </w:r>
      <w:r w:rsidRPr="00EF48BA">
        <w:rPr>
          <w:rFonts w:ascii="Times New Roman" w:hAnsi="Times New Roman" w:cs="Times New Roman"/>
          <w:sz w:val="24"/>
          <w:szCs w:val="24"/>
        </w:rPr>
        <w:t>.</w:t>
      </w:r>
      <w:r w:rsidRPr="008F24FD">
        <w:rPr>
          <w:rFonts w:ascii="Times New Roman" w:hAnsi="Times New Roman" w:cs="Times New Roman"/>
          <w:sz w:val="24"/>
          <w:szCs w:val="24"/>
        </w:rPr>
        <w:t xml:space="preserve"> Elevated zirconium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values, up to 3532 ppm at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suggest magmatic fractionation and accessory zircon in evolved granitic or </w:t>
      </w:r>
      <w:proofErr w:type="spellStart"/>
      <w:r w:rsidRPr="008F24FD">
        <w:rPr>
          <w:rFonts w:ascii="Times New Roman" w:hAnsi="Times New Roman" w:cs="Times New Roman"/>
          <w:sz w:val="24"/>
          <w:szCs w:val="24"/>
        </w:rPr>
        <w:t>m</w:t>
      </w:r>
      <w:r w:rsidR="003B1D48">
        <w:rPr>
          <w:rFonts w:ascii="Times New Roman" w:hAnsi="Times New Roman" w:cs="Times New Roman"/>
          <w:sz w:val="24"/>
          <w:szCs w:val="24"/>
        </w:rPr>
        <w:t>igmatitic</w:t>
      </w:r>
      <w:proofErr w:type="spellEnd"/>
      <w:r w:rsidR="003B1D48">
        <w:rPr>
          <w:rFonts w:ascii="Times New Roman" w:hAnsi="Times New Roman" w:cs="Times New Roman"/>
          <w:sz w:val="24"/>
          <w:szCs w:val="24"/>
        </w:rPr>
        <w:t xml:space="preserve"> rocks (</w:t>
      </w:r>
      <w:proofErr w:type="spellStart"/>
      <w:r w:rsidR="003B1D48" w:rsidRPr="00DB5E83">
        <w:rPr>
          <w:rFonts w:ascii="Times New Roman" w:hAnsi="Times New Roman" w:cs="Times New Roman"/>
          <w:sz w:val="24"/>
          <w:szCs w:val="24"/>
        </w:rPr>
        <w:t>Ogunyele</w:t>
      </w:r>
      <w:proofErr w:type="spellEnd"/>
      <w:r w:rsidR="003B1D48" w:rsidRPr="00DB5E83">
        <w:rPr>
          <w:rFonts w:ascii="Times New Roman" w:hAnsi="Times New Roman" w:cs="Times New Roman"/>
          <w:sz w:val="24"/>
          <w:szCs w:val="24"/>
        </w:rPr>
        <w:t xml:space="preserve"> et al., 2017</w:t>
      </w:r>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Charnockitic</w:t>
      </w:r>
      <w:proofErr w:type="spellEnd"/>
      <w:r w:rsidRPr="008F24FD">
        <w:rPr>
          <w:rFonts w:ascii="Times New Roman" w:hAnsi="Times New Roman" w:cs="Times New Roman"/>
          <w:sz w:val="24"/>
          <w:szCs w:val="24"/>
        </w:rPr>
        <w:t xml:space="preserve"> samples from Orin Junction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show higher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Nb</w:t>
      </w:r>
      <w:proofErr w:type="spellEnd"/>
      <w:r w:rsidRPr="008F24FD">
        <w:rPr>
          <w:rFonts w:ascii="Times New Roman" w:hAnsi="Times New Roman" w:cs="Times New Roman"/>
          <w:sz w:val="24"/>
          <w:szCs w:val="24"/>
        </w:rPr>
        <w:t xml:space="preserve">, and Y contents, consistent with ferroan and alkalic characteristics (Frost et al., 2001). Nickel (Ni) and copper (Cu) are moderately enriched in Orin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samples, with Ni reaching 104 ppm, reflecting mafic contributions or partial melting of met</w:t>
      </w:r>
      <w:r w:rsidR="003E1238">
        <w:rPr>
          <w:rFonts w:ascii="Times New Roman" w:hAnsi="Times New Roman" w:cs="Times New Roman"/>
          <w:sz w:val="24"/>
          <w:szCs w:val="24"/>
        </w:rPr>
        <w:t>al-bearing sources</w:t>
      </w:r>
      <w:r w:rsidRPr="008F24FD">
        <w:rPr>
          <w:rFonts w:ascii="Times New Roman" w:hAnsi="Times New Roman" w:cs="Times New Roman"/>
          <w:sz w:val="24"/>
          <w:szCs w:val="24"/>
        </w:rPr>
        <w:t xml:space="preserve">. Zinc (Zn) and lead (Pb) are higher in Orin-Ekiti and </w:t>
      </w:r>
      <w:proofErr w:type="spellStart"/>
      <w:r w:rsidRPr="008F24FD">
        <w:rPr>
          <w:rFonts w:ascii="Times New Roman" w:hAnsi="Times New Roman" w:cs="Times New Roman"/>
          <w:sz w:val="24"/>
          <w:szCs w:val="24"/>
        </w:rPr>
        <w:t>Iddo</w:t>
      </w:r>
      <w:proofErr w:type="spellEnd"/>
      <w:r w:rsidRPr="008F24FD">
        <w:rPr>
          <w:rFonts w:ascii="Times New Roman" w:hAnsi="Times New Roman" w:cs="Times New Roman"/>
          <w:sz w:val="24"/>
          <w:szCs w:val="24"/>
        </w:rPr>
        <w:t xml:space="preserve">, indicating hydrothermal influence during crustal reworking </w:t>
      </w:r>
      <w:r w:rsidR="00DB5E83">
        <w:rPr>
          <w:rFonts w:ascii="Times New Roman" w:hAnsi="Times New Roman" w:cs="Times New Roman"/>
          <w:sz w:val="24"/>
          <w:szCs w:val="24"/>
        </w:rPr>
        <w:t>(</w:t>
      </w:r>
      <w:proofErr w:type="spellStart"/>
      <w:r w:rsidR="00DB5E83" w:rsidRPr="00DB5E83">
        <w:rPr>
          <w:rFonts w:ascii="Times New Roman" w:hAnsi="Times New Roman" w:cs="Times New Roman"/>
          <w:sz w:val="24"/>
          <w:szCs w:val="24"/>
        </w:rPr>
        <w:t>Ogunyele</w:t>
      </w:r>
      <w:proofErr w:type="spellEnd"/>
      <w:r w:rsidR="00DB5E83" w:rsidRPr="00DB5E83">
        <w:rPr>
          <w:rFonts w:ascii="Times New Roman" w:hAnsi="Times New Roman" w:cs="Times New Roman"/>
          <w:sz w:val="24"/>
          <w:szCs w:val="24"/>
        </w:rPr>
        <w:t xml:space="preserve"> et al., 2017</w:t>
      </w:r>
      <w:r w:rsidR="00741425">
        <w:rPr>
          <w:rFonts w:ascii="Times New Roman" w:hAnsi="Times New Roman" w:cs="Times New Roman"/>
          <w:sz w:val="24"/>
          <w:szCs w:val="24"/>
        </w:rPr>
        <w:t xml:space="preserve">; </w:t>
      </w:r>
      <w:proofErr w:type="spellStart"/>
      <w:r w:rsidR="00741425">
        <w:rPr>
          <w:rFonts w:ascii="Times New Roman" w:hAnsi="Times New Roman" w:cs="Times New Roman"/>
          <w:sz w:val="24"/>
          <w:szCs w:val="24"/>
        </w:rPr>
        <w:t>Igonor</w:t>
      </w:r>
      <w:proofErr w:type="spellEnd"/>
      <w:r w:rsidR="00741425">
        <w:rPr>
          <w:rFonts w:ascii="Times New Roman" w:hAnsi="Times New Roman" w:cs="Times New Roman"/>
          <w:sz w:val="24"/>
          <w:szCs w:val="24"/>
        </w:rPr>
        <w:t xml:space="preserve"> &amp; Abimbola, 2016</w:t>
      </w:r>
      <w:r w:rsidRPr="008F24FD">
        <w:rPr>
          <w:rFonts w:ascii="Times New Roman" w:hAnsi="Times New Roman" w:cs="Times New Roman"/>
          <w:sz w:val="24"/>
          <w:szCs w:val="24"/>
        </w:rPr>
        <w:t xml:space="preserve">). Samples from </w:t>
      </w:r>
      <w:proofErr w:type="spellStart"/>
      <w:r w:rsidRPr="008F24FD">
        <w:rPr>
          <w:rFonts w:ascii="Times New Roman" w:hAnsi="Times New Roman" w:cs="Times New Roman"/>
          <w:sz w:val="24"/>
          <w:szCs w:val="24"/>
        </w:rPr>
        <w:t>Odo</w:t>
      </w:r>
      <w:proofErr w:type="spellEnd"/>
      <w:r w:rsidRPr="008F24FD">
        <w:rPr>
          <w:rFonts w:ascii="Times New Roman" w:hAnsi="Times New Roman" w:cs="Times New Roman"/>
          <w:sz w:val="24"/>
          <w:szCs w:val="24"/>
        </w:rPr>
        <w:t xml:space="preserve">-Ora and </w:t>
      </w:r>
      <w:proofErr w:type="spellStart"/>
      <w:r w:rsidRPr="008F24FD">
        <w:rPr>
          <w:rFonts w:ascii="Times New Roman" w:hAnsi="Times New Roman" w:cs="Times New Roman"/>
          <w:sz w:val="24"/>
          <w:szCs w:val="24"/>
        </w:rPr>
        <w:t>Ayetoro</w:t>
      </w:r>
      <w:proofErr w:type="spellEnd"/>
      <w:r w:rsidRPr="008F24FD">
        <w:rPr>
          <w:rFonts w:ascii="Times New Roman" w:hAnsi="Times New Roman" w:cs="Times New Roman"/>
          <w:sz w:val="24"/>
          <w:szCs w:val="24"/>
        </w:rPr>
        <w:t xml:space="preserve"> display low trace element abundances, consistent with less-evolved basement material. The distribution of Ba, </w:t>
      </w:r>
      <w:proofErr w:type="spellStart"/>
      <w:r w:rsidRPr="008F24FD">
        <w:rPr>
          <w:rFonts w:ascii="Times New Roman" w:hAnsi="Times New Roman" w:cs="Times New Roman"/>
          <w:sz w:val="24"/>
          <w:szCs w:val="24"/>
        </w:rPr>
        <w:t>Zr</w:t>
      </w:r>
      <w:proofErr w:type="spellEnd"/>
      <w:r w:rsidRPr="008F24FD">
        <w:rPr>
          <w:rFonts w:ascii="Times New Roman" w:hAnsi="Times New Roman" w:cs="Times New Roman"/>
          <w:sz w:val="24"/>
          <w:szCs w:val="24"/>
        </w:rPr>
        <w:t xml:space="preserve">, </w:t>
      </w:r>
      <w:proofErr w:type="spellStart"/>
      <w:r w:rsidRPr="008F24FD">
        <w:rPr>
          <w:rFonts w:ascii="Times New Roman" w:hAnsi="Times New Roman" w:cs="Times New Roman"/>
          <w:sz w:val="24"/>
          <w:szCs w:val="24"/>
        </w:rPr>
        <w:t>Nb</w:t>
      </w:r>
      <w:proofErr w:type="spellEnd"/>
      <w:r w:rsidRPr="008F24FD">
        <w:rPr>
          <w:rFonts w:ascii="Times New Roman" w:hAnsi="Times New Roman" w:cs="Times New Roman"/>
          <w:sz w:val="24"/>
          <w:szCs w:val="24"/>
        </w:rPr>
        <w:t xml:space="preserve">, and Y supports a complex magmatic history with crustal melting and fluid-assisted metasomatism during the Pan-African orogeny, producing </w:t>
      </w:r>
      <w:proofErr w:type="spellStart"/>
      <w:r w:rsidRPr="008F24FD">
        <w:rPr>
          <w:rFonts w:ascii="Times New Roman" w:hAnsi="Times New Roman" w:cs="Times New Roman"/>
          <w:sz w:val="24"/>
          <w:szCs w:val="24"/>
        </w:rPr>
        <w:t>migmatitic</w:t>
      </w:r>
      <w:proofErr w:type="spellEnd"/>
      <w:r w:rsidRPr="008F24FD">
        <w:rPr>
          <w:rFonts w:ascii="Times New Roman" w:hAnsi="Times New Roman" w:cs="Times New Roman"/>
          <w:sz w:val="24"/>
          <w:szCs w:val="24"/>
        </w:rPr>
        <w:t xml:space="preserve"> to </w:t>
      </w:r>
      <w:proofErr w:type="spellStart"/>
      <w:r w:rsidRPr="008F24FD">
        <w:rPr>
          <w:rFonts w:ascii="Times New Roman" w:hAnsi="Times New Roman" w:cs="Times New Roman"/>
          <w:sz w:val="24"/>
          <w:szCs w:val="24"/>
        </w:rPr>
        <w:t>charnockitic</w:t>
      </w:r>
      <w:proofErr w:type="spellEnd"/>
      <w:r w:rsidRPr="008F24FD">
        <w:rPr>
          <w:rFonts w:ascii="Times New Roman" w:hAnsi="Times New Roman" w:cs="Times New Roman"/>
          <w:sz w:val="24"/>
          <w:szCs w:val="24"/>
        </w:rPr>
        <w:t xml:space="preserve"> suites typical of reworked basement terrains in southwestern Nig</w:t>
      </w:r>
      <w:r w:rsidR="003B1D48">
        <w:rPr>
          <w:rFonts w:ascii="Times New Roman" w:hAnsi="Times New Roman" w:cs="Times New Roman"/>
          <w:sz w:val="24"/>
          <w:szCs w:val="24"/>
        </w:rPr>
        <w:t>eria (</w:t>
      </w:r>
      <w:proofErr w:type="spellStart"/>
      <w:r w:rsidR="003B1D48">
        <w:rPr>
          <w:rFonts w:ascii="Times New Roman" w:hAnsi="Times New Roman" w:cs="Times New Roman"/>
          <w:sz w:val="24"/>
          <w:szCs w:val="24"/>
        </w:rPr>
        <w:t>Rahaman</w:t>
      </w:r>
      <w:proofErr w:type="spellEnd"/>
      <w:r w:rsidR="003B1D48">
        <w:rPr>
          <w:rFonts w:ascii="Times New Roman" w:hAnsi="Times New Roman" w:cs="Times New Roman"/>
          <w:sz w:val="24"/>
          <w:szCs w:val="24"/>
        </w:rPr>
        <w:t>, 1988</w:t>
      </w:r>
      <w:r w:rsidRPr="008F24FD">
        <w:rPr>
          <w:rFonts w:ascii="Times New Roman" w:hAnsi="Times New Roman" w:cs="Times New Roman"/>
          <w:sz w:val="24"/>
          <w:szCs w:val="24"/>
        </w:rPr>
        <w:t>).</w:t>
      </w:r>
    </w:p>
    <w:p w14:paraId="167D3DF0" w14:textId="1B6D7394" w:rsidR="00E95F4C" w:rsidRDefault="00E95F4C" w:rsidP="00CE75C1">
      <w:pPr>
        <w:tabs>
          <w:tab w:val="left" w:pos="10710"/>
        </w:tabs>
        <w:spacing w:after="0" w:line="240" w:lineRule="auto"/>
        <w:jc w:val="both"/>
        <w:rPr>
          <w:rFonts w:ascii="Times New Roman" w:hAnsi="Times New Roman" w:cs="Times New Roman"/>
          <w:b/>
          <w:color w:val="0D0D0D"/>
          <w:sz w:val="24"/>
          <w:szCs w:val="24"/>
        </w:rPr>
      </w:pPr>
    </w:p>
    <w:p w14:paraId="041ECA36" w14:textId="77777777" w:rsidR="00E95F4C" w:rsidRDefault="00E95F4C" w:rsidP="00CE75C1">
      <w:pPr>
        <w:tabs>
          <w:tab w:val="left" w:pos="10710"/>
        </w:tabs>
        <w:spacing w:after="0" w:line="240" w:lineRule="auto"/>
        <w:jc w:val="both"/>
        <w:rPr>
          <w:rFonts w:ascii="Times New Roman" w:hAnsi="Times New Roman" w:cs="Times New Roman"/>
          <w:b/>
          <w:color w:val="0D0D0D"/>
          <w:sz w:val="24"/>
          <w:szCs w:val="24"/>
        </w:rPr>
      </w:pPr>
    </w:p>
    <w:p w14:paraId="729034C7" w14:textId="1A3C128C" w:rsidR="00783F32" w:rsidRPr="00925848" w:rsidRDefault="00E95F4C" w:rsidP="00CE75C1">
      <w:pPr>
        <w:tabs>
          <w:tab w:val="left" w:pos="10710"/>
        </w:tabs>
        <w:spacing w:after="0" w:line="240" w:lineRule="auto"/>
        <w:jc w:val="both"/>
        <w:rPr>
          <w:rFonts w:ascii="Times New Roman" w:hAnsi="Times New Roman" w:cs="Times New Roman"/>
          <w:b/>
          <w:color w:val="0D0D0D"/>
          <w:sz w:val="24"/>
          <w:szCs w:val="24"/>
        </w:rPr>
      </w:pPr>
      <w:r>
        <w:rPr>
          <w:rFonts w:ascii="Times New Roman" w:hAnsi="Times New Roman" w:cs="Times New Roman"/>
          <w:b/>
          <w:color w:val="0D0D0D"/>
          <w:sz w:val="24"/>
          <w:szCs w:val="24"/>
        </w:rPr>
        <w:t>4.9</w:t>
      </w:r>
      <w:r w:rsidR="00202C16" w:rsidRPr="00925848">
        <w:rPr>
          <w:rFonts w:ascii="Times New Roman" w:hAnsi="Times New Roman" w:cs="Times New Roman"/>
          <w:b/>
          <w:color w:val="0D0D0D"/>
          <w:sz w:val="24"/>
          <w:szCs w:val="24"/>
        </w:rPr>
        <w:t xml:space="preserve"> </w:t>
      </w:r>
      <w:r w:rsidR="00CE75C1" w:rsidRPr="00925848">
        <w:rPr>
          <w:rFonts w:ascii="Times New Roman" w:hAnsi="Times New Roman" w:cs="Times New Roman"/>
          <w:b/>
          <w:color w:val="0D0D0D"/>
          <w:sz w:val="24"/>
          <w:szCs w:val="24"/>
        </w:rPr>
        <w:t>Trace Element (ppm) Geochemistry Results and Discussion</w:t>
      </w:r>
    </w:p>
    <w:p w14:paraId="05272BED" w14:textId="4AE507A3" w:rsidR="00834D63" w:rsidRPr="00AA6B4F" w:rsidRDefault="00E95F4C" w:rsidP="00CE75C1">
      <w:pPr>
        <w:tabs>
          <w:tab w:val="left" w:pos="10710"/>
        </w:tabs>
        <w:spacing w:after="0" w:line="240" w:lineRule="auto"/>
        <w:jc w:val="both"/>
        <w:rPr>
          <w:rFonts w:ascii="Times New Roman" w:hAnsi="Times New Roman" w:cs="Times New Roman"/>
          <w:color w:val="0D0D0D"/>
          <w:sz w:val="24"/>
          <w:szCs w:val="24"/>
        </w:rPr>
      </w:pPr>
      <w:r w:rsidRPr="00E95F4C">
        <w:rPr>
          <w:rFonts w:ascii="Times New Roman" w:hAnsi="Times New Roman" w:cs="Times New Roman"/>
          <w:b/>
          <w:color w:val="0D0D0D"/>
          <w:sz w:val="24"/>
          <w:szCs w:val="24"/>
        </w:rPr>
        <w:t>Table 1</w:t>
      </w:r>
      <w:r w:rsidR="00834D63">
        <w:rPr>
          <w:rFonts w:ascii="Times New Roman" w:hAnsi="Times New Roman" w:cs="Times New Roman"/>
          <w:color w:val="0D0D0D"/>
          <w:sz w:val="24"/>
          <w:szCs w:val="24"/>
        </w:rPr>
        <w:t>: Trace Elements Compositions in ppm</w:t>
      </w:r>
    </w:p>
    <w:tbl>
      <w:tblPr>
        <w:tblW w:w="9240" w:type="dxa"/>
        <w:tblInd w:w="-10" w:type="dxa"/>
        <w:tblLook w:val="04A0" w:firstRow="1" w:lastRow="0" w:firstColumn="1" w:lastColumn="0" w:noHBand="0" w:noVBand="1"/>
      </w:tblPr>
      <w:tblGrid>
        <w:gridCol w:w="430"/>
        <w:gridCol w:w="1822"/>
        <w:gridCol w:w="1052"/>
        <w:gridCol w:w="893"/>
        <w:gridCol w:w="536"/>
        <w:gridCol w:w="467"/>
        <w:gridCol w:w="536"/>
        <w:gridCol w:w="387"/>
        <w:gridCol w:w="412"/>
        <w:gridCol w:w="387"/>
        <w:gridCol w:w="439"/>
        <w:gridCol w:w="496"/>
        <w:gridCol w:w="420"/>
        <w:gridCol w:w="456"/>
        <w:gridCol w:w="507"/>
      </w:tblGrid>
      <w:tr w:rsidR="00AA6B4F" w:rsidRPr="004F0A21" w14:paraId="6A5C5D37" w14:textId="77777777" w:rsidTr="004F0A21">
        <w:trPr>
          <w:trHeight w:val="300"/>
        </w:trPr>
        <w:tc>
          <w:tcPr>
            <w:tcW w:w="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09A8A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S/n</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2296C0B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Samples ID</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6B13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Longitude</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2D70C9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Latitude</w:t>
            </w:r>
          </w:p>
        </w:tc>
        <w:tc>
          <w:tcPr>
            <w:tcW w:w="520" w:type="dxa"/>
            <w:tcBorders>
              <w:top w:val="single" w:sz="8" w:space="0" w:color="auto"/>
              <w:left w:val="nil"/>
              <w:bottom w:val="single" w:sz="8" w:space="0" w:color="auto"/>
              <w:right w:val="single" w:sz="8" w:space="0" w:color="auto"/>
            </w:tcBorders>
            <w:shd w:val="clear" w:color="auto" w:fill="auto"/>
            <w:noWrap/>
            <w:vAlign w:val="center"/>
            <w:hideMark/>
          </w:tcPr>
          <w:p w14:paraId="0F0B759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Ba</w:t>
            </w:r>
          </w:p>
        </w:tc>
        <w:tc>
          <w:tcPr>
            <w:tcW w:w="380" w:type="dxa"/>
            <w:tcBorders>
              <w:top w:val="single" w:sz="8" w:space="0" w:color="auto"/>
              <w:left w:val="nil"/>
              <w:bottom w:val="single" w:sz="8" w:space="0" w:color="auto"/>
              <w:right w:val="single" w:sz="8" w:space="0" w:color="auto"/>
            </w:tcBorders>
            <w:shd w:val="clear" w:color="auto" w:fill="auto"/>
            <w:noWrap/>
            <w:vAlign w:val="center"/>
            <w:hideMark/>
          </w:tcPr>
          <w:p w14:paraId="45AC0A0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Ni</w:t>
            </w:r>
          </w:p>
        </w:tc>
        <w:tc>
          <w:tcPr>
            <w:tcW w:w="480" w:type="dxa"/>
            <w:tcBorders>
              <w:top w:val="single" w:sz="8" w:space="0" w:color="auto"/>
              <w:left w:val="nil"/>
              <w:bottom w:val="single" w:sz="8" w:space="0" w:color="auto"/>
              <w:right w:val="single" w:sz="8" w:space="0" w:color="auto"/>
            </w:tcBorders>
            <w:shd w:val="clear" w:color="auto" w:fill="auto"/>
            <w:noWrap/>
            <w:vAlign w:val="center"/>
            <w:hideMark/>
          </w:tcPr>
          <w:p w14:paraId="7409F1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Zr</w:t>
            </w:r>
            <w:proofErr w:type="spellEnd"/>
          </w:p>
        </w:tc>
        <w:tc>
          <w:tcPr>
            <w:tcW w:w="300" w:type="dxa"/>
            <w:tcBorders>
              <w:top w:val="single" w:sz="8" w:space="0" w:color="auto"/>
              <w:left w:val="nil"/>
              <w:bottom w:val="single" w:sz="8" w:space="0" w:color="auto"/>
              <w:right w:val="single" w:sz="8" w:space="0" w:color="auto"/>
            </w:tcBorders>
            <w:shd w:val="clear" w:color="auto" w:fill="auto"/>
            <w:noWrap/>
            <w:vAlign w:val="center"/>
            <w:hideMark/>
          </w:tcPr>
          <w:p w14:paraId="3C8B737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Y</w:t>
            </w:r>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4CD88E1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Nb</w:t>
            </w:r>
            <w:proofErr w:type="spellEnd"/>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2ACFF29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Sc</w:t>
            </w:r>
          </w:p>
        </w:tc>
        <w:tc>
          <w:tcPr>
            <w:tcW w:w="320" w:type="dxa"/>
            <w:tcBorders>
              <w:top w:val="single" w:sz="8" w:space="0" w:color="auto"/>
              <w:left w:val="nil"/>
              <w:bottom w:val="single" w:sz="8" w:space="0" w:color="auto"/>
              <w:right w:val="single" w:sz="8" w:space="0" w:color="auto"/>
            </w:tcBorders>
            <w:shd w:val="clear" w:color="auto" w:fill="auto"/>
            <w:noWrap/>
            <w:vAlign w:val="center"/>
            <w:hideMark/>
          </w:tcPr>
          <w:p w14:paraId="069AED8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Mo</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0096A63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Cu</w:t>
            </w:r>
          </w:p>
        </w:tc>
        <w:tc>
          <w:tcPr>
            <w:tcW w:w="420" w:type="dxa"/>
            <w:tcBorders>
              <w:top w:val="single" w:sz="8" w:space="0" w:color="auto"/>
              <w:left w:val="nil"/>
              <w:bottom w:val="single" w:sz="8" w:space="0" w:color="auto"/>
              <w:right w:val="single" w:sz="8" w:space="0" w:color="auto"/>
            </w:tcBorders>
            <w:shd w:val="clear" w:color="auto" w:fill="auto"/>
            <w:noWrap/>
            <w:vAlign w:val="center"/>
            <w:hideMark/>
          </w:tcPr>
          <w:p w14:paraId="2E7252F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Pb</w:t>
            </w:r>
          </w:p>
        </w:tc>
        <w:tc>
          <w:tcPr>
            <w:tcW w:w="360" w:type="dxa"/>
            <w:tcBorders>
              <w:top w:val="single" w:sz="8" w:space="0" w:color="auto"/>
              <w:left w:val="nil"/>
              <w:bottom w:val="single" w:sz="8" w:space="0" w:color="auto"/>
              <w:right w:val="single" w:sz="8" w:space="0" w:color="auto"/>
            </w:tcBorders>
            <w:shd w:val="clear" w:color="auto" w:fill="auto"/>
            <w:noWrap/>
            <w:vAlign w:val="center"/>
            <w:hideMark/>
          </w:tcPr>
          <w:p w14:paraId="72E6555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Zn</w:t>
            </w:r>
          </w:p>
        </w:tc>
        <w:tc>
          <w:tcPr>
            <w:tcW w:w="440" w:type="dxa"/>
            <w:tcBorders>
              <w:top w:val="single" w:sz="8" w:space="0" w:color="auto"/>
              <w:left w:val="nil"/>
              <w:bottom w:val="single" w:sz="8" w:space="0" w:color="auto"/>
              <w:right w:val="single" w:sz="8" w:space="0" w:color="auto"/>
            </w:tcBorders>
            <w:shd w:val="clear" w:color="auto" w:fill="auto"/>
            <w:noWrap/>
            <w:vAlign w:val="center"/>
            <w:hideMark/>
          </w:tcPr>
          <w:p w14:paraId="09645D4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Ag</w:t>
            </w:r>
          </w:p>
        </w:tc>
      </w:tr>
      <w:tr w:rsidR="00AA6B4F" w:rsidRPr="004F0A21" w14:paraId="0A4D89E8"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7470E5B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2720" w:type="dxa"/>
            <w:tcBorders>
              <w:top w:val="nil"/>
              <w:left w:val="nil"/>
              <w:bottom w:val="single" w:sz="8" w:space="0" w:color="auto"/>
              <w:right w:val="single" w:sz="8" w:space="0" w:color="auto"/>
            </w:tcBorders>
            <w:shd w:val="clear" w:color="auto" w:fill="auto"/>
            <w:vAlign w:val="center"/>
            <w:hideMark/>
          </w:tcPr>
          <w:p w14:paraId="2A28818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Fadama</w:t>
            </w:r>
            <w:proofErr w:type="spellEnd"/>
            <w:r w:rsidRPr="004F0A21">
              <w:rPr>
                <w:rFonts w:ascii="Times New Roman" w:eastAsia="Times New Roman" w:hAnsi="Times New Roman" w:cs="Times New Roman"/>
                <w:color w:val="000000"/>
                <w:sz w:val="16"/>
                <w:szCs w:val="16"/>
              </w:rPr>
              <w:t xml:space="preserve"> Office Orin Ekiti</w:t>
            </w:r>
          </w:p>
        </w:tc>
        <w:tc>
          <w:tcPr>
            <w:tcW w:w="960" w:type="dxa"/>
            <w:tcBorders>
              <w:top w:val="nil"/>
              <w:left w:val="nil"/>
              <w:bottom w:val="single" w:sz="8" w:space="0" w:color="auto"/>
              <w:right w:val="single" w:sz="8" w:space="0" w:color="auto"/>
            </w:tcBorders>
            <w:shd w:val="clear" w:color="auto" w:fill="auto"/>
            <w:noWrap/>
            <w:hideMark/>
          </w:tcPr>
          <w:p w14:paraId="6EFEFEB9"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5°13¹40¹¹</w:t>
            </w:r>
          </w:p>
        </w:tc>
        <w:tc>
          <w:tcPr>
            <w:tcW w:w="960" w:type="dxa"/>
            <w:tcBorders>
              <w:top w:val="nil"/>
              <w:left w:val="nil"/>
              <w:bottom w:val="single" w:sz="8" w:space="0" w:color="auto"/>
              <w:right w:val="single" w:sz="8" w:space="0" w:color="auto"/>
            </w:tcBorders>
            <w:shd w:val="clear" w:color="auto" w:fill="auto"/>
            <w:vAlign w:val="center"/>
            <w:hideMark/>
          </w:tcPr>
          <w:p w14:paraId="477EECC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7°49¹5¹¹</w:t>
            </w:r>
          </w:p>
        </w:tc>
        <w:tc>
          <w:tcPr>
            <w:tcW w:w="520" w:type="dxa"/>
            <w:tcBorders>
              <w:top w:val="nil"/>
              <w:left w:val="nil"/>
              <w:bottom w:val="single" w:sz="8" w:space="0" w:color="auto"/>
              <w:right w:val="single" w:sz="8" w:space="0" w:color="auto"/>
            </w:tcBorders>
            <w:shd w:val="clear" w:color="auto" w:fill="auto"/>
            <w:noWrap/>
            <w:vAlign w:val="center"/>
            <w:hideMark/>
          </w:tcPr>
          <w:p w14:paraId="6B4D712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2367</w:t>
            </w:r>
          </w:p>
        </w:tc>
        <w:tc>
          <w:tcPr>
            <w:tcW w:w="380" w:type="dxa"/>
            <w:tcBorders>
              <w:top w:val="nil"/>
              <w:left w:val="nil"/>
              <w:bottom w:val="single" w:sz="8" w:space="0" w:color="auto"/>
              <w:right w:val="single" w:sz="8" w:space="0" w:color="auto"/>
            </w:tcBorders>
            <w:shd w:val="clear" w:color="auto" w:fill="auto"/>
            <w:noWrap/>
            <w:vAlign w:val="center"/>
            <w:hideMark/>
          </w:tcPr>
          <w:p w14:paraId="14FB5C4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A10121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855</w:t>
            </w:r>
          </w:p>
        </w:tc>
        <w:tc>
          <w:tcPr>
            <w:tcW w:w="300" w:type="dxa"/>
            <w:tcBorders>
              <w:top w:val="nil"/>
              <w:left w:val="nil"/>
              <w:bottom w:val="single" w:sz="8" w:space="0" w:color="auto"/>
              <w:right w:val="single" w:sz="8" w:space="0" w:color="auto"/>
            </w:tcBorders>
            <w:shd w:val="clear" w:color="auto" w:fill="auto"/>
            <w:noWrap/>
            <w:vAlign w:val="center"/>
            <w:hideMark/>
          </w:tcPr>
          <w:p w14:paraId="2592F7B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65</w:t>
            </w:r>
          </w:p>
        </w:tc>
        <w:tc>
          <w:tcPr>
            <w:tcW w:w="320" w:type="dxa"/>
            <w:tcBorders>
              <w:top w:val="nil"/>
              <w:left w:val="nil"/>
              <w:bottom w:val="single" w:sz="8" w:space="0" w:color="auto"/>
              <w:right w:val="single" w:sz="8" w:space="0" w:color="auto"/>
            </w:tcBorders>
            <w:shd w:val="clear" w:color="auto" w:fill="auto"/>
            <w:noWrap/>
            <w:vAlign w:val="center"/>
            <w:hideMark/>
          </w:tcPr>
          <w:p w14:paraId="1234F40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33</w:t>
            </w:r>
          </w:p>
        </w:tc>
        <w:tc>
          <w:tcPr>
            <w:tcW w:w="320" w:type="dxa"/>
            <w:tcBorders>
              <w:top w:val="nil"/>
              <w:left w:val="nil"/>
              <w:bottom w:val="single" w:sz="8" w:space="0" w:color="auto"/>
              <w:right w:val="single" w:sz="8" w:space="0" w:color="auto"/>
            </w:tcBorders>
            <w:shd w:val="clear" w:color="auto" w:fill="auto"/>
            <w:noWrap/>
            <w:vAlign w:val="center"/>
            <w:hideMark/>
          </w:tcPr>
          <w:p w14:paraId="1482894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320" w:type="dxa"/>
            <w:tcBorders>
              <w:top w:val="nil"/>
              <w:left w:val="nil"/>
              <w:bottom w:val="single" w:sz="8" w:space="0" w:color="auto"/>
              <w:right w:val="single" w:sz="8" w:space="0" w:color="auto"/>
            </w:tcBorders>
            <w:shd w:val="clear" w:color="auto" w:fill="auto"/>
            <w:noWrap/>
            <w:vAlign w:val="center"/>
            <w:hideMark/>
          </w:tcPr>
          <w:p w14:paraId="6ED8853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037B597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19.5</w:t>
            </w:r>
          </w:p>
        </w:tc>
        <w:tc>
          <w:tcPr>
            <w:tcW w:w="420" w:type="dxa"/>
            <w:tcBorders>
              <w:top w:val="nil"/>
              <w:left w:val="nil"/>
              <w:bottom w:val="single" w:sz="8" w:space="0" w:color="auto"/>
              <w:right w:val="single" w:sz="8" w:space="0" w:color="auto"/>
            </w:tcBorders>
            <w:shd w:val="clear" w:color="auto" w:fill="auto"/>
            <w:noWrap/>
            <w:vAlign w:val="center"/>
            <w:hideMark/>
          </w:tcPr>
          <w:p w14:paraId="2E23CCA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w:t>
            </w:r>
          </w:p>
        </w:tc>
        <w:tc>
          <w:tcPr>
            <w:tcW w:w="360" w:type="dxa"/>
            <w:tcBorders>
              <w:top w:val="nil"/>
              <w:left w:val="nil"/>
              <w:bottom w:val="single" w:sz="8" w:space="0" w:color="auto"/>
              <w:right w:val="single" w:sz="8" w:space="0" w:color="auto"/>
            </w:tcBorders>
            <w:shd w:val="clear" w:color="auto" w:fill="auto"/>
            <w:noWrap/>
            <w:vAlign w:val="center"/>
            <w:hideMark/>
          </w:tcPr>
          <w:p w14:paraId="2E6DD7E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156</w:t>
            </w:r>
          </w:p>
        </w:tc>
        <w:tc>
          <w:tcPr>
            <w:tcW w:w="440" w:type="dxa"/>
            <w:tcBorders>
              <w:top w:val="nil"/>
              <w:left w:val="nil"/>
              <w:bottom w:val="single" w:sz="8" w:space="0" w:color="auto"/>
              <w:right w:val="single" w:sz="8" w:space="0" w:color="auto"/>
            </w:tcBorders>
            <w:shd w:val="clear" w:color="auto" w:fill="auto"/>
            <w:noWrap/>
            <w:vAlign w:val="center"/>
            <w:hideMark/>
          </w:tcPr>
          <w:p w14:paraId="4700F1E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EAEC8BA"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5BB052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2720" w:type="dxa"/>
            <w:tcBorders>
              <w:top w:val="nil"/>
              <w:left w:val="nil"/>
              <w:bottom w:val="single" w:sz="8" w:space="0" w:color="auto"/>
              <w:right w:val="single" w:sz="8" w:space="0" w:color="auto"/>
            </w:tcBorders>
            <w:shd w:val="clear" w:color="auto" w:fill="auto"/>
            <w:vAlign w:val="center"/>
            <w:hideMark/>
          </w:tcPr>
          <w:p w14:paraId="16538AE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Ori </w:t>
            </w:r>
            <w:proofErr w:type="spellStart"/>
            <w:r w:rsidRPr="004F0A21">
              <w:rPr>
                <w:rFonts w:ascii="Times New Roman" w:eastAsia="Times New Roman" w:hAnsi="Times New Roman" w:cs="Times New Roman"/>
                <w:color w:val="000000"/>
                <w:sz w:val="16"/>
                <w:szCs w:val="16"/>
              </w:rPr>
              <w:t>Oke</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Gbogunmi</w:t>
            </w:r>
            <w:proofErr w:type="spellEnd"/>
          </w:p>
        </w:tc>
        <w:tc>
          <w:tcPr>
            <w:tcW w:w="960" w:type="dxa"/>
            <w:tcBorders>
              <w:top w:val="nil"/>
              <w:left w:val="nil"/>
              <w:bottom w:val="single" w:sz="8" w:space="0" w:color="auto"/>
              <w:right w:val="single" w:sz="8" w:space="0" w:color="auto"/>
            </w:tcBorders>
            <w:shd w:val="clear" w:color="auto" w:fill="auto"/>
            <w:noWrap/>
            <w:hideMark/>
          </w:tcPr>
          <w:p w14:paraId="1E049BB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5°14¹43¹¹</w:t>
            </w:r>
          </w:p>
        </w:tc>
        <w:tc>
          <w:tcPr>
            <w:tcW w:w="960" w:type="dxa"/>
            <w:tcBorders>
              <w:top w:val="nil"/>
              <w:left w:val="nil"/>
              <w:bottom w:val="single" w:sz="8" w:space="0" w:color="auto"/>
              <w:right w:val="single" w:sz="8" w:space="0" w:color="auto"/>
            </w:tcBorders>
            <w:shd w:val="clear" w:color="auto" w:fill="auto"/>
            <w:vAlign w:val="center"/>
            <w:hideMark/>
          </w:tcPr>
          <w:p w14:paraId="31D635C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7°49¹20¹¹</w:t>
            </w:r>
          </w:p>
        </w:tc>
        <w:tc>
          <w:tcPr>
            <w:tcW w:w="520" w:type="dxa"/>
            <w:tcBorders>
              <w:top w:val="nil"/>
              <w:left w:val="nil"/>
              <w:bottom w:val="single" w:sz="8" w:space="0" w:color="auto"/>
              <w:right w:val="single" w:sz="8" w:space="0" w:color="auto"/>
            </w:tcBorders>
            <w:shd w:val="clear" w:color="auto" w:fill="auto"/>
            <w:noWrap/>
            <w:vAlign w:val="center"/>
            <w:hideMark/>
          </w:tcPr>
          <w:p w14:paraId="01DA41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1724</w:t>
            </w:r>
          </w:p>
        </w:tc>
        <w:tc>
          <w:tcPr>
            <w:tcW w:w="380" w:type="dxa"/>
            <w:tcBorders>
              <w:top w:val="nil"/>
              <w:left w:val="nil"/>
              <w:bottom w:val="single" w:sz="8" w:space="0" w:color="auto"/>
              <w:right w:val="single" w:sz="8" w:space="0" w:color="auto"/>
            </w:tcBorders>
            <w:shd w:val="clear" w:color="auto" w:fill="auto"/>
            <w:noWrap/>
            <w:vAlign w:val="center"/>
            <w:hideMark/>
          </w:tcPr>
          <w:p w14:paraId="2D09F1A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7188C3A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1043</w:t>
            </w:r>
          </w:p>
        </w:tc>
        <w:tc>
          <w:tcPr>
            <w:tcW w:w="300" w:type="dxa"/>
            <w:tcBorders>
              <w:top w:val="nil"/>
              <w:left w:val="nil"/>
              <w:bottom w:val="single" w:sz="8" w:space="0" w:color="auto"/>
              <w:right w:val="single" w:sz="8" w:space="0" w:color="auto"/>
            </w:tcBorders>
            <w:shd w:val="clear" w:color="auto" w:fill="auto"/>
            <w:noWrap/>
            <w:vAlign w:val="center"/>
            <w:hideMark/>
          </w:tcPr>
          <w:p w14:paraId="26C7A82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60</w:t>
            </w:r>
          </w:p>
        </w:tc>
        <w:tc>
          <w:tcPr>
            <w:tcW w:w="320" w:type="dxa"/>
            <w:tcBorders>
              <w:top w:val="nil"/>
              <w:left w:val="nil"/>
              <w:bottom w:val="single" w:sz="8" w:space="0" w:color="auto"/>
              <w:right w:val="single" w:sz="8" w:space="0" w:color="auto"/>
            </w:tcBorders>
            <w:shd w:val="clear" w:color="auto" w:fill="auto"/>
            <w:noWrap/>
            <w:vAlign w:val="center"/>
            <w:hideMark/>
          </w:tcPr>
          <w:p w14:paraId="548BA8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20" w:type="dxa"/>
            <w:tcBorders>
              <w:top w:val="nil"/>
              <w:left w:val="nil"/>
              <w:bottom w:val="single" w:sz="8" w:space="0" w:color="auto"/>
              <w:right w:val="single" w:sz="8" w:space="0" w:color="auto"/>
            </w:tcBorders>
            <w:shd w:val="clear" w:color="auto" w:fill="auto"/>
            <w:noWrap/>
            <w:vAlign w:val="center"/>
            <w:hideMark/>
          </w:tcPr>
          <w:p w14:paraId="0CCF14A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7F5716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4AFFF33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22.5</w:t>
            </w:r>
          </w:p>
        </w:tc>
        <w:tc>
          <w:tcPr>
            <w:tcW w:w="420" w:type="dxa"/>
            <w:tcBorders>
              <w:top w:val="nil"/>
              <w:left w:val="nil"/>
              <w:bottom w:val="single" w:sz="8" w:space="0" w:color="auto"/>
              <w:right w:val="single" w:sz="8" w:space="0" w:color="auto"/>
            </w:tcBorders>
            <w:shd w:val="clear" w:color="auto" w:fill="auto"/>
            <w:noWrap/>
            <w:vAlign w:val="center"/>
            <w:hideMark/>
          </w:tcPr>
          <w:p w14:paraId="58239F3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60" w:type="dxa"/>
            <w:tcBorders>
              <w:top w:val="nil"/>
              <w:left w:val="nil"/>
              <w:bottom w:val="single" w:sz="8" w:space="0" w:color="auto"/>
              <w:right w:val="single" w:sz="8" w:space="0" w:color="auto"/>
            </w:tcBorders>
            <w:shd w:val="clear" w:color="auto" w:fill="auto"/>
            <w:noWrap/>
            <w:vAlign w:val="center"/>
            <w:hideMark/>
          </w:tcPr>
          <w:p w14:paraId="699FC6F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40" w:type="dxa"/>
            <w:tcBorders>
              <w:top w:val="nil"/>
              <w:left w:val="nil"/>
              <w:bottom w:val="single" w:sz="8" w:space="0" w:color="auto"/>
              <w:right w:val="single" w:sz="8" w:space="0" w:color="auto"/>
            </w:tcBorders>
            <w:shd w:val="clear" w:color="auto" w:fill="auto"/>
            <w:noWrap/>
            <w:vAlign w:val="center"/>
            <w:hideMark/>
          </w:tcPr>
          <w:p w14:paraId="31A0BE3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1FC8CA4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12578BF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w:t>
            </w:r>
          </w:p>
        </w:tc>
        <w:tc>
          <w:tcPr>
            <w:tcW w:w="2720" w:type="dxa"/>
            <w:tcBorders>
              <w:top w:val="nil"/>
              <w:left w:val="nil"/>
              <w:bottom w:val="single" w:sz="8" w:space="0" w:color="auto"/>
              <w:right w:val="single" w:sz="8" w:space="0" w:color="auto"/>
            </w:tcBorders>
            <w:shd w:val="clear" w:color="auto" w:fill="auto"/>
            <w:vAlign w:val="center"/>
            <w:hideMark/>
          </w:tcPr>
          <w:p w14:paraId="43A1816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Beside St </w:t>
            </w:r>
            <w:proofErr w:type="spellStart"/>
            <w:r w:rsidRPr="004F0A21">
              <w:rPr>
                <w:rFonts w:ascii="Times New Roman" w:eastAsia="Times New Roman" w:hAnsi="Times New Roman" w:cs="Times New Roman"/>
                <w:color w:val="000000"/>
                <w:sz w:val="16"/>
                <w:szCs w:val="16"/>
              </w:rPr>
              <w:t>Davids</w:t>
            </w:r>
            <w:proofErr w:type="spellEnd"/>
            <w:r w:rsidRPr="004F0A21">
              <w:rPr>
                <w:rFonts w:ascii="Times New Roman" w:eastAsia="Times New Roman" w:hAnsi="Times New Roman" w:cs="Times New Roman"/>
                <w:color w:val="000000"/>
                <w:sz w:val="16"/>
                <w:szCs w:val="16"/>
              </w:rPr>
              <w:t xml:space="preserve"> Primary School Orin-Ekiti</w:t>
            </w:r>
          </w:p>
        </w:tc>
        <w:tc>
          <w:tcPr>
            <w:tcW w:w="960" w:type="dxa"/>
            <w:tcBorders>
              <w:top w:val="nil"/>
              <w:left w:val="nil"/>
              <w:bottom w:val="single" w:sz="8" w:space="0" w:color="auto"/>
              <w:right w:val="single" w:sz="8" w:space="0" w:color="auto"/>
            </w:tcBorders>
            <w:shd w:val="clear" w:color="auto" w:fill="auto"/>
            <w:noWrap/>
            <w:hideMark/>
          </w:tcPr>
          <w:p w14:paraId="25EF5F16"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5°13¹36¹¹</w:t>
            </w:r>
          </w:p>
        </w:tc>
        <w:tc>
          <w:tcPr>
            <w:tcW w:w="960" w:type="dxa"/>
            <w:tcBorders>
              <w:top w:val="nil"/>
              <w:left w:val="nil"/>
              <w:bottom w:val="single" w:sz="8" w:space="0" w:color="auto"/>
              <w:right w:val="single" w:sz="8" w:space="0" w:color="auto"/>
            </w:tcBorders>
            <w:shd w:val="clear" w:color="auto" w:fill="auto"/>
            <w:vAlign w:val="center"/>
            <w:hideMark/>
          </w:tcPr>
          <w:p w14:paraId="6B1F87B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7°49¹22¹¹</w:t>
            </w:r>
          </w:p>
        </w:tc>
        <w:tc>
          <w:tcPr>
            <w:tcW w:w="520" w:type="dxa"/>
            <w:tcBorders>
              <w:top w:val="nil"/>
              <w:left w:val="nil"/>
              <w:bottom w:val="single" w:sz="8" w:space="0" w:color="auto"/>
              <w:right w:val="single" w:sz="8" w:space="0" w:color="auto"/>
            </w:tcBorders>
            <w:shd w:val="clear" w:color="auto" w:fill="auto"/>
            <w:noWrap/>
            <w:vAlign w:val="center"/>
            <w:hideMark/>
          </w:tcPr>
          <w:p w14:paraId="33A63E3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89</w:t>
            </w:r>
          </w:p>
        </w:tc>
        <w:tc>
          <w:tcPr>
            <w:tcW w:w="380" w:type="dxa"/>
            <w:tcBorders>
              <w:top w:val="nil"/>
              <w:left w:val="nil"/>
              <w:bottom w:val="single" w:sz="8" w:space="0" w:color="auto"/>
              <w:right w:val="single" w:sz="8" w:space="0" w:color="auto"/>
            </w:tcBorders>
            <w:shd w:val="clear" w:color="auto" w:fill="auto"/>
            <w:noWrap/>
            <w:vAlign w:val="center"/>
            <w:hideMark/>
          </w:tcPr>
          <w:p w14:paraId="0BAD897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24</w:t>
            </w:r>
          </w:p>
        </w:tc>
        <w:tc>
          <w:tcPr>
            <w:tcW w:w="480" w:type="dxa"/>
            <w:tcBorders>
              <w:top w:val="nil"/>
              <w:left w:val="nil"/>
              <w:bottom w:val="single" w:sz="8" w:space="0" w:color="auto"/>
              <w:right w:val="single" w:sz="8" w:space="0" w:color="auto"/>
            </w:tcBorders>
            <w:shd w:val="clear" w:color="auto" w:fill="auto"/>
            <w:noWrap/>
            <w:vAlign w:val="center"/>
            <w:hideMark/>
          </w:tcPr>
          <w:p w14:paraId="1B7E762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743</w:t>
            </w:r>
          </w:p>
        </w:tc>
        <w:tc>
          <w:tcPr>
            <w:tcW w:w="300" w:type="dxa"/>
            <w:tcBorders>
              <w:top w:val="nil"/>
              <w:left w:val="nil"/>
              <w:bottom w:val="single" w:sz="8" w:space="0" w:color="auto"/>
              <w:right w:val="single" w:sz="8" w:space="0" w:color="auto"/>
            </w:tcBorders>
            <w:shd w:val="clear" w:color="auto" w:fill="auto"/>
            <w:noWrap/>
            <w:vAlign w:val="center"/>
            <w:hideMark/>
          </w:tcPr>
          <w:p w14:paraId="5D86FE7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60</w:t>
            </w:r>
          </w:p>
        </w:tc>
        <w:tc>
          <w:tcPr>
            <w:tcW w:w="320" w:type="dxa"/>
            <w:tcBorders>
              <w:top w:val="nil"/>
              <w:left w:val="nil"/>
              <w:bottom w:val="single" w:sz="8" w:space="0" w:color="auto"/>
              <w:right w:val="single" w:sz="8" w:space="0" w:color="auto"/>
            </w:tcBorders>
            <w:shd w:val="clear" w:color="auto" w:fill="auto"/>
            <w:noWrap/>
            <w:vAlign w:val="center"/>
            <w:hideMark/>
          </w:tcPr>
          <w:p w14:paraId="1EDE29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20" w:type="dxa"/>
            <w:tcBorders>
              <w:top w:val="nil"/>
              <w:left w:val="nil"/>
              <w:bottom w:val="single" w:sz="8" w:space="0" w:color="auto"/>
              <w:right w:val="single" w:sz="8" w:space="0" w:color="auto"/>
            </w:tcBorders>
            <w:shd w:val="clear" w:color="auto" w:fill="auto"/>
            <w:noWrap/>
            <w:vAlign w:val="center"/>
            <w:hideMark/>
          </w:tcPr>
          <w:p w14:paraId="4BECD0C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571231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700FE7B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22.5</w:t>
            </w:r>
          </w:p>
        </w:tc>
        <w:tc>
          <w:tcPr>
            <w:tcW w:w="420" w:type="dxa"/>
            <w:tcBorders>
              <w:top w:val="nil"/>
              <w:left w:val="nil"/>
              <w:bottom w:val="single" w:sz="8" w:space="0" w:color="auto"/>
              <w:right w:val="single" w:sz="8" w:space="0" w:color="auto"/>
            </w:tcBorders>
            <w:shd w:val="clear" w:color="auto" w:fill="auto"/>
            <w:noWrap/>
            <w:vAlign w:val="center"/>
            <w:hideMark/>
          </w:tcPr>
          <w:p w14:paraId="2D3A32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28</w:t>
            </w:r>
          </w:p>
        </w:tc>
        <w:tc>
          <w:tcPr>
            <w:tcW w:w="360" w:type="dxa"/>
            <w:tcBorders>
              <w:top w:val="nil"/>
              <w:left w:val="nil"/>
              <w:bottom w:val="single" w:sz="8" w:space="0" w:color="auto"/>
              <w:right w:val="single" w:sz="8" w:space="0" w:color="auto"/>
            </w:tcBorders>
            <w:shd w:val="clear" w:color="auto" w:fill="auto"/>
            <w:noWrap/>
            <w:vAlign w:val="center"/>
            <w:hideMark/>
          </w:tcPr>
          <w:p w14:paraId="2CB20C7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40" w:type="dxa"/>
            <w:tcBorders>
              <w:top w:val="nil"/>
              <w:left w:val="nil"/>
              <w:bottom w:val="single" w:sz="8" w:space="0" w:color="auto"/>
              <w:right w:val="single" w:sz="8" w:space="0" w:color="auto"/>
            </w:tcBorders>
            <w:shd w:val="clear" w:color="auto" w:fill="auto"/>
            <w:noWrap/>
            <w:vAlign w:val="center"/>
            <w:hideMark/>
          </w:tcPr>
          <w:p w14:paraId="4595D2E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61F0B897"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7505B2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2720" w:type="dxa"/>
            <w:tcBorders>
              <w:top w:val="nil"/>
              <w:left w:val="nil"/>
              <w:bottom w:val="single" w:sz="8" w:space="0" w:color="auto"/>
              <w:right w:val="single" w:sz="8" w:space="0" w:color="auto"/>
            </w:tcBorders>
            <w:shd w:val="clear" w:color="auto" w:fill="auto"/>
            <w:vAlign w:val="center"/>
            <w:hideMark/>
          </w:tcPr>
          <w:p w14:paraId="769A0F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Along Orin-Ora-Ekiti Road</w:t>
            </w:r>
          </w:p>
        </w:tc>
        <w:tc>
          <w:tcPr>
            <w:tcW w:w="960" w:type="dxa"/>
            <w:tcBorders>
              <w:top w:val="nil"/>
              <w:left w:val="nil"/>
              <w:bottom w:val="single" w:sz="8" w:space="0" w:color="auto"/>
              <w:right w:val="single" w:sz="8" w:space="0" w:color="auto"/>
            </w:tcBorders>
            <w:shd w:val="clear" w:color="auto" w:fill="auto"/>
            <w:noWrap/>
            <w:hideMark/>
          </w:tcPr>
          <w:p w14:paraId="0F5A4B9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5°13¹28¹¹</w:t>
            </w:r>
          </w:p>
        </w:tc>
        <w:tc>
          <w:tcPr>
            <w:tcW w:w="960" w:type="dxa"/>
            <w:tcBorders>
              <w:top w:val="nil"/>
              <w:left w:val="nil"/>
              <w:bottom w:val="single" w:sz="8" w:space="0" w:color="auto"/>
              <w:right w:val="single" w:sz="8" w:space="0" w:color="auto"/>
            </w:tcBorders>
            <w:shd w:val="clear" w:color="auto" w:fill="auto"/>
            <w:vAlign w:val="center"/>
            <w:hideMark/>
          </w:tcPr>
          <w:p w14:paraId="1612541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7°49¹40¹¹</w:t>
            </w:r>
          </w:p>
        </w:tc>
        <w:tc>
          <w:tcPr>
            <w:tcW w:w="520" w:type="dxa"/>
            <w:tcBorders>
              <w:top w:val="nil"/>
              <w:left w:val="nil"/>
              <w:bottom w:val="single" w:sz="8" w:space="0" w:color="auto"/>
              <w:right w:val="single" w:sz="8" w:space="0" w:color="auto"/>
            </w:tcBorders>
            <w:shd w:val="clear" w:color="auto" w:fill="auto"/>
            <w:noWrap/>
            <w:vAlign w:val="center"/>
            <w:hideMark/>
          </w:tcPr>
          <w:p w14:paraId="5830E2B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78</w:t>
            </w:r>
          </w:p>
        </w:tc>
        <w:tc>
          <w:tcPr>
            <w:tcW w:w="380" w:type="dxa"/>
            <w:tcBorders>
              <w:top w:val="nil"/>
              <w:left w:val="nil"/>
              <w:bottom w:val="single" w:sz="8" w:space="0" w:color="auto"/>
              <w:right w:val="single" w:sz="8" w:space="0" w:color="auto"/>
            </w:tcBorders>
            <w:shd w:val="clear" w:color="auto" w:fill="auto"/>
            <w:noWrap/>
            <w:vAlign w:val="center"/>
            <w:hideMark/>
          </w:tcPr>
          <w:p w14:paraId="6675DFE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w:t>
            </w:r>
          </w:p>
        </w:tc>
        <w:tc>
          <w:tcPr>
            <w:tcW w:w="480" w:type="dxa"/>
            <w:tcBorders>
              <w:top w:val="nil"/>
              <w:left w:val="nil"/>
              <w:bottom w:val="single" w:sz="8" w:space="0" w:color="auto"/>
              <w:right w:val="single" w:sz="8" w:space="0" w:color="auto"/>
            </w:tcBorders>
            <w:shd w:val="clear" w:color="auto" w:fill="auto"/>
            <w:noWrap/>
            <w:vAlign w:val="center"/>
            <w:hideMark/>
          </w:tcPr>
          <w:p w14:paraId="531B192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475</w:t>
            </w:r>
          </w:p>
        </w:tc>
        <w:tc>
          <w:tcPr>
            <w:tcW w:w="300" w:type="dxa"/>
            <w:tcBorders>
              <w:top w:val="nil"/>
              <w:left w:val="nil"/>
              <w:bottom w:val="single" w:sz="8" w:space="0" w:color="auto"/>
              <w:right w:val="single" w:sz="8" w:space="0" w:color="auto"/>
            </w:tcBorders>
            <w:shd w:val="clear" w:color="auto" w:fill="auto"/>
            <w:noWrap/>
            <w:vAlign w:val="center"/>
            <w:hideMark/>
          </w:tcPr>
          <w:p w14:paraId="519FBEA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51</w:t>
            </w:r>
          </w:p>
        </w:tc>
        <w:tc>
          <w:tcPr>
            <w:tcW w:w="320" w:type="dxa"/>
            <w:tcBorders>
              <w:top w:val="nil"/>
              <w:left w:val="nil"/>
              <w:bottom w:val="single" w:sz="8" w:space="0" w:color="auto"/>
              <w:right w:val="single" w:sz="8" w:space="0" w:color="auto"/>
            </w:tcBorders>
            <w:shd w:val="clear" w:color="auto" w:fill="auto"/>
            <w:noWrap/>
            <w:vAlign w:val="center"/>
            <w:hideMark/>
          </w:tcPr>
          <w:p w14:paraId="786231A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27</w:t>
            </w:r>
          </w:p>
        </w:tc>
        <w:tc>
          <w:tcPr>
            <w:tcW w:w="320" w:type="dxa"/>
            <w:tcBorders>
              <w:top w:val="nil"/>
              <w:left w:val="nil"/>
              <w:bottom w:val="single" w:sz="8" w:space="0" w:color="auto"/>
              <w:right w:val="single" w:sz="8" w:space="0" w:color="auto"/>
            </w:tcBorders>
            <w:shd w:val="clear" w:color="auto" w:fill="auto"/>
            <w:noWrap/>
            <w:vAlign w:val="center"/>
            <w:hideMark/>
          </w:tcPr>
          <w:p w14:paraId="6A17F92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34BF63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2D53676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20" w:type="dxa"/>
            <w:tcBorders>
              <w:top w:val="nil"/>
              <w:left w:val="nil"/>
              <w:bottom w:val="single" w:sz="8" w:space="0" w:color="auto"/>
              <w:right w:val="single" w:sz="8" w:space="0" w:color="auto"/>
            </w:tcBorders>
            <w:shd w:val="clear" w:color="auto" w:fill="auto"/>
            <w:noWrap/>
            <w:vAlign w:val="center"/>
            <w:hideMark/>
          </w:tcPr>
          <w:p w14:paraId="73B205D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w:t>
            </w:r>
          </w:p>
        </w:tc>
        <w:tc>
          <w:tcPr>
            <w:tcW w:w="360" w:type="dxa"/>
            <w:tcBorders>
              <w:top w:val="nil"/>
              <w:left w:val="nil"/>
              <w:bottom w:val="single" w:sz="8" w:space="0" w:color="auto"/>
              <w:right w:val="single" w:sz="8" w:space="0" w:color="auto"/>
            </w:tcBorders>
            <w:shd w:val="clear" w:color="auto" w:fill="auto"/>
            <w:noWrap/>
            <w:vAlign w:val="center"/>
            <w:hideMark/>
          </w:tcPr>
          <w:p w14:paraId="0F9646B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72</w:t>
            </w:r>
          </w:p>
        </w:tc>
        <w:tc>
          <w:tcPr>
            <w:tcW w:w="440" w:type="dxa"/>
            <w:tcBorders>
              <w:top w:val="nil"/>
              <w:left w:val="nil"/>
              <w:bottom w:val="single" w:sz="8" w:space="0" w:color="auto"/>
              <w:right w:val="single" w:sz="8" w:space="0" w:color="auto"/>
            </w:tcBorders>
            <w:shd w:val="clear" w:color="auto" w:fill="auto"/>
            <w:noWrap/>
            <w:vAlign w:val="center"/>
            <w:hideMark/>
          </w:tcPr>
          <w:p w14:paraId="1323DD6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838A72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AE657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w:t>
            </w:r>
          </w:p>
        </w:tc>
        <w:tc>
          <w:tcPr>
            <w:tcW w:w="2720" w:type="dxa"/>
            <w:tcBorders>
              <w:top w:val="nil"/>
              <w:left w:val="nil"/>
              <w:bottom w:val="single" w:sz="8" w:space="0" w:color="auto"/>
              <w:right w:val="single" w:sz="8" w:space="0" w:color="auto"/>
            </w:tcBorders>
            <w:shd w:val="clear" w:color="auto" w:fill="auto"/>
            <w:vAlign w:val="center"/>
            <w:hideMark/>
          </w:tcPr>
          <w:p w14:paraId="21B180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Orin-Ekiti junction</w:t>
            </w:r>
          </w:p>
        </w:tc>
        <w:tc>
          <w:tcPr>
            <w:tcW w:w="960" w:type="dxa"/>
            <w:tcBorders>
              <w:top w:val="nil"/>
              <w:left w:val="nil"/>
              <w:bottom w:val="single" w:sz="8" w:space="0" w:color="auto"/>
              <w:right w:val="single" w:sz="8" w:space="0" w:color="auto"/>
            </w:tcBorders>
            <w:shd w:val="clear" w:color="auto" w:fill="auto"/>
            <w:noWrap/>
            <w:hideMark/>
          </w:tcPr>
          <w:p w14:paraId="319489DB"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5°13¹28¹¹</w:t>
            </w:r>
          </w:p>
        </w:tc>
        <w:tc>
          <w:tcPr>
            <w:tcW w:w="960" w:type="dxa"/>
            <w:tcBorders>
              <w:top w:val="nil"/>
              <w:left w:val="nil"/>
              <w:bottom w:val="single" w:sz="8" w:space="0" w:color="auto"/>
              <w:right w:val="single" w:sz="8" w:space="0" w:color="auto"/>
            </w:tcBorders>
            <w:shd w:val="clear" w:color="auto" w:fill="auto"/>
            <w:vAlign w:val="center"/>
            <w:hideMark/>
          </w:tcPr>
          <w:p w14:paraId="2A7955A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7°49¹40¹¹</w:t>
            </w:r>
          </w:p>
        </w:tc>
        <w:tc>
          <w:tcPr>
            <w:tcW w:w="520" w:type="dxa"/>
            <w:tcBorders>
              <w:top w:val="nil"/>
              <w:left w:val="nil"/>
              <w:bottom w:val="single" w:sz="8" w:space="0" w:color="auto"/>
              <w:right w:val="single" w:sz="8" w:space="0" w:color="auto"/>
            </w:tcBorders>
            <w:shd w:val="clear" w:color="auto" w:fill="auto"/>
            <w:noWrap/>
            <w:vAlign w:val="center"/>
            <w:hideMark/>
          </w:tcPr>
          <w:p w14:paraId="0BD798E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591</w:t>
            </w:r>
          </w:p>
        </w:tc>
        <w:tc>
          <w:tcPr>
            <w:tcW w:w="380" w:type="dxa"/>
            <w:tcBorders>
              <w:top w:val="nil"/>
              <w:left w:val="nil"/>
              <w:bottom w:val="single" w:sz="8" w:space="0" w:color="auto"/>
              <w:right w:val="single" w:sz="8" w:space="0" w:color="auto"/>
            </w:tcBorders>
            <w:shd w:val="clear" w:color="auto" w:fill="auto"/>
            <w:noWrap/>
            <w:vAlign w:val="center"/>
            <w:hideMark/>
          </w:tcPr>
          <w:p w14:paraId="69116FF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41</w:t>
            </w:r>
          </w:p>
        </w:tc>
        <w:tc>
          <w:tcPr>
            <w:tcW w:w="480" w:type="dxa"/>
            <w:tcBorders>
              <w:top w:val="nil"/>
              <w:left w:val="nil"/>
              <w:bottom w:val="single" w:sz="8" w:space="0" w:color="auto"/>
              <w:right w:val="single" w:sz="8" w:space="0" w:color="auto"/>
            </w:tcBorders>
            <w:shd w:val="clear" w:color="auto" w:fill="auto"/>
            <w:noWrap/>
            <w:vAlign w:val="center"/>
            <w:hideMark/>
          </w:tcPr>
          <w:p w14:paraId="5D02453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1629</w:t>
            </w:r>
          </w:p>
        </w:tc>
        <w:tc>
          <w:tcPr>
            <w:tcW w:w="300" w:type="dxa"/>
            <w:tcBorders>
              <w:top w:val="nil"/>
              <w:left w:val="nil"/>
              <w:bottom w:val="single" w:sz="8" w:space="0" w:color="auto"/>
              <w:right w:val="single" w:sz="8" w:space="0" w:color="auto"/>
            </w:tcBorders>
            <w:shd w:val="clear" w:color="auto" w:fill="auto"/>
            <w:noWrap/>
            <w:vAlign w:val="center"/>
            <w:hideMark/>
          </w:tcPr>
          <w:p w14:paraId="3B25C53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w:t>
            </w:r>
          </w:p>
        </w:tc>
        <w:tc>
          <w:tcPr>
            <w:tcW w:w="320" w:type="dxa"/>
            <w:tcBorders>
              <w:top w:val="nil"/>
              <w:left w:val="nil"/>
              <w:bottom w:val="single" w:sz="8" w:space="0" w:color="auto"/>
              <w:right w:val="single" w:sz="8" w:space="0" w:color="auto"/>
            </w:tcBorders>
            <w:shd w:val="clear" w:color="auto" w:fill="auto"/>
            <w:noWrap/>
            <w:vAlign w:val="center"/>
            <w:hideMark/>
          </w:tcPr>
          <w:p w14:paraId="330C9DD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20" w:type="dxa"/>
            <w:tcBorders>
              <w:top w:val="nil"/>
              <w:left w:val="nil"/>
              <w:bottom w:val="single" w:sz="8" w:space="0" w:color="auto"/>
              <w:right w:val="single" w:sz="8" w:space="0" w:color="auto"/>
            </w:tcBorders>
            <w:shd w:val="clear" w:color="auto" w:fill="auto"/>
            <w:noWrap/>
            <w:vAlign w:val="center"/>
            <w:hideMark/>
          </w:tcPr>
          <w:p w14:paraId="060FEB1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320" w:type="dxa"/>
            <w:tcBorders>
              <w:top w:val="nil"/>
              <w:left w:val="nil"/>
              <w:bottom w:val="single" w:sz="8" w:space="0" w:color="auto"/>
              <w:right w:val="single" w:sz="8" w:space="0" w:color="auto"/>
            </w:tcBorders>
            <w:shd w:val="clear" w:color="auto" w:fill="auto"/>
            <w:noWrap/>
            <w:vAlign w:val="center"/>
            <w:hideMark/>
          </w:tcPr>
          <w:p w14:paraId="2BB9BA3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0F2A0EC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31.6</w:t>
            </w:r>
          </w:p>
        </w:tc>
        <w:tc>
          <w:tcPr>
            <w:tcW w:w="420" w:type="dxa"/>
            <w:tcBorders>
              <w:top w:val="nil"/>
              <w:left w:val="nil"/>
              <w:bottom w:val="single" w:sz="8" w:space="0" w:color="auto"/>
              <w:right w:val="single" w:sz="8" w:space="0" w:color="auto"/>
            </w:tcBorders>
            <w:shd w:val="clear" w:color="auto" w:fill="auto"/>
            <w:noWrap/>
            <w:vAlign w:val="center"/>
            <w:hideMark/>
          </w:tcPr>
          <w:p w14:paraId="5B84A0C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w:t>
            </w:r>
          </w:p>
        </w:tc>
        <w:tc>
          <w:tcPr>
            <w:tcW w:w="360" w:type="dxa"/>
            <w:tcBorders>
              <w:top w:val="nil"/>
              <w:left w:val="nil"/>
              <w:bottom w:val="single" w:sz="8" w:space="0" w:color="auto"/>
              <w:right w:val="single" w:sz="8" w:space="0" w:color="auto"/>
            </w:tcBorders>
            <w:shd w:val="clear" w:color="auto" w:fill="auto"/>
            <w:noWrap/>
            <w:vAlign w:val="center"/>
            <w:hideMark/>
          </w:tcPr>
          <w:p w14:paraId="0A18177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91</w:t>
            </w:r>
          </w:p>
        </w:tc>
        <w:tc>
          <w:tcPr>
            <w:tcW w:w="440" w:type="dxa"/>
            <w:tcBorders>
              <w:top w:val="nil"/>
              <w:left w:val="nil"/>
              <w:bottom w:val="single" w:sz="8" w:space="0" w:color="auto"/>
              <w:right w:val="single" w:sz="8" w:space="0" w:color="auto"/>
            </w:tcBorders>
            <w:shd w:val="clear" w:color="auto" w:fill="auto"/>
            <w:noWrap/>
            <w:vAlign w:val="center"/>
            <w:hideMark/>
          </w:tcPr>
          <w:p w14:paraId="59499DD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54EEB5AE"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0726F6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w:t>
            </w:r>
          </w:p>
        </w:tc>
        <w:tc>
          <w:tcPr>
            <w:tcW w:w="2720" w:type="dxa"/>
            <w:tcBorders>
              <w:top w:val="nil"/>
              <w:left w:val="nil"/>
              <w:bottom w:val="single" w:sz="8" w:space="0" w:color="auto"/>
              <w:right w:val="single" w:sz="8" w:space="0" w:color="auto"/>
            </w:tcBorders>
            <w:shd w:val="clear" w:color="auto" w:fill="auto"/>
            <w:vAlign w:val="center"/>
            <w:hideMark/>
          </w:tcPr>
          <w:p w14:paraId="31284DE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Gas station Ora-</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 Ekiti</w:t>
            </w:r>
          </w:p>
        </w:tc>
        <w:tc>
          <w:tcPr>
            <w:tcW w:w="960" w:type="dxa"/>
            <w:tcBorders>
              <w:top w:val="nil"/>
              <w:left w:val="nil"/>
              <w:bottom w:val="single" w:sz="8" w:space="0" w:color="auto"/>
              <w:right w:val="single" w:sz="8" w:space="0" w:color="auto"/>
            </w:tcBorders>
            <w:shd w:val="clear" w:color="auto" w:fill="auto"/>
            <w:noWrap/>
            <w:hideMark/>
          </w:tcPr>
          <w:p w14:paraId="7240A8EC"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5°13¹26¹¹</w:t>
            </w:r>
          </w:p>
        </w:tc>
        <w:tc>
          <w:tcPr>
            <w:tcW w:w="960" w:type="dxa"/>
            <w:tcBorders>
              <w:top w:val="nil"/>
              <w:left w:val="nil"/>
              <w:bottom w:val="single" w:sz="8" w:space="0" w:color="auto"/>
              <w:right w:val="single" w:sz="8" w:space="0" w:color="auto"/>
            </w:tcBorders>
            <w:shd w:val="clear" w:color="auto" w:fill="auto"/>
            <w:vAlign w:val="center"/>
            <w:hideMark/>
          </w:tcPr>
          <w:p w14:paraId="359D4D1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7°49¹20¹¹</w:t>
            </w:r>
          </w:p>
        </w:tc>
        <w:tc>
          <w:tcPr>
            <w:tcW w:w="520" w:type="dxa"/>
            <w:tcBorders>
              <w:top w:val="nil"/>
              <w:left w:val="nil"/>
              <w:bottom w:val="single" w:sz="8" w:space="0" w:color="auto"/>
              <w:right w:val="single" w:sz="8" w:space="0" w:color="auto"/>
            </w:tcBorders>
            <w:shd w:val="clear" w:color="auto" w:fill="auto"/>
            <w:noWrap/>
            <w:vAlign w:val="center"/>
            <w:hideMark/>
          </w:tcPr>
          <w:p w14:paraId="6EA224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591</w:t>
            </w:r>
          </w:p>
        </w:tc>
        <w:tc>
          <w:tcPr>
            <w:tcW w:w="380" w:type="dxa"/>
            <w:tcBorders>
              <w:top w:val="nil"/>
              <w:left w:val="nil"/>
              <w:bottom w:val="single" w:sz="8" w:space="0" w:color="auto"/>
              <w:right w:val="single" w:sz="8" w:space="0" w:color="auto"/>
            </w:tcBorders>
            <w:shd w:val="clear" w:color="auto" w:fill="auto"/>
            <w:noWrap/>
            <w:vAlign w:val="center"/>
            <w:hideMark/>
          </w:tcPr>
          <w:p w14:paraId="5D6D52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41</w:t>
            </w:r>
          </w:p>
        </w:tc>
        <w:tc>
          <w:tcPr>
            <w:tcW w:w="480" w:type="dxa"/>
            <w:tcBorders>
              <w:top w:val="nil"/>
              <w:left w:val="nil"/>
              <w:bottom w:val="single" w:sz="8" w:space="0" w:color="auto"/>
              <w:right w:val="single" w:sz="8" w:space="0" w:color="auto"/>
            </w:tcBorders>
            <w:shd w:val="clear" w:color="auto" w:fill="auto"/>
            <w:noWrap/>
            <w:vAlign w:val="center"/>
            <w:hideMark/>
          </w:tcPr>
          <w:p w14:paraId="4602200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1629</w:t>
            </w:r>
          </w:p>
        </w:tc>
        <w:tc>
          <w:tcPr>
            <w:tcW w:w="300" w:type="dxa"/>
            <w:tcBorders>
              <w:top w:val="nil"/>
              <w:left w:val="nil"/>
              <w:bottom w:val="single" w:sz="8" w:space="0" w:color="auto"/>
              <w:right w:val="single" w:sz="8" w:space="0" w:color="auto"/>
            </w:tcBorders>
            <w:shd w:val="clear" w:color="auto" w:fill="auto"/>
            <w:noWrap/>
            <w:vAlign w:val="center"/>
            <w:hideMark/>
          </w:tcPr>
          <w:p w14:paraId="5A92D91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w:t>
            </w:r>
          </w:p>
        </w:tc>
        <w:tc>
          <w:tcPr>
            <w:tcW w:w="320" w:type="dxa"/>
            <w:tcBorders>
              <w:top w:val="nil"/>
              <w:left w:val="nil"/>
              <w:bottom w:val="single" w:sz="8" w:space="0" w:color="auto"/>
              <w:right w:val="single" w:sz="8" w:space="0" w:color="auto"/>
            </w:tcBorders>
            <w:shd w:val="clear" w:color="auto" w:fill="auto"/>
            <w:noWrap/>
            <w:vAlign w:val="center"/>
            <w:hideMark/>
          </w:tcPr>
          <w:p w14:paraId="4E9E7A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20" w:type="dxa"/>
            <w:tcBorders>
              <w:top w:val="nil"/>
              <w:left w:val="nil"/>
              <w:bottom w:val="single" w:sz="8" w:space="0" w:color="auto"/>
              <w:right w:val="single" w:sz="8" w:space="0" w:color="auto"/>
            </w:tcBorders>
            <w:shd w:val="clear" w:color="auto" w:fill="auto"/>
            <w:noWrap/>
            <w:vAlign w:val="center"/>
            <w:hideMark/>
          </w:tcPr>
          <w:p w14:paraId="30CAAC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320" w:type="dxa"/>
            <w:tcBorders>
              <w:top w:val="nil"/>
              <w:left w:val="nil"/>
              <w:bottom w:val="single" w:sz="8" w:space="0" w:color="auto"/>
              <w:right w:val="single" w:sz="8" w:space="0" w:color="auto"/>
            </w:tcBorders>
            <w:shd w:val="clear" w:color="auto" w:fill="auto"/>
            <w:noWrap/>
            <w:vAlign w:val="center"/>
            <w:hideMark/>
          </w:tcPr>
          <w:p w14:paraId="6A50C68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37DC8E3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31.6</w:t>
            </w:r>
          </w:p>
        </w:tc>
        <w:tc>
          <w:tcPr>
            <w:tcW w:w="420" w:type="dxa"/>
            <w:tcBorders>
              <w:top w:val="nil"/>
              <w:left w:val="nil"/>
              <w:bottom w:val="single" w:sz="8" w:space="0" w:color="auto"/>
              <w:right w:val="single" w:sz="8" w:space="0" w:color="auto"/>
            </w:tcBorders>
            <w:shd w:val="clear" w:color="auto" w:fill="auto"/>
            <w:noWrap/>
            <w:vAlign w:val="center"/>
            <w:hideMark/>
          </w:tcPr>
          <w:p w14:paraId="2348D32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w:t>
            </w:r>
          </w:p>
        </w:tc>
        <w:tc>
          <w:tcPr>
            <w:tcW w:w="360" w:type="dxa"/>
            <w:tcBorders>
              <w:top w:val="nil"/>
              <w:left w:val="nil"/>
              <w:bottom w:val="single" w:sz="8" w:space="0" w:color="auto"/>
              <w:right w:val="single" w:sz="8" w:space="0" w:color="auto"/>
            </w:tcBorders>
            <w:shd w:val="clear" w:color="auto" w:fill="auto"/>
            <w:noWrap/>
            <w:vAlign w:val="center"/>
            <w:hideMark/>
          </w:tcPr>
          <w:p w14:paraId="3BD8A28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91</w:t>
            </w:r>
          </w:p>
        </w:tc>
        <w:tc>
          <w:tcPr>
            <w:tcW w:w="440" w:type="dxa"/>
            <w:tcBorders>
              <w:top w:val="nil"/>
              <w:left w:val="nil"/>
              <w:bottom w:val="single" w:sz="8" w:space="0" w:color="auto"/>
              <w:right w:val="single" w:sz="8" w:space="0" w:color="auto"/>
            </w:tcBorders>
            <w:shd w:val="clear" w:color="auto" w:fill="auto"/>
            <w:noWrap/>
            <w:vAlign w:val="center"/>
            <w:hideMark/>
          </w:tcPr>
          <w:p w14:paraId="00E10E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380219B5"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4BCAAE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2720" w:type="dxa"/>
            <w:tcBorders>
              <w:top w:val="nil"/>
              <w:left w:val="nil"/>
              <w:bottom w:val="single" w:sz="8" w:space="0" w:color="auto"/>
              <w:right w:val="single" w:sz="8" w:space="0" w:color="auto"/>
            </w:tcBorders>
            <w:shd w:val="clear" w:color="auto" w:fill="auto"/>
            <w:vAlign w:val="center"/>
            <w:hideMark/>
          </w:tcPr>
          <w:p w14:paraId="34F54B4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Ayetoro-Ewu-Ekit</w:t>
            </w:r>
            <w:proofErr w:type="spellEnd"/>
          </w:p>
        </w:tc>
        <w:tc>
          <w:tcPr>
            <w:tcW w:w="960" w:type="dxa"/>
            <w:tcBorders>
              <w:top w:val="nil"/>
              <w:left w:val="nil"/>
              <w:bottom w:val="single" w:sz="8" w:space="0" w:color="auto"/>
              <w:right w:val="single" w:sz="8" w:space="0" w:color="auto"/>
            </w:tcBorders>
            <w:shd w:val="clear" w:color="auto" w:fill="auto"/>
            <w:noWrap/>
            <w:hideMark/>
          </w:tcPr>
          <w:p w14:paraId="41563AE3"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5°12¹28¹¹</w:t>
            </w:r>
          </w:p>
        </w:tc>
        <w:tc>
          <w:tcPr>
            <w:tcW w:w="960" w:type="dxa"/>
            <w:tcBorders>
              <w:top w:val="nil"/>
              <w:left w:val="nil"/>
              <w:bottom w:val="single" w:sz="8" w:space="0" w:color="auto"/>
              <w:right w:val="single" w:sz="8" w:space="0" w:color="auto"/>
            </w:tcBorders>
            <w:shd w:val="clear" w:color="auto" w:fill="auto"/>
            <w:vAlign w:val="center"/>
            <w:hideMark/>
          </w:tcPr>
          <w:p w14:paraId="241DEA9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7°49¹53¹¹</w:t>
            </w:r>
          </w:p>
        </w:tc>
        <w:tc>
          <w:tcPr>
            <w:tcW w:w="520" w:type="dxa"/>
            <w:tcBorders>
              <w:top w:val="nil"/>
              <w:left w:val="nil"/>
              <w:bottom w:val="single" w:sz="8" w:space="0" w:color="auto"/>
              <w:right w:val="single" w:sz="8" w:space="0" w:color="auto"/>
            </w:tcBorders>
            <w:shd w:val="clear" w:color="auto" w:fill="auto"/>
            <w:noWrap/>
            <w:vAlign w:val="center"/>
            <w:hideMark/>
          </w:tcPr>
          <w:p w14:paraId="2ABE3BD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394</w:t>
            </w:r>
          </w:p>
        </w:tc>
        <w:tc>
          <w:tcPr>
            <w:tcW w:w="380" w:type="dxa"/>
            <w:tcBorders>
              <w:top w:val="nil"/>
              <w:left w:val="nil"/>
              <w:bottom w:val="single" w:sz="8" w:space="0" w:color="auto"/>
              <w:right w:val="single" w:sz="8" w:space="0" w:color="auto"/>
            </w:tcBorders>
            <w:shd w:val="clear" w:color="auto" w:fill="auto"/>
            <w:noWrap/>
            <w:vAlign w:val="center"/>
            <w:hideMark/>
          </w:tcPr>
          <w:p w14:paraId="5F0A606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2C220D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305</w:t>
            </w:r>
          </w:p>
        </w:tc>
        <w:tc>
          <w:tcPr>
            <w:tcW w:w="300" w:type="dxa"/>
            <w:tcBorders>
              <w:top w:val="nil"/>
              <w:left w:val="nil"/>
              <w:bottom w:val="single" w:sz="8" w:space="0" w:color="auto"/>
              <w:right w:val="single" w:sz="8" w:space="0" w:color="auto"/>
            </w:tcBorders>
            <w:shd w:val="clear" w:color="auto" w:fill="auto"/>
            <w:noWrap/>
            <w:vAlign w:val="center"/>
            <w:hideMark/>
          </w:tcPr>
          <w:p w14:paraId="3174F0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320" w:type="dxa"/>
            <w:tcBorders>
              <w:top w:val="nil"/>
              <w:left w:val="nil"/>
              <w:bottom w:val="single" w:sz="8" w:space="0" w:color="auto"/>
              <w:right w:val="single" w:sz="8" w:space="0" w:color="auto"/>
            </w:tcBorders>
            <w:shd w:val="clear" w:color="auto" w:fill="auto"/>
            <w:noWrap/>
            <w:vAlign w:val="center"/>
            <w:hideMark/>
          </w:tcPr>
          <w:p w14:paraId="6E34D8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26</w:t>
            </w:r>
          </w:p>
        </w:tc>
        <w:tc>
          <w:tcPr>
            <w:tcW w:w="320" w:type="dxa"/>
            <w:tcBorders>
              <w:top w:val="nil"/>
              <w:left w:val="nil"/>
              <w:bottom w:val="single" w:sz="8" w:space="0" w:color="auto"/>
              <w:right w:val="single" w:sz="8" w:space="0" w:color="auto"/>
            </w:tcBorders>
            <w:shd w:val="clear" w:color="auto" w:fill="auto"/>
            <w:noWrap/>
            <w:vAlign w:val="center"/>
            <w:hideMark/>
          </w:tcPr>
          <w:p w14:paraId="7C5BD41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69E59FB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460" w:type="dxa"/>
            <w:tcBorders>
              <w:top w:val="nil"/>
              <w:left w:val="nil"/>
              <w:bottom w:val="single" w:sz="8" w:space="0" w:color="auto"/>
              <w:right w:val="single" w:sz="8" w:space="0" w:color="auto"/>
            </w:tcBorders>
            <w:shd w:val="clear" w:color="auto" w:fill="auto"/>
            <w:noWrap/>
            <w:vAlign w:val="center"/>
            <w:hideMark/>
          </w:tcPr>
          <w:p w14:paraId="292D5CC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23.2</w:t>
            </w:r>
          </w:p>
        </w:tc>
        <w:tc>
          <w:tcPr>
            <w:tcW w:w="420" w:type="dxa"/>
            <w:tcBorders>
              <w:top w:val="nil"/>
              <w:left w:val="nil"/>
              <w:bottom w:val="single" w:sz="8" w:space="0" w:color="auto"/>
              <w:right w:val="single" w:sz="8" w:space="0" w:color="auto"/>
            </w:tcBorders>
            <w:shd w:val="clear" w:color="auto" w:fill="auto"/>
            <w:noWrap/>
            <w:vAlign w:val="center"/>
            <w:hideMark/>
          </w:tcPr>
          <w:p w14:paraId="4C4D906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22</w:t>
            </w:r>
          </w:p>
        </w:tc>
        <w:tc>
          <w:tcPr>
            <w:tcW w:w="360" w:type="dxa"/>
            <w:tcBorders>
              <w:top w:val="nil"/>
              <w:left w:val="nil"/>
              <w:bottom w:val="single" w:sz="8" w:space="0" w:color="auto"/>
              <w:right w:val="single" w:sz="8" w:space="0" w:color="auto"/>
            </w:tcBorders>
            <w:shd w:val="clear" w:color="auto" w:fill="auto"/>
            <w:noWrap/>
            <w:vAlign w:val="center"/>
            <w:hideMark/>
          </w:tcPr>
          <w:p w14:paraId="56A9327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71</w:t>
            </w:r>
          </w:p>
        </w:tc>
        <w:tc>
          <w:tcPr>
            <w:tcW w:w="440" w:type="dxa"/>
            <w:tcBorders>
              <w:top w:val="nil"/>
              <w:left w:val="nil"/>
              <w:bottom w:val="single" w:sz="8" w:space="0" w:color="auto"/>
              <w:right w:val="single" w:sz="8" w:space="0" w:color="auto"/>
            </w:tcBorders>
            <w:shd w:val="clear" w:color="auto" w:fill="auto"/>
            <w:noWrap/>
            <w:vAlign w:val="center"/>
            <w:hideMark/>
          </w:tcPr>
          <w:p w14:paraId="34017C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5965E56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43A0F3B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w:t>
            </w:r>
          </w:p>
        </w:tc>
        <w:tc>
          <w:tcPr>
            <w:tcW w:w="2720" w:type="dxa"/>
            <w:tcBorders>
              <w:top w:val="nil"/>
              <w:left w:val="nil"/>
              <w:bottom w:val="single" w:sz="8" w:space="0" w:color="auto"/>
              <w:right w:val="single" w:sz="8" w:space="0" w:color="auto"/>
            </w:tcBorders>
            <w:shd w:val="clear" w:color="auto" w:fill="auto"/>
            <w:vAlign w:val="center"/>
            <w:hideMark/>
          </w:tcPr>
          <w:p w14:paraId="10B1BD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Close to Fulani settlement Orin-Ekiti</w:t>
            </w:r>
          </w:p>
        </w:tc>
        <w:tc>
          <w:tcPr>
            <w:tcW w:w="960" w:type="dxa"/>
            <w:tcBorders>
              <w:top w:val="nil"/>
              <w:left w:val="nil"/>
              <w:bottom w:val="single" w:sz="8" w:space="0" w:color="auto"/>
              <w:right w:val="single" w:sz="8" w:space="0" w:color="auto"/>
            </w:tcBorders>
            <w:shd w:val="clear" w:color="auto" w:fill="auto"/>
            <w:noWrap/>
            <w:hideMark/>
          </w:tcPr>
          <w:p w14:paraId="0DB8BB79"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5°12¹58¹¹</w:t>
            </w:r>
          </w:p>
        </w:tc>
        <w:tc>
          <w:tcPr>
            <w:tcW w:w="960" w:type="dxa"/>
            <w:tcBorders>
              <w:top w:val="nil"/>
              <w:left w:val="nil"/>
              <w:bottom w:val="single" w:sz="8" w:space="0" w:color="auto"/>
              <w:right w:val="single" w:sz="8" w:space="0" w:color="auto"/>
            </w:tcBorders>
            <w:shd w:val="clear" w:color="auto" w:fill="auto"/>
            <w:vAlign w:val="center"/>
            <w:hideMark/>
          </w:tcPr>
          <w:p w14:paraId="02FCCBC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7°49¹37¹¹</w:t>
            </w:r>
          </w:p>
        </w:tc>
        <w:tc>
          <w:tcPr>
            <w:tcW w:w="520" w:type="dxa"/>
            <w:tcBorders>
              <w:top w:val="nil"/>
              <w:left w:val="nil"/>
              <w:bottom w:val="single" w:sz="8" w:space="0" w:color="auto"/>
              <w:right w:val="single" w:sz="8" w:space="0" w:color="auto"/>
            </w:tcBorders>
            <w:shd w:val="clear" w:color="auto" w:fill="auto"/>
            <w:noWrap/>
            <w:vAlign w:val="center"/>
            <w:hideMark/>
          </w:tcPr>
          <w:p w14:paraId="37225B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1324</w:t>
            </w:r>
          </w:p>
        </w:tc>
        <w:tc>
          <w:tcPr>
            <w:tcW w:w="380" w:type="dxa"/>
            <w:tcBorders>
              <w:top w:val="nil"/>
              <w:left w:val="nil"/>
              <w:bottom w:val="single" w:sz="8" w:space="0" w:color="auto"/>
              <w:right w:val="single" w:sz="8" w:space="0" w:color="auto"/>
            </w:tcBorders>
            <w:shd w:val="clear" w:color="auto" w:fill="auto"/>
            <w:noWrap/>
            <w:vAlign w:val="center"/>
            <w:hideMark/>
          </w:tcPr>
          <w:p w14:paraId="3C16445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87</w:t>
            </w:r>
          </w:p>
        </w:tc>
        <w:tc>
          <w:tcPr>
            <w:tcW w:w="480" w:type="dxa"/>
            <w:tcBorders>
              <w:top w:val="nil"/>
              <w:left w:val="nil"/>
              <w:bottom w:val="single" w:sz="8" w:space="0" w:color="auto"/>
              <w:right w:val="single" w:sz="8" w:space="0" w:color="auto"/>
            </w:tcBorders>
            <w:shd w:val="clear" w:color="auto" w:fill="auto"/>
            <w:noWrap/>
            <w:vAlign w:val="center"/>
            <w:hideMark/>
          </w:tcPr>
          <w:p w14:paraId="3D4794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672</w:t>
            </w:r>
          </w:p>
        </w:tc>
        <w:tc>
          <w:tcPr>
            <w:tcW w:w="300" w:type="dxa"/>
            <w:tcBorders>
              <w:top w:val="nil"/>
              <w:left w:val="nil"/>
              <w:bottom w:val="single" w:sz="8" w:space="0" w:color="auto"/>
              <w:right w:val="single" w:sz="8" w:space="0" w:color="auto"/>
            </w:tcBorders>
            <w:shd w:val="clear" w:color="auto" w:fill="auto"/>
            <w:noWrap/>
            <w:vAlign w:val="center"/>
            <w:hideMark/>
          </w:tcPr>
          <w:p w14:paraId="7E1E40C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42</w:t>
            </w:r>
          </w:p>
        </w:tc>
        <w:tc>
          <w:tcPr>
            <w:tcW w:w="320" w:type="dxa"/>
            <w:tcBorders>
              <w:top w:val="nil"/>
              <w:left w:val="nil"/>
              <w:bottom w:val="single" w:sz="8" w:space="0" w:color="auto"/>
              <w:right w:val="single" w:sz="8" w:space="0" w:color="auto"/>
            </w:tcBorders>
            <w:shd w:val="clear" w:color="auto" w:fill="auto"/>
            <w:noWrap/>
            <w:vAlign w:val="center"/>
            <w:hideMark/>
          </w:tcPr>
          <w:p w14:paraId="69A7ED0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320" w:type="dxa"/>
            <w:tcBorders>
              <w:top w:val="nil"/>
              <w:left w:val="nil"/>
              <w:bottom w:val="single" w:sz="8" w:space="0" w:color="auto"/>
              <w:right w:val="single" w:sz="8" w:space="0" w:color="auto"/>
            </w:tcBorders>
            <w:shd w:val="clear" w:color="auto" w:fill="auto"/>
            <w:noWrap/>
            <w:vAlign w:val="center"/>
            <w:hideMark/>
          </w:tcPr>
          <w:p w14:paraId="6A3D248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320" w:type="dxa"/>
            <w:tcBorders>
              <w:top w:val="nil"/>
              <w:left w:val="nil"/>
              <w:bottom w:val="single" w:sz="8" w:space="0" w:color="auto"/>
              <w:right w:val="single" w:sz="8" w:space="0" w:color="auto"/>
            </w:tcBorders>
            <w:shd w:val="clear" w:color="auto" w:fill="auto"/>
            <w:noWrap/>
            <w:vAlign w:val="center"/>
            <w:hideMark/>
          </w:tcPr>
          <w:p w14:paraId="46AFE42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64CF949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50.8</w:t>
            </w:r>
          </w:p>
        </w:tc>
        <w:tc>
          <w:tcPr>
            <w:tcW w:w="420" w:type="dxa"/>
            <w:tcBorders>
              <w:top w:val="nil"/>
              <w:left w:val="nil"/>
              <w:bottom w:val="single" w:sz="8" w:space="0" w:color="auto"/>
              <w:right w:val="single" w:sz="8" w:space="0" w:color="auto"/>
            </w:tcBorders>
            <w:shd w:val="clear" w:color="auto" w:fill="auto"/>
            <w:noWrap/>
            <w:vAlign w:val="center"/>
            <w:hideMark/>
          </w:tcPr>
          <w:p w14:paraId="0A842D1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43</w:t>
            </w:r>
          </w:p>
        </w:tc>
        <w:tc>
          <w:tcPr>
            <w:tcW w:w="360" w:type="dxa"/>
            <w:tcBorders>
              <w:top w:val="nil"/>
              <w:left w:val="nil"/>
              <w:bottom w:val="single" w:sz="8" w:space="0" w:color="auto"/>
              <w:right w:val="single" w:sz="8" w:space="0" w:color="auto"/>
            </w:tcBorders>
            <w:shd w:val="clear" w:color="auto" w:fill="auto"/>
            <w:noWrap/>
            <w:vAlign w:val="center"/>
            <w:hideMark/>
          </w:tcPr>
          <w:p w14:paraId="0BC282B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207</w:t>
            </w:r>
          </w:p>
        </w:tc>
        <w:tc>
          <w:tcPr>
            <w:tcW w:w="440" w:type="dxa"/>
            <w:tcBorders>
              <w:top w:val="nil"/>
              <w:left w:val="nil"/>
              <w:bottom w:val="single" w:sz="8" w:space="0" w:color="auto"/>
              <w:right w:val="single" w:sz="8" w:space="0" w:color="auto"/>
            </w:tcBorders>
            <w:shd w:val="clear" w:color="auto" w:fill="auto"/>
            <w:noWrap/>
            <w:vAlign w:val="center"/>
            <w:hideMark/>
          </w:tcPr>
          <w:p w14:paraId="401DFC5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6A7BA44D"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51F684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9</w:t>
            </w:r>
          </w:p>
        </w:tc>
        <w:tc>
          <w:tcPr>
            <w:tcW w:w="2720" w:type="dxa"/>
            <w:tcBorders>
              <w:top w:val="nil"/>
              <w:left w:val="nil"/>
              <w:bottom w:val="single" w:sz="8" w:space="0" w:color="auto"/>
              <w:right w:val="single" w:sz="8" w:space="0" w:color="auto"/>
            </w:tcBorders>
            <w:shd w:val="clear" w:color="auto" w:fill="auto"/>
            <w:vAlign w:val="center"/>
            <w:hideMark/>
          </w:tcPr>
          <w:p w14:paraId="10F14CC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Opposite </w:t>
            </w:r>
            <w:proofErr w:type="spellStart"/>
            <w:r w:rsidRPr="004F0A21">
              <w:rPr>
                <w:rFonts w:ascii="Times New Roman" w:eastAsia="Times New Roman" w:hAnsi="Times New Roman" w:cs="Times New Roman"/>
                <w:color w:val="000000"/>
                <w:sz w:val="16"/>
                <w:szCs w:val="16"/>
              </w:rPr>
              <w:t>Fadama</w:t>
            </w:r>
            <w:proofErr w:type="spellEnd"/>
            <w:r w:rsidRPr="004F0A21">
              <w:rPr>
                <w:rFonts w:ascii="Times New Roman" w:eastAsia="Times New Roman" w:hAnsi="Times New Roman" w:cs="Times New Roman"/>
                <w:color w:val="000000"/>
                <w:sz w:val="16"/>
                <w:szCs w:val="16"/>
              </w:rPr>
              <w:t xml:space="preserve"> Orin-Ekiti</w:t>
            </w:r>
          </w:p>
        </w:tc>
        <w:tc>
          <w:tcPr>
            <w:tcW w:w="960" w:type="dxa"/>
            <w:tcBorders>
              <w:top w:val="nil"/>
              <w:left w:val="nil"/>
              <w:bottom w:val="single" w:sz="8" w:space="0" w:color="auto"/>
              <w:right w:val="single" w:sz="8" w:space="0" w:color="auto"/>
            </w:tcBorders>
            <w:shd w:val="clear" w:color="auto" w:fill="auto"/>
            <w:noWrap/>
            <w:hideMark/>
          </w:tcPr>
          <w:p w14:paraId="141B635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5°12¹39¹¹</w:t>
            </w:r>
          </w:p>
        </w:tc>
        <w:tc>
          <w:tcPr>
            <w:tcW w:w="960" w:type="dxa"/>
            <w:tcBorders>
              <w:top w:val="nil"/>
              <w:left w:val="nil"/>
              <w:bottom w:val="single" w:sz="8" w:space="0" w:color="auto"/>
              <w:right w:val="single" w:sz="8" w:space="0" w:color="auto"/>
            </w:tcBorders>
            <w:shd w:val="clear" w:color="auto" w:fill="auto"/>
            <w:vAlign w:val="center"/>
            <w:hideMark/>
          </w:tcPr>
          <w:p w14:paraId="79BE831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7°49¹36¹¹</w:t>
            </w:r>
          </w:p>
        </w:tc>
        <w:tc>
          <w:tcPr>
            <w:tcW w:w="520" w:type="dxa"/>
            <w:tcBorders>
              <w:top w:val="nil"/>
              <w:left w:val="nil"/>
              <w:bottom w:val="single" w:sz="8" w:space="0" w:color="auto"/>
              <w:right w:val="single" w:sz="8" w:space="0" w:color="auto"/>
            </w:tcBorders>
            <w:shd w:val="clear" w:color="auto" w:fill="auto"/>
            <w:noWrap/>
            <w:vAlign w:val="center"/>
            <w:hideMark/>
          </w:tcPr>
          <w:p w14:paraId="1CB76FE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1801</w:t>
            </w:r>
          </w:p>
        </w:tc>
        <w:tc>
          <w:tcPr>
            <w:tcW w:w="380" w:type="dxa"/>
            <w:tcBorders>
              <w:top w:val="nil"/>
              <w:left w:val="nil"/>
              <w:bottom w:val="single" w:sz="8" w:space="0" w:color="auto"/>
              <w:right w:val="single" w:sz="8" w:space="0" w:color="auto"/>
            </w:tcBorders>
            <w:shd w:val="clear" w:color="auto" w:fill="auto"/>
            <w:noWrap/>
            <w:vAlign w:val="center"/>
            <w:hideMark/>
          </w:tcPr>
          <w:p w14:paraId="444BEDD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32</w:t>
            </w:r>
          </w:p>
        </w:tc>
        <w:tc>
          <w:tcPr>
            <w:tcW w:w="480" w:type="dxa"/>
            <w:tcBorders>
              <w:top w:val="nil"/>
              <w:left w:val="nil"/>
              <w:bottom w:val="single" w:sz="8" w:space="0" w:color="auto"/>
              <w:right w:val="single" w:sz="8" w:space="0" w:color="auto"/>
            </w:tcBorders>
            <w:shd w:val="clear" w:color="auto" w:fill="auto"/>
            <w:noWrap/>
            <w:vAlign w:val="center"/>
            <w:hideMark/>
          </w:tcPr>
          <w:p w14:paraId="2FF1436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337</w:t>
            </w:r>
          </w:p>
        </w:tc>
        <w:tc>
          <w:tcPr>
            <w:tcW w:w="300" w:type="dxa"/>
            <w:tcBorders>
              <w:top w:val="nil"/>
              <w:left w:val="nil"/>
              <w:bottom w:val="single" w:sz="8" w:space="0" w:color="auto"/>
              <w:right w:val="single" w:sz="8" w:space="0" w:color="auto"/>
            </w:tcBorders>
            <w:shd w:val="clear" w:color="auto" w:fill="auto"/>
            <w:noWrap/>
            <w:vAlign w:val="center"/>
            <w:hideMark/>
          </w:tcPr>
          <w:p w14:paraId="55B3938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24</w:t>
            </w:r>
          </w:p>
        </w:tc>
        <w:tc>
          <w:tcPr>
            <w:tcW w:w="320" w:type="dxa"/>
            <w:tcBorders>
              <w:top w:val="nil"/>
              <w:left w:val="nil"/>
              <w:bottom w:val="single" w:sz="8" w:space="0" w:color="auto"/>
              <w:right w:val="single" w:sz="8" w:space="0" w:color="auto"/>
            </w:tcBorders>
            <w:shd w:val="clear" w:color="auto" w:fill="auto"/>
            <w:noWrap/>
            <w:vAlign w:val="center"/>
            <w:hideMark/>
          </w:tcPr>
          <w:p w14:paraId="652F2B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5DA9C94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559BAA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4FE5ADD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39.2</w:t>
            </w:r>
          </w:p>
        </w:tc>
        <w:tc>
          <w:tcPr>
            <w:tcW w:w="420" w:type="dxa"/>
            <w:tcBorders>
              <w:top w:val="nil"/>
              <w:left w:val="nil"/>
              <w:bottom w:val="single" w:sz="8" w:space="0" w:color="auto"/>
              <w:right w:val="single" w:sz="8" w:space="0" w:color="auto"/>
            </w:tcBorders>
            <w:shd w:val="clear" w:color="auto" w:fill="auto"/>
            <w:noWrap/>
            <w:vAlign w:val="center"/>
            <w:hideMark/>
          </w:tcPr>
          <w:p w14:paraId="394B5C0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26</w:t>
            </w:r>
          </w:p>
        </w:tc>
        <w:tc>
          <w:tcPr>
            <w:tcW w:w="360" w:type="dxa"/>
            <w:tcBorders>
              <w:top w:val="nil"/>
              <w:left w:val="nil"/>
              <w:bottom w:val="single" w:sz="8" w:space="0" w:color="auto"/>
              <w:right w:val="single" w:sz="8" w:space="0" w:color="auto"/>
            </w:tcBorders>
            <w:shd w:val="clear" w:color="auto" w:fill="auto"/>
            <w:noWrap/>
            <w:vAlign w:val="center"/>
            <w:hideMark/>
          </w:tcPr>
          <w:p w14:paraId="1B15B47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w:t>
            </w:r>
          </w:p>
        </w:tc>
        <w:tc>
          <w:tcPr>
            <w:tcW w:w="440" w:type="dxa"/>
            <w:tcBorders>
              <w:top w:val="nil"/>
              <w:left w:val="nil"/>
              <w:bottom w:val="single" w:sz="8" w:space="0" w:color="auto"/>
              <w:right w:val="single" w:sz="8" w:space="0" w:color="auto"/>
            </w:tcBorders>
            <w:shd w:val="clear" w:color="auto" w:fill="auto"/>
            <w:noWrap/>
            <w:vAlign w:val="center"/>
            <w:hideMark/>
          </w:tcPr>
          <w:p w14:paraId="2AB7DBE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F6B4930"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245AFC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w:t>
            </w:r>
          </w:p>
        </w:tc>
        <w:tc>
          <w:tcPr>
            <w:tcW w:w="2720" w:type="dxa"/>
            <w:tcBorders>
              <w:top w:val="nil"/>
              <w:left w:val="nil"/>
              <w:bottom w:val="single" w:sz="8" w:space="0" w:color="auto"/>
              <w:right w:val="single" w:sz="8" w:space="0" w:color="auto"/>
            </w:tcBorders>
            <w:shd w:val="clear" w:color="auto" w:fill="auto"/>
            <w:vAlign w:val="center"/>
            <w:hideMark/>
          </w:tcPr>
          <w:p w14:paraId="518590D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Ayetoro</w:t>
            </w:r>
            <w:proofErr w:type="spellEnd"/>
            <w:r w:rsidRPr="004F0A21">
              <w:rPr>
                <w:rFonts w:ascii="Times New Roman" w:eastAsia="Times New Roman" w:hAnsi="Times New Roman" w:cs="Times New Roman"/>
                <w:color w:val="000000"/>
                <w:sz w:val="16"/>
                <w:szCs w:val="16"/>
              </w:rPr>
              <w:t>-Ekiti (</w:t>
            </w:r>
            <w:proofErr w:type="spellStart"/>
            <w:r w:rsidRPr="004F0A21">
              <w:rPr>
                <w:rFonts w:ascii="Times New Roman" w:eastAsia="Times New Roman" w:hAnsi="Times New Roman" w:cs="Times New Roman"/>
                <w:color w:val="000000"/>
                <w:sz w:val="16"/>
                <w:szCs w:val="16"/>
              </w:rPr>
              <w:t>Odo</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Iju</w:t>
            </w:r>
            <w:proofErr w:type="spellEnd"/>
            <w:r w:rsidRPr="004F0A21">
              <w:rPr>
                <w:rFonts w:ascii="Times New Roman" w:eastAsia="Times New Roman" w:hAnsi="Times New Roman" w:cs="Times New Roman"/>
                <w:color w:val="000000"/>
                <w:sz w:val="16"/>
                <w:szCs w:val="16"/>
              </w:rPr>
              <w:t>)</w:t>
            </w:r>
          </w:p>
        </w:tc>
        <w:tc>
          <w:tcPr>
            <w:tcW w:w="960" w:type="dxa"/>
            <w:tcBorders>
              <w:top w:val="nil"/>
              <w:left w:val="nil"/>
              <w:bottom w:val="single" w:sz="8" w:space="0" w:color="auto"/>
              <w:right w:val="single" w:sz="8" w:space="0" w:color="auto"/>
            </w:tcBorders>
            <w:shd w:val="clear" w:color="auto" w:fill="auto"/>
            <w:noWrap/>
            <w:hideMark/>
          </w:tcPr>
          <w:p w14:paraId="0C1342F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5°12¹39¹¹</w:t>
            </w:r>
          </w:p>
        </w:tc>
        <w:tc>
          <w:tcPr>
            <w:tcW w:w="960" w:type="dxa"/>
            <w:tcBorders>
              <w:top w:val="nil"/>
              <w:left w:val="nil"/>
              <w:bottom w:val="single" w:sz="8" w:space="0" w:color="auto"/>
              <w:right w:val="single" w:sz="8" w:space="0" w:color="auto"/>
            </w:tcBorders>
            <w:shd w:val="clear" w:color="auto" w:fill="auto"/>
            <w:vAlign w:val="center"/>
            <w:hideMark/>
          </w:tcPr>
          <w:p w14:paraId="59FC6E3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°49¹36¹¹</w:t>
            </w:r>
          </w:p>
        </w:tc>
        <w:tc>
          <w:tcPr>
            <w:tcW w:w="520" w:type="dxa"/>
            <w:tcBorders>
              <w:top w:val="nil"/>
              <w:left w:val="nil"/>
              <w:bottom w:val="single" w:sz="8" w:space="0" w:color="auto"/>
              <w:right w:val="single" w:sz="8" w:space="0" w:color="auto"/>
            </w:tcBorders>
            <w:shd w:val="clear" w:color="auto" w:fill="auto"/>
            <w:noWrap/>
            <w:vAlign w:val="center"/>
            <w:hideMark/>
          </w:tcPr>
          <w:p w14:paraId="441D438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21</w:t>
            </w:r>
          </w:p>
        </w:tc>
        <w:tc>
          <w:tcPr>
            <w:tcW w:w="380" w:type="dxa"/>
            <w:tcBorders>
              <w:top w:val="nil"/>
              <w:left w:val="nil"/>
              <w:bottom w:val="single" w:sz="8" w:space="0" w:color="auto"/>
              <w:right w:val="single" w:sz="8" w:space="0" w:color="auto"/>
            </w:tcBorders>
            <w:shd w:val="clear" w:color="auto" w:fill="auto"/>
            <w:noWrap/>
            <w:vAlign w:val="center"/>
            <w:hideMark/>
          </w:tcPr>
          <w:p w14:paraId="31B5063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52</w:t>
            </w:r>
          </w:p>
        </w:tc>
        <w:tc>
          <w:tcPr>
            <w:tcW w:w="480" w:type="dxa"/>
            <w:tcBorders>
              <w:top w:val="nil"/>
              <w:left w:val="nil"/>
              <w:bottom w:val="single" w:sz="8" w:space="0" w:color="auto"/>
              <w:right w:val="single" w:sz="8" w:space="0" w:color="auto"/>
            </w:tcBorders>
            <w:shd w:val="clear" w:color="auto" w:fill="auto"/>
            <w:noWrap/>
            <w:vAlign w:val="center"/>
            <w:hideMark/>
          </w:tcPr>
          <w:p w14:paraId="08BD045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&lt;5</w:t>
            </w:r>
          </w:p>
        </w:tc>
        <w:tc>
          <w:tcPr>
            <w:tcW w:w="300" w:type="dxa"/>
            <w:tcBorders>
              <w:top w:val="nil"/>
              <w:left w:val="nil"/>
              <w:bottom w:val="single" w:sz="8" w:space="0" w:color="auto"/>
              <w:right w:val="single" w:sz="8" w:space="0" w:color="auto"/>
            </w:tcBorders>
            <w:shd w:val="clear" w:color="auto" w:fill="auto"/>
            <w:noWrap/>
            <w:vAlign w:val="center"/>
            <w:hideMark/>
          </w:tcPr>
          <w:p w14:paraId="565D321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&lt;3</w:t>
            </w:r>
          </w:p>
        </w:tc>
        <w:tc>
          <w:tcPr>
            <w:tcW w:w="320" w:type="dxa"/>
            <w:tcBorders>
              <w:top w:val="nil"/>
              <w:left w:val="nil"/>
              <w:bottom w:val="single" w:sz="8" w:space="0" w:color="auto"/>
              <w:right w:val="single" w:sz="8" w:space="0" w:color="auto"/>
            </w:tcBorders>
            <w:shd w:val="clear" w:color="auto" w:fill="auto"/>
            <w:noWrap/>
            <w:vAlign w:val="center"/>
            <w:hideMark/>
          </w:tcPr>
          <w:p w14:paraId="505748B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&lt;5</w:t>
            </w:r>
          </w:p>
        </w:tc>
        <w:tc>
          <w:tcPr>
            <w:tcW w:w="320" w:type="dxa"/>
            <w:tcBorders>
              <w:top w:val="nil"/>
              <w:left w:val="nil"/>
              <w:bottom w:val="single" w:sz="8" w:space="0" w:color="auto"/>
              <w:right w:val="single" w:sz="8" w:space="0" w:color="auto"/>
            </w:tcBorders>
            <w:shd w:val="clear" w:color="auto" w:fill="auto"/>
            <w:noWrap/>
            <w:vAlign w:val="center"/>
            <w:hideMark/>
          </w:tcPr>
          <w:p w14:paraId="3F8D5C5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320" w:type="dxa"/>
            <w:tcBorders>
              <w:top w:val="nil"/>
              <w:left w:val="nil"/>
              <w:bottom w:val="single" w:sz="8" w:space="0" w:color="auto"/>
              <w:right w:val="single" w:sz="8" w:space="0" w:color="auto"/>
            </w:tcBorders>
            <w:shd w:val="clear" w:color="auto" w:fill="auto"/>
            <w:noWrap/>
            <w:vAlign w:val="center"/>
            <w:hideMark/>
          </w:tcPr>
          <w:p w14:paraId="2D1C30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2D7D6F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15.6</w:t>
            </w:r>
          </w:p>
        </w:tc>
        <w:tc>
          <w:tcPr>
            <w:tcW w:w="420" w:type="dxa"/>
            <w:tcBorders>
              <w:top w:val="nil"/>
              <w:left w:val="nil"/>
              <w:bottom w:val="single" w:sz="8" w:space="0" w:color="auto"/>
              <w:right w:val="single" w:sz="8" w:space="0" w:color="auto"/>
            </w:tcBorders>
            <w:shd w:val="clear" w:color="auto" w:fill="auto"/>
            <w:noWrap/>
            <w:vAlign w:val="center"/>
            <w:hideMark/>
          </w:tcPr>
          <w:p w14:paraId="402B428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360" w:type="dxa"/>
            <w:tcBorders>
              <w:top w:val="nil"/>
              <w:left w:val="nil"/>
              <w:bottom w:val="single" w:sz="8" w:space="0" w:color="auto"/>
              <w:right w:val="single" w:sz="8" w:space="0" w:color="auto"/>
            </w:tcBorders>
            <w:shd w:val="clear" w:color="auto" w:fill="auto"/>
            <w:noWrap/>
            <w:vAlign w:val="center"/>
            <w:hideMark/>
          </w:tcPr>
          <w:p w14:paraId="56A4751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440" w:type="dxa"/>
            <w:tcBorders>
              <w:top w:val="nil"/>
              <w:left w:val="nil"/>
              <w:bottom w:val="single" w:sz="8" w:space="0" w:color="auto"/>
              <w:right w:val="single" w:sz="8" w:space="0" w:color="auto"/>
            </w:tcBorders>
            <w:shd w:val="clear" w:color="auto" w:fill="auto"/>
            <w:noWrap/>
            <w:vAlign w:val="center"/>
            <w:hideMark/>
          </w:tcPr>
          <w:p w14:paraId="7E2C955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318056B"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21E36AA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11</w:t>
            </w:r>
          </w:p>
        </w:tc>
        <w:tc>
          <w:tcPr>
            <w:tcW w:w="2720" w:type="dxa"/>
            <w:tcBorders>
              <w:top w:val="nil"/>
              <w:left w:val="nil"/>
              <w:bottom w:val="single" w:sz="8" w:space="0" w:color="auto"/>
              <w:right w:val="single" w:sz="8" w:space="0" w:color="auto"/>
            </w:tcBorders>
            <w:shd w:val="clear" w:color="auto" w:fill="auto"/>
            <w:vAlign w:val="center"/>
            <w:hideMark/>
          </w:tcPr>
          <w:p w14:paraId="2C7FC66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 general market</w:t>
            </w:r>
          </w:p>
        </w:tc>
        <w:tc>
          <w:tcPr>
            <w:tcW w:w="960" w:type="dxa"/>
            <w:tcBorders>
              <w:top w:val="nil"/>
              <w:left w:val="nil"/>
              <w:bottom w:val="single" w:sz="8" w:space="0" w:color="auto"/>
              <w:right w:val="single" w:sz="8" w:space="0" w:color="auto"/>
            </w:tcBorders>
            <w:shd w:val="clear" w:color="auto" w:fill="auto"/>
            <w:noWrap/>
            <w:hideMark/>
          </w:tcPr>
          <w:p w14:paraId="3CEA9A82"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5°11¹26¹¹</w:t>
            </w:r>
          </w:p>
        </w:tc>
        <w:tc>
          <w:tcPr>
            <w:tcW w:w="960" w:type="dxa"/>
            <w:tcBorders>
              <w:top w:val="nil"/>
              <w:left w:val="nil"/>
              <w:bottom w:val="single" w:sz="8" w:space="0" w:color="auto"/>
              <w:right w:val="single" w:sz="8" w:space="0" w:color="auto"/>
            </w:tcBorders>
            <w:shd w:val="clear" w:color="auto" w:fill="auto"/>
            <w:vAlign w:val="center"/>
            <w:hideMark/>
          </w:tcPr>
          <w:p w14:paraId="0F363F3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7°49¹48¹¹</w:t>
            </w:r>
          </w:p>
        </w:tc>
        <w:tc>
          <w:tcPr>
            <w:tcW w:w="520" w:type="dxa"/>
            <w:tcBorders>
              <w:top w:val="nil"/>
              <w:left w:val="nil"/>
              <w:bottom w:val="single" w:sz="8" w:space="0" w:color="auto"/>
              <w:right w:val="single" w:sz="8" w:space="0" w:color="auto"/>
            </w:tcBorders>
            <w:shd w:val="clear" w:color="auto" w:fill="auto"/>
            <w:noWrap/>
            <w:vAlign w:val="center"/>
            <w:hideMark/>
          </w:tcPr>
          <w:p w14:paraId="2F23566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548</w:t>
            </w:r>
          </w:p>
        </w:tc>
        <w:tc>
          <w:tcPr>
            <w:tcW w:w="380" w:type="dxa"/>
            <w:tcBorders>
              <w:top w:val="nil"/>
              <w:left w:val="nil"/>
              <w:bottom w:val="single" w:sz="8" w:space="0" w:color="auto"/>
              <w:right w:val="single" w:sz="8" w:space="0" w:color="auto"/>
            </w:tcBorders>
            <w:shd w:val="clear" w:color="auto" w:fill="auto"/>
            <w:noWrap/>
            <w:vAlign w:val="center"/>
            <w:hideMark/>
          </w:tcPr>
          <w:p w14:paraId="79B777B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E7801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375</w:t>
            </w:r>
          </w:p>
        </w:tc>
        <w:tc>
          <w:tcPr>
            <w:tcW w:w="300" w:type="dxa"/>
            <w:tcBorders>
              <w:top w:val="nil"/>
              <w:left w:val="nil"/>
              <w:bottom w:val="single" w:sz="8" w:space="0" w:color="auto"/>
              <w:right w:val="single" w:sz="8" w:space="0" w:color="auto"/>
            </w:tcBorders>
            <w:shd w:val="clear" w:color="auto" w:fill="auto"/>
            <w:noWrap/>
            <w:vAlign w:val="center"/>
            <w:hideMark/>
          </w:tcPr>
          <w:p w14:paraId="2CE3D4E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51</w:t>
            </w:r>
          </w:p>
        </w:tc>
        <w:tc>
          <w:tcPr>
            <w:tcW w:w="320" w:type="dxa"/>
            <w:tcBorders>
              <w:top w:val="nil"/>
              <w:left w:val="nil"/>
              <w:bottom w:val="single" w:sz="8" w:space="0" w:color="auto"/>
              <w:right w:val="single" w:sz="8" w:space="0" w:color="auto"/>
            </w:tcBorders>
            <w:shd w:val="clear" w:color="auto" w:fill="auto"/>
            <w:noWrap/>
            <w:vAlign w:val="center"/>
            <w:hideMark/>
          </w:tcPr>
          <w:p w14:paraId="3B6BAA7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320" w:type="dxa"/>
            <w:tcBorders>
              <w:top w:val="nil"/>
              <w:left w:val="nil"/>
              <w:bottom w:val="single" w:sz="8" w:space="0" w:color="auto"/>
              <w:right w:val="single" w:sz="8" w:space="0" w:color="auto"/>
            </w:tcBorders>
            <w:shd w:val="clear" w:color="auto" w:fill="auto"/>
            <w:noWrap/>
            <w:vAlign w:val="center"/>
            <w:hideMark/>
          </w:tcPr>
          <w:p w14:paraId="2C7662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w:t>
            </w:r>
          </w:p>
        </w:tc>
        <w:tc>
          <w:tcPr>
            <w:tcW w:w="320" w:type="dxa"/>
            <w:tcBorders>
              <w:top w:val="nil"/>
              <w:left w:val="nil"/>
              <w:bottom w:val="single" w:sz="8" w:space="0" w:color="auto"/>
              <w:right w:val="single" w:sz="8" w:space="0" w:color="auto"/>
            </w:tcBorders>
            <w:shd w:val="clear" w:color="auto" w:fill="auto"/>
            <w:noWrap/>
            <w:vAlign w:val="center"/>
            <w:hideMark/>
          </w:tcPr>
          <w:p w14:paraId="54B0A41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179364B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12.5</w:t>
            </w:r>
          </w:p>
        </w:tc>
        <w:tc>
          <w:tcPr>
            <w:tcW w:w="420" w:type="dxa"/>
            <w:tcBorders>
              <w:top w:val="nil"/>
              <w:left w:val="nil"/>
              <w:bottom w:val="single" w:sz="8" w:space="0" w:color="auto"/>
              <w:right w:val="single" w:sz="8" w:space="0" w:color="auto"/>
            </w:tcBorders>
            <w:shd w:val="clear" w:color="auto" w:fill="auto"/>
            <w:noWrap/>
            <w:vAlign w:val="center"/>
            <w:hideMark/>
          </w:tcPr>
          <w:p w14:paraId="0C8B84F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39</w:t>
            </w:r>
          </w:p>
        </w:tc>
        <w:tc>
          <w:tcPr>
            <w:tcW w:w="360" w:type="dxa"/>
            <w:tcBorders>
              <w:top w:val="nil"/>
              <w:left w:val="nil"/>
              <w:bottom w:val="single" w:sz="8" w:space="0" w:color="auto"/>
              <w:right w:val="single" w:sz="8" w:space="0" w:color="auto"/>
            </w:tcBorders>
            <w:shd w:val="clear" w:color="auto" w:fill="auto"/>
            <w:noWrap/>
            <w:vAlign w:val="center"/>
            <w:hideMark/>
          </w:tcPr>
          <w:p w14:paraId="5F78D25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72</w:t>
            </w:r>
          </w:p>
        </w:tc>
        <w:tc>
          <w:tcPr>
            <w:tcW w:w="440" w:type="dxa"/>
            <w:tcBorders>
              <w:top w:val="nil"/>
              <w:left w:val="nil"/>
              <w:bottom w:val="single" w:sz="8" w:space="0" w:color="auto"/>
              <w:right w:val="single" w:sz="8" w:space="0" w:color="auto"/>
            </w:tcBorders>
            <w:shd w:val="clear" w:color="auto" w:fill="auto"/>
            <w:noWrap/>
            <w:vAlign w:val="center"/>
            <w:hideMark/>
          </w:tcPr>
          <w:p w14:paraId="39295E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F7CB13B"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4B9485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2720" w:type="dxa"/>
            <w:tcBorders>
              <w:top w:val="nil"/>
              <w:left w:val="nil"/>
              <w:bottom w:val="single" w:sz="8" w:space="0" w:color="auto"/>
              <w:right w:val="single" w:sz="8" w:space="0" w:color="auto"/>
            </w:tcBorders>
            <w:shd w:val="clear" w:color="auto" w:fill="auto"/>
            <w:vAlign w:val="center"/>
            <w:hideMark/>
          </w:tcPr>
          <w:p w14:paraId="1BD18E9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The rock hotel </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/loc </w:t>
            </w:r>
          </w:p>
        </w:tc>
        <w:tc>
          <w:tcPr>
            <w:tcW w:w="960" w:type="dxa"/>
            <w:tcBorders>
              <w:top w:val="nil"/>
              <w:left w:val="nil"/>
              <w:bottom w:val="single" w:sz="8" w:space="0" w:color="auto"/>
              <w:right w:val="single" w:sz="8" w:space="0" w:color="auto"/>
            </w:tcBorders>
            <w:shd w:val="clear" w:color="auto" w:fill="auto"/>
            <w:noWrap/>
            <w:hideMark/>
          </w:tcPr>
          <w:p w14:paraId="5157E53C"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5°11¹42¹¹</w:t>
            </w:r>
          </w:p>
        </w:tc>
        <w:tc>
          <w:tcPr>
            <w:tcW w:w="960" w:type="dxa"/>
            <w:tcBorders>
              <w:top w:val="nil"/>
              <w:left w:val="nil"/>
              <w:bottom w:val="single" w:sz="8" w:space="0" w:color="auto"/>
              <w:right w:val="single" w:sz="8" w:space="0" w:color="auto"/>
            </w:tcBorders>
            <w:shd w:val="clear" w:color="auto" w:fill="auto"/>
            <w:vAlign w:val="center"/>
            <w:hideMark/>
          </w:tcPr>
          <w:p w14:paraId="3402195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7°49¹58¹¹</w:t>
            </w:r>
          </w:p>
        </w:tc>
        <w:tc>
          <w:tcPr>
            <w:tcW w:w="520" w:type="dxa"/>
            <w:tcBorders>
              <w:top w:val="nil"/>
              <w:left w:val="nil"/>
              <w:bottom w:val="single" w:sz="8" w:space="0" w:color="auto"/>
              <w:right w:val="single" w:sz="8" w:space="0" w:color="auto"/>
            </w:tcBorders>
            <w:shd w:val="clear" w:color="auto" w:fill="auto"/>
            <w:noWrap/>
            <w:vAlign w:val="center"/>
            <w:hideMark/>
          </w:tcPr>
          <w:p w14:paraId="4F932A0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1261</w:t>
            </w:r>
          </w:p>
        </w:tc>
        <w:tc>
          <w:tcPr>
            <w:tcW w:w="380" w:type="dxa"/>
            <w:tcBorders>
              <w:top w:val="nil"/>
              <w:left w:val="nil"/>
              <w:bottom w:val="single" w:sz="8" w:space="0" w:color="auto"/>
              <w:right w:val="single" w:sz="8" w:space="0" w:color="auto"/>
            </w:tcBorders>
            <w:shd w:val="clear" w:color="auto" w:fill="auto"/>
            <w:noWrap/>
            <w:vAlign w:val="center"/>
            <w:hideMark/>
          </w:tcPr>
          <w:p w14:paraId="5BC0E97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104</w:t>
            </w:r>
          </w:p>
        </w:tc>
        <w:tc>
          <w:tcPr>
            <w:tcW w:w="480" w:type="dxa"/>
            <w:tcBorders>
              <w:top w:val="nil"/>
              <w:left w:val="nil"/>
              <w:bottom w:val="single" w:sz="8" w:space="0" w:color="auto"/>
              <w:right w:val="single" w:sz="8" w:space="0" w:color="auto"/>
            </w:tcBorders>
            <w:shd w:val="clear" w:color="auto" w:fill="auto"/>
            <w:noWrap/>
            <w:vAlign w:val="center"/>
            <w:hideMark/>
          </w:tcPr>
          <w:p w14:paraId="12C99C0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593</w:t>
            </w:r>
          </w:p>
        </w:tc>
        <w:tc>
          <w:tcPr>
            <w:tcW w:w="300" w:type="dxa"/>
            <w:tcBorders>
              <w:top w:val="nil"/>
              <w:left w:val="nil"/>
              <w:bottom w:val="single" w:sz="8" w:space="0" w:color="auto"/>
              <w:right w:val="single" w:sz="8" w:space="0" w:color="auto"/>
            </w:tcBorders>
            <w:shd w:val="clear" w:color="auto" w:fill="auto"/>
            <w:noWrap/>
            <w:vAlign w:val="center"/>
            <w:hideMark/>
          </w:tcPr>
          <w:p w14:paraId="5B728C0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48</w:t>
            </w:r>
          </w:p>
        </w:tc>
        <w:tc>
          <w:tcPr>
            <w:tcW w:w="320" w:type="dxa"/>
            <w:tcBorders>
              <w:top w:val="nil"/>
              <w:left w:val="nil"/>
              <w:bottom w:val="single" w:sz="8" w:space="0" w:color="auto"/>
              <w:right w:val="single" w:sz="8" w:space="0" w:color="auto"/>
            </w:tcBorders>
            <w:shd w:val="clear" w:color="auto" w:fill="auto"/>
            <w:noWrap/>
            <w:vAlign w:val="center"/>
            <w:hideMark/>
          </w:tcPr>
          <w:p w14:paraId="5473F00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w:t>
            </w:r>
          </w:p>
        </w:tc>
        <w:tc>
          <w:tcPr>
            <w:tcW w:w="320" w:type="dxa"/>
            <w:tcBorders>
              <w:top w:val="nil"/>
              <w:left w:val="nil"/>
              <w:bottom w:val="single" w:sz="8" w:space="0" w:color="auto"/>
              <w:right w:val="single" w:sz="8" w:space="0" w:color="auto"/>
            </w:tcBorders>
            <w:shd w:val="clear" w:color="auto" w:fill="auto"/>
            <w:noWrap/>
            <w:vAlign w:val="center"/>
            <w:hideMark/>
          </w:tcPr>
          <w:p w14:paraId="7ECCB29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0DECD1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5132E7E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50.8</w:t>
            </w:r>
          </w:p>
        </w:tc>
        <w:tc>
          <w:tcPr>
            <w:tcW w:w="420" w:type="dxa"/>
            <w:tcBorders>
              <w:top w:val="nil"/>
              <w:left w:val="nil"/>
              <w:bottom w:val="single" w:sz="8" w:space="0" w:color="auto"/>
              <w:right w:val="single" w:sz="8" w:space="0" w:color="auto"/>
            </w:tcBorders>
            <w:shd w:val="clear" w:color="auto" w:fill="auto"/>
            <w:noWrap/>
            <w:vAlign w:val="center"/>
            <w:hideMark/>
          </w:tcPr>
          <w:p w14:paraId="28F8522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w:t>
            </w:r>
          </w:p>
        </w:tc>
        <w:tc>
          <w:tcPr>
            <w:tcW w:w="360" w:type="dxa"/>
            <w:tcBorders>
              <w:top w:val="nil"/>
              <w:left w:val="nil"/>
              <w:bottom w:val="single" w:sz="8" w:space="0" w:color="auto"/>
              <w:right w:val="single" w:sz="8" w:space="0" w:color="auto"/>
            </w:tcBorders>
            <w:shd w:val="clear" w:color="auto" w:fill="auto"/>
            <w:noWrap/>
            <w:vAlign w:val="center"/>
            <w:hideMark/>
          </w:tcPr>
          <w:p w14:paraId="597480F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202</w:t>
            </w:r>
          </w:p>
        </w:tc>
        <w:tc>
          <w:tcPr>
            <w:tcW w:w="440" w:type="dxa"/>
            <w:tcBorders>
              <w:top w:val="nil"/>
              <w:left w:val="nil"/>
              <w:bottom w:val="single" w:sz="8" w:space="0" w:color="auto"/>
              <w:right w:val="single" w:sz="8" w:space="0" w:color="auto"/>
            </w:tcBorders>
            <w:shd w:val="clear" w:color="auto" w:fill="auto"/>
            <w:noWrap/>
            <w:vAlign w:val="center"/>
            <w:hideMark/>
          </w:tcPr>
          <w:p w14:paraId="6583E1D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0D7F3D43"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3DA7E50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13</w:t>
            </w:r>
          </w:p>
        </w:tc>
        <w:tc>
          <w:tcPr>
            <w:tcW w:w="2720" w:type="dxa"/>
            <w:tcBorders>
              <w:top w:val="nil"/>
              <w:left w:val="nil"/>
              <w:bottom w:val="single" w:sz="8" w:space="0" w:color="auto"/>
              <w:right w:val="single" w:sz="8" w:space="0" w:color="auto"/>
            </w:tcBorders>
            <w:shd w:val="clear" w:color="auto" w:fill="auto"/>
            <w:vAlign w:val="center"/>
            <w:hideMark/>
          </w:tcPr>
          <w:p w14:paraId="6D09E0AF"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proofErr w:type="spellStart"/>
            <w:r w:rsidRPr="004F0A21">
              <w:rPr>
                <w:rFonts w:ascii="Times New Roman" w:eastAsia="Times New Roman" w:hAnsi="Times New Roman" w:cs="Times New Roman"/>
                <w:color w:val="000000"/>
                <w:sz w:val="16"/>
                <w:szCs w:val="16"/>
              </w:rPr>
              <w:t>Odo</w:t>
            </w:r>
            <w:proofErr w:type="spellEnd"/>
            <w:r w:rsidRPr="004F0A21">
              <w:rPr>
                <w:rFonts w:ascii="Times New Roman" w:eastAsia="Times New Roman" w:hAnsi="Times New Roman" w:cs="Times New Roman"/>
                <w:color w:val="000000"/>
                <w:sz w:val="16"/>
                <w:szCs w:val="16"/>
              </w:rPr>
              <w:t xml:space="preserve"> Ora (</w:t>
            </w:r>
            <w:proofErr w:type="spellStart"/>
            <w:r w:rsidRPr="004F0A21">
              <w:rPr>
                <w:rFonts w:ascii="Times New Roman" w:eastAsia="Times New Roman" w:hAnsi="Times New Roman" w:cs="Times New Roman"/>
                <w:color w:val="000000"/>
                <w:sz w:val="16"/>
                <w:szCs w:val="16"/>
              </w:rPr>
              <w:t>Ilogun</w:t>
            </w:r>
            <w:proofErr w:type="spellEnd"/>
            <w:r w:rsidRPr="004F0A21">
              <w:rPr>
                <w:rFonts w:ascii="Times New Roman" w:eastAsia="Times New Roman" w:hAnsi="Times New Roman" w:cs="Times New Roman"/>
                <w:color w:val="000000"/>
                <w:sz w:val="16"/>
                <w:szCs w:val="16"/>
              </w:rPr>
              <w:t xml:space="preserve">) </w:t>
            </w:r>
            <w:proofErr w:type="spellStart"/>
            <w:r w:rsidRPr="004F0A21">
              <w:rPr>
                <w:rFonts w:ascii="Times New Roman" w:eastAsia="Times New Roman" w:hAnsi="Times New Roman" w:cs="Times New Roman"/>
                <w:color w:val="000000"/>
                <w:sz w:val="16"/>
                <w:szCs w:val="16"/>
              </w:rPr>
              <w:t>Kabiyesi</w:t>
            </w:r>
            <w:proofErr w:type="spellEnd"/>
            <w:r w:rsidRPr="004F0A21">
              <w:rPr>
                <w:rFonts w:ascii="Times New Roman" w:eastAsia="Times New Roman" w:hAnsi="Times New Roman" w:cs="Times New Roman"/>
                <w:color w:val="000000"/>
                <w:sz w:val="16"/>
                <w:szCs w:val="16"/>
              </w:rPr>
              <w:t xml:space="preserve"> farm/loc </w:t>
            </w:r>
          </w:p>
        </w:tc>
        <w:tc>
          <w:tcPr>
            <w:tcW w:w="960" w:type="dxa"/>
            <w:tcBorders>
              <w:top w:val="nil"/>
              <w:left w:val="nil"/>
              <w:bottom w:val="single" w:sz="8" w:space="0" w:color="auto"/>
              <w:right w:val="single" w:sz="8" w:space="0" w:color="auto"/>
            </w:tcBorders>
            <w:shd w:val="clear" w:color="auto" w:fill="auto"/>
            <w:noWrap/>
            <w:hideMark/>
          </w:tcPr>
          <w:p w14:paraId="2EFD7AAF"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5°9¹21¹¹</w:t>
            </w:r>
          </w:p>
        </w:tc>
        <w:tc>
          <w:tcPr>
            <w:tcW w:w="960" w:type="dxa"/>
            <w:tcBorders>
              <w:top w:val="nil"/>
              <w:left w:val="nil"/>
              <w:bottom w:val="single" w:sz="8" w:space="0" w:color="auto"/>
              <w:right w:val="single" w:sz="8" w:space="0" w:color="auto"/>
            </w:tcBorders>
            <w:shd w:val="clear" w:color="auto" w:fill="auto"/>
            <w:vAlign w:val="center"/>
            <w:hideMark/>
          </w:tcPr>
          <w:p w14:paraId="4D584EA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7°54¹38¹¹</w:t>
            </w:r>
          </w:p>
        </w:tc>
        <w:tc>
          <w:tcPr>
            <w:tcW w:w="520" w:type="dxa"/>
            <w:tcBorders>
              <w:top w:val="nil"/>
              <w:left w:val="nil"/>
              <w:bottom w:val="single" w:sz="8" w:space="0" w:color="auto"/>
              <w:right w:val="single" w:sz="8" w:space="0" w:color="auto"/>
            </w:tcBorders>
            <w:shd w:val="clear" w:color="auto" w:fill="auto"/>
            <w:noWrap/>
            <w:vAlign w:val="center"/>
            <w:hideMark/>
          </w:tcPr>
          <w:p w14:paraId="4FCD8C7E"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80</w:t>
            </w:r>
          </w:p>
        </w:tc>
        <w:tc>
          <w:tcPr>
            <w:tcW w:w="380" w:type="dxa"/>
            <w:tcBorders>
              <w:top w:val="nil"/>
              <w:left w:val="nil"/>
              <w:bottom w:val="single" w:sz="8" w:space="0" w:color="auto"/>
              <w:right w:val="single" w:sz="8" w:space="0" w:color="auto"/>
            </w:tcBorders>
            <w:shd w:val="clear" w:color="auto" w:fill="auto"/>
            <w:noWrap/>
            <w:vAlign w:val="center"/>
            <w:hideMark/>
          </w:tcPr>
          <w:p w14:paraId="1B93B057"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50</w:t>
            </w:r>
          </w:p>
        </w:tc>
        <w:tc>
          <w:tcPr>
            <w:tcW w:w="480" w:type="dxa"/>
            <w:tcBorders>
              <w:top w:val="nil"/>
              <w:left w:val="nil"/>
              <w:bottom w:val="single" w:sz="8" w:space="0" w:color="auto"/>
              <w:right w:val="single" w:sz="8" w:space="0" w:color="auto"/>
            </w:tcBorders>
            <w:shd w:val="clear" w:color="auto" w:fill="auto"/>
            <w:noWrap/>
            <w:vAlign w:val="center"/>
            <w:hideMark/>
          </w:tcPr>
          <w:p w14:paraId="0BE0C90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231</w:t>
            </w:r>
          </w:p>
        </w:tc>
        <w:tc>
          <w:tcPr>
            <w:tcW w:w="300" w:type="dxa"/>
            <w:tcBorders>
              <w:top w:val="nil"/>
              <w:left w:val="nil"/>
              <w:bottom w:val="single" w:sz="8" w:space="0" w:color="auto"/>
              <w:right w:val="single" w:sz="8" w:space="0" w:color="auto"/>
            </w:tcBorders>
            <w:shd w:val="clear" w:color="auto" w:fill="auto"/>
            <w:noWrap/>
            <w:vAlign w:val="center"/>
            <w:hideMark/>
          </w:tcPr>
          <w:p w14:paraId="498D001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w:t>
            </w:r>
          </w:p>
        </w:tc>
        <w:tc>
          <w:tcPr>
            <w:tcW w:w="320" w:type="dxa"/>
            <w:tcBorders>
              <w:top w:val="nil"/>
              <w:left w:val="nil"/>
              <w:bottom w:val="single" w:sz="8" w:space="0" w:color="auto"/>
              <w:right w:val="single" w:sz="8" w:space="0" w:color="auto"/>
            </w:tcBorders>
            <w:shd w:val="clear" w:color="auto" w:fill="auto"/>
            <w:noWrap/>
            <w:vAlign w:val="center"/>
            <w:hideMark/>
          </w:tcPr>
          <w:p w14:paraId="41483C9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320" w:type="dxa"/>
            <w:tcBorders>
              <w:top w:val="nil"/>
              <w:left w:val="nil"/>
              <w:bottom w:val="single" w:sz="8" w:space="0" w:color="auto"/>
              <w:right w:val="single" w:sz="8" w:space="0" w:color="auto"/>
            </w:tcBorders>
            <w:shd w:val="clear" w:color="auto" w:fill="auto"/>
            <w:noWrap/>
            <w:vAlign w:val="center"/>
            <w:hideMark/>
          </w:tcPr>
          <w:p w14:paraId="0B48E0A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&lt;1</w:t>
            </w:r>
          </w:p>
        </w:tc>
        <w:tc>
          <w:tcPr>
            <w:tcW w:w="320" w:type="dxa"/>
            <w:tcBorders>
              <w:top w:val="nil"/>
              <w:left w:val="nil"/>
              <w:bottom w:val="single" w:sz="8" w:space="0" w:color="auto"/>
              <w:right w:val="single" w:sz="8" w:space="0" w:color="auto"/>
            </w:tcBorders>
            <w:shd w:val="clear" w:color="auto" w:fill="auto"/>
            <w:noWrap/>
            <w:vAlign w:val="center"/>
            <w:hideMark/>
          </w:tcPr>
          <w:p w14:paraId="05DEDC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w:t>
            </w:r>
          </w:p>
        </w:tc>
        <w:tc>
          <w:tcPr>
            <w:tcW w:w="460" w:type="dxa"/>
            <w:tcBorders>
              <w:top w:val="nil"/>
              <w:left w:val="nil"/>
              <w:bottom w:val="single" w:sz="8" w:space="0" w:color="auto"/>
              <w:right w:val="single" w:sz="8" w:space="0" w:color="auto"/>
            </w:tcBorders>
            <w:shd w:val="clear" w:color="auto" w:fill="auto"/>
            <w:noWrap/>
            <w:vAlign w:val="center"/>
            <w:hideMark/>
          </w:tcPr>
          <w:p w14:paraId="51BD198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15.3</w:t>
            </w:r>
          </w:p>
        </w:tc>
        <w:tc>
          <w:tcPr>
            <w:tcW w:w="420" w:type="dxa"/>
            <w:tcBorders>
              <w:top w:val="nil"/>
              <w:left w:val="nil"/>
              <w:bottom w:val="single" w:sz="8" w:space="0" w:color="auto"/>
              <w:right w:val="single" w:sz="8" w:space="0" w:color="auto"/>
            </w:tcBorders>
            <w:shd w:val="clear" w:color="auto" w:fill="auto"/>
            <w:noWrap/>
            <w:vAlign w:val="center"/>
            <w:hideMark/>
          </w:tcPr>
          <w:p w14:paraId="5E89F8E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360" w:type="dxa"/>
            <w:tcBorders>
              <w:top w:val="nil"/>
              <w:left w:val="nil"/>
              <w:bottom w:val="single" w:sz="8" w:space="0" w:color="auto"/>
              <w:right w:val="single" w:sz="8" w:space="0" w:color="auto"/>
            </w:tcBorders>
            <w:shd w:val="clear" w:color="auto" w:fill="auto"/>
            <w:noWrap/>
            <w:vAlign w:val="center"/>
            <w:hideMark/>
          </w:tcPr>
          <w:p w14:paraId="6E1ECF7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17</w:t>
            </w:r>
          </w:p>
        </w:tc>
        <w:tc>
          <w:tcPr>
            <w:tcW w:w="440" w:type="dxa"/>
            <w:tcBorders>
              <w:top w:val="nil"/>
              <w:left w:val="nil"/>
              <w:bottom w:val="single" w:sz="8" w:space="0" w:color="auto"/>
              <w:right w:val="single" w:sz="8" w:space="0" w:color="auto"/>
            </w:tcBorders>
            <w:shd w:val="clear" w:color="auto" w:fill="auto"/>
            <w:noWrap/>
            <w:vAlign w:val="center"/>
            <w:hideMark/>
          </w:tcPr>
          <w:p w14:paraId="2F09293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3087D239"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55DE6B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14</w:t>
            </w:r>
          </w:p>
        </w:tc>
        <w:tc>
          <w:tcPr>
            <w:tcW w:w="2720" w:type="dxa"/>
            <w:tcBorders>
              <w:top w:val="nil"/>
              <w:left w:val="nil"/>
              <w:bottom w:val="single" w:sz="8" w:space="0" w:color="auto"/>
              <w:right w:val="single" w:sz="8" w:space="0" w:color="auto"/>
            </w:tcBorders>
            <w:shd w:val="clear" w:color="auto" w:fill="auto"/>
            <w:vAlign w:val="center"/>
            <w:hideMark/>
          </w:tcPr>
          <w:p w14:paraId="5E69D1BA"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Besides FMC </w:t>
            </w:r>
            <w:proofErr w:type="spellStart"/>
            <w:r w:rsidRPr="004F0A21">
              <w:rPr>
                <w:rFonts w:ascii="Times New Roman" w:eastAsia="Times New Roman" w:hAnsi="Times New Roman" w:cs="Times New Roman"/>
                <w:color w:val="000000"/>
                <w:sz w:val="16"/>
                <w:szCs w:val="16"/>
              </w:rPr>
              <w:t>Iddo</w:t>
            </w:r>
            <w:proofErr w:type="spellEnd"/>
            <w:r w:rsidRPr="004F0A21">
              <w:rPr>
                <w:rFonts w:ascii="Times New Roman" w:eastAsia="Times New Roman" w:hAnsi="Times New Roman" w:cs="Times New Roman"/>
                <w:color w:val="000000"/>
                <w:sz w:val="16"/>
                <w:szCs w:val="16"/>
              </w:rPr>
              <w:t xml:space="preserve">-Ekiti/loc </w:t>
            </w:r>
          </w:p>
        </w:tc>
        <w:tc>
          <w:tcPr>
            <w:tcW w:w="960" w:type="dxa"/>
            <w:tcBorders>
              <w:top w:val="nil"/>
              <w:left w:val="nil"/>
              <w:bottom w:val="single" w:sz="8" w:space="0" w:color="auto"/>
              <w:right w:val="single" w:sz="8" w:space="0" w:color="auto"/>
            </w:tcBorders>
            <w:shd w:val="clear" w:color="auto" w:fill="auto"/>
            <w:noWrap/>
            <w:hideMark/>
          </w:tcPr>
          <w:p w14:paraId="1C9FAA15"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5°10¹43¹¹</w:t>
            </w:r>
          </w:p>
        </w:tc>
        <w:tc>
          <w:tcPr>
            <w:tcW w:w="960" w:type="dxa"/>
            <w:tcBorders>
              <w:top w:val="nil"/>
              <w:left w:val="nil"/>
              <w:bottom w:val="single" w:sz="8" w:space="0" w:color="auto"/>
              <w:right w:val="single" w:sz="8" w:space="0" w:color="auto"/>
            </w:tcBorders>
            <w:shd w:val="clear" w:color="auto" w:fill="auto"/>
            <w:vAlign w:val="center"/>
            <w:hideMark/>
          </w:tcPr>
          <w:p w14:paraId="344CB57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7°53¹32¹¹</w:t>
            </w:r>
          </w:p>
        </w:tc>
        <w:tc>
          <w:tcPr>
            <w:tcW w:w="520" w:type="dxa"/>
            <w:tcBorders>
              <w:top w:val="nil"/>
              <w:left w:val="nil"/>
              <w:bottom w:val="single" w:sz="8" w:space="0" w:color="auto"/>
              <w:right w:val="single" w:sz="8" w:space="0" w:color="auto"/>
            </w:tcBorders>
            <w:shd w:val="clear" w:color="auto" w:fill="auto"/>
            <w:noWrap/>
            <w:vAlign w:val="center"/>
            <w:hideMark/>
          </w:tcPr>
          <w:p w14:paraId="7DDAFEF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1865</w:t>
            </w:r>
          </w:p>
        </w:tc>
        <w:tc>
          <w:tcPr>
            <w:tcW w:w="380" w:type="dxa"/>
            <w:tcBorders>
              <w:top w:val="nil"/>
              <w:left w:val="nil"/>
              <w:bottom w:val="single" w:sz="8" w:space="0" w:color="auto"/>
              <w:right w:val="single" w:sz="8" w:space="0" w:color="auto"/>
            </w:tcBorders>
            <w:shd w:val="clear" w:color="auto" w:fill="auto"/>
            <w:noWrap/>
            <w:vAlign w:val="center"/>
            <w:hideMark/>
          </w:tcPr>
          <w:p w14:paraId="5573DD9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5908A29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3532</w:t>
            </w:r>
          </w:p>
        </w:tc>
        <w:tc>
          <w:tcPr>
            <w:tcW w:w="300" w:type="dxa"/>
            <w:tcBorders>
              <w:top w:val="nil"/>
              <w:left w:val="nil"/>
              <w:bottom w:val="single" w:sz="8" w:space="0" w:color="auto"/>
              <w:right w:val="single" w:sz="8" w:space="0" w:color="auto"/>
            </w:tcBorders>
            <w:shd w:val="clear" w:color="auto" w:fill="auto"/>
            <w:noWrap/>
            <w:vAlign w:val="center"/>
            <w:hideMark/>
          </w:tcPr>
          <w:p w14:paraId="3B51CE80"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70</w:t>
            </w:r>
          </w:p>
        </w:tc>
        <w:tc>
          <w:tcPr>
            <w:tcW w:w="320" w:type="dxa"/>
            <w:tcBorders>
              <w:top w:val="nil"/>
              <w:left w:val="nil"/>
              <w:bottom w:val="single" w:sz="8" w:space="0" w:color="auto"/>
              <w:right w:val="single" w:sz="8" w:space="0" w:color="auto"/>
            </w:tcBorders>
            <w:shd w:val="clear" w:color="auto" w:fill="auto"/>
            <w:noWrap/>
            <w:vAlign w:val="center"/>
            <w:hideMark/>
          </w:tcPr>
          <w:p w14:paraId="4C6BC9F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36</w:t>
            </w:r>
          </w:p>
        </w:tc>
        <w:tc>
          <w:tcPr>
            <w:tcW w:w="320" w:type="dxa"/>
            <w:tcBorders>
              <w:top w:val="nil"/>
              <w:left w:val="nil"/>
              <w:bottom w:val="single" w:sz="8" w:space="0" w:color="auto"/>
              <w:right w:val="single" w:sz="8" w:space="0" w:color="auto"/>
            </w:tcBorders>
            <w:shd w:val="clear" w:color="auto" w:fill="auto"/>
            <w:noWrap/>
            <w:vAlign w:val="center"/>
            <w:hideMark/>
          </w:tcPr>
          <w:p w14:paraId="5E2FA474"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12</w:t>
            </w:r>
          </w:p>
        </w:tc>
        <w:tc>
          <w:tcPr>
            <w:tcW w:w="320" w:type="dxa"/>
            <w:tcBorders>
              <w:top w:val="nil"/>
              <w:left w:val="nil"/>
              <w:bottom w:val="single" w:sz="8" w:space="0" w:color="auto"/>
              <w:right w:val="single" w:sz="8" w:space="0" w:color="auto"/>
            </w:tcBorders>
            <w:shd w:val="clear" w:color="auto" w:fill="auto"/>
            <w:noWrap/>
            <w:vAlign w:val="center"/>
            <w:hideMark/>
          </w:tcPr>
          <w:p w14:paraId="64C4D7E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w:t>
            </w:r>
          </w:p>
        </w:tc>
        <w:tc>
          <w:tcPr>
            <w:tcW w:w="460" w:type="dxa"/>
            <w:tcBorders>
              <w:top w:val="nil"/>
              <w:left w:val="nil"/>
              <w:bottom w:val="single" w:sz="8" w:space="0" w:color="auto"/>
              <w:right w:val="single" w:sz="8" w:space="0" w:color="auto"/>
            </w:tcBorders>
            <w:shd w:val="clear" w:color="auto" w:fill="auto"/>
            <w:noWrap/>
            <w:vAlign w:val="center"/>
            <w:hideMark/>
          </w:tcPr>
          <w:p w14:paraId="6E9C5425"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27.3</w:t>
            </w:r>
          </w:p>
        </w:tc>
        <w:tc>
          <w:tcPr>
            <w:tcW w:w="420" w:type="dxa"/>
            <w:tcBorders>
              <w:top w:val="nil"/>
              <w:left w:val="nil"/>
              <w:bottom w:val="single" w:sz="8" w:space="0" w:color="auto"/>
              <w:right w:val="single" w:sz="8" w:space="0" w:color="auto"/>
            </w:tcBorders>
            <w:shd w:val="clear" w:color="auto" w:fill="auto"/>
            <w:noWrap/>
            <w:vAlign w:val="center"/>
            <w:hideMark/>
          </w:tcPr>
          <w:p w14:paraId="7E55005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64</w:t>
            </w:r>
          </w:p>
        </w:tc>
        <w:tc>
          <w:tcPr>
            <w:tcW w:w="360" w:type="dxa"/>
            <w:tcBorders>
              <w:top w:val="nil"/>
              <w:left w:val="nil"/>
              <w:bottom w:val="single" w:sz="8" w:space="0" w:color="auto"/>
              <w:right w:val="single" w:sz="8" w:space="0" w:color="auto"/>
            </w:tcBorders>
            <w:shd w:val="clear" w:color="auto" w:fill="auto"/>
            <w:noWrap/>
            <w:vAlign w:val="center"/>
            <w:hideMark/>
          </w:tcPr>
          <w:p w14:paraId="1DFB9913"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165</w:t>
            </w:r>
          </w:p>
        </w:tc>
        <w:tc>
          <w:tcPr>
            <w:tcW w:w="440" w:type="dxa"/>
            <w:tcBorders>
              <w:top w:val="nil"/>
              <w:left w:val="nil"/>
              <w:bottom w:val="single" w:sz="8" w:space="0" w:color="auto"/>
              <w:right w:val="single" w:sz="8" w:space="0" w:color="auto"/>
            </w:tcBorders>
            <w:shd w:val="clear" w:color="auto" w:fill="auto"/>
            <w:noWrap/>
            <w:vAlign w:val="center"/>
            <w:hideMark/>
          </w:tcPr>
          <w:p w14:paraId="582C24A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r w:rsidR="00AA6B4F" w:rsidRPr="004F0A21" w14:paraId="7BA264A1" w14:textId="77777777" w:rsidTr="004F0A21">
        <w:trPr>
          <w:trHeight w:val="300"/>
        </w:trPr>
        <w:tc>
          <w:tcPr>
            <w:tcW w:w="280" w:type="dxa"/>
            <w:tcBorders>
              <w:top w:val="nil"/>
              <w:left w:val="single" w:sz="8" w:space="0" w:color="auto"/>
              <w:bottom w:val="single" w:sz="8" w:space="0" w:color="auto"/>
              <w:right w:val="single" w:sz="8" w:space="0" w:color="auto"/>
            </w:tcBorders>
            <w:shd w:val="clear" w:color="auto" w:fill="auto"/>
            <w:vAlign w:val="center"/>
            <w:hideMark/>
          </w:tcPr>
          <w:p w14:paraId="6598923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15</w:t>
            </w:r>
          </w:p>
        </w:tc>
        <w:tc>
          <w:tcPr>
            <w:tcW w:w="2720" w:type="dxa"/>
            <w:tcBorders>
              <w:top w:val="nil"/>
              <w:left w:val="nil"/>
              <w:bottom w:val="single" w:sz="8" w:space="0" w:color="auto"/>
              <w:right w:val="single" w:sz="8" w:space="0" w:color="auto"/>
            </w:tcBorders>
            <w:shd w:val="clear" w:color="auto" w:fill="auto"/>
            <w:vAlign w:val="center"/>
            <w:hideMark/>
          </w:tcPr>
          <w:p w14:paraId="292E736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 xml:space="preserve">Opposite </w:t>
            </w:r>
            <w:proofErr w:type="spellStart"/>
            <w:r w:rsidRPr="004F0A21">
              <w:rPr>
                <w:rFonts w:ascii="Times New Roman" w:eastAsia="Times New Roman" w:hAnsi="Times New Roman" w:cs="Times New Roman"/>
                <w:color w:val="000000"/>
                <w:sz w:val="16"/>
                <w:szCs w:val="16"/>
              </w:rPr>
              <w:t>Baale</w:t>
            </w:r>
            <w:proofErr w:type="spellEnd"/>
            <w:r w:rsidRPr="004F0A21">
              <w:rPr>
                <w:rFonts w:ascii="Times New Roman" w:eastAsia="Times New Roman" w:hAnsi="Times New Roman" w:cs="Times New Roman"/>
                <w:color w:val="000000"/>
                <w:sz w:val="16"/>
                <w:szCs w:val="16"/>
              </w:rPr>
              <w:t xml:space="preserve"> palace (</w:t>
            </w:r>
            <w:proofErr w:type="spellStart"/>
            <w:r w:rsidRPr="004F0A21">
              <w:rPr>
                <w:rFonts w:ascii="Times New Roman" w:eastAsia="Times New Roman" w:hAnsi="Times New Roman" w:cs="Times New Roman"/>
                <w:color w:val="000000"/>
                <w:sz w:val="16"/>
                <w:szCs w:val="16"/>
              </w:rPr>
              <w:t>Ewu</w:t>
            </w:r>
            <w:proofErr w:type="spellEnd"/>
            <w:r w:rsidRPr="004F0A21">
              <w:rPr>
                <w:rFonts w:ascii="Times New Roman" w:eastAsia="Times New Roman" w:hAnsi="Times New Roman" w:cs="Times New Roman"/>
                <w:color w:val="000000"/>
                <w:sz w:val="16"/>
                <w:szCs w:val="16"/>
              </w:rPr>
              <w:t xml:space="preserve">-Ekiti)/loc </w:t>
            </w:r>
          </w:p>
        </w:tc>
        <w:tc>
          <w:tcPr>
            <w:tcW w:w="960" w:type="dxa"/>
            <w:tcBorders>
              <w:top w:val="nil"/>
              <w:left w:val="nil"/>
              <w:bottom w:val="single" w:sz="8" w:space="0" w:color="auto"/>
              <w:right w:val="single" w:sz="8" w:space="0" w:color="auto"/>
            </w:tcBorders>
            <w:shd w:val="clear" w:color="auto" w:fill="auto"/>
            <w:noWrap/>
            <w:hideMark/>
          </w:tcPr>
          <w:p w14:paraId="760E9A1F" w14:textId="77777777" w:rsidR="004F0A21" w:rsidRPr="004F0A21" w:rsidRDefault="004F0A21" w:rsidP="004F0A21">
            <w:pPr>
              <w:spacing w:after="0" w:line="240" w:lineRule="auto"/>
              <w:rPr>
                <w:rFonts w:ascii="Times New Roman" w:eastAsia="Times New Roman" w:hAnsi="Times New Roman" w:cs="Times New Roman"/>
                <w:color w:val="000000" w:themeColor="text1"/>
              </w:rPr>
            </w:pPr>
            <w:r w:rsidRPr="004F0A21">
              <w:rPr>
                <w:rFonts w:ascii="Times New Roman" w:eastAsia="Times New Roman" w:hAnsi="Times New Roman" w:cs="Times New Roman"/>
                <w:color w:val="000000" w:themeColor="text1"/>
              </w:rPr>
              <w:t>5°12¹28¹¹</w:t>
            </w:r>
          </w:p>
        </w:tc>
        <w:tc>
          <w:tcPr>
            <w:tcW w:w="960" w:type="dxa"/>
            <w:tcBorders>
              <w:top w:val="nil"/>
              <w:left w:val="nil"/>
              <w:bottom w:val="single" w:sz="8" w:space="0" w:color="auto"/>
              <w:right w:val="single" w:sz="8" w:space="0" w:color="auto"/>
            </w:tcBorders>
            <w:shd w:val="clear" w:color="auto" w:fill="auto"/>
            <w:vAlign w:val="center"/>
            <w:hideMark/>
          </w:tcPr>
          <w:p w14:paraId="293B97B1"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7°49¹53¹¹</w:t>
            </w:r>
          </w:p>
        </w:tc>
        <w:tc>
          <w:tcPr>
            <w:tcW w:w="520" w:type="dxa"/>
            <w:tcBorders>
              <w:top w:val="nil"/>
              <w:left w:val="nil"/>
              <w:bottom w:val="single" w:sz="8" w:space="0" w:color="auto"/>
              <w:right w:val="single" w:sz="8" w:space="0" w:color="auto"/>
            </w:tcBorders>
            <w:shd w:val="clear" w:color="auto" w:fill="auto"/>
            <w:noWrap/>
            <w:vAlign w:val="center"/>
            <w:hideMark/>
          </w:tcPr>
          <w:p w14:paraId="6E3721A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476</w:t>
            </w:r>
          </w:p>
        </w:tc>
        <w:tc>
          <w:tcPr>
            <w:tcW w:w="380" w:type="dxa"/>
            <w:tcBorders>
              <w:top w:val="nil"/>
              <w:left w:val="nil"/>
              <w:bottom w:val="single" w:sz="8" w:space="0" w:color="auto"/>
              <w:right w:val="single" w:sz="8" w:space="0" w:color="auto"/>
            </w:tcBorders>
            <w:shd w:val="clear" w:color="auto" w:fill="auto"/>
            <w:noWrap/>
            <w:vAlign w:val="center"/>
            <w:hideMark/>
          </w:tcPr>
          <w:p w14:paraId="541351B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&lt;20</w:t>
            </w:r>
          </w:p>
        </w:tc>
        <w:tc>
          <w:tcPr>
            <w:tcW w:w="480" w:type="dxa"/>
            <w:tcBorders>
              <w:top w:val="nil"/>
              <w:left w:val="nil"/>
              <w:bottom w:val="single" w:sz="8" w:space="0" w:color="auto"/>
              <w:right w:val="single" w:sz="8" w:space="0" w:color="auto"/>
            </w:tcBorders>
            <w:shd w:val="clear" w:color="auto" w:fill="auto"/>
            <w:noWrap/>
            <w:vAlign w:val="center"/>
            <w:hideMark/>
          </w:tcPr>
          <w:p w14:paraId="0432ED78"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25</w:t>
            </w:r>
          </w:p>
        </w:tc>
        <w:tc>
          <w:tcPr>
            <w:tcW w:w="300" w:type="dxa"/>
            <w:tcBorders>
              <w:top w:val="nil"/>
              <w:left w:val="nil"/>
              <w:bottom w:val="single" w:sz="8" w:space="0" w:color="auto"/>
              <w:right w:val="single" w:sz="8" w:space="0" w:color="auto"/>
            </w:tcBorders>
            <w:shd w:val="clear" w:color="auto" w:fill="auto"/>
            <w:noWrap/>
            <w:vAlign w:val="center"/>
            <w:hideMark/>
          </w:tcPr>
          <w:p w14:paraId="30CCBE1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3</w:t>
            </w:r>
          </w:p>
        </w:tc>
        <w:tc>
          <w:tcPr>
            <w:tcW w:w="320" w:type="dxa"/>
            <w:tcBorders>
              <w:top w:val="nil"/>
              <w:left w:val="nil"/>
              <w:bottom w:val="single" w:sz="8" w:space="0" w:color="auto"/>
              <w:right w:val="single" w:sz="8" w:space="0" w:color="auto"/>
            </w:tcBorders>
            <w:shd w:val="clear" w:color="auto" w:fill="auto"/>
            <w:noWrap/>
            <w:vAlign w:val="center"/>
            <w:hideMark/>
          </w:tcPr>
          <w:p w14:paraId="39A5DD69"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19</w:t>
            </w:r>
          </w:p>
        </w:tc>
        <w:tc>
          <w:tcPr>
            <w:tcW w:w="320" w:type="dxa"/>
            <w:tcBorders>
              <w:top w:val="nil"/>
              <w:left w:val="nil"/>
              <w:bottom w:val="single" w:sz="8" w:space="0" w:color="auto"/>
              <w:right w:val="single" w:sz="8" w:space="0" w:color="auto"/>
            </w:tcBorders>
            <w:shd w:val="clear" w:color="auto" w:fill="auto"/>
            <w:noWrap/>
            <w:vAlign w:val="center"/>
            <w:hideMark/>
          </w:tcPr>
          <w:p w14:paraId="2B2BE98D"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&lt;1</w:t>
            </w:r>
          </w:p>
        </w:tc>
        <w:tc>
          <w:tcPr>
            <w:tcW w:w="320" w:type="dxa"/>
            <w:tcBorders>
              <w:top w:val="nil"/>
              <w:left w:val="nil"/>
              <w:bottom w:val="single" w:sz="8" w:space="0" w:color="auto"/>
              <w:right w:val="single" w:sz="8" w:space="0" w:color="auto"/>
            </w:tcBorders>
            <w:shd w:val="clear" w:color="auto" w:fill="auto"/>
            <w:noWrap/>
            <w:vAlign w:val="center"/>
            <w:hideMark/>
          </w:tcPr>
          <w:p w14:paraId="4EAB88F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0</w:t>
            </w:r>
          </w:p>
        </w:tc>
        <w:tc>
          <w:tcPr>
            <w:tcW w:w="460" w:type="dxa"/>
            <w:tcBorders>
              <w:top w:val="nil"/>
              <w:left w:val="nil"/>
              <w:bottom w:val="single" w:sz="8" w:space="0" w:color="auto"/>
              <w:right w:val="single" w:sz="8" w:space="0" w:color="auto"/>
            </w:tcBorders>
            <w:shd w:val="clear" w:color="auto" w:fill="auto"/>
            <w:noWrap/>
            <w:vAlign w:val="center"/>
            <w:hideMark/>
          </w:tcPr>
          <w:p w14:paraId="25B2FF52"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6.9</w:t>
            </w:r>
          </w:p>
        </w:tc>
        <w:tc>
          <w:tcPr>
            <w:tcW w:w="420" w:type="dxa"/>
            <w:tcBorders>
              <w:top w:val="nil"/>
              <w:left w:val="nil"/>
              <w:bottom w:val="single" w:sz="8" w:space="0" w:color="auto"/>
              <w:right w:val="single" w:sz="8" w:space="0" w:color="auto"/>
            </w:tcBorders>
            <w:shd w:val="clear" w:color="auto" w:fill="auto"/>
            <w:noWrap/>
            <w:vAlign w:val="center"/>
            <w:hideMark/>
          </w:tcPr>
          <w:p w14:paraId="5EF9A31C"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25</w:t>
            </w:r>
          </w:p>
        </w:tc>
        <w:tc>
          <w:tcPr>
            <w:tcW w:w="360" w:type="dxa"/>
            <w:tcBorders>
              <w:top w:val="nil"/>
              <w:left w:val="nil"/>
              <w:bottom w:val="single" w:sz="8" w:space="0" w:color="auto"/>
              <w:right w:val="single" w:sz="8" w:space="0" w:color="auto"/>
            </w:tcBorders>
            <w:shd w:val="clear" w:color="auto" w:fill="auto"/>
            <w:noWrap/>
            <w:vAlign w:val="center"/>
            <w:hideMark/>
          </w:tcPr>
          <w:p w14:paraId="29F35D76"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7</w:t>
            </w:r>
          </w:p>
        </w:tc>
        <w:tc>
          <w:tcPr>
            <w:tcW w:w="440" w:type="dxa"/>
            <w:tcBorders>
              <w:top w:val="nil"/>
              <w:left w:val="nil"/>
              <w:bottom w:val="single" w:sz="8" w:space="0" w:color="auto"/>
              <w:right w:val="single" w:sz="8" w:space="0" w:color="auto"/>
            </w:tcBorders>
            <w:shd w:val="clear" w:color="auto" w:fill="auto"/>
            <w:noWrap/>
            <w:vAlign w:val="center"/>
            <w:hideMark/>
          </w:tcPr>
          <w:p w14:paraId="78554E1B" w14:textId="77777777" w:rsidR="004F0A21" w:rsidRPr="004F0A21" w:rsidRDefault="004F0A21" w:rsidP="004F0A21">
            <w:pPr>
              <w:spacing w:after="0" w:line="240" w:lineRule="auto"/>
              <w:jc w:val="both"/>
              <w:rPr>
                <w:rFonts w:ascii="Times New Roman" w:eastAsia="Times New Roman" w:hAnsi="Times New Roman" w:cs="Times New Roman"/>
                <w:color w:val="000000"/>
                <w:sz w:val="16"/>
                <w:szCs w:val="16"/>
              </w:rPr>
            </w:pPr>
            <w:r w:rsidRPr="004F0A21">
              <w:rPr>
                <w:rFonts w:ascii="Times New Roman" w:eastAsia="Times New Roman" w:hAnsi="Times New Roman" w:cs="Times New Roman"/>
                <w:color w:val="000000"/>
                <w:sz w:val="16"/>
                <w:szCs w:val="16"/>
              </w:rPr>
              <w:t>&lt;0.1</w:t>
            </w:r>
          </w:p>
        </w:tc>
      </w:tr>
    </w:tbl>
    <w:p w14:paraId="137B8B8A" w14:textId="2C944942" w:rsidR="00202C16" w:rsidRDefault="00202C16" w:rsidP="00FC5B7D">
      <w:pPr>
        <w:spacing w:line="240" w:lineRule="auto"/>
        <w:jc w:val="both"/>
        <w:rPr>
          <w:rFonts w:ascii="Times New Roman" w:hAnsi="Times New Roman" w:cs="Times New Roman"/>
          <w:sz w:val="24"/>
          <w:szCs w:val="24"/>
        </w:rPr>
      </w:pPr>
    </w:p>
    <w:p w14:paraId="1C80D25C" w14:textId="77777777" w:rsidR="008F24FD" w:rsidRDefault="008F24FD" w:rsidP="00CE2374">
      <w:pPr>
        <w:spacing w:line="240" w:lineRule="auto"/>
        <w:jc w:val="both"/>
        <w:rPr>
          <w:rFonts w:ascii="Times New Roman" w:eastAsia="Times New Roman" w:hAnsi="Times New Roman" w:cs="Times New Roman"/>
          <w:sz w:val="24"/>
          <w:szCs w:val="24"/>
        </w:rPr>
      </w:pPr>
    </w:p>
    <w:p w14:paraId="3C06CA96" w14:textId="53D7E534" w:rsidR="00085D03" w:rsidRPr="00CE2374" w:rsidRDefault="00E95F4C" w:rsidP="00CE2374">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4.10</w:t>
      </w:r>
      <w:r w:rsidR="00834D63">
        <w:rPr>
          <w:rFonts w:ascii="Times New Roman" w:eastAsia="Times New Roman" w:hAnsi="Times New Roman" w:cs="Times New Roman"/>
          <w:sz w:val="24"/>
          <w:szCs w:val="24"/>
        </w:rPr>
        <w:t xml:space="preserve"> </w:t>
      </w:r>
      <w:r w:rsidR="00F61E08" w:rsidRPr="00CE2374">
        <w:rPr>
          <w:rFonts w:ascii="Times New Roman" w:hAnsi="Times New Roman" w:cs="Times New Roman"/>
          <w:sz w:val="24"/>
          <w:szCs w:val="24"/>
        </w:rPr>
        <w:t>Multivariate</w:t>
      </w:r>
      <w:r w:rsidR="00085D03" w:rsidRPr="00CE2374">
        <w:rPr>
          <w:rFonts w:ascii="Times New Roman" w:hAnsi="Times New Roman" w:cs="Times New Roman"/>
          <w:sz w:val="24"/>
          <w:szCs w:val="24"/>
        </w:rPr>
        <w:t xml:space="preserve"> Statistics of the Trace Elements.</w:t>
      </w:r>
    </w:p>
    <w:p w14:paraId="6E562F8F" w14:textId="279E5C99" w:rsidR="00E95F4C" w:rsidRPr="00925848" w:rsidRDefault="00E95F4C" w:rsidP="00E95F4C">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4.10.1</w:t>
      </w:r>
      <w:r w:rsidRPr="00925848">
        <w:rPr>
          <w:rFonts w:ascii="Times New Roman" w:hAnsi="Times New Roman" w:cs="Times New Roman"/>
          <w:b/>
          <w:sz w:val="24"/>
          <w:szCs w:val="24"/>
        </w:rPr>
        <w:t xml:space="preserve"> </w:t>
      </w:r>
      <w:r>
        <w:rPr>
          <w:rFonts w:ascii="Times New Roman" w:hAnsi="Times New Roman" w:cs="Times New Roman"/>
          <w:b/>
          <w:sz w:val="24"/>
          <w:szCs w:val="24"/>
        </w:rPr>
        <w:t>Factor Analysis</w:t>
      </w:r>
    </w:p>
    <w:p w14:paraId="359C78BA" w14:textId="16D6A0B6" w:rsidR="004B50E7" w:rsidRDefault="004B50E7" w:rsidP="004B50E7">
      <w:pPr>
        <w:pStyle w:val="NormalWeb"/>
        <w:jc w:val="both"/>
      </w:pPr>
      <w:r>
        <w:t xml:space="preserve">The factor analysis in </w:t>
      </w:r>
      <w:r w:rsidRPr="007E081C">
        <w:rPr>
          <w:b/>
        </w:rPr>
        <w:t>Table 2</w:t>
      </w:r>
      <w:r>
        <w:t xml:space="preserve"> extracted five significant components with a cumulative variance of 93.87%, capturing most of the geochemical variability. Group I shows a strong association among Cu, Pb, Zn, Mn, and Fe, accounting for 35.24% of the variance, reflecting sulfide mineralization processes where these base metals co-precipitate from hydrothermal fluids under re</w:t>
      </w:r>
      <w:r w:rsidR="00E11089">
        <w:t>ducing conditions (</w:t>
      </w:r>
      <w:proofErr w:type="spellStart"/>
      <w:r>
        <w:t>Govett</w:t>
      </w:r>
      <w:proofErr w:type="spellEnd"/>
      <w:r>
        <w:t xml:space="preserve">, 1983). This enrichment suggests that the banded gneiss of Ora-Ekiti, granite gneiss of Orin-Ekiti, and banded gneiss of </w:t>
      </w:r>
      <w:proofErr w:type="spellStart"/>
      <w:r>
        <w:t>Iddo</w:t>
      </w:r>
      <w:proofErr w:type="spellEnd"/>
      <w:r>
        <w:t>-Ekiti may have undergone hydrothermal alteration</w:t>
      </w:r>
      <w:r w:rsidR="00603E68">
        <w:t>,</w:t>
      </w:r>
      <w:r>
        <w:t xml:space="preserve"> forming Cu–Pb–Zn–Mn–Fe mineralization. Groups II and III reveal a Pb–As–</w:t>
      </w:r>
      <w:proofErr w:type="spellStart"/>
      <w:r>
        <w:t>Rb</w:t>
      </w:r>
      <w:proofErr w:type="spellEnd"/>
      <w:r>
        <w:t xml:space="preserve"> association, contributing 24.74% of the variance, elements commonly used as pathfinders for sulfide and go</w:t>
      </w:r>
      <w:r w:rsidR="004E3CF8">
        <w:t>ld deposits (</w:t>
      </w:r>
      <w:proofErr w:type="spellStart"/>
      <w:r w:rsidR="004E3CF8" w:rsidRPr="004E3CF8">
        <w:rPr>
          <w:rStyle w:val="Strong"/>
          <w:rFonts w:eastAsiaTheme="majorEastAsia"/>
          <w:b w:val="0"/>
        </w:rPr>
        <w:t>Onyejiuwaka</w:t>
      </w:r>
      <w:proofErr w:type="spellEnd"/>
      <w:r w:rsidR="004E3CF8" w:rsidRPr="004E3CF8">
        <w:rPr>
          <w:rStyle w:val="Strong"/>
          <w:rFonts w:eastAsiaTheme="majorEastAsia"/>
          <w:b w:val="0"/>
        </w:rPr>
        <w:t xml:space="preserve"> &amp; </w:t>
      </w:r>
      <w:proofErr w:type="spellStart"/>
      <w:r w:rsidR="004E3CF8" w:rsidRPr="004E3CF8">
        <w:rPr>
          <w:rStyle w:val="Strong"/>
          <w:rFonts w:eastAsiaTheme="majorEastAsia"/>
          <w:b w:val="0"/>
        </w:rPr>
        <w:t>Nwokeabia</w:t>
      </w:r>
      <w:proofErr w:type="spellEnd"/>
      <w:r w:rsidR="004E3CF8" w:rsidRPr="004E3CF8">
        <w:rPr>
          <w:rStyle w:val="Strong"/>
          <w:rFonts w:eastAsiaTheme="majorEastAsia"/>
          <w:b w:val="0"/>
        </w:rPr>
        <w:t>, 2020</w:t>
      </w:r>
      <w:r>
        <w:t>), indicating hydrothermal remobilization and metasomatic enrichment along structural conduits. The As–Pb–</w:t>
      </w:r>
      <w:proofErr w:type="spellStart"/>
      <w:r>
        <w:t>Rb</w:t>
      </w:r>
      <w:proofErr w:type="spellEnd"/>
      <w:r>
        <w:t xml:space="preserve"> association implies chemically evolved fluids, likely derived from felsic magmatic sources or reworked basement rocks. Overall, the factor model confirms that mineralization in the area is structurally and hydrothermally controlled, with geochemical signatures characteristic of polymetallic sulfide systems within the Nigeri</w:t>
      </w:r>
      <w:r w:rsidR="005801A3">
        <w:t>an Basement Complex (</w:t>
      </w:r>
      <w:proofErr w:type="spellStart"/>
      <w:r w:rsidR="005801A3">
        <w:t>Olade</w:t>
      </w:r>
      <w:proofErr w:type="spellEnd"/>
      <w:r w:rsidR="005801A3">
        <w:t>, 2020</w:t>
      </w:r>
      <w:r>
        <w:t xml:space="preserve">; </w:t>
      </w:r>
      <w:proofErr w:type="spellStart"/>
      <w:r>
        <w:t>Rahaman</w:t>
      </w:r>
      <w:proofErr w:type="spellEnd"/>
      <w:r>
        <w:t>, 1988).</w:t>
      </w:r>
    </w:p>
    <w:p w14:paraId="6BBA983C" w14:textId="70F50D62" w:rsidR="00085D03" w:rsidRPr="00E95F4C" w:rsidRDefault="00E95F4C" w:rsidP="00E95F4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4.10.2</w:t>
      </w:r>
      <w:r w:rsidR="00E51530" w:rsidRPr="00925848">
        <w:rPr>
          <w:rFonts w:ascii="Times New Roman" w:hAnsi="Times New Roman" w:cs="Times New Roman"/>
          <w:b/>
          <w:sz w:val="24"/>
          <w:szCs w:val="24"/>
        </w:rPr>
        <w:t xml:space="preserve"> </w:t>
      </w:r>
      <w:r w:rsidR="00085D03" w:rsidRPr="00925848">
        <w:rPr>
          <w:rFonts w:ascii="Times New Roman" w:hAnsi="Times New Roman" w:cs="Times New Roman"/>
          <w:b/>
          <w:sz w:val="24"/>
          <w:szCs w:val="24"/>
        </w:rPr>
        <w:t>Factor Analysis</w:t>
      </w:r>
    </w:p>
    <w:p w14:paraId="4CD88BD2" w14:textId="418D59ED" w:rsidR="00085D03" w:rsidRPr="00CE2374" w:rsidRDefault="00085D03" w:rsidP="00CE2374">
      <w:pPr>
        <w:spacing w:line="240" w:lineRule="auto"/>
        <w:jc w:val="both"/>
        <w:rPr>
          <w:rFonts w:ascii="Times New Roman" w:hAnsi="Times New Roman" w:cs="Times New Roman"/>
          <w:sz w:val="24"/>
          <w:szCs w:val="24"/>
        </w:rPr>
      </w:pPr>
      <w:r w:rsidRPr="00CE2374">
        <w:rPr>
          <w:rFonts w:ascii="Times New Roman" w:hAnsi="Times New Roman" w:cs="Times New Roman"/>
          <w:sz w:val="24"/>
          <w:szCs w:val="24"/>
        </w:rPr>
        <w:t xml:space="preserve"> </w:t>
      </w:r>
      <w:r w:rsidRPr="00CE2374">
        <w:rPr>
          <w:rFonts w:ascii="Times New Roman" w:hAnsi="Times New Roman" w:cs="Times New Roman"/>
          <w:sz w:val="24"/>
          <w:szCs w:val="24"/>
          <w:lang w:val="en-GB"/>
        </w:rPr>
        <w:t xml:space="preserve">Factor analysis established the elemental associations within the rocks, </w:t>
      </w:r>
      <w:r w:rsidR="00DE2E86">
        <w:rPr>
          <w:rFonts w:ascii="Times New Roman" w:hAnsi="Times New Roman" w:cs="Times New Roman"/>
          <w:sz w:val="24"/>
          <w:szCs w:val="24"/>
          <w:lang w:val="en-GB"/>
        </w:rPr>
        <w:t>categorising</w:t>
      </w:r>
      <w:r w:rsidRPr="00CE2374">
        <w:rPr>
          <w:rFonts w:ascii="Times New Roman" w:hAnsi="Times New Roman" w:cs="Times New Roman"/>
          <w:sz w:val="24"/>
          <w:szCs w:val="24"/>
          <w:lang w:val="en-GB"/>
        </w:rPr>
        <w:t xml:space="preserve"> elements based on their role in the mineralization of host rocks and their function as pathfinder elements. The findings from the factor analysis of the rock samples are summarized in Table 7 below.</w:t>
      </w:r>
    </w:p>
    <w:p w14:paraId="1E12F143" w14:textId="74337B81" w:rsidR="00834D63" w:rsidRPr="00834D63" w:rsidRDefault="00834D63" w:rsidP="00834D63">
      <w:pPr>
        <w:tabs>
          <w:tab w:val="left" w:pos="10710"/>
        </w:tabs>
        <w:spacing w:line="240" w:lineRule="auto"/>
        <w:jc w:val="both"/>
        <w:rPr>
          <w:rFonts w:ascii="Times New Roman" w:hAnsi="Times New Roman" w:cs="Times New Roman"/>
          <w:sz w:val="24"/>
          <w:szCs w:val="24"/>
          <w:lang w:val="en-GB"/>
        </w:rPr>
      </w:pPr>
      <w:r w:rsidRPr="00E95F4C">
        <w:rPr>
          <w:rFonts w:ascii="Times New Roman" w:hAnsi="Times New Roman" w:cs="Times New Roman"/>
          <w:b/>
          <w:sz w:val="24"/>
          <w:szCs w:val="24"/>
          <w:lang w:val="en-GB"/>
        </w:rPr>
        <w:t xml:space="preserve">Table </w:t>
      </w:r>
      <w:bookmarkStart w:id="0" w:name="_Hlk191629636"/>
      <w:r w:rsidR="00E95F4C" w:rsidRPr="00E95F4C">
        <w:rPr>
          <w:rFonts w:ascii="Times New Roman" w:hAnsi="Times New Roman" w:cs="Times New Roman"/>
          <w:b/>
          <w:sz w:val="24"/>
          <w:szCs w:val="24"/>
          <w:lang w:val="en-GB"/>
        </w:rPr>
        <w:t>2</w:t>
      </w:r>
      <w:r w:rsidRPr="00834D63">
        <w:rPr>
          <w:rFonts w:ascii="Times New Roman" w:hAnsi="Times New Roman" w:cs="Times New Roman"/>
          <w:sz w:val="24"/>
          <w:szCs w:val="24"/>
          <w:lang w:val="en-GB"/>
        </w:rPr>
        <w:t xml:space="preserve">: </w:t>
      </w:r>
      <w:bookmarkStart w:id="1" w:name="_Hlk192326982"/>
      <w:r w:rsidRPr="00834D63">
        <w:rPr>
          <w:rFonts w:ascii="Times New Roman" w:hAnsi="Times New Roman" w:cs="Times New Roman"/>
          <w:sz w:val="24"/>
          <w:szCs w:val="24"/>
          <w:lang w:val="en-GB"/>
        </w:rPr>
        <w:t xml:space="preserve">Factor Analysis Result </w:t>
      </w:r>
      <w:bookmarkEnd w:id="0"/>
      <w:bookmarkEnd w:id="1"/>
    </w:p>
    <w:tbl>
      <w:tblPr>
        <w:tblStyle w:val="TableGrid0"/>
        <w:tblW w:w="0" w:type="auto"/>
        <w:tblInd w:w="265" w:type="dxa"/>
        <w:tblLook w:val="04A0" w:firstRow="1" w:lastRow="0" w:firstColumn="1" w:lastColumn="0" w:noHBand="0" w:noVBand="1"/>
      </w:tblPr>
      <w:tblGrid>
        <w:gridCol w:w="1220"/>
        <w:gridCol w:w="1108"/>
        <w:gridCol w:w="7"/>
        <w:gridCol w:w="1117"/>
        <w:gridCol w:w="1115"/>
        <w:gridCol w:w="1115"/>
        <w:gridCol w:w="1120"/>
        <w:gridCol w:w="1473"/>
      </w:tblGrid>
      <w:tr w:rsidR="00834D63" w:rsidRPr="00090112" w14:paraId="038128CA" w14:textId="77777777" w:rsidTr="00834D63">
        <w:tc>
          <w:tcPr>
            <w:tcW w:w="1220" w:type="dxa"/>
          </w:tcPr>
          <w:p w14:paraId="57BE56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Variables</w:t>
            </w:r>
          </w:p>
        </w:tc>
        <w:tc>
          <w:tcPr>
            <w:tcW w:w="1115" w:type="dxa"/>
            <w:gridSpan w:val="2"/>
          </w:tcPr>
          <w:p w14:paraId="3C00D1D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Comp 1</w:t>
            </w:r>
          </w:p>
        </w:tc>
        <w:tc>
          <w:tcPr>
            <w:tcW w:w="1117" w:type="dxa"/>
          </w:tcPr>
          <w:p w14:paraId="067DE13F"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11</w:t>
            </w:r>
          </w:p>
        </w:tc>
        <w:tc>
          <w:tcPr>
            <w:tcW w:w="1115" w:type="dxa"/>
          </w:tcPr>
          <w:p w14:paraId="2636E8B5"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111</w:t>
            </w:r>
          </w:p>
        </w:tc>
        <w:tc>
          <w:tcPr>
            <w:tcW w:w="1115" w:type="dxa"/>
          </w:tcPr>
          <w:p w14:paraId="238A31C9"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1V</w:t>
            </w:r>
          </w:p>
        </w:tc>
        <w:tc>
          <w:tcPr>
            <w:tcW w:w="1120" w:type="dxa"/>
          </w:tcPr>
          <w:p w14:paraId="07A4B12F"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r w:rsidRPr="00090112">
              <w:rPr>
                <w:rFonts w:ascii="Times New Roman" w:hAnsi="Times New Roman" w:cs="Times New Roman"/>
                <w:sz w:val="16"/>
                <w:szCs w:val="16"/>
                <w:lang w:val="en-GB"/>
              </w:rPr>
              <w:t>Comp V</w:t>
            </w:r>
          </w:p>
        </w:tc>
        <w:tc>
          <w:tcPr>
            <w:tcW w:w="1473" w:type="dxa"/>
          </w:tcPr>
          <w:p w14:paraId="542DFE4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Communalities</w:t>
            </w:r>
          </w:p>
        </w:tc>
      </w:tr>
      <w:tr w:rsidR="00834D63" w:rsidRPr="00090112" w14:paraId="624C5086" w14:textId="77777777" w:rsidTr="00834D63">
        <w:tc>
          <w:tcPr>
            <w:tcW w:w="1220" w:type="dxa"/>
          </w:tcPr>
          <w:p w14:paraId="0D0680F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Cu</w:t>
            </w:r>
          </w:p>
        </w:tc>
        <w:tc>
          <w:tcPr>
            <w:tcW w:w="1115" w:type="dxa"/>
            <w:gridSpan w:val="2"/>
          </w:tcPr>
          <w:p w14:paraId="4D8D297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.761</w:t>
            </w:r>
          </w:p>
        </w:tc>
        <w:tc>
          <w:tcPr>
            <w:tcW w:w="1117" w:type="dxa"/>
          </w:tcPr>
          <w:p w14:paraId="3B7C8F80"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15" w:type="dxa"/>
          </w:tcPr>
          <w:p w14:paraId="3499F01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15" w:type="dxa"/>
          </w:tcPr>
          <w:p w14:paraId="109CDDAE"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6CF11395"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77891DE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.920</w:t>
            </w:r>
          </w:p>
        </w:tc>
      </w:tr>
      <w:tr w:rsidR="00834D63" w:rsidRPr="00090112" w14:paraId="701E56DC" w14:textId="77777777" w:rsidTr="00834D63">
        <w:tc>
          <w:tcPr>
            <w:tcW w:w="1220" w:type="dxa"/>
          </w:tcPr>
          <w:p w14:paraId="24BA146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Pb</w:t>
            </w:r>
          </w:p>
        </w:tc>
        <w:tc>
          <w:tcPr>
            <w:tcW w:w="1115" w:type="dxa"/>
            <w:gridSpan w:val="2"/>
          </w:tcPr>
          <w:p w14:paraId="11AD603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.562</w:t>
            </w:r>
          </w:p>
        </w:tc>
        <w:tc>
          <w:tcPr>
            <w:tcW w:w="1117" w:type="dxa"/>
          </w:tcPr>
          <w:p w14:paraId="43515C6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.700</w:t>
            </w:r>
          </w:p>
        </w:tc>
        <w:tc>
          <w:tcPr>
            <w:tcW w:w="1115" w:type="dxa"/>
          </w:tcPr>
          <w:p w14:paraId="2351976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.267</w:t>
            </w:r>
          </w:p>
        </w:tc>
        <w:tc>
          <w:tcPr>
            <w:tcW w:w="1115" w:type="dxa"/>
          </w:tcPr>
          <w:p w14:paraId="0C2A4408"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4C8092D0"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7B8D205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.930</w:t>
            </w:r>
          </w:p>
        </w:tc>
      </w:tr>
      <w:tr w:rsidR="00834D63" w:rsidRPr="00090112" w14:paraId="0BF04592" w14:textId="77777777" w:rsidTr="00834D63">
        <w:tc>
          <w:tcPr>
            <w:tcW w:w="1220" w:type="dxa"/>
          </w:tcPr>
          <w:p w14:paraId="56F72B0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Zn</w:t>
            </w:r>
          </w:p>
        </w:tc>
        <w:tc>
          <w:tcPr>
            <w:tcW w:w="1115" w:type="dxa"/>
            <w:gridSpan w:val="2"/>
          </w:tcPr>
          <w:p w14:paraId="633ACE8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.656</w:t>
            </w:r>
          </w:p>
        </w:tc>
        <w:tc>
          <w:tcPr>
            <w:tcW w:w="1117" w:type="dxa"/>
          </w:tcPr>
          <w:p w14:paraId="621154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.302</w:t>
            </w:r>
          </w:p>
        </w:tc>
        <w:tc>
          <w:tcPr>
            <w:tcW w:w="1115" w:type="dxa"/>
          </w:tcPr>
          <w:p w14:paraId="4DD2561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193E2C6B"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120" w:type="dxa"/>
          </w:tcPr>
          <w:p w14:paraId="013AB9D9"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44F87D6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.924</w:t>
            </w:r>
          </w:p>
        </w:tc>
      </w:tr>
      <w:tr w:rsidR="00834D63" w:rsidRPr="00090112" w14:paraId="1AEEAFB3" w14:textId="77777777" w:rsidTr="00834D63">
        <w:tc>
          <w:tcPr>
            <w:tcW w:w="1220" w:type="dxa"/>
          </w:tcPr>
          <w:p w14:paraId="1BA9ACD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Co</w:t>
            </w:r>
          </w:p>
        </w:tc>
        <w:tc>
          <w:tcPr>
            <w:tcW w:w="1115" w:type="dxa"/>
            <w:gridSpan w:val="2"/>
          </w:tcPr>
          <w:p w14:paraId="57593D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15AA7E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8CF4B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537EFDA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.553</w:t>
            </w:r>
          </w:p>
        </w:tc>
        <w:tc>
          <w:tcPr>
            <w:tcW w:w="1120" w:type="dxa"/>
          </w:tcPr>
          <w:p w14:paraId="49D4BD0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016501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.910</w:t>
            </w:r>
          </w:p>
        </w:tc>
      </w:tr>
      <w:tr w:rsidR="00834D63" w:rsidRPr="00090112" w14:paraId="27DCB069" w14:textId="77777777" w:rsidTr="00834D63">
        <w:tc>
          <w:tcPr>
            <w:tcW w:w="1220" w:type="dxa"/>
          </w:tcPr>
          <w:p w14:paraId="51D734A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Mn</w:t>
            </w:r>
          </w:p>
        </w:tc>
        <w:tc>
          <w:tcPr>
            <w:tcW w:w="1115" w:type="dxa"/>
            <w:gridSpan w:val="2"/>
          </w:tcPr>
          <w:p w14:paraId="480AD83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.772</w:t>
            </w:r>
          </w:p>
        </w:tc>
        <w:tc>
          <w:tcPr>
            <w:tcW w:w="1117" w:type="dxa"/>
          </w:tcPr>
          <w:p w14:paraId="6315C8B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55C0FA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.321</w:t>
            </w:r>
          </w:p>
        </w:tc>
        <w:tc>
          <w:tcPr>
            <w:tcW w:w="1115" w:type="dxa"/>
          </w:tcPr>
          <w:p w14:paraId="676275C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.136</w:t>
            </w:r>
          </w:p>
        </w:tc>
        <w:tc>
          <w:tcPr>
            <w:tcW w:w="1120" w:type="dxa"/>
          </w:tcPr>
          <w:p w14:paraId="474CE49A"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6BEAC03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.913</w:t>
            </w:r>
          </w:p>
        </w:tc>
      </w:tr>
      <w:tr w:rsidR="00834D63" w:rsidRPr="00090112" w14:paraId="767F9CA6" w14:textId="77777777" w:rsidTr="00834D63">
        <w:tc>
          <w:tcPr>
            <w:tcW w:w="1220" w:type="dxa"/>
          </w:tcPr>
          <w:p w14:paraId="5868690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Fe</w:t>
            </w:r>
          </w:p>
        </w:tc>
        <w:tc>
          <w:tcPr>
            <w:tcW w:w="1115" w:type="dxa"/>
            <w:gridSpan w:val="2"/>
          </w:tcPr>
          <w:p w14:paraId="3893582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.778</w:t>
            </w:r>
          </w:p>
        </w:tc>
        <w:tc>
          <w:tcPr>
            <w:tcW w:w="1117" w:type="dxa"/>
          </w:tcPr>
          <w:p w14:paraId="07A921F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7E87CB4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3A8D590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.195</w:t>
            </w:r>
          </w:p>
        </w:tc>
        <w:tc>
          <w:tcPr>
            <w:tcW w:w="1120" w:type="dxa"/>
          </w:tcPr>
          <w:p w14:paraId="5B9C2D7D" w14:textId="77777777" w:rsidR="00834D63" w:rsidRPr="00090112" w:rsidRDefault="00834D63" w:rsidP="00834D63">
            <w:pPr>
              <w:tabs>
                <w:tab w:val="left" w:pos="10710"/>
              </w:tabs>
              <w:spacing w:line="240" w:lineRule="auto"/>
              <w:jc w:val="both"/>
              <w:rPr>
                <w:rFonts w:ascii="Times New Roman" w:hAnsi="Times New Roman" w:cs="Times New Roman"/>
                <w:b/>
                <w:sz w:val="16"/>
                <w:szCs w:val="16"/>
                <w:lang w:val="en-GB"/>
              </w:rPr>
            </w:pPr>
          </w:p>
        </w:tc>
        <w:tc>
          <w:tcPr>
            <w:tcW w:w="1473" w:type="dxa"/>
          </w:tcPr>
          <w:p w14:paraId="118A021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.986</w:t>
            </w:r>
          </w:p>
        </w:tc>
      </w:tr>
      <w:tr w:rsidR="00834D63" w:rsidRPr="00090112" w14:paraId="655DD45E" w14:textId="77777777" w:rsidTr="00834D63">
        <w:tc>
          <w:tcPr>
            <w:tcW w:w="1220" w:type="dxa"/>
          </w:tcPr>
          <w:p w14:paraId="18A97A2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As</w:t>
            </w:r>
          </w:p>
        </w:tc>
        <w:tc>
          <w:tcPr>
            <w:tcW w:w="1115" w:type="dxa"/>
            <w:gridSpan w:val="2"/>
          </w:tcPr>
          <w:p w14:paraId="38BFE8B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3550417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.435</w:t>
            </w:r>
          </w:p>
        </w:tc>
        <w:tc>
          <w:tcPr>
            <w:tcW w:w="1115" w:type="dxa"/>
          </w:tcPr>
          <w:p w14:paraId="62EC9C3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.219</w:t>
            </w:r>
          </w:p>
        </w:tc>
        <w:tc>
          <w:tcPr>
            <w:tcW w:w="1115" w:type="dxa"/>
          </w:tcPr>
          <w:p w14:paraId="2A32D5D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.563</w:t>
            </w:r>
          </w:p>
        </w:tc>
        <w:tc>
          <w:tcPr>
            <w:tcW w:w="1120" w:type="dxa"/>
          </w:tcPr>
          <w:p w14:paraId="7B42280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.585</w:t>
            </w:r>
          </w:p>
        </w:tc>
        <w:tc>
          <w:tcPr>
            <w:tcW w:w="1473" w:type="dxa"/>
          </w:tcPr>
          <w:p w14:paraId="340600E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.908</w:t>
            </w:r>
          </w:p>
        </w:tc>
      </w:tr>
      <w:tr w:rsidR="00834D63" w:rsidRPr="00090112" w14:paraId="4BD6438C" w14:textId="77777777" w:rsidTr="00834D63">
        <w:tc>
          <w:tcPr>
            <w:tcW w:w="1220" w:type="dxa"/>
          </w:tcPr>
          <w:p w14:paraId="5BA8FF4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Rb</w:t>
            </w:r>
            <w:proofErr w:type="spellEnd"/>
          </w:p>
        </w:tc>
        <w:tc>
          <w:tcPr>
            <w:tcW w:w="1115" w:type="dxa"/>
            <w:gridSpan w:val="2"/>
          </w:tcPr>
          <w:p w14:paraId="7D570F0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7" w:type="dxa"/>
          </w:tcPr>
          <w:p w14:paraId="0FE95D0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.551</w:t>
            </w:r>
          </w:p>
        </w:tc>
        <w:tc>
          <w:tcPr>
            <w:tcW w:w="1115" w:type="dxa"/>
          </w:tcPr>
          <w:p w14:paraId="06A1F62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.739</w:t>
            </w:r>
          </w:p>
        </w:tc>
        <w:tc>
          <w:tcPr>
            <w:tcW w:w="1115" w:type="dxa"/>
          </w:tcPr>
          <w:p w14:paraId="0E6D53F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133B191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5D3EC34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.973</w:t>
            </w:r>
          </w:p>
        </w:tc>
      </w:tr>
      <w:tr w:rsidR="00834D63" w:rsidRPr="00090112" w14:paraId="0580B134" w14:textId="77777777" w:rsidTr="00834D63">
        <w:tc>
          <w:tcPr>
            <w:tcW w:w="1220" w:type="dxa"/>
          </w:tcPr>
          <w:p w14:paraId="75EA3A0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Ni</w:t>
            </w:r>
          </w:p>
        </w:tc>
        <w:tc>
          <w:tcPr>
            <w:tcW w:w="1115" w:type="dxa"/>
            <w:gridSpan w:val="2"/>
          </w:tcPr>
          <w:p w14:paraId="35C04B0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.586</w:t>
            </w:r>
          </w:p>
        </w:tc>
        <w:tc>
          <w:tcPr>
            <w:tcW w:w="1117" w:type="dxa"/>
          </w:tcPr>
          <w:p w14:paraId="2D0A049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745FA4B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143E1A3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2D80192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2650D17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.866</w:t>
            </w:r>
          </w:p>
        </w:tc>
      </w:tr>
      <w:tr w:rsidR="00834D63" w:rsidRPr="00090112" w14:paraId="2E333EBC" w14:textId="77777777" w:rsidTr="00834D63">
        <w:tc>
          <w:tcPr>
            <w:tcW w:w="1220" w:type="dxa"/>
          </w:tcPr>
          <w:p w14:paraId="351ACBB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Yr</w:t>
            </w:r>
            <w:proofErr w:type="spellEnd"/>
          </w:p>
        </w:tc>
        <w:tc>
          <w:tcPr>
            <w:tcW w:w="1115" w:type="dxa"/>
            <w:gridSpan w:val="2"/>
          </w:tcPr>
          <w:p w14:paraId="6007062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.513</w:t>
            </w:r>
          </w:p>
        </w:tc>
        <w:tc>
          <w:tcPr>
            <w:tcW w:w="1117" w:type="dxa"/>
          </w:tcPr>
          <w:p w14:paraId="0884B12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.623</w:t>
            </w:r>
          </w:p>
        </w:tc>
        <w:tc>
          <w:tcPr>
            <w:tcW w:w="1115" w:type="dxa"/>
          </w:tcPr>
          <w:p w14:paraId="658C357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EEB5D4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.202</w:t>
            </w:r>
          </w:p>
        </w:tc>
        <w:tc>
          <w:tcPr>
            <w:tcW w:w="1120" w:type="dxa"/>
          </w:tcPr>
          <w:p w14:paraId="3666919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17EB053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.958</w:t>
            </w:r>
          </w:p>
        </w:tc>
      </w:tr>
      <w:tr w:rsidR="00834D63" w:rsidRPr="00090112" w14:paraId="68CBFA54" w14:textId="77777777" w:rsidTr="00834D63">
        <w:tc>
          <w:tcPr>
            <w:tcW w:w="1220" w:type="dxa"/>
          </w:tcPr>
          <w:p w14:paraId="7EFA778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roofErr w:type="spellStart"/>
            <w:r w:rsidRPr="00090112">
              <w:rPr>
                <w:rFonts w:ascii="Times New Roman" w:hAnsi="Times New Roman" w:cs="Times New Roman"/>
                <w:sz w:val="16"/>
                <w:szCs w:val="16"/>
                <w:lang w:val="en-GB"/>
              </w:rPr>
              <w:t>Zr</w:t>
            </w:r>
            <w:proofErr w:type="spellEnd"/>
          </w:p>
        </w:tc>
        <w:tc>
          <w:tcPr>
            <w:tcW w:w="1115" w:type="dxa"/>
            <w:gridSpan w:val="2"/>
          </w:tcPr>
          <w:p w14:paraId="69C86F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.487</w:t>
            </w:r>
          </w:p>
        </w:tc>
        <w:tc>
          <w:tcPr>
            <w:tcW w:w="1117" w:type="dxa"/>
          </w:tcPr>
          <w:p w14:paraId="497BAB7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.674</w:t>
            </w:r>
          </w:p>
        </w:tc>
        <w:tc>
          <w:tcPr>
            <w:tcW w:w="1115" w:type="dxa"/>
          </w:tcPr>
          <w:p w14:paraId="286F08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46A1DBB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.117</w:t>
            </w:r>
          </w:p>
        </w:tc>
        <w:tc>
          <w:tcPr>
            <w:tcW w:w="1120" w:type="dxa"/>
          </w:tcPr>
          <w:p w14:paraId="4A75D65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473" w:type="dxa"/>
          </w:tcPr>
          <w:p w14:paraId="25AC948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.924</w:t>
            </w:r>
          </w:p>
        </w:tc>
      </w:tr>
      <w:tr w:rsidR="00834D63" w:rsidRPr="00090112" w14:paraId="699617F9" w14:textId="77777777" w:rsidTr="00834D63">
        <w:tc>
          <w:tcPr>
            <w:tcW w:w="1220" w:type="dxa"/>
          </w:tcPr>
          <w:p w14:paraId="744F542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Mo</w:t>
            </w:r>
          </w:p>
        </w:tc>
        <w:tc>
          <w:tcPr>
            <w:tcW w:w="1115" w:type="dxa"/>
            <w:gridSpan w:val="2"/>
          </w:tcPr>
          <w:p w14:paraId="225D8FF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.260</w:t>
            </w:r>
          </w:p>
        </w:tc>
        <w:tc>
          <w:tcPr>
            <w:tcW w:w="1117" w:type="dxa"/>
          </w:tcPr>
          <w:p w14:paraId="7A68474C"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.252</w:t>
            </w:r>
          </w:p>
        </w:tc>
        <w:tc>
          <w:tcPr>
            <w:tcW w:w="1115" w:type="dxa"/>
          </w:tcPr>
          <w:p w14:paraId="0D842FA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.013</w:t>
            </w:r>
          </w:p>
        </w:tc>
        <w:tc>
          <w:tcPr>
            <w:tcW w:w="1115" w:type="dxa"/>
          </w:tcPr>
          <w:p w14:paraId="232451F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20" w:type="dxa"/>
          </w:tcPr>
          <w:p w14:paraId="43692ABA"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.751</w:t>
            </w:r>
          </w:p>
        </w:tc>
        <w:tc>
          <w:tcPr>
            <w:tcW w:w="1473" w:type="dxa"/>
          </w:tcPr>
          <w:p w14:paraId="3498EBA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.941</w:t>
            </w:r>
          </w:p>
        </w:tc>
      </w:tr>
      <w:tr w:rsidR="00834D63" w:rsidRPr="00090112" w14:paraId="051272DB" w14:textId="77777777" w:rsidTr="00834D63">
        <w:tc>
          <w:tcPr>
            <w:tcW w:w="1220" w:type="dxa"/>
          </w:tcPr>
          <w:p w14:paraId="3E229A4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Al</w:t>
            </w:r>
          </w:p>
        </w:tc>
        <w:tc>
          <w:tcPr>
            <w:tcW w:w="1115" w:type="dxa"/>
            <w:gridSpan w:val="2"/>
          </w:tcPr>
          <w:p w14:paraId="50856212"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.922</w:t>
            </w:r>
          </w:p>
        </w:tc>
        <w:tc>
          <w:tcPr>
            <w:tcW w:w="1117" w:type="dxa"/>
          </w:tcPr>
          <w:p w14:paraId="281022E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p>
        </w:tc>
        <w:tc>
          <w:tcPr>
            <w:tcW w:w="1115" w:type="dxa"/>
          </w:tcPr>
          <w:p w14:paraId="0E18EED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.324</w:t>
            </w:r>
          </w:p>
        </w:tc>
        <w:tc>
          <w:tcPr>
            <w:tcW w:w="1115" w:type="dxa"/>
          </w:tcPr>
          <w:p w14:paraId="6D904510"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.124</w:t>
            </w:r>
          </w:p>
        </w:tc>
        <w:tc>
          <w:tcPr>
            <w:tcW w:w="1120" w:type="dxa"/>
          </w:tcPr>
          <w:p w14:paraId="52B65A2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.048</w:t>
            </w:r>
          </w:p>
        </w:tc>
        <w:tc>
          <w:tcPr>
            <w:tcW w:w="1473" w:type="dxa"/>
          </w:tcPr>
          <w:p w14:paraId="38ADF811"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.988</w:t>
            </w:r>
          </w:p>
        </w:tc>
      </w:tr>
      <w:tr w:rsidR="00834D63" w:rsidRPr="00090112" w14:paraId="44980EF4" w14:textId="77777777" w:rsidTr="00834D63">
        <w:tc>
          <w:tcPr>
            <w:tcW w:w="1220" w:type="dxa"/>
          </w:tcPr>
          <w:p w14:paraId="2FCCE4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Na</w:t>
            </w:r>
          </w:p>
        </w:tc>
        <w:tc>
          <w:tcPr>
            <w:tcW w:w="1115" w:type="dxa"/>
            <w:gridSpan w:val="2"/>
          </w:tcPr>
          <w:p w14:paraId="6262D04E"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.772</w:t>
            </w:r>
          </w:p>
        </w:tc>
        <w:tc>
          <w:tcPr>
            <w:tcW w:w="1117" w:type="dxa"/>
          </w:tcPr>
          <w:p w14:paraId="03DE237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.098</w:t>
            </w:r>
          </w:p>
        </w:tc>
        <w:tc>
          <w:tcPr>
            <w:tcW w:w="1115" w:type="dxa"/>
          </w:tcPr>
          <w:p w14:paraId="7C0371FB"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.601</w:t>
            </w:r>
          </w:p>
        </w:tc>
        <w:tc>
          <w:tcPr>
            <w:tcW w:w="1115" w:type="dxa"/>
          </w:tcPr>
          <w:p w14:paraId="2B389DA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.078</w:t>
            </w:r>
          </w:p>
        </w:tc>
        <w:tc>
          <w:tcPr>
            <w:tcW w:w="1120" w:type="dxa"/>
          </w:tcPr>
          <w:p w14:paraId="3604BFB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.136</w:t>
            </w:r>
          </w:p>
        </w:tc>
        <w:tc>
          <w:tcPr>
            <w:tcW w:w="1473" w:type="dxa"/>
          </w:tcPr>
          <w:p w14:paraId="6F3AFA0F"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.991</w:t>
            </w:r>
          </w:p>
        </w:tc>
      </w:tr>
      <w:tr w:rsidR="00834D63" w:rsidRPr="00090112" w14:paraId="673C9807" w14:textId="77777777" w:rsidTr="00834D63">
        <w:tblPrEx>
          <w:tblLook w:val="0000" w:firstRow="0" w:lastRow="0" w:firstColumn="0" w:lastColumn="0" w:noHBand="0" w:noVBand="0"/>
        </w:tblPrEx>
        <w:trPr>
          <w:gridAfter w:val="1"/>
          <w:wAfter w:w="1473" w:type="dxa"/>
          <w:trHeight w:val="340"/>
        </w:trPr>
        <w:tc>
          <w:tcPr>
            <w:tcW w:w="1220" w:type="dxa"/>
          </w:tcPr>
          <w:p w14:paraId="18828A1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EV</w:t>
            </w:r>
          </w:p>
        </w:tc>
        <w:tc>
          <w:tcPr>
            <w:tcW w:w="1108" w:type="dxa"/>
            <w:tcBorders>
              <w:top w:val="nil"/>
              <w:bottom w:val="single" w:sz="4" w:space="0" w:color="auto"/>
            </w:tcBorders>
            <w:shd w:val="clear" w:color="auto" w:fill="auto"/>
          </w:tcPr>
          <w:p w14:paraId="62F7AFC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4.93</w:t>
            </w:r>
          </w:p>
        </w:tc>
        <w:tc>
          <w:tcPr>
            <w:tcW w:w="1124" w:type="dxa"/>
            <w:gridSpan w:val="2"/>
            <w:tcBorders>
              <w:top w:val="nil"/>
              <w:bottom w:val="single" w:sz="4" w:space="0" w:color="auto"/>
            </w:tcBorders>
            <w:shd w:val="clear" w:color="auto" w:fill="auto"/>
          </w:tcPr>
          <w:p w14:paraId="53202E74"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3.46</w:t>
            </w:r>
          </w:p>
        </w:tc>
        <w:tc>
          <w:tcPr>
            <w:tcW w:w="1115" w:type="dxa"/>
            <w:tcBorders>
              <w:top w:val="nil"/>
              <w:bottom w:val="single" w:sz="4" w:space="0" w:color="auto"/>
            </w:tcBorders>
            <w:shd w:val="clear" w:color="auto" w:fill="auto"/>
          </w:tcPr>
          <w:p w14:paraId="14A2EFF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2.25</w:t>
            </w:r>
          </w:p>
        </w:tc>
        <w:tc>
          <w:tcPr>
            <w:tcW w:w="1115" w:type="dxa"/>
            <w:tcBorders>
              <w:top w:val="nil"/>
              <w:bottom w:val="single" w:sz="4" w:space="0" w:color="auto"/>
            </w:tcBorders>
            <w:shd w:val="clear" w:color="auto" w:fill="auto"/>
          </w:tcPr>
          <w:p w14:paraId="49DC5F5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1.34</w:t>
            </w:r>
          </w:p>
        </w:tc>
        <w:tc>
          <w:tcPr>
            <w:tcW w:w="1120" w:type="dxa"/>
            <w:tcBorders>
              <w:top w:val="nil"/>
              <w:bottom w:val="single" w:sz="4" w:space="0" w:color="auto"/>
            </w:tcBorders>
            <w:shd w:val="clear" w:color="auto" w:fill="auto"/>
          </w:tcPr>
          <w:p w14:paraId="2642AEE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1.16</w:t>
            </w:r>
          </w:p>
        </w:tc>
      </w:tr>
      <w:tr w:rsidR="00834D63" w:rsidRPr="00090112" w14:paraId="76C7689E" w14:textId="77777777" w:rsidTr="00834D63">
        <w:tblPrEx>
          <w:tblLook w:val="0000" w:firstRow="0" w:lastRow="0" w:firstColumn="0" w:lastColumn="0" w:noHBand="0" w:noVBand="0"/>
        </w:tblPrEx>
        <w:trPr>
          <w:gridAfter w:val="1"/>
          <w:wAfter w:w="1473" w:type="dxa"/>
          <w:trHeight w:val="340"/>
        </w:trPr>
        <w:tc>
          <w:tcPr>
            <w:tcW w:w="1220" w:type="dxa"/>
          </w:tcPr>
          <w:p w14:paraId="1AA122A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VAR (%)</w:t>
            </w:r>
          </w:p>
        </w:tc>
        <w:tc>
          <w:tcPr>
            <w:tcW w:w="1108" w:type="dxa"/>
            <w:tcBorders>
              <w:top w:val="nil"/>
              <w:bottom w:val="single" w:sz="4" w:space="0" w:color="auto"/>
            </w:tcBorders>
            <w:shd w:val="clear" w:color="auto" w:fill="auto"/>
          </w:tcPr>
          <w:p w14:paraId="32BB3FE7"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35.24</w:t>
            </w:r>
          </w:p>
        </w:tc>
        <w:tc>
          <w:tcPr>
            <w:tcW w:w="1124" w:type="dxa"/>
            <w:gridSpan w:val="2"/>
            <w:tcBorders>
              <w:top w:val="nil"/>
              <w:bottom w:val="single" w:sz="4" w:space="0" w:color="auto"/>
            </w:tcBorders>
            <w:shd w:val="clear" w:color="auto" w:fill="auto"/>
          </w:tcPr>
          <w:p w14:paraId="548F559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24.74</w:t>
            </w:r>
          </w:p>
        </w:tc>
        <w:tc>
          <w:tcPr>
            <w:tcW w:w="1115" w:type="dxa"/>
            <w:tcBorders>
              <w:top w:val="nil"/>
              <w:bottom w:val="single" w:sz="4" w:space="0" w:color="auto"/>
            </w:tcBorders>
            <w:shd w:val="clear" w:color="auto" w:fill="auto"/>
          </w:tcPr>
          <w:p w14:paraId="19D33F1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16.09</w:t>
            </w:r>
          </w:p>
        </w:tc>
        <w:tc>
          <w:tcPr>
            <w:tcW w:w="1115" w:type="dxa"/>
            <w:tcBorders>
              <w:top w:val="nil"/>
              <w:bottom w:val="single" w:sz="4" w:space="0" w:color="auto"/>
            </w:tcBorders>
            <w:shd w:val="clear" w:color="auto" w:fill="auto"/>
          </w:tcPr>
          <w:p w14:paraId="58277EBD"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9.55</w:t>
            </w:r>
          </w:p>
        </w:tc>
        <w:tc>
          <w:tcPr>
            <w:tcW w:w="1120" w:type="dxa"/>
            <w:tcBorders>
              <w:top w:val="nil"/>
              <w:bottom w:val="single" w:sz="4" w:space="0" w:color="auto"/>
            </w:tcBorders>
            <w:shd w:val="clear" w:color="auto" w:fill="auto"/>
          </w:tcPr>
          <w:p w14:paraId="7E35F36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8.25</w:t>
            </w:r>
          </w:p>
        </w:tc>
      </w:tr>
      <w:tr w:rsidR="00834D63" w:rsidRPr="00090112" w14:paraId="0A977DC2" w14:textId="77777777" w:rsidTr="00834D63">
        <w:tblPrEx>
          <w:tblLook w:val="0000" w:firstRow="0" w:lastRow="0" w:firstColumn="0" w:lastColumn="0" w:noHBand="0" w:noVBand="0"/>
        </w:tblPrEx>
        <w:trPr>
          <w:gridAfter w:val="1"/>
          <w:wAfter w:w="1473" w:type="dxa"/>
          <w:trHeight w:val="340"/>
        </w:trPr>
        <w:tc>
          <w:tcPr>
            <w:tcW w:w="1220" w:type="dxa"/>
          </w:tcPr>
          <w:p w14:paraId="5B056A36"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CVAR (%)</w:t>
            </w:r>
          </w:p>
        </w:tc>
        <w:tc>
          <w:tcPr>
            <w:tcW w:w="1108" w:type="dxa"/>
            <w:tcBorders>
              <w:top w:val="nil"/>
              <w:bottom w:val="single" w:sz="4" w:space="0" w:color="auto"/>
            </w:tcBorders>
            <w:shd w:val="clear" w:color="auto" w:fill="auto"/>
          </w:tcPr>
          <w:p w14:paraId="79C87A59"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35.24</w:t>
            </w:r>
          </w:p>
        </w:tc>
        <w:tc>
          <w:tcPr>
            <w:tcW w:w="1124" w:type="dxa"/>
            <w:gridSpan w:val="2"/>
            <w:tcBorders>
              <w:top w:val="nil"/>
              <w:bottom w:val="single" w:sz="4" w:space="0" w:color="auto"/>
            </w:tcBorders>
            <w:shd w:val="clear" w:color="auto" w:fill="auto"/>
          </w:tcPr>
          <w:p w14:paraId="1B0A954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59.98</w:t>
            </w:r>
          </w:p>
        </w:tc>
        <w:tc>
          <w:tcPr>
            <w:tcW w:w="1115" w:type="dxa"/>
            <w:tcBorders>
              <w:top w:val="nil"/>
              <w:bottom w:val="single" w:sz="4" w:space="0" w:color="auto"/>
            </w:tcBorders>
            <w:shd w:val="clear" w:color="auto" w:fill="auto"/>
          </w:tcPr>
          <w:p w14:paraId="000DA2D5"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76.07</w:t>
            </w:r>
          </w:p>
        </w:tc>
        <w:tc>
          <w:tcPr>
            <w:tcW w:w="1115" w:type="dxa"/>
            <w:tcBorders>
              <w:top w:val="nil"/>
              <w:bottom w:val="single" w:sz="4" w:space="0" w:color="auto"/>
            </w:tcBorders>
            <w:shd w:val="clear" w:color="auto" w:fill="auto"/>
          </w:tcPr>
          <w:p w14:paraId="262C7748"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85.62</w:t>
            </w:r>
          </w:p>
        </w:tc>
        <w:tc>
          <w:tcPr>
            <w:tcW w:w="1120" w:type="dxa"/>
            <w:tcBorders>
              <w:top w:val="nil"/>
              <w:bottom w:val="single" w:sz="4" w:space="0" w:color="auto"/>
            </w:tcBorders>
            <w:shd w:val="clear" w:color="auto" w:fill="auto"/>
          </w:tcPr>
          <w:p w14:paraId="12E8DDF3" w14:textId="77777777" w:rsidR="00834D63" w:rsidRPr="00090112" w:rsidRDefault="00834D63" w:rsidP="00834D63">
            <w:pPr>
              <w:tabs>
                <w:tab w:val="left" w:pos="10710"/>
              </w:tabs>
              <w:spacing w:line="240" w:lineRule="auto"/>
              <w:jc w:val="both"/>
              <w:rPr>
                <w:rFonts w:ascii="Times New Roman" w:hAnsi="Times New Roman" w:cs="Times New Roman"/>
                <w:sz w:val="16"/>
                <w:szCs w:val="16"/>
                <w:lang w:val="en-GB"/>
              </w:rPr>
            </w:pPr>
            <w:r w:rsidRPr="00090112">
              <w:rPr>
                <w:rFonts w:ascii="Times New Roman" w:hAnsi="Times New Roman" w:cs="Times New Roman"/>
                <w:sz w:val="16"/>
                <w:szCs w:val="16"/>
                <w:lang w:val="en-GB"/>
              </w:rPr>
              <w:t>93.87</w:t>
            </w:r>
          </w:p>
        </w:tc>
      </w:tr>
    </w:tbl>
    <w:p w14:paraId="53796CAD" w14:textId="77777777" w:rsidR="00E95F4C" w:rsidRDefault="00E95F4C" w:rsidP="00E95F4C">
      <w:pPr>
        <w:tabs>
          <w:tab w:val="left" w:pos="10710"/>
        </w:tabs>
        <w:spacing w:after="0" w:line="240" w:lineRule="auto"/>
        <w:jc w:val="both"/>
        <w:rPr>
          <w:rFonts w:ascii="Times New Roman" w:hAnsi="Times New Roman" w:cs="Times New Roman"/>
          <w:b/>
          <w:bCs/>
          <w:sz w:val="24"/>
          <w:szCs w:val="24"/>
        </w:rPr>
      </w:pPr>
    </w:p>
    <w:p w14:paraId="29E568ED" w14:textId="6E241171" w:rsidR="00E95F4C" w:rsidRPr="00925848" w:rsidRDefault="00E95F4C" w:rsidP="00E95F4C">
      <w:pPr>
        <w:tabs>
          <w:tab w:val="left" w:pos="10710"/>
        </w:tabs>
        <w:spacing w:after="0" w:line="240" w:lineRule="auto"/>
        <w:jc w:val="both"/>
        <w:rPr>
          <w:rFonts w:ascii="Times New Roman" w:hAnsi="Times New Roman" w:cs="Times New Roman"/>
          <w:b/>
          <w:sz w:val="24"/>
          <w:szCs w:val="24"/>
          <w:lang w:val="en-GB"/>
        </w:rPr>
      </w:pPr>
      <w:r>
        <w:rPr>
          <w:rFonts w:ascii="Times New Roman" w:hAnsi="Times New Roman" w:cs="Times New Roman"/>
          <w:b/>
          <w:bCs/>
          <w:sz w:val="24"/>
          <w:szCs w:val="24"/>
        </w:rPr>
        <w:t>4.10.3</w:t>
      </w:r>
      <w:r w:rsidRPr="00925848">
        <w:rPr>
          <w:rFonts w:ascii="Times New Roman" w:hAnsi="Times New Roman" w:cs="Times New Roman"/>
          <w:b/>
          <w:bCs/>
          <w:sz w:val="24"/>
          <w:szCs w:val="24"/>
        </w:rPr>
        <w:t xml:space="preserve"> Correlation Coefficient</w:t>
      </w:r>
    </w:p>
    <w:p w14:paraId="60F71873" w14:textId="1F7B8BEA" w:rsidR="00E95F4C" w:rsidRDefault="00E95F4C" w:rsidP="00E95F4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matrix (</w:t>
      </w:r>
      <w:r w:rsidRPr="00E95F4C">
        <w:rPr>
          <w:rFonts w:ascii="Times New Roman" w:eastAsia="Times New Roman" w:hAnsi="Times New Roman" w:cs="Times New Roman"/>
          <w:b/>
          <w:sz w:val="24"/>
          <w:szCs w:val="24"/>
        </w:rPr>
        <w:t>Table 3</w:t>
      </w:r>
      <w:r w:rsidRPr="00D2532A">
        <w:rPr>
          <w:rFonts w:ascii="Times New Roman" w:eastAsia="Times New Roman" w:hAnsi="Times New Roman" w:cs="Times New Roman"/>
          <w:sz w:val="24"/>
          <w:szCs w:val="24"/>
        </w:rPr>
        <w:t xml:space="preserve">) presents the interrelationship between major and trace elements determined using IBM SPSS 21. Strong positive correlations were observed among several metallic elements, implying a common geochemical origin or similar mobilization mechanisms during mineralization. Copper (Cu) shows significant positive correlations with Chromium (Cr, r = 0.922**), Zinc (Zn, r = 0.731**), Arsenic (As, r = 0.517**), Manganese (Mn, r = 0.548*), and </w:t>
      </w:r>
      <w:r w:rsidRPr="00D2532A">
        <w:rPr>
          <w:rFonts w:ascii="Times New Roman" w:eastAsia="Times New Roman" w:hAnsi="Times New Roman" w:cs="Times New Roman"/>
          <w:sz w:val="24"/>
          <w:szCs w:val="24"/>
        </w:rPr>
        <w:lastRenderedPageBreak/>
        <w:t>Lead (Pb, r = 0.428*), but a weak negative correlation with Rubidium (</w:t>
      </w:r>
      <w:proofErr w:type="spellStart"/>
      <w:r w:rsidRPr="00D2532A">
        <w:rPr>
          <w:rFonts w:ascii="Times New Roman" w:eastAsia="Times New Roman" w:hAnsi="Times New Roman" w:cs="Times New Roman"/>
          <w:sz w:val="24"/>
          <w:szCs w:val="24"/>
        </w:rPr>
        <w:t>Rb</w:t>
      </w:r>
      <w:proofErr w:type="spellEnd"/>
      <w:r w:rsidRPr="00D2532A">
        <w:rPr>
          <w:rFonts w:ascii="Times New Roman" w:eastAsia="Times New Roman" w:hAnsi="Times New Roman" w:cs="Times New Roman"/>
          <w:sz w:val="24"/>
          <w:szCs w:val="24"/>
        </w:rPr>
        <w:t xml:space="preserve">, r = –0.317). This association suggests a hydrothermal origin where Cu, Zn, Pb, and </w:t>
      </w:r>
      <w:proofErr w:type="gramStart"/>
      <w:r w:rsidRPr="00D2532A">
        <w:rPr>
          <w:rFonts w:ascii="Times New Roman" w:eastAsia="Times New Roman" w:hAnsi="Times New Roman" w:cs="Times New Roman"/>
          <w:sz w:val="24"/>
          <w:szCs w:val="24"/>
        </w:rPr>
        <w:t>As</w:t>
      </w:r>
      <w:proofErr w:type="gramEnd"/>
      <w:r w:rsidRPr="00D2532A">
        <w:rPr>
          <w:rFonts w:ascii="Times New Roman" w:eastAsia="Times New Roman" w:hAnsi="Times New Roman" w:cs="Times New Roman"/>
          <w:sz w:val="24"/>
          <w:szCs w:val="24"/>
        </w:rPr>
        <w:t xml:space="preserve"> were co-precipitated from metalliferous fluids, likely within structurally controlled sulfide veins</w:t>
      </w:r>
      <w:r w:rsidR="00567AC1">
        <w:rPr>
          <w:rFonts w:ascii="Times New Roman" w:eastAsia="Times New Roman" w:hAnsi="Times New Roman" w:cs="Times New Roman"/>
          <w:sz w:val="24"/>
          <w:szCs w:val="24"/>
        </w:rPr>
        <w:t xml:space="preserve"> (Boyle, 1979; Rose et al., 1979</w:t>
      </w:r>
      <w:r w:rsidRPr="00D253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2532A">
        <w:rPr>
          <w:rFonts w:ascii="Times New Roman" w:eastAsia="Times New Roman" w:hAnsi="Times New Roman" w:cs="Times New Roman"/>
          <w:sz w:val="24"/>
          <w:szCs w:val="24"/>
        </w:rPr>
        <w:t>Similarly, Zn exhibits strong positive correlations with Pb (r = 0.726**), As (r = 0.555*), Cu (r = 0.731**), and Cr (r = 0.593*), indicating their common derivation from hydrothermal solutions and mutual substitution in sulfide lattices such as galena and sphalerite (</w:t>
      </w:r>
      <w:proofErr w:type="spellStart"/>
      <w:r w:rsidRPr="00D2532A">
        <w:rPr>
          <w:rFonts w:ascii="Times New Roman" w:eastAsia="Times New Roman" w:hAnsi="Times New Roman" w:cs="Times New Roman"/>
          <w:sz w:val="24"/>
          <w:szCs w:val="24"/>
        </w:rPr>
        <w:t>Govett</w:t>
      </w:r>
      <w:proofErr w:type="spellEnd"/>
      <w:r w:rsidRPr="00D2532A">
        <w:rPr>
          <w:rFonts w:ascii="Times New Roman" w:eastAsia="Times New Roman" w:hAnsi="Times New Roman" w:cs="Times New Roman"/>
          <w:sz w:val="24"/>
          <w:szCs w:val="24"/>
        </w:rPr>
        <w:t>, 1983). The positive correlations between Co–Ni (r = 0.891**) and Ni–Cr (r = 0.955**) further imply a ferromagnesian association linked to mafic or ultramafic source rocks (</w:t>
      </w:r>
      <w:r w:rsidR="00E11089" w:rsidRPr="00E11089">
        <w:rPr>
          <w:rFonts w:ascii="Times New Roman" w:hAnsi="Times New Roman" w:cs="Times New Roman"/>
          <w:sz w:val="24"/>
          <w:szCs w:val="24"/>
        </w:rPr>
        <w:t>Rose et al., 1979</w:t>
      </w:r>
      <w:r w:rsidRPr="00D253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11089">
        <w:rPr>
          <w:rFonts w:ascii="Times New Roman" w:eastAsia="Times New Roman" w:hAnsi="Times New Roman" w:cs="Times New Roman"/>
          <w:sz w:val="24"/>
          <w:szCs w:val="24"/>
        </w:rPr>
        <w:t>T</w:t>
      </w:r>
      <w:r w:rsidRPr="00D2532A">
        <w:rPr>
          <w:rFonts w:ascii="Times New Roman" w:eastAsia="Times New Roman" w:hAnsi="Times New Roman" w:cs="Times New Roman"/>
          <w:sz w:val="24"/>
          <w:szCs w:val="24"/>
        </w:rPr>
        <w:t>he strong Zn–Cu–Pb–Cr interrelationship suggests that mineralization within the study area is dominated by hydrothermal sulfide deposition, enriched in base-metal and transition-metal elements. The data support the occurrence of polymetallic sulfide mineralization, possibly controlled by shear zones within the Basement Comple</w:t>
      </w:r>
      <w:r w:rsidR="005801A3">
        <w:rPr>
          <w:rFonts w:ascii="Times New Roman" w:eastAsia="Times New Roman" w:hAnsi="Times New Roman" w:cs="Times New Roman"/>
          <w:sz w:val="24"/>
          <w:szCs w:val="24"/>
        </w:rPr>
        <w:t>x (</w:t>
      </w:r>
      <w:proofErr w:type="spellStart"/>
      <w:r w:rsidR="005801A3">
        <w:rPr>
          <w:rFonts w:ascii="Times New Roman" w:eastAsia="Times New Roman" w:hAnsi="Times New Roman" w:cs="Times New Roman"/>
          <w:sz w:val="24"/>
          <w:szCs w:val="24"/>
        </w:rPr>
        <w:t>Olade</w:t>
      </w:r>
      <w:proofErr w:type="spellEnd"/>
      <w:r w:rsidR="005801A3">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Rahaman</w:t>
      </w:r>
      <w:proofErr w:type="spellEnd"/>
      <w:r>
        <w:rPr>
          <w:rFonts w:ascii="Times New Roman" w:eastAsia="Times New Roman" w:hAnsi="Times New Roman" w:cs="Times New Roman"/>
          <w:sz w:val="24"/>
          <w:szCs w:val="24"/>
        </w:rPr>
        <w:t>, 1988).</w:t>
      </w:r>
    </w:p>
    <w:p w14:paraId="572BB6BB" w14:textId="3899EE65" w:rsidR="00834D63" w:rsidRPr="009C348D" w:rsidRDefault="00834D63" w:rsidP="00834D63">
      <w:pPr>
        <w:tabs>
          <w:tab w:val="left" w:pos="10710"/>
        </w:tabs>
        <w:spacing w:line="480" w:lineRule="auto"/>
        <w:jc w:val="both"/>
      </w:pPr>
      <w:bookmarkStart w:id="2" w:name="_Hlk192327039"/>
      <w:r w:rsidRPr="00E95F4C">
        <w:rPr>
          <w:rFonts w:ascii="Times New Roman" w:hAnsi="Times New Roman" w:cs="Times New Roman"/>
          <w:b/>
          <w:bCs/>
          <w:sz w:val="24"/>
          <w:szCs w:val="24"/>
        </w:rPr>
        <w:t xml:space="preserve">Table </w:t>
      </w:r>
      <w:bookmarkStart w:id="3" w:name="_Hlk191629655"/>
      <w:bookmarkEnd w:id="2"/>
      <w:r w:rsidR="00E95F4C" w:rsidRPr="00E95F4C">
        <w:rPr>
          <w:rFonts w:ascii="Times New Roman" w:hAnsi="Times New Roman" w:cs="Times New Roman"/>
          <w:b/>
          <w:bCs/>
          <w:sz w:val="24"/>
          <w:szCs w:val="24"/>
        </w:rPr>
        <w:t>3</w:t>
      </w:r>
      <w:r>
        <w:t xml:space="preserve">: </w:t>
      </w:r>
      <w:bookmarkStart w:id="4" w:name="_Hlk192327096"/>
      <w:r>
        <w:t>Correlation</w:t>
      </w:r>
      <w:r w:rsidRPr="00325FBB">
        <w:rPr>
          <w:rFonts w:ascii="Times New Roman" w:hAnsi="Times New Roman" w:cs="Times New Roman"/>
          <w:sz w:val="24"/>
          <w:szCs w:val="24"/>
        </w:rPr>
        <w:t xml:space="preserve"> Matrix</w:t>
      </w:r>
      <w:bookmarkEnd w:id="4"/>
      <w:r w:rsidRPr="00325FBB">
        <w:rPr>
          <w:rFonts w:ascii="Times New Roman" w:hAnsi="Times New Roman" w:cs="Times New Roman"/>
          <w:sz w:val="24"/>
          <w:szCs w:val="24"/>
        </w:rPr>
        <w:t xml:space="preserve"> showing the inter-relationship between heavy metals</w:t>
      </w:r>
    </w:p>
    <w:bookmarkEnd w:id="3"/>
    <w:tbl>
      <w:tblPr>
        <w:tblStyle w:val="TableGridLight"/>
        <w:tblpPr w:leftFromText="180" w:rightFromText="180" w:vertAnchor="text" w:horzAnchor="page" w:tblpX="1271" w:tblpY="16"/>
        <w:tblW w:w="10165" w:type="dxa"/>
        <w:tblLook w:val="04A0" w:firstRow="1" w:lastRow="0" w:firstColumn="1" w:lastColumn="0" w:noHBand="0" w:noVBand="1"/>
      </w:tblPr>
      <w:tblGrid>
        <w:gridCol w:w="900"/>
        <w:gridCol w:w="779"/>
        <w:gridCol w:w="942"/>
        <w:gridCol w:w="768"/>
        <w:gridCol w:w="1080"/>
        <w:gridCol w:w="900"/>
        <w:gridCol w:w="810"/>
        <w:gridCol w:w="926"/>
        <w:gridCol w:w="720"/>
        <w:gridCol w:w="990"/>
        <w:gridCol w:w="810"/>
        <w:gridCol w:w="540"/>
      </w:tblGrid>
      <w:tr w:rsidR="003D0DFD" w:rsidRPr="002D4500" w14:paraId="504ACFEB" w14:textId="77777777" w:rsidTr="00FC46BF">
        <w:trPr>
          <w:trHeight w:val="319"/>
        </w:trPr>
        <w:tc>
          <w:tcPr>
            <w:tcW w:w="900" w:type="dxa"/>
            <w:hideMark/>
          </w:tcPr>
          <w:p w14:paraId="430DFDFF" w14:textId="77777777" w:rsidR="00834D63" w:rsidRPr="00162572" w:rsidRDefault="00834D63" w:rsidP="0009093E">
            <w:pPr>
              <w:tabs>
                <w:tab w:val="left" w:pos="10710"/>
              </w:tabs>
              <w:spacing w:line="480" w:lineRule="auto"/>
              <w:jc w:val="both"/>
              <w:rPr>
                <w:rFonts w:ascii="Times New Roman" w:eastAsia="Times New Roman" w:hAnsi="Times New Roman" w:cs="Times New Roman"/>
                <w:color w:val="264A60"/>
                <w:sz w:val="18"/>
                <w:szCs w:val="18"/>
              </w:rPr>
            </w:pPr>
          </w:p>
        </w:tc>
        <w:tc>
          <w:tcPr>
            <w:tcW w:w="779" w:type="dxa"/>
          </w:tcPr>
          <w:p w14:paraId="0AD60638"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Fe</w:t>
            </w:r>
          </w:p>
        </w:tc>
        <w:tc>
          <w:tcPr>
            <w:tcW w:w="942" w:type="dxa"/>
            <w:hideMark/>
          </w:tcPr>
          <w:p w14:paraId="4FB93902"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Cu</w:t>
            </w:r>
          </w:p>
        </w:tc>
        <w:tc>
          <w:tcPr>
            <w:tcW w:w="768" w:type="dxa"/>
            <w:hideMark/>
          </w:tcPr>
          <w:p w14:paraId="0FCCD114"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Pb</w:t>
            </w:r>
          </w:p>
        </w:tc>
        <w:tc>
          <w:tcPr>
            <w:tcW w:w="1080" w:type="dxa"/>
            <w:hideMark/>
          </w:tcPr>
          <w:p w14:paraId="3F7DAD74"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Zn</w:t>
            </w:r>
          </w:p>
        </w:tc>
        <w:tc>
          <w:tcPr>
            <w:tcW w:w="900" w:type="dxa"/>
            <w:hideMark/>
          </w:tcPr>
          <w:p w14:paraId="5374160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Ni</w:t>
            </w:r>
          </w:p>
        </w:tc>
        <w:tc>
          <w:tcPr>
            <w:tcW w:w="810" w:type="dxa"/>
            <w:hideMark/>
          </w:tcPr>
          <w:p w14:paraId="277DF10C"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Co</w:t>
            </w:r>
          </w:p>
        </w:tc>
        <w:tc>
          <w:tcPr>
            <w:tcW w:w="926" w:type="dxa"/>
            <w:hideMark/>
          </w:tcPr>
          <w:p w14:paraId="25951F6B"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Mn</w:t>
            </w:r>
          </w:p>
        </w:tc>
        <w:tc>
          <w:tcPr>
            <w:tcW w:w="720" w:type="dxa"/>
            <w:hideMark/>
          </w:tcPr>
          <w:p w14:paraId="64E31F5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As</w:t>
            </w:r>
          </w:p>
        </w:tc>
        <w:tc>
          <w:tcPr>
            <w:tcW w:w="990" w:type="dxa"/>
            <w:hideMark/>
          </w:tcPr>
          <w:p w14:paraId="783633C7"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Th</w:t>
            </w:r>
          </w:p>
        </w:tc>
        <w:tc>
          <w:tcPr>
            <w:tcW w:w="810" w:type="dxa"/>
            <w:hideMark/>
          </w:tcPr>
          <w:p w14:paraId="526D5E11"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r w:rsidRPr="002D4500">
              <w:rPr>
                <w:rFonts w:ascii="Arial" w:eastAsia="Times New Roman" w:hAnsi="Arial" w:cs="Arial"/>
                <w:sz w:val="18"/>
                <w:szCs w:val="18"/>
              </w:rPr>
              <w:t>Cr</w:t>
            </w:r>
          </w:p>
        </w:tc>
        <w:tc>
          <w:tcPr>
            <w:tcW w:w="540" w:type="dxa"/>
            <w:hideMark/>
          </w:tcPr>
          <w:p w14:paraId="48BE86EB" w14:textId="77777777" w:rsidR="00834D63" w:rsidRPr="002D4500" w:rsidRDefault="00834D63" w:rsidP="0009093E">
            <w:pPr>
              <w:tabs>
                <w:tab w:val="left" w:pos="10710"/>
              </w:tabs>
              <w:spacing w:line="480" w:lineRule="auto"/>
              <w:jc w:val="both"/>
              <w:rPr>
                <w:rFonts w:ascii="Arial" w:eastAsia="Times New Roman" w:hAnsi="Arial" w:cs="Arial"/>
                <w:sz w:val="18"/>
                <w:szCs w:val="18"/>
              </w:rPr>
            </w:pPr>
            <w:proofErr w:type="spellStart"/>
            <w:r w:rsidRPr="002D4500">
              <w:rPr>
                <w:rFonts w:ascii="Arial" w:eastAsia="Times New Roman" w:hAnsi="Arial" w:cs="Arial"/>
                <w:sz w:val="18"/>
                <w:szCs w:val="18"/>
              </w:rPr>
              <w:t>Rb</w:t>
            </w:r>
            <w:proofErr w:type="spellEnd"/>
          </w:p>
        </w:tc>
      </w:tr>
      <w:tr w:rsidR="003D0DFD" w:rsidRPr="00162572" w14:paraId="04EF5296" w14:textId="77777777" w:rsidTr="00FC46BF">
        <w:trPr>
          <w:trHeight w:val="360"/>
        </w:trPr>
        <w:tc>
          <w:tcPr>
            <w:tcW w:w="900" w:type="dxa"/>
            <w:noWrap/>
            <w:hideMark/>
          </w:tcPr>
          <w:p w14:paraId="61174F7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Fe</w:t>
            </w:r>
          </w:p>
        </w:tc>
        <w:tc>
          <w:tcPr>
            <w:tcW w:w="779" w:type="dxa"/>
          </w:tcPr>
          <w:p w14:paraId="564FC9E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42" w:type="dxa"/>
            <w:noWrap/>
            <w:hideMark/>
          </w:tcPr>
          <w:p w14:paraId="4E0104D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68" w:type="dxa"/>
            <w:noWrap/>
            <w:hideMark/>
          </w:tcPr>
          <w:p w14:paraId="1824BF1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1080" w:type="dxa"/>
            <w:noWrap/>
            <w:hideMark/>
          </w:tcPr>
          <w:p w14:paraId="54C2EA2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549CF6F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24BB28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3B14C24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66EE01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0696825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713ADE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290376B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384AD166" w14:textId="77777777" w:rsidTr="00FC46BF">
        <w:trPr>
          <w:trHeight w:val="342"/>
        </w:trPr>
        <w:tc>
          <w:tcPr>
            <w:tcW w:w="900" w:type="dxa"/>
            <w:noWrap/>
            <w:hideMark/>
          </w:tcPr>
          <w:p w14:paraId="6C3FE5C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Cu</w:t>
            </w:r>
          </w:p>
        </w:tc>
        <w:tc>
          <w:tcPr>
            <w:tcW w:w="779" w:type="dxa"/>
          </w:tcPr>
          <w:p w14:paraId="6A5E363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0.169</w:t>
            </w:r>
          </w:p>
        </w:tc>
        <w:tc>
          <w:tcPr>
            <w:tcW w:w="942" w:type="dxa"/>
            <w:noWrap/>
            <w:hideMark/>
          </w:tcPr>
          <w:p w14:paraId="3B51D33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768" w:type="dxa"/>
            <w:noWrap/>
            <w:hideMark/>
          </w:tcPr>
          <w:p w14:paraId="4D21920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1080" w:type="dxa"/>
            <w:noWrap/>
            <w:hideMark/>
          </w:tcPr>
          <w:p w14:paraId="1BEC836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5B79738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D52314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353A2B5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139D96A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FAA3E2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611FD0D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1C9C6E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9E15629" w14:textId="77777777" w:rsidTr="00FC46BF">
        <w:trPr>
          <w:trHeight w:val="342"/>
        </w:trPr>
        <w:tc>
          <w:tcPr>
            <w:tcW w:w="900" w:type="dxa"/>
            <w:noWrap/>
            <w:hideMark/>
          </w:tcPr>
          <w:p w14:paraId="2950014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Pb</w:t>
            </w:r>
          </w:p>
        </w:tc>
        <w:tc>
          <w:tcPr>
            <w:tcW w:w="779" w:type="dxa"/>
          </w:tcPr>
          <w:p w14:paraId="7D4E0F1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0.125</w:t>
            </w:r>
          </w:p>
        </w:tc>
        <w:tc>
          <w:tcPr>
            <w:tcW w:w="942" w:type="dxa"/>
            <w:noWrap/>
            <w:hideMark/>
          </w:tcPr>
          <w:p w14:paraId="36A56FF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0.428</w:t>
            </w:r>
          </w:p>
        </w:tc>
        <w:tc>
          <w:tcPr>
            <w:tcW w:w="768" w:type="dxa"/>
            <w:noWrap/>
            <w:hideMark/>
          </w:tcPr>
          <w:p w14:paraId="03C65BB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1080" w:type="dxa"/>
            <w:noWrap/>
            <w:hideMark/>
          </w:tcPr>
          <w:p w14:paraId="6BB81E7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00" w:type="dxa"/>
            <w:noWrap/>
            <w:hideMark/>
          </w:tcPr>
          <w:p w14:paraId="1174B50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4551E7F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723CFCC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8BAE0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24461F6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312E73A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5E1795F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B12C8BD" w14:textId="77777777" w:rsidTr="00FC46BF">
        <w:trPr>
          <w:trHeight w:val="360"/>
        </w:trPr>
        <w:tc>
          <w:tcPr>
            <w:tcW w:w="900" w:type="dxa"/>
            <w:noWrap/>
            <w:hideMark/>
          </w:tcPr>
          <w:p w14:paraId="64B3418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Zn</w:t>
            </w:r>
          </w:p>
        </w:tc>
        <w:tc>
          <w:tcPr>
            <w:tcW w:w="779" w:type="dxa"/>
          </w:tcPr>
          <w:p w14:paraId="4BE5C1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0.181</w:t>
            </w:r>
          </w:p>
        </w:tc>
        <w:tc>
          <w:tcPr>
            <w:tcW w:w="942" w:type="dxa"/>
            <w:noWrap/>
            <w:hideMark/>
          </w:tcPr>
          <w:p w14:paraId="4844817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.731</w:t>
            </w:r>
            <w:r w:rsidRPr="00162572">
              <w:rPr>
                <w:rFonts w:ascii="Arial" w:eastAsia="Times New Roman" w:hAnsi="Arial" w:cs="Arial"/>
                <w:sz w:val="18"/>
                <w:szCs w:val="18"/>
                <w:vertAlign w:val="superscript"/>
              </w:rPr>
              <w:t>**</w:t>
            </w:r>
          </w:p>
        </w:tc>
        <w:tc>
          <w:tcPr>
            <w:tcW w:w="768" w:type="dxa"/>
            <w:noWrap/>
            <w:hideMark/>
          </w:tcPr>
          <w:p w14:paraId="0728584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.726</w:t>
            </w:r>
            <w:r w:rsidRPr="00162572">
              <w:rPr>
                <w:rFonts w:ascii="Arial" w:eastAsia="Times New Roman" w:hAnsi="Arial" w:cs="Arial"/>
                <w:sz w:val="18"/>
                <w:szCs w:val="18"/>
                <w:vertAlign w:val="superscript"/>
              </w:rPr>
              <w:t>**</w:t>
            </w:r>
          </w:p>
        </w:tc>
        <w:tc>
          <w:tcPr>
            <w:tcW w:w="1080" w:type="dxa"/>
            <w:noWrap/>
            <w:hideMark/>
          </w:tcPr>
          <w:p w14:paraId="31CE5FC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00" w:type="dxa"/>
            <w:noWrap/>
            <w:hideMark/>
          </w:tcPr>
          <w:p w14:paraId="553DF91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4588C0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2A4D67E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769809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41B9BAE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0D43E87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013AE29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14273D4" w14:textId="77777777" w:rsidTr="00FC46BF">
        <w:trPr>
          <w:trHeight w:val="342"/>
        </w:trPr>
        <w:tc>
          <w:tcPr>
            <w:tcW w:w="900" w:type="dxa"/>
            <w:noWrap/>
            <w:hideMark/>
          </w:tcPr>
          <w:p w14:paraId="2AABE25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Ni</w:t>
            </w:r>
          </w:p>
        </w:tc>
        <w:tc>
          <w:tcPr>
            <w:tcW w:w="779" w:type="dxa"/>
          </w:tcPr>
          <w:p w14:paraId="1F17D7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0.088</w:t>
            </w:r>
          </w:p>
        </w:tc>
        <w:tc>
          <w:tcPr>
            <w:tcW w:w="942" w:type="dxa"/>
            <w:noWrap/>
            <w:hideMark/>
          </w:tcPr>
          <w:p w14:paraId="70BB375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.869</w:t>
            </w:r>
            <w:r w:rsidRPr="00162572">
              <w:rPr>
                <w:rFonts w:ascii="Arial" w:eastAsia="Times New Roman" w:hAnsi="Arial" w:cs="Arial"/>
                <w:sz w:val="18"/>
                <w:szCs w:val="18"/>
                <w:vertAlign w:val="superscript"/>
              </w:rPr>
              <w:t>**</w:t>
            </w:r>
          </w:p>
        </w:tc>
        <w:tc>
          <w:tcPr>
            <w:tcW w:w="768" w:type="dxa"/>
            <w:noWrap/>
            <w:hideMark/>
          </w:tcPr>
          <w:p w14:paraId="5947A0E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0.202</w:t>
            </w:r>
          </w:p>
        </w:tc>
        <w:tc>
          <w:tcPr>
            <w:tcW w:w="1080" w:type="dxa"/>
            <w:noWrap/>
            <w:hideMark/>
          </w:tcPr>
          <w:p w14:paraId="2BF3DDA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0.426</w:t>
            </w:r>
          </w:p>
        </w:tc>
        <w:tc>
          <w:tcPr>
            <w:tcW w:w="900" w:type="dxa"/>
            <w:noWrap/>
            <w:hideMark/>
          </w:tcPr>
          <w:p w14:paraId="458A806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810" w:type="dxa"/>
            <w:noWrap/>
            <w:hideMark/>
          </w:tcPr>
          <w:p w14:paraId="6D6C75C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26" w:type="dxa"/>
            <w:noWrap/>
            <w:hideMark/>
          </w:tcPr>
          <w:p w14:paraId="74EF8AB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24A9817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5D9B81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C77DA6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7D02033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449EE1D3" w14:textId="77777777" w:rsidTr="00FC46BF">
        <w:trPr>
          <w:trHeight w:val="342"/>
        </w:trPr>
        <w:tc>
          <w:tcPr>
            <w:tcW w:w="900" w:type="dxa"/>
            <w:noWrap/>
            <w:hideMark/>
          </w:tcPr>
          <w:p w14:paraId="7D6268D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Co</w:t>
            </w:r>
          </w:p>
        </w:tc>
        <w:tc>
          <w:tcPr>
            <w:tcW w:w="779" w:type="dxa"/>
          </w:tcPr>
          <w:p w14:paraId="435D4F0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0.111</w:t>
            </w:r>
          </w:p>
        </w:tc>
        <w:tc>
          <w:tcPr>
            <w:tcW w:w="942" w:type="dxa"/>
            <w:noWrap/>
            <w:hideMark/>
          </w:tcPr>
          <w:p w14:paraId="6DAEC09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.769</w:t>
            </w:r>
            <w:r w:rsidRPr="00162572">
              <w:rPr>
                <w:rFonts w:ascii="Arial" w:eastAsia="Times New Roman" w:hAnsi="Arial" w:cs="Arial"/>
                <w:sz w:val="18"/>
                <w:szCs w:val="18"/>
                <w:vertAlign w:val="superscript"/>
              </w:rPr>
              <w:t>**</w:t>
            </w:r>
          </w:p>
        </w:tc>
        <w:tc>
          <w:tcPr>
            <w:tcW w:w="768" w:type="dxa"/>
            <w:noWrap/>
            <w:hideMark/>
          </w:tcPr>
          <w:p w14:paraId="641F98B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0.362</w:t>
            </w:r>
          </w:p>
        </w:tc>
        <w:tc>
          <w:tcPr>
            <w:tcW w:w="1080" w:type="dxa"/>
            <w:noWrap/>
            <w:hideMark/>
          </w:tcPr>
          <w:p w14:paraId="2B330E2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.451</w:t>
            </w:r>
            <w:r w:rsidRPr="00162572">
              <w:rPr>
                <w:rFonts w:ascii="Arial" w:eastAsia="Times New Roman" w:hAnsi="Arial" w:cs="Arial"/>
                <w:sz w:val="18"/>
                <w:szCs w:val="18"/>
                <w:vertAlign w:val="superscript"/>
              </w:rPr>
              <w:t>*</w:t>
            </w:r>
          </w:p>
        </w:tc>
        <w:tc>
          <w:tcPr>
            <w:tcW w:w="900" w:type="dxa"/>
            <w:noWrap/>
            <w:hideMark/>
          </w:tcPr>
          <w:p w14:paraId="60B3E927"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.891</w:t>
            </w:r>
            <w:r w:rsidRPr="00162572">
              <w:rPr>
                <w:rFonts w:ascii="Arial" w:eastAsia="Times New Roman" w:hAnsi="Arial" w:cs="Arial"/>
                <w:sz w:val="18"/>
                <w:szCs w:val="18"/>
                <w:vertAlign w:val="superscript"/>
              </w:rPr>
              <w:t>**</w:t>
            </w:r>
          </w:p>
        </w:tc>
        <w:tc>
          <w:tcPr>
            <w:tcW w:w="810" w:type="dxa"/>
            <w:noWrap/>
            <w:hideMark/>
          </w:tcPr>
          <w:p w14:paraId="7104735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26" w:type="dxa"/>
            <w:noWrap/>
            <w:hideMark/>
          </w:tcPr>
          <w:p w14:paraId="52C9488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720" w:type="dxa"/>
            <w:noWrap/>
            <w:hideMark/>
          </w:tcPr>
          <w:p w14:paraId="0EEFB21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1C90EB4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7E9F26C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3AA0C47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118E5CCD" w14:textId="77777777" w:rsidTr="00FC46BF">
        <w:trPr>
          <w:trHeight w:val="360"/>
        </w:trPr>
        <w:tc>
          <w:tcPr>
            <w:tcW w:w="900" w:type="dxa"/>
            <w:noWrap/>
            <w:hideMark/>
          </w:tcPr>
          <w:p w14:paraId="1E4A438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Mn</w:t>
            </w:r>
          </w:p>
        </w:tc>
        <w:tc>
          <w:tcPr>
            <w:tcW w:w="779" w:type="dxa"/>
          </w:tcPr>
          <w:p w14:paraId="220C7C4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0.053</w:t>
            </w:r>
          </w:p>
        </w:tc>
        <w:tc>
          <w:tcPr>
            <w:tcW w:w="942" w:type="dxa"/>
            <w:noWrap/>
            <w:hideMark/>
          </w:tcPr>
          <w:p w14:paraId="5407EC5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.544</w:t>
            </w:r>
            <w:r w:rsidRPr="00162572">
              <w:rPr>
                <w:rFonts w:ascii="Arial" w:eastAsia="Times New Roman" w:hAnsi="Arial" w:cs="Arial"/>
                <w:sz w:val="18"/>
                <w:szCs w:val="18"/>
                <w:vertAlign w:val="superscript"/>
              </w:rPr>
              <w:t>*</w:t>
            </w:r>
          </w:p>
        </w:tc>
        <w:tc>
          <w:tcPr>
            <w:tcW w:w="768" w:type="dxa"/>
            <w:noWrap/>
            <w:hideMark/>
          </w:tcPr>
          <w:p w14:paraId="4F034CF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0.324</w:t>
            </w:r>
          </w:p>
        </w:tc>
        <w:tc>
          <w:tcPr>
            <w:tcW w:w="1080" w:type="dxa"/>
            <w:noWrap/>
            <w:hideMark/>
          </w:tcPr>
          <w:p w14:paraId="4CACFE9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0.293</w:t>
            </w:r>
          </w:p>
        </w:tc>
        <w:tc>
          <w:tcPr>
            <w:tcW w:w="900" w:type="dxa"/>
            <w:noWrap/>
            <w:hideMark/>
          </w:tcPr>
          <w:p w14:paraId="23AEE22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.691</w:t>
            </w:r>
            <w:r w:rsidRPr="00162572">
              <w:rPr>
                <w:rFonts w:ascii="Arial" w:eastAsia="Times New Roman" w:hAnsi="Arial" w:cs="Arial"/>
                <w:sz w:val="18"/>
                <w:szCs w:val="18"/>
                <w:vertAlign w:val="superscript"/>
              </w:rPr>
              <w:t>**</w:t>
            </w:r>
          </w:p>
        </w:tc>
        <w:tc>
          <w:tcPr>
            <w:tcW w:w="810" w:type="dxa"/>
            <w:noWrap/>
            <w:hideMark/>
          </w:tcPr>
          <w:p w14:paraId="0726FE7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.927</w:t>
            </w:r>
            <w:r w:rsidRPr="00162572">
              <w:rPr>
                <w:rFonts w:ascii="Arial" w:eastAsia="Times New Roman" w:hAnsi="Arial" w:cs="Arial"/>
                <w:sz w:val="18"/>
                <w:szCs w:val="18"/>
                <w:vertAlign w:val="superscript"/>
              </w:rPr>
              <w:t>**</w:t>
            </w:r>
          </w:p>
        </w:tc>
        <w:tc>
          <w:tcPr>
            <w:tcW w:w="926" w:type="dxa"/>
            <w:noWrap/>
            <w:hideMark/>
          </w:tcPr>
          <w:p w14:paraId="7DFBC35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720" w:type="dxa"/>
            <w:noWrap/>
            <w:hideMark/>
          </w:tcPr>
          <w:p w14:paraId="3E8294D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990" w:type="dxa"/>
            <w:noWrap/>
            <w:hideMark/>
          </w:tcPr>
          <w:p w14:paraId="3295A04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3131996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56D702A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443B5C1" w14:textId="77777777" w:rsidTr="00FC46BF">
        <w:trPr>
          <w:trHeight w:val="342"/>
        </w:trPr>
        <w:tc>
          <w:tcPr>
            <w:tcW w:w="900" w:type="dxa"/>
            <w:noWrap/>
            <w:hideMark/>
          </w:tcPr>
          <w:p w14:paraId="1D8ACF8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As</w:t>
            </w:r>
          </w:p>
        </w:tc>
        <w:tc>
          <w:tcPr>
            <w:tcW w:w="779" w:type="dxa"/>
          </w:tcPr>
          <w:p w14:paraId="7149656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0.147</w:t>
            </w:r>
          </w:p>
        </w:tc>
        <w:tc>
          <w:tcPr>
            <w:tcW w:w="942" w:type="dxa"/>
            <w:noWrap/>
            <w:hideMark/>
          </w:tcPr>
          <w:p w14:paraId="27C52DE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.517</w:t>
            </w:r>
            <w:r w:rsidRPr="00162572">
              <w:rPr>
                <w:rFonts w:ascii="Arial" w:eastAsia="Times New Roman" w:hAnsi="Arial" w:cs="Arial"/>
                <w:sz w:val="18"/>
                <w:szCs w:val="18"/>
                <w:vertAlign w:val="superscript"/>
              </w:rPr>
              <w:t>*</w:t>
            </w:r>
          </w:p>
        </w:tc>
        <w:tc>
          <w:tcPr>
            <w:tcW w:w="768" w:type="dxa"/>
            <w:noWrap/>
            <w:hideMark/>
          </w:tcPr>
          <w:p w14:paraId="527F34B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.742</w:t>
            </w:r>
            <w:r w:rsidRPr="00162572">
              <w:rPr>
                <w:rFonts w:ascii="Arial" w:eastAsia="Times New Roman" w:hAnsi="Arial" w:cs="Arial"/>
                <w:sz w:val="18"/>
                <w:szCs w:val="18"/>
                <w:vertAlign w:val="superscript"/>
              </w:rPr>
              <w:t>**</w:t>
            </w:r>
          </w:p>
        </w:tc>
        <w:tc>
          <w:tcPr>
            <w:tcW w:w="1080" w:type="dxa"/>
            <w:noWrap/>
            <w:hideMark/>
          </w:tcPr>
          <w:p w14:paraId="751607A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.555</w:t>
            </w:r>
            <w:r w:rsidRPr="00162572">
              <w:rPr>
                <w:rFonts w:ascii="Arial" w:eastAsia="Times New Roman" w:hAnsi="Arial" w:cs="Arial"/>
                <w:sz w:val="18"/>
                <w:szCs w:val="18"/>
                <w:vertAlign w:val="superscript"/>
              </w:rPr>
              <w:t>*</w:t>
            </w:r>
          </w:p>
        </w:tc>
        <w:tc>
          <w:tcPr>
            <w:tcW w:w="900" w:type="dxa"/>
            <w:noWrap/>
            <w:hideMark/>
          </w:tcPr>
          <w:p w14:paraId="692F795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.500</w:t>
            </w:r>
            <w:r w:rsidRPr="00162572">
              <w:rPr>
                <w:rFonts w:ascii="Arial" w:eastAsia="Times New Roman" w:hAnsi="Arial" w:cs="Arial"/>
                <w:sz w:val="18"/>
                <w:szCs w:val="18"/>
                <w:vertAlign w:val="superscript"/>
              </w:rPr>
              <w:t>*</w:t>
            </w:r>
          </w:p>
        </w:tc>
        <w:tc>
          <w:tcPr>
            <w:tcW w:w="810" w:type="dxa"/>
            <w:noWrap/>
            <w:hideMark/>
          </w:tcPr>
          <w:p w14:paraId="5D4ECDF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.724</w:t>
            </w:r>
            <w:r w:rsidRPr="00162572">
              <w:rPr>
                <w:rFonts w:ascii="Arial" w:eastAsia="Times New Roman" w:hAnsi="Arial" w:cs="Arial"/>
                <w:sz w:val="18"/>
                <w:szCs w:val="18"/>
                <w:vertAlign w:val="superscript"/>
              </w:rPr>
              <w:t>**</w:t>
            </w:r>
          </w:p>
        </w:tc>
        <w:tc>
          <w:tcPr>
            <w:tcW w:w="926" w:type="dxa"/>
            <w:noWrap/>
            <w:hideMark/>
          </w:tcPr>
          <w:p w14:paraId="333FF13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.701</w:t>
            </w:r>
            <w:r w:rsidRPr="00162572">
              <w:rPr>
                <w:rFonts w:ascii="Arial" w:eastAsia="Times New Roman" w:hAnsi="Arial" w:cs="Arial"/>
                <w:sz w:val="18"/>
                <w:szCs w:val="18"/>
                <w:vertAlign w:val="superscript"/>
              </w:rPr>
              <w:t>**</w:t>
            </w:r>
          </w:p>
        </w:tc>
        <w:tc>
          <w:tcPr>
            <w:tcW w:w="720" w:type="dxa"/>
            <w:noWrap/>
            <w:hideMark/>
          </w:tcPr>
          <w:p w14:paraId="3714BFB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990" w:type="dxa"/>
            <w:noWrap/>
            <w:hideMark/>
          </w:tcPr>
          <w:p w14:paraId="320AA97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810" w:type="dxa"/>
            <w:noWrap/>
            <w:hideMark/>
          </w:tcPr>
          <w:p w14:paraId="5E131A1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1DDD77A5"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6E24D2FF" w14:textId="77777777" w:rsidTr="00FC46BF">
        <w:trPr>
          <w:trHeight w:val="342"/>
        </w:trPr>
        <w:tc>
          <w:tcPr>
            <w:tcW w:w="900" w:type="dxa"/>
            <w:noWrap/>
            <w:hideMark/>
          </w:tcPr>
          <w:p w14:paraId="44A08B8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Th</w:t>
            </w:r>
          </w:p>
        </w:tc>
        <w:tc>
          <w:tcPr>
            <w:tcW w:w="779" w:type="dxa"/>
          </w:tcPr>
          <w:p w14:paraId="5E15686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0.133</w:t>
            </w:r>
          </w:p>
        </w:tc>
        <w:tc>
          <w:tcPr>
            <w:tcW w:w="942" w:type="dxa"/>
            <w:noWrap/>
            <w:hideMark/>
          </w:tcPr>
          <w:p w14:paraId="7653E1C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-0.105</w:t>
            </w:r>
          </w:p>
        </w:tc>
        <w:tc>
          <w:tcPr>
            <w:tcW w:w="768" w:type="dxa"/>
            <w:noWrap/>
            <w:hideMark/>
          </w:tcPr>
          <w:p w14:paraId="0B099AB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.537</w:t>
            </w:r>
            <w:r w:rsidRPr="00162572">
              <w:rPr>
                <w:rFonts w:ascii="Arial" w:eastAsia="Times New Roman" w:hAnsi="Arial" w:cs="Arial"/>
                <w:sz w:val="18"/>
                <w:szCs w:val="18"/>
                <w:vertAlign w:val="superscript"/>
              </w:rPr>
              <w:t>*</w:t>
            </w:r>
          </w:p>
        </w:tc>
        <w:tc>
          <w:tcPr>
            <w:tcW w:w="1080" w:type="dxa"/>
            <w:noWrap/>
            <w:hideMark/>
          </w:tcPr>
          <w:p w14:paraId="0A81F9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0.121</w:t>
            </w:r>
          </w:p>
        </w:tc>
        <w:tc>
          <w:tcPr>
            <w:tcW w:w="900" w:type="dxa"/>
            <w:noWrap/>
            <w:hideMark/>
          </w:tcPr>
          <w:p w14:paraId="374CE60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-0.163</w:t>
            </w:r>
          </w:p>
        </w:tc>
        <w:tc>
          <w:tcPr>
            <w:tcW w:w="810" w:type="dxa"/>
            <w:noWrap/>
            <w:hideMark/>
          </w:tcPr>
          <w:p w14:paraId="1C22A96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0.045</w:t>
            </w:r>
          </w:p>
        </w:tc>
        <w:tc>
          <w:tcPr>
            <w:tcW w:w="926" w:type="dxa"/>
            <w:noWrap/>
            <w:hideMark/>
          </w:tcPr>
          <w:p w14:paraId="78C90FE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0.104</w:t>
            </w:r>
          </w:p>
        </w:tc>
        <w:tc>
          <w:tcPr>
            <w:tcW w:w="720" w:type="dxa"/>
            <w:noWrap/>
            <w:hideMark/>
          </w:tcPr>
          <w:p w14:paraId="54751CEA"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0.394</w:t>
            </w:r>
          </w:p>
        </w:tc>
        <w:tc>
          <w:tcPr>
            <w:tcW w:w="990" w:type="dxa"/>
            <w:noWrap/>
            <w:hideMark/>
          </w:tcPr>
          <w:p w14:paraId="2BE315C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810" w:type="dxa"/>
            <w:noWrap/>
            <w:hideMark/>
          </w:tcPr>
          <w:p w14:paraId="41C81651"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c>
          <w:tcPr>
            <w:tcW w:w="540" w:type="dxa"/>
            <w:noWrap/>
            <w:hideMark/>
          </w:tcPr>
          <w:p w14:paraId="340CE7C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32ECDDA5" w14:textId="77777777" w:rsidTr="00FC46BF">
        <w:trPr>
          <w:trHeight w:val="360"/>
        </w:trPr>
        <w:tc>
          <w:tcPr>
            <w:tcW w:w="900" w:type="dxa"/>
            <w:noWrap/>
            <w:hideMark/>
          </w:tcPr>
          <w:p w14:paraId="15BF7DB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Cr</w:t>
            </w:r>
          </w:p>
        </w:tc>
        <w:tc>
          <w:tcPr>
            <w:tcW w:w="779" w:type="dxa"/>
          </w:tcPr>
          <w:p w14:paraId="6E45CF4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0.020</w:t>
            </w:r>
          </w:p>
        </w:tc>
        <w:tc>
          <w:tcPr>
            <w:tcW w:w="942" w:type="dxa"/>
            <w:noWrap/>
            <w:hideMark/>
          </w:tcPr>
          <w:p w14:paraId="072DF12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.922</w:t>
            </w:r>
            <w:r w:rsidRPr="00162572">
              <w:rPr>
                <w:rFonts w:ascii="Arial" w:eastAsia="Times New Roman" w:hAnsi="Arial" w:cs="Arial"/>
                <w:sz w:val="18"/>
                <w:szCs w:val="18"/>
                <w:vertAlign w:val="superscript"/>
              </w:rPr>
              <w:t>**</w:t>
            </w:r>
          </w:p>
        </w:tc>
        <w:tc>
          <w:tcPr>
            <w:tcW w:w="768" w:type="dxa"/>
            <w:noWrap/>
            <w:hideMark/>
          </w:tcPr>
          <w:p w14:paraId="0888F92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0.439</w:t>
            </w:r>
          </w:p>
        </w:tc>
        <w:tc>
          <w:tcPr>
            <w:tcW w:w="1080" w:type="dxa"/>
            <w:noWrap/>
            <w:hideMark/>
          </w:tcPr>
          <w:p w14:paraId="09CBF9EF"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.593</w:t>
            </w:r>
            <w:r w:rsidRPr="00162572">
              <w:rPr>
                <w:rFonts w:ascii="Arial" w:eastAsia="Times New Roman" w:hAnsi="Arial" w:cs="Arial"/>
                <w:sz w:val="18"/>
                <w:szCs w:val="18"/>
                <w:vertAlign w:val="superscript"/>
              </w:rPr>
              <w:t>**</w:t>
            </w:r>
          </w:p>
        </w:tc>
        <w:tc>
          <w:tcPr>
            <w:tcW w:w="900" w:type="dxa"/>
            <w:noWrap/>
            <w:hideMark/>
          </w:tcPr>
          <w:p w14:paraId="713FFD5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.955</w:t>
            </w:r>
            <w:r w:rsidRPr="00162572">
              <w:rPr>
                <w:rFonts w:ascii="Arial" w:eastAsia="Times New Roman" w:hAnsi="Arial" w:cs="Arial"/>
                <w:sz w:val="18"/>
                <w:szCs w:val="18"/>
                <w:vertAlign w:val="superscript"/>
              </w:rPr>
              <w:t>**</w:t>
            </w:r>
          </w:p>
        </w:tc>
        <w:tc>
          <w:tcPr>
            <w:tcW w:w="810" w:type="dxa"/>
            <w:noWrap/>
            <w:hideMark/>
          </w:tcPr>
          <w:p w14:paraId="3EE709A9"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.908</w:t>
            </w:r>
            <w:r w:rsidRPr="00162572">
              <w:rPr>
                <w:rFonts w:ascii="Arial" w:eastAsia="Times New Roman" w:hAnsi="Arial" w:cs="Arial"/>
                <w:sz w:val="18"/>
                <w:szCs w:val="18"/>
                <w:vertAlign w:val="superscript"/>
              </w:rPr>
              <w:t>**</w:t>
            </w:r>
          </w:p>
        </w:tc>
        <w:tc>
          <w:tcPr>
            <w:tcW w:w="926" w:type="dxa"/>
            <w:noWrap/>
            <w:hideMark/>
          </w:tcPr>
          <w:p w14:paraId="406A796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.719</w:t>
            </w:r>
            <w:r w:rsidRPr="00162572">
              <w:rPr>
                <w:rFonts w:ascii="Arial" w:eastAsia="Times New Roman" w:hAnsi="Arial" w:cs="Arial"/>
                <w:sz w:val="18"/>
                <w:szCs w:val="18"/>
                <w:vertAlign w:val="superscript"/>
              </w:rPr>
              <w:t>**</w:t>
            </w:r>
          </w:p>
        </w:tc>
        <w:tc>
          <w:tcPr>
            <w:tcW w:w="720" w:type="dxa"/>
            <w:noWrap/>
            <w:hideMark/>
          </w:tcPr>
          <w:p w14:paraId="4FC12D0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.646</w:t>
            </w:r>
            <w:r w:rsidRPr="00162572">
              <w:rPr>
                <w:rFonts w:ascii="Arial" w:eastAsia="Times New Roman" w:hAnsi="Arial" w:cs="Arial"/>
                <w:sz w:val="18"/>
                <w:szCs w:val="18"/>
                <w:vertAlign w:val="superscript"/>
              </w:rPr>
              <w:t>**</w:t>
            </w:r>
          </w:p>
        </w:tc>
        <w:tc>
          <w:tcPr>
            <w:tcW w:w="990" w:type="dxa"/>
            <w:noWrap/>
            <w:hideMark/>
          </w:tcPr>
          <w:p w14:paraId="40EA3F7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-0.034</w:t>
            </w:r>
          </w:p>
        </w:tc>
        <w:tc>
          <w:tcPr>
            <w:tcW w:w="810" w:type="dxa"/>
            <w:noWrap/>
            <w:hideMark/>
          </w:tcPr>
          <w:p w14:paraId="75926A3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c>
          <w:tcPr>
            <w:tcW w:w="540" w:type="dxa"/>
            <w:noWrap/>
            <w:hideMark/>
          </w:tcPr>
          <w:p w14:paraId="0D02791C"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 </w:t>
            </w:r>
          </w:p>
        </w:tc>
      </w:tr>
      <w:tr w:rsidR="003D0DFD" w:rsidRPr="00162572" w14:paraId="5FEDD939" w14:textId="77777777" w:rsidTr="00FC46BF">
        <w:trPr>
          <w:trHeight w:val="342"/>
        </w:trPr>
        <w:tc>
          <w:tcPr>
            <w:tcW w:w="900" w:type="dxa"/>
            <w:noWrap/>
            <w:hideMark/>
          </w:tcPr>
          <w:p w14:paraId="43FFDECE"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Pr>
                <w:rFonts w:ascii="Arial" w:eastAsia="Times New Roman" w:hAnsi="Arial" w:cs="Arial"/>
                <w:color w:val="010205"/>
                <w:sz w:val="18"/>
                <w:szCs w:val="18"/>
              </w:rPr>
              <w:t>Pb</w:t>
            </w:r>
          </w:p>
        </w:tc>
        <w:tc>
          <w:tcPr>
            <w:tcW w:w="779" w:type="dxa"/>
          </w:tcPr>
          <w:p w14:paraId="4A1352D6"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sz w:val="18"/>
                <w:szCs w:val="18"/>
              </w:rPr>
              <w:t>-.473</w:t>
            </w:r>
            <w:r w:rsidRPr="00162572">
              <w:rPr>
                <w:rFonts w:ascii="Arial" w:eastAsia="Times New Roman" w:hAnsi="Arial" w:cs="Arial"/>
                <w:sz w:val="18"/>
                <w:szCs w:val="18"/>
                <w:vertAlign w:val="superscript"/>
              </w:rPr>
              <w:t>*</w:t>
            </w:r>
          </w:p>
        </w:tc>
        <w:tc>
          <w:tcPr>
            <w:tcW w:w="942" w:type="dxa"/>
            <w:noWrap/>
            <w:hideMark/>
          </w:tcPr>
          <w:p w14:paraId="625DB8F4"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-0.317</w:t>
            </w:r>
          </w:p>
        </w:tc>
        <w:tc>
          <w:tcPr>
            <w:tcW w:w="768" w:type="dxa"/>
            <w:noWrap/>
            <w:hideMark/>
          </w:tcPr>
          <w:p w14:paraId="408D40F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0.434</w:t>
            </w:r>
          </w:p>
        </w:tc>
        <w:tc>
          <w:tcPr>
            <w:tcW w:w="1080" w:type="dxa"/>
            <w:noWrap/>
            <w:hideMark/>
          </w:tcPr>
          <w:p w14:paraId="0602BCF2"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-0.030</w:t>
            </w:r>
          </w:p>
        </w:tc>
        <w:tc>
          <w:tcPr>
            <w:tcW w:w="900" w:type="dxa"/>
            <w:noWrap/>
            <w:hideMark/>
          </w:tcPr>
          <w:p w14:paraId="321748A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-0.389</w:t>
            </w:r>
          </w:p>
        </w:tc>
        <w:tc>
          <w:tcPr>
            <w:tcW w:w="810" w:type="dxa"/>
            <w:noWrap/>
            <w:hideMark/>
          </w:tcPr>
          <w:p w14:paraId="424A5BF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-0.255</w:t>
            </w:r>
          </w:p>
        </w:tc>
        <w:tc>
          <w:tcPr>
            <w:tcW w:w="926" w:type="dxa"/>
            <w:noWrap/>
            <w:hideMark/>
          </w:tcPr>
          <w:p w14:paraId="39B63EBD"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-0.150</w:t>
            </w:r>
          </w:p>
        </w:tc>
        <w:tc>
          <w:tcPr>
            <w:tcW w:w="720" w:type="dxa"/>
            <w:noWrap/>
            <w:hideMark/>
          </w:tcPr>
          <w:p w14:paraId="1F919AC0"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0.227</w:t>
            </w:r>
          </w:p>
        </w:tc>
        <w:tc>
          <w:tcPr>
            <w:tcW w:w="990" w:type="dxa"/>
            <w:noWrap/>
            <w:hideMark/>
          </w:tcPr>
          <w:p w14:paraId="2FEA732B"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0.357</w:t>
            </w:r>
          </w:p>
        </w:tc>
        <w:tc>
          <w:tcPr>
            <w:tcW w:w="810" w:type="dxa"/>
            <w:noWrap/>
            <w:hideMark/>
          </w:tcPr>
          <w:p w14:paraId="50511408"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-0.189</w:t>
            </w:r>
          </w:p>
        </w:tc>
        <w:tc>
          <w:tcPr>
            <w:tcW w:w="540" w:type="dxa"/>
            <w:noWrap/>
            <w:hideMark/>
          </w:tcPr>
          <w:p w14:paraId="517A67D3" w14:textId="77777777" w:rsidR="00834D63" w:rsidRPr="00162572" w:rsidRDefault="00834D63" w:rsidP="0009093E">
            <w:pPr>
              <w:tabs>
                <w:tab w:val="left" w:pos="10710"/>
              </w:tabs>
              <w:spacing w:line="480" w:lineRule="auto"/>
              <w:jc w:val="both"/>
              <w:rPr>
                <w:rFonts w:ascii="Arial" w:eastAsia="Times New Roman" w:hAnsi="Arial" w:cs="Arial"/>
                <w:color w:val="010205"/>
                <w:sz w:val="18"/>
                <w:szCs w:val="18"/>
              </w:rPr>
            </w:pPr>
            <w:r w:rsidRPr="00162572">
              <w:rPr>
                <w:rFonts w:ascii="Arial" w:eastAsia="Times New Roman" w:hAnsi="Arial" w:cs="Arial"/>
                <w:color w:val="010205"/>
                <w:sz w:val="18"/>
                <w:szCs w:val="18"/>
              </w:rPr>
              <w:t>1</w:t>
            </w:r>
          </w:p>
        </w:tc>
      </w:tr>
    </w:tbl>
    <w:p w14:paraId="42B35C2A" w14:textId="77777777" w:rsidR="00834D63" w:rsidRPr="00DA53F5" w:rsidRDefault="00834D63" w:rsidP="00834D63">
      <w:pPr>
        <w:tabs>
          <w:tab w:val="left" w:pos="10710"/>
        </w:tabs>
        <w:spacing w:line="480" w:lineRule="auto"/>
        <w:jc w:val="both"/>
        <w:rPr>
          <w:rFonts w:ascii="Times New Roman" w:hAnsi="Times New Roman" w:cs="Times New Roman"/>
          <w:sz w:val="24"/>
          <w:szCs w:val="24"/>
        </w:rPr>
      </w:pPr>
      <w:r w:rsidRPr="00DA53F5">
        <w:rPr>
          <w:rFonts w:ascii="Times New Roman" w:hAnsi="Times New Roman" w:cs="Times New Roman"/>
          <w:sz w:val="24"/>
          <w:szCs w:val="24"/>
        </w:rPr>
        <w:t>Correlation is significant at the 0.01 level (2-tailed).</w:t>
      </w:r>
    </w:p>
    <w:p w14:paraId="75E385C8" w14:textId="5C8B7E43" w:rsidR="00834D63" w:rsidRPr="00DA53F5" w:rsidRDefault="00834D63" w:rsidP="00834D63">
      <w:pPr>
        <w:tabs>
          <w:tab w:val="left" w:pos="10710"/>
        </w:tabs>
        <w:spacing w:line="480" w:lineRule="auto"/>
        <w:jc w:val="both"/>
        <w:rPr>
          <w:rFonts w:ascii="Times New Roman" w:hAnsi="Times New Roman" w:cs="Times New Roman"/>
          <w:sz w:val="24"/>
          <w:szCs w:val="24"/>
        </w:rPr>
      </w:pPr>
      <w:r w:rsidRPr="00DA53F5">
        <w:rPr>
          <w:rFonts w:ascii="Times New Roman" w:hAnsi="Times New Roman" w:cs="Times New Roman"/>
          <w:sz w:val="24"/>
          <w:szCs w:val="24"/>
        </w:rPr>
        <w:t>*Correlation is significant at the 0.05 level (2-tailed</w:t>
      </w:r>
    </w:p>
    <w:p w14:paraId="027A3E0C" w14:textId="77777777" w:rsidR="005801A3" w:rsidRDefault="005801A3" w:rsidP="00E95F4C">
      <w:pPr>
        <w:spacing w:line="240" w:lineRule="auto"/>
        <w:jc w:val="both"/>
        <w:rPr>
          <w:rFonts w:ascii="Times New Roman" w:hAnsi="Times New Roman" w:cs="Times New Roman"/>
          <w:b/>
          <w:bCs/>
          <w:sz w:val="24"/>
          <w:szCs w:val="24"/>
        </w:rPr>
      </w:pPr>
    </w:p>
    <w:p w14:paraId="42F6BB9D" w14:textId="77777777" w:rsidR="005801A3" w:rsidRDefault="005801A3" w:rsidP="00E95F4C">
      <w:pPr>
        <w:spacing w:line="240" w:lineRule="auto"/>
        <w:jc w:val="both"/>
        <w:rPr>
          <w:rFonts w:ascii="Times New Roman" w:hAnsi="Times New Roman" w:cs="Times New Roman"/>
          <w:b/>
          <w:bCs/>
          <w:sz w:val="24"/>
          <w:szCs w:val="24"/>
        </w:rPr>
      </w:pPr>
    </w:p>
    <w:p w14:paraId="003BE383" w14:textId="77777777" w:rsidR="005801A3" w:rsidRDefault="005801A3" w:rsidP="00E95F4C">
      <w:pPr>
        <w:spacing w:line="240" w:lineRule="auto"/>
        <w:jc w:val="both"/>
        <w:rPr>
          <w:rFonts w:ascii="Times New Roman" w:hAnsi="Times New Roman" w:cs="Times New Roman"/>
          <w:b/>
          <w:bCs/>
          <w:sz w:val="24"/>
          <w:szCs w:val="24"/>
        </w:rPr>
      </w:pPr>
    </w:p>
    <w:p w14:paraId="600EEDB3" w14:textId="77777777" w:rsidR="00E11089" w:rsidRDefault="00E11089" w:rsidP="00E95F4C">
      <w:pPr>
        <w:spacing w:line="240" w:lineRule="auto"/>
        <w:jc w:val="both"/>
        <w:rPr>
          <w:rFonts w:ascii="Times New Roman" w:hAnsi="Times New Roman" w:cs="Times New Roman"/>
          <w:b/>
          <w:bCs/>
          <w:sz w:val="24"/>
          <w:szCs w:val="24"/>
        </w:rPr>
      </w:pPr>
    </w:p>
    <w:p w14:paraId="7A1A3545" w14:textId="77777777" w:rsidR="00E11089" w:rsidRDefault="00E11089" w:rsidP="00E95F4C">
      <w:pPr>
        <w:spacing w:line="240" w:lineRule="auto"/>
        <w:jc w:val="both"/>
        <w:rPr>
          <w:rFonts w:ascii="Times New Roman" w:hAnsi="Times New Roman" w:cs="Times New Roman"/>
          <w:b/>
          <w:bCs/>
          <w:sz w:val="24"/>
          <w:szCs w:val="24"/>
        </w:rPr>
      </w:pPr>
    </w:p>
    <w:p w14:paraId="642D3CC6" w14:textId="3B9FBCC9" w:rsidR="003D0DFD" w:rsidRPr="00E95F4C" w:rsidRDefault="00E95F4C" w:rsidP="00E95F4C">
      <w:pPr>
        <w:spacing w:line="240" w:lineRule="auto"/>
        <w:jc w:val="both"/>
        <w:rPr>
          <w:rFonts w:ascii="Times New Roman" w:hAnsi="Times New Roman" w:cs="Times New Roman"/>
          <w:b/>
        </w:rPr>
      </w:pPr>
      <w:r>
        <w:rPr>
          <w:rFonts w:ascii="Times New Roman" w:hAnsi="Times New Roman" w:cs="Times New Roman"/>
          <w:b/>
          <w:bCs/>
          <w:sz w:val="24"/>
          <w:szCs w:val="24"/>
        </w:rPr>
        <w:lastRenderedPageBreak/>
        <w:t xml:space="preserve">5.0 </w:t>
      </w:r>
      <w:r w:rsidR="003D0DFD" w:rsidRPr="00E95F4C">
        <w:rPr>
          <w:rFonts w:ascii="Times New Roman" w:hAnsi="Times New Roman" w:cs="Times New Roman"/>
          <w:b/>
        </w:rPr>
        <w:t>Conclusion</w:t>
      </w:r>
    </w:p>
    <w:p w14:paraId="4EC0691C" w14:textId="53AE6D75" w:rsidR="00516BE3" w:rsidRPr="00516BE3" w:rsidRDefault="00516BE3" w:rsidP="00516BE3">
      <w:pPr>
        <w:spacing w:before="100" w:beforeAutospacing="1" w:after="100" w:afterAutospacing="1" w:line="240" w:lineRule="auto"/>
        <w:jc w:val="both"/>
        <w:rPr>
          <w:rFonts w:ascii="Times New Roman" w:eastAsia="Times New Roman" w:hAnsi="Times New Roman" w:cs="Times New Roman"/>
          <w:sz w:val="24"/>
          <w:szCs w:val="24"/>
        </w:rPr>
      </w:pPr>
      <w:r w:rsidRPr="00516BE3">
        <w:rPr>
          <w:rFonts w:ascii="Times New Roman" w:eastAsia="Times New Roman" w:hAnsi="Times New Roman" w:cs="Times New Roman"/>
          <w:sz w:val="24"/>
          <w:szCs w:val="24"/>
        </w:rPr>
        <w:t>The integrated radiometric and geochemical study of Orin-Ekiti and its environs has successfully delineated hydrothermal alteration zones and evaluated the mineralization potential</w:t>
      </w:r>
      <w:r w:rsidR="003862D8">
        <w:rPr>
          <w:rFonts w:ascii="Times New Roman" w:eastAsia="Times New Roman" w:hAnsi="Times New Roman" w:cs="Times New Roman"/>
          <w:sz w:val="24"/>
          <w:szCs w:val="24"/>
        </w:rPr>
        <w:t>s</w:t>
      </w:r>
      <w:r w:rsidRPr="00516BE3">
        <w:rPr>
          <w:rFonts w:ascii="Times New Roman" w:eastAsia="Times New Roman" w:hAnsi="Times New Roman" w:cs="Times New Roman"/>
          <w:sz w:val="24"/>
          <w:szCs w:val="24"/>
        </w:rPr>
        <w:t xml:space="preserve"> of the Basement Complex with unpreceden</w:t>
      </w:r>
      <w:r w:rsidR="00B81A0E">
        <w:rPr>
          <w:rFonts w:ascii="Times New Roman" w:eastAsia="Times New Roman" w:hAnsi="Times New Roman" w:cs="Times New Roman"/>
          <w:sz w:val="24"/>
          <w:szCs w:val="24"/>
        </w:rPr>
        <w:t xml:space="preserve">ted precision. Radiometric data, </w:t>
      </w:r>
      <w:r w:rsidRPr="00516BE3">
        <w:rPr>
          <w:rFonts w:ascii="Times New Roman" w:eastAsia="Times New Roman" w:hAnsi="Times New Roman" w:cs="Times New Roman"/>
          <w:sz w:val="24"/>
          <w:szCs w:val="24"/>
        </w:rPr>
        <w:t>particularly the distribution of potassium (K)</w:t>
      </w:r>
      <w:r w:rsidR="00B81A0E">
        <w:rPr>
          <w:rFonts w:ascii="Times New Roman" w:eastAsia="Times New Roman" w:hAnsi="Times New Roman" w:cs="Times New Roman"/>
          <w:sz w:val="24"/>
          <w:szCs w:val="24"/>
        </w:rPr>
        <w:t xml:space="preserve">, thorium (Th), and uranium (U), </w:t>
      </w:r>
      <w:r w:rsidRPr="00516BE3">
        <w:rPr>
          <w:rFonts w:ascii="Times New Roman" w:eastAsia="Times New Roman" w:hAnsi="Times New Roman" w:cs="Times New Roman"/>
          <w:sz w:val="24"/>
          <w:szCs w:val="24"/>
        </w:rPr>
        <w:t xml:space="preserve">reveal significant anomalies concentrated around </w:t>
      </w:r>
      <w:proofErr w:type="spellStart"/>
      <w:r w:rsidRPr="00516BE3">
        <w:rPr>
          <w:rFonts w:ascii="Times New Roman" w:eastAsia="Times New Roman" w:hAnsi="Times New Roman" w:cs="Times New Roman"/>
          <w:sz w:val="24"/>
          <w:szCs w:val="24"/>
        </w:rPr>
        <w:t>Iddo</w:t>
      </w:r>
      <w:proofErr w:type="spellEnd"/>
      <w:r w:rsidRPr="00516BE3">
        <w:rPr>
          <w:rFonts w:ascii="Times New Roman" w:eastAsia="Times New Roman" w:hAnsi="Times New Roman" w:cs="Times New Roman"/>
          <w:sz w:val="24"/>
          <w:szCs w:val="24"/>
        </w:rPr>
        <w:t xml:space="preserve">-Ekiti, </w:t>
      </w:r>
      <w:proofErr w:type="spellStart"/>
      <w:r w:rsidRPr="00516BE3">
        <w:rPr>
          <w:rFonts w:ascii="Times New Roman" w:eastAsia="Times New Roman" w:hAnsi="Times New Roman" w:cs="Times New Roman"/>
          <w:sz w:val="24"/>
          <w:szCs w:val="24"/>
        </w:rPr>
        <w:t>Ilogbo</w:t>
      </w:r>
      <w:proofErr w:type="spellEnd"/>
      <w:r w:rsidRPr="00516BE3">
        <w:rPr>
          <w:rFonts w:ascii="Times New Roman" w:eastAsia="Times New Roman" w:hAnsi="Times New Roman" w:cs="Times New Roman"/>
          <w:sz w:val="24"/>
          <w:szCs w:val="24"/>
        </w:rPr>
        <w:t xml:space="preserve">, and </w:t>
      </w:r>
      <w:proofErr w:type="spellStart"/>
      <w:r w:rsidRPr="00516BE3">
        <w:rPr>
          <w:rFonts w:ascii="Times New Roman" w:eastAsia="Times New Roman" w:hAnsi="Times New Roman" w:cs="Times New Roman"/>
          <w:sz w:val="24"/>
          <w:szCs w:val="24"/>
        </w:rPr>
        <w:t>Usi</w:t>
      </w:r>
      <w:proofErr w:type="spellEnd"/>
      <w:r w:rsidRPr="00516BE3">
        <w:rPr>
          <w:rFonts w:ascii="Times New Roman" w:eastAsia="Times New Roman" w:hAnsi="Times New Roman" w:cs="Times New Roman"/>
          <w:sz w:val="24"/>
          <w:szCs w:val="24"/>
        </w:rPr>
        <w:t xml:space="preserve">. These anomalies coincide spatially with NE–SW trending shear zones, confirming strong structural control on the localization of mineralization. The high K–Th–U signatures and potassium deviation maps delineate potassic alteration halos that signify zones of fluid migration and radiogenic enrichment. The </w:t>
      </w:r>
      <w:proofErr w:type="spellStart"/>
      <w:r w:rsidRPr="00516BE3">
        <w:rPr>
          <w:rFonts w:ascii="Times New Roman" w:eastAsia="Times New Roman" w:hAnsi="Times New Roman" w:cs="Times New Roman"/>
          <w:sz w:val="24"/>
          <w:szCs w:val="24"/>
        </w:rPr>
        <w:t>Charnockite</w:t>
      </w:r>
      <w:proofErr w:type="spellEnd"/>
      <w:r w:rsidRPr="00516BE3">
        <w:rPr>
          <w:rFonts w:ascii="Times New Roman" w:eastAsia="Times New Roman" w:hAnsi="Times New Roman" w:cs="Times New Roman"/>
          <w:sz w:val="24"/>
          <w:szCs w:val="24"/>
        </w:rPr>
        <w:t xml:space="preserve"> unit acts as a primary radiogenic reservoir and heat source, while the Migmatite serves as a reactive trap for uranium and other mobile elements precipitated along fault-controlled pathways.</w:t>
      </w:r>
      <w:r>
        <w:rPr>
          <w:rFonts w:ascii="Times New Roman" w:eastAsia="Times New Roman" w:hAnsi="Times New Roman" w:cs="Times New Roman"/>
          <w:sz w:val="24"/>
          <w:szCs w:val="24"/>
        </w:rPr>
        <w:t xml:space="preserve"> </w:t>
      </w:r>
      <w:r w:rsidR="00F67F02">
        <w:rPr>
          <w:rFonts w:ascii="Times New Roman" w:eastAsia="Times New Roman" w:hAnsi="Times New Roman" w:cs="Times New Roman"/>
          <w:sz w:val="24"/>
          <w:szCs w:val="24"/>
        </w:rPr>
        <w:t xml:space="preserve">Geochemically, </w:t>
      </w:r>
      <w:r w:rsidRPr="00516BE3">
        <w:rPr>
          <w:rFonts w:ascii="Times New Roman" w:eastAsia="Times New Roman" w:hAnsi="Times New Roman" w:cs="Times New Roman"/>
          <w:sz w:val="24"/>
          <w:szCs w:val="24"/>
        </w:rPr>
        <w:t>factor and correlation analyses confirm hydrothermal remobilization of metals. Strong elemental associations (e.g., Cu–Pb–Zn–Fe–Mn) and pathfinder elements (As–</w:t>
      </w:r>
      <w:proofErr w:type="spellStart"/>
      <w:r w:rsidRPr="00516BE3">
        <w:rPr>
          <w:rFonts w:ascii="Times New Roman" w:eastAsia="Times New Roman" w:hAnsi="Times New Roman" w:cs="Times New Roman"/>
          <w:sz w:val="24"/>
          <w:szCs w:val="24"/>
        </w:rPr>
        <w:t>Rb</w:t>
      </w:r>
      <w:proofErr w:type="spellEnd"/>
      <w:r w:rsidRPr="00516BE3">
        <w:rPr>
          <w:rFonts w:ascii="Times New Roman" w:eastAsia="Times New Roman" w:hAnsi="Times New Roman" w:cs="Times New Roman"/>
          <w:sz w:val="24"/>
          <w:szCs w:val="24"/>
        </w:rPr>
        <w:t>–Pb) indicate polymetallic sulfide mineralization linked to fluid–rock interaction within shear-controlled systems.</w:t>
      </w:r>
      <w:r>
        <w:rPr>
          <w:rFonts w:ascii="Times New Roman" w:eastAsia="Times New Roman" w:hAnsi="Times New Roman" w:cs="Times New Roman"/>
          <w:sz w:val="24"/>
          <w:szCs w:val="24"/>
        </w:rPr>
        <w:t xml:space="preserve"> </w:t>
      </w:r>
      <w:r w:rsidRPr="00516BE3">
        <w:rPr>
          <w:rFonts w:ascii="Times New Roman" w:eastAsia="Times New Roman" w:hAnsi="Times New Roman" w:cs="Times New Roman"/>
          <w:sz w:val="24"/>
          <w:szCs w:val="24"/>
        </w:rPr>
        <w:t xml:space="preserve">This integrated interpretation supports a </w:t>
      </w:r>
      <w:r w:rsidRPr="001C3943">
        <w:rPr>
          <w:rFonts w:ascii="Times New Roman" w:eastAsia="Times New Roman" w:hAnsi="Times New Roman" w:cs="Times New Roman"/>
          <w:bCs/>
          <w:sz w:val="24"/>
          <w:szCs w:val="24"/>
        </w:rPr>
        <w:t>two-stage mineralization model</w:t>
      </w:r>
      <w:r w:rsidRPr="00516BE3">
        <w:rPr>
          <w:rFonts w:ascii="Times New Roman" w:eastAsia="Times New Roman" w:hAnsi="Times New Roman" w:cs="Times New Roman"/>
          <w:sz w:val="24"/>
          <w:szCs w:val="24"/>
        </w:rPr>
        <w:t xml:space="preserve">: (1) primary magmatic enrichment of uranium and base metals within the </w:t>
      </w:r>
      <w:proofErr w:type="spellStart"/>
      <w:r w:rsidRPr="00516BE3">
        <w:rPr>
          <w:rFonts w:ascii="Times New Roman" w:eastAsia="Times New Roman" w:hAnsi="Times New Roman" w:cs="Times New Roman"/>
          <w:sz w:val="24"/>
          <w:szCs w:val="24"/>
        </w:rPr>
        <w:t>Charnockitic</w:t>
      </w:r>
      <w:proofErr w:type="spellEnd"/>
      <w:r w:rsidRPr="00516BE3">
        <w:rPr>
          <w:rFonts w:ascii="Times New Roman" w:eastAsia="Times New Roman" w:hAnsi="Times New Roman" w:cs="Times New Roman"/>
          <w:sz w:val="24"/>
          <w:szCs w:val="24"/>
        </w:rPr>
        <w:t xml:space="preserve"> suite, followed by (2) secondary hydrothermal remobilization and redeposition into the </w:t>
      </w:r>
      <w:proofErr w:type="spellStart"/>
      <w:r w:rsidRPr="00516BE3">
        <w:rPr>
          <w:rFonts w:ascii="Times New Roman" w:eastAsia="Times New Roman" w:hAnsi="Times New Roman" w:cs="Times New Roman"/>
          <w:sz w:val="24"/>
          <w:szCs w:val="24"/>
        </w:rPr>
        <w:t>Migmatitic</w:t>
      </w:r>
      <w:proofErr w:type="spellEnd"/>
      <w:r w:rsidRPr="00516BE3">
        <w:rPr>
          <w:rFonts w:ascii="Times New Roman" w:eastAsia="Times New Roman" w:hAnsi="Times New Roman" w:cs="Times New Roman"/>
          <w:sz w:val="24"/>
          <w:szCs w:val="24"/>
        </w:rPr>
        <w:t xml:space="preserve"> host along shear and contact zones. Such a dual process underscores the coupling between magmatism, deformation, and fluid flow in the Pan-African Basement Complex.</w:t>
      </w:r>
      <w:r>
        <w:rPr>
          <w:rFonts w:ascii="Times New Roman" w:eastAsia="Times New Roman" w:hAnsi="Times New Roman" w:cs="Times New Roman"/>
          <w:sz w:val="24"/>
          <w:szCs w:val="24"/>
        </w:rPr>
        <w:t xml:space="preserve"> </w:t>
      </w:r>
      <w:r w:rsidRPr="00516BE3">
        <w:rPr>
          <w:rFonts w:ascii="Times New Roman" w:eastAsia="Times New Roman" w:hAnsi="Times New Roman" w:cs="Times New Roman"/>
          <w:sz w:val="24"/>
          <w:szCs w:val="24"/>
        </w:rPr>
        <w:t xml:space="preserve">In essence, the Orin-Ekiti terrain is not a typical crystalline basement but a structurally guided, hydrothermally overprinted system where lithology, structure, and radiogenic enrichment collectively define its </w:t>
      </w:r>
      <w:proofErr w:type="spellStart"/>
      <w:r w:rsidRPr="00516BE3">
        <w:rPr>
          <w:rFonts w:ascii="Times New Roman" w:eastAsia="Times New Roman" w:hAnsi="Times New Roman" w:cs="Times New Roman"/>
          <w:sz w:val="24"/>
          <w:szCs w:val="24"/>
        </w:rPr>
        <w:t>metallogenic</w:t>
      </w:r>
      <w:proofErr w:type="spellEnd"/>
      <w:r w:rsidRPr="00516BE3">
        <w:rPr>
          <w:rFonts w:ascii="Times New Roman" w:eastAsia="Times New Roman" w:hAnsi="Times New Roman" w:cs="Times New Roman"/>
          <w:sz w:val="24"/>
          <w:szCs w:val="24"/>
        </w:rPr>
        <w:t xml:space="preserve"> framework. </w:t>
      </w:r>
      <w:r w:rsidRPr="005B08C1">
        <w:rPr>
          <w:rFonts w:ascii="Times New Roman" w:eastAsia="Times New Roman" w:hAnsi="Times New Roman" w:cs="Times New Roman"/>
          <w:sz w:val="24"/>
          <w:szCs w:val="24"/>
        </w:rPr>
        <w:t xml:space="preserve">This study provides the </w:t>
      </w:r>
      <w:r w:rsidRPr="005B08C1">
        <w:rPr>
          <w:rFonts w:ascii="Times New Roman" w:eastAsia="Times New Roman" w:hAnsi="Times New Roman" w:cs="Times New Roman"/>
          <w:bCs/>
          <w:sz w:val="24"/>
          <w:szCs w:val="24"/>
        </w:rPr>
        <w:t>first integrated radiomet</w:t>
      </w:r>
      <w:r w:rsidR="00D33603" w:rsidRPr="005B08C1">
        <w:rPr>
          <w:rFonts w:ascii="Times New Roman" w:eastAsia="Times New Roman" w:hAnsi="Times New Roman" w:cs="Times New Roman"/>
          <w:bCs/>
          <w:sz w:val="24"/>
          <w:szCs w:val="24"/>
        </w:rPr>
        <w:t xml:space="preserve">ric, </w:t>
      </w:r>
      <w:r w:rsidRPr="005B08C1">
        <w:rPr>
          <w:rFonts w:ascii="Times New Roman" w:eastAsia="Times New Roman" w:hAnsi="Times New Roman" w:cs="Times New Roman"/>
          <w:bCs/>
          <w:sz w:val="24"/>
          <w:szCs w:val="24"/>
        </w:rPr>
        <w:t>geochemical model</w:t>
      </w:r>
      <w:r w:rsidRPr="005B08C1">
        <w:rPr>
          <w:rFonts w:ascii="Times New Roman" w:eastAsia="Times New Roman" w:hAnsi="Times New Roman" w:cs="Times New Roman"/>
          <w:sz w:val="24"/>
          <w:szCs w:val="24"/>
        </w:rPr>
        <w:t xml:space="preserve"> for delineating uranium</w:t>
      </w:r>
      <w:r w:rsidR="005B08C1" w:rsidRPr="005B08C1">
        <w:rPr>
          <w:rFonts w:ascii="Times New Roman" w:eastAsia="Times New Roman" w:hAnsi="Times New Roman" w:cs="Times New Roman"/>
          <w:sz w:val="24"/>
          <w:szCs w:val="24"/>
        </w:rPr>
        <w:t xml:space="preserve">, Thorium, and Potassium </w:t>
      </w:r>
      <w:r w:rsidRPr="005B08C1">
        <w:rPr>
          <w:rFonts w:ascii="Times New Roman" w:eastAsia="Times New Roman" w:hAnsi="Times New Roman" w:cs="Times New Roman"/>
          <w:sz w:val="24"/>
          <w:szCs w:val="24"/>
        </w:rPr>
        <w:t>base-metal potentials in southwestern Nigeria</w:t>
      </w:r>
      <w:r w:rsidRPr="00516BE3">
        <w:rPr>
          <w:rFonts w:ascii="Times New Roman" w:eastAsia="Times New Roman" w:hAnsi="Times New Roman" w:cs="Times New Roman"/>
          <w:sz w:val="24"/>
          <w:szCs w:val="24"/>
        </w:rPr>
        <w:t>, advancing the understanding of basement-hosted mineral systems and establishing Orin-Ekiti and its environs as a promising target for future mineral exploration.</w:t>
      </w:r>
    </w:p>
    <w:p w14:paraId="3B84EB19" w14:textId="303ADA25" w:rsidR="00765DD4" w:rsidRDefault="003D0DFD" w:rsidP="00765DD4">
      <w:pPr>
        <w:spacing w:before="100" w:beforeAutospacing="1" w:after="100" w:afterAutospacing="1" w:line="240" w:lineRule="auto"/>
        <w:jc w:val="both"/>
        <w:rPr>
          <w:rFonts w:ascii="Times New Roman" w:eastAsia="Times New Roman" w:hAnsi="Times New Roman" w:cs="Times New Roman"/>
          <w:b/>
          <w:bCs/>
          <w:sz w:val="24"/>
          <w:szCs w:val="24"/>
        </w:rPr>
      </w:pPr>
      <w:r w:rsidRPr="00E45DB7">
        <w:rPr>
          <w:rFonts w:ascii="Times New Roman" w:eastAsia="Times New Roman" w:hAnsi="Times New Roman" w:cs="Times New Roman"/>
          <w:b/>
          <w:bCs/>
          <w:sz w:val="24"/>
          <w:szCs w:val="24"/>
        </w:rPr>
        <w:t>REFERENCES</w:t>
      </w:r>
    </w:p>
    <w:p w14:paraId="5F72C43E" w14:textId="770D371A"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Adekoya, J.A., </w:t>
      </w:r>
      <w:proofErr w:type="spellStart"/>
      <w:r w:rsidRPr="001A523E">
        <w:rPr>
          <w:rFonts w:ascii="Times New Roman" w:hAnsi="Times New Roman" w:cs="Times New Roman"/>
          <w:color w:val="222222"/>
          <w:shd w:val="clear" w:color="auto" w:fill="FFFFFF"/>
        </w:rPr>
        <w:t>Olarewaju</w:t>
      </w:r>
      <w:proofErr w:type="spellEnd"/>
      <w:r w:rsidRPr="001A523E">
        <w:rPr>
          <w:rFonts w:ascii="Times New Roman" w:hAnsi="Times New Roman" w:cs="Times New Roman"/>
          <w:color w:val="222222"/>
          <w:shd w:val="clear" w:color="auto" w:fill="FFFFFF"/>
        </w:rPr>
        <w:t xml:space="preserve">, V.O., &amp; </w:t>
      </w:r>
      <w:proofErr w:type="spellStart"/>
      <w:r w:rsidRPr="001A523E">
        <w:rPr>
          <w:rFonts w:ascii="Times New Roman" w:hAnsi="Times New Roman" w:cs="Times New Roman"/>
          <w:color w:val="222222"/>
          <w:shd w:val="clear" w:color="auto" w:fill="FFFFFF"/>
        </w:rPr>
        <w:t>Okunlola</w:t>
      </w:r>
      <w:proofErr w:type="spellEnd"/>
      <w:r w:rsidRPr="001A523E">
        <w:rPr>
          <w:rFonts w:ascii="Times New Roman" w:hAnsi="Times New Roman" w:cs="Times New Roman"/>
          <w:color w:val="222222"/>
          <w:shd w:val="clear" w:color="auto" w:fill="FFFFFF"/>
        </w:rPr>
        <w:t>, O.A. (2020). Evolution of Basement Complex terrains in Southwestern Nigeria. </w:t>
      </w:r>
      <w:hyperlink r:id="rId27" w:tgtFrame="_blank" w:history="1">
        <w:r w:rsidRPr="001A523E">
          <w:rPr>
            <w:rStyle w:val="Hyperlink"/>
            <w:rFonts w:ascii="Times New Roman" w:hAnsi="Times New Roman" w:cs="Times New Roman"/>
            <w:color w:val="1155CC"/>
            <w:shd w:val="clear" w:color="auto" w:fill="FFFFFF"/>
          </w:rPr>
          <w:t>https://www.researchgate.net/publication/344392320</w:t>
        </w:r>
      </w:hyperlink>
    </w:p>
    <w:p w14:paraId="50DF67DF" w14:textId="1EE137B8"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lang w:val="pt-BR"/>
        </w:rPr>
        <w:t>Anaba, A., Okon, E., &amp; Udofia, A. (2023). </w:t>
      </w:r>
      <w:r w:rsidRPr="001A523E">
        <w:rPr>
          <w:rFonts w:ascii="Times New Roman" w:hAnsi="Times New Roman" w:cs="Times New Roman"/>
          <w:color w:val="222222"/>
          <w:shd w:val="clear" w:color="auto" w:fill="FFFFFF"/>
        </w:rPr>
        <w:t>Ternary radiometric mapping of K–Th–U ratios for lithology and alteration zones in basement terrains, Nigeria. Geosciences, 13(4), 145. </w:t>
      </w:r>
      <w:hyperlink r:id="rId28" w:tgtFrame="_blank" w:history="1">
        <w:r w:rsidRPr="001A523E">
          <w:rPr>
            <w:rStyle w:val="Hyperlink"/>
            <w:rFonts w:ascii="Times New Roman" w:hAnsi="Times New Roman" w:cs="Times New Roman"/>
            <w:color w:val="1155CC"/>
            <w:shd w:val="clear" w:color="auto" w:fill="FFFFFF"/>
          </w:rPr>
          <w:t>https://www.mdpi.com/2076-3263/13/4/145</w:t>
        </w:r>
      </w:hyperlink>
    </w:p>
    <w:p w14:paraId="25A0BEB0" w14:textId="1D25A690" w:rsidR="00930A13" w:rsidRPr="001A523E" w:rsidRDefault="000F4EED" w:rsidP="001A523E">
      <w:pPr>
        <w:pStyle w:val="ListParagraph"/>
        <w:numPr>
          <w:ilvl w:val="0"/>
          <w:numId w:val="30"/>
        </w:numPr>
        <w:spacing w:before="100" w:beforeAutospacing="1" w:after="100" w:afterAutospacing="1" w:line="240" w:lineRule="auto"/>
        <w:rPr>
          <w:rFonts w:ascii="Times New Roman" w:hAnsi="Times New Roman" w:cs="Times New Roman"/>
        </w:rPr>
      </w:pPr>
      <w:hyperlink r:id="rId29" w:tgtFrame="_blank" w:history="1">
        <w:r w:rsidR="00930A13" w:rsidRPr="001A523E">
          <w:rPr>
            <w:rStyle w:val="Hyperlink"/>
            <w:rFonts w:ascii="Times New Roman" w:hAnsi="Times New Roman" w:cs="Times New Roman"/>
            <w:color w:val="1155CC"/>
            <w:shd w:val="clear" w:color="auto" w:fill="FFFFFF"/>
          </w:rPr>
          <w:t>Ekitistate.gov.ng</w:t>
        </w:r>
      </w:hyperlink>
      <w:r w:rsidR="00930A13" w:rsidRPr="001A523E">
        <w:rPr>
          <w:rFonts w:ascii="Times New Roman" w:hAnsi="Times New Roman" w:cs="Times New Roman"/>
          <w:color w:val="222222"/>
          <w:shd w:val="clear" w:color="auto" w:fill="FFFFFF"/>
        </w:rPr>
        <w:t>. (2022). About Ekiti State. </w:t>
      </w:r>
      <w:hyperlink r:id="rId30" w:tgtFrame="_blank" w:history="1">
        <w:r w:rsidR="00930A13" w:rsidRPr="001A523E">
          <w:rPr>
            <w:rStyle w:val="Hyperlink"/>
            <w:rFonts w:ascii="Times New Roman" w:hAnsi="Times New Roman" w:cs="Times New Roman"/>
            <w:color w:val="1155CC"/>
            <w:shd w:val="clear" w:color="auto" w:fill="FFFFFF"/>
          </w:rPr>
          <w:t>https://www.ekitistate.gov.ng/about-ekiti</w:t>
        </w:r>
      </w:hyperlink>
    </w:p>
    <w:p w14:paraId="22C03643" w14:textId="22145D2A"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Frost, B.R., Barnes, C.G., Collins, W.J., </w:t>
      </w:r>
      <w:proofErr w:type="spellStart"/>
      <w:r w:rsidRPr="001A523E">
        <w:rPr>
          <w:rFonts w:ascii="Times New Roman" w:hAnsi="Times New Roman" w:cs="Times New Roman"/>
          <w:color w:val="222222"/>
          <w:shd w:val="clear" w:color="auto" w:fill="FFFFFF"/>
        </w:rPr>
        <w:t>Arculus</w:t>
      </w:r>
      <w:proofErr w:type="spellEnd"/>
      <w:r w:rsidRPr="001A523E">
        <w:rPr>
          <w:rFonts w:ascii="Times New Roman" w:hAnsi="Times New Roman" w:cs="Times New Roman"/>
          <w:color w:val="222222"/>
          <w:shd w:val="clear" w:color="auto" w:fill="FFFFFF"/>
        </w:rPr>
        <w:t>, R.J., Ellis, D.J., &amp; Frost, C.D. (2001). A geochemical classification for granitic rocks. Journal of Petrology, 42(11), 2033–2048. </w:t>
      </w:r>
      <w:hyperlink r:id="rId31" w:tgtFrame="_blank" w:history="1">
        <w:r w:rsidRPr="001A523E">
          <w:rPr>
            <w:rStyle w:val="Hyperlink"/>
            <w:rFonts w:ascii="Times New Roman" w:hAnsi="Times New Roman" w:cs="Times New Roman"/>
            <w:color w:val="1155CC"/>
            <w:shd w:val="clear" w:color="auto" w:fill="FFFFFF"/>
          </w:rPr>
          <w:t>https://openresearch-repository.anu.edu.au/handle/1885/93167</w:t>
        </w:r>
      </w:hyperlink>
    </w:p>
    <w:p w14:paraId="42EE7764" w14:textId="7EA390E6"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Fonts w:ascii="Times New Roman" w:hAnsi="Times New Roman" w:cs="Times New Roman"/>
          <w:color w:val="222222"/>
          <w:shd w:val="clear" w:color="auto" w:fill="FFFFFF"/>
        </w:rPr>
        <w:t>Govett</w:t>
      </w:r>
      <w:proofErr w:type="spellEnd"/>
      <w:r w:rsidRPr="001A523E">
        <w:rPr>
          <w:rFonts w:ascii="Times New Roman" w:hAnsi="Times New Roman" w:cs="Times New Roman"/>
          <w:color w:val="222222"/>
          <w:shd w:val="clear" w:color="auto" w:fill="FFFFFF"/>
        </w:rPr>
        <w:t>, G.J.S. (1983). Rock geochemistry in mineral exploration. Handbook of Exploration Geochemistry, Volume 3. Elsevier Scientific Publishing Company. </w:t>
      </w:r>
      <w:hyperlink r:id="rId32" w:tgtFrame="_blank" w:history="1">
        <w:r w:rsidRPr="001A523E">
          <w:rPr>
            <w:rStyle w:val="Hyperlink"/>
            <w:rFonts w:ascii="Times New Roman" w:hAnsi="Times New Roman" w:cs="Times New Roman"/>
            <w:color w:val="1155CC"/>
            <w:shd w:val="clear" w:color="auto" w:fill="FFFFFF"/>
          </w:rPr>
          <w:t>https://api.pageplace.de/preview/DT0400.9781483289700_A23884968/preview-9781483289700_A23884968.pdf</w:t>
        </w:r>
      </w:hyperlink>
    </w:p>
    <w:p w14:paraId="51670301" w14:textId="5558E3B6"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IAEA (2003). Guidelines for radioelement mapping using gamma ray spectrometry data. IAEA-TECDOC-1363. </w:t>
      </w:r>
      <w:hyperlink r:id="rId33" w:tgtFrame="_blank" w:history="1">
        <w:r w:rsidRPr="001A523E">
          <w:rPr>
            <w:rStyle w:val="Hyperlink"/>
            <w:rFonts w:ascii="Times New Roman" w:hAnsi="Times New Roman" w:cs="Times New Roman"/>
            <w:color w:val="1155CC"/>
            <w:shd w:val="clear" w:color="auto" w:fill="FFFFFF"/>
          </w:rPr>
          <w:t>https://www.iaea.org/publications/6446</w:t>
        </w:r>
      </w:hyperlink>
    </w:p>
    <w:p w14:paraId="77EB28BC" w14:textId="75E7DA7F"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lastRenderedPageBreak/>
        <w:t xml:space="preserve">Nigerian Geological Survey Agency. (2023). High-resolution Airborne </w:t>
      </w:r>
      <w:proofErr w:type="spellStart"/>
      <w:r w:rsidRPr="001A523E">
        <w:rPr>
          <w:rFonts w:ascii="Times New Roman" w:hAnsi="Times New Roman" w:cs="Times New Roman"/>
          <w:color w:val="222222"/>
          <w:shd w:val="clear" w:color="auto" w:fill="FFFFFF"/>
        </w:rPr>
        <w:t>MagRad</w:t>
      </w:r>
      <w:proofErr w:type="spellEnd"/>
      <w:r w:rsidRPr="001A523E">
        <w:rPr>
          <w:rFonts w:ascii="Times New Roman" w:hAnsi="Times New Roman" w:cs="Times New Roman"/>
          <w:color w:val="222222"/>
          <w:shd w:val="clear" w:color="auto" w:fill="FFFFFF"/>
        </w:rPr>
        <w:t xml:space="preserve"> data of Southwestern Nigeria (150 m line spacing / 50 m terrain clearance). </w:t>
      </w:r>
      <w:hyperlink r:id="rId34" w:tgtFrame="_blank" w:history="1">
        <w:r w:rsidRPr="001A523E">
          <w:rPr>
            <w:rStyle w:val="Hyperlink"/>
            <w:rFonts w:ascii="Times New Roman" w:hAnsi="Times New Roman" w:cs="Times New Roman"/>
            <w:color w:val="1155CC"/>
            <w:shd w:val="clear" w:color="auto" w:fill="FFFFFF"/>
          </w:rPr>
          <w:t>https://miningdecision.minesandsteel.gov.ng/ngsa_metadata/srv/api/records/d46a4948-261e-11ee-ab7a-a3b637ca321c</w:t>
        </w:r>
      </w:hyperlink>
    </w:p>
    <w:p w14:paraId="1386994E" w14:textId="753B5FED"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NSRMEA / Nigerian Geological Survey Agency. (2022). 2021 bauxite exploration in Orin-Ekiti and </w:t>
      </w:r>
      <w:proofErr w:type="spellStart"/>
      <w:r w:rsidRPr="001A523E">
        <w:rPr>
          <w:rFonts w:ascii="Times New Roman" w:hAnsi="Times New Roman" w:cs="Times New Roman"/>
          <w:color w:val="222222"/>
          <w:shd w:val="clear" w:color="auto" w:fill="FFFFFF"/>
        </w:rPr>
        <w:t>Mambilla</w:t>
      </w:r>
      <w:proofErr w:type="spellEnd"/>
      <w:r w:rsidRPr="001A523E">
        <w:rPr>
          <w:rFonts w:ascii="Times New Roman" w:hAnsi="Times New Roman" w:cs="Times New Roman"/>
          <w:color w:val="222222"/>
          <w:shd w:val="clear" w:color="auto" w:fill="FFFFFF"/>
        </w:rPr>
        <w:t xml:space="preserve"> region. </w:t>
      </w:r>
      <w:hyperlink r:id="rId35" w:tgtFrame="_blank" w:history="1">
        <w:r w:rsidRPr="001A523E">
          <w:rPr>
            <w:rStyle w:val="Hyperlink"/>
            <w:rFonts w:ascii="Times New Roman" w:hAnsi="Times New Roman" w:cs="Times New Roman"/>
            <w:color w:val="1155CC"/>
            <w:shd w:val="clear" w:color="auto" w:fill="FFFFFF"/>
          </w:rPr>
          <w:t>https://nsrmea.gov.ng/blog/bauxite-exploration-in-orin-ekiti-and-mambilla</w:t>
        </w:r>
      </w:hyperlink>
    </w:p>
    <w:p w14:paraId="2DB3F31E" w14:textId="36456207"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Fonts w:ascii="Times New Roman" w:hAnsi="Times New Roman" w:cs="Times New Roman"/>
          <w:color w:val="222222"/>
          <w:shd w:val="clear" w:color="auto" w:fill="FFFFFF"/>
        </w:rPr>
        <w:t>Rahaman</w:t>
      </w:r>
      <w:proofErr w:type="spellEnd"/>
      <w:r w:rsidRPr="001A523E">
        <w:rPr>
          <w:rFonts w:ascii="Times New Roman" w:hAnsi="Times New Roman" w:cs="Times New Roman"/>
          <w:color w:val="222222"/>
          <w:shd w:val="clear" w:color="auto" w:fill="FFFFFF"/>
        </w:rPr>
        <w:t>, M.A. (1988). Recent advances in the study of the Basement Complex of Nigeria. In Precambrian Geology of Nigeria (pp. 11–41). Geological Survey of Nigeria. </w:t>
      </w:r>
      <w:hyperlink r:id="rId36" w:tgtFrame="_blank" w:history="1">
        <w:r w:rsidRPr="001A523E">
          <w:rPr>
            <w:rStyle w:val="Hyperlink"/>
            <w:rFonts w:ascii="Times New Roman" w:hAnsi="Times New Roman" w:cs="Times New Roman"/>
            <w:color w:val="1155CC"/>
            <w:shd w:val="clear" w:color="auto" w:fill="FFFFFF"/>
          </w:rPr>
          <w:t>https://www.researchgate.net/publication/303897996</w:t>
        </w:r>
      </w:hyperlink>
    </w:p>
    <w:p w14:paraId="6B829F10" w14:textId="50F44EA1"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 xml:space="preserve">Wilford, J., </w:t>
      </w:r>
      <w:proofErr w:type="spellStart"/>
      <w:r w:rsidRPr="001A523E">
        <w:rPr>
          <w:rFonts w:ascii="Times New Roman" w:hAnsi="Times New Roman" w:cs="Times New Roman"/>
          <w:color w:val="222222"/>
          <w:shd w:val="clear" w:color="auto" w:fill="FFFFFF"/>
        </w:rPr>
        <w:t>Bierwirth</w:t>
      </w:r>
      <w:proofErr w:type="spellEnd"/>
      <w:r w:rsidRPr="001A523E">
        <w:rPr>
          <w:rFonts w:ascii="Times New Roman" w:hAnsi="Times New Roman" w:cs="Times New Roman"/>
          <w:color w:val="222222"/>
          <w:shd w:val="clear" w:color="auto" w:fill="FFFFFF"/>
        </w:rPr>
        <w:t>, P., &amp; Craig, M. (1997). Application of airborne gamma-ray spectrometry in soil/regolith mapping and applied geomorphology. AGSO Journal of Australian Geology &amp; Geophysics, 17(2), 201–216. </w:t>
      </w:r>
      <w:hyperlink r:id="rId37" w:tgtFrame="_blank" w:history="1">
        <w:r w:rsidRPr="001A523E">
          <w:rPr>
            <w:rStyle w:val="Hyperlink"/>
            <w:rFonts w:ascii="Times New Roman" w:hAnsi="Times New Roman" w:cs="Times New Roman"/>
            <w:color w:val="1155CC"/>
            <w:shd w:val="clear" w:color="auto" w:fill="FFFFFF"/>
          </w:rPr>
          <w:t>https://d28rz98at9flks.cloudfront.net/81546/Rec1997_44.pdf</w:t>
        </w:r>
      </w:hyperlink>
    </w:p>
    <w:p w14:paraId="0D1D0880" w14:textId="158DAF61"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Fonts w:ascii="Times New Roman" w:hAnsi="Times New Roman" w:cs="Times New Roman"/>
          <w:color w:val="222222"/>
          <w:shd w:val="clear" w:color="auto" w:fill="FFFFFF"/>
        </w:rPr>
        <w:t>Geoscience Australia. (2021). Radiometric (gamma-ray) method: Measuring potassium, uranium, and thorium. Geoscience Australia. </w:t>
      </w:r>
      <w:hyperlink r:id="rId38" w:tgtFrame="_blank" w:history="1">
        <w:r w:rsidRPr="001A523E">
          <w:rPr>
            <w:rStyle w:val="Hyperlink"/>
            <w:rFonts w:ascii="Times New Roman" w:hAnsi="Times New Roman" w:cs="Times New Roman"/>
            <w:color w:val="1155CC"/>
            <w:shd w:val="clear" w:color="auto" w:fill="FFFFFF"/>
          </w:rPr>
          <w:t>https://www.ga.gov.au/scientific-topics/disciplines/geophysics/radiometrics</w:t>
        </w:r>
      </w:hyperlink>
    </w:p>
    <w:p w14:paraId="134A7134" w14:textId="16E74DEC"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Fonts w:ascii="Times New Roman" w:hAnsi="Times New Roman" w:cs="Times New Roman"/>
        </w:rPr>
        <w:t>Adepelumi</w:t>
      </w:r>
      <w:proofErr w:type="spellEnd"/>
      <w:r w:rsidRPr="001A523E">
        <w:rPr>
          <w:rFonts w:ascii="Times New Roman" w:hAnsi="Times New Roman" w:cs="Times New Roman"/>
        </w:rPr>
        <w:t xml:space="preserve">, A.A., </w:t>
      </w:r>
      <w:proofErr w:type="spellStart"/>
      <w:r w:rsidRPr="001A523E">
        <w:rPr>
          <w:rFonts w:ascii="Times New Roman" w:hAnsi="Times New Roman" w:cs="Times New Roman"/>
        </w:rPr>
        <w:t>Ako</w:t>
      </w:r>
      <w:proofErr w:type="spellEnd"/>
      <w:r w:rsidRPr="001A523E">
        <w:rPr>
          <w:rFonts w:ascii="Times New Roman" w:hAnsi="Times New Roman" w:cs="Times New Roman"/>
        </w:rPr>
        <w:t xml:space="preserve">, B.D., Ajayi, T.R., </w:t>
      </w:r>
      <w:proofErr w:type="spellStart"/>
      <w:r w:rsidRPr="001A523E">
        <w:rPr>
          <w:rFonts w:ascii="Times New Roman" w:hAnsi="Times New Roman" w:cs="Times New Roman"/>
        </w:rPr>
        <w:t>Olorunfemi</w:t>
      </w:r>
      <w:proofErr w:type="spellEnd"/>
      <w:r w:rsidRPr="001A523E">
        <w:rPr>
          <w:rFonts w:ascii="Times New Roman" w:hAnsi="Times New Roman" w:cs="Times New Roman"/>
        </w:rPr>
        <w:t xml:space="preserve">, A.O., </w:t>
      </w:r>
      <w:proofErr w:type="spellStart"/>
      <w:r w:rsidRPr="001A523E">
        <w:rPr>
          <w:rFonts w:ascii="Times New Roman" w:hAnsi="Times New Roman" w:cs="Times New Roman"/>
        </w:rPr>
        <w:t>Awoyemi</w:t>
      </w:r>
      <w:proofErr w:type="spellEnd"/>
      <w:r w:rsidRPr="001A523E">
        <w:rPr>
          <w:rFonts w:ascii="Times New Roman" w:hAnsi="Times New Roman" w:cs="Times New Roman"/>
        </w:rPr>
        <w:t xml:space="preserve">, M.O., &amp; </w:t>
      </w:r>
      <w:proofErr w:type="spellStart"/>
      <w:r w:rsidRPr="001A523E">
        <w:rPr>
          <w:rFonts w:ascii="Times New Roman" w:hAnsi="Times New Roman" w:cs="Times New Roman"/>
        </w:rPr>
        <w:t>Falebita</w:t>
      </w:r>
      <w:proofErr w:type="spellEnd"/>
      <w:r w:rsidRPr="001A523E">
        <w:rPr>
          <w:rFonts w:ascii="Times New Roman" w:hAnsi="Times New Roman" w:cs="Times New Roman"/>
        </w:rPr>
        <w:t xml:space="preserve">, D.E. (2008). </w:t>
      </w:r>
      <w:r w:rsidRPr="001A523E">
        <w:rPr>
          <w:rStyle w:val="Emphasis"/>
          <w:rFonts w:ascii="Times New Roman" w:hAnsi="Times New Roman" w:cs="Times New Roman"/>
        </w:rPr>
        <w:t xml:space="preserve">Integrated geophysical mapping of the </w:t>
      </w:r>
      <w:proofErr w:type="spellStart"/>
      <w:r w:rsidRPr="001A523E">
        <w:rPr>
          <w:rStyle w:val="Emphasis"/>
          <w:rFonts w:ascii="Times New Roman" w:hAnsi="Times New Roman" w:cs="Times New Roman"/>
        </w:rPr>
        <w:t>Ifewara</w:t>
      </w:r>
      <w:proofErr w:type="spellEnd"/>
      <w:r w:rsidRPr="001A523E">
        <w:rPr>
          <w:rStyle w:val="Emphasis"/>
          <w:rFonts w:ascii="Times New Roman" w:hAnsi="Times New Roman" w:cs="Times New Roman"/>
        </w:rPr>
        <w:t xml:space="preserve"> transcurrent fault system, Nigeria.</w:t>
      </w:r>
      <w:r w:rsidRPr="001A523E">
        <w:rPr>
          <w:rFonts w:ascii="Times New Roman" w:hAnsi="Times New Roman" w:cs="Times New Roman"/>
        </w:rPr>
        <w:t xml:space="preserve"> Journal of African Earth Sciences, </w:t>
      </w:r>
      <w:r w:rsidRPr="001A523E">
        <w:rPr>
          <w:rStyle w:val="Strong"/>
          <w:rFonts w:ascii="Times New Roman" w:hAnsi="Times New Roman" w:cs="Times New Roman"/>
          <w:b w:val="0"/>
        </w:rPr>
        <w:t>52</w:t>
      </w:r>
      <w:r w:rsidRPr="001A523E">
        <w:rPr>
          <w:rFonts w:ascii="Times New Roman" w:hAnsi="Times New Roman" w:cs="Times New Roman"/>
        </w:rPr>
        <w:t xml:space="preserve">(4–5), 161–166. </w:t>
      </w:r>
      <w:hyperlink r:id="rId39" w:history="1">
        <w:r w:rsidRPr="001A523E">
          <w:rPr>
            <w:rStyle w:val="Hyperlink"/>
            <w:rFonts w:ascii="Times New Roman" w:hAnsi="Times New Roman" w:cs="Times New Roman"/>
          </w:rPr>
          <w:t>https://doi.org/10.1016/j.jafrearsci.2008.07.002</w:t>
        </w:r>
      </w:hyperlink>
    </w:p>
    <w:p w14:paraId="789177F2" w14:textId="1F513A80"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r w:rsidRPr="001A523E">
        <w:rPr>
          <w:rStyle w:val="Strong"/>
          <w:rFonts w:ascii="Times New Roman" w:hAnsi="Times New Roman" w:cs="Times New Roman"/>
          <w:b w:val="0"/>
          <w:bCs w:val="0"/>
        </w:rPr>
        <w:t xml:space="preserve">Dada, S.S. (2008). </w:t>
      </w:r>
      <w:r w:rsidRPr="001A523E">
        <w:rPr>
          <w:rStyle w:val="Strong"/>
          <w:rFonts w:ascii="Times New Roman" w:hAnsi="Times New Roman" w:cs="Times New Roman"/>
          <w:b w:val="0"/>
        </w:rPr>
        <w:t>Proterozoic evolution of the Nigeria–</w:t>
      </w:r>
      <w:proofErr w:type="spellStart"/>
      <w:r w:rsidRPr="001A523E">
        <w:rPr>
          <w:rStyle w:val="Strong"/>
          <w:rFonts w:ascii="Times New Roman" w:hAnsi="Times New Roman" w:cs="Times New Roman"/>
          <w:b w:val="0"/>
        </w:rPr>
        <w:t>Borborema</w:t>
      </w:r>
      <w:proofErr w:type="spellEnd"/>
      <w:r w:rsidRPr="001A523E">
        <w:rPr>
          <w:rStyle w:val="Strong"/>
          <w:rFonts w:ascii="Times New Roman" w:hAnsi="Times New Roman" w:cs="Times New Roman"/>
          <w:b w:val="0"/>
        </w:rPr>
        <w:t xml:space="preserve"> Province.</w:t>
      </w:r>
      <w:r w:rsidRPr="001A523E">
        <w:rPr>
          <w:rFonts w:ascii="Times New Roman" w:hAnsi="Times New Roman" w:cs="Times New Roman"/>
        </w:rPr>
        <w:br/>
      </w:r>
      <w:r w:rsidRPr="001A523E">
        <w:rPr>
          <w:rStyle w:val="Emphasis"/>
          <w:rFonts w:ascii="Times New Roman" w:hAnsi="Times New Roman" w:cs="Times New Roman"/>
        </w:rPr>
        <w:t xml:space="preserve">In: Pankhurst, R.J., </w:t>
      </w:r>
      <w:proofErr w:type="spellStart"/>
      <w:r w:rsidRPr="001A523E">
        <w:rPr>
          <w:rStyle w:val="Emphasis"/>
          <w:rFonts w:ascii="Times New Roman" w:hAnsi="Times New Roman" w:cs="Times New Roman"/>
        </w:rPr>
        <w:t>Trouw</w:t>
      </w:r>
      <w:proofErr w:type="spellEnd"/>
      <w:r w:rsidRPr="001A523E">
        <w:rPr>
          <w:rStyle w:val="Emphasis"/>
          <w:rFonts w:ascii="Times New Roman" w:hAnsi="Times New Roman" w:cs="Times New Roman"/>
        </w:rPr>
        <w:t>, R., Brito Neves, B., De Wit, M. (Eds.) West Gondwana.</w:t>
      </w:r>
      <w:r w:rsidRPr="001A523E">
        <w:rPr>
          <w:rFonts w:ascii="Times New Roman" w:hAnsi="Times New Roman" w:cs="Times New Roman"/>
        </w:rPr>
        <w:br/>
      </w:r>
      <w:r w:rsidRPr="001A523E">
        <w:rPr>
          <w:rStyle w:val="Strong"/>
          <w:rFonts w:ascii="Times New Roman" w:hAnsi="Times New Roman" w:cs="Times New Roman"/>
          <w:b w:val="0"/>
        </w:rPr>
        <w:t>Geological Society, London, Special Publication 294, 121–136.</w:t>
      </w:r>
      <w:r w:rsidRPr="001A523E">
        <w:rPr>
          <w:rFonts w:ascii="Times New Roman" w:hAnsi="Times New Roman" w:cs="Times New Roman"/>
        </w:rPr>
        <w:br/>
      </w:r>
      <w:hyperlink r:id="rId40" w:history="1">
        <w:r w:rsidRPr="001A523E">
          <w:rPr>
            <w:rStyle w:val="Hyperlink"/>
            <w:rFonts w:ascii="Times New Roman" w:hAnsi="Times New Roman" w:cs="Times New Roman"/>
          </w:rPr>
          <w:t>https://doi.org/10.1144/SP294.7</w:t>
        </w:r>
      </w:hyperlink>
    </w:p>
    <w:p w14:paraId="34FC9A92" w14:textId="61D4FECF" w:rsidR="00930A13" w:rsidRPr="001A523E" w:rsidRDefault="00930A13" w:rsidP="001A523E">
      <w:pPr>
        <w:pStyle w:val="ListParagraph"/>
        <w:numPr>
          <w:ilvl w:val="0"/>
          <w:numId w:val="30"/>
        </w:numPr>
        <w:spacing w:before="100" w:beforeAutospacing="1" w:after="100" w:afterAutospacing="1" w:line="240" w:lineRule="auto"/>
        <w:rPr>
          <w:rFonts w:ascii="Times New Roman" w:hAnsi="Times New Roman" w:cs="Times New Roman"/>
        </w:rPr>
      </w:pPr>
      <w:proofErr w:type="spellStart"/>
      <w:r w:rsidRPr="001A523E">
        <w:rPr>
          <w:rStyle w:val="Strong"/>
          <w:rFonts w:ascii="Times New Roman" w:hAnsi="Times New Roman" w:cs="Times New Roman"/>
          <w:b w:val="0"/>
        </w:rPr>
        <w:t>OlaOlorun</w:t>
      </w:r>
      <w:proofErr w:type="spellEnd"/>
      <w:r w:rsidRPr="001A523E">
        <w:rPr>
          <w:rStyle w:val="Strong"/>
          <w:rFonts w:ascii="Times New Roman" w:hAnsi="Times New Roman" w:cs="Times New Roman"/>
          <w:b w:val="0"/>
        </w:rPr>
        <w:t xml:space="preserve">, O.A., Akinola, O.O., &amp; </w:t>
      </w:r>
      <w:proofErr w:type="spellStart"/>
      <w:r w:rsidRPr="001A523E">
        <w:rPr>
          <w:rStyle w:val="Strong"/>
          <w:rFonts w:ascii="Times New Roman" w:hAnsi="Times New Roman" w:cs="Times New Roman"/>
          <w:b w:val="0"/>
        </w:rPr>
        <w:t>Oyinloye</w:t>
      </w:r>
      <w:proofErr w:type="spellEnd"/>
      <w:r w:rsidRPr="001A523E">
        <w:rPr>
          <w:rStyle w:val="Strong"/>
          <w:rFonts w:ascii="Times New Roman" w:hAnsi="Times New Roman" w:cs="Times New Roman"/>
          <w:b w:val="0"/>
        </w:rPr>
        <w:t>, A.O. (2023).</w:t>
      </w:r>
      <w:r w:rsidRPr="001A523E">
        <w:rPr>
          <w:rFonts w:ascii="Times New Roman" w:hAnsi="Times New Roman" w:cs="Times New Roman"/>
        </w:rPr>
        <w:br/>
      </w:r>
      <w:r w:rsidRPr="001A523E">
        <w:rPr>
          <w:rStyle w:val="Strong"/>
          <w:rFonts w:ascii="Times New Roman" w:hAnsi="Times New Roman" w:cs="Times New Roman"/>
          <w:b w:val="0"/>
        </w:rPr>
        <w:t>Petrology and geochemical features of crystalline rocks in Ora-Ekiti, Southwestern Nigeria.</w:t>
      </w:r>
      <w:r w:rsidRPr="001A523E">
        <w:rPr>
          <w:rFonts w:ascii="Times New Roman" w:hAnsi="Times New Roman" w:cs="Times New Roman"/>
        </w:rPr>
        <w:t xml:space="preserve"> </w:t>
      </w:r>
      <w:r w:rsidRPr="001A523E">
        <w:rPr>
          <w:rStyle w:val="Emphasis"/>
          <w:rFonts w:ascii="Times New Roman" w:hAnsi="Times New Roman" w:cs="Times New Roman"/>
        </w:rPr>
        <w:t>Advances in Geological and Geotechnical Engineering Research (AGGER), 5</w:t>
      </w:r>
      <w:r w:rsidRPr="001A523E">
        <w:rPr>
          <w:rFonts w:ascii="Times New Roman" w:hAnsi="Times New Roman" w:cs="Times New Roman"/>
        </w:rPr>
        <w:t>(2), 19–36.</w:t>
      </w:r>
      <w:r w:rsidRPr="001A523E">
        <w:rPr>
          <w:rFonts w:ascii="Times New Roman" w:hAnsi="Times New Roman" w:cs="Times New Roman"/>
        </w:rPr>
        <w:br/>
      </w:r>
      <w:hyperlink r:id="rId41" w:history="1">
        <w:r w:rsidRPr="001A523E">
          <w:rPr>
            <w:rStyle w:val="Hyperlink"/>
            <w:rFonts w:ascii="Times New Roman" w:hAnsi="Times New Roman" w:cs="Times New Roman"/>
          </w:rPr>
          <w:t>https://doi.org/10.30564/agger.v5i2.5243</w:t>
        </w:r>
      </w:hyperlink>
    </w:p>
    <w:p w14:paraId="49A20467" w14:textId="77777777" w:rsidR="001A523E" w:rsidRDefault="00930A13" w:rsidP="00930A13">
      <w:pPr>
        <w:pStyle w:val="Heading3"/>
        <w:numPr>
          <w:ilvl w:val="0"/>
          <w:numId w:val="30"/>
        </w:numPr>
        <w:rPr>
          <w:rFonts w:ascii="Times New Roman" w:hAnsi="Times New Roman" w:cs="Times New Roman"/>
          <w:color w:val="000000" w:themeColor="text1"/>
          <w:sz w:val="24"/>
          <w:szCs w:val="24"/>
        </w:rPr>
      </w:pPr>
      <w:proofErr w:type="spellStart"/>
      <w:r w:rsidRPr="00930A13">
        <w:rPr>
          <w:rFonts w:ascii="Times New Roman" w:hAnsi="Times New Roman" w:cs="Times New Roman"/>
          <w:color w:val="000000" w:themeColor="text1"/>
          <w:sz w:val="24"/>
          <w:szCs w:val="24"/>
        </w:rPr>
        <w:t>Akingboye</w:t>
      </w:r>
      <w:proofErr w:type="spellEnd"/>
      <w:r w:rsidRPr="00930A13">
        <w:rPr>
          <w:rFonts w:ascii="Times New Roman" w:hAnsi="Times New Roman" w:cs="Times New Roman"/>
          <w:color w:val="000000" w:themeColor="text1"/>
          <w:sz w:val="24"/>
          <w:szCs w:val="24"/>
        </w:rPr>
        <w:t xml:space="preserve">, A. &amp; </w:t>
      </w:r>
      <w:proofErr w:type="spellStart"/>
      <w:r w:rsidRPr="00930A13">
        <w:rPr>
          <w:rFonts w:ascii="Times New Roman" w:hAnsi="Times New Roman" w:cs="Times New Roman"/>
          <w:color w:val="000000" w:themeColor="text1"/>
          <w:sz w:val="24"/>
          <w:szCs w:val="24"/>
        </w:rPr>
        <w:t>Ogunyele</w:t>
      </w:r>
      <w:proofErr w:type="spellEnd"/>
      <w:r w:rsidRPr="00930A13">
        <w:rPr>
          <w:rFonts w:ascii="Times New Roman" w:hAnsi="Times New Roman" w:cs="Times New Roman"/>
          <w:color w:val="000000" w:themeColor="text1"/>
          <w:sz w:val="24"/>
          <w:szCs w:val="24"/>
        </w:rPr>
        <w:t xml:space="preserve">, A. (2017). </w:t>
      </w:r>
      <w:r w:rsidRPr="00930A13">
        <w:rPr>
          <w:rStyle w:val="Strong"/>
          <w:rFonts w:ascii="Times New Roman" w:hAnsi="Times New Roman" w:cs="Times New Roman"/>
          <w:b w:val="0"/>
          <w:color w:val="000000" w:themeColor="text1"/>
          <w:sz w:val="24"/>
          <w:szCs w:val="24"/>
        </w:rPr>
        <w:t>Basement Classification through Enhanced Magnetic Data Reductions in parts of Ekiti State, Southwestern Nigeria</w:t>
      </w:r>
      <w:r w:rsidRPr="00930A13">
        <w:rPr>
          <w:rFonts w:ascii="Times New Roman" w:hAnsi="Times New Roman" w:cs="Times New Roman"/>
          <w:color w:val="000000" w:themeColor="text1"/>
          <w:sz w:val="24"/>
          <w:szCs w:val="24"/>
        </w:rPr>
        <w:t xml:space="preserve">. This is published in International Journal of Advanced Geosciences, 6(1), 1–13. </w:t>
      </w:r>
      <w:r w:rsidRPr="00930A13">
        <w:rPr>
          <w:rStyle w:val="Strong"/>
          <w:rFonts w:ascii="Times New Roman" w:hAnsi="Times New Roman" w:cs="Times New Roman"/>
          <w:b w:val="0"/>
          <w:color w:val="000000" w:themeColor="text1"/>
          <w:sz w:val="24"/>
          <w:szCs w:val="24"/>
        </w:rPr>
        <w:t>full text link:</w:t>
      </w:r>
      <w:r w:rsidRPr="00930A13">
        <w:rPr>
          <w:rFonts w:ascii="Times New Roman" w:hAnsi="Times New Roman" w:cs="Times New Roman"/>
          <w:color w:val="000000" w:themeColor="text1"/>
          <w:sz w:val="24"/>
          <w:szCs w:val="24"/>
        </w:rPr>
        <w:t xml:space="preserve"> </w:t>
      </w:r>
      <w:hyperlink r:id="rId42" w:tgtFrame="_new" w:history="1">
        <w:r w:rsidRPr="00930A13">
          <w:rPr>
            <w:rStyle w:val="Hyperlink"/>
            <w:rFonts w:ascii="Times New Roman" w:hAnsi="Times New Roman" w:cs="Times New Roman"/>
            <w:color w:val="000000" w:themeColor="text1"/>
            <w:sz w:val="24"/>
            <w:szCs w:val="24"/>
          </w:rPr>
          <w:t>https://sciencepubco.com/index.php/IJAG/article/view/8573</w:t>
        </w:r>
      </w:hyperlink>
      <w:r w:rsidRPr="00930A13">
        <w:rPr>
          <w:rFonts w:ascii="Times New Roman" w:hAnsi="Times New Roman" w:cs="Times New Roman"/>
          <w:color w:val="000000" w:themeColor="text1"/>
          <w:sz w:val="24"/>
          <w:szCs w:val="24"/>
        </w:rPr>
        <w:t xml:space="preserve"> </w:t>
      </w:r>
      <w:r w:rsidRPr="00930A13">
        <w:rPr>
          <w:rStyle w:val="Strong"/>
          <w:rFonts w:ascii="Times New Roman" w:hAnsi="Times New Roman" w:cs="Times New Roman"/>
          <w:b w:val="0"/>
          <w:color w:val="000000" w:themeColor="text1"/>
          <w:sz w:val="24"/>
          <w:szCs w:val="24"/>
        </w:rPr>
        <w:t>DOI link:</w:t>
      </w:r>
      <w:r w:rsidRPr="00930A13">
        <w:rPr>
          <w:rFonts w:ascii="Times New Roman" w:hAnsi="Times New Roman" w:cs="Times New Roman"/>
          <w:color w:val="000000" w:themeColor="text1"/>
          <w:sz w:val="24"/>
          <w:szCs w:val="24"/>
        </w:rPr>
        <w:t xml:space="preserve"> </w:t>
      </w:r>
      <w:hyperlink r:id="rId43" w:history="1">
        <w:r w:rsidRPr="00930A13">
          <w:rPr>
            <w:rStyle w:val="Hyperlink"/>
            <w:rFonts w:ascii="Times New Roman" w:hAnsi="Times New Roman" w:cs="Times New Roman"/>
            <w:color w:val="000000" w:themeColor="text1"/>
            <w:sz w:val="24"/>
            <w:szCs w:val="24"/>
          </w:rPr>
          <w:t>https://doi.org/10.14419/ijag.v6i1.8573</w:t>
        </w:r>
      </w:hyperlink>
    </w:p>
    <w:p w14:paraId="197547AF" w14:textId="7FA0747E" w:rsidR="00930A13" w:rsidRPr="001A523E" w:rsidRDefault="00930A13" w:rsidP="00930A13">
      <w:pPr>
        <w:pStyle w:val="Heading3"/>
        <w:numPr>
          <w:ilvl w:val="0"/>
          <w:numId w:val="30"/>
        </w:numPr>
        <w:rPr>
          <w:rFonts w:ascii="Times New Roman" w:hAnsi="Times New Roman" w:cs="Times New Roman"/>
          <w:color w:val="000000" w:themeColor="text1"/>
          <w:sz w:val="24"/>
          <w:szCs w:val="24"/>
        </w:rPr>
      </w:pPr>
      <w:r w:rsidRPr="001A523E">
        <w:rPr>
          <w:rStyle w:val="Strong"/>
          <w:rFonts w:ascii="Times New Roman" w:hAnsi="Times New Roman" w:cs="Times New Roman"/>
          <w:b w:val="0"/>
          <w:color w:val="000000" w:themeColor="text1"/>
          <w:sz w:val="24"/>
          <w:szCs w:val="24"/>
        </w:rPr>
        <w:t xml:space="preserve">Parker, D.H., </w:t>
      </w:r>
      <w:proofErr w:type="spellStart"/>
      <w:r w:rsidRPr="001A523E">
        <w:rPr>
          <w:rStyle w:val="Strong"/>
          <w:rFonts w:ascii="Times New Roman" w:hAnsi="Times New Roman" w:cs="Times New Roman"/>
          <w:b w:val="0"/>
          <w:color w:val="000000" w:themeColor="text1"/>
          <w:sz w:val="24"/>
          <w:szCs w:val="24"/>
        </w:rPr>
        <w:t>Fargher</w:t>
      </w:r>
      <w:proofErr w:type="spellEnd"/>
      <w:r w:rsidRPr="001A523E">
        <w:rPr>
          <w:rStyle w:val="Strong"/>
          <w:rFonts w:ascii="Times New Roman" w:hAnsi="Times New Roman" w:cs="Times New Roman"/>
          <w:b w:val="0"/>
          <w:color w:val="000000" w:themeColor="text1"/>
          <w:sz w:val="24"/>
          <w:szCs w:val="24"/>
        </w:rPr>
        <w:t>, M.N., Carter, J.D., &amp; Turner, D.C. (1964).</w:t>
      </w:r>
      <w:r w:rsidRPr="001A523E">
        <w:rPr>
          <w:rFonts w:ascii="Times New Roman" w:hAnsi="Times New Roman" w:cs="Times New Roman"/>
          <w:color w:val="000000" w:themeColor="text1"/>
          <w:sz w:val="24"/>
          <w:szCs w:val="24"/>
        </w:rPr>
        <w:br/>
      </w:r>
      <w:r w:rsidRPr="001A523E">
        <w:rPr>
          <w:rStyle w:val="Strong"/>
          <w:rFonts w:ascii="Times New Roman" w:hAnsi="Times New Roman" w:cs="Times New Roman"/>
          <w:b w:val="0"/>
          <w:color w:val="000000" w:themeColor="text1"/>
          <w:sz w:val="24"/>
          <w:szCs w:val="24"/>
        </w:rPr>
        <w:t>Geological Map of Nigeria.</w:t>
      </w:r>
      <w:r w:rsidRPr="001A523E">
        <w:rPr>
          <w:rFonts w:ascii="Times New Roman" w:hAnsi="Times New Roman" w:cs="Times New Roman"/>
          <w:color w:val="000000" w:themeColor="text1"/>
          <w:sz w:val="24"/>
          <w:szCs w:val="24"/>
        </w:rPr>
        <w:t xml:space="preserve"> Nigeria Geological Survey Series, Director of Federal Surveys, Nigeria. Published ~1965. Full map image: </w:t>
      </w:r>
      <w:hyperlink r:id="rId44" w:tgtFrame="_new" w:history="1">
        <w:r w:rsidRPr="001A523E">
          <w:rPr>
            <w:rStyle w:val="Hyperlink"/>
            <w:rFonts w:ascii="Times New Roman" w:hAnsi="Times New Roman" w:cs="Times New Roman"/>
            <w:color w:val="000000" w:themeColor="text1"/>
            <w:sz w:val="24"/>
            <w:szCs w:val="24"/>
          </w:rPr>
          <w:t>https://colecoes.igc.usp.br/mapas/ZM2562.JPG</w:t>
        </w:r>
      </w:hyperlink>
    </w:p>
    <w:p w14:paraId="434BC982" w14:textId="431B9229" w:rsidR="00930A13" w:rsidRPr="00CC5CED" w:rsidRDefault="00930A13" w:rsidP="001A523E">
      <w:pPr>
        <w:pStyle w:val="NormalWeb"/>
        <w:numPr>
          <w:ilvl w:val="0"/>
          <w:numId w:val="30"/>
        </w:numPr>
      </w:pPr>
      <w:r w:rsidRPr="00CC5CED">
        <w:rPr>
          <w:rStyle w:val="Strong"/>
          <w:rFonts w:eastAsiaTheme="majorEastAsia"/>
          <w:b w:val="0"/>
        </w:rPr>
        <w:t>A. O'Reilly &amp; M. C. Corey (1988). The role of airborne gamma</w:t>
      </w:r>
      <w:r w:rsidRPr="00CC5CED">
        <w:rPr>
          <w:rStyle w:val="Strong"/>
          <w:rFonts w:eastAsiaTheme="majorEastAsia"/>
          <w:b w:val="0"/>
        </w:rPr>
        <w:noBreakHyphen/>
        <w:t xml:space="preserve">ray spectrometry in bedrock mapping and mineral exploration: case studies from granitic rocks within the </w:t>
      </w:r>
      <w:proofErr w:type="spellStart"/>
      <w:r w:rsidRPr="00CC5CED">
        <w:rPr>
          <w:rStyle w:val="Strong"/>
          <w:rFonts w:eastAsiaTheme="majorEastAsia"/>
          <w:b w:val="0"/>
        </w:rPr>
        <w:t>Meguma</w:t>
      </w:r>
      <w:proofErr w:type="spellEnd"/>
      <w:r w:rsidRPr="00CC5CED">
        <w:rPr>
          <w:rStyle w:val="Strong"/>
          <w:rFonts w:eastAsiaTheme="majorEastAsia"/>
          <w:b w:val="0"/>
        </w:rPr>
        <w:t xml:space="preserve"> Zone, Nova Scotia.</w:t>
      </w:r>
      <w:r w:rsidRPr="00CC5CED">
        <w:t xml:space="preserve"> Published in Atlantic Geoscience, 24(1), 47–60. DOI: </w:t>
      </w:r>
      <w:hyperlink r:id="rId45" w:history="1">
        <w:r w:rsidRPr="00CC5CED">
          <w:rPr>
            <w:rStyle w:val="Hyperlink"/>
            <w:rFonts w:eastAsiaTheme="majorEastAsia"/>
          </w:rPr>
          <w:t>https://doi.org/10.4138/1639</w:t>
        </w:r>
      </w:hyperlink>
      <w:r w:rsidRPr="00CC5CED">
        <w:t xml:space="preserve"> Direct publisher page / PDF </w:t>
      </w:r>
      <w:hyperlink r:id="rId46" w:tgtFrame="_new" w:history="1">
        <w:r w:rsidRPr="00CC5CED">
          <w:rPr>
            <w:rStyle w:val="Hyperlink"/>
            <w:rFonts w:eastAsiaTheme="majorEastAsia"/>
          </w:rPr>
          <w:t>https://journals.lib.unb.ca/index.php/ag/article/view/1639</w:t>
        </w:r>
      </w:hyperlink>
    </w:p>
    <w:p w14:paraId="4D7E5E43" w14:textId="4668A4E9" w:rsidR="00930A13" w:rsidRPr="00CC5CED" w:rsidRDefault="00930A13" w:rsidP="001A523E">
      <w:pPr>
        <w:pStyle w:val="NormalWeb"/>
        <w:numPr>
          <w:ilvl w:val="0"/>
          <w:numId w:val="30"/>
        </w:numPr>
      </w:pPr>
      <w:r w:rsidRPr="00CC5CED">
        <w:rPr>
          <w:rStyle w:val="Strong"/>
          <w:rFonts w:eastAsiaTheme="majorEastAsia"/>
          <w:b w:val="0"/>
        </w:rPr>
        <w:lastRenderedPageBreak/>
        <w:t xml:space="preserve">Christopher, S. D., </w:t>
      </w:r>
      <w:proofErr w:type="spellStart"/>
      <w:r w:rsidRPr="00CC5CED">
        <w:rPr>
          <w:rStyle w:val="Strong"/>
          <w:rFonts w:eastAsiaTheme="majorEastAsia"/>
          <w:b w:val="0"/>
        </w:rPr>
        <w:t>Jimoh</w:t>
      </w:r>
      <w:proofErr w:type="spellEnd"/>
      <w:r w:rsidRPr="00CC5CED">
        <w:rPr>
          <w:rStyle w:val="Strong"/>
          <w:rFonts w:eastAsiaTheme="majorEastAsia"/>
          <w:b w:val="0"/>
        </w:rPr>
        <w:t>, O. A., &amp; Martins, O. A. (2022).</w:t>
      </w:r>
      <w:r w:rsidRPr="00CC5CED">
        <w:br/>
      </w:r>
      <w:r w:rsidRPr="00CC5CED">
        <w:rPr>
          <w:rStyle w:val="Emphasis"/>
          <w:rFonts w:eastAsiaTheme="majorEastAsia"/>
        </w:rPr>
        <w:t xml:space="preserve">Petrography and Geochemical Studies of Basement Rocks around </w:t>
      </w:r>
      <w:proofErr w:type="spellStart"/>
      <w:r w:rsidRPr="00CC5CED">
        <w:rPr>
          <w:rStyle w:val="Emphasis"/>
          <w:rFonts w:eastAsiaTheme="majorEastAsia"/>
        </w:rPr>
        <w:t>Zango</w:t>
      </w:r>
      <w:r w:rsidRPr="00CC5CED">
        <w:rPr>
          <w:rStyle w:val="Emphasis"/>
          <w:rFonts w:eastAsiaTheme="majorEastAsia"/>
        </w:rPr>
        <w:noBreakHyphen/>
        <w:t>Daji</w:t>
      </w:r>
      <w:proofErr w:type="spellEnd"/>
      <w:r w:rsidRPr="00CC5CED">
        <w:rPr>
          <w:rStyle w:val="Emphasis"/>
          <w:rFonts w:eastAsiaTheme="majorEastAsia"/>
        </w:rPr>
        <w:t xml:space="preserve"> and Its Environs, North Central Nigeria.</w:t>
      </w:r>
      <w:r w:rsidRPr="00CC5CED">
        <w:br/>
        <w:t xml:space="preserve">Advances in Geological and Geotechnical Engineering Research, </w:t>
      </w:r>
      <w:r w:rsidRPr="00CC5CED">
        <w:rPr>
          <w:rStyle w:val="Strong"/>
          <w:rFonts w:eastAsiaTheme="majorEastAsia"/>
          <w:b w:val="0"/>
        </w:rPr>
        <w:t>4</w:t>
      </w:r>
      <w:r w:rsidRPr="00CC5CED">
        <w:t xml:space="preserve">(4), 14–21. </w:t>
      </w:r>
      <w:r w:rsidRPr="00CC5CED">
        <w:rPr>
          <w:rStyle w:val="Strong"/>
          <w:rFonts w:eastAsiaTheme="majorEastAsia"/>
          <w:b w:val="0"/>
        </w:rPr>
        <w:t>DOI / Publisher page:</w:t>
      </w:r>
      <w:r w:rsidRPr="00CC5CED">
        <w:t xml:space="preserve"> </w:t>
      </w:r>
      <w:hyperlink r:id="rId47" w:history="1">
        <w:r w:rsidRPr="00CC5CED">
          <w:rPr>
            <w:rStyle w:val="Hyperlink"/>
            <w:rFonts w:eastAsiaTheme="majorEastAsia"/>
          </w:rPr>
          <w:t>https://doi.org/10.30564/agger.v4i4.5033</w:t>
        </w:r>
      </w:hyperlink>
      <w:r w:rsidRPr="00CC5CED">
        <w:t xml:space="preserve">. </w:t>
      </w:r>
      <w:hyperlink r:id="rId48" w:tgtFrame="_new" w:history="1">
        <w:r w:rsidRPr="00CC5CED">
          <w:rPr>
            <w:rStyle w:val="Hyperlink"/>
            <w:rFonts w:eastAsiaTheme="majorEastAsia"/>
          </w:rPr>
          <w:t>https://journals.bilpubgroup.com/index.php/agger/article/view/5033</w:t>
        </w:r>
      </w:hyperlink>
    </w:p>
    <w:p w14:paraId="03F3089C" w14:textId="309F5817" w:rsidR="00930A13" w:rsidRPr="00CC5CED" w:rsidRDefault="00930A13" w:rsidP="001A523E">
      <w:pPr>
        <w:pStyle w:val="NormalWeb"/>
        <w:numPr>
          <w:ilvl w:val="0"/>
          <w:numId w:val="30"/>
        </w:numPr>
      </w:pPr>
      <w:proofErr w:type="spellStart"/>
      <w:r w:rsidRPr="00CC5CED">
        <w:rPr>
          <w:rStyle w:val="Strong"/>
          <w:rFonts w:eastAsiaTheme="majorEastAsia"/>
          <w:b w:val="0"/>
        </w:rPr>
        <w:t>Ogunyele</w:t>
      </w:r>
      <w:proofErr w:type="spellEnd"/>
      <w:r w:rsidRPr="00CC5CED">
        <w:rPr>
          <w:rStyle w:val="Strong"/>
          <w:rFonts w:eastAsiaTheme="majorEastAsia"/>
          <w:b w:val="0"/>
        </w:rPr>
        <w:t xml:space="preserve">, A.C., </w:t>
      </w:r>
      <w:proofErr w:type="spellStart"/>
      <w:r w:rsidRPr="00CC5CED">
        <w:rPr>
          <w:rStyle w:val="Strong"/>
          <w:rFonts w:eastAsiaTheme="majorEastAsia"/>
          <w:b w:val="0"/>
        </w:rPr>
        <w:t>Oluwajana</w:t>
      </w:r>
      <w:proofErr w:type="spellEnd"/>
      <w:r w:rsidRPr="00CC5CED">
        <w:rPr>
          <w:rStyle w:val="Strong"/>
          <w:rFonts w:eastAsiaTheme="majorEastAsia"/>
          <w:b w:val="0"/>
        </w:rPr>
        <w:t xml:space="preserve">, O.A., </w:t>
      </w:r>
      <w:proofErr w:type="spellStart"/>
      <w:r w:rsidRPr="00CC5CED">
        <w:rPr>
          <w:rStyle w:val="Strong"/>
          <w:rFonts w:eastAsiaTheme="majorEastAsia"/>
          <w:b w:val="0"/>
        </w:rPr>
        <w:t>Ehinola</w:t>
      </w:r>
      <w:proofErr w:type="spellEnd"/>
      <w:r w:rsidRPr="00CC5CED">
        <w:rPr>
          <w:rStyle w:val="Strong"/>
          <w:rFonts w:eastAsiaTheme="majorEastAsia"/>
          <w:b w:val="0"/>
        </w:rPr>
        <w:t xml:space="preserve">, I.Q., </w:t>
      </w:r>
      <w:proofErr w:type="spellStart"/>
      <w:r w:rsidRPr="00CC5CED">
        <w:rPr>
          <w:rStyle w:val="Strong"/>
          <w:rFonts w:eastAsiaTheme="majorEastAsia"/>
          <w:b w:val="0"/>
        </w:rPr>
        <w:t>Ameh</w:t>
      </w:r>
      <w:proofErr w:type="spellEnd"/>
      <w:r w:rsidRPr="00CC5CED">
        <w:rPr>
          <w:rStyle w:val="Strong"/>
          <w:rFonts w:eastAsiaTheme="majorEastAsia"/>
          <w:b w:val="0"/>
        </w:rPr>
        <w:t xml:space="preserve">, B.E. &amp; </w:t>
      </w:r>
      <w:proofErr w:type="spellStart"/>
      <w:r w:rsidRPr="00CC5CED">
        <w:rPr>
          <w:rStyle w:val="Strong"/>
          <w:rFonts w:eastAsiaTheme="majorEastAsia"/>
          <w:b w:val="0"/>
        </w:rPr>
        <w:t>Salaudeen</w:t>
      </w:r>
      <w:proofErr w:type="spellEnd"/>
      <w:r w:rsidRPr="00CC5CED">
        <w:rPr>
          <w:rStyle w:val="Strong"/>
          <w:rFonts w:eastAsiaTheme="majorEastAsia"/>
          <w:b w:val="0"/>
        </w:rPr>
        <w:t>, T.A. (2020).</w:t>
      </w:r>
      <w:r w:rsidRPr="00CC5CED">
        <w:br/>
      </w:r>
      <w:r w:rsidRPr="00CC5CED">
        <w:rPr>
          <w:rStyle w:val="Emphasis"/>
          <w:rFonts w:eastAsiaTheme="majorEastAsia"/>
        </w:rPr>
        <w:t xml:space="preserve">Petrochemistry and petrogenesis of the Precambrian Basement Complex rocks around </w:t>
      </w:r>
      <w:proofErr w:type="spellStart"/>
      <w:r w:rsidRPr="00CC5CED">
        <w:rPr>
          <w:rStyle w:val="Emphasis"/>
          <w:rFonts w:eastAsiaTheme="majorEastAsia"/>
        </w:rPr>
        <w:t>Akungba</w:t>
      </w:r>
      <w:r w:rsidRPr="00CC5CED">
        <w:rPr>
          <w:rStyle w:val="Emphasis"/>
          <w:rFonts w:eastAsiaTheme="majorEastAsia"/>
        </w:rPr>
        <w:noBreakHyphen/>
        <w:t>Akoko</w:t>
      </w:r>
      <w:proofErr w:type="spellEnd"/>
      <w:r w:rsidRPr="00CC5CED">
        <w:rPr>
          <w:rStyle w:val="Emphasis"/>
          <w:rFonts w:eastAsiaTheme="majorEastAsia"/>
        </w:rPr>
        <w:t>, southwestern Nigeria.</w:t>
      </w:r>
      <w:r w:rsidRPr="00CC5CED">
        <w:t xml:space="preserve"> </w:t>
      </w:r>
      <w:r w:rsidRPr="00CC5CED">
        <w:rPr>
          <w:rStyle w:val="Strong"/>
          <w:rFonts w:eastAsiaTheme="majorEastAsia"/>
          <w:b w:val="0"/>
        </w:rPr>
        <w:t xml:space="preserve">Materials and </w:t>
      </w:r>
      <w:proofErr w:type="spellStart"/>
      <w:r w:rsidRPr="00CC5CED">
        <w:rPr>
          <w:rStyle w:val="Strong"/>
          <w:rFonts w:eastAsiaTheme="majorEastAsia"/>
          <w:b w:val="0"/>
        </w:rPr>
        <w:t>Geoenvironment</w:t>
      </w:r>
      <w:proofErr w:type="spellEnd"/>
      <w:r w:rsidRPr="00CC5CED">
        <w:rPr>
          <w:rStyle w:val="Strong"/>
          <w:rFonts w:eastAsiaTheme="majorEastAsia"/>
          <w:b w:val="0"/>
        </w:rPr>
        <w:t xml:space="preserve">, 66(3), 173–183 </w:t>
      </w:r>
      <w:hyperlink r:id="rId49" w:history="1">
        <w:r w:rsidRPr="00CC5CED">
          <w:rPr>
            <w:rStyle w:val="Hyperlink"/>
            <w:rFonts w:eastAsiaTheme="majorEastAsia"/>
          </w:rPr>
          <w:t>https://doi.org/10.2478/rmzmag-2019-0036</w:t>
        </w:r>
      </w:hyperlink>
      <w:r w:rsidRPr="00CC5CED">
        <w:t xml:space="preserve">.  </w:t>
      </w:r>
      <w:hyperlink r:id="rId50" w:history="1">
        <w:r w:rsidRPr="00CC5CED">
          <w:rPr>
            <w:rStyle w:val="Hyperlink"/>
            <w:rFonts w:eastAsiaTheme="majorEastAsia"/>
          </w:rPr>
          <w:t>https://sciendo.com/article/10.2478/rmzmag-2019-0036</w:t>
        </w:r>
      </w:hyperlink>
    </w:p>
    <w:p w14:paraId="1D9DFB1A" w14:textId="46579BA8" w:rsidR="00930A13" w:rsidRPr="00CC5CED" w:rsidRDefault="00930A13" w:rsidP="001A523E">
      <w:pPr>
        <w:pStyle w:val="NormalWeb"/>
        <w:numPr>
          <w:ilvl w:val="0"/>
          <w:numId w:val="30"/>
        </w:numPr>
      </w:pPr>
      <w:proofErr w:type="spellStart"/>
      <w:r w:rsidRPr="00CC5CED">
        <w:rPr>
          <w:rStyle w:val="Strong"/>
          <w:rFonts w:eastAsiaTheme="majorEastAsia"/>
          <w:b w:val="0"/>
        </w:rPr>
        <w:t>Igonor</w:t>
      </w:r>
      <w:proofErr w:type="spellEnd"/>
      <w:r w:rsidRPr="00CC5CED">
        <w:rPr>
          <w:rStyle w:val="Strong"/>
          <w:rFonts w:eastAsiaTheme="majorEastAsia"/>
          <w:b w:val="0"/>
        </w:rPr>
        <w:t>, E. E., &amp; Abimbola, A. F. (2016).</w:t>
      </w:r>
      <w:r w:rsidRPr="00CC5CED">
        <w:br/>
      </w:r>
      <w:r w:rsidRPr="00CC5CED">
        <w:rPr>
          <w:rStyle w:val="Emphasis"/>
          <w:rFonts w:eastAsiaTheme="majorEastAsia"/>
        </w:rPr>
        <w:t>Geochemistry of Pan-African Granitoids, Southwest Nigeria: Evidence of Magmatic Mixing.</w:t>
      </w:r>
      <w:r w:rsidRPr="00CC5CED">
        <w:br/>
      </w:r>
      <w:r w:rsidRPr="00CC5CED">
        <w:rPr>
          <w:rStyle w:val="Strong"/>
          <w:rFonts w:eastAsiaTheme="majorEastAsia"/>
          <w:b w:val="0"/>
        </w:rPr>
        <w:t>Journal of Geography, Environment and Earth Science International, 5</w:t>
      </w:r>
      <w:r w:rsidRPr="00CC5CED">
        <w:t xml:space="preserve">(4), 1–17. </w:t>
      </w:r>
      <w:hyperlink r:id="rId51" w:history="1">
        <w:r w:rsidRPr="00CC5CED">
          <w:rPr>
            <w:rStyle w:val="Hyperlink"/>
            <w:rFonts w:eastAsiaTheme="majorEastAsia"/>
          </w:rPr>
          <w:t>https://journaljgeesi.com/index.php/JGEESI/article/view/224</w:t>
        </w:r>
      </w:hyperlink>
    </w:p>
    <w:p w14:paraId="50B6D149" w14:textId="1F43F82E" w:rsidR="00930A13" w:rsidRPr="00CC5CED" w:rsidRDefault="00930A13" w:rsidP="001A523E">
      <w:pPr>
        <w:pStyle w:val="NormalWeb"/>
        <w:numPr>
          <w:ilvl w:val="0"/>
          <w:numId w:val="30"/>
        </w:numPr>
      </w:pPr>
      <w:proofErr w:type="spellStart"/>
      <w:r w:rsidRPr="00CC5CED">
        <w:rPr>
          <w:rStyle w:val="Strong"/>
          <w:rFonts w:eastAsiaTheme="majorEastAsia"/>
          <w:b w:val="0"/>
        </w:rPr>
        <w:t>Onyejiuwaka</w:t>
      </w:r>
      <w:proofErr w:type="spellEnd"/>
      <w:r w:rsidRPr="00CC5CED">
        <w:rPr>
          <w:rStyle w:val="Strong"/>
          <w:rFonts w:eastAsiaTheme="majorEastAsia"/>
          <w:b w:val="0"/>
        </w:rPr>
        <w:t xml:space="preserve">, I.S., &amp; </w:t>
      </w:r>
      <w:proofErr w:type="spellStart"/>
      <w:r w:rsidRPr="00CC5CED">
        <w:rPr>
          <w:rStyle w:val="Strong"/>
          <w:rFonts w:eastAsiaTheme="majorEastAsia"/>
          <w:b w:val="0"/>
        </w:rPr>
        <w:t>Nwokeabia</w:t>
      </w:r>
      <w:proofErr w:type="spellEnd"/>
      <w:r w:rsidRPr="00CC5CED">
        <w:rPr>
          <w:rStyle w:val="Strong"/>
          <w:rFonts w:eastAsiaTheme="majorEastAsia"/>
          <w:b w:val="0"/>
        </w:rPr>
        <w:t>, C.N. (2020).</w:t>
      </w:r>
      <w:r w:rsidRPr="00CC5CED">
        <w:br/>
      </w:r>
      <w:r w:rsidRPr="00CC5CED">
        <w:rPr>
          <w:rStyle w:val="Emphasis"/>
          <w:rFonts w:eastAsiaTheme="majorEastAsia"/>
        </w:rPr>
        <w:t xml:space="preserve">Application of airborne radiometric method in geologic mapping of </w:t>
      </w:r>
      <w:proofErr w:type="spellStart"/>
      <w:r w:rsidRPr="00CC5CED">
        <w:rPr>
          <w:rStyle w:val="Emphasis"/>
          <w:rFonts w:eastAsiaTheme="majorEastAsia"/>
        </w:rPr>
        <w:t>Malufashi</w:t>
      </w:r>
      <w:proofErr w:type="spellEnd"/>
      <w:r w:rsidRPr="00CC5CED">
        <w:rPr>
          <w:rStyle w:val="Emphasis"/>
          <w:rFonts w:eastAsiaTheme="majorEastAsia"/>
        </w:rPr>
        <w:t xml:space="preserve"> area and Environs, Northwestern Nigeria.</w:t>
      </w:r>
      <w:r w:rsidRPr="00CC5CED">
        <w:t xml:space="preserve"> International Journal of Advanced Geosciences, </w:t>
      </w:r>
      <w:r w:rsidRPr="00CC5CED">
        <w:rPr>
          <w:rStyle w:val="Strong"/>
          <w:rFonts w:eastAsiaTheme="majorEastAsia"/>
          <w:b w:val="0"/>
        </w:rPr>
        <w:t>8</w:t>
      </w:r>
      <w:r w:rsidRPr="00CC5CED">
        <w:t xml:space="preserve">(2), 179–185 </w:t>
      </w:r>
      <w:r w:rsidRPr="00CC5CED">
        <w:rPr>
          <w:rStyle w:val="Strong"/>
          <w:rFonts w:eastAsiaTheme="majorEastAsia"/>
          <w:b w:val="0"/>
        </w:rPr>
        <w:t>DOI / Publisher page / Full text link:</w:t>
      </w:r>
      <w:r w:rsidRPr="00CC5CED">
        <w:t xml:space="preserve"> </w:t>
      </w:r>
      <w:hyperlink r:id="rId52" w:history="1">
        <w:r w:rsidRPr="00CC5CED">
          <w:rPr>
            <w:rStyle w:val="Hyperlink"/>
            <w:rFonts w:eastAsiaTheme="majorEastAsia"/>
          </w:rPr>
          <w:t>https://doi.org/10.14419/ijag.v8i2.31071</w:t>
        </w:r>
      </w:hyperlink>
      <w:r w:rsidRPr="00CC5CED">
        <w:t xml:space="preserve"> </w:t>
      </w:r>
      <w:hyperlink r:id="rId53" w:history="1">
        <w:r w:rsidRPr="00CC5CED">
          <w:rPr>
            <w:rStyle w:val="Hyperlink"/>
            <w:rFonts w:eastAsiaTheme="majorEastAsia"/>
          </w:rPr>
          <w:t>https://sciencepubco.com/index.php/IJAG/article/view/31071</w:t>
        </w:r>
      </w:hyperlink>
    </w:p>
    <w:p w14:paraId="1087CA3E" w14:textId="36AEE4BB" w:rsidR="00930A13" w:rsidRPr="00CC5CED" w:rsidRDefault="00930A13" w:rsidP="001A523E">
      <w:pPr>
        <w:pStyle w:val="NormalWeb"/>
        <w:numPr>
          <w:ilvl w:val="0"/>
          <w:numId w:val="30"/>
        </w:numPr>
      </w:pPr>
      <w:r w:rsidRPr="00CC5CED">
        <w:t xml:space="preserve">Rose, A.W., Hawkes, H. E., &amp; Webb, J. S. (1979). </w:t>
      </w:r>
      <w:r w:rsidRPr="00CC5CED">
        <w:rPr>
          <w:rStyle w:val="Emphasis"/>
          <w:rFonts w:eastAsiaTheme="majorEastAsia"/>
        </w:rPr>
        <w:t>Geochemistry in Mineral Exploration.</w:t>
      </w:r>
      <w:r w:rsidRPr="00CC5CED">
        <w:t xml:space="preserve"> London/New York: Academic Press. xvii + 657 pp. </w:t>
      </w:r>
      <w:hyperlink r:id="rId54" w:history="1">
        <w:r w:rsidRPr="00CC5CED">
          <w:rPr>
            <w:rStyle w:val="Hyperlink"/>
            <w:rFonts w:eastAsiaTheme="majorEastAsia"/>
          </w:rPr>
          <w:t>https://catalogue.nla.gov.au/catalog/2905023</w:t>
        </w:r>
      </w:hyperlink>
    </w:p>
    <w:p w14:paraId="44667581" w14:textId="3D9BAF44" w:rsidR="00930A13" w:rsidRPr="00CC5CED" w:rsidRDefault="00930A13" w:rsidP="001A523E">
      <w:pPr>
        <w:pStyle w:val="NormalWeb"/>
        <w:numPr>
          <w:ilvl w:val="0"/>
          <w:numId w:val="30"/>
        </w:numPr>
      </w:pPr>
      <w:r w:rsidRPr="00CC5CED">
        <w:rPr>
          <w:rStyle w:val="Strong"/>
          <w:rFonts w:eastAsiaTheme="majorEastAsia"/>
          <w:b w:val="0"/>
        </w:rPr>
        <w:t>IAEA. (2010).</w:t>
      </w:r>
      <w:r w:rsidRPr="00CC5CED">
        <w:t xml:space="preserve"> </w:t>
      </w:r>
      <w:r w:rsidRPr="00CC5CED">
        <w:rPr>
          <w:rStyle w:val="Emphasis"/>
          <w:rFonts w:eastAsiaTheme="majorEastAsia"/>
        </w:rPr>
        <w:t>Radioelement Mapping.</w:t>
      </w:r>
      <w:r w:rsidRPr="00CC5CED">
        <w:t xml:space="preserve"> IAEA Nuclear Energy Series No. NF-T-1.3. IAEA, Vienna. Full link / PDF: </w:t>
      </w:r>
      <w:hyperlink r:id="rId55" w:tgtFrame="_new" w:history="1">
        <w:r w:rsidRPr="00CC5CED">
          <w:rPr>
            <w:rStyle w:val="Hyperlink"/>
            <w:rFonts w:eastAsiaTheme="majorEastAsia"/>
          </w:rPr>
          <w:t>https://www-pub.iaea.org/MTCD/publications/PDF/Pub1463_web.pdf</w:t>
        </w:r>
      </w:hyperlink>
    </w:p>
    <w:p w14:paraId="29B6AC8F" w14:textId="00681244" w:rsidR="00930A13" w:rsidRPr="00CC5CED" w:rsidRDefault="00930A13" w:rsidP="001A523E">
      <w:pPr>
        <w:pStyle w:val="NormalWeb"/>
        <w:numPr>
          <w:ilvl w:val="0"/>
          <w:numId w:val="30"/>
        </w:numPr>
      </w:pPr>
      <w:proofErr w:type="spellStart"/>
      <w:r w:rsidRPr="00CC5CED">
        <w:rPr>
          <w:rStyle w:val="Strong"/>
          <w:rFonts w:eastAsiaTheme="majorEastAsia"/>
          <w:b w:val="0"/>
        </w:rPr>
        <w:t>Okoli</w:t>
      </w:r>
      <w:proofErr w:type="spellEnd"/>
      <w:r w:rsidRPr="00CC5CED">
        <w:rPr>
          <w:rStyle w:val="Strong"/>
          <w:rFonts w:eastAsiaTheme="majorEastAsia"/>
          <w:b w:val="0"/>
        </w:rPr>
        <w:t xml:space="preserve">, E. A., </w:t>
      </w:r>
      <w:proofErr w:type="spellStart"/>
      <w:r w:rsidRPr="00CC5CED">
        <w:rPr>
          <w:rStyle w:val="Strong"/>
          <w:rFonts w:eastAsiaTheme="majorEastAsia"/>
          <w:b w:val="0"/>
        </w:rPr>
        <w:t>Amadi</w:t>
      </w:r>
      <w:proofErr w:type="spellEnd"/>
      <w:r w:rsidRPr="00CC5CED">
        <w:rPr>
          <w:rStyle w:val="Strong"/>
          <w:rFonts w:eastAsiaTheme="majorEastAsia"/>
          <w:b w:val="0"/>
        </w:rPr>
        <w:t xml:space="preserve">, C. C., </w:t>
      </w:r>
      <w:proofErr w:type="spellStart"/>
      <w:r w:rsidRPr="00CC5CED">
        <w:rPr>
          <w:rStyle w:val="Strong"/>
          <w:rFonts w:eastAsiaTheme="majorEastAsia"/>
          <w:b w:val="0"/>
        </w:rPr>
        <w:t>Ihenetu</w:t>
      </w:r>
      <w:proofErr w:type="spellEnd"/>
      <w:r w:rsidRPr="00CC5CED">
        <w:rPr>
          <w:rStyle w:val="Strong"/>
          <w:rFonts w:eastAsiaTheme="majorEastAsia"/>
          <w:b w:val="0"/>
        </w:rPr>
        <w:t xml:space="preserve">, V., Bakare, L., </w:t>
      </w:r>
      <w:proofErr w:type="spellStart"/>
      <w:r w:rsidRPr="00CC5CED">
        <w:rPr>
          <w:rStyle w:val="Strong"/>
          <w:rFonts w:eastAsiaTheme="majorEastAsia"/>
          <w:b w:val="0"/>
        </w:rPr>
        <w:t>Agoha</w:t>
      </w:r>
      <w:proofErr w:type="spellEnd"/>
      <w:r w:rsidRPr="00CC5CED">
        <w:rPr>
          <w:rStyle w:val="Strong"/>
          <w:rFonts w:eastAsiaTheme="majorEastAsia"/>
          <w:b w:val="0"/>
        </w:rPr>
        <w:t xml:space="preserve">, C. C., </w:t>
      </w:r>
      <w:proofErr w:type="spellStart"/>
      <w:r w:rsidRPr="00CC5CED">
        <w:rPr>
          <w:rStyle w:val="Strong"/>
          <w:rFonts w:eastAsiaTheme="majorEastAsia"/>
          <w:b w:val="0"/>
        </w:rPr>
        <w:t>Onyeanwuna</w:t>
      </w:r>
      <w:proofErr w:type="spellEnd"/>
      <w:r w:rsidRPr="00CC5CED">
        <w:rPr>
          <w:rStyle w:val="Strong"/>
          <w:rFonts w:eastAsiaTheme="majorEastAsia"/>
          <w:b w:val="0"/>
        </w:rPr>
        <w:t>, U. B., Njoku, J., &amp; Okeke, H. M.</w:t>
      </w:r>
      <w:r w:rsidRPr="00CC5CED">
        <w:t xml:space="preserve"> (2025). </w:t>
      </w:r>
      <w:r w:rsidRPr="00CC5CED">
        <w:rPr>
          <w:rStyle w:val="Emphasis"/>
          <w:rFonts w:eastAsiaTheme="majorEastAsia"/>
        </w:rPr>
        <w:t>Geophysical Investigation of Groundwater Potentials and Shallow Aquifer Vulnerability in Parts of Lagos, Southwestern Nigeria</w:t>
      </w:r>
      <w:r w:rsidRPr="00CC5CED">
        <w:t xml:space="preserve">. </w:t>
      </w:r>
      <w:r w:rsidRPr="00CC5CED">
        <w:rPr>
          <w:rStyle w:val="Strong"/>
          <w:rFonts w:eastAsiaTheme="majorEastAsia"/>
          <w:b w:val="0"/>
        </w:rPr>
        <w:t>Physical Science International Journal</w:t>
      </w:r>
      <w:r w:rsidRPr="00CC5CED">
        <w:t xml:space="preserve">, 29(6), 66–85. </w:t>
      </w:r>
      <w:r w:rsidRPr="00CC5CED">
        <w:rPr>
          <w:rStyle w:val="Strong"/>
          <w:rFonts w:eastAsiaTheme="majorEastAsia"/>
          <w:b w:val="0"/>
        </w:rPr>
        <w:t>https://doi.org/10.9734/psij/2025/v29i6914</w:t>
      </w:r>
      <w:r w:rsidRPr="00CC5CED">
        <w:br/>
      </w:r>
      <w:r w:rsidRPr="00CC5CED">
        <w:rPr>
          <w:rStyle w:val="Strong"/>
          <w:rFonts w:eastAsiaTheme="majorEastAsia"/>
          <w:b w:val="0"/>
        </w:rPr>
        <w:t>Full article link:</w:t>
      </w:r>
      <w:r w:rsidRPr="00CC5CED">
        <w:t xml:space="preserve"> </w:t>
      </w:r>
      <w:hyperlink r:id="rId56" w:tgtFrame="_new" w:history="1">
        <w:r w:rsidRPr="00CC5CED">
          <w:rPr>
            <w:rStyle w:val="Hyperlink"/>
            <w:rFonts w:eastAsiaTheme="majorEastAsia"/>
          </w:rPr>
          <w:t>https://journalpsij.com/index.php/PSIJ/article/view/914</w:t>
        </w:r>
      </w:hyperlink>
    </w:p>
    <w:p w14:paraId="6006A37E" w14:textId="3241A86A" w:rsidR="00930A13" w:rsidRPr="00CC5CED" w:rsidRDefault="00930A13" w:rsidP="001A523E">
      <w:pPr>
        <w:pStyle w:val="NormalWeb"/>
        <w:numPr>
          <w:ilvl w:val="0"/>
          <w:numId w:val="30"/>
        </w:numPr>
      </w:pPr>
      <w:proofErr w:type="spellStart"/>
      <w:r w:rsidRPr="00CC5CED">
        <w:rPr>
          <w:rStyle w:val="Strong"/>
          <w:rFonts w:eastAsiaTheme="majorEastAsia"/>
          <w:b w:val="0"/>
        </w:rPr>
        <w:t>Olade</w:t>
      </w:r>
      <w:proofErr w:type="spellEnd"/>
      <w:r w:rsidRPr="00CC5CED">
        <w:rPr>
          <w:rStyle w:val="Strong"/>
          <w:rFonts w:eastAsiaTheme="majorEastAsia"/>
          <w:b w:val="0"/>
        </w:rPr>
        <w:t>, M. A.</w:t>
      </w:r>
      <w:r w:rsidRPr="00CC5CED">
        <w:t xml:space="preserve"> (2020). </w:t>
      </w:r>
      <w:r w:rsidRPr="00CC5CED">
        <w:rPr>
          <w:rStyle w:val="Emphasis"/>
          <w:rFonts w:eastAsiaTheme="majorEastAsia"/>
        </w:rPr>
        <w:t>Mineral Deposits and Exploration Potential of Nigeria</w:t>
      </w:r>
      <w:r w:rsidRPr="00CC5CED">
        <w:t xml:space="preserve">. </w:t>
      </w:r>
      <w:r w:rsidRPr="00CC5CED">
        <w:rPr>
          <w:rStyle w:val="Strong"/>
          <w:rFonts w:eastAsiaTheme="majorEastAsia"/>
          <w:b w:val="0"/>
        </w:rPr>
        <w:t>Prescott Resource Publishers</w:t>
      </w:r>
      <w:r w:rsidRPr="00CC5CED">
        <w:t xml:space="preserve">. </w:t>
      </w:r>
      <w:r w:rsidRPr="00CC5CED">
        <w:rPr>
          <w:rStyle w:val="Strong"/>
          <w:rFonts w:eastAsiaTheme="majorEastAsia"/>
          <w:b w:val="0"/>
        </w:rPr>
        <w:t>Full link (Google Books):</w:t>
      </w:r>
      <w:r w:rsidRPr="00CC5CED">
        <w:t xml:space="preserve"> </w:t>
      </w:r>
      <w:hyperlink r:id="rId57" w:tgtFrame="_new" w:history="1">
        <w:r w:rsidRPr="00CC5CED">
          <w:rPr>
            <w:rStyle w:val="Hyperlink"/>
            <w:rFonts w:eastAsiaTheme="majorEastAsia"/>
          </w:rPr>
          <w:t>https://books.google.com/books/about/Mineral_Deposits_and_Exploration_Potenti.html?id=vjj1DwAAQBAJ</w:t>
        </w:r>
      </w:hyperlink>
    </w:p>
    <w:p w14:paraId="79BB05CA" w14:textId="12234004" w:rsidR="00930A13" w:rsidRPr="00CC5CED" w:rsidRDefault="00930A13" w:rsidP="001A523E">
      <w:pPr>
        <w:pStyle w:val="NormalWeb"/>
        <w:numPr>
          <w:ilvl w:val="0"/>
          <w:numId w:val="30"/>
        </w:numPr>
      </w:pPr>
      <w:proofErr w:type="spellStart"/>
      <w:r w:rsidRPr="00CC5CED">
        <w:rPr>
          <w:rStyle w:val="Strong"/>
          <w:rFonts w:eastAsiaTheme="majorEastAsia"/>
          <w:b w:val="0"/>
        </w:rPr>
        <w:t>Ogunyele</w:t>
      </w:r>
      <w:proofErr w:type="spellEnd"/>
      <w:r w:rsidRPr="00CC5CED">
        <w:rPr>
          <w:rStyle w:val="Strong"/>
          <w:rFonts w:eastAsiaTheme="majorEastAsia"/>
          <w:b w:val="0"/>
        </w:rPr>
        <w:t xml:space="preserve">, A., </w:t>
      </w:r>
      <w:proofErr w:type="spellStart"/>
      <w:r w:rsidRPr="00CC5CED">
        <w:rPr>
          <w:rStyle w:val="Strong"/>
          <w:rFonts w:eastAsiaTheme="majorEastAsia"/>
          <w:b w:val="0"/>
        </w:rPr>
        <w:t>Adegbuyi</w:t>
      </w:r>
      <w:proofErr w:type="spellEnd"/>
      <w:r w:rsidRPr="00CC5CED">
        <w:rPr>
          <w:rStyle w:val="Strong"/>
          <w:rFonts w:eastAsiaTheme="majorEastAsia"/>
          <w:b w:val="0"/>
        </w:rPr>
        <w:t xml:space="preserve">, O., </w:t>
      </w:r>
      <w:proofErr w:type="spellStart"/>
      <w:r w:rsidRPr="00CC5CED">
        <w:rPr>
          <w:rStyle w:val="Strong"/>
          <w:rFonts w:eastAsiaTheme="majorEastAsia"/>
          <w:b w:val="0"/>
        </w:rPr>
        <w:t>Odindu</w:t>
      </w:r>
      <w:proofErr w:type="spellEnd"/>
      <w:r w:rsidRPr="00CC5CED">
        <w:rPr>
          <w:rStyle w:val="Strong"/>
          <w:rFonts w:eastAsiaTheme="majorEastAsia"/>
          <w:b w:val="0"/>
        </w:rPr>
        <w:t xml:space="preserve">, M., &amp; </w:t>
      </w:r>
      <w:proofErr w:type="spellStart"/>
      <w:r w:rsidRPr="00CC5CED">
        <w:rPr>
          <w:rStyle w:val="Strong"/>
          <w:rFonts w:eastAsiaTheme="majorEastAsia"/>
          <w:b w:val="0"/>
        </w:rPr>
        <w:t>Erinfolami</w:t>
      </w:r>
      <w:proofErr w:type="spellEnd"/>
      <w:r w:rsidRPr="00CC5CED">
        <w:rPr>
          <w:rStyle w:val="Strong"/>
          <w:rFonts w:eastAsiaTheme="majorEastAsia"/>
          <w:b w:val="0"/>
        </w:rPr>
        <w:t>, T.</w:t>
      </w:r>
      <w:r w:rsidRPr="00CC5CED">
        <w:t xml:space="preserve"> (2017). </w:t>
      </w:r>
      <w:r w:rsidRPr="00CC5CED">
        <w:rPr>
          <w:rStyle w:val="Emphasis"/>
          <w:rFonts w:eastAsiaTheme="majorEastAsia"/>
        </w:rPr>
        <w:t xml:space="preserve">Geochemical Characteristics and Petrogenesis of Basement Rocks in </w:t>
      </w:r>
      <w:proofErr w:type="spellStart"/>
      <w:r w:rsidRPr="00CC5CED">
        <w:rPr>
          <w:rStyle w:val="Emphasis"/>
          <w:rFonts w:eastAsiaTheme="majorEastAsia"/>
        </w:rPr>
        <w:t>Idoani</w:t>
      </w:r>
      <w:proofErr w:type="spellEnd"/>
      <w:r w:rsidRPr="00CC5CED">
        <w:rPr>
          <w:rStyle w:val="Emphasis"/>
          <w:rFonts w:eastAsiaTheme="majorEastAsia"/>
        </w:rPr>
        <w:t xml:space="preserve"> Area, Ondo State, Southwestern Nigeria.</w:t>
      </w:r>
      <w:r w:rsidRPr="00CC5CED">
        <w:t xml:space="preserve"> </w:t>
      </w:r>
      <w:r w:rsidRPr="00CC5CED">
        <w:rPr>
          <w:rStyle w:val="Strong"/>
          <w:rFonts w:eastAsiaTheme="majorEastAsia"/>
          <w:b w:val="0"/>
        </w:rPr>
        <w:t>International Journal of Advanced Geosciences</w:t>
      </w:r>
      <w:r w:rsidRPr="00CC5CED">
        <w:t>, 5(2), 102–108.</w:t>
      </w:r>
      <w:r w:rsidRPr="00CC5CED">
        <w:br/>
      </w:r>
      <w:r w:rsidRPr="00CC5CED">
        <w:rPr>
          <w:rStyle w:val="Strong"/>
          <w:rFonts w:eastAsiaTheme="majorEastAsia"/>
          <w:b w:val="0"/>
        </w:rPr>
        <w:t>DOI:</w:t>
      </w:r>
      <w:r w:rsidRPr="00CC5CED">
        <w:t xml:space="preserve"> </w:t>
      </w:r>
      <w:hyperlink r:id="rId58" w:tgtFrame="_new" w:history="1">
        <w:r w:rsidRPr="00CC5CED">
          <w:rPr>
            <w:rStyle w:val="Hyperlink"/>
            <w:rFonts w:eastAsiaTheme="majorEastAsia"/>
          </w:rPr>
          <w:t>10.14419/ijag.v5i2.8377</w:t>
        </w:r>
      </w:hyperlink>
      <w:r w:rsidRPr="00CC5CED">
        <w:br/>
      </w:r>
      <w:r w:rsidRPr="00CC5CED">
        <w:rPr>
          <w:rStyle w:val="Strong"/>
          <w:rFonts w:eastAsiaTheme="majorEastAsia"/>
          <w:b w:val="0"/>
        </w:rPr>
        <w:t>Full article link / Publisher page:</w:t>
      </w:r>
      <w:r w:rsidRPr="00CC5CED">
        <w:t xml:space="preserve"> </w:t>
      </w:r>
      <w:hyperlink r:id="rId59" w:tgtFrame="_new" w:history="1">
        <w:r w:rsidRPr="00CC5CED">
          <w:rPr>
            <w:rStyle w:val="Hyperlink"/>
            <w:rFonts w:eastAsiaTheme="majorEastAsia"/>
          </w:rPr>
          <w:t>https://sciencepubco.com/index.php/IJAG/article/view/8377</w:t>
        </w:r>
      </w:hyperlink>
    </w:p>
    <w:p w14:paraId="16DA219A" w14:textId="1A4FF6E9" w:rsidR="00930A13" w:rsidRPr="00CC5CED" w:rsidRDefault="00930A13" w:rsidP="001A523E">
      <w:pPr>
        <w:pStyle w:val="NormalWeb"/>
        <w:numPr>
          <w:ilvl w:val="0"/>
          <w:numId w:val="30"/>
        </w:numPr>
      </w:pPr>
      <w:proofErr w:type="spellStart"/>
      <w:r w:rsidRPr="00CC5CED">
        <w:rPr>
          <w:rStyle w:val="Strong"/>
          <w:rFonts w:eastAsiaTheme="majorEastAsia"/>
          <w:b w:val="0"/>
        </w:rPr>
        <w:t>Oyinloye</w:t>
      </w:r>
      <w:proofErr w:type="spellEnd"/>
      <w:r w:rsidRPr="00CC5CED">
        <w:rPr>
          <w:rStyle w:val="Strong"/>
          <w:rFonts w:eastAsiaTheme="majorEastAsia"/>
          <w:b w:val="0"/>
        </w:rPr>
        <w:t xml:space="preserve">, A. O., &amp; </w:t>
      </w:r>
      <w:proofErr w:type="spellStart"/>
      <w:r w:rsidRPr="00CC5CED">
        <w:rPr>
          <w:rStyle w:val="Strong"/>
          <w:rFonts w:eastAsiaTheme="majorEastAsia"/>
          <w:b w:val="0"/>
        </w:rPr>
        <w:t>Ademilua</w:t>
      </w:r>
      <w:proofErr w:type="spellEnd"/>
      <w:r w:rsidRPr="00CC5CED">
        <w:rPr>
          <w:rStyle w:val="Strong"/>
          <w:rFonts w:eastAsiaTheme="majorEastAsia"/>
          <w:b w:val="0"/>
        </w:rPr>
        <w:t>, O. L.</w:t>
      </w:r>
      <w:r w:rsidRPr="00CC5CED">
        <w:t xml:space="preserve"> (2005). </w:t>
      </w:r>
      <w:r w:rsidRPr="00CC5CED">
        <w:rPr>
          <w:rStyle w:val="Emphasis"/>
          <w:rFonts w:eastAsiaTheme="majorEastAsia"/>
        </w:rPr>
        <w:t xml:space="preserve">The Nature of Aquifers in the Crystalline Basement Rocks of Ado-Ekiti, </w:t>
      </w:r>
      <w:proofErr w:type="spellStart"/>
      <w:r w:rsidRPr="00CC5CED">
        <w:rPr>
          <w:rStyle w:val="Emphasis"/>
          <w:rFonts w:eastAsiaTheme="majorEastAsia"/>
        </w:rPr>
        <w:t>Igede</w:t>
      </w:r>
      <w:proofErr w:type="spellEnd"/>
      <w:r w:rsidRPr="00CC5CED">
        <w:rPr>
          <w:rStyle w:val="Emphasis"/>
          <w:rFonts w:eastAsiaTheme="majorEastAsia"/>
        </w:rPr>
        <w:t xml:space="preserve">-Ekiti and </w:t>
      </w:r>
      <w:proofErr w:type="spellStart"/>
      <w:r w:rsidRPr="00CC5CED">
        <w:rPr>
          <w:rStyle w:val="Emphasis"/>
          <w:rFonts w:eastAsiaTheme="majorEastAsia"/>
        </w:rPr>
        <w:t>Igbara-Odo</w:t>
      </w:r>
      <w:proofErr w:type="spellEnd"/>
      <w:r w:rsidRPr="00CC5CED">
        <w:rPr>
          <w:rStyle w:val="Emphasis"/>
          <w:rFonts w:eastAsiaTheme="majorEastAsia"/>
        </w:rPr>
        <w:t xml:space="preserve"> Areas, Southwestern Nigeria.</w:t>
      </w:r>
      <w:r w:rsidRPr="00CC5CED">
        <w:t xml:space="preserve"> </w:t>
      </w:r>
      <w:r w:rsidRPr="00CC5CED">
        <w:rPr>
          <w:rStyle w:val="Strong"/>
          <w:rFonts w:eastAsiaTheme="majorEastAsia"/>
          <w:b w:val="0"/>
        </w:rPr>
        <w:t>Pakistan Journal of Scientific and Industrial Research</w:t>
      </w:r>
      <w:r w:rsidRPr="00CC5CED">
        <w:t>, 48(3), 154–161.</w:t>
      </w:r>
      <w:r w:rsidRPr="00CC5CED">
        <w:br/>
      </w:r>
      <w:r w:rsidRPr="00CC5CED">
        <w:rPr>
          <w:rStyle w:val="Strong"/>
          <w:rFonts w:eastAsiaTheme="majorEastAsia"/>
          <w:b w:val="0"/>
        </w:rPr>
        <w:t>Full article link:</w:t>
      </w:r>
      <w:r w:rsidRPr="00CC5CED">
        <w:t xml:space="preserve"> </w:t>
      </w:r>
      <w:hyperlink r:id="rId60" w:tgtFrame="_new" w:history="1">
        <w:r w:rsidRPr="00CC5CED">
          <w:rPr>
            <w:rStyle w:val="Hyperlink"/>
            <w:rFonts w:eastAsiaTheme="majorEastAsia"/>
          </w:rPr>
          <w:t>https://v2.pjsir.org/index.php/biological-sciences/article/view/1366</w:t>
        </w:r>
      </w:hyperlink>
    </w:p>
    <w:p w14:paraId="4947D74E" w14:textId="37B57905" w:rsidR="00930A13" w:rsidRPr="00CC5CED" w:rsidRDefault="00930A13" w:rsidP="001A523E">
      <w:pPr>
        <w:pStyle w:val="NormalWeb"/>
        <w:numPr>
          <w:ilvl w:val="0"/>
          <w:numId w:val="30"/>
        </w:numPr>
      </w:pPr>
      <w:proofErr w:type="spellStart"/>
      <w:r w:rsidRPr="00CC5CED">
        <w:rPr>
          <w:rStyle w:val="Strong"/>
          <w:rFonts w:eastAsiaTheme="majorEastAsia"/>
          <w:b w:val="0"/>
        </w:rPr>
        <w:lastRenderedPageBreak/>
        <w:t>Ogunyele</w:t>
      </w:r>
      <w:proofErr w:type="spellEnd"/>
      <w:r w:rsidRPr="00CC5CED">
        <w:rPr>
          <w:rStyle w:val="Strong"/>
          <w:rFonts w:eastAsiaTheme="majorEastAsia"/>
          <w:b w:val="0"/>
        </w:rPr>
        <w:t xml:space="preserve">, A., </w:t>
      </w:r>
      <w:proofErr w:type="spellStart"/>
      <w:r w:rsidRPr="00CC5CED">
        <w:rPr>
          <w:rStyle w:val="Strong"/>
          <w:rFonts w:eastAsiaTheme="majorEastAsia"/>
          <w:b w:val="0"/>
        </w:rPr>
        <w:t>Adegbuyi</w:t>
      </w:r>
      <w:proofErr w:type="spellEnd"/>
      <w:r w:rsidRPr="00CC5CED">
        <w:rPr>
          <w:rStyle w:val="Strong"/>
          <w:rFonts w:eastAsiaTheme="majorEastAsia"/>
          <w:b w:val="0"/>
        </w:rPr>
        <w:t xml:space="preserve">, O., </w:t>
      </w:r>
      <w:proofErr w:type="spellStart"/>
      <w:r w:rsidRPr="00CC5CED">
        <w:rPr>
          <w:rStyle w:val="Strong"/>
          <w:rFonts w:eastAsiaTheme="majorEastAsia"/>
          <w:b w:val="0"/>
        </w:rPr>
        <w:t>Odindu</w:t>
      </w:r>
      <w:proofErr w:type="spellEnd"/>
      <w:r w:rsidRPr="00CC5CED">
        <w:rPr>
          <w:rStyle w:val="Strong"/>
          <w:rFonts w:eastAsiaTheme="majorEastAsia"/>
          <w:b w:val="0"/>
        </w:rPr>
        <w:t xml:space="preserve">, M., &amp; </w:t>
      </w:r>
      <w:proofErr w:type="spellStart"/>
      <w:r w:rsidRPr="00CC5CED">
        <w:rPr>
          <w:rStyle w:val="Strong"/>
          <w:rFonts w:eastAsiaTheme="majorEastAsia"/>
          <w:b w:val="0"/>
        </w:rPr>
        <w:t>Erinfolami</w:t>
      </w:r>
      <w:proofErr w:type="spellEnd"/>
      <w:r w:rsidRPr="00CC5CED">
        <w:rPr>
          <w:rStyle w:val="Strong"/>
          <w:rFonts w:eastAsiaTheme="majorEastAsia"/>
          <w:b w:val="0"/>
        </w:rPr>
        <w:t>, T.</w:t>
      </w:r>
      <w:r w:rsidRPr="00CC5CED">
        <w:t xml:space="preserve"> (2017). </w:t>
      </w:r>
      <w:r w:rsidRPr="00CC5CED">
        <w:rPr>
          <w:rStyle w:val="Emphasis"/>
          <w:rFonts w:eastAsiaTheme="majorEastAsia"/>
        </w:rPr>
        <w:t xml:space="preserve">Geochemical Characteristics and Petrogenesis of Basement Rocks in </w:t>
      </w:r>
      <w:proofErr w:type="spellStart"/>
      <w:r w:rsidRPr="00CC5CED">
        <w:rPr>
          <w:rStyle w:val="Emphasis"/>
          <w:rFonts w:eastAsiaTheme="majorEastAsia"/>
        </w:rPr>
        <w:t>Idoani</w:t>
      </w:r>
      <w:proofErr w:type="spellEnd"/>
      <w:r w:rsidRPr="00CC5CED">
        <w:rPr>
          <w:rStyle w:val="Emphasis"/>
          <w:rFonts w:eastAsiaTheme="majorEastAsia"/>
        </w:rPr>
        <w:t xml:space="preserve"> Area, Ondo State, Southwestern Nigeria.</w:t>
      </w:r>
      <w:r w:rsidRPr="00CC5CED">
        <w:t xml:space="preserve"> </w:t>
      </w:r>
      <w:r w:rsidRPr="00CC5CED">
        <w:rPr>
          <w:rStyle w:val="Strong"/>
          <w:rFonts w:eastAsiaTheme="majorEastAsia"/>
          <w:b w:val="0"/>
        </w:rPr>
        <w:t>International Journal of Advanced Geosciences</w:t>
      </w:r>
      <w:r w:rsidRPr="00CC5CED">
        <w:t>, 5(2), 102–108.</w:t>
      </w:r>
      <w:r w:rsidRPr="00CC5CED">
        <w:br/>
      </w:r>
      <w:r w:rsidRPr="00CC5CED">
        <w:rPr>
          <w:rStyle w:val="Strong"/>
          <w:rFonts w:eastAsiaTheme="majorEastAsia"/>
          <w:b w:val="0"/>
        </w:rPr>
        <w:t>DOI:</w:t>
      </w:r>
      <w:r w:rsidRPr="00CC5CED">
        <w:t xml:space="preserve"> </w:t>
      </w:r>
      <w:hyperlink r:id="rId61" w:tgtFrame="_new" w:history="1">
        <w:r w:rsidRPr="00CC5CED">
          <w:rPr>
            <w:rStyle w:val="Hyperlink"/>
            <w:rFonts w:eastAsiaTheme="majorEastAsia"/>
          </w:rPr>
          <w:t>10.14419/ijag.v5i2.8377</w:t>
        </w:r>
      </w:hyperlink>
      <w:r w:rsidRPr="00CC5CED">
        <w:br/>
      </w:r>
      <w:r w:rsidRPr="00CC5CED">
        <w:rPr>
          <w:rStyle w:val="Strong"/>
          <w:rFonts w:eastAsiaTheme="majorEastAsia"/>
          <w:b w:val="0"/>
        </w:rPr>
        <w:t>Full article / Publisher page:</w:t>
      </w:r>
      <w:r w:rsidRPr="00CC5CED">
        <w:t xml:space="preserve"> </w:t>
      </w:r>
      <w:hyperlink r:id="rId62" w:tgtFrame="_new" w:history="1">
        <w:r w:rsidRPr="00CC5CED">
          <w:rPr>
            <w:rStyle w:val="Hyperlink"/>
            <w:rFonts w:eastAsiaTheme="majorEastAsia"/>
          </w:rPr>
          <w:t>https://sciencepubco.com/index.php/IJAG/article/view/8377</w:t>
        </w:r>
      </w:hyperlink>
    </w:p>
    <w:p w14:paraId="641B9450" w14:textId="6FE33963" w:rsidR="00930A13" w:rsidRPr="00CC5CED" w:rsidRDefault="00930A13" w:rsidP="001A523E">
      <w:pPr>
        <w:pStyle w:val="NormalWeb"/>
        <w:numPr>
          <w:ilvl w:val="0"/>
          <w:numId w:val="30"/>
        </w:numPr>
      </w:pPr>
      <w:proofErr w:type="spellStart"/>
      <w:r w:rsidRPr="00CC5CED">
        <w:rPr>
          <w:rStyle w:val="Strong"/>
          <w:rFonts w:eastAsiaTheme="majorEastAsia"/>
          <w:b w:val="0"/>
        </w:rPr>
        <w:t>Ohwo</w:t>
      </w:r>
      <w:proofErr w:type="spellEnd"/>
      <w:r w:rsidRPr="00CC5CED">
        <w:rPr>
          <w:rStyle w:val="Strong"/>
          <w:rFonts w:eastAsiaTheme="majorEastAsia"/>
          <w:b w:val="0"/>
        </w:rPr>
        <w:t xml:space="preserve">, M. U., &amp; </w:t>
      </w:r>
      <w:proofErr w:type="spellStart"/>
      <w:r w:rsidRPr="00CC5CED">
        <w:rPr>
          <w:rStyle w:val="Strong"/>
          <w:rFonts w:eastAsiaTheme="majorEastAsia"/>
          <w:b w:val="0"/>
        </w:rPr>
        <w:t>Soalpe</w:t>
      </w:r>
      <w:proofErr w:type="spellEnd"/>
      <w:r w:rsidRPr="00CC5CED">
        <w:rPr>
          <w:rStyle w:val="Strong"/>
          <w:rFonts w:eastAsiaTheme="majorEastAsia"/>
          <w:b w:val="0"/>
        </w:rPr>
        <w:t>, F. S.</w:t>
      </w:r>
      <w:r w:rsidRPr="00CC5CED">
        <w:t xml:space="preserve"> (2024). </w:t>
      </w:r>
      <w:r w:rsidRPr="00CC5CED">
        <w:rPr>
          <w:rStyle w:val="Emphasis"/>
          <w:rFonts w:eastAsiaTheme="majorEastAsia"/>
        </w:rPr>
        <w:t xml:space="preserve">Integration of ASTER and Airborne Radiometric Data in the Exploration for Hydrothermal Alteration Zones Associated with Mineral Deposits in </w:t>
      </w:r>
      <w:proofErr w:type="spellStart"/>
      <w:r w:rsidRPr="00CC5CED">
        <w:rPr>
          <w:rStyle w:val="Emphasis"/>
          <w:rFonts w:eastAsiaTheme="majorEastAsia"/>
        </w:rPr>
        <w:t>Igarra</w:t>
      </w:r>
      <w:proofErr w:type="spellEnd"/>
      <w:r w:rsidRPr="00CC5CED">
        <w:rPr>
          <w:rStyle w:val="Emphasis"/>
          <w:rFonts w:eastAsiaTheme="majorEastAsia"/>
        </w:rPr>
        <w:t xml:space="preserve"> Schist Belt, Nigeria.</w:t>
      </w:r>
      <w:r w:rsidRPr="00CC5CED">
        <w:t xml:space="preserve"> </w:t>
      </w:r>
      <w:r w:rsidRPr="00CC5CED">
        <w:rPr>
          <w:rStyle w:val="Strong"/>
          <w:rFonts w:eastAsiaTheme="majorEastAsia"/>
          <w:b w:val="0"/>
        </w:rPr>
        <w:t>International Journal of Earth Sciences Knowledge and Applications</w:t>
      </w:r>
      <w:r w:rsidRPr="00CC5CED">
        <w:t xml:space="preserve">, 6(2), 220–228. </w:t>
      </w:r>
      <w:r w:rsidRPr="00CC5CED">
        <w:rPr>
          <w:rStyle w:val="Strong"/>
          <w:rFonts w:eastAsiaTheme="majorEastAsia"/>
          <w:b w:val="0"/>
        </w:rPr>
        <w:t>DOI / Full Article Link:</w:t>
      </w:r>
      <w:r w:rsidRPr="00CC5CED">
        <w:t xml:space="preserve"> </w:t>
      </w:r>
      <w:hyperlink r:id="rId63" w:tgtFrame="_new" w:history="1">
        <w:r w:rsidRPr="00CC5CED">
          <w:rPr>
            <w:rStyle w:val="Hyperlink"/>
            <w:rFonts w:eastAsiaTheme="majorEastAsia"/>
          </w:rPr>
          <w:t>https://dergipark.org.tr/en/pub/ijeska/issue/87240/1553919</w:t>
        </w:r>
      </w:hyperlink>
      <w:r w:rsidRPr="00CC5CED">
        <w:br/>
      </w:r>
      <w:r w:rsidRPr="00CC5CED">
        <w:rPr>
          <w:rStyle w:val="Strong"/>
          <w:rFonts w:eastAsiaTheme="majorEastAsia"/>
          <w:b w:val="0"/>
        </w:rPr>
        <w:t>Publisher / Journal Page:</w:t>
      </w:r>
      <w:r w:rsidRPr="00CC5CED">
        <w:t xml:space="preserve"> </w:t>
      </w:r>
      <w:hyperlink r:id="rId64" w:tgtFrame="_new" w:history="1">
        <w:r w:rsidRPr="00CC5CED">
          <w:rPr>
            <w:rStyle w:val="Hyperlink"/>
            <w:rFonts w:eastAsiaTheme="majorEastAsia"/>
          </w:rPr>
          <w:t>https://ijeska.com/index.php/ijeska/article/view/419</w:t>
        </w:r>
      </w:hyperlink>
    </w:p>
    <w:p w14:paraId="1115BE1F" w14:textId="6E636C9A" w:rsidR="00930A13" w:rsidRPr="00CC5CED" w:rsidRDefault="00930A13" w:rsidP="001A523E">
      <w:pPr>
        <w:pStyle w:val="NormalWeb"/>
        <w:numPr>
          <w:ilvl w:val="0"/>
          <w:numId w:val="30"/>
        </w:numPr>
      </w:pPr>
      <w:proofErr w:type="spellStart"/>
      <w:r w:rsidRPr="00CC5CED">
        <w:rPr>
          <w:rStyle w:val="Strong"/>
          <w:rFonts w:eastAsiaTheme="majorEastAsia"/>
          <w:b w:val="0"/>
        </w:rPr>
        <w:t>Talabi</w:t>
      </w:r>
      <w:proofErr w:type="spellEnd"/>
      <w:r w:rsidRPr="00CC5CED">
        <w:rPr>
          <w:rStyle w:val="Strong"/>
          <w:rFonts w:eastAsiaTheme="majorEastAsia"/>
          <w:b w:val="0"/>
        </w:rPr>
        <w:t xml:space="preserve">, A. O., </w:t>
      </w:r>
      <w:proofErr w:type="spellStart"/>
      <w:r w:rsidRPr="00CC5CED">
        <w:rPr>
          <w:rStyle w:val="Strong"/>
          <w:rFonts w:eastAsiaTheme="majorEastAsia"/>
          <w:b w:val="0"/>
        </w:rPr>
        <w:t>Oyinloye</w:t>
      </w:r>
      <w:proofErr w:type="spellEnd"/>
      <w:r w:rsidRPr="00CC5CED">
        <w:rPr>
          <w:rStyle w:val="Strong"/>
          <w:rFonts w:eastAsiaTheme="majorEastAsia"/>
          <w:b w:val="0"/>
        </w:rPr>
        <w:t xml:space="preserve">, A. O., </w:t>
      </w:r>
      <w:proofErr w:type="spellStart"/>
      <w:r w:rsidRPr="00CC5CED">
        <w:rPr>
          <w:rStyle w:val="Strong"/>
          <w:rFonts w:eastAsiaTheme="majorEastAsia"/>
          <w:b w:val="0"/>
        </w:rPr>
        <w:t>Olaolorun</w:t>
      </w:r>
      <w:proofErr w:type="spellEnd"/>
      <w:r w:rsidRPr="00CC5CED">
        <w:rPr>
          <w:rStyle w:val="Strong"/>
          <w:rFonts w:eastAsiaTheme="majorEastAsia"/>
          <w:b w:val="0"/>
        </w:rPr>
        <w:t xml:space="preserve">, O. A., Obasi, R. A., </w:t>
      </w:r>
      <w:proofErr w:type="spellStart"/>
      <w:r w:rsidRPr="00CC5CED">
        <w:rPr>
          <w:rStyle w:val="Strong"/>
          <w:rFonts w:eastAsiaTheme="majorEastAsia"/>
          <w:b w:val="0"/>
        </w:rPr>
        <w:t>Eluwole</w:t>
      </w:r>
      <w:proofErr w:type="spellEnd"/>
      <w:r w:rsidRPr="00CC5CED">
        <w:rPr>
          <w:rStyle w:val="Strong"/>
          <w:rFonts w:eastAsiaTheme="majorEastAsia"/>
          <w:b w:val="0"/>
        </w:rPr>
        <w:t xml:space="preserve">, A. B., Adebayo, O. F., &amp; </w:t>
      </w:r>
      <w:proofErr w:type="spellStart"/>
      <w:r w:rsidRPr="00CC5CED">
        <w:rPr>
          <w:rStyle w:val="Strong"/>
          <w:rFonts w:eastAsiaTheme="majorEastAsia"/>
          <w:b w:val="0"/>
        </w:rPr>
        <w:t>Ademilua</w:t>
      </w:r>
      <w:proofErr w:type="spellEnd"/>
      <w:r w:rsidRPr="00CC5CED">
        <w:rPr>
          <w:rStyle w:val="Strong"/>
          <w:rFonts w:eastAsiaTheme="majorEastAsia"/>
          <w:b w:val="0"/>
        </w:rPr>
        <w:t>, O. L.</w:t>
      </w:r>
      <w:r w:rsidRPr="00CC5CED">
        <w:t xml:space="preserve"> (2018). </w:t>
      </w:r>
      <w:r w:rsidRPr="00CC5CED">
        <w:rPr>
          <w:rStyle w:val="Emphasis"/>
          <w:rFonts w:eastAsiaTheme="majorEastAsia"/>
        </w:rPr>
        <w:t xml:space="preserve">Petrography and Geochemistry of Orin-Ekiti Basement Rocks, Southwestern Nigeria: Implications on </w:t>
      </w:r>
      <w:proofErr w:type="spellStart"/>
      <w:r w:rsidRPr="00CC5CED">
        <w:rPr>
          <w:rStyle w:val="Emphasis"/>
          <w:rFonts w:eastAsiaTheme="majorEastAsia"/>
        </w:rPr>
        <w:t>Bauxitization</w:t>
      </w:r>
      <w:proofErr w:type="spellEnd"/>
      <w:r w:rsidRPr="00CC5CED">
        <w:rPr>
          <w:rStyle w:val="Emphasis"/>
          <w:rFonts w:eastAsiaTheme="majorEastAsia"/>
        </w:rPr>
        <w:t>.</w:t>
      </w:r>
      <w:r w:rsidRPr="00CC5CED">
        <w:t xml:space="preserve"> </w:t>
      </w:r>
      <w:r w:rsidRPr="00CC5CED">
        <w:rPr>
          <w:rStyle w:val="Strong"/>
          <w:rFonts w:eastAsiaTheme="majorEastAsia"/>
          <w:b w:val="0"/>
        </w:rPr>
        <w:t>American Journal of Applied Sciences</w:t>
      </w:r>
      <w:r w:rsidRPr="00CC5CED">
        <w:t xml:space="preserve">, 15(4), 230–239. </w:t>
      </w:r>
      <w:r w:rsidRPr="00CC5CED">
        <w:rPr>
          <w:rStyle w:val="Strong"/>
          <w:rFonts w:eastAsiaTheme="majorEastAsia"/>
          <w:b w:val="0"/>
        </w:rPr>
        <w:t>DOI / Full Article Link:</w:t>
      </w:r>
      <w:r w:rsidRPr="00CC5CED">
        <w:t xml:space="preserve"> https://doi.org/10.3844/ajassp.2018.230.239</w:t>
      </w:r>
      <w:r w:rsidRPr="00CC5CED">
        <w:br/>
      </w:r>
      <w:r w:rsidRPr="00CC5CED">
        <w:rPr>
          <w:rStyle w:val="Strong"/>
          <w:rFonts w:eastAsiaTheme="majorEastAsia"/>
          <w:b w:val="0"/>
        </w:rPr>
        <w:t>Full Text / Publisher Page:</w:t>
      </w:r>
      <w:r w:rsidRPr="00CC5CED">
        <w:t xml:space="preserve"> </w:t>
      </w:r>
      <w:hyperlink r:id="rId65" w:tgtFrame="_new" w:history="1">
        <w:r w:rsidRPr="00CC5CED">
          <w:rPr>
            <w:rStyle w:val="Hyperlink"/>
            <w:rFonts w:eastAsiaTheme="majorEastAsia"/>
          </w:rPr>
          <w:t>https://thescipub.com/abstract/ajassp.2018.230.239</w:t>
        </w:r>
      </w:hyperlink>
    </w:p>
    <w:p w14:paraId="0A2B64CF" w14:textId="5966B7DE" w:rsidR="00930A13" w:rsidRPr="00CC5CED" w:rsidRDefault="00930A13" w:rsidP="001A523E">
      <w:pPr>
        <w:pStyle w:val="NormalWeb"/>
        <w:numPr>
          <w:ilvl w:val="0"/>
          <w:numId w:val="30"/>
        </w:numPr>
      </w:pPr>
      <w:proofErr w:type="spellStart"/>
      <w:r w:rsidRPr="00CC5CED">
        <w:rPr>
          <w:rStyle w:val="Strong"/>
          <w:rFonts w:eastAsiaTheme="majorEastAsia"/>
          <w:b w:val="0"/>
        </w:rPr>
        <w:t>Talabi</w:t>
      </w:r>
      <w:proofErr w:type="spellEnd"/>
      <w:r w:rsidRPr="00CC5CED">
        <w:rPr>
          <w:rStyle w:val="Strong"/>
          <w:rFonts w:eastAsiaTheme="majorEastAsia"/>
          <w:b w:val="0"/>
        </w:rPr>
        <w:t xml:space="preserve">, A. O., </w:t>
      </w:r>
      <w:proofErr w:type="spellStart"/>
      <w:r w:rsidRPr="00CC5CED">
        <w:rPr>
          <w:rStyle w:val="Strong"/>
          <w:rFonts w:eastAsiaTheme="majorEastAsia"/>
          <w:b w:val="0"/>
        </w:rPr>
        <w:t>Oyinloye</w:t>
      </w:r>
      <w:proofErr w:type="spellEnd"/>
      <w:r w:rsidRPr="00CC5CED">
        <w:rPr>
          <w:rStyle w:val="Strong"/>
          <w:rFonts w:eastAsiaTheme="majorEastAsia"/>
          <w:b w:val="0"/>
        </w:rPr>
        <w:t xml:space="preserve">, A. O., </w:t>
      </w:r>
      <w:proofErr w:type="spellStart"/>
      <w:r w:rsidRPr="00CC5CED">
        <w:rPr>
          <w:rStyle w:val="Strong"/>
          <w:rFonts w:eastAsiaTheme="majorEastAsia"/>
          <w:b w:val="0"/>
        </w:rPr>
        <w:t>Olaolorun</w:t>
      </w:r>
      <w:proofErr w:type="spellEnd"/>
      <w:r w:rsidRPr="00CC5CED">
        <w:rPr>
          <w:rStyle w:val="Strong"/>
          <w:rFonts w:eastAsiaTheme="majorEastAsia"/>
          <w:b w:val="0"/>
        </w:rPr>
        <w:t xml:space="preserve">, O. A., Obasi, R. A., </w:t>
      </w:r>
      <w:proofErr w:type="spellStart"/>
      <w:r w:rsidRPr="00CC5CED">
        <w:rPr>
          <w:rStyle w:val="Strong"/>
          <w:rFonts w:eastAsiaTheme="majorEastAsia"/>
          <w:b w:val="0"/>
        </w:rPr>
        <w:t>Eluwole</w:t>
      </w:r>
      <w:proofErr w:type="spellEnd"/>
      <w:r w:rsidRPr="00CC5CED">
        <w:rPr>
          <w:rStyle w:val="Strong"/>
          <w:rFonts w:eastAsiaTheme="majorEastAsia"/>
          <w:b w:val="0"/>
        </w:rPr>
        <w:t xml:space="preserve">, A. B., Adebayo, O. F., &amp; </w:t>
      </w:r>
      <w:proofErr w:type="spellStart"/>
      <w:r w:rsidRPr="00CC5CED">
        <w:rPr>
          <w:rStyle w:val="Strong"/>
          <w:rFonts w:eastAsiaTheme="majorEastAsia"/>
          <w:b w:val="0"/>
        </w:rPr>
        <w:t>Ademilua</w:t>
      </w:r>
      <w:proofErr w:type="spellEnd"/>
      <w:r w:rsidRPr="00CC5CED">
        <w:rPr>
          <w:rStyle w:val="Strong"/>
          <w:rFonts w:eastAsiaTheme="majorEastAsia"/>
          <w:b w:val="0"/>
        </w:rPr>
        <w:t>, O. L.</w:t>
      </w:r>
      <w:r w:rsidRPr="00CC5CED">
        <w:t xml:space="preserve"> (2018). </w:t>
      </w:r>
      <w:r w:rsidRPr="00CC5CED">
        <w:rPr>
          <w:rStyle w:val="Emphasis"/>
          <w:rFonts w:eastAsiaTheme="majorEastAsia"/>
        </w:rPr>
        <w:t xml:space="preserve">Petrography and Geochemistry of Orin-Ekiti Basement Rocks, Southwestern Nigeria: Implications on </w:t>
      </w:r>
      <w:proofErr w:type="spellStart"/>
      <w:r w:rsidRPr="00CC5CED">
        <w:rPr>
          <w:rStyle w:val="Emphasis"/>
          <w:rFonts w:eastAsiaTheme="majorEastAsia"/>
        </w:rPr>
        <w:t>Bauxitization</w:t>
      </w:r>
      <w:proofErr w:type="spellEnd"/>
      <w:r w:rsidRPr="00CC5CED">
        <w:rPr>
          <w:rStyle w:val="Emphasis"/>
          <w:rFonts w:eastAsiaTheme="majorEastAsia"/>
        </w:rPr>
        <w:t>.</w:t>
      </w:r>
      <w:r w:rsidRPr="00CC5CED">
        <w:t xml:space="preserve"> </w:t>
      </w:r>
      <w:r w:rsidRPr="00CC5CED">
        <w:rPr>
          <w:rStyle w:val="Strong"/>
          <w:rFonts w:eastAsiaTheme="majorEastAsia"/>
          <w:b w:val="0"/>
        </w:rPr>
        <w:t>American Journal of Applied Sciences</w:t>
      </w:r>
      <w:r w:rsidRPr="00CC5CED">
        <w:t xml:space="preserve">, 15(4), 230–239. </w:t>
      </w:r>
      <w:r w:rsidRPr="00CC5CED">
        <w:rPr>
          <w:rStyle w:val="Strong"/>
          <w:rFonts w:eastAsiaTheme="majorEastAsia"/>
          <w:b w:val="0"/>
        </w:rPr>
        <w:t>DOI / Full Article Link:</w:t>
      </w:r>
      <w:r w:rsidRPr="00CC5CED">
        <w:t xml:space="preserve"> https://doi.org/10.3844/ajassp.2018.230.239</w:t>
      </w:r>
      <w:r w:rsidRPr="00CC5CED">
        <w:br/>
      </w:r>
      <w:r w:rsidRPr="00CC5CED">
        <w:rPr>
          <w:rStyle w:val="Strong"/>
          <w:rFonts w:eastAsiaTheme="majorEastAsia"/>
          <w:b w:val="0"/>
        </w:rPr>
        <w:t>Full Text / Publisher Page:</w:t>
      </w:r>
      <w:r w:rsidRPr="00CC5CED">
        <w:t xml:space="preserve"> </w:t>
      </w:r>
      <w:hyperlink r:id="rId66" w:tgtFrame="_new" w:history="1">
        <w:r w:rsidRPr="00CC5CED">
          <w:rPr>
            <w:rStyle w:val="Hyperlink"/>
            <w:rFonts w:eastAsiaTheme="majorEastAsia"/>
          </w:rPr>
          <w:t>https://thescipub.com/abstract/ajassp.2018.230.239</w:t>
        </w:r>
      </w:hyperlink>
    </w:p>
    <w:p w14:paraId="3DC71FDB" w14:textId="6CB1C65B" w:rsidR="00930A13" w:rsidRPr="00CC5CED" w:rsidRDefault="00930A13" w:rsidP="001A523E">
      <w:pPr>
        <w:pStyle w:val="NormalWeb"/>
        <w:numPr>
          <w:ilvl w:val="0"/>
          <w:numId w:val="30"/>
        </w:numPr>
      </w:pPr>
      <w:r w:rsidRPr="00CC5CED">
        <w:rPr>
          <w:rStyle w:val="Strong"/>
          <w:rFonts w:eastAsiaTheme="majorEastAsia"/>
          <w:b w:val="0"/>
        </w:rPr>
        <w:t>Wilford, J.</w:t>
      </w:r>
      <w:r w:rsidRPr="00CC5CED">
        <w:t xml:space="preserve"> (2002). </w:t>
      </w:r>
      <w:r w:rsidRPr="00CC5CED">
        <w:rPr>
          <w:rStyle w:val="Emphasis"/>
          <w:rFonts w:eastAsiaTheme="majorEastAsia"/>
        </w:rPr>
        <w:t>Airborne gamma-ray spectrometry.</w:t>
      </w:r>
      <w:r w:rsidRPr="00CC5CED">
        <w:t xml:space="preserve"> In </w:t>
      </w:r>
      <w:r w:rsidRPr="00CC5CED">
        <w:rPr>
          <w:rStyle w:val="Strong"/>
          <w:rFonts w:eastAsiaTheme="majorEastAsia"/>
          <w:b w:val="0"/>
        </w:rPr>
        <w:t>Geophysical and Remote Sensing Methods for Regolith Exploration</w:t>
      </w:r>
      <w:r w:rsidRPr="00CC5CED">
        <w:t>, CRC LEME Open File Report 144. Cooperative Research Centre for Landscape Environments and Mineral Exploration (CRC-LEME).</w:t>
      </w:r>
      <w:r w:rsidR="001A523E">
        <w:t xml:space="preserve"> </w:t>
      </w:r>
      <w:r w:rsidR="001A523E">
        <w:rPr>
          <w:rStyle w:val="Strong"/>
          <w:rFonts w:eastAsiaTheme="majorEastAsia"/>
          <w:b w:val="0"/>
        </w:rPr>
        <w:t xml:space="preserve">Full Text </w:t>
      </w:r>
      <w:hyperlink r:id="rId67" w:tgtFrame="_new" w:history="1">
        <w:r w:rsidRPr="00CC5CED">
          <w:rPr>
            <w:rStyle w:val="Hyperlink"/>
            <w:rFonts w:eastAsiaTheme="majorEastAsia"/>
          </w:rPr>
          <w:t>https://crcleme.org.au/Pubs/OPEN%20FILE%20REPORTS/OFR%20144/07Radiometrics.pdf</w:t>
        </w:r>
      </w:hyperlink>
    </w:p>
    <w:p w14:paraId="1B1DF96A" w14:textId="77777777" w:rsidR="00930A13" w:rsidRPr="00CC5CED" w:rsidRDefault="00930A13" w:rsidP="00930A13">
      <w:pPr>
        <w:pStyle w:val="NormalWeb"/>
      </w:pPr>
    </w:p>
    <w:p w14:paraId="471D8CBF" w14:textId="74C246F9" w:rsidR="00CB65EF" w:rsidRPr="00CB65EF" w:rsidRDefault="00CB65EF" w:rsidP="00CB65EF">
      <w:pPr>
        <w:pStyle w:val="Heading3"/>
        <w:rPr>
          <w:rFonts w:ascii="Times New Roman" w:hAnsi="Times New Roman" w:cs="Times New Roman"/>
          <w:sz w:val="27"/>
          <w:szCs w:val="27"/>
        </w:rPr>
      </w:pPr>
      <w:bookmarkStart w:id="5" w:name="_GoBack"/>
      <w:bookmarkEnd w:id="5"/>
      <w:r w:rsidRPr="00CB65EF">
        <w:rPr>
          <w:rStyle w:val="Strong"/>
          <w:rFonts w:ascii="Times New Roman" w:hAnsi="Times New Roman" w:cs="Times New Roman"/>
          <w:bCs w:val="0"/>
        </w:rPr>
        <w:t>Competing Interests</w:t>
      </w:r>
    </w:p>
    <w:p w14:paraId="53AD6855" w14:textId="4F366B82" w:rsidR="00CB65EF" w:rsidRPr="004F0799" w:rsidRDefault="00CB65EF" w:rsidP="00CB65EF">
      <w:pPr>
        <w:pStyle w:val="NormalWeb"/>
        <w:rPr>
          <w:rStyle w:val="Strong"/>
          <w:rFonts w:eastAsiaTheme="majorEastAsia"/>
          <w:b w:val="0"/>
        </w:rPr>
      </w:pPr>
      <w:r>
        <w:t xml:space="preserve">The authors declare that they have no financial or personal relationships that could inappropriately influence, or be perceived to influence, the work reported in this manuscript. No employment, consultancies, honoraria, paid expert testimony, patent applications/registrations, or external funding are associated with this study. </w:t>
      </w:r>
      <w:r w:rsidRPr="004F0799">
        <w:rPr>
          <w:rStyle w:val="Strong"/>
          <w:rFonts w:eastAsiaTheme="majorEastAsia"/>
          <w:b w:val="0"/>
        </w:rPr>
        <w:t>The authors have declared that no competing interests exist.</w:t>
      </w:r>
    </w:p>
    <w:p w14:paraId="75C740F3" w14:textId="0BACA1D5" w:rsidR="00CB65EF" w:rsidRDefault="00CB65EF" w:rsidP="00CB65EF">
      <w:pPr>
        <w:pStyle w:val="NormalWeb"/>
        <w:rPr>
          <w:rStyle w:val="Strong"/>
          <w:rFonts w:eastAsiaTheme="majorEastAsia"/>
        </w:rPr>
      </w:pPr>
    </w:p>
    <w:p w14:paraId="75335D5D" w14:textId="77777777" w:rsidR="0006543B" w:rsidRPr="00F421F8" w:rsidRDefault="0006543B" w:rsidP="0006543B">
      <w:pPr>
        <w:pStyle w:val="Heading3"/>
        <w:rPr>
          <w:rFonts w:ascii="Times New Roman" w:hAnsi="Times New Roman" w:cs="Times New Roman"/>
          <w:sz w:val="27"/>
          <w:szCs w:val="27"/>
        </w:rPr>
      </w:pPr>
      <w:r w:rsidRPr="00F421F8">
        <w:rPr>
          <w:rStyle w:val="Strong"/>
          <w:rFonts w:ascii="Times New Roman" w:hAnsi="Times New Roman" w:cs="Times New Roman"/>
          <w:bCs w:val="0"/>
        </w:rPr>
        <w:t>Consent</w:t>
      </w:r>
    </w:p>
    <w:p w14:paraId="4E91B2D8" w14:textId="03D99EE5" w:rsidR="0006543B" w:rsidRDefault="0006543B" w:rsidP="0006543B">
      <w:pPr>
        <w:pStyle w:val="NormalWeb"/>
      </w:pPr>
      <w:r>
        <w:t>This study does not involve human participants, patient data</w:t>
      </w:r>
      <w:r w:rsidR="007D39A9">
        <w:t>,</w:t>
      </w:r>
      <w:r>
        <w:t xml:space="preserve"> or case reports; therefore, informed consent does not apply to this manuscript.</w:t>
      </w:r>
    </w:p>
    <w:p w14:paraId="696E9D42" w14:textId="77777777" w:rsidR="0006543B" w:rsidRPr="006F540F" w:rsidRDefault="0006543B" w:rsidP="0006543B">
      <w:pPr>
        <w:pStyle w:val="Heading3"/>
        <w:rPr>
          <w:rFonts w:ascii="Times New Roman" w:hAnsi="Times New Roman" w:cs="Times New Roman"/>
          <w:sz w:val="27"/>
          <w:szCs w:val="27"/>
        </w:rPr>
      </w:pPr>
      <w:r w:rsidRPr="006F540F">
        <w:rPr>
          <w:rStyle w:val="Strong"/>
          <w:rFonts w:ascii="Times New Roman" w:hAnsi="Times New Roman" w:cs="Times New Roman"/>
          <w:bCs w:val="0"/>
        </w:rPr>
        <w:lastRenderedPageBreak/>
        <w:t>Ethical Approval</w:t>
      </w:r>
    </w:p>
    <w:p w14:paraId="5393DFC4" w14:textId="3A472367" w:rsidR="0006543B" w:rsidRDefault="0006543B" w:rsidP="0006543B">
      <w:pPr>
        <w:pStyle w:val="NormalWeb"/>
      </w:pPr>
      <w:r>
        <w:t xml:space="preserve">This study does not involve human participants, human data, or animal experiments; therefore, ethical approval was not required for this research. The </w:t>
      </w:r>
      <w:r w:rsidR="007D39A9">
        <w:t xml:space="preserve">research activities carried out, </w:t>
      </w:r>
      <w:r>
        <w:t>radiometric analysis, geochemical eva</w:t>
      </w:r>
      <w:r w:rsidR="007D39A9">
        <w:t xml:space="preserve">luation, and geological mapping, </w:t>
      </w:r>
      <w:r>
        <w:t>do not fall under procedures requiring Institutional Review Board (IRB) or Ethical Committee clearance.</w:t>
      </w:r>
    </w:p>
    <w:sectPr w:rsidR="0006543B" w:rsidSect="00F5082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45781" w14:textId="77777777" w:rsidR="000F4EED" w:rsidRDefault="000F4EED" w:rsidP="00A14A89">
      <w:pPr>
        <w:spacing w:after="0" w:line="240" w:lineRule="auto"/>
      </w:pPr>
      <w:r>
        <w:separator/>
      </w:r>
    </w:p>
  </w:endnote>
  <w:endnote w:type="continuationSeparator" w:id="0">
    <w:p w14:paraId="4E0D36A8" w14:textId="77777777" w:rsidR="000F4EED" w:rsidRDefault="000F4EED" w:rsidP="00A1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C6733" w14:textId="77777777" w:rsidR="00FD08E1" w:rsidRDefault="00FD0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409127"/>
      <w:docPartObj>
        <w:docPartGallery w:val="Page Numbers (Bottom of Page)"/>
        <w:docPartUnique/>
      </w:docPartObj>
    </w:sdtPr>
    <w:sdtEndPr>
      <w:rPr>
        <w:noProof/>
      </w:rPr>
    </w:sdtEndPr>
    <w:sdtContent>
      <w:p w14:paraId="1F6CEDFC" w14:textId="6908CEAA" w:rsidR="00510E29" w:rsidRDefault="00510E29">
        <w:pPr>
          <w:pStyle w:val="Footer"/>
          <w:jc w:val="center"/>
        </w:pPr>
        <w:r>
          <w:fldChar w:fldCharType="begin"/>
        </w:r>
        <w:r>
          <w:instrText xml:space="preserve"> PAGE   \* MERGEFORMAT </w:instrText>
        </w:r>
        <w:r>
          <w:fldChar w:fldCharType="separate"/>
        </w:r>
        <w:r w:rsidR="001A143D">
          <w:rPr>
            <w:noProof/>
          </w:rPr>
          <w:t>23</w:t>
        </w:r>
        <w:r>
          <w:rPr>
            <w:noProof/>
          </w:rPr>
          <w:fldChar w:fldCharType="end"/>
        </w:r>
      </w:p>
    </w:sdtContent>
  </w:sdt>
  <w:p w14:paraId="0B34E029" w14:textId="77777777" w:rsidR="00510E29" w:rsidRDefault="00510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C8CD" w14:textId="77777777" w:rsidR="00FD08E1" w:rsidRDefault="00FD0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8BBAE" w14:textId="77777777" w:rsidR="000F4EED" w:rsidRDefault="000F4EED" w:rsidP="00A14A89">
      <w:pPr>
        <w:spacing w:after="0" w:line="240" w:lineRule="auto"/>
      </w:pPr>
      <w:r>
        <w:separator/>
      </w:r>
    </w:p>
  </w:footnote>
  <w:footnote w:type="continuationSeparator" w:id="0">
    <w:p w14:paraId="237EAA22" w14:textId="77777777" w:rsidR="000F4EED" w:rsidRDefault="000F4EED" w:rsidP="00A1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5BEA" w14:textId="60B3BAF6" w:rsidR="00FD08E1" w:rsidRDefault="00FD08E1">
    <w:pPr>
      <w:pStyle w:val="Header"/>
    </w:pPr>
    <w:r>
      <w:rPr>
        <w:noProof/>
      </w:rPr>
      <w:pict w14:anchorId="3F956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F2D1" w14:textId="11CA01A2" w:rsidR="00FD08E1" w:rsidRDefault="00FD08E1">
    <w:pPr>
      <w:pStyle w:val="Header"/>
    </w:pPr>
    <w:r>
      <w:rPr>
        <w:noProof/>
      </w:rPr>
      <w:pict w14:anchorId="48CD9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236D9" w14:textId="3F71EF95" w:rsidR="00FD08E1" w:rsidRDefault="00FD08E1">
    <w:pPr>
      <w:pStyle w:val="Header"/>
    </w:pPr>
    <w:r>
      <w:rPr>
        <w:noProof/>
      </w:rPr>
      <w:pict w14:anchorId="44A66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1515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EB1"/>
    <w:multiLevelType w:val="hybridMultilevel"/>
    <w:tmpl w:val="2E7CA1F6"/>
    <w:lvl w:ilvl="0" w:tplc="DC741206">
      <w:start w:val="1"/>
      <w:numFmt w:val="decimal"/>
      <w:lvlText w:val="[%1]"/>
      <w:lvlJc w:val="left"/>
      <w:pPr>
        <w:ind w:left="538"/>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tplc="D79AB2EE">
      <w:start w:val="1"/>
      <w:numFmt w:val="lowerLetter"/>
      <w:lvlText w:val="%2"/>
      <w:lvlJc w:val="left"/>
      <w:pPr>
        <w:ind w:left="126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2" w:tplc="09520CFA">
      <w:start w:val="1"/>
      <w:numFmt w:val="lowerRoman"/>
      <w:lvlText w:val="%3"/>
      <w:lvlJc w:val="left"/>
      <w:pPr>
        <w:ind w:left="198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3" w:tplc="1996F3F0">
      <w:start w:val="1"/>
      <w:numFmt w:val="decimal"/>
      <w:lvlText w:val="%4"/>
      <w:lvlJc w:val="left"/>
      <w:pPr>
        <w:ind w:left="270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4" w:tplc="D5E2F6B4">
      <w:start w:val="1"/>
      <w:numFmt w:val="lowerLetter"/>
      <w:lvlText w:val="%5"/>
      <w:lvlJc w:val="left"/>
      <w:pPr>
        <w:ind w:left="342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5" w:tplc="05AA98C0">
      <w:start w:val="1"/>
      <w:numFmt w:val="lowerRoman"/>
      <w:lvlText w:val="%6"/>
      <w:lvlJc w:val="left"/>
      <w:pPr>
        <w:ind w:left="414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6" w:tplc="726E4AF8">
      <w:start w:val="1"/>
      <w:numFmt w:val="decimal"/>
      <w:lvlText w:val="%7"/>
      <w:lvlJc w:val="left"/>
      <w:pPr>
        <w:ind w:left="486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7" w:tplc="6C64A144">
      <w:start w:val="1"/>
      <w:numFmt w:val="lowerLetter"/>
      <w:lvlText w:val="%8"/>
      <w:lvlJc w:val="left"/>
      <w:pPr>
        <w:ind w:left="558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8" w:tplc="4CCA56BE">
      <w:start w:val="1"/>
      <w:numFmt w:val="lowerRoman"/>
      <w:lvlText w:val="%9"/>
      <w:lvlJc w:val="left"/>
      <w:pPr>
        <w:ind w:left="6301"/>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abstractNum>
  <w:abstractNum w:abstractNumId="1" w15:restartNumberingAfterBreak="0">
    <w:nsid w:val="0ABF7CDF"/>
    <w:multiLevelType w:val="multilevel"/>
    <w:tmpl w:val="8EA6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B2C59"/>
    <w:multiLevelType w:val="multilevel"/>
    <w:tmpl w:val="129A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2410"/>
    <w:multiLevelType w:val="multilevel"/>
    <w:tmpl w:val="54FC99F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11AD5ACE"/>
    <w:multiLevelType w:val="multilevel"/>
    <w:tmpl w:val="A18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AF74D7"/>
    <w:multiLevelType w:val="multilevel"/>
    <w:tmpl w:val="7ECCE41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6E57A40"/>
    <w:multiLevelType w:val="multilevel"/>
    <w:tmpl w:val="801E986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CE7026F"/>
    <w:multiLevelType w:val="multilevel"/>
    <w:tmpl w:val="22103B0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CE77144"/>
    <w:multiLevelType w:val="multilevel"/>
    <w:tmpl w:val="007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232B1"/>
    <w:multiLevelType w:val="multilevel"/>
    <w:tmpl w:val="F92CCB3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93605B"/>
    <w:multiLevelType w:val="multilevel"/>
    <w:tmpl w:val="B9F8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696080"/>
    <w:multiLevelType w:val="multilevel"/>
    <w:tmpl w:val="AF12B19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3271E4B"/>
    <w:multiLevelType w:val="multilevel"/>
    <w:tmpl w:val="99246B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46D7555"/>
    <w:multiLevelType w:val="hybridMultilevel"/>
    <w:tmpl w:val="B5841964"/>
    <w:lvl w:ilvl="0" w:tplc="5658FA30">
      <w:start w:val="1"/>
      <w:numFmt w:val="decimal"/>
      <w:lvlText w:val="(%1)"/>
      <w:lvlJc w:val="left"/>
      <w:pPr>
        <w:ind w:left="740" w:hanging="38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C288F"/>
    <w:multiLevelType w:val="multilevel"/>
    <w:tmpl w:val="5958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D4592"/>
    <w:multiLevelType w:val="multilevel"/>
    <w:tmpl w:val="54DC1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CC064D"/>
    <w:multiLevelType w:val="multilevel"/>
    <w:tmpl w:val="F686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ED1039"/>
    <w:multiLevelType w:val="multilevel"/>
    <w:tmpl w:val="11E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073702"/>
    <w:multiLevelType w:val="hybridMultilevel"/>
    <w:tmpl w:val="5FBAEAEE"/>
    <w:lvl w:ilvl="0" w:tplc="5B2C02F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D2531"/>
    <w:multiLevelType w:val="multilevel"/>
    <w:tmpl w:val="ED18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014A31"/>
    <w:multiLevelType w:val="multilevel"/>
    <w:tmpl w:val="1FCA04C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1" w15:restartNumberingAfterBreak="0">
    <w:nsid w:val="66F751B7"/>
    <w:multiLevelType w:val="hybridMultilevel"/>
    <w:tmpl w:val="46CC9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B106A6"/>
    <w:multiLevelType w:val="multilevel"/>
    <w:tmpl w:val="8BA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847BAC"/>
    <w:multiLevelType w:val="multilevel"/>
    <w:tmpl w:val="6EB69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393E0F"/>
    <w:multiLevelType w:val="multilevel"/>
    <w:tmpl w:val="25AA50E4"/>
    <w:lvl w:ilvl="0">
      <w:start w:val="3"/>
      <w:numFmt w:val="decimal"/>
      <w:lvlText w:val="%1.0"/>
      <w:lvlJc w:val="left"/>
      <w:pPr>
        <w:ind w:left="360" w:hanging="360"/>
      </w:pPr>
      <w:rPr>
        <w:rFonts w:hint="default"/>
        <w:sz w:val="24"/>
      </w:rPr>
    </w:lvl>
    <w:lvl w:ilvl="1">
      <w:start w:val="1"/>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200" w:hanging="1440"/>
      </w:pPr>
      <w:rPr>
        <w:rFonts w:hint="default"/>
        <w:sz w:val="24"/>
      </w:rPr>
    </w:lvl>
  </w:abstractNum>
  <w:abstractNum w:abstractNumId="25" w15:restartNumberingAfterBreak="0">
    <w:nsid w:val="748C7139"/>
    <w:multiLevelType w:val="multilevel"/>
    <w:tmpl w:val="BC06EA96"/>
    <w:lvl w:ilvl="0">
      <w:start w:val="2"/>
      <w:numFmt w:val="decimal"/>
      <w:lvlText w:val="%1."/>
      <w:lvlJc w:val="left"/>
      <w:pPr>
        <w:ind w:left="2825"/>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9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441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513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585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657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729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801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8734"/>
      </w:pPr>
      <w:rPr>
        <w:rFonts w:ascii="Calibri" w:eastAsia="Calibri" w:hAnsi="Calibri" w:cs="Calibri"/>
        <w:b w:val="0"/>
        <w:i/>
        <w:strike w:val="0"/>
        <w:dstrike w:val="0"/>
        <w:color w:val="000000"/>
        <w:sz w:val="20"/>
        <w:u w:val="none" w:color="000000"/>
        <w:bdr w:val="none" w:sz="0" w:space="0" w:color="auto"/>
        <w:shd w:val="clear" w:color="auto" w:fill="auto"/>
        <w:vertAlign w:val="baseline"/>
      </w:rPr>
    </w:lvl>
  </w:abstractNum>
  <w:abstractNum w:abstractNumId="26" w15:restartNumberingAfterBreak="0">
    <w:nsid w:val="75C83E33"/>
    <w:multiLevelType w:val="multilevel"/>
    <w:tmpl w:val="BC080AAC"/>
    <w:lvl w:ilvl="0">
      <w:start w:val="4"/>
      <w:numFmt w:val="decimal"/>
      <w:lvlText w:val="%1."/>
      <w:lvlJc w:val="left"/>
      <w:pPr>
        <w:ind w:left="236"/>
      </w:pPr>
      <w:rPr>
        <w:rFonts w:ascii="Calibri" w:eastAsia="Calibri" w:hAnsi="Calibri" w:cs="Calibri"/>
        <w:b w:val="0"/>
        <w:i w:val="0"/>
        <w:strike w:val="0"/>
        <w:dstrike w:val="0"/>
        <w:color w:val="000000"/>
        <w:sz w:val="16"/>
        <w:u w:val="none" w:color="000000"/>
        <w:bdr w:val="none" w:sz="0" w:space="0" w:color="auto"/>
        <w:shd w:val="clear" w:color="auto" w:fill="auto"/>
        <w:vertAlign w:val="baseline"/>
      </w:rPr>
    </w:lvl>
    <w:lvl w:ilvl="1">
      <w:start w:val="1"/>
      <w:numFmt w:val="decimal"/>
      <w:lvlText w:val="%1.%2."/>
      <w:lvlJc w:val="left"/>
      <w:pPr>
        <w:ind w:left="1075"/>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7" w15:restartNumberingAfterBreak="0">
    <w:nsid w:val="76B42EEA"/>
    <w:multiLevelType w:val="multilevel"/>
    <w:tmpl w:val="150A92EA"/>
    <w:lvl w:ilvl="0">
      <w:start w:val="2"/>
      <w:numFmt w:val="decimal"/>
      <w:lvlText w:val="%1.0"/>
      <w:lvlJc w:val="left"/>
      <w:pPr>
        <w:ind w:left="360" w:hanging="360"/>
      </w:pPr>
      <w:rPr>
        <w:rFonts w:eastAsiaTheme="minorHAnsi" w:hint="default"/>
        <w:b/>
        <w:color w:val="auto"/>
      </w:rPr>
    </w:lvl>
    <w:lvl w:ilvl="1">
      <w:start w:val="1"/>
      <w:numFmt w:val="decimal"/>
      <w:lvlText w:val="%1.%2"/>
      <w:lvlJc w:val="left"/>
      <w:pPr>
        <w:ind w:left="1080" w:hanging="360"/>
      </w:pPr>
      <w:rPr>
        <w:rFonts w:eastAsiaTheme="minorHAnsi" w:hint="default"/>
        <w:b/>
        <w:color w:val="auto"/>
      </w:rPr>
    </w:lvl>
    <w:lvl w:ilvl="2">
      <w:start w:val="1"/>
      <w:numFmt w:val="decimal"/>
      <w:lvlText w:val="%1.%2.%3"/>
      <w:lvlJc w:val="left"/>
      <w:pPr>
        <w:ind w:left="2160" w:hanging="720"/>
      </w:pPr>
      <w:rPr>
        <w:rFonts w:eastAsiaTheme="minorHAnsi" w:hint="default"/>
        <w:b/>
        <w:color w:val="auto"/>
      </w:rPr>
    </w:lvl>
    <w:lvl w:ilvl="3">
      <w:start w:val="1"/>
      <w:numFmt w:val="decimal"/>
      <w:lvlText w:val="%1.%2.%3.%4"/>
      <w:lvlJc w:val="left"/>
      <w:pPr>
        <w:ind w:left="2880" w:hanging="720"/>
      </w:pPr>
      <w:rPr>
        <w:rFonts w:eastAsiaTheme="minorHAnsi" w:hint="default"/>
        <w:b/>
        <w:color w:val="auto"/>
      </w:rPr>
    </w:lvl>
    <w:lvl w:ilvl="4">
      <w:start w:val="1"/>
      <w:numFmt w:val="decimal"/>
      <w:lvlText w:val="%1.%2.%3.%4.%5"/>
      <w:lvlJc w:val="left"/>
      <w:pPr>
        <w:ind w:left="3960" w:hanging="1080"/>
      </w:pPr>
      <w:rPr>
        <w:rFonts w:eastAsiaTheme="minorHAnsi" w:hint="default"/>
        <w:b/>
        <w:color w:val="auto"/>
      </w:rPr>
    </w:lvl>
    <w:lvl w:ilvl="5">
      <w:start w:val="1"/>
      <w:numFmt w:val="decimal"/>
      <w:lvlText w:val="%1.%2.%3.%4.%5.%6"/>
      <w:lvlJc w:val="left"/>
      <w:pPr>
        <w:ind w:left="4680" w:hanging="1080"/>
      </w:pPr>
      <w:rPr>
        <w:rFonts w:eastAsiaTheme="minorHAnsi" w:hint="default"/>
        <w:b/>
        <w:color w:val="auto"/>
      </w:rPr>
    </w:lvl>
    <w:lvl w:ilvl="6">
      <w:start w:val="1"/>
      <w:numFmt w:val="decimal"/>
      <w:lvlText w:val="%1.%2.%3.%4.%5.%6.%7"/>
      <w:lvlJc w:val="left"/>
      <w:pPr>
        <w:ind w:left="5760" w:hanging="1440"/>
      </w:pPr>
      <w:rPr>
        <w:rFonts w:eastAsiaTheme="minorHAnsi" w:hint="default"/>
        <w:b/>
        <w:color w:val="auto"/>
      </w:rPr>
    </w:lvl>
    <w:lvl w:ilvl="7">
      <w:start w:val="1"/>
      <w:numFmt w:val="decimal"/>
      <w:lvlText w:val="%1.%2.%3.%4.%5.%6.%7.%8"/>
      <w:lvlJc w:val="left"/>
      <w:pPr>
        <w:ind w:left="6480" w:hanging="1440"/>
      </w:pPr>
      <w:rPr>
        <w:rFonts w:eastAsiaTheme="minorHAnsi" w:hint="default"/>
        <w:b/>
        <w:color w:val="auto"/>
      </w:rPr>
    </w:lvl>
    <w:lvl w:ilvl="8">
      <w:start w:val="1"/>
      <w:numFmt w:val="decimal"/>
      <w:lvlText w:val="%1.%2.%3.%4.%5.%6.%7.%8.%9"/>
      <w:lvlJc w:val="left"/>
      <w:pPr>
        <w:ind w:left="7560" w:hanging="1800"/>
      </w:pPr>
      <w:rPr>
        <w:rFonts w:eastAsiaTheme="minorHAnsi" w:hint="default"/>
        <w:b/>
        <w:color w:val="auto"/>
      </w:rPr>
    </w:lvl>
  </w:abstractNum>
  <w:abstractNum w:abstractNumId="28" w15:restartNumberingAfterBreak="0">
    <w:nsid w:val="797A0FD4"/>
    <w:multiLevelType w:val="multilevel"/>
    <w:tmpl w:val="EC2E29C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CA87BE1"/>
    <w:multiLevelType w:val="multilevel"/>
    <w:tmpl w:val="895AD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6"/>
  </w:num>
  <w:num w:numId="3">
    <w:abstractNumId w:val="0"/>
  </w:num>
  <w:num w:numId="4">
    <w:abstractNumId w:val="12"/>
  </w:num>
  <w:num w:numId="5">
    <w:abstractNumId w:val="8"/>
  </w:num>
  <w:num w:numId="6">
    <w:abstractNumId w:val="21"/>
  </w:num>
  <w:num w:numId="7">
    <w:abstractNumId w:val="2"/>
  </w:num>
  <w:num w:numId="8">
    <w:abstractNumId w:val="16"/>
  </w:num>
  <w:num w:numId="9">
    <w:abstractNumId w:val="28"/>
  </w:num>
  <w:num w:numId="10">
    <w:abstractNumId w:val="20"/>
  </w:num>
  <w:num w:numId="11">
    <w:abstractNumId w:val="11"/>
  </w:num>
  <w:num w:numId="12">
    <w:abstractNumId w:val="9"/>
  </w:num>
  <w:num w:numId="13">
    <w:abstractNumId w:val="3"/>
  </w:num>
  <w:num w:numId="14">
    <w:abstractNumId w:val="23"/>
  </w:num>
  <w:num w:numId="15">
    <w:abstractNumId w:val="19"/>
  </w:num>
  <w:num w:numId="16">
    <w:abstractNumId w:val="27"/>
  </w:num>
  <w:num w:numId="17">
    <w:abstractNumId w:val="15"/>
  </w:num>
  <w:num w:numId="18">
    <w:abstractNumId w:val="29"/>
  </w:num>
  <w:num w:numId="19">
    <w:abstractNumId w:val="6"/>
  </w:num>
  <w:num w:numId="20">
    <w:abstractNumId w:val="24"/>
  </w:num>
  <w:num w:numId="21">
    <w:abstractNumId w:val="13"/>
  </w:num>
  <w:num w:numId="22">
    <w:abstractNumId w:val="14"/>
  </w:num>
  <w:num w:numId="23">
    <w:abstractNumId w:val="22"/>
  </w:num>
  <w:num w:numId="24">
    <w:abstractNumId w:val="17"/>
  </w:num>
  <w:num w:numId="25">
    <w:abstractNumId w:val="1"/>
  </w:num>
  <w:num w:numId="26">
    <w:abstractNumId w:val="7"/>
  </w:num>
  <w:num w:numId="27">
    <w:abstractNumId w:val="5"/>
  </w:num>
  <w:num w:numId="28">
    <w:abstractNumId w:val="10"/>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95C"/>
    <w:rsid w:val="0001061D"/>
    <w:rsid w:val="00022905"/>
    <w:rsid w:val="00024059"/>
    <w:rsid w:val="00034341"/>
    <w:rsid w:val="00036BB4"/>
    <w:rsid w:val="00037F01"/>
    <w:rsid w:val="00040FC7"/>
    <w:rsid w:val="00041DC1"/>
    <w:rsid w:val="00042043"/>
    <w:rsid w:val="0004295B"/>
    <w:rsid w:val="00043010"/>
    <w:rsid w:val="00044285"/>
    <w:rsid w:val="00045F35"/>
    <w:rsid w:val="00052E99"/>
    <w:rsid w:val="00053295"/>
    <w:rsid w:val="00053FFA"/>
    <w:rsid w:val="0005610F"/>
    <w:rsid w:val="00060351"/>
    <w:rsid w:val="00060D8E"/>
    <w:rsid w:val="00061A28"/>
    <w:rsid w:val="00064727"/>
    <w:rsid w:val="0006543B"/>
    <w:rsid w:val="00066C8B"/>
    <w:rsid w:val="00070D65"/>
    <w:rsid w:val="00072439"/>
    <w:rsid w:val="00073DF1"/>
    <w:rsid w:val="00074452"/>
    <w:rsid w:val="00085D03"/>
    <w:rsid w:val="0009093E"/>
    <w:rsid w:val="00091C86"/>
    <w:rsid w:val="000962BE"/>
    <w:rsid w:val="00097B97"/>
    <w:rsid w:val="00097E19"/>
    <w:rsid w:val="000A00E8"/>
    <w:rsid w:val="000A2FDB"/>
    <w:rsid w:val="000A5C39"/>
    <w:rsid w:val="000B6E24"/>
    <w:rsid w:val="000C2CFB"/>
    <w:rsid w:val="000C5290"/>
    <w:rsid w:val="000C61BE"/>
    <w:rsid w:val="000D1652"/>
    <w:rsid w:val="000E0D0A"/>
    <w:rsid w:val="000E1871"/>
    <w:rsid w:val="000E1BDA"/>
    <w:rsid w:val="000E23A8"/>
    <w:rsid w:val="000E4B23"/>
    <w:rsid w:val="000E6332"/>
    <w:rsid w:val="000E6C75"/>
    <w:rsid w:val="000E6EBE"/>
    <w:rsid w:val="000F4EED"/>
    <w:rsid w:val="000F57BC"/>
    <w:rsid w:val="00105A62"/>
    <w:rsid w:val="00112010"/>
    <w:rsid w:val="001171A6"/>
    <w:rsid w:val="00130528"/>
    <w:rsid w:val="00131637"/>
    <w:rsid w:val="001404E8"/>
    <w:rsid w:val="00142C27"/>
    <w:rsid w:val="00151D26"/>
    <w:rsid w:val="001528A5"/>
    <w:rsid w:val="00153AF0"/>
    <w:rsid w:val="0017418D"/>
    <w:rsid w:val="001770D3"/>
    <w:rsid w:val="00183F62"/>
    <w:rsid w:val="00184F15"/>
    <w:rsid w:val="0019296E"/>
    <w:rsid w:val="001959FC"/>
    <w:rsid w:val="001A070C"/>
    <w:rsid w:val="001A1395"/>
    <w:rsid w:val="001A143D"/>
    <w:rsid w:val="001A1660"/>
    <w:rsid w:val="001A523E"/>
    <w:rsid w:val="001B1C6C"/>
    <w:rsid w:val="001B2F5F"/>
    <w:rsid w:val="001B6A7C"/>
    <w:rsid w:val="001C3943"/>
    <w:rsid w:val="001C5DB0"/>
    <w:rsid w:val="001D0AB9"/>
    <w:rsid w:val="001D3551"/>
    <w:rsid w:val="001D5533"/>
    <w:rsid w:val="001D5BC6"/>
    <w:rsid w:val="001D62EE"/>
    <w:rsid w:val="001E3C9B"/>
    <w:rsid w:val="001E6A76"/>
    <w:rsid w:val="001F0FBF"/>
    <w:rsid w:val="001F1F2B"/>
    <w:rsid w:val="001F6158"/>
    <w:rsid w:val="001F617D"/>
    <w:rsid w:val="001F75EE"/>
    <w:rsid w:val="002006C9"/>
    <w:rsid w:val="002028E2"/>
    <w:rsid w:val="00202C16"/>
    <w:rsid w:val="00203139"/>
    <w:rsid w:val="0020340A"/>
    <w:rsid w:val="002067E7"/>
    <w:rsid w:val="00212746"/>
    <w:rsid w:val="00213BD7"/>
    <w:rsid w:val="002141AF"/>
    <w:rsid w:val="00215B12"/>
    <w:rsid w:val="002207B5"/>
    <w:rsid w:val="0022189A"/>
    <w:rsid w:val="00222670"/>
    <w:rsid w:val="00222A46"/>
    <w:rsid w:val="00223EAE"/>
    <w:rsid w:val="002248CC"/>
    <w:rsid w:val="00226767"/>
    <w:rsid w:val="00226A40"/>
    <w:rsid w:val="00227CBA"/>
    <w:rsid w:val="00230167"/>
    <w:rsid w:val="0023103D"/>
    <w:rsid w:val="002409AC"/>
    <w:rsid w:val="0024649D"/>
    <w:rsid w:val="0024662A"/>
    <w:rsid w:val="00247243"/>
    <w:rsid w:val="0025132F"/>
    <w:rsid w:val="00254DDE"/>
    <w:rsid w:val="002559C1"/>
    <w:rsid w:val="0026549A"/>
    <w:rsid w:val="00273FEC"/>
    <w:rsid w:val="00281005"/>
    <w:rsid w:val="00290503"/>
    <w:rsid w:val="00294945"/>
    <w:rsid w:val="002A425D"/>
    <w:rsid w:val="002A6A2A"/>
    <w:rsid w:val="002C101B"/>
    <w:rsid w:val="002D4C30"/>
    <w:rsid w:val="002D4D82"/>
    <w:rsid w:val="002D4FD6"/>
    <w:rsid w:val="002D5653"/>
    <w:rsid w:val="002E23AB"/>
    <w:rsid w:val="002E3A52"/>
    <w:rsid w:val="002F2C9A"/>
    <w:rsid w:val="003050BD"/>
    <w:rsid w:val="00312C00"/>
    <w:rsid w:val="00315433"/>
    <w:rsid w:val="00315E1D"/>
    <w:rsid w:val="0032128B"/>
    <w:rsid w:val="00321477"/>
    <w:rsid w:val="00327DC6"/>
    <w:rsid w:val="00330A7A"/>
    <w:rsid w:val="003313D4"/>
    <w:rsid w:val="00332013"/>
    <w:rsid w:val="003346D7"/>
    <w:rsid w:val="0033663F"/>
    <w:rsid w:val="00336919"/>
    <w:rsid w:val="00342217"/>
    <w:rsid w:val="00342F25"/>
    <w:rsid w:val="00343000"/>
    <w:rsid w:val="00346437"/>
    <w:rsid w:val="003516BF"/>
    <w:rsid w:val="00352BAA"/>
    <w:rsid w:val="00354F13"/>
    <w:rsid w:val="00366C19"/>
    <w:rsid w:val="003725ED"/>
    <w:rsid w:val="00372BF4"/>
    <w:rsid w:val="00376700"/>
    <w:rsid w:val="0038085E"/>
    <w:rsid w:val="00381449"/>
    <w:rsid w:val="00381753"/>
    <w:rsid w:val="003862D8"/>
    <w:rsid w:val="00390A49"/>
    <w:rsid w:val="00390BA1"/>
    <w:rsid w:val="003918CA"/>
    <w:rsid w:val="003935D0"/>
    <w:rsid w:val="003A1D47"/>
    <w:rsid w:val="003A6107"/>
    <w:rsid w:val="003A6D5B"/>
    <w:rsid w:val="003B015F"/>
    <w:rsid w:val="003B1D48"/>
    <w:rsid w:val="003B26C7"/>
    <w:rsid w:val="003B2711"/>
    <w:rsid w:val="003B695C"/>
    <w:rsid w:val="003C497A"/>
    <w:rsid w:val="003C4AB9"/>
    <w:rsid w:val="003C5C6F"/>
    <w:rsid w:val="003D0DFD"/>
    <w:rsid w:val="003D18D9"/>
    <w:rsid w:val="003D1A35"/>
    <w:rsid w:val="003D50F2"/>
    <w:rsid w:val="003D6405"/>
    <w:rsid w:val="003D7A91"/>
    <w:rsid w:val="003E1238"/>
    <w:rsid w:val="003E1C7D"/>
    <w:rsid w:val="003E4B77"/>
    <w:rsid w:val="00402CE1"/>
    <w:rsid w:val="00403788"/>
    <w:rsid w:val="00403B2D"/>
    <w:rsid w:val="00406834"/>
    <w:rsid w:val="00410EC1"/>
    <w:rsid w:val="0041370B"/>
    <w:rsid w:val="0042371E"/>
    <w:rsid w:val="0042380E"/>
    <w:rsid w:val="00423D5D"/>
    <w:rsid w:val="00425A4D"/>
    <w:rsid w:val="004261E7"/>
    <w:rsid w:val="00427B81"/>
    <w:rsid w:val="00433BAB"/>
    <w:rsid w:val="00434EC8"/>
    <w:rsid w:val="00435590"/>
    <w:rsid w:val="00437657"/>
    <w:rsid w:val="00437699"/>
    <w:rsid w:val="00440427"/>
    <w:rsid w:val="00440BFF"/>
    <w:rsid w:val="00441FA4"/>
    <w:rsid w:val="00445DD1"/>
    <w:rsid w:val="00447173"/>
    <w:rsid w:val="00447263"/>
    <w:rsid w:val="00452620"/>
    <w:rsid w:val="004548C9"/>
    <w:rsid w:val="004571E6"/>
    <w:rsid w:val="00460C91"/>
    <w:rsid w:val="00460DD1"/>
    <w:rsid w:val="0046275B"/>
    <w:rsid w:val="00463E58"/>
    <w:rsid w:val="00466175"/>
    <w:rsid w:val="00467AF7"/>
    <w:rsid w:val="0047288B"/>
    <w:rsid w:val="0048116C"/>
    <w:rsid w:val="00481FCD"/>
    <w:rsid w:val="0048636C"/>
    <w:rsid w:val="00491204"/>
    <w:rsid w:val="004951FF"/>
    <w:rsid w:val="004A01B0"/>
    <w:rsid w:val="004A10B8"/>
    <w:rsid w:val="004A2654"/>
    <w:rsid w:val="004A6A38"/>
    <w:rsid w:val="004A6F5F"/>
    <w:rsid w:val="004B50E7"/>
    <w:rsid w:val="004C3084"/>
    <w:rsid w:val="004C36A5"/>
    <w:rsid w:val="004C79B2"/>
    <w:rsid w:val="004C7ABF"/>
    <w:rsid w:val="004D2CCD"/>
    <w:rsid w:val="004E3CF8"/>
    <w:rsid w:val="004F0799"/>
    <w:rsid w:val="004F08BC"/>
    <w:rsid w:val="004F0A21"/>
    <w:rsid w:val="004F336D"/>
    <w:rsid w:val="004F7718"/>
    <w:rsid w:val="00510E29"/>
    <w:rsid w:val="00512DF0"/>
    <w:rsid w:val="00514AE6"/>
    <w:rsid w:val="00516BE3"/>
    <w:rsid w:val="0052086E"/>
    <w:rsid w:val="00521EB3"/>
    <w:rsid w:val="00526587"/>
    <w:rsid w:val="0052687A"/>
    <w:rsid w:val="00526CD0"/>
    <w:rsid w:val="00531786"/>
    <w:rsid w:val="0053448F"/>
    <w:rsid w:val="00534A50"/>
    <w:rsid w:val="005357F9"/>
    <w:rsid w:val="005457E4"/>
    <w:rsid w:val="005467B9"/>
    <w:rsid w:val="0055748B"/>
    <w:rsid w:val="00565040"/>
    <w:rsid w:val="00567AC1"/>
    <w:rsid w:val="005801A3"/>
    <w:rsid w:val="005A1ECC"/>
    <w:rsid w:val="005A4B1E"/>
    <w:rsid w:val="005A73D7"/>
    <w:rsid w:val="005B08C1"/>
    <w:rsid w:val="005B234F"/>
    <w:rsid w:val="005B315A"/>
    <w:rsid w:val="005B4797"/>
    <w:rsid w:val="005B49C7"/>
    <w:rsid w:val="005E5908"/>
    <w:rsid w:val="005F1F53"/>
    <w:rsid w:val="005F2829"/>
    <w:rsid w:val="005F33F2"/>
    <w:rsid w:val="005F368F"/>
    <w:rsid w:val="006031DF"/>
    <w:rsid w:val="00603E68"/>
    <w:rsid w:val="006116B5"/>
    <w:rsid w:val="006231FB"/>
    <w:rsid w:val="00623424"/>
    <w:rsid w:val="0063331A"/>
    <w:rsid w:val="006352DF"/>
    <w:rsid w:val="006378B4"/>
    <w:rsid w:val="00642326"/>
    <w:rsid w:val="006462F1"/>
    <w:rsid w:val="00656C6E"/>
    <w:rsid w:val="00667ED3"/>
    <w:rsid w:val="00672DDF"/>
    <w:rsid w:val="00672FA3"/>
    <w:rsid w:val="00677E8B"/>
    <w:rsid w:val="00686EA2"/>
    <w:rsid w:val="006900F5"/>
    <w:rsid w:val="006952D6"/>
    <w:rsid w:val="0069727C"/>
    <w:rsid w:val="006A18DD"/>
    <w:rsid w:val="006A3834"/>
    <w:rsid w:val="006A5166"/>
    <w:rsid w:val="006A75CF"/>
    <w:rsid w:val="006B3932"/>
    <w:rsid w:val="006B442E"/>
    <w:rsid w:val="006B79EF"/>
    <w:rsid w:val="006C0634"/>
    <w:rsid w:val="006C18C2"/>
    <w:rsid w:val="006C4CE3"/>
    <w:rsid w:val="006C5728"/>
    <w:rsid w:val="006C6CFC"/>
    <w:rsid w:val="006D14C5"/>
    <w:rsid w:val="006D225C"/>
    <w:rsid w:val="006D4EE9"/>
    <w:rsid w:val="006E6877"/>
    <w:rsid w:val="006F252E"/>
    <w:rsid w:val="006F540F"/>
    <w:rsid w:val="006F7BBE"/>
    <w:rsid w:val="006F7DF8"/>
    <w:rsid w:val="0070434F"/>
    <w:rsid w:val="00705511"/>
    <w:rsid w:val="007076A2"/>
    <w:rsid w:val="00712BC7"/>
    <w:rsid w:val="0072035A"/>
    <w:rsid w:val="00723218"/>
    <w:rsid w:val="00730DF9"/>
    <w:rsid w:val="00735F8C"/>
    <w:rsid w:val="00741425"/>
    <w:rsid w:val="00741BA6"/>
    <w:rsid w:val="007461CE"/>
    <w:rsid w:val="00747776"/>
    <w:rsid w:val="00754406"/>
    <w:rsid w:val="0076262F"/>
    <w:rsid w:val="00762938"/>
    <w:rsid w:val="00762C87"/>
    <w:rsid w:val="00765DD4"/>
    <w:rsid w:val="007724AB"/>
    <w:rsid w:val="007801F5"/>
    <w:rsid w:val="00783F32"/>
    <w:rsid w:val="007851E7"/>
    <w:rsid w:val="00787125"/>
    <w:rsid w:val="00787478"/>
    <w:rsid w:val="00787FDA"/>
    <w:rsid w:val="007903B5"/>
    <w:rsid w:val="007911D5"/>
    <w:rsid w:val="007927D7"/>
    <w:rsid w:val="00795CD9"/>
    <w:rsid w:val="007A1FC7"/>
    <w:rsid w:val="007A399C"/>
    <w:rsid w:val="007A3E52"/>
    <w:rsid w:val="007A6CFF"/>
    <w:rsid w:val="007B4FF7"/>
    <w:rsid w:val="007B78A0"/>
    <w:rsid w:val="007C2792"/>
    <w:rsid w:val="007C47E3"/>
    <w:rsid w:val="007C50AB"/>
    <w:rsid w:val="007D19EB"/>
    <w:rsid w:val="007D3018"/>
    <w:rsid w:val="007D39A9"/>
    <w:rsid w:val="007D5269"/>
    <w:rsid w:val="007E081C"/>
    <w:rsid w:val="007F56C2"/>
    <w:rsid w:val="007F7082"/>
    <w:rsid w:val="00800751"/>
    <w:rsid w:val="00801B88"/>
    <w:rsid w:val="00803B8D"/>
    <w:rsid w:val="00803CDB"/>
    <w:rsid w:val="008156FD"/>
    <w:rsid w:val="008160D2"/>
    <w:rsid w:val="008225BA"/>
    <w:rsid w:val="00823137"/>
    <w:rsid w:val="00833C6A"/>
    <w:rsid w:val="00834D63"/>
    <w:rsid w:val="00835596"/>
    <w:rsid w:val="0083581B"/>
    <w:rsid w:val="00842BE5"/>
    <w:rsid w:val="00843DED"/>
    <w:rsid w:val="008455D5"/>
    <w:rsid w:val="00852EAF"/>
    <w:rsid w:val="008562EE"/>
    <w:rsid w:val="00860AB8"/>
    <w:rsid w:val="008649C3"/>
    <w:rsid w:val="00865F47"/>
    <w:rsid w:val="00883D5A"/>
    <w:rsid w:val="0088750D"/>
    <w:rsid w:val="00893AC5"/>
    <w:rsid w:val="00894894"/>
    <w:rsid w:val="00897B25"/>
    <w:rsid w:val="008A682C"/>
    <w:rsid w:val="008D1E2E"/>
    <w:rsid w:val="008D4B36"/>
    <w:rsid w:val="008D6474"/>
    <w:rsid w:val="008D773F"/>
    <w:rsid w:val="008E02F4"/>
    <w:rsid w:val="008E48A2"/>
    <w:rsid w:val="008E4EFD"/>
    <w:rsid w:val="008E730D"/>
    <w:rsid w:val="008F2434"/>
    <w:rsid w:val="008F24FD"/>
    <w:rsid w:val="008F4E82"/>
    <w:rsid w:val="008F6A87"/>
    <w:rsid w:val="0090032A"/>
    <w:rsid w:val="009046E9"/>
    <w:rsid w:val="0091298F"/>
    <w:rsid w:val="0092380F"/>
    <w:rsid w:val="00925848"/>
    <w:rsid w:val="00930A13"/>
    <w:rsid w:val="00931C25"/>
    <w:rsid w:val="009329D0"/>
    <w:rsid w:val="00934A17"/>
    <w:rsid w:val="009354AF"/>
    <w:rsid w:val="009429CA"/>
    <w:rsid w:val="00943957"/>
    <w:rsid w:val="009616F6"/>
    <w:rsid w:val="0096506A"/>
    <w:rsid w:val="00970C61"/>
    <w:rsid w:val="009756D1"/>
    <w:rsid w:val="009831DB"/>
    <w:rsid w:val="00983427"/>
    <w:rsid w:val="00984ED5"/>
    <w:rsid w:val="00985282"/>
    <w:rsid w:val="00985A1B"/>
    <w:rsid w:val="00985DF6"/>
    <w:rsid w:val="009875F9"/>
    <w:rsid w:val="0099169A"/>
    <w:rsid w:val="009935E9"/>
    <w:rsid w:val="009A39CB"/>
    <w:rsid w:val="009A3E4B"/>
    <w:rsid w:val="009A6D7D"/>
    <w:rsid w:val="009B0FF9"/>
    <w:rsid w:val="009C294F"/>
    <w:rsid w:val="009C39D3"/>
    <w:rsid w:val="009C7D08"/>
    <w:rsid w:val="009D04D3"/>
    <w:rsid w:val="009E0D78"/>
    <w:rsid w:val="009E4130"/>
    <w:rsid w:val="009E42A4"/>
    <w:rsid w:val="009E5CBE"/>
    <w:rsid w:val="00A11461"/>
    <w:rsid w:val="00A13262"/>
    <w:rsid w:val="00A1446E"/>
    <w:rsid w:val="00A14A89"/>
    <w:rsid w:val="00A165B5"/>
    <w:rsid w:val="00A205EB"/>
    <w:rsid w:val="00A252B0"/>
    <w:rsid w:val="00A25D79"/>
    <w:rsid w:val="00A31720"/>
    <w:rsid w:val="00A329C1"/>
    <w:rsid w:val="00A33046"/>
    <w:rsid w:val="00A467E6"/>
    <w:rsid w:val="00A50DA0"/>
    <w:rsid w:val="00A55323"/>
    <w:rsid w:val="00A617F9"/>
    <w:rsid w:val="00A61C8A"/>
    <w:rsid w:val="00A65FB3"/>
    <w:rsid w:val="00A673D9"/>
    <w:rsid w:val="00A73BA1"/>
    <w:rsid w:val="00A74DE1"/>
    <w:rsid w:val="00A759FC"/>
    <w:rsid w:val="00A80CB0"/>
    <w:rsid w:val="00A972E7"/>
    <w:rsid w:val="00AA4FFA"/>
    <w:rsid w:val="00AA6B4F"/>
    <w:rsid w:val="00AC3989"/>
    <w:rsid w:val="00AC65E7"/>
    <w:rsid w:val="00AD5F0B"/>
    <w:rsid w:val="00AE04DB"/>
    <w:rsid w:val="00AE05E2"/>
    <w:rsid w:val="00AE77FB"/>
    <w:rsid w:val="00AF3B2D"/>
    <w:rsid w:val="00AF5121"/>
    <w:rsid w:val="00AF64ED"/>
    <w:rsid w:val="00B02848"/>
    <w:rsid w:val="00B041B9"/>
    <w:rsid w:val="00B0669C"/>
    <w:rsid w:val="00B06CD1"/>
    <w:rsid w:val="00B129AC"/>
    <w:rsid w:val="00B14308"/>
    <w:rsid w:val="00B16806"/>
    <w:rsid w:val="00B23485"/>
    <w:rsid w:val="00B23797"/>
    <w:rsid w:val="00B24F5A"/>
    <w:rsid w:val="00B25FC5"/>
    <w:rsid w:val="00B26DDF"/>
    <w:rsid w:val="00B341CE"/>
    <w:rsid w:val="00B437EE"/>
    <w:rsid w:val="00B44B12"/>
    <w:rsid w:val="00B4586A"/>
    <w:rsid w:val="00B45C3C"/>
    <w:rsid w:val="00B462A7"/>
    <w:rsid w:val="00B5282E"/>
    <w:rsid w:val="00B52AF9"/>
    <w:rsid w:val="00B5491E"/>
    <w:rsid w:val="00B56AB0"/>
    <w:rsid w:val="00B62F78"/>
    <w:rsid w:val="00B640BF"/>
    <w:rsid w:val="00B66A81"/>
    <w:rsid w:val="00B66DDA"/>
    <w:rsid w:val="00B7073E"/>
    <w:rsid w:val="00B71491"/>
    <w:rsid w:val="00B71D94"/>
    <w:rsid w:val="00B71DD2"/>
    <w:rsid w:val="00B7412A"/>
    <w:rsid w:val="00B77CB3"/>
    <w:rsid w:val="00B81A0E"/>
    <w:rsid w:val="00B841F2"/>
    <w:rsid w:val="00B902A4"/>
    <w:rsid w:val="00B9322E"/>
    <w:rsid w:val="00B952A3"/>
    <w:rsid w:val="00B9692A"/>
    <w:rsid w:val="00BA7CC6"/>
    <w:rsid w:val="00BB696C"/>
    <w:rsid w:val="00BB7FE9"/>
    <w:rsid w:val="00BC2323"/>
    <w:rsid w:val="00BC5A74"/>
    <w:rsid w:val="00BC6C55"/>
    <w:rsid w:val="00BD27D1"/>
    <w:rsid w:val="00BD37B5"/>
    <w:rsid w:val="00BD5273"/>
    <w:rsid w:val="00BE1519"/>
    <w:rsid w:val="00BE281E"/>
    <w:rsid w:val="00BE36EE"/>
    <w:rsid w:val="00BE6346"/>
    <w:rsid w:val="00BF26A6"/>
    <w:rsid w:val="00BF2EA6"/>
    <w:rsid w:val="00BF3E2B"/>
    <w:rsid w:val="00BF5BBE"/>
    <w:rsid w:val="00C01FA1"/>
    <w:rsid w:val="00C271FF"/>
    <w:rsid w:val="00C31B24"/>
    <w:rsid w:val="00C3250D"/>
    <w:rsid w:val="00C33012"/>
    <w:rsid w:val="00C44BE0"/>
    <w:rsid w:val="00C4529E"/>
    <w:rsid w:val="00C4762C"/>
    <w:rsid w:val="00C47F30"/>
    <w:rsid w:val="00C523ED"/>
    <w:rsid w:val="00C601CD"/>
    <w:rsid w:val="00C67ABA"/>
    <w:rsid w:val="00C86AE2"/>
    <w:rsid w:val="00C87B67"/>
    <w:rsid w:val="00C90346"/>
    <w:rsid w:val="00C91B0D"/>
    <w:rsid w:val="00C947FD"/>
    <w:rsid w:val="00C9503B"/>
    <w:rsid w:val="00C95C80"/>
    <w:rsid w:val="00CA001D"/>
    <w:rsid w:val="00CA01B4"/>
    <w:rsid w:val="00CA2FFC"/>
    <w:rsid w:val="00CA487E"/>
    <w:rsid w:val="00CB64CA"/>
    <w:rsid w:val="00CB65EF"/>
    <w:rsid w:val="00CC09BE"/>
    <w:rsid w:val="00CC211A"/>
    <w:rsid w:val="00CC5613"/>
    <w:rsid w:val="00CC6BF9"/>
    <w:rsid w:val="00CD0A1F"/>
    <w:rsid w:val="00CE2374"/>
    <w:rsid w:val="00CE75C1"/>
    <w:rsid w:val="00CF231C"/>
    <w:rsid w:val="00CF4C99"/>
    <w:rsid w:val="00CF5E50"/>
    <w:rsid w:val="00D00C03"/>
    <w:rsid w:val="00D03A9B"/>
    <w:rsid w:val="00D07225"/>
    <w:rsid w:val="00D128A6"/>
    <w:rsid w:val="00D21267"/>
    <w:rsid w:val="00D22773"/>
    <w:rsid w:val="00D230F6"/>
    <w:rsid w:val="00D23244"/>
    <w:rsid w:val="00D2532A"/>
    <w:rsid w:val="00D30AC4"/>
    <w:rsid w:val="00D33603"/>
    <w:rsid w:val="00D41FCA"/>
    <w:rsid w:val="00D4677E"/>
    <w:rsid w:val="00D538F3"/>
    <w:rsid w:val="00D54D6B"/>
    <w:rsid w:val="00D56BA9"/>
    <w:rsid w:val="00D57385"/>
    <w:rsid w:val="00D640F8"/>
    <w:rsid w:val="00D738F4"/>
    <w:rsid w:val="00D75548"/>
    <w:rsid w:val="00D768E2"/>
    <w:rsid w:val="00D82C6F"/>
    <w:rsid w:val="00D84FF8"/>
    <w:rsid w:val="00D865BD"/>
    <w:rsid w:val="00D87F5F"/>
    <w:rsid w:val="00D9471B"/>
    <w:rsid w:val="00DA216C"/>
    <w:rsid w:val="00DA3797"/>
    <w:rsid w:val="00DA53F5"/>
    <w:rsid w:val="00DA576D"/>
    <w:rsid w:val="00DB0104"/>
    <w:rsid w:val="00DB5768"/>
    <w:rsid w:val="00DB5E83"/>
    <w:rsid w:val="00DD2FF1"/>
    <w:rsid w:val="00DD4267"/>
    <w:rsid w:val="00DD6801"/>
    <w:rsid w:val="00DE2E86"/>
    <w:rsid w:val="00DE3C43"/>
    <w:rsid w:val="00DF1DB8"/>
    <w:rsid w:val="00DF386E"/>
    <w:rsid w:val="00E11023"/>
    <w:rsid w:val="00E11089"/>
    <w:rsid w:val="00E20133"/>
    <w:rsid w:val="00E201A9"/>
    <w:rsid w:val="00E21B69"/>
    <w:rsid w:val="00E24438"/>
    <w:rsid w:val="00E272A9"/>
    <w:rsid w:val="00E31406"/>
    <w:rsid w:val="00E41735"/>
    <w:rsid w:val="00E4436C"/>
    <w:rsid w:val="00E45DB7"/>
    <w:rsid w:val="00E51530"/>
    <w:rsid w:val="00E51603"/>
    <w:rsid w:val="00E64C94"/>
    <w:rsid w:val="00E717FA"/>
    <w:rsid w:val="00E74F31"/>
    <w:rsid w:val="00E77A77"/>
    <w:rsid w:val="00E820F1"/>
    <w:rsid w:val="00E85DE7"/>
    <w:rsid w:val="00E95F4C"/>
    <w:rsid w:val="00EA4180"/>
    <w:rsid w:val="00EA5BE4"/>
    <w:rsid w:val="00EB2F15"/>
    <w:rsid w:val="00EC374D"/>
    <w:rsid w:val="00EC7841"/>
    <w:rsid w:val="00ED0A5D"/>
    <w:rsid w:val="00ED25C4"/>
    <w:rsid w:val="00ED294E"/>
    <w:rsid w:val="00ED75E9"/>
    <w:rsid w:val="00EE3ED5"/>
    <w:rsid w:val="00EE6C29"/>
    <w:rsid w:val="00EE7DFD"/>
    <w:rsid w:val="00EF35BE"/>
    <w:rsid w:val="00EF48BA"/>
    <w:rsid w:val="00F02C7A"/>
    <w:rsid w:val="00F044AB"/>
    <w:rsid w:val="00F04F11"/>
    <w:rsid w:val="00F1189E"/>
    <w:rsid w:val="00F13CCA"/>
    <w:rsid w:val="00F14E48"/>
    <w:rsid w:val="00F30031"/>
    <w:rsid w:val="00F30EBD"/>
    <w:rsid w:val="00F421F8"/>
    <w:rsid w:val="00F43BD9"/>
    <w:rsid w:val="00F5082F"/>
    <w:rsid w:val="00F53A11"/>
    <w:rsid w:val="00F61E08"/>
    <w:rsid w:val="00F67F02"/>
    <w:rsid w:val="00F742B8"/>
    <w:rsid w:val="00F74780"/>
    <w:rsid w:val="00F80276"/>
    <w:rsid w:val="00F827CA"/>
    <w:rsid w:val="00FA044E"/>
    <w:rsid w:val="00FA6BE9"/>
    <w:rsid w:val="00FA7921"/>
    <w:rsid w:val="00FB4EE6"/>
    <w:rsid w:val="00FB6A07"/>
    <w:rsid w:val="00FC22AF"/>
    <w:rsid w:val="00FC46BF"/>
    <w:rsid w:val="00FC5B7D"/>
    <w:rsid w:val="00FC7215"/>
    <w:rsid w:val="00FD08E1"/>
    <w:rsid w:val="00FD0D62"/>
    <w:rsid w:val="00FD1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97F35E"/>
  <w15:chartTrackingRefBased/>
  <w15:docId w15:val="{D8F2CD2E-001A-43DC-A310-1F9CE9C11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95C"/>
    <w:pPr>
      <w:spacing w:line="259" w:lineRule="auto"/>
    </w:pPr>
    <w:rPr>
      <w:kern w:val="0"/>
      <w:sz w:val="22"/>
      <w:szCs w:val="22"/>
      <w14:ligatures w14:val="none"/>
    </w:rPr>
  </w:style>
  <w:style w:type="paragraph" w:styleId="Heading1">
    <w:name w:val="heading 1"/>
    <w:basedOn w:val="Normal"/>
    <w:next w:val="Normal"/>
    <w:link w:val="Heading1Char"/>
    <w:uiPriority w:val="9"/>
    <w:qFormat/>
    <w:rsid w:val="003B695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B695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B695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B695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B695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B695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B695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B695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B695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9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9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9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9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9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9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9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9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95C"/>
    <w:rPr>
      <w:rFonts w:eastAsiaTheme="majorEastAsia" w:cstheme="majorBidi"/>
      <w:color w:val="272727" w:themeColor="text1" w:themeTint="D8"/>
    </w:rPr>
  </w:style>
  <w:style w:type="paragraph" w:styleId="Title">
    <w:name w:val="Title"/>
    <w:basedOn w:val="Normal"/>
    <w:next w:val="Normal"/>
    <w:link w:val="TitleChar"/>
    <w:uiPriority w:val="10"/>
    <w:qFormat/>
    <w:rsid w:val="003B69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B69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95C"/>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B6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95C"/>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B695C"/>
    <w:rPr>
      <w:i/>
      <w:iCs/>
      <w:color w:val="404040" w:themeColor="text1" w:themeTint="BF"/>
    </w:rPr>
  </w:style>
  <w:style w:type="paragraph" w:styleId="ListParagraph">
    <w:name w:val="List Paragraph"/>
    <w:basedOn w:val="Normal"/>
    <w:uiPriority w:val="34"/>
    <w:qFormat/>
    <w:rsid w:val="003B695C"/>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B695C"/>
    <w:rPr>
      <w:i/>
      <w:iCs/>
      <w:color w:val="0F4761" w:themeColor="accent1" w:themeShade="BF"/>
    </w:rPr>
  </w:style>
  <w:style w:type="paragraph" w:styleId="IntenseQuote">
    <w:name w:val="Intense Quote"/>
    <w:basedOn w:val="Normal"/>
    <w:next w:val="Normal"/>
    <w:link w:val="IntenseQuoteChar"/>
    <w:uiPriority w:val="30"/>
    <w:qFormat/>
    <w:rsid w:val="003B695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B695C"/>
    <w:rPr>
      <w:i/>
      <w:iCs/>
      <w:color w:val="0F4761" w:themeColor="accent1" w:themeShade="BF"/>
    </w:rPr>
  </w:style>
  <w:style w:type="character" w:styleId="IntenseReference">
    <w:name w:val="Intense Reference"/>
    <w:basedOn w:val="DefaultParagraphFont"/>
    <w:uiPriority w:val="32"/>
    <w:qFormat/>
    <w:rsid w:val="003B695C"/>
    <w:rPr>
      <w:b/>
      <w:bCs/>
      <w:smallCaps/>
      <w:color w:val="0F4761" w:themeColor="accent1" w:themeShade="BF"/>
      <w:spacing w:val="5"/>
    </w:rPr>
  </w:style>
  <w:style w:type="table" w:customStyle="1" w:styleId="TableGrid">
    <w:name w:val="TableGrid"/>
    <w:rsid w:val="003C497A"/>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F1DB8"/>
    <w:rPr>
      <w:color w:val="0000FF"/>
      <w:u w:val="single"/>
    </w:rPr>
  </w:style>
  <w:style w:type="table" w:styleId="TableGrid0">
    <w:name w:val="Table Grid"/>
    <w:basedOn w:val="TableNormal"/>
    <w:uiPriority w:val="39"/>
    <w:rsid w:val="00F7478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7FDA"/>
    <w:rPr>
      <w:color w:val="96607D" w:themeColor="followedHyperlink"/>
      <w:u w:val="single"/>
    </w:rPr>
  </w:style>
  <w:style w:type="paragraph" w:styleId="Header">
    <w:name w:val="header"/>
    <w:basedOn w:val="Normal"/>
    <w:link w:val="HeaderChar"/>
    <w:uiPriority w:val="99"/>
    <w:unhideWhenUsed/>
    <w:rsid w:val="00A14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A89"/>
    <w:rPr>
      <w:kern w:val="0"/>
      <w:sz w:val="22"/>
      <w:szCs w:val="22"/>
      <w14:ligatures w14:val="none"/>
    </w:rPr>
  </w:style>
  <w:style w:type="paragraph" w:styleId="Footer">
    <w:name w:val="footer"/>
    <w:basedOn w:val="Normal"/>
    <w:link w:val="FooterChar"/>
    <w:uiPriority w:val="99"/>
    <w:unhideWhenUsed/>
    <w:rsid w:val="00A14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A89"/>
    <w:rPr>
      <w:kern w:val="0"/>
      <w:sz w:val="22"/>
      <w:szCs w:val="22"/>
      <w14:ligatures w14:val="none"/>
    </w:rPr>
  </w:style>
  <w:style w:type="paragraph" w:styleId="NormalWeb">
    <w:name w:val="Normal (Web)"/>
    <w:basedOn w:val="Normal"/>
    <w:uiPriority w:val="99"/>
    <w:unhideWhenUsed/>
    <w:rsid w:val="00A144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1BDA"/>
    <w:rPr>
      <w:b/>
      <w:bCs/>
    </w:rPr>
  </w:style>
  <w:style w:type="character" w:styleId="Emphasis">
    <w:name w:val="Emphasis"/>
    <w:basedOn w:val="DefaultParagraphFont"/>
    <w:uiPriority w:val="20"/>
    <w:qFormat/>
    <w:rsid w:val="00E45DB7"/>
    <w:rPr>
      <w:i/>
      <w:iCs/>
    </w:rPr>
  </w:style>
  <w:style w:type="character" w:customStyle="1" w:styleId="mord">
    <w:name w:val="mord"/>
    <w:basedOn w:val="DefaultParagraphFont"/>
    <w:rsid w:val="00CC211A"/>
  </w:style>
  <w:style w:type="paragraph" w:customStyle="1" w:styleId="Default">
    <w:name w:val="Default"/>
    <w:rsid w:val="00D30AC4"/>
    <w:pPr>
      <w:autoSpaceDE w:val="0"/>
      <w:autoSpaceDN w:val="0"/>
      <w:adjustRightInd w:val="0"/>
      <w:spacing w:after="0" w:line="240" w:lineRule="auto"/>
    </w:pPr>
    <w:rPr>
      <w:rFonts w:ascii="Myriad Pro" w:hAnsi="Myriad Pro" w:cs="Myriad Pro"/>
      <w:color w:val="000000"/>
      <w:kern w:val="0"/>
      <w14:ligatures w14:val="none"/>
    </w:rPr>
  </w:style>
  <w:style w:type="character" w:customStyle="1" w:styleId="ms-1">
    <w:name w:val="ms-1"/>
    <w:basedOn w:val="DefaultParagraphFont"/>
    <w:rsid w:val="006352DF"/>
  </w:style>
  <w:style w:type="character" w:customStyle="1" w:styleId="max-w-15ch">
    <w:name w:val="max-w-[15ch]"/>
    <w:basedOn w:val="DefaultParagraphFont"/>
    <w:rsid w:val="006352DF"/>
  </w:style>
  <w:style w:type="character" w:customStyle="1" w:styleId="-me-1">
    <w:name w:val="-me-1"/>
    <w:basedOn w:val="DefaultParagraphFont"/>
    <w:rsid w:val="006352DF"/>
  </w:style>
  <w:style w:type="table" w:styleId="TableGridLight">
    <w:name w:val="Grid Table Light"/>
    <w:basedOn w:val="TableNormal"/>
    <w:uiPriority w:val="40"/>
    <w:rsid w:val="00834D63"/>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A55323"/>
  </w:style>
  <w:style w:type="character" w:customStyle="1" w:styleId="mrel">
    <w:name w:val="mrel"/>
    <w:basedOn w:val="DefaultParagraphFont"/>
    <w:rsid w:val="00A55323"/>
  </w:style>
  <w:style w:type="character" w:customStyle="1" w:styleId="vlist-s">
    <w:name w:val="vlist-s"/>
    <w:basedOn w:val="DefaultParagraphFont"/>
    <w:rsid w:val="00A55323"/>
  </w:style>
  <w:style w:type="character" w:customStyle="1" w:styleId="mbin">
    <w:name w:val="mbin"/>
    <w:basedOn w:val="DefaultParagraphFont"/>
    <w:rsid w:val="00A55323"/>
  </w:style>
  <w:style w:type="character" w:styleId="PlaceholderText">
    <w:name w:val="Placeholder Text"/>
    <w:basedOn w:val="DefaultParagraphFont"/>
    <w:uiPriority w:val="99"/>
    <w:semiHidden/>
    <w:rsid w:val="00A55323"/>
    <w:rPr>
      <w:color w:val="808080"/>
    </w:rPr>
  </w:style>
  <w:style w:type="character" w:styleId="LineNumber">
    <w:name w:val="line number"/>
    <w:basedOn w:val="DefaultParagraphFont"/>
    <w:uiPriority w:val="99"/>
    <w:semiHidden/>
    <w:unhideWhenUsed/>
    <w:rsid w:val="00F42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11475">
      <w:bodyDiv w:val="1"/>
      <w:marLeft w:val="0"/>
      <w:marRight w:val="0"/>
      <w:marTop w:val="0"/>
      <w:marBottom w:val="0"/>
      <w:divBdr>
        <w:top w:val="none" w:sz="0" w:space="0" w:color="auto"/>
        <w:left w:val="none" w:sz="0" w:space="0" w:color="auto"/>
        <w:bottom w:val="none" w:sz="0" w:space="0" w:color="auto"/>
        <w:right w:val="none" w:sz="0" w:space="0" w:color="auto"/>
      </w:divBdr>
    </w:div>
    <w:div w:id="50468162">
      <w:bodyDiv w:val="1"/>
      <w:marLeft w:val="0"/>
      <w:marRight w:val="0"/>
      <w:marTop w:val="0"/>
      <w:marBottom w:val="0"/>
      <w:divBdr>
        <w:top w:val="none" w:sz="0" w:space="0" w:color="auto"/>
        <w:left w:val="none" w:sz="0" w:space="0" w:color="auto"/>
        <w:bottom w:val="none" w:sz="0" w:space="0" w:color="auto"/>
        <w:right w:val="none" w:sz="0" w:space="0" w:color="auto"/>
      </w:divBdr>
    </w:div>
    <w:div w:id="91947672">
      <w:bodyDiv w:val="1"/>
      <w:marLeft w:val="0"/>
      <w:marRight w:val="0"/>
      <w:marTop w:val="0"/>
      <w:marBottom w:val="0"/>
      <w:divBdr>
        <w:top w:val="none" w:sz="0" w:space="0" w:color="auto"/>
        <w:left w:val="none" w:sz="0" w:space="0" w:color="auto"/>
        <w:bottom w:val="none" w:sz="0" w:space="0" w:color="auto"/>
        <w:right w:val="none" w:sz="0" w:space="0" w:color="auto"/>
      </w:divBdr>
    </w:div>
    <w:div w:id="93674895">
      <w:bodyDiv w:val="1"/>
      <w:marLeft w:val="0"/>
      <w:marRight w:val="0"/>
      <w:marTop w:val="0"/>
      <w:marBottom w:val="0"/>
      <w:divBdr>
        <w:top w:val="none" w:sz="0" w:space="0" w:color="auto"/>
        <w:left w:val="none" w:sz="0" w:space="0" w:color="auto"/>
        <w:bottom w:val="none" w:sz="0" w:space="0" w:color="auto"/>
        <w:right w:val="none" w:sz="0" w:space="0" w:color="auto"/>
      </w:divBdr>
    </w:div>
    <w:div w:id="114376048">
      <w:bodyDiv w:val="1"/>
      <w:marLeft w:val="0"/>
      <w:marRight w:val="0"/>
      <w:marTop w:val="0"/>
      <w:marBottom w:val="0"/>
      <w:divBdr>
        <w:top w:val="none" w:sz="0" w:space="0" w:color="auto"/>
        <w:left w:val="none" w:sz="0" w:space="0" w:color="auto"/>
        <w:bottom w:val="none" w:sz="0" w:space="0" w:color="auto"/>
        <w:right w:val="none" w:sz="0" w:space="0" w:color="auto"/>
      </w:divBdr>
    </w:div>
    <w:div w:id="163059536">
      <w:bodyDiv w:val="1"/>
      <w:marLeft w:val="0"/>
      <w:marRight w:val="0"/>
      <w:marTop w:val="0"/>
      <w:marBottom w:val="0"/>
      <w:divBdr>
        <w:top w:val="none" w:sz="0" w:space="0" w:color="auto"/>
        <w:left w:val="none" w:sz="0" w:space="0" w:color="auto"/>
        <w:bottom w:val="none" w:sz="0" w:space="0" w:color="auto"/>
        <w:right w:val="none" w:sz="0" w:space="0" w:color="auto"/>
      </w:divBdr>
    </w:div>
    <w:div w:id="192695638">
      <w:bodyDiv w:val="1"/>
      <w:marLeft w:val="0"/>
      <w:marRight w:val="0"/>
      <w:marTop w:val="0"/>
      <w:marBottom w:val="0"/>
      <w:divBdr>
        <w:top w:val="none" w:sz="0" w:space="0" w:color="auto"/>
        <w:left w:val="none" w:sz="0" w:space="0" w:color="auto"/>
        <w:bottom w:val="none" w:sz="0" w:space="0" w:color="auto"/>
        <w:right w:val="none" w:sz="0" w:space="0" w:color="auto"/>
      </w:divBdr>
    </w:div>
    <w:div w:id="216548774">
      <w:bodyDiv w:val="1"/>
      <w:marLeft w:val="0"/>
      <w:marRight w:val="0"/>
      <w:marTop w:val="0"/>
      <w:marBottom w:val="0"/>
      <w:divBdr>
        <w:top w:val="none" w:sz="0" w:space="0" w:color="auto"/>
        <w:left w:val="none" w:sz="0" w:space="0" w:color="auto"/>
        <w:bottom w:val="none" w:sz="0" w:space="0" w:color="auto"/>
        <w:right w:val="none" w:sz="0" w:space="0" w:color="auto"/>
      </w:divBdr>
    </w:div>
    <w:div w:id="221870220">
      <w:bodyDiv w:val="1"/>
      <w:marLeft w:val="0"/>
      <w:marRight w:val="0"/>
      <w:marTop w:val="0"/>
      <w:marBottom w:val="0"/>
      <w:divBdr>
        <w:top w:val="none" w:sz="0" w:space="0" w:color="auto"/>
        <w:left w:val="none" w:sz="0" w:space="0" w:color="auto"/>
        <w:bottom w:val="none" w:sz="0" w:space="0" w:color="auto"/>
        <w:right w:val="none" w:sz="0" w:space="0" w:color="auto"/>
      </w:divBdr>
    </w:div>
    <w:div w:id="224486519">
      <w:bodyDiv w:val="1"/>
      <w:marLeft w:val="0"/>
      <w:marRight w:val="0"/>
      <w:marTop w:val="0"/>
      <w:marBottom w:val="0"/>
      <w:divBdr>
        <w:top w:val="none" w:sz="0" w:space="0" w:color="auto"/>
        <w:left w:val="none" w:sz="0" w:space="0" w:color="auto"/>
        <w:bottom w:val="none" w:sz="0" w:space="0" w:color="auto"/>
        <w:right w:val="none" w:sz="0" w:space="0" w:color="auto"/>
      </w:divBdr>
    </w:div>
    <w:div w:id="257371515">
      <w:bodyDiv w:val="1"/>
      <w:marLeft w:val="0"/>
      <w:marRight w:val="0"/>
      <w:marTop w:val="0"/>
      <w:marBottom w:val="0"/>
      <w:divBdr>
        <w:top w:val="none" w:sz="0" w:space="0" w:color="auto"/>
        <w:left w:val="none" w:sz="0" w:space="0" w:color="auto"/>
        <w:bottom w:val="none" w:sz="0" w:space="0" w:color="auto"/>
        <w:right w:val="none" w:sz="0" w:space="0" w:color="auto"/>
      </w:divBdr>
    </w:div>
    <w:div w:id="271521332">
      <w:bodyDiv w:val="1"/>
      <w:marLeft w:val="0"/>
      <w:marRight w:val="0"/>
      <w:marTop w:val="0"/>
      <w:marBottom w:val="0"/>
      <w:divBdr>
        <w:top w:val="none" w:sz="0" w:space="0" w:color="auto"/>
        <w:left w:val="none" w:sz="0" w:space="0" w:color="auto"/>
        <w:bottom w:val="none" w:sz="0" w:space="0" w:color="auto"/>
        <w:right w:val="none" w:sz="0" w:space="0" w:color="auto"/>
      </w:divBdr>
    </w:div>
    <w:div w:id="271940923">
      <w:bodyDiv w:val="1"/>
      <w:marLeft w:val="0"/>
      <w:marRight w:val="0"/>
      <w:marTop w:val="0"/>
      <w:marBottom w:val="0"/>
      <w:divBdr>
        <w:top w:val="none" w:sz="0" w:space="0" w:color="auto"/>
        <w:left w:val="none" w:sz="0" w:space="0" w:color="auto"/>
        <w:bottom w:val="none" w:sz="0" w:space="0" w:color="auto"/>
        <w:right w:val="none" w:sz="0" w:space="0" w:color="auto"/>
      </w:divBdr>
    </w:div>
    <w:div w:id="305203394">
      <w:bodyDiv w:val="1"/>
      <w:marLeft w:val="0"/>
      <w:marRight w:val="0"/>
      <w:marTop w:val="0"/>
      <w:marBottom w:val="0"/>
      <w:divBdr>
        <w:top w:val="none" w:sz="0" w:space="0" w:color="auto"/>
        <w:left w:val="none" w:sz="0" w:space="0" w:color="auto"/>
        <w:bottom w:val="none" w:sz="0" w:space="0" w:color="auto"/>
        <w:right w:val="none" w:sz="0" w:space="0" w:color="auto"/>
      </w:divBdr>
    </w:div>
    <w:div w:id="305203916">
      <w:bodyDiv w:val="1"/>
      <w:marLeft w:val="0"/>
      <w:marRight w:val="0"/>
      <w:marTop w:val="0"/>
      <w:marBottom w:val="0"/>
      <w:divBdr>
        <w:top w:val="none" w:sz="0" w:space="0" w:color="auto"/>
        <w:left w:val="none" w:sz="0" w:space="0" w:color="auto"/>
        <w:bottom w:val="none" w:sz="0" w:space="0" w:color="auto"/>
        <w:right w:val="none" w:sz="0" w:space="0" w:color="auto"/>
      </w:divBdr>
    </w:div>
    <w:div w:id="340283051">
      <w:bodyDiv w:val="1"/>
      <w:marLeft w:val="0"/>
      <w:marRight w:val="0"/>
      <w:marTop w:val="0"/>
      <w:marBottom w:val="0"/>
      <w:divBdr>
        <w:top w:val="none" w:sz="0" w:space="0" w:color="auto"/>
        <w:left w:val="none" w:sz="0" w:space="0" w:color="auto"/>
        <w:bottom w:val="none" w:sz="0" w:space="0" w:color="auto"/>
        <w:right w:val="none" w:sz="0" w:space="0" w:color="auto"/>
      </w:divBdr>
    </w:div>
    <w:div w:id="345139346">
      <w:bodyDiv w:val="1"/>
      <w:marLeft w:val="0"/>
      <w:marRight w:val="0"/>
      <w:marTop w:val="0"/>
      <w:marBottom w:val="0"/>
      <w:divBdr>
        <w:top w:val="none" w:sz="0" w:space="0" w:color="auto"/>
        <w:left w:val="none" w:sz="0" w:space="0" w:color="auto"/>
        <w:bottom w:val="none" w:sz="0" w:space="0" w:color="auto"/>
        <w:right w:val="none" w:sz="0" w:space="0" w:color="auto"/>
      </w:divBdr>
    </w:div>
    <w:div w:id="366103550">
      <w:bodyDiv w:val="1"/>
      <w:marLeft w:val="0"/>
      <w:marRight w:val="0"/>
      <w:marTop w:val="0"/>
      <w:marBottom w:val="0"/>
      <w:divBdr>
        <w:top w:val="none" w:sz="0" w:space="0" w:color="auto"/>
        <w:left w:val="none" w:sz="0" w:space="0" w:color="auto"/>
        <w:bottom w:val="none" w:sz="0" w:space="0" w:color="auto"/>
        <w:right w:val="none" w:sz="0" w:space="0" w:color="auto"/>
      </w:divBdr>
    </w:div>
    <w:div w:id="451023747">
      <w:bodyDiv w:val="1"/>
      <w:marLeft w:val="0"/>
      <w:marRight w:val="0"/>
      <w:marTop w:val="0"/>
      <w:marBottom w:val="0"/>
      <w:divBdr>
        <w:top w:val="none" w:sz="0" w:space="0" w:color="auto"/>
        <w:left w:val="none" w:sz="0" w:space="0" w:color="auto"/>
        <w:bottom w:val="none" w:sz="0" w:space="0" w:color="auto"/>
        <w:right w:val="none" w:sz="0" w:space="0" w:color="auto"/>
      </w:divBdr>
    </w:div>
    <w:div w:id="466777247">
      <w:bodyDiv w:val="1"/>
      <w:marLeft w:val="0"/>
      <w:marRight w:val="0"/>
      <w:marTop w:val="0"/>
      <w:marBottom w:val="0"/>
      <w:divBdr>
        <w:top w:val="none" w:sz="0" w:space="0" w:color="auto"/>
        <w:left w:val="none" w:sz="0" w:space="0" w:color="auto"/>
        <w:bottom w:val="none" w:sz="0" w:space="0" w:color="auto"/>
        <w:right w:val="none" w:sz="0" w:space="0" w:color="auto"/>
      </w:divBdr>
    </w:div>
    <w:div w:id="476916939">
      <w:bodyDiv w:val="1"/>
      <w:marLeft w:val="0"/>
      <w:marRight w:val="0"/>
      <w:marTop w:val="0"/>
      <w:marBottom w:val="0"/>
      <w:divBdr>
        <w:top w:val="none" w:sz="0" w:space="0" w:color="auto"/>
        <w:left w:val="none" w:sz="0" w:space="0" w:color="auto"/>
        <w:bottom w:val="none" w:sz="0" w:space="0" w:color="auto"/>
        <w:right w:val="none" w:sz="0" w:space="0" w:color="auto"/>
      </w:divBdr>
    </w:div>
    <w:div w:id="493372149">
      <w:bodyDiv w:val="1"/>
      <w:marLeft w:val="0"/>
      <w:marRight w:val="0"/>
      <w:marTop w:val="0"/>
      <w:marBottom w:val="0"/>
      <w:divBdr>
        <w:top w:val="none" w:sz="0" w:space="0" w:color="auto"/>
        <w:left w:val="none" w:sz="0" w:space="0" w:color="auto"/>
        <w:bottom w:val="none" w:sz="0" w:space="0" w:color="auto"/>
        <w:right w:val="none" w:sz="0" w:space="0" w:color="auto"/>
      </w:divBdr>
    </w:div>
    <w:div w:id="500895085">
      <w:bodyDiv w:val="1"/>
      <w:marLeft w:val="0"/>
      <w:marRight w:val="0"/>
      <w:marTop w:val="0"/>
      <w:marBottom w:val="0"/>
      <w:divBdr>
        <w:top w:val="none" w:sz="0" w:space="0" w:color="auto"/>
        <w:left w:val="none" w:sz="0" w:space="0" w:color="auto"/>
        <w:bottom w:val="none" w:sz="0" w:space="0" w:color="auto"/>
        <w:right w:val="none" w:sz="0" w:space="0" w:color="auto"/>
      </w:divBdr>
    </w:div>
    <w:div w:id="511527254">
      <w:bodyDiv w:val="1"/>
      <w:marLeft w:val="0"/>
      <w:marRight w:val="0"/>
      <w:marTop w:val="0"/>
      <w:marBottom w:val="0"/>
      <w:divBdr>
        <w:top w:val="none" w:sz="0" w:space="0" w:color="auto"/>
        <w:left w:val="none" w:sz="0" w:space="0" w:color="auto"/>
        <w:bottom w:val="none" w:sz="0" w:space="0" w:color="auto"/>
        <w:right w:val="none" w:sz="0" w:space="0" w:color="auto"/>
      </w:divBdr>
    </w:div>
    <w:div w:id="519666791">
      <w:bodyDiv w:val="1"/>
      <w:marLeft w:val="0"/>
      <w:marRight w:val="0"/>
      <w:marTop w:val="0"/>
      <w:marBottom w:val="0"/>
      <w:divBdr>
        <w:top w:val="none" w:sz="0" w:space="0" w:color="auto"/>
        <w:left w:val="none" w:sz="0" w:space="0" w:color="auto"/>
        <w:bottom w:val="none" w:sz="0" w:space="0" w:color="auto"/>
        <w:right w:val="none" w:sz="0" w:space="0" w:color="auto"/>
      </w:divBdr>
    </w:div>
    <w:div w:id="526141802">
      <w:bodyDiv w:val="1"/>
      <w:marLeft w:val="0"/>
      <w:marRight w:val="0"/>
      <w:marTop w:val="0"/>
      <w:marBottom w:val="0"/>
      <w:divBdr>
        <w:top w:val="none" w:sz="0" w:space="0" w:color="auto"/>
        <w:left w:val="none" w:sz="0" w:space="0" w:color="auto"/>
        <w:bottom w:val="none" w:sz="0" w:space="0" w:color="auto"/>
        <w:right w:val="none" w:sz="0" w:space="0" w:color="auto"/>
      </w:divBdr>
    </w:div>
    <w:div w:id="528684798">
      <w:bodyDiv w:val="1"/>
      <w:marLeft w:val="0"/>
      <w:marRight w:val="0"/>
      <w:marTop w:val="0"/>
      <w:marBottom w:val="0"/>
      <w:divBdr>
        <w:top w:val="none" w:sz="0" w:space="0" w:color="auto"/>
        <w:left w:val="none" w:sz="0" w:space="0" w:color="auto"/>
        <w:bottom w:val="none" w:sz="0" w:space="0" w:color="auto"/>
        <w:right w:val="none" w:sz="0" w:space="0" w:color="auto"/>
      </w:divBdr>
    </w:div>
    <w:div w:id="538709432">
      <w:bodyDiv w:val="1"/>
      <w:marLeft w:val="0"/>
      <w:marRight w:val="0"/>
      <w:marTop w:val="0"/>
      <w:marBottom w:val="0"/>
      <w:divBdr>
        <w:top w:val="none" w:sz="0" w:space="0" w:color="auto"/>
        <w:left w:val="none" w:sz="0" w:space="0" w:color="auto"/>
        <w:bottom w:val="none" w:sz="0" w:space="0" w:color="auto"/>
        <w:right w:val="none" w:sz="0" w:space="0" w:color="auto"/>
      </w:divBdr>
    </w:div>
    <w:div w:id="541137685">
      <w:bodyDiv w:val="1"/>
      <w:marLeft w:val="0"/>
      <w:marRight w:val="0"/>
      <w:marTop w:val="0"/>
      <w:marBottom w:val="0"/>
      <w:divBdr>
        <w:top w:val="none" w:sz="0" w:space="0" w:color="auto"/>
        <w:left w:val="none" w:sz="0" w:space="0" w:color="auto"/>
        <w:bottom w:val="none" w:sz="0" w:space="0" w:color="auto"/>
        <w:right w:val="none" w:sz="0" w:space="0" w:color="auto"/>
      </w:divBdr>
    </w:div>
    <w:div w:id="544218916">
      <w:bodyDiv w:val="1"/>
      <w:marLeft w:val="0"/>
      <w:marRight w:val="0"/>
      <w:marTop w:val="0"/>
      <w:marBottom w:val="0"/>
      <w:divBdr>
        <w:top w:val="none" w:sz="0" w:space="0" w:color="auto"/>
        <w:left w:val="none" w:sz="0" w:space="0" w:color="auto"/>
        <w:bottom w:val="none" w:sz="0" w:space="0" w:color="auto"/>
        <w:right w:val="none" w:sz="0" w:space="0" w:color="auto"/>
      </w:divBdr>
    </w:div>
    <w:div w:id="554510712">
      <w:bodyDiv w:val="1"/>
      <w:marLeft w:val="0"/>
      <w:marRight w:val="0"/>
      <w:marTop w:val="0"/>
      <w:marBottom w:val="0"/>
      <w:divBdr>
        <w:top w:val="none" w:sz="0" w:space="0" w:color="auto"/>
        <w:left w:val="none" w:sz="0" w:space="0" w:color="auto"/>
        <w:bottom w:val="none" w:sz="0" w:space="0" w:color="auto"/>
        <w:right w:val="none" w:sz="0" w:space="0" w:color="auto"/>
      </w:divBdr>
    </w:div>
    <w:div w:id="564337246">
      <w:bodyDiv w:val="1"/>
      <w:marLeft w:val="0"/>
      <w:marRight w:val="0"/>
      <w:marTop w:val="0"/>
      <w:marBottom w:val="0"/>
      <w:divBdr>
        <w:top w:val="none" w:sz="0" w:space="0" w:color="auto"/>
        <w:left w:val="none" w:sz="0" w:space="0" w:color="auto"/>
        <w:bottom w:val="none" w:sz="0" w:space="0" w:color="auto"/>
        <w:right w:val="none" w:sz="0" w:space="0" w:color="auto"/>
      </w:divBdr>
    </w:div>
    <w:div w:id="580716909">
      <w:bodyDiv w:val="1"/>
      <w:marLeft w:val="0"/>
      <w:marRight w:val="0"/>
      <w:marTop w:val="0"/>
      <w:marBottom w:val="0"/>
      <w:divBdr>
        <w:top w:val="none" w:sz="0" w:space="0" w:color="auto"/>
        <w:left w:val="none" w:sz="0" w:space="0" w:color="auto"/>
        <w:bottom w:val="none" w:sz="0" w:space="0" w:color="auto"/>
        <w:right w:val="none" w:sz="0" w:space="0" w:color="auto"/>
      </w:divBdr>
    </w:div>
    <w:div w:id="657344577">
      <w:bodyDiv w:val="1"/>
      <w:marLeft w:val="0"/>
      <w:marRight w:val="0"/>
      <w:marTop w:val="0"/>
      <w:marBottom w:val="0"/>
      <w:divBdr>
        <w:top w:val="none" w:sz="0" w:space="0" w:color="auto"/>
        <w:left w:val="none" w:sz="0" w:space="0" w:color="auto"/>
        <w:bottom w:val="none" w:sz="0" w:space="0" w:color="auto"/>
        <w:right w:val="none" w:sz="0" w:space="0" w:color="auto"/>
      </w:divBdr>
    </w:div>
    <w:div w:id="661615928">
      <w:bodyDiv w:val="1"/>
      <w:marLeft w:val="0"/>
      <w:marRight w:val="0"/>
      <w:marTop w:val="0"/>
      <w:marBottom w:val="0"/>
      <w:divBdr>
        <w:top w:val="none" w:sz="0" w:space="0" w:color="auto"/>
        <w:left w:val="none" w:sz="0" w:space="0" w:color="auto"/>
        <w:bottom w:val="none" w:sz="0" w:space="0" w:color="auto"/>
        <w:right w:val="none" w:sz="0" w:space="0" w:color="auto"/>
      </w:divBdr>
    </w:div>
    <w:div w:id="666903642">
      <w:bodyDiv w:val="1"/>
      <w:marLeft w:val="0"/>
      <w:marRight w:val="0"/>
      <w:marTop w:val="0"/>
      <w:marBottom w:val="0"/>
      <w:divBdr>
        <w:top w:val="none" w:sz="0" w:space="0" w:color="auto"/>
        <w:left w:val="none" w:sz="0" w:space="0" w:color="auto"/>
        <w:bottom w:val="none" w:sz="0" w:space="0" w:color="auto"/>
        <w:right w:val="none" w:sz="0" w:space="0" w:color="auto"/>
      </w:divBdr>
    </w:div>
    <w:div w:id="690766894">
      <w:bodyDiv w:val="1"/>
      <w:marLeft w:val="0"/>
      <w:marRight w:val="0"/>
      <w:marTop w:val="0"/>
      <w:marBottom w:val="0"/>
      <w:divBdr>
        <w:top w:val="none" w:sz="0" w:space="0" w:color="auto"/>
        <w:left w:val="none" w:sz="0" w:space="0" w:color="auto"/>
        <w:bottom w:val="none" w:sz="0" w:space="0" w:color="auto"/>
        <w:right w:val="none" w:sz="0" w:space="0" w:color="auto"/>
      </w:divBdr>
    </w:div>
    <w:div w:id="700789401">
      <w:bodyDiv w:val="1"/>
      <w:marLeft w:val="0"/>
      <w:marRight w:val="0"/>
      <w:marTop w:val="0"/>
      <w:marBottom w:val="0"/>
      <w:divBdr>
        <w:top w:val="none" w:sz="0" w:space="0" w:color="auto"/>
        <w:left w:val="none" w:sz="0" w:space="0" w:color="auto"/>
        <w:bottom w:val="none" w:sz="0" w:space="0" w:color="auto"/>
        <w:right w:val="none" w:sz="0" w:space="0" w:color="auto"/>
      </w:divBdr>
    </w:div>
    <w:div w:id="710541835">
      <w:bodyDiv w:val="1"/>
      <w:marLeft w:val="0"/>
      <w:marRight w:val="0"/>
      <w:marTop w:val="0"/>
      <w:marBottom w:val="0"/>
      <w:divBdr>
        <w:top w:val="none" w:sz="0" w:space="0" w:color="auto"/>
        <w:left w:val="none" w:sz="0" w:space="0" w:color="auto"/>
        <w:bottom w:val="none" w:sz="0" w:space="0" w:color="auto"/>
        <w:right w:val="none" w:sz="0" w:space="0" w:color="auto"/>
      </w:divBdr>
    </w:div>
    <w:div w:id="722215701">
      <w:bodyDiv w:val="1"/>
      <w:marLeft w:val="0"/>
      <w:marRight w:val="0"/>
      <w:marTop w:val="0"/>
      <w:marBottom w:val="0"/>
      <w:divBdr>
        <w:top w:val="none" w:sz="0" w:space="0" w:color="auto"/>
        <w:left w:val="none" w:sz="0" w:space="0" w:color="auto"/>
        <w:bottom w:val="none" w:sz="0" w:space="0" w:color="auto"/>
        <w:right w:val="none" w:sz="0" w:space="0" w:color="auto"/>
      </w:divBdr>
    </w:div>
    <w:div w:id="776022506">
      <w:bodyDiv w:val="1"/>
      <w:marLeft w:val="0"/>
      <w:marRight w:val="0"/>
      <w:marTop w:val="0"/>
      <w:marBottom w:val="0"/>
      <w:divBdr>
        <w:top w:val="none" w:sz="0" w:space="0" w:color="auto"/>
        <w:left w:val="none" w:sz="0" w:space="0" w:color="auto"/>
        <w:bottom w:val="none" w:sz="0" w:space="0" w:color="auto"/>
        <w:right w:val="none" w:sz="0" w:space="0" w:color="auto"/>
      </w:divBdr>
    </w:div>
    <w:div w:id="949094171">
      <w:bodyDiv w:val="1"/>
      <w:marLeft w:val="0"/>
      <w:marRight w:val="0"/>
      <w:marTop w:val="0"/>
      <w:marBottom w:val="0"/>
      <w:divBdr>
        <w:top w:val="none" w:sz="0" w:space="0" w:color="auto"/>
        <w:left w:val="none" w:sz="0" w:space="0" w:color="auto"/>
        <w:bottom w:val="none" w:sz="0" w:space="0" w:color="auto"/>
        <w:right w:val="none" w:sz="0" w:space="0" w:color="auto"/>
      </w:divBdr>
    </w:div>
    <w:div w:id="952596863">
      <w:bodyDiv w:val="1"/>
      <w:marLeft w:val="0"/>
      <w:marRight w:val="0"/>
      <w:marTop w:val="0"/>
      <w:marBottom w:val="0"/>
      <w:divBdr>
        <w:top w:val="none" w:sz="0" w:space="0" w:color="auto"/>
        <w:left w:val="none" w:sz="0" w:space="0" w:color="auto"/>
        <w:bottom w:val="none" w:sz="0" w:space="0" w:color="auto"/>
        <w:right w:val="none" w:sz="0" w:space="0" w:color="auto"/>
      </w:divBdr>
    </w:div>
    <w:div w:id="994258089">
      <w:bodyDiv w:val="1"/>
      <w:marLeft w:val="0"/>
      <w:marRight w:val="0"/>
      <w:marTop w:val="0"/>
      <w:marBottom w:val="0"/>
      <w:divBdr>
        <w:top w:val="none" w:sz="0" w:space="0" w:color="auto"/>
        <w:left w:val="none" w:sz="0" w:space="0" w:color="auto"/>
        <w:bottom w:val="none" w:sz="0" w:space="0" w:color="auto"/>
        <w:right w:val="none" w:sz="0" w:space="0" w:color="auto"/>
      </w:divBdr>
    </w:div>
    <w:div w:id="998273114">
      <w:bodyDiv w:val="1"/>
      <w:marLeft w:val="0"/>
      <w:marRight w:val="0"/>
      <w:marTop w:val="0"/>
      <w:marBottom w:val="0"/>
      <w:divBdr>
        <w:top w:val="none" w:sz="0" w:space="0" w:color="auto"/>
        <w:left w:val="none" w:sz="0" w:space="0" w:color="auto"/>
        <w:bottom w:val="none" w:sz="0" w:space="0" w:color="auto"/>
        <w:right w:val="none" w:sz="0" w:space="0" w:color="auto"/>
      </w:divBdr>
    </w:div>
    <w:div w:id="1016537662">
      <w:bodyDiv w:val="1"/>
      <w:marLeft w:val="0"/>
      <w:marRight w:val="0"/>
      <w:marTop w:val="0"/>
      <w:marBottom w:val="0"/>
      <w:divBdr>
        <w:top w:val="none" w:sz="0" w:space="0" w:color="auto"/>
        <w:left w:val="none" w:sz="0" w:space="0" w:color="auto"/>
        <w:bottom w:val="none" w:sz="0" w:space="0" w:color="auto"/>
        <w:right w:val="none" w:sz="0" w:space="0" w:color="auto"/>
      </w:divBdr>
    </w:div>
    <w:div w:id="1025710348">
      <w:bodyDiv w:val="1"/>
      <w:marLeft w:val="0"/>
      <w:marRight w:val="0"/>
      <w:marTop w:val="0"/>
      <w:marBottom w:val="0"/>
      <w:divBdr>
        <w:top w:val="none" w:sz="0" w:space="0" w:color="auto"/>
        <w:left w:val="none" w:sz="0" w:space="0" w:color="auto"/>
        <w:bottom w:val="none" w:sz="0" w:space="0" w:color="auto"/>
        <w:right w:val="none" w:sz="0" w:space="0" w:color="auto"/>
      </w:divBdr>
    </w:div>
    <w:div w:id="1026710536">
      <w:bodyDiv w:val="1"/>
      <w:marLeft w:val="0"/>
      <w:marRight w:val="0"/>
      <w:marTop w:val="0"/>
      <w:marBottom w:val="0"/>
      <w:divBdr>
        <w:top w:val="none" w:sz="0" w:space="0" w:color="auto"/>
        <w:left w:val="none" w:sz="0" w:space="0" w:color="auto"/>
        <w:bottom w:val="none" w:sz="0" w:space="0" w:color="auto"/>
        <w:right w:val="none" w:sz="0" w:space="0" w:color="auto"/>
      </w:divBdr>
    </w:div>
    <w:div w:id="1055154957">
      <w:bodyDiv w:val="1"/>
      <w:marLeft w:val="0"/>
      <w:marRight w:val="0"/>
      <w:marTop w:val="0"/>
      <w:marBottom w:val="0"/>
      <w:divBdr>
        <w:top w:val="none" w:sz="0" w:space="0" w:color="auto"/>
        <w:left w:val="none" w:sz="0" w:space="0" w:color="auto"/>
        <w:bottom w:val="none" w:sz="0" w:space="0" w:color="auto"/>
        <w:right w:val="none" w:sz="0" w:space="0" w:color="auto"/>
      </w:divBdr>
    </w:div>
    <w:div w:id="1083645298">
      <w:bodyDiv w:val="1"/>
      <w:marLeft w:val="0"/>
      <w:marRight w:val="0"/>
      <w:marTop w:val="0"/>
      <w:marBottom w:val="0"/>
      <w:divBdr>
        <w:top w:val="none" w:sz="0" w:space="0" w:color="auto"/>
        <w:left w:val="none" w:sz="0" w:space="0" w:color="auto"/>
        <w:bottom w:val="none" w:sz="0" w:space="0" w:color="auto"/>
        <w:right w:val="none" w:sz="0" w:space="0" w:color="auto"/>
      </w:divBdr>
    </w:div>
    <w:div w:id="1093429201">
      <w:bodyDiv w:val="1"/>
      <w:marLeft w:val="0"/>
      <w:marRight w:val="0"/>
      <w:marTop w:val="0"/>
      <w:marBottom w:val="0"/>
      <w:divBdr>
        <w:top w:val="none" w:sz="0" w:space="0" w:color="auto"/>
        <w:left w:val="none" w:sz="0" w:space="0" w:color="auto"/>
        <w:bottom w:val="none" w:sz="0" w:space="0" w:color="auto"/>
        <w:right w:val="none" w:sz="0" w:space="0" w:color="auto"/>
      </w:divBdr>
    </w:div>
    <w:div w:id="1108429451">
      <w:bodyDiv w:val="1"/>
      <w:marLeft w:val="0"/>
      <w:marRight w:val="0"/>
      <w:marTop w:val="0"/>
      <w:marBottom w:val="0"/>
      <w:divBdr>
        <w:top w:val="none" w:sz="0" w:space="0" w:color="auto"/>
        <w:left w:val="none" w:sz="0" w:space="0" w:color="auto"/>
        <w:bottom w:val="none" w:sz="0" w:space="0" w:color="auto"/>
        <w:right w:val="none" w:sz="0" w:space="0" w:color="auto"/>
      </w:divBdr>
    </w:div>
    <w:div w:id="1112480412">
      <w:bodyDiv w:val="1"/>
      <w:marLeft w:val="0"/>
      <w:marRight w:val="0"/>
      <w:marTop w:val="0"/>
      <w:marBottom w:val="0"/>
      <w:divBdr>
        <w:top w:val="none" w:sz="0" w:space="0" w:color="auto"/>
        <w:left w:val="none" w:sz="0" w:space="0" w:color="auto"/>
        <w:bottom w:val="none" w:sz="0" w:space="0" w:color="auto"/>
        <w:right w:val="none" w:sz="0" w:space="0" w:color="auto"/>
      </w:divBdr>
    </w:div>
    <w:div w:id="1123616760">
      <w:bodyDiv w:val="1"/>
      <w:marLeft w:val="0"/>
      <w:marRight w:val="0"/>
      <w:marTop w:val="0"/>
      <w:marBottom w:val="0"/>
      <w:divBdr>
        <w:top w:val="none" w:sz="0" w:space="0" w:color="auto"/>
        <w:left w:val="none" w:sz="0" w:space="0" w:color="auto"/>
        <w:bottom w:val="none" w:sz="0" w:space="0" w:color="auto"/>
        <w:right w:val="none" w:sz="0" w:space="0" w:color="auto"/>
      </w:divBdr>
    </w:div>
    <w:div w:id="1138037936">
      <w:bodyDiv w:val="1"/>
      <w:marLeft w:val="0"/>
      <w:marRight w:val="0"/>
      <w:marTop w:val="0"/>
      <w:marBottom w:val="0"/>
      <w:divBdr>
        <w:top w:val="none" w:sz="0" w:space="0" w:color="auto"/>
        <w:left w:val="none" w:sz="0" w:space="0" w:color="auto"/>
        <w:bottom w:val="none" w:sz="0" w:space="0" w:color="auto"/>
        <w:right w:val="none" w:sz="0" w:space="0" w:color="auto"/>
      </w:divBdr>
    </w:div>
    <w:div w:id="1163858756">
      <w:bodyDiv w:val="1"/>
      <w:marLeft w:val="0"/>
      <w:marRight w:val="0"/>
      <w:marTop w:val="0"/>
      <w:marBottom w:val="0"/>
      <w:divBdr>
        <w:top w:val="none" w:sz="0" w:space="0" w:color="auto"/>
        <w:left w:val="none" w:sz="0" w:space="0" w:color="auto"/>
        <w:bottom w:val="none" w:sz="0" w:space="0" w:color="auto"/>
        <w:right w:val="none" w:sz="0" w:space="0" w:color="auto"/>
      </w:divBdr>
      <w:divsChild>
        <w:div w:id="863517644">
          <w:marLeft w:val="0"/>
          <w:marRight w:val="0"/>
          <w:marTop w:val="0"/>
          <w:marBottom w:val="0"/>
          <w:divBdr>
            <w:top w:val="none" w:sz="0" w:space="0" w:color="auto"/>
            <w:left w:val="none" w:sz="0" w:space="0" w:color="auto"/>
            <w:bottom w:val="none" w:sz="0" w:space="0" w:color="auto"/>
            <w:right w:val="none" w:sz="0" w:space="0" w:color="auto"/>
          </w:divBdr>
          <w:divsChild>
            <w:div w:id="469246102">
              <w:marLeft w:val="0"/>
              <w:marRight w:val="0"/>
              <w:marTop w:val="0"/>
              <w:marBottom w:val="0"/>
              <w:divBdr>
                <w:top w:val="none" w:sz="0" w:space="0" w:color="auto"/>
                <w:left w:val="none" w:sz="0" w:space="0" w:color="auto"/>
                <w:bottom w:val="none" w:sz="0" w:space="0" w:color="auto"/>
                <w:right w:val="none" w:sz="0" w:space="0" w:color="auto"/>
              </w:divBdr>
              <w:divsChild>
                <w:div w:id="11014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4653">
          <w:marLeft w:val="0"/>
          <w:marRight w:val="0"/>
          <w:marTop w:val="0"/>
          <w:marBottom w:val="0"/>
          <w:divBdr>
            <w:top w:val="none" w:sz="0" w:space="0" w:color="auto"/>
            <w:left w:val="none" w:sz="0" w:space="0" w:color="auto"/>
            <w:bottom w:val="none" w:sz="0" w:space="0" w:color="auto"/>
            <w:right w:val="none" w:sz="0" w:space="0" w:color="auto"/>
          </w:divBdr>
          <w:divsChild>
            <w:div w:id="196430551">
              <w:marLeft w:val="0"/>
              <w:marRight w:val="0"/>
              <w:marTop w:val="0"/>
              <w:marBottom w:val="0"/>
              <w:divBdr>
                <w:top w:val="none" w:sz="0" w:space="0" w:color="auto"/>
                <w:left w:val="none" w:sz="0" w:space="0" w:color="auto"/>
                <w:bottom w:val="none" w:sz="0" w:space="0" w:color="auto"/>
                <w:right w:val="none" w:sz="0" w:space="0" w:color="auto"/>
              </w:divBdr>
              <w:divsChild>
                <w:div w:id="6396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87579">
      <w:bodyDiv w:val="1"/>
      <w:marLeft w:val="0"/>
      <w:marRight w:val="0"/>
      <w:marTop w:val="0"/>
      <w:marBottom w:val="0"/>
      <w:divBdr>
        <w:top w:val="none" w:sz="0" w:space="0" w:color="auto"/>
        <w:left w:val="none" w:sz="0" w:space="0" w:color="auto"/>
        <w:bottom w:val="none" w:sz="0" w:space="0" w:color="auto"/>
        <w:right w:val="none" w:sz="0" w:space="0" w:color="auto"/>
      </w:divBdr>
    </w:div>
    <w:div w:id="1191797898">
      <w:bodyDiv w:val="1"/>
      <w:marLeft w:val="0"/>
      <w:marRight w:val="0"/>
      <w:marTop w:val="0"/>
      <w:marBottom w:val="0"/>
      <w:divBdr>
        <w:top w:val="none" w:sz="0" w:space="0" w:color="auto"/>
        <w:left w:val="none" w:sz="0" w:space="0" w:color="auto"/>
        <w:bottom w:val="none" w:sz="0" w:space="0" w:color="auto"/>
        <w:right w:val="none" w:sz="0" w:space="0" w:color="auto"/>
      </w:divBdr>
    </w:div>
    <w:div w:id="1192458682">
      <w:bodyDiv w:val="1"/>
      <w:marLeft w:val="0"/>
      <w:marRight w:val="0"/>
      <w:marTop w:val="0"/>
      <w:marBottom w:val="0"/>
      <w:divBdr>
        <w:top w:val="none" w:sz="0" w:space="0" w:color="auto"/>
        <w:left w:val="none" w:sz="0" w:space="0" w:color="auto"/>
        <w:bottom w:val="none" w:sz="0" w:space="0" w:color="auto"/>
        <w:right w:val="none" w:sz="0" w:space="0" w:color="auto"/>
      </w:divBdr>
    </w:div>
    <w:div w:id="1194225289">
      <w:bodyDiv w:val="1"/>
      <w:marLeft w:val="0"/>
      <w:marRight w:val="0"/>
      <w:marTop w:val="0"/>
      <w:marBottom w:val="0"/>
      <w:divBdr>
        <w:top w:val="none" w:sz="0" w:space="0" w:color="auto"/>
        <w:left w:val="none" w:sz="0" w:space="0" w:color="auto"/>
        <w:bottom w:val="none" w:sz="0" w:space="0" w:color="auto"/>
        <w:right w:val="none" w:sz="0" w:space="0" w:color="auto"/>
      </w:divBdr>
    </w:div>
    <w:div w:id="1197347272">
      <w:bodyDiv w:val="1"/>
      <w:marLeft w:val="0"/>
      <w:marRight w:val="0"/>
      <w:marTop w:val="0"/>
      <w:marBottom w:val="0"/>
      <w:divBdr>
        <w:top w:val="none" w:sz="0" w:space="0" w:color="auto"/>
        <w:left w:val="none" w:sz="0" w:space="0" w:color="auto"/>
        <w:bottom w:val="none" w:sz="0" w:space="0" w:color="auto"/>
        <w:right w:val="none" w:sz="0" w:space="0" w:color="auto"/>
      </w:divBdr>
    </w:div>
    <w:div w:id="1200625441">
      <w:bodyDiv w:val="1"/>
      <w:marLeft w:val="0"/>
      <w:marRight w:val="0"/>
      <w:marTop w:val="0"/>
      <w:marBottom w:val="0"/>
      <w:divBdr>
        <w:top w:val="none" w:sz="0" w:space="0" w:color="auto"/>
        <w:left w:val="none" w:sz="0" w:space="0" w:color="auto"/>
        <w:bottom w:val="none" w:sz="0" w:space="0" w:color="auto"/>
        <w:right w:val="none" w:sz="0" w:space="0" w:color="auto"/>
      </w:divBdr>
    </w:div>
    <w:div w:id="1201283326">
      <w:bodyDiv w:val="1"/>
      <w:marLeft w:val="0"/>
      <w:marRight w:val="0"/>
      <w:marTop w:val="0"/>
      <w:marBottom w:val="0"/>
      <w:divBdr>
        <w:top w:val="none" w:sz="0" w:space="0" w:color="auto"/>
        <w:left w:val="none" w:sz="0" w:space="0" w:color="auto"/>
        <w:bottom w:val="none" w:sz="0" w:space="0" w:color="auto"/>
        <w:right w:val="none" w:sz="0" w:space="0" w:color="auto"/>
      </w:divBdr>
    </w:div>
    <w:div w:id="1202984859">
      <w:bodyDiv w:val="1"/>
      <w:marLeft w:val="0"/>
      <w:marRight w:val="0"/>
      <w:marTop w:val="0"/>
      <w:marBottom w:val="0"/>
      <w:divBdr>
        <w:top w:val="none" w:sz="0" w:space="0" w:color="auto"/>
        <w:left w:val="none" w:sz="0" w:space="0" w:color="auto"/>
        <w:bottom w:val="none" w:sz="0" w:space="0" w:color="auto"/>
        <w:right w:val="none" w:sz="0" w:space="0" w:color="auto"/>
      </w:divBdr>
    </w:div>
    <w:div w:id="1203441913">
      <w:bodyDiv w:val="1"/>
      <w:marLeft w:val="0"/>
      <w:marRight w:val="0"/>
      <w:marTop w:val="0"/>
      <w:marBottom w:val="0"/>
      <w:divBdr>
        <w:top w:val="none" w:sz="0" w:space="0" w:color="auto"/>
        <w:left w:val="none" w:sz="0" w:space="0" w:color="auto"/>
        <w:bottom w:val="none" w:sz="0" w:space="0" w:color="auto"/>
        <w:right w:val="none" w:sz="0" w:space="0" w:color="auto"/>
      </w:divBdr>
    </w:div>
    <w:div w:id="1223977444">
      <w:bodyDiv w:val="1"/>
      <w:marLeft w:val="0"/>
      <w:marRight w:val="0"/>
      <w:marTop w:val="0"/>
      <w:marBottom w:val="0"/>
      <w:divBdr>
        <w:top w:val="none" w:sz="0" w:space="0" w:color="auto"/>
        <w:left w:val="none" w:sz="0" w:space="0" w:color="auto"/>
        <w:bottom w:val="none" w:sz="0" w:space="0" w:color="auto"/>
        <w:right w:val="none" w:sz="0" w:space="0" w:color="auto"/>
      </w:divBdr>
    </w:div>
    <w:div w:id="1274509519">
      <w:bodyDiv w:val="1"/>
      <w:marLeft w:val="0"/>
      <w:marRight w:val="0"/>
      <w:marTop w:val="0"/>
      <w:marBottom w:val="0"/>
      <w:divBdr>
        <w:top w:val="none" w:sz="0" w:space="0" w:color="auto"/>
        <w:left w:val="none" w:sz="0" w:space="0" w:color="auto"/>
        <w:bottom w:val="none" w:sz="0" w:space="0" w:color="auto"/>
        <w:right w:val="none" w:sz="0" w:space="0" w:color="auto"/>
      </w:divBdr>
    </w:div>
    <w:div w:id="1293096916">
      <w:bodyDiv w:val="1"/>
      <w:marLeft w:val="0"/>
      <w:marRight w:val="0"/>
      <w:marTop w:val="0"/>
      <w:marBottom w:val="0"/>
      <w:divBdr>
        <w:top w:val="none" w:sz="0" w:space="0" w:color="auto"/>
        <w:left w:val="none" w:sz="0" w:space="0" w:color="auto"/>
        <w:bottom w:val="none" w:sz="0" w:space="0" w:color="auto"/>
        <w:right w:val="none" w:sz="0" w:space="0" w:color="auto"/>
      </w:divBdr>
    </w:div>
    <w:div w:id="1320309264">
      <w:bodyDiv w:val="1"/>
      <w:marLeft w:val="0"/>
      <w:marRight w:val="0"/>
      <w:marTop w:val="0"/>
      <w:marBottom w:val="0"/>
      <w:divBdr>
        <w:top w:val="none" w:sz="0" w:space="0" w:color="auto"/>
        <w:left w:val="none" w:sz="0" w:space="0" w:color="auto"/>
        <w:bottom w:val="none" w:sz="0" w:space="0" w:color="auto"/>
        <w:right w:val="none" w:sz="0" w:space="0" w:color="auto"/>
      </w:divBdr>
    </w:div>
    <w:div w:id="1347290318">
      <w:bodyDiv w:val="1"/>
      <w:marLeft w:val="0"/>
      <w:marRight w:val="0"/>
      <w:marTop w:val="0"/>
      <w:marBottom w:val="0"/>
      <w:divBdr>
        <w:top w:val="none" w:sz="0" w:space="0" w:color="auto"/>
        <w:left w:val="none" w:sz="0" w:space="0" w:color="auto"/>
        <w:bottom w:val="none" w:sz="0" w:space="0" w:color="auto"/>
        <w:right w:val="none" w:sz="0" w:space="0" w:color="auto"/>
      </w:divBdr>
    </w:div>
    <w:div w:id="1358462207">
      <w:bodyDiv w:val="1"/>
      <w:marLeft w:val="0"/>
      <w:marRight w:val="0"/>
      <w:marTop w:val="0"/>
      <w:marBottom w:val="0"/>
      <w:divBdr>
        <w:top w:val="none" w:sz="0" w:space="0" w:color="auto"/>
        <w:left w:val="none" w:sz="0" w:space="0" w:color="auto"/>
        <w:bottom w:val="none" w:sz="0" w:space="0" w:color="auto"/>
        <w:right w:val="none" w:sz="0" w:space="0" w:color="auto"/>
      </w:divBdr>
    </w:div>
    <w:div w:id="1390420108">
      <w:bodyDiv w:val="1"/>
      <w:marLeft w:val="0"/>
      <w:marRight w:val="0"/>
      <w:marTop w:val="0"/>
      <w:marBottom w:val="0"/>
      <w:divBdr>
        <w:top w:val="none" w:sz="0" w:space="0" w:color="auto"/>
        <w:left w:val="none" w:sz="0" w:space="0" w:color="auto"/>
        <w:bottom w:val="none" w:sz="0" w:space="0" w:color="auto"/>
        <w:right w:val="none" w:sz="0" w:space="0" w:color="auto"/>
      </w:divBdr>
    </w:div>
    <w:div w:id="1395473587">
      <w:bodyDiv w:val="1"/>
      <w:marLeft w:val="0"/>
      <w:marRight w:val="0"/>
      <w:marTop w:val="0"/>
      <w:marBottom w:val="0"/>
      <w:divBdr>
        <w:top w:val="none" w:sz="0" w:space="0" w:color="auto"/>
        <w:left w:val="none" w:sz="0" w:space="0" w:color="auto"/>
        <w:bottom w:val="none" w:sz="0" w:space="0" w:color="auto"/>
        <w:right w:val="none" w:sz="0" w:space="0" w:color="auto"/>
      </w:divBdr>
    </w:div>
    <w:div w:id="1406339367">
      <w:bodyDiv w:val="1"/>
      <w:marLeft w:val="0"/>
      <w:marRight w:val="0"/>
      <w:marTop w:val="0"/>
      <w:marBottom w:val="0"/>
      <w:divBdr>
        <w:top w:val="none" w:sz="0" w:space="0" w:color="auto"/>
        <w:left w:val="none" w:sz="0" w:space="0" w:color="auto"/>
        <w:bottom w:val="none" w:sz="0" w:space="0" w:color="auto"/>
        <w:right w:val="none" w:sz="0" w:space="0" w:color="auto"/>
      </w:divBdr>
    </w:div>
    <w:div w:id="1439108380">
      <w:bodyDiv w:val="1"/>
      <w:marLeft w:val="0"/>
      <w:marRight w:val="0"/>
      <w:marTop w:val="0"/>
      <w:marBottom w:val="0"/>
      <w:divBdr>
        <w:top w:val="none" w:sz="0" w:space="0" w:color="auto"/>
        <w:left w:val="none" w:sz="0" w:space="0" w:color="auto"/>
        <w:bottom w:val="none" w:sz="0" w:space="0" w:color="auto"/>
        <w:right w:val="none" w:sz="0" w:space="0" w:color="auto"/>
      </w:divBdr>
    </w:div>
    <w:div w:id="1461462959">
      <w:bodyDiv w:val="1"/>
      <w:marLeft w:val="0"/>
      <w:marRight w:val="0"/>
      <w:marTop w:val="0"/>
      <w:marBottom w:val="0"/>
      <w:divBdr>
        <w:top w:val="none" w:sz="0" w:space="0" w:color="auto"/>
        <w:left w:val="none" w:sz="0" w:space="0" w:color="auto"/>
        <w:bottom w:val="none" w:sz="0" w:space="0" w:color="auto"/>
        <w:right w:val="none" w:sz="0" w:space="0" w:color="auto"/>
      </w:divBdr>
    </w:div>
    <w:div w:id="1480879462">
      <w:bodyDiv w:val="1"/>
      <w:marLeft w:val="0"/>
      <w:marRight w:val="0"/>
      <w:marTop w:val="0"/>
      <w:marBottom w:val="0"/>
      <w:divBdr>
        <w:top w:val="none" w:sz="0" w:space="0" w:color="auto"/>
        <w:left w:val="none" w:sz="0" w:space="0" w:color="auto"/>
        <w:bottom w:val="none" w:sz="0" w:space="0" w:color="auto"/>
        <w:right w:val="none" w:sz="0" w:space="0" w:color="auto"/>
      </w:divBdr>
    </w:div>
    <w:div w:id="1482386116">
      <w:bodyDiv w:val="1"/>
      <w:marLeft w:val="0"/>
      <w:marRight w:val="0"/>
      <w:marTop w:val="0"/>
      <w:marBottom w:val="0"/>
      <w:divBdr>
        <w:top w:val="none" w:sz="0" w:space="0" w:color="auto"/>
        <w:left w:val="none" w:sz="0" w:space="0" w:color="auto"/>
        <w:bottom w:val="none" w:sz="0" w:space="0" w:color="auto"/>
        <w:right w:val="none" w:sz="0" w:space="0" w:color="auto"/>
      </w:divBdr>
    </w:div>
    <w:div w:id="1504204549">
      <w:bodyDiv w:val="1"/>
      <w:marLeft w:val="0"/>
      <w:marRight w:val="0"/>
      <w:marTop w:val="0"/>
      <w:marBottom w:val="0"/>
      <w:divBdr>
        <w:top w:val="none" w:sz="0" w:space="0" w:color="auto"/>
        <w:left w:val="none" w:sz="0" w:space="0" w:color="auto"/>
        <w:bottom w:val="none" w:sz="0" w:space="0" w:color="auto"/>
        <w:right w:val="none" w:sz="0" w:space="0" w:color="auto"/>
      </w:divBdr>
    </w:div>
    <w:div w:id="1511724178">
      <w:bodyDiv w:val="1"/>
      <w:marLeft w:val="0"/>
      <w:marRight w:val="0"/>
      <w:marTop w:val="0"/>
      <w:marBottom w:val="0"/>
      <w:divBdr>
        <w:top w:val="none" w:sz="0" w:space="0" w:color="auto"/>
        <w:left w:val="none" w:sz="0" w:space="0" w:color="auto"/>
        <w:bottom w:val="none" w:sz="0" w:space="0" w:color="auto"/>
        <w:right w:val="none" w:sz="0" w:space="0" w:color="auto"/>
      </w:divBdr>
    </w:div>
    <w:div w:id="1512527558">
      <w:bodyDiv w:val="1"/>
      <w:marLeft w:val="0"/>
      <w:marRight w:val="0"/>
      <w:marTop w:val="0"/>
      <w:marBottom w:val="0"/>
      <w:divBdr>
        <w:top w:val="none" w:sz="0" w:space="0" w:color="auto"/>
        <w:left w:val="none" w:sz="0" w:space="0" w:color="auto"/>
        <w:bottom w:val="none" w:sz="0" w:space="0" w:color="auto"/>
        <w:right w:val="none" w:sz="0" w:space="0" w:color="auto"/>
      </w:divBdr>
    </w:div>
    <w:div w:id="1515879722">
      <w:bodyDiv w:val="1"/>
      <w:marLeft w:val="0"/>
      <w:marRight w:val="0"/>
      <w:marTop w:val="0"/>
      <w:marBottom w:val="0"/>
      <w:divBdr>
        <w:top w:val="none" w:sz="0" w:space="0" w:color="auto"/>
        <w:left w:val="none" w:sz="0" w:space="0" w:color="auto"/>
        <w:bottom w:val="none" w:sz="0" w:space="0" w:color="auto"/>
        <w:right w:val="none" w:sz="0" w:space="0" w:color="auto"/>
      </w:divBdr>
    </w:div>
    <w:div w:id="1545211879">
      <w:bodyDiv w:val="1"/>
      <w:marLeft w:val="0"/>
      <w:marRight w:val="0"/>
      <w:marTop w:val="0"/>
      <w:marBottom w:val="0"/>
      <w:divBdr>
        <w:top w:val="none" w:sz="0" w:space="0" w:color="auto"/>
        <w:left w:val="none" w:sz="0" w:space="0" w:color="auto"/>
        <w:bottom w:val="none" w:sz="0" w:space="0" w:color="auto"/>
        <w:right w:val="none" w:sz="0" w:space="0" w:color="auto"/>
      </w:divBdr>
    </w:div>
    <w:div w:id="1546141705">
      <w:bodyDiv w:val="1"/>
      <w:marLeft w:val="0"/>
      <w:marRight w:val="0"/>
      <w:marTop w:val="0"/>
      <w:marBottom w:val="0"/>
      <w:divBdr>
        <w:top w:val="none" w:sz="0" w:space="0" w:color="auto"/>
        <w:left w:val="none" w:sz="0" w:space="0" w:color="auto"/>
        <w:bottom w:val="none" w:sz="0" w:space="0" w:color="auto"/>
        <w:right w:val="none" w:sz="0" w:space="0" w:color="auto"/>
      </w:divBdr>
    </w:div>
    <w:div w:id="1560743977">
      <w:bodyDiv w:val="1"/>
      <w:marLeft w:val="0"/>
      <w:marRight w:val="0"/>
      <w:marTop w:val="0"/>
      <w:marBottom w:val="0"/>
      <w:divBdr>
        <w:top w:val="none" w:sz="0" w:space="0" w:color="auto"/>
        <w:left w:val="none" w:sz="0" w:space="0" w:color="auto"/>
        <w:bottom w:val="none" w:sz="0" w:space="0" w:color="auto"/>
        <w:right w:val="none" w:sz="0" w:space="0" w:color="auto"/>
      </w:divBdr>
    </w:div>
    <w:div w:id="1571312350">
      <w:bodyDiv w:val="1"/>
      <w:marLeft w:val="0"/>
      <w:marRight w:val="0"/>
      <w:marTop w:val="0"/>
      <w:marBottom w:val="0"/>
      <w:divBdr>
        <w:top w:val="none" w:sz="0" w:space="0" w:color="auto"/>
        <w:left w:val="none" w:sz="0" w:space="0" w:color="auto"/>
        <w:bottom w:val="none" w:sz="0" w:space="0" w:color="auto"/>
        <w:right w:val="none" w:sz="0" w:space="0" w:color="auto"/>
      </w:divBdr>
    </w:div>
    <w:div w:id="1578631608">
      <w:bodyDiv w:val="1"/>
      <w:marLeft w:val="0"/>
      <w:marRight w:val="0"/>
      <w:marTop w:val="0"/>
      <w:marBottom w:val="0"/>
      <w:divBdr>
        <w:top w:val="none" w:sz="0" w:space="0" w:color="auto"/>
        <w:left w:val="none" w:sz="0" w:space="0" w:color="auto"/>
        <w:bottom w:val="none" w:sz="0" w:space="0" w:color="auto"/>
        <w:right w:val="none" w:sz="0" w:space="0" w:color="auto"/>
      </w:divBdr>
    </w:div>
    <w:div w:id="1590776989">
      <w:bodyDiv w:val="1"/>
      <w:marLeft w:val="0"/>
      <w:marRight w:val="0"/>
      <w:marTop w:val="0"/>
      <w:marBottom w:val="0"/>
      <w:divBdr>
        <w:top w:val="none" w:sz="0" w:space="0" w:color="auto"/>
        <w:left w:val="none" w:sz="0" w:space="0" w:color="auto"/>
        <w:bottom w:val="none" w:sz="0" w:space="0" w:color="auto"/>
        <w:right w:val="none" w:sz="0" w:space="0" w:color="auto"/>
      </w:divBdr>
    </w:div>
    <w:div w:id="1597446462">
      <w:bodyDiv w:val="1"/>
      <w:marLeft w:val="0"/>
      <w:marRight w:val="0"/>
      <w:marTop w:val="0"/>
      <w:marBottom w:val="0"/>
      <w:divBdr>
        <w:top w:val="none" w:sz="0" w:space="0" w:color="auto"/>
        <w:left w:val="none" w:sz="0" w:space="0" w:color="auto"/>
        <w:bottom w:val="none" w:sz="0" w:space="0" w:color="auto"/>
        <w:right w:val="none" w:sz="0" w:space="0" w:color="auto"/>
      </w:divBdr>
    </w:div>
    <w:div w:id="1623614459">
      <w:bodyDiv w:val="1"/>
      <w:marLeft w:val="0"/>
      <w:marRight w:val="0"/>
      <w:marTop w:val="0"/>
      <w:marBottom w:val="0"/>
      <w:divBdr>
        <w:top w:val="none" w:sz="0" w:space="0" w:color="auto"/>
        <w:left w:val="none" w:sz="0" w:space="0" w:color="auto"/>
        <w:bottom w:val="none" w:sz="0" w:space="0" w:color="auto"/>
        <w:right w:val="none" w:sz="0" w:space="0" w:color="auto"/>
      </w:divBdr>
    </w:div>
    <w:div w:id="1633560943">
      <w:bodyDiv w:val="1"/>
      <w:marLeft w:val="0"/>
      <w:marRight w:val="0"/>
      <w:marTop w:val="0"/>
      <w:marBottom w:val="0"/>
      <w:divBdr>
        <w:top w:val="none" w:sz="0" w:space="0" w:color="auto"/>
        <w:left w:val="none" w:sz="0" w:space="0" w:color="auto"/>
        <w:bottom w:val="none" w:sz="0" w:space="0" w:color="auto"/>
        <w:right w:val="none" w:sz="0" w:space="0" w:color="auto"/>
      </w:divBdr>
    </w:div>
    <w:div w:id="1639337279">
      <w:bodyDiv w:val="1"/>
      <w:marLeft w:val="0"/>
      <w:marRight w:val="0"/>
      <w:marTop w:val="0"/>
      <w:marBottom w:val="0"/>
      <w:divBdr>
        <w:top w:val="none" w:sz="0" w:space="0" w:color="auto"/>
        <w:left w:val="none" w:sz="0" w:space="0" w:color="auto"/>
        <w:bottom w:val="none" w:sz="0" w:space="0" w:color="auto"/>
        <w:right w:val="none" w:sz="0" w:space="0" w:color="auto"/>
      </w:divBdr>
    </w:div>
    <w:div w:id="1643382428">
      <w:bodyDiv w:val="1"/>
      <w:marLeft w:val="0"/>
      <w:marRight w:val="0"/>
      <w:marTop w:val="0"/>
      <w:marBottom w:val="0"/>
      <w:divBdr>
        <w:top w:val="none" w:sz="0" w:space="0" w:color="auto"/>
        <w:left w:val="none" w:sz="0" w:space="0" w:color="auto"/>
        <w:bottom w:val="none" w:sz="0" w:space="0" w:color="auto"/>
        <w:right w:val="none" w:sz="0" w:space="0" w:color="auto"/>
      </w:divBdr>
    </w:div>
    <w:div w:id="1652559050">
      <w:bodyDiv w:val="1"/>
      <w:marLeft w:val="0"/>
      <w:marRight w:val="0"/>
      <w:marTop w:val="0"/>
      <w:marBottom w:val="0"/>
      <w:divBdr>
        <w:top w:val="none" w:sz="0" w:space="0" w:color="auto"/>
        <w:left w:val="none" w:sz="0" w:space="0" w:color="auto"/>
        <w:bottom w:val="none" w:sz="0" w:space="0" w:color="auto"/>
        <w:right w:val="none" w:sz="0" w:space="0" w:color="auto"/>
      </w:divBdr>
    </w:div>
    <w:div w:id="1692612551">
      <w:bodyDiv w:val="1"/>
      <w:marLeft w:val="0"/>
      <w:marRight w:val="0"/>
      <w:marTop w:val="0"/>
      <w:marBottom w:val="0"/>
      <w:divBdr>
        <w:top w:val="none" w:sz="0" w:space="0" w:color="auto"/>
        <w:left w:val="none" w:sz="0" w:space="0" w:color="auto"/>
        <w:bottom w:val="none" w:sz="0" w:space="0" w:color="auto"/>
        <w:right w:val="none" w:sz="0" w:space="0" w:color="auto"/>
      </w:divBdr>
    </w:div>
    <w:div w:id="1700737823">
      <w:bodyDiv w:val="1"/>
      <w:marLeft w:val="0"/>
      <w:marRight w:val="0"/>
      <w:marTop w:val="0"/>
      <w:marBottom w:val="0"/>
      <w:divBdr>
        <w:top w:val="none" w:sz="0" w:space="0" w:color="auto"/>
        <w:left w:val="none" w:sz="0" w:space="0" w:color="auto"/>
        <w:bottom w:val="none" w:sz="0" w:space="0" w:color="auto"/>
        <w:right w:val="none" w:sz="0" w:space="0" w:color="auto"/>
      </w:divBdr>
    </w:div>
    <w:div w:id="1716154126">
      <w:bodyDiv w:val="1"/>
      <w:marLeft w:val="0"/>
      <w:marRight w:val="0"/>
      <w:marTop w:val="0"/>
      <w:marBottom w:val="0"/>
      <w:divBdr>
        <w:top w:val="none" w:sz="0" w:space="0" w:color="auto"/>
        <w:left w:val="none" w:sz="0" w:space="0" w:color="auto"/>
        <w:bottom w:val="none" w:sz="0" w:space="0" w:color="auto"/>
        <w:right w:val="none" w:sz="0" w:space="0" w:color="auto"/>
      </w:divBdr>
    </w:div>
    <w:div w:id="1718578662">
      <w:bodyDiv w:val="1"/>
      <w:marLeft w:val="0"/>
      <w:marRight w:val="0"/>
      <w:marTop w:val="0"/>
      <w:marBottom w:val="0"/>
      <w:divBdr>
        <w:top w:val="none" w:sz="0" w:space="0" w:color="auto"/>
        <w:left w:val="none" w:sz="0" w:space="0" w:color="auto"/>
        <w:bottom w:val="none" w:sz="0" w:space="0" w:color="auto"/>
        <w:right w:val="none" w:sz="0" w:space="0" w:color="auto"/>
      </w:divBdr>
      <w:divsChild>
        <w:div w:id="1149519386">
          <w:marLeft w:val="0"/>
          <w:marRight w:val="0"/>
          <w:marTop w:val="0"/>
          <w:marBottom w:val="0"/>
          <w:divBdr>
            <w:top w:val="none" w:sz="0" w:space="0" w:color="auto"/>
            <w:left w:val="none" w:sz="0" w:space="0" w:color="auto"/>
            <w:bottom w:val="none" w:sz="0" w:space="0" w:color="auto"/>
            <w:right w:val="none" w:sz="0" w:space="0" w:color="auto"/>
          </w:divBdr>
          <w:divsChild>
            <w:div w:id="590549215">
              <w:marLeft w:val="0"/>
              <w:marRight w:val="0"/>
              <w:marTop w:val="0"/>
              <w:marBottom w:val="0"/>
              <w:divBdr>
                <w:top w:val="none" w:sz="0" w:space="0" w:color="auto"/>
                <w:left w:val="none" w:sz="0" w:space="0" w:color="auto"/>
                <w:bottom w:val="none" w:sz="0" w:space="0" w:color="auto"/>
                <w:right w:val="none" w:sz="0" w:space="0" w:color="auto"/>
              </w:divBdr>
              <w:divsChild>
                <w:div w:id="1732539221">
                  <w:marLeft w:val="0"/>
                  <w:marRight w:val="0"/>
                  <w:marTop w:val="0"/>
                  <w:marBottom w:val="0"/>
                  <w:divBdr>
                    <w:top w:val="none" w:sz="0" w:space="0" w:color="auto"/>
                    <w:left w:val="none" w:sz="0" w:space="0" w:color="auto"/>
                    <w:bottom w:val="none" w:sz="0" w:space="0" w:color="auto"/>
                    <w:right w:val="none" w:sz="0" w:space="0" w:color="auto"/>
                  </w:divBdr>
                  <w:divsChild>
                    <w:div w:id="1437677471">
                      <w:marLeft w:val="0"/>
                      <w:marRight w:val="0"/>
                      <w:marTop w:val="0"/>
                      <w:marBottom w:val="0"/>
                      <w:divBdr>
                        <w:top w:val="none" w:sz="0" w:space="0" w:color="auto"/>
                        <w:left w:val="none" w:sz="0" w:space="0" w:color="auto"/>
                        <w:bottom w:val="none" w:sz="0" w:space="0" w:color="auto"/>
                        <w:right w:val="none" w:sz="0" w:space="0" w:color="auto"/>
                      </w:divBdr>
                      <w:divsChild>
                        <w:div w:id="1904246048">
                          <w:marLeft w:val="0"/>
                          <w:marRight w:val="0"/>
                          <w:marTop w:val="0"/>
                          <w:marBottom w:val="0"/>
                          <w:divBdr>
                            <w:top w:val="none" w:sz="0" w:space="0" w:color="auto"/>
                            <w:left w:val="none" w:sz="0" w:space="0" w:color="auto"/>
                            <w:bottom w:val="none" w:sz="0" w:space="0" w:color="auto"/>
                            <w:right w:val="none" w:sz="0" w:space="0" w:color="auto"/>
                          </w:divBdr>
                          <w:divsChild>
                            <w:div w:id="8866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2893">
      <w:bodyDiv w:val="1"/>
      <w:marLeft w:val="0"/>
      <w:marRight w:val="0"/>
      <w:marTop w:val="0"/>
      <w:marBottom w:val="0"/>
      <w:divBdr>
        <w:top w:val="none" w:sz="0" w:space="0" w:color="auto"/>
        <w:left w:val="none" w:sz="0" w:space="0" w:color="auto"/>
        <w:bottom w:val="none" w:sz="0" w:space="0" w:color="auto"/>
        <w:right w:val="none" w:sz="0" w:space="0" w:color="auto"/>
      </w:divBdr>
    </w:div>
    <w:div w:id="1805269946">
      <w:bodyDiv w:val="1"/>
      <w:marLeft w:val="0"/>
      <w:marRight w:val="0"/>
      <w:marTop w:val="0"/>
      <w:marBottom w:val="0"/>
      <w:divBdr>
        <w:top w:val="none" w:sz="0" w:space="0" w:color="auto"/>
        <w:left w:val="none" w:sz="0" w:space="0" w:color="auto"/>
        <w:bottom w:val="none" w:sz="0" w:space="0" w:color="auto"/>
        <w:right w:val="none" w:sz="0" w:space="0" w:color="auto"/>
      </w:divBdr>
    </w:div>
    <w:div w:id="1826314501">
      <w:bodyDiv w:val="1"/>
      <w:marLeft w:val="0"/>
      <w:marRight w:val="0"/>
      <w:marTop w:val="0"/>
      <w:marBottom w:val="0"/>
      <w:divBdr>
        <w:top w:val="none" w:sz="0" w:space="0" w:color="auto"/>
        <w:left w:val="none" w:sz="0" w:space="0" w:color="auto"/>
        <w:bottom w:val="none" w:sz="0" w:space="0" w:color="auto"/>
        <w:right w:val="none" w:sz="0" w:space="0" w:color="auto"/>
      </w:divBdr>
    </w:div>
    <w:div w:id="1833179667">
      <w:bodyDiv w:val="1"/>
      <w:marLeft w:val="0"/>
      <w:marRight w:val="0"/>
      <w:marTop w:val="0"/>
      <w:marBottom w:val="0"/>
      <w:divBdr>
        <w:top w:val="none" w:sz="0" w:space="0" w:color="auto"/>
        <w:left w:val="none" w:sz="0" w:space="0" w:color="auto"/>
        <w:bottom w:val="none" w:sz="0" w:space="0" w:color="auto"/>
        <w:right w:val="none" w:sz="0" w:space="0" w:color="auto"/>
      </w:divBdr>
    </w:div>
    <w:div w:id="1835611529">
      <w:bodyDiv w:val="1"/>
      <w:marLeft w:val="0"/>
      <w:marRight w:val="0"/>
      <w:marTop w:val="0"/>
      <w:marBottom w:val="0"/>
      <w:divBdr>
        <w:top w:val="none" w:sz="0" w:space="0" w:color="auto"/>
        <w:left w:val="none" w:sz="0" w:space="0" w:color="auto"/>
        <w:bottom w:val="none" w:sz="0" w:space="0" w:color="auto"/>
        <w:right w:val="none" w:sz="0" w:space="0" w:color="auto"/>
      </w:divBdr>
    </w:div>
    <w:div w:id="1839884448">
      <w:bodyDiv w:val="1"/>
      <w:marLeft w:val="0"/>
      <w:marRight w:val="0"/>
      <w:marTop w:val="0"/>
      <w:marBottom w:val="0"/>
      <w:divBdr>
        <w:top w:val="none" w:sz="0" w:space="0" w:color="auto"/>
        <w:left w:val="none" w:sz="0" w:space="0" w:color="auto"/>
        <w:bottom w:val="none" w:sz="0" w:space="0" w:color="auto"/>
        <w:right w:val="none" w:sz="0" w:space="0" w:color="auto"/>
      </w:divBdr>
    </w:div>
    <w:div w:id="1846555156">
      <w:bodyDiv w:val="1"/>
      <w:marLeft w:val="0"/>
      <w:marRight w:val="0"/>
      <w:marTop w:val="0"/>
      <w:marBottom w:val="0"/>
      <w:divBdr>
        <w:top w:val="none" w:sz="0" w:space="0" w:color="auto"/>
        <w:left w:val="none" w:sz="0" w:space="0" w:color="auto"/>
        <w:bottom w:val="none" w:sz="0" w:space="0" w:color="auto"/>
        <w:right w:val="none" w:sz="0" w:space="0" w:color="auto"/>
      </w:divBdr>
    </w:div>
    <w:div w:id="1858079279">
      <w:bodyDiv w:val="1"/>
      <w:marLeft w:val="0"/>
      <w:marRight w:val="0"/>
      <w:marTop w:val="0"/>
      <w:marBottom w:val="0"/>
      <w:divBdr>
        <w:top w:val="none" w:sz="0" w:space="0" w:color="auto"/>
        <w:left w:val="none" w:sz="0" w:space="0" w:color="auto"/>
        <w:bottom w:val="none" w:sz="0" w:space="0" w:color="auto"/>
        <w:right w:val="none" w:sz="0" w:space="0" w:color="auto"/>
      </w:divBdr>
    </w:div>
    <w:div w:id="1933277611">
      <w:bodyDiv w:val="1"/>
      <w:marLeft w:val="0"/>
      <w:marRight w:val="0"/>
      <w:marTop w:val="0"/>
      <w:marBottom w:val="0"/>
      <w:divBdr>
        <w:top w:val="none" w:sz="0" w:space="0" w:color="auto"/>
        <w:left w:val="none" w:sz="0" w:space="0" w:color="auto"/>
        <w:bottom w:val="none" w:sz="0" w:space="0" w:color="auto"/>
        <w:right w:val="none" w:sz="0" w:space="0" w:color="auto"/>
      </w:divBdr>
    </w:div>
    <w:div w:id="1947808174">
      <w:bodyDiv w:val="1"/>
      <w:marLeft w:val="0"/>
      <w:marRight w:val="0"/>
      <w:marTop w:val="0"/>
      <w:marBottom w:val="0"/>
      <w:divBdr>
        <w:top w:val="none" w:sz="0" w:space="0" w:color="auto"/>
        <w:left w:val="none" w:sz="0" w:space="0" w:color="auto"/>
        <w:bottom w:val="none" w:sz="0" w:space="0" w:color="auto"/>
        <w:right w:val="none" w:sz="0" w:space="0" w:color="auto"/>
      </w:divBdr>
    </w:div>
    <w:div w:id="1997294423">
      <w:bodyDiv w:val="1"/>
      <w:marLeft w:val="0"/>
      <w:marRight w:val="0"/>
      <w:marTop w:val="0"/>
      <w:marBottom w:val="0"/>
      <w:divBdr>
        <w:top w:val="none" w:sz="0" w:space="0" w:color="auto"/>
        <w:left w:val="none" w:sz="0" w:space="0" w:color="auto"/>
        <w:bottom w:val="none" w:sz="0" w:space="0" w:color="auto"/>
        <w:right w:val="none" w:sz="0" w:space="0" w:color="auto"/>
      </w:divBdr>
    </w:div>
    <w:div w:id="2022245361">
      <w:bodyDiv w:val="1"/>
      <w:marLeft w:val="0"/>
      <w:marRight w:val="0"/>
      <w:marTop w:val="0"/>
      <w:marBottom w:val="0"/>
      <w:divBdr>
        <w:top w:val="none" w:sz="0" w:space="0" w:color="auto"/>
        <w:left w:val="none" w:sz="0" w:space="0" w:color="auto"/>
        <w:bottom w:val="none" w:sz="0" w:space="0" w:color="auto"/>
        <w:right w:val="none" w:sz="0" w:space="0" w:color="auto"/>
      </w:divBdr>
    </w:div>
    <w:div w:id="2024866624">
      <w:bodyDiv w:val="1"/>
      <w:marLeft w:val="0"/>
      <w:marRight w:val="0"/>
      <w:marTop w:val="0"/>
      <w:marBottom w:val="0"/>
      <w:divBdr>
        <w:top w:val="none" w:sz="0" w:space="0" w:color="auto"/>
        <w:left w:val="none" w:sz="0" w:space="0" w:color="auto"/>
        <w:bottom w:val="none" w:sz="0" w:space="0" w:color="auto"/>
        <w:right w:val="none" w:sz="0" w:space="0" w:color="auto"/>
      </w:divBdr>
    </w:div>
    <w:div w:id="2058619871">
      <w:bodyDiv w:val="1"/>
      <w:marLeft w:val="0"/>
      <w:marRight w:val="0"/>
      <w:marTop w:val="0"/>
      <w:marBottom w:val="0"/>
      <w:divBdr>
        <w:top w:val="none" w:sz="0" w:space="0" w:color="auto"/>
        <w:left w:val="none" w:sz="0" w:space="0" w:color="auto"/>
        <w:bottom w:val="none" w:sz="0" w:space="0" w:color="auto"/>
        <w:right w:val="none" w:sz="0" w:space="0" w:color="auto"/>
      </w:divBdr>
    </w:div>
    <w:div w:id="2061439924">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86147956">
      <w:bodyDiv w:val="1"/>
      <w:marLeft w:val="0"/>
      <w:marRight w:val="0"/>
      <w:marTop w:val="0"/>
      <w:marBottom w:val="0"/>
      <w:divBdr>
        <w:top w:val="none" w:sz="0" w:space="0" w:color="auto"/>
        <w:left w:val="none" w:sz="0" w:space="0" w:color="auto"/>
        <w:bottom w:val="none" w:sz="0" w:space="0" w:color="auto"/>
        <w:right w:val="none" w:sz="0" w:space="0" w:color="auto"/>
      </w:divBdr>
    </w:div>
    <w:div w:id="2100176597">
      <w:bodyDiv w:val="1"/>
      <w:marLeft w:val="0"/>
      <w:marRight w:val="0"/>
      <w:marTop w:val="0"/>
      <w:marBottom w:val="0"/>
      <w:divBdr>
        <w:top w:val="none" w:sz="0" w:space="0" w:color="auto"/>
        <w:left w:val="none" w:sz="0" w:space="0" w:color="auto"/>
        <w:bottom w:val="none" w:sz="0" w:space="0" w:color="auto"/>
        <w:right w:val="none" w:sz="0" w:space="0" w:color="auto"/>
      </w:divBdr>
    </w:div>
    <w:div w:id="2111703973">
      <w:bodyDiv w:val="1"/>
      <w:marLeft w:val="0"/>
      <w:marRight w:val="0"/>
      <w:marTop w:val="0"/>
      <w:marBottom w:val="0"/>
      <w:divBdr>
        <w:top w:val="none" w:sz="0" w:space="0" w:color="auto"/>
        <w:left w:val="none" w:sz="0" w:space="0" w:color="auto"/>
        <w:bottom w:val="none" w:sz="0" w:space="0" w:color="auto"/>
        <w:right w:val="none" w:sz="0" w:space="0" w:color="auto"/>
      </w:divBdr>
    </w:div>
    <w:div w:id="2129203706">
      <w:bodyDiv w:val="1"/>
      <w:marLeft w:val="0"/>
      <w:marRight w:val="0"/>
      <w:marTop w:val="0"/>
      <w:marBottom w:val="0"/>
      <w:divBdr>
        <w:top w:val="none" w:sz="0" w:space="0" w:color="auto"/>
        <w:left w:val="none" w:sz="0" w:space="0" w:color="auto"/>
        <w:bottom w:val="none" w:sz="0" w:space="0" w:color="auto"/>
        <w:right w:val="none" w:sz="0" w:space="0" w:color="auto"/>
      </w:divBdr>
      <w:divsChild>
        <w:div w:id="1396733583">
          <w:marLeft w:val="0"/>
          <w:marRight w:val="0"/>
          <w:marTop w:val="0"/>
          <w:marBottom w:val="0"/>
          <w:divBdr>
            <w:top w:val="none" w:sz="0" w:space="0" w:color="auto"/>
            <w:left w:val="none" w:sz="0" w:space="0" w:color="auto"/>
            <w:bottom w:val="none" w:sz="0" w:space="0" w:color="auto"/>
            <w:right w:val="none" w:sz="0" w:space="0" w:color="auto"/>
          </w:divBdr>
          <w:divsChild>
            <w:div w:id="163277914">
              <w:marLeft w:val="0"/>
              <w:marRight w:val="0"/>
              <w:marTop w:val="0"/>
              <w:marBottom w:val="0"/>
              <w:divBdr>
                <w:top w:val="none" w:sz="0" w:space="0" w:color="auto"/>
                <w:left w:val="none" w:sz="0" w:space="0" w:color="auto"/>
                <w:bottom w:val="none" w:sz="0" w:space="0" w:color="auto"/>
                <w:right w:val="none" w:sz="0" w:space="0" w:color="auto"/>
              </w:divBdr>
              <w:divsChild>
                <w:div w:id="1680768202">
                  <w:marLeft w:val="0"/>
                  <w:marRight w:val="0"/>
                  <w:marTop w:val="0"/>
                  <w:marBottom w:val="0"/>
                  <w:divBdr>
                    <w:top w:val="none" w:sz="0" w:space="0" w:color="auto"/>
                    <w:left w:val="none" w:sz="0" w:space="0" w:color="auto"/>
                    <w:bottom w:val="none" w:sz="0" w:space="0" w:color="auto"/>
                    <w:right w:val="none" w:sz="0" w:space="0" w:color="auto"/>
                  </w:divBdr>
                  <w:divsChild>
                    <w:div w:id="372731534">
                      <w:marLeft w:val="0"/>
                      <w:marRight w:val="0"/>
                      <w:marTop w:val="0"/>
                      <w:marBottom w:val="0"/>
                      <w:divBdr>
                        <w:top w:val="none" w:sz="0" w:space="0" w:color="auto"/>
                        <w:left w:val="none" w:sz="0" w:space="0" w:color="auto"/>
                        <w:bottom w:val="none" w:sz="0" w:space="0" w:color="auto"/>
                        <w:right w:val="none" w:sz="0" w:space="0" w:color="auto"/>
                      </w:divBdr>
                      <w:divsChild>
                        <w:div w:id="1821114572">
                          <w:marLeft w:val="0"/>
                          <w:marRight w:val="0"/>
                          <w:marTop w:val="0"/>
                          <w:marBottom w:val="0"/>
                          <w:divBdr>
                            <w:top w:val="none" w:sz="0" w:space="0" w:color="auto"/>
                            <w:left w:val="none" w:sz="0" w:space="0" w:color="auto"/>
                            <w:bottom w:val="none" w:sz="0" w:space="0" w:color="auto"/>
                            <w:right w:val="none" w:sz="0" w:space="0" w:color="auto"/>
                          </w:divBdr>
                          <w:divsChild>
                            <w:div w:id="14935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sciencepubco.com/index.php/IJAG/article/view/8573?utm_source=chatgpt.com" TargetMode="External"/><Relationship Id="rId47" Type="http://schemas.openxmlformats.org/officeDocument/2006/relationships/hyperlink" Target="https://doi.org/10.30564/agger.v4i4.5033" TargetMode="External"/><Relationship Id="rId63" Type="http://schemas.openxmlformats.org/officeDocument/2006/relationships/hyperlink" Target="https://dergipark.org.tr/en/pub/ijeska/issue/87240/1553919?utm_source=chatgpt.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ekitistate.gov.ng/" TargetMode="Externa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api.pageplace.de/preview/DT0400.9781483289700_A23884968/preview-9781483289700_A23884968.pdf" TargetMode="External"/><Relationship Id="rId37" Type="http://schemas.openxmlformats.org/officeDocument/2006/relationships/hyperlink" Target="https://d28rz98at9flks.cloudfront.net/81546/Rec1997_44.pdf" TargetMode="External"/><Relationship Id="rId40" Type="http://schemas.openxmlformats.org/officeDocument/2006/relationships/hyperlink" Target="https://doi.org/10.1144/SP294.7" TargetMode="External"/><Relationship Id="rId45" Type="http://schemas.openxmlformats.org/officeDocument/2006/relationships/hyperlink" Target="https://doi.org/10.4138/1639" TargetMode="External"/><Relationship Id="rId53" Type="http://schemas.openxmlformats.org/officeDocument/2006/relationships/hyperlink" Target="https://sciencepubco.com/index.php/IJAG/article/view/31071" TargetMode="External"/><Relationship Id="rId58" Type="http://schemas.openxmlformats.org/officeDocument/2006/relationships/hyperlink" Target="https://doi.org/10.14419/ijag.v5i2.8377" TargetMode="External"/><Relationship Id="rId66" Type="http://schemas.openxmlformats.org/officeDocument/2006/relationships/hyperlink" Target="https://thescipub.com/abstract/ajassp.2018.230.239?utm_source=chatgpt.com" TargetMode="External"/><Relationship Id="rId5" Type="http://schemas.openxmlformats.org/officeDocument/2006/relationships/webSettings" Target="webSettings.xml"/><Relationship Id="rId61" Type="http://schemas.openxmlformats.org/officeDocument/2006/relationships/hyperlink" Target="https://doi.org/10.14419/ijag.v5i2.8377" TargetMode="Externa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www.researchgate.net/publication/344392320" TargetMode="External"/><Relationship Id="rId30" Type="http://schemas.openxmlformats.org/officeDocument/2006/relationships/hyperlink" Target="https://www.ekitistate.gov.ng/about-ekiti" TargetMode="External"/><Relationship Id="rId35" Type="http://schemas.openxmlformats.org/officeDocument/2006/relationships/hyperlink" Target="https://nsrmea.gov.ng/blog/bauxite-exploration-in-orin-ekiti-and-mambilla" TargetMode="External"/><Relationship Id="rId43" Type="http://schemas.openxmlformats.org/officeDocument/2006/relationships/hyperlink" Target="https://doi.org/10.14419/ijag.v6i1.8573" TargetMode="External"/><Relationship Id="rId48" Type="http://schemas.openxmlformats.org/officeDocument/2006/relationships/hyperlink" Target="https://journals.bilpubgroup.com/index.php/agger/article/view/5033?utm_source=chatgpt.com" TargetMode="External"/><Relationship Id="rId56" Type="http://schemas.openxmlformats.org/officeDocument/2006/relationships/hyperlink" Target="https://journalpsij.com/index.php/PSIJ/article/view/914?utm_source=chatgpt.com" TargetMode="External"/><Relationship Id="rId64" Type="http://schemas.openxmlformats.org/officeDocument/2006/relationships/hyperlink" Target="https://ijeska.com/index.php/ijeska/article/view/419"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journaljgeesi.com/index.php/JGEESI/article/view/22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gif"/><Relationship Id="rId33" Type="http://schemas.openxmlformats.org/officeDocument/2006/relationships/hyperlink" Target="https://www.iaea.org/publications/6446" TargetMode="External"/><Relationship Id="rId38" Type="http://schemas.openxmlformats.org/officeDocument/2006/relationships/hyperlink" Target="https://www.ga.gov.au/scientific-topics/disciplines/geophysics/radiometrics" TargetMode="External"/><Relationship Id="rId46" Type="http://schemas.openxmlformats.org/officeDocument/2006/relationships/hyperlink" Target="https://journals.lib.unb.ca/index.php/ag/article/view/1639?utm_source=chatgpt.com" TargetMode="External"/><Relationship Id="rId59" Type="http://schemas.openxmlformats.org/officeDocument/2006/relationships/hyperlink" Target="https://sciencepubco.com/index.php/IJAG/article/view/8377?utm_source=chatgpt.com" TargetMode="External"/><Relationship Id="rId67" Type="http://schemas.openxmlformats.org/officeDocument/2006/relationships/hyperlink" Target="https://crcleme.org.au/Pubs/OPEN%20FILE%20REPORTS/OFR%20144/07Radiometrics.pdf" TargetMode="External"/><Relationship Id="rId20" Type="http://schemas.openxmlformats.org/officeDocument/2006/relationships/image" Target="media/image7.png"/><Relationship Id="rId41" Type="http://schemas.openxmlformats.org/officeDocument/2006/relationships/hyperlink" Target="https://doi.org/10.30564/agger.v5i2.5243" TargetMode="External"/><Relationship Id="rId54" Type="http://schemas.openxmlformats.org/officeDocument/2006/relationships/hyperlink" Target="https://catalogue.nla.gov.au/catalog/2905023" TargetMode="External"/><Relationship Id="rId62" Type="http://schemas.openxmlformats.org/officeDocument/2006/relationships/hyperlink" Target="https://sciencepubco.com/index.php/IJAG/article/view/8377?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s://www.mdpi.com/2076-3263/13/4/145" TargetMode="External"/><Relationship Id="rId36" Type="http://schemas.openxmlformats.org/officeDocument/2006/relationships/hyperlink" Target="https://www.researchgate.net/publication/303897996" TargetMode="External"/><Relationship Id="rId49" Type="http://schemas.openxmlformats.org/officeDocument/2006/relationships/hyperlink" Target="https://doi.org/10.2478/rmzmag-2019-0036" TargetMode="External"/><Relationship Id="rId57" Type="http://schemas.openxmlformats.org/officeDocument/2006/relationships/hyperlink" Target="https://books.google.com/books/about/Mineral_Deposits_and_Exploration_Potenti.html?id=vjj1DwAAQBAJ" TargetMode="External"/><Relationship Id="rId10" Type="http://schemas.openxmlformats.org/officeDocument/2006/relationships/header" Target="header1.xml"/><Relationship Id="rId31" Type="http://schemas.openxmlformats.org/officeDocument/2006/relationships/hyperlink" Target="https://openresearch-repository.anu.edu.au/handle/1885/93167" TargetMode="External"/><Relationship Id="rId44" Type="http://schemas.openxmlformats.org/officeDocument/2006/relationships/hyperlink" Target="https://colecoes.igc.usp.br/mapas/ZM2562.JPG" TargetMode="External"/><Relationship Id="rId52" Type="http://schemas.openxmlformats.org/officeDocument/2006/relationships/hyperlink" Target="https://doi.org/10.14419/ijag.v8i2.31071" TargetMode="External"/><Relationship Id="rId60" Type="http://schemas.openxmlformats.org/officeDocument/2006/relationships/hyperlink" Target="https://v2.pjsir.org/index.php/biological-sciences/article/view/1366" TargetMode="External"/><Relationship Id="rId65" Type="http://schemas.openxmlformats.org/officeDocument/2006/relationships/hyperlink" Target="https://thescipub.com/abstract/ajassp.2018.230.239?utm_source=chatgpt.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s://doi.org/10.1016/j.jafrearsci.2008.07.002" TargetMode="External"/><Relationship Id="rId34" Type="http://schemas.openxmlformats.org/officeDocument/2006/relationships/hyperlink" Target="https://miningdecision.minesandsteel.gov.ng/ngsa_metadata/srv/api/records/d46a4948-261e-11ee-ab7a-a3b637ca321c" TargetMode="External"/><Relationship Id="rId50" Type="http://schemas.openxmlformats.org/officeDocument/2006/relationships/hyperlink" Target="https://sciendo.com/article/10.2478/rmzmag-2019-0036" TargetMode="External"/><Relationship Id="rId55" Type="http://schemas.openxmlformats.org/officeDocument/2006/relationships/hyperlink" Target="https://www-pub.iaea.org/MTCD/publications/PDF/Pub1463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2F80-369A-4666-9FF9-2305CD08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23</Pages>
  <Words>7503</Words>
  <Characters>42773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ADEBISI</dc:creator>
  <cp:keywords/>
  <dc:description/>
  <cp:lastModifiedBy>SDI 1084</cp:lastModifiedBy>
  <cp:revision>73</cp:revision>
  <dcterms:created xsi:type="dcterms:W3CDTF">2025-11-08T22:37:00Z</dcterms:created>
  <dcterms:modified xsi:type="dcterms:W3CDTF">2025-11-29T11:49:00Z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6999d6d4-947f-4d34-b80d-36f8366f4926</vt:lpwstr>
  </property>
</Properties>
</file>