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3035F" w14:textId="77777777" w:rsidR="00101E6B" w:rsidRDefault="006149C7">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b/>
          <w:bCs/>
          <w:sz w:val="36"/>
          <w:szCs w:val="36"/>
          <w:highlight w:val="white"/>
        </w:rPr>
        <w:t xml:space="preserve">Access to Sexual and Reproductive Health Services for </w:t>
      </w:r>
    </w:p>
    <w:p w14:paraId="07C519E0" w14:textId="77777777" w:rsidR="00101E6B" w:rsidRDefault="006149C7">
      <w:pPr>
        <w:spacing w:line="360" w:lineRule="auto"/>
        <w:jc w:val="center"/>
        <w:rPr>
          <w:rFonts w:ascii="Times New Roman" w:eastAsia="Times New Roman" w:hAnsi="Times New Roman" w:cs="Times New Roman"/>
          <w:b/>
          <w:bCs/>
          <w:sz w:val="36"/>
          <w:szCs w:val="36"/>
          <w:highlight w:val="white"/>
        </w:rPr>
      </w:pPr>
      <w:r>
        <w:rPr>
          <w:rFonts w:ascii="Times New Roman" w:eastAsia="Times New Roman" w:hAnsi="Times New Roman" w:cs="Times New Roman"/>
          <w:b/>
          <w:bCs/>
          <w:sz w:val="36"/>
          <w:szCs w:val="36"/>
          <w:highlight w:val="white"/>
        </w:rPr>
        <w:t xml:space="preserve">Adolescents and Young People (10‑24 years) in Sub-Saharan Africa: A Scoping Review </w:t>
      </w:r>
    </w:p>
    <w:p w14:paraId="5302C215" w14:textId="2B27CC2C" w:rsidR="00101E6B" w:rsidRDefault="00101E6B">
      <w:pPr>
        <w:rPr>
          <w:rFonts w:ascii="Times New Roman" w:eastAsia="Times New Roman" w:hAnsi="Times New Roman" w:cs="Times New Roman"/>
          <w:sz w:val="20"/>
          <w:szCs w:val="20"/>
          <w:highlight w:val="white"/>
        </w:rPr>
      </w:pPr>
    </w:p>
    <w:p w14:paraId="30D07D31" w14:textId="495F8609" w:rsidR="000656C6" w:rsidRDefault="000656C6">
      <w:pPr>
        <w:rPr>
          <w:rFonts w:ascii="Times New Roman" w:eastAsia="Times New Roman" w:hAnsi="Times New Roman" w:cs="Times New Roman"/>
          <w:sz w:val="20"/>
          <w:szCs w:val="20"/>
          <w:highlight w:val="white"/>
        </w:rPr>
      </w:pPr>
    </w:p>
    <w:p w14:paraId="70A5DAD0" w14:textId="77777777" w:rsidR="000656C6" w:rsidRDefault="000656C6">
      <w:pPr>
        <w:rPr>
          <w:rFonts w:ascii="Times New Roman" w:eastAsia="Times New Roman" w:hAnsi="Times New Roman" w:cs="Times New Roman"/>
          <w:sz w:val="20"/>
          <w:szCs w:val="20"/>
          <w:highlight w:val="white"/>
        </w:rPr>
      </w:pPr>
    </w:p>
    <w:p w14:paraId="2BDC88C1" w14:textId="77777777" w:rsidR="00101E6B" w:rsidRDefault="00101E6B">
      <w:pPr>
        <w:spacing w:line="360" w:lineRule="auto"/>
        <w:rPr>
          <w:rFonts w:ascii="Times New Roman" w:eastAsia="Times New Roman" w:hAnsi="Times New Roman" w:cs="Times New Roman"/>
          <w:sz w:val="20"/>
          <w:szCs w:val="20"/>
          <w:highlight w:val="white"/>
        </w:rPr>
      </w:pPr>
    </w:p>
    <w:p w14:paraId="467727E2" w14:textId="77777777" w:rsidR="00101E6B" w:rsidRDefault="006149C7">
      <w:pPr>
        <w:pStyle w:val="Heading2"/>
        <w:keepNext w:val="0"/>
        <w:keepLines w:val="0"/>
        <w:spacing w:before="240" w:after="240" w:line="360" w:lineRule="auto"/>
        <w:rPr>
          <w:rFonts w:ascii="Times New Roman" w:eastAsia="Times New Roman" w:hAnsi="Times New Roman" w:cs="Times New Roman"/>
          <w:b/>
          <w:bCs/>
          <w:highlight w:val="white"/>
        </w:rPr>
      </w:pPr>
      <w:bookmarkStart w:id="0" w:name="_heading=h.34k2b1aj4dcj" w:colFirst="0" w:colLast="0"/>
      <w:bookmarkEnd w:id="0"/>
      <w:r>
        <w:rPr>
          <w:rFonts w:ascii="Times New Roman" w:eastAsia="Times New Roman" w:hAnsi="Times New Roman" w:cs="Times New Roman"/>
          <w:b/>
          <w:bCs/>
          <w:highlight w:val="white"/>
        </w:rPr>
        <w:t>Abstract</w:t>
      </w:r>
    </w:p>
    <w:p w14:paraId="6441E5C9" w14:textId="77777777" w:rsidR="00101E6B" w:rsidRDefault="006149C7">
      <w:pPr>
        <w:pStyle w:val="Heading2"/>
        <w:keepNext w:val="0"/>
        <w:keepLines w:val="0"/>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Background</w:t>
      </w:r>
      <w:r>
        <w:rPr>
          <w:rFonts w:ascii="Times New Roman" w:eastAsia="Times New Roman" w:hAnsi="Times New Roman" w:cs="Times New Roman"/>
          <w:sz w:val="24"/>
          <w:szCs w:val="24"/>
          <w:highlight w:val="white"/>
        </w:rPr>
        <w:t>: Adolescence is a critical developmental period that shapes sexual and reproductive health (SRH) outcomes. In Sub-Saharan Africa (SSA), adolescents face significant challenges in accessing SRH services, including high rates of early pregnancies, unmet contraceptive needs, and sexually transmitted infections (STIs).</w:t>
      </w:r>
    </w:p>
    <w:p w14:paraId="4F19444F" w14:textId="77777777" w:rsidR="00101E6B" w:rsidRDefault="006149C7">
      <w:pPr>
        <w:pStyle w:val="Heading2"/>
        <w:keepNext w:val="0"/>
        <w:keepLines w:val="0"/>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Objectives</w:t>
      </w:r>
      <w:r>
        <w:rPr>
          <w:rFonts w:ascii="Times New Roman" w:eastAsia="Times New Roman" w:hAnsi="Times New Roman" w:cs="Times New Roman"/>
          <w:sz w:val="24"/>
          <w:szCs w:val="24"/>
          <w:highlight w:val="white"/>
        </w:rPr>
        <w:t>: This review aims to map the existing research on SRH service access for adolescents in SSA, identify key barriers and facilitators to service access, and evaluate the effectiveness of interventions designed to improve access.</w:t>
      </w:r>
    </w:p>
    <w:p w14:paraId="175E60F2" w14:textId="77777777" w:rsidR="00101E6B" w:rsidRDefault="006149C7">
      <w:pPr>
        <w:pStyle w:val="Heading2"/>
        <w:keepNext w:val="0"/>
        <w:keepLines w:val="0"/>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Methods</w:t>
      </w:r>
      <w:r>
        <w:rPr>
          <w:rFonts w:ascii="Times New Roman" w:eastAsia="Times New Roman" w:hAnsi="Times New Roman" w:cs="Times New Roman"/>
          <w:sz w:val="24"/>
          <w:szCs w:val="24"/>
          <w:highlight w:val="white"/>
        </w:rPr>
        <w:t xml:space="preserve">: A scoping review was adopted in carrying out this review. Data was sourced from PubMed, African Journals Online (AJOL), and grey literature. A total of 21 studies, including both peer-reviewed articles and policy documents, were reviewed. The studies focused on adolescents and </w:t>
      </w:r>
      <w:proofErr w:type="gramStart"/>
      <w:r>
        <w:rPr>
          <w:rFonts w:ascii="Times New Roman" w:eastAsia="Times New Roman" w:hAnsi="Times New Roman" w:cs="Times New Roman"/>
          <w:sz w:val="24"/>
          <w:szCs w:val="24"/>
          <w:highlight w:val="white"/>
        </w:rPr>
        <w:t>young  individuals</w:t>
      </w:r>
      <w:proofErr w:type="gramEnd"/>
      <w:r>
        <w:rPr>
          <w:rFonts w:ascii="Times New Roman" w:eastAsia="Times New Roman" w:hAnsi="Times New Roman" w:cs="Times New Roman"/>
          <w:sz w:val="24"/>
          <w:szCs w:val="24"/>
          <w:highlight w:val="white"/>
        </w:rPr>
        <w:t xml:space="preserve"> 10–24 years, addressing various SRH services such as family planning, HIV prevention, STI testing, and sexual education. </w:t>
      </w:r>
    </w:p>
    <w:p w14:paraId="1AB9DA04" w14:textId="77777777" w:rsidR="00101E6B" w:rsidRDefault="006149C7">
      <w:pPr>
        <w:pStyle w:val="Heading2"/>
        <w:keepNext w:val="0"/>
        <w:keepLines w:val="0"/>
        <w:spacing w:before="240" w:after="240" w:line="360" w:lineRule="auto"/>
        <w:jc w:val="both"/>
        <w:rPr>
          <w:rFonts w:ascii="Times New Roman" w:eastAsia="Times New Roman" w:hAnsi="Times New Roman" w:cs="Times New Roman"/>
          <w:sz w:val="24"/>
          <w:szCs w:val="24"/>
          <w:highlight w:val="white"/>
        </w:rPr>
      </w:pPr>
      <w:bookmarkStart w:id="1" w:name="_heading=h.y6hb7zpo1ieo" w:colFirst="0" w:colLast="0"/>
      <w:bookmarkEnd w:id="1"/>
      <w:r>
        <w:rPr>
          <w:rFonts w:ascii="Times New Roman" w:eastAsia="Times New Roman" w:hAnsi="Times New Roman" w:cs="Times New Roman"/>
          <w:b/>
          <w:bCs/>
          <w:sz w:val="24"/>
          <w:szCs w:val="24"/>
          <w:highlight w:val="white"/>
        </w:rPr>
        <w:t>Findings</w:t>
      </w:r>
      <w:r>
        <w:rPr>
          <w:rFonts w:ascii="Times New Roman" w:eastAsia="Times New Roman" w:hAnsi="Times New Roman" w:cs="Times New Roman"/>
          <w:sz w:val="24"/>
          <w:szCs w:val="24"/>
          <w:highlight w:val="white"/>
        </w:rPr>
        <w:t>: The main barriers identified were socio-cultural stigma, economic constraints, lack of confidentiality, and inadequate youth-friendly services. Interventions like digital health tools and peer-led education have shown promise but face challenges in terms of reach and sustainability. The review also found that rural areas are particularly underserved.</w:t>
      </w:r>
    </w:p>
    <w:p w14:paraId="66ED8479" w14:textId="77777777" w:rsidR="00101E6B" w:rsidRDefault="006149C7">
      <w:pPr>
        <w:pStyle w:val="Heading2"/>
        <w:keepNext w:val="0"/>
        <w:keepLines w:val="0"/>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Conclusion</w:t>
      </w:r>
      <w:r>
        <w:rPr>
          <w:rFonts w:ascii="Times New Roman" w:eastAsia="Times New Roman" w:hAnsi="Times New Roman" w:cs="Times New Roman"/>
          <w:sz w:val="24"/>
          <w:szCs w:val="24"/>
          <w:highlight w:val="white"/>
        </w:rPr>
        <w:t xml:space="preserve">: While there have been efforts to address adolescent SRH needs, significant gaps remain in service provision, policy enforcement, and cultural acceptance. Future efforts should </w:t>
      </w:r>
      <w:r>
        <w:rPr>
          <w:rFonts w:ascii="Times New Roman" w:eastAsia="Times New Roman" w:hAnsi="Times New Roman" w:cs="Times New Roman"/>
          <w:sz w:val="24"/>
          <w:szCs w:val="24"/>
          <w:highlight w:val="white"/>
        </w:rPr>
        <w:lastRenderedPageBreak/>
        <w:t>focus on integrating youth-friendly services, enhancing digital health solutions, and involving adolescents in the development of SRH policies to ensure equitable access.</w:t>
      </w:r>
    </w:p>
    <w:p w14:paraId="40FFF890" w14:textId="77777777" w:rsidR="00101E6B" w:rsidRDefault="006149C7">
      <w:pPr>
        <w:pStyle w:val="Heading2"/>
        <w:keepNext w:val="0"/>
        <w:keepLines w:val="0"/>
        <w:spacing w:before="240" w:after="240" w:line="360" w:lineRule="auto"/>
        <w:jc w:val="both"/>
        <w:rPr>
          <w:rFonts w:ascii="Times New Roman" w:eastAsia="Times New Roman" w:hAnsi="Times New Roman" w:cs="Times New Roman"/>
          <w:sz w:val="24"/>
          <w:szCs w:val="24"/>
          <w:highlight w:val="white"/>
        </w:rPr>
      </w:pPr>
      <w:bookmarkStart w:id="2" w:name="_heading=h.yvb3qda3xz4q" w:colFirst="0" w:colLast="0"/>
      <w:bookmarkEnd w:id="2"/>
      <w:r>
        <w:rPr>
          <w:rFonts w:ascii="Times New Roman" w:eastAsia="Times New Roman" w:hAnsi="Times New Roman" w:cs="Times New Roman"/>
          <w:b/>
          <w:bCs/>
          <w:sz w:val="24"/>
          <w:szCs w:val="24"/>
          <w:highlight w:val="white"/>
        </w:rPr>
        <w:t>Keywords</w:t>
      </w:r>
      <w:r>
        <w:rPr>
          <w:rFonts w:ascii="Times New Roman" w:eastAsia="Times New Roman" w:hAnsi="Times New Roman" w:cs="Times New Roman"/>
          <w:sz w:val="24"/>
          <w:szCs w:val="24"/>
          <w:highlight w:val="white"/>
        </w:rPr>
        <w:t>: Adolescents, Sexual and reproductive health, Sub-Saharan Africa, Youth-friendly services, Health policy</w:t>
      </w:r>
    </w:p>
    <w:p w14:paraId="36EF87A7" w14:textId="77777777" w:rsidR="00101E6B" w:rsidRDefault="00101E6B">
      <w:pPr>
        <w:pStyle w:val="Heading2"/>
        <w:keepNext w:val="0"/>
        <w:keepLines w:val="0"/>
        <w:spacing w:after="80" w:line="360" w:lineRule="auto"/>
        <w:rPr>
          <w:rFonts w:ascii="Times New Roman" w:eastAsia="Times New Roman" w:hAnsi="Times New Roman" w:cs="Times New Roman"/>
          <w:b/>
          <w:bCs/>
          <w:highlight w:val="white"/>
        </w:rPr>
      </w:pPr>
      <w:bookmarkStart w:id="3" w:name="_heading=h.rjcpplw1mrd3" w:colFirst="0" w:colLast="0"/>
      <w:bookmarkEnd w:id="3"/>
    </w:p>
    <w:p w14:paraId="1E33D541" w14:textId="77777777" w:rsidR="00101E6B" w:rsidRDefault="006149C7">
      <w:pPr>
        <w:pStyle w:val="Heading2"/>
        <w:keepNext w:val="0"/>
        <w:keepLines w:val="0"/>
        <w:spacing w:after="80" w:line="360" w:lineRule="auto"/>
        <w:rPr>
          <w:rFonts w:ascii="Times New Roman" w:eastAsia="Times New Roman" w:hAnsi="Times New Roman" w:cs="Times New Roman"/>
          <w:b/>
          <w:bCs/>
          <w:highlight w:val="white"/>
        </w:rPr>
      </w:pPr>
      <w:bookmarkStart w:id="4" w:name="_heading=h.ufwkq715ne4w" w:colFirst="0" w:colLast="0"/>
      <w:bookmarkEnd w:id="4"/>
      <w:r>
        <w:rPr>
          <w:rFonts w:ascii="Times New Roman" w:eastAsia="Times New Roman" w:hAnsi="Times New Roman" w:cs="Times New Roman"/>
          <w:b/>
          <w:bCs/>
          <w:highlight w:val="white"/>
        </w:rPr>
        <w:t>Introduction</w:t>
      </w:r>
    </w:p>
    <w:p w14:paraId="4588F24F"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Adolescence represents a critical period in human development, during which individuals undergo significant physiological, psychological, and emotional changes (Bonnie, Backes, &amp; National Academies of Sciences, Engineering, and Medicine, 2019). These changes make adolescents particularly vulnerable to risks associated with sexual and reproductive health (SRH) (Hegde, Chandran, &amp; </w:t>
      </w:r>
      <w:proofErr w:type="spellStart"/>
      <w:r>
        <w:rPr>
          <w:rFonts w:ascii="Times New Roman" w:eastAsia="Times New Roman" w:hAnsi="Times New Roman" w:cs="Times New Roman"/>
          <w:sz w:val="24"/>
          <w:szCs w:val="24"/>
          <w:highlight w:val="white"/>
        </w:rPr>
        <w:t>Pattnaik</w:t>
      </w:r>
      <w:proofErr w:type="spellEnd"/>
      <w:r>
        <w:rPr>
          <w:rFonts w:ascii="Times New Roman" w:eastAsia="Times New Roman" w:hAnsi="Times New Roman" w:cs="Times New Roman"/>
          <w:sz w:val="24"/>
          <w:szCs w:val="24"/>
          <w:highlight w:val="white"/>
        </w:rPr>
        <w:t xml:space="preserve">, 2022; </w:t>
      </w:r>
      <w:proofErr w:type="spellStart"/>
      <w:r>
        <w:rPr>
          <w:rFonts w:ascii="Times New Roman" w:eastAsia="Times New Roman" w:hAnsi="Times New Roman" w:cs="Times New Roman"/>
          <w:sz w:val="24"/>
          <w:szCs w:val="24"/>
          <w:highlight w:val="white"/>
        </w:rPr>
        <w:t>Tovia</w:t>
      </w:r>
      <w:proofErr w:type="spellEnd"/>
      <w:r>
        <w:rPr>
          <w:rFonts w:ascii="Times New Roman" w:eastAsia="Times New Roman" w:hAnsi="Times New Roman" w:cs="Times New Roman"/>
          <w:sz w:val="24"/>
          <w:szCs w:val="24"/>
          <w:highlight w:val="white"/>
        </w:rPr>
        <w:t xml:space="preserve"> et al., 2025) — a fact that is especially pertinent in Sub-Saharan Africa (SSA) (World Health Organization [WHO] Regional Office for Africa, 2020). The region has the highest rate of adolescent pregnancies, unmet contraceptive needs, and sexually transmitted infections (STIs), with these challenges exacerbated by socio-economic and cultural barriers that significantly limit adolescents' access to SRH services. As </w:t>
      </w:r>
      <w:proofErr w:type="spellStart"/>
      <w:r>
        <w:rPr>
          <w:rFonts w:ascii="Times New Roman" w:eastAsia="Times New Roman" w:hAnsi="Times New Roman" w:cs="Times New Roman"/>
          <w:sz w:val="24"/>
          <w:szCs w:val="24"/>
          <w:highlight w:val="white"/>
        </w:rPr>
        <w:t>Iwelunmor</w:t>
      </w:r>
      <w:proofErr w:type="spellEnd"/>
      <w:r>
        <w:rPr>
          <w:rFonts w:ascii="Times New Roman" w:eastAsia="Times New Roman" w:hAnsi="Times New Roman" w:cs="Times New Roman"/>
          <w:sz w:val="24"/>
          <w:szCs w:val="24"/>
          <w:highlight w:val="white"/>
        </w:rPr>
        <w:t xml:space="preserve"> et al. (2021) and </w:t>
      </w:r>
      <w:proofErr w:type="spellStart"/>
      <w:r>
        <w:rPr>
          <w:rFonts w:ascii="Times New Roman" w:eastAsia="Times New Roman" w:hAnsi="Times New Roman" w:cs="Times New Roman"/>
          <w:sz w:val="24"/>
          <w:szCs w:val="24"/>
          <w:highlight w:val="white"/>
        </w:rPr>
        <w:t>Ghadirian</w:t>
      </w:r>
      <w:proofErr w:type="spellEnd"/>
      <w:r>
        <w:rPr>
          <w:rFonts w:ascii="Times New Roman" w:eastAsia="Times New Roman" w:hAnsi="Times New Roman" w:cs="Times New Roman"/>
          <w:sz w:val="24"/>
          <w:szCs w:val="24"/>
          <w:highlight w:val="white"/>
        </w:rPr>
        <w:t>, Omer, and Cockcroft (2023) emphasize, despite progress in some areas, adolescent SRH services remain insufficient, underfunded, and often inaccessible, particularly for marginalized groups within SSA. Access to quality SRH services is not merely a health issue but a matter of human rights, economic development, and gender equality.</w:t>
      </w:r>
    </w:p>
    <w:p w14:paraId="31C4966B"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Recent studies underscore the need for a comprehensive understanding of the structural, socio-cultural, and institutional barriers that hinder adolescents' access to SRH services. For instance, Uka, White, and Smith (2024) conducted a meta-synthesis of 20 studies across several SSA countries, finding that the most significant barriers included cultural taboos surrounding adolescent sexuality, a lack of age-appropriate information, and poorly equipped health systems. Adolescents often face stigma when seeking care, which discourages them from using available services, even in countries with progressive SRH policies. This challenge is particularly pronounced in rural and underserved areas, where health facilities are few and far between, and youth-friendly services are </w:t>
      </w:r>
      <w:r>
        <w:rPr>
          <w:rFonts w:ascii="Times New Roman" w:eastAsia="Times New Roman" w:hAnsi="Times New Roman" w:cs="Times New Roman"/>
          <w:sz w:val="24"/>
          <w:szCs w:val="24"/>
          <w:highlight w:val="white"/>
        </w:rPr>
        <w:lastRenderedPageBreak/>
        <w:t>practically non-existent (Sidamo et al., 2024). Moreover, economic barriers — such as the cost of services, transportation, and a general lack of financial autonomy among adolescents — further compound the situation, as demonstrated by Nartey et al. (2025) in their study on the financial barriers to SRH access in West Africa.</w:t>
      </w:r>
    </w:p>
    <w:p w14:paraId="5DCB58EB"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addition to these structural and socio-economic barriers, gender norms and roles play a significant part in restricting access to SRH services. Studies by </w:t>
      </w:r>
      <w:proofErr w:type="spellStart"/>
      <w:r>
        <w:rPr>
          <w:rFonts w:ascii="Times New Roman" w:eastAsia="Times New Roman" w:hAnsi="Times New Roman" w:cs="Times New Roman"/>
          <w:sz w:val="24"/>
          <w:szCs w:val="24"/>
          <w:highlight w:val="white"/>
        </w:rPr>
        <w:t>Mathabela</w:t>
      </w:r>
      <w:proofErr w:type="spellEnd"/>
      <w:r>
        <w:rPr>
          <w:rFonts w:ascii="Times New Roman" w:eastAsia="Times New Roman" w:hAnsi="Times New Roman" w:cs="Times New Roman"/>
          <w:sz w:val="24"/>
          <w:szCs w:val="24"/>
          <w:highlight w:val="white"/>
        </w:rPr>
        <w:t xml:space="preserve"> et al. (2024) and Ngoma-</w:t>
      </w:r>
      <w:proofErr w:type="spellStart"/>
      <w:r>
        <w:rPr>
          <w:rFonts w:ascii="Times New Roman" w:eastAsia="Times New Roman" w:hAnsi="Times New Roman" w:cs="Times New Roman"/>
          <w:sz w:val="24"/>
          <w:szCs w:val="24"/>
          <w:highlight w:val="white"/>
        </w:rPr>
        <w:t>Hazemba</w:t>
      </w:r>
      <w:proofErr w:type="spellEnd"/>
      <w:r>
        <w:rPr>
          <w:rFonts w:ascii="Times New Roman" w:eastAsia="Times New Roman" w:hAnsi="Times New Roman" w:cs="Times New Roman"/>
          <w:sz w:val="24"/>
          <w:szCs w:val="24"/>
          <w:highlight w:val="white"/>
        </w:rPr>
        <w:t xml:space="preserve"> et al. (2024) highlight the compounded challenges faced by adolescent girls and young women (AGYW), particularly those from marginalized or rural communities. These young women are often subject to discriminatory gender norms that dictate when and how they should seek SRH care, with some even facing physical violence for attempting to access contraceptives or HIV testing. This gendered approach to access disproportionately impacts girls, as they are more likely to encounter stigma and resistance from both their families and health providers, who may view their sexual autonomy as inappropriate (Ngoma-</w:t>
      </w:r>
      <w:proofErr w:type="spellStart"/>
      <w:r>
        <w:rPr>
          <w:rFonts w:ascii="Times New Roman" w:eastAsia="Times New Roman" w:hAnsi="Times New Roman" w:cs="Times New Roman"/>
          <w:sz w:val="24"/>
          <w:szCs w:val="24"/>
          <w:highlight w:val="white"/>
        </w:rPr>
        <w:t>Hazemba</w:t>
      </w:r>
      <w:proofErr w:type="spellEnd"/>
      <w:r>
        <w:rPr>
          <w:rFonts w:ascii="Times New Roman" w:eastAsia="Times New Roman" w:hAnsi="Times New Roman" w:cs="Times New Roman"/>
          <w:sz w:val="24"/>
          <w:szCs w:val="24"/>
          <w:highlight w:val="white"/>
        </w:rPr>
        <w:t xml:space="preserve"> et al., 2024).</w:t>
      </w:r>
    </w:p>
    <w:p w14:paraId="5D1F053D"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response to these challenges, several interventions have been proposed and, in some cases, implemented to improve access to SRH services for adolescents. Adekola et al. (2025) and Mlotshwa et al. (2025) discussed the promising role of digital health technologies in reaching adolescents who may not have easy access to physical healthcare facilities. Mobile health (mHealth) solutions, such as SMS-based information campaigns, telemedicine consultations, and digital health platforms, have demonstrated significant potential in increasing adolescents' knowledge about SRH, improving their self-management of sexual health, and offering confidential care. Additionally, Mlotshwa et al. (2025) emphasized the success of peer-led education models, which allow young people to educate their peers about SRH in non-judgmental, accessible environments. These peer-led models are particularly effective in overcoming the barriers of stigma and social norm constraints, as they create safe spaces for adolescents to seek and share information.</w:t>
      </w:r>
    </w:p>
    <w:p w14:paraId="0A18D526"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Yet, as </w:t>
      </w:r>
      <w:proofErr w:type="spellStart"/>
      <w:r>
        <w:rPr>
          <w:rFonts w:ascii="Times New Roman" w:eastAsia="Times New Roman" w:hAnsi="Times New Roman" w:cs="Times New Roman"/>
          <w:sz w:val="24"/>
          <w:szCs w:val="24"/>
          <w:highlight w:val="white"/>
        </w:rPr>
        <w:t>Ghadirian</w:t>
      </w:r>
      <w:proofErr w:type="spellEnd"/>
      <w:r>
        <w:rPr>
          <w:rFonts w:ascii="Times New Roman" w:eastAsia="Times New Roman" w:hAnsi="Times New Roman" w:cs="Times New Roman"/>
          <w:sz w:val="24"/>
          <w:szCs w:val="24"/>
          <w:highlight w:val="white"/>
        </w:rPr>
        <w:t xml:space="preserve"> (2023) argues, while these interventions have made notable progress, their scalability and sustainability remain a major concern. Digital platforms, for example, have shown success in urban areas with high mobile penetration, but these interventions are often inaccessible to adolescents in rural areas where internet access and digital literacy are limited. Moreover, while </w:t>
      </w:r>
      <w:r>
        <w:rPr>
          <w:rFonts w:ascii="Times New Roman" w:eastAsia="Times New Roman" w:hAnsi="Times New Roman" w:cs="Times New Roman"/>
          <w:sz w:val="24"/>
          <w:szCs w:val="24"/>
          <w:highlight w:val="white"/>
        </w:rPr>
        <w:lastRenderedPageBreak/>
        <w:t>peer-led programs have proven effective, their impact is often constrained by limited funding and lack of institutional support. Therefore, a comprehensive approach to improving SRH services for adolescents requires not only policy reform but also significant investment in both physical infrastructure and innovative solutions like digital health.</w:t>
      </w:r>
    </w:p>
    <w:p w14:paraId="75B5BA10"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need for youth-friendly policies and practices is also a critical gap in the literature. Despite the existence of SRH policies in many SSA countries, these policies often fail to address the specific needs of adolescents. As demonstrated by </w:t>
      </w:r>
      <w:proofErr w:type="spellStart"/>
      <w:r>
        <w:rPr>
          <w:rFonts w:ascii="Times New Roman" w:eastAsia="Times New Roman" w:hAnsi="Times New Roman" w:cs="Times New Roman"/>
          <w:sz w:val="24"/>
          <w:szCs w:val="24"/>
          <w:highlight w:val="white"/>
        </w:rPr>
        <w:t>Mathabela</w:t>
      </w:r>
      <w:proofErr w:type="spellEnd"/>
      <w:r>
        <w:rPr>
          <w:rFonts w:ascii="Times New Roman" w:eastAsia="Times New Roman" w:hAnsi="Times New Roman" w:cs="Times New Roman"/>
          <w:sz w:val="24"/>
          <w:szCs w:val="24"/>
          <w:highlight w:val="white"/>
        </w:rPr>
        <w:t xml:space="preserve"> et al. (2024), even in countries with strong health policies, there is a significant disconnect between policy design and actual service delivery, particularly for adolescents. Policies often do not include adolescents in their development process, nor do they emphasize youth participation in decision-making. This oversight leads to policies that are either poorly implemented or irrelevant to adolescents' real-world needs. In line with this, Sanyang et al. (2025) opined that without the active involvement of young people in the design and delivery of SRH services, the policies remain disconnected from the very populations they are meant to serve.</w:t>
      </w:r>
    </w:p>
    <w:p w14:paraId="57AFFEE8"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Therefore, the aim of this study is to conduct a comprehensive scoping review that maps and synthesizes the existing research on adolescent SRH service access across Sub-Saharan Africa. This study seeks to identify the types of services available, the barriers to access, and the effectiveness of interventions that have been implemented to address these barriers. By analyzing the existing body of literature, this study will also pinpoint the gaps in SRH policy and practice.  </w:t>
      </w:r>
    </w:p>
    <w:p w14:paraId="15D2F74E"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scoping review informs policymakers, health practitioners, and researchers working to improve adolescent SRH access in Sub-Saharan Africa. The findings highlight gaps in policy and service provision, and make recommendations for future research and practice that can improve the lives and health of adolescents across the region.</w:t>
      </w:r>
    </w:p>
    <w:p w14:paraId="596629D3" w14:textId="77777777" w:rsidR="00101E6B" w:rsidRDefault="00101E6B">
      <w:pPr>
        <w:spacing w:line="360" w:lineRule="auto"/>
        <w:rPr>
          <w:rFonts w:ascii="Times New Roman" w:eastAsia="Times New Roman" w:hAnsi="Times New Roman" w:cs="Times New Roman"/>
          <w:sz w:val="24"/>
          <w:szCs w:val="24"/>
          <w:highlight w:val="white"/>
        </w:rPr>
      </w:pPr>
    </w:p>
    <w:p w14:paraId="3F5F7039" w14:textId="77777777" w:rsidR="00101E6B" w:rsidRDefault="006149C7">
      <w:pPr>
        <w:pStyle w:val="Heading2"/>
        <w:keepNext w:val="0"/>
        <w:keepLines w:val="0"/>
        <w:spacing w:after="80" w:line="360" w:lineRule="auto"/>
        <w:rPr>
          <w:rFonts w:ascii="Times New Roman" w:eastAsia="Times New Roman" w:hAnsi="Times New Roman" w:cs="Times New Roman"/>
          <w:b/>
          <w:bCs/>
          <w:highlight w:val="white"/>
        </w:rPr>
      </w:pPr>
      <w:bookmarkStart w:id="5" w:name="_heading=h.ukf0dbvb3vxo" w:colFirst="0" w:colLast="0"/>
      <w:bookmarkEnd w:id="5"/>
      <w:r>
        <w:rPr>
          <w:rFonts w:ascii="Times New Roman" w:eastAsia="Times New Roman" w:hAnsi="Times New Roman" w:cs="Times New Roman"/>
          <w:b/>
          <w:bCs/>
          <w:highlight w:val="white"/>
        </w:rPr>
        <w:t>Methodology</w:t>
      </w:r>
    </w:p>
    <w:p w14:paraId="4B611C1D" w14:textId="77777777" w:rsidR="00101E6B" w:rsidRDefault="006149C7">
      <w:pPr>
        <w:pStyle w:val="Heading3"/>
        <w:keepNext w:val="0"/>
        <w:keepLines w:val="0"/>
        <w:spacing w:before="280" w:line="360" w:lineRule="auto"/>
        <w:rPr>
          <w:rFonts w:ascii="Times New Roman" w:eastAsia="Times New Roman" w:hAnsi="Times New Roman" w:cs="Times New Roman"/>
          <w:b/>
          <w:bCs/>
          <w:color w:val="000000"/>
          <w:highlight w:val="white"/>
        </w:rPr>
      </w:pPr>
      <w:bookmarkStart w:id="6" w:name="_heading=h.p42u2457zmc3" w:colFirst="0" w:colLast="0"/>
      <w:bookmarkEnd w:id="6"/>
      <w:r>
        <w:rPr>
          <w:rFonts w:ascii="Times New Roman" w:eastAsia="Times New Roman" w:hAnsi="Times New Roman" w:cs="Times New Roman"/>
          <w:b/>
          <w:bCs/>
          <w:color w:val="000000"/>
          <w:highlight w:val="white"/>
        </w:rPr>
        <w:t>Research Question</w:t>
      </w:r>
    </w:p>
    <w:p w14:paraId="67806378"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The research question guiding this study was: “What is the nature, scope, and distribution of evidence concerning adolescents’ access to sexual and reproductive health services in Sub‑Saharan Africa, and what barriers, and policy or programmatic gaps emerge from the literature?”</w:t>
      </w:r>
    </w:p>
    <w:p w14:paraId="4374D1C1"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 guide the formulation of the research question, the PEO framework (Population, Intervention/Exposure, Outcome) was adapted (University of London, 2025). In this study, “Population” refers to adolescents and youths aged 10-24 years in SSA; “Exposure” includes access to SRH services (such as family planning, HIV/STI prevention, sexual health education, and youth-friendly health services); and “Outcomes” encompass access, utilization, barriers, facilitators, and policy or programmatic gaps.  </w:t>
      </w:r>
    </w:p>
    <w:p w14:paraId="739FA6D0" w14:textId="77777777" w:rsidR="00101E6B" w:rsidRDefault="006149C7">
      <w:pPr>
        <w:pStyle w:val="Heading3"/>
        <w:keepNext w:val="0"/>
        <w:keepLines w:val="0"/>
        <w:spacing w:before="280" w:line="360" w:lineRule="auto"/>
        <w:rPr>
          <w:rFonts w:ascii="Times New Roman" w:eastAsia="Times New Roman" w:hAnsi="Times New Roman" w:cs="Times New Roman"/>
          <w:b/>
          <w:bCs/>
          <w:color w:val="000000"/>
          <w:highlight w:val="white"/>
        </w:rPr>
      </w:pPr>
      <w:bookmarkStart w:id="7" w:name="_heading=h.vyiuj2kcd8vi" w:colFirst="0" w:colLast="0"/>
      <w:bookmarkEnd w:id="7"/>
      <w:r>
        <w:rPr>
          <w:rFonts w:ascii="Times New Roman" w:eastAsia="Times New Roman" w:hAnsi="Times New Roman" w:cs="Times New Roman"/>
          <w:b/>
          <w:bCs/>
          <w:color w:val="000000"/>
          <w:highlight w:val="white"/>
        </w:rPr>
        <w:t>Study Design</w:t>
      </w:r>
    </w:p>
    <w:p w14:paraId="4ECF6143"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study utilized a scoping review methodology, as outlined by Arksey and O'Malley (2005). This approach provides an overview of a broad research area, identify gaps in knowledge, and summarize the types of evidence available.  </w:t>
      </w:r>
    </w:p>
    <w:p w14:paraId="04D3302B" w14:textId="77777777" w:rsidR="00101E6B" w:rsidRDefault="006149C7">
      <w:pPr>
        <w:spacing w:before="240" w:after="240" w:line="36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Information Sources and Search Strategy</w:t>
      </w:r>
    </w:p>
    <w:p w14:paraId="34EB9985"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information sources for this study included both peer-reviewed academic databases and grey literature sources as well as reference lists. The three main academic databases used were PubMed, and African Journals Online (AJOL). These databases were chosen to ensure comprehensive coverage of studies on adolescent SRH in SSA. The search strategy was refined through the use of Boolean operators (AND, OR) (Alharbi &amp; Stevenson, 2020), and </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sz w:val="24"/>
          <w:szCs w:val="24"/>
          <w:highlight w:val="white"/>
        </w:rPr>
        <w:t xml:space="preserve"> (Medical Subject Headings) terms in PubMed to improve precision (DeMars &amp; Perruso, 2022). For AJOL, which does not utilize </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sz w:val="24"/>
          <w:szCs w:val="24"/>
          <w:highlight w:val="white"/>
        </w:rPr>
        <w:t xml:space="preserve"> terms, relevant free-text keywords were used for the search. The search strategy adopted for each database is shown in the Supplement file. Grey literature search was carried out by searching for relevant policy documents from websites of relevant </w:t>
      </w:r>
      <w:proofErr w:type="spellStart"/>
      <w:r>
        <w:rPr>
          <w:rFonts w:ascii="Times New Roman" w:eastAsia="Times New Roman" w:hAnsi="Times New Roman" w:cs="Times New Roman"/>
          <w:sz w:val="24"/>
          <w:szCs w:val="24"/>
          <w:highlight w:val="white"/>
        </w:rPr>
        <w:t>organisations</w:t>
      </w:r>
      <w:proofErr w:type="spellEnd"/>
      <w:r>
        <w:rPr>
          <w:rFonts w:ascii="Times New Roman" w:eastAsia="Times New Roman" w:hAnsi="Times New Roman" w:cs="Times New Roman"/>
          <w:sz w:val="24"/>
          <w:szCs w:val="24"/>
          <w:highlight w:val="white"/>
        </w:rPr>
        <w:t xml:space="preserve"> such as the World Health Organization (WHO), and United Nations Population Fund (UNFPA) with focus on Sub‑Saharan Africa. Grey literature is often vital for understanding the policy and practical challenges of service delivery (Adams et al., 2016).</w:t>
      </w:r>
    </w:p>
    <w:p w14:paraId="4D6D4A20" w14:textId="77777777" w:rsidR="00101E6B" w:rsidRDefault="006149C7">
      <w:pPr>
        <w:pStyle w:val="Heading3"/>
        <w:keepNext w:val="0"/>
        <w:keepLines w:val="0"/>
        <w:spacing w:before="280" w:line="360" w:lineRule="auto"/>
        <w:rPr>
          <w:rFonts w:ascii="Times New Roman" w:eastAsia="Times New Roman" w:hAnsi="Times New Roman" w:cs="Times New Roman"/>
          <w:b/>
          <w:bCs/>
          <w:color w:val="000000"/>
          <w:highlight w:val="white"/>
        </w:rPr>
      </w:pPr>
      <w:bookmarkStart w:id="8" w:name="_heading=h.n8fln4rjv7uq" w:colFirst="0" w:colLast="0"/>
      <w:bookmarkEnd w:id="8"/>
      <w:r>
        <w:rPr>
          <w:rFonts w:ascii="Times New Roman" w:eastAsia="Times New Roman" w:hAnsi="Times New Roman" w:cs="Times New Roman"/>
          <w:b/>
          <w:bCs/>
          <w:color w:val="000000"/>
          <w:highlight w:val="white"/>
        </w:rPr>
        <w:t>Eligibility Criteria</w:t>
      </w:r>
    </w:p>
    <w:p w14:paraId="74C17A0D"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Studies were included if they were peer review research articles published between 2020 and the search date (October 7, 2025) and focused on adolescents aged 10–24 years residing in Sub‑Saharan Africa, addressed access or utilization of sexual and reproductive health services (e.g., contraception, HIV prevention, family planning, sexual health education). Both quantitative and qualitative studies, including mixed-methods studies, were included.</w:t>
      </w:r>
      <w:r>
        <w:rPr>
          <w:rFonts w:ascii="Times New Roman" w:eastAsia="Times New Roman" w:hAnsi="Times New Roman" w:cs="Times New Roman"/>
          <w:sz w:val="24"/>
          <w:szCs w:val="24"/>
          <w:highlight w:val="white"/>
        </w:rPr>
        <w:br/>
        <w:t xml:space="preserve">Grey literature (reports, policy documents, program evaluations, etc.) relevant to SRH access was also included. </w:t>
      </w:r>
    </w:p>
    <w:p w14:paraId="3D74290D"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Studies published outside the timeframe and those not related to SRH services as well as opinion pieces, editorials, case studies, or articles with no full-text access were excluded. Documents that did not meet the age-specific focus (i.e., outside the 10–24-year age range) and grey literature that did not provide relevant data on SRH access for adolescents were also excluded.</w:t>
      </w:r>
    </w:p>
    <w:p w14:paraId="2C57B9F5" w14:textId="77777777" w:rsidR="00101E6B" w:rsidRDefault="006149C7">
      <w:pPr>
        <w:pStyle w:val="Heading3"/>
        <w:keepNext w:val="0"/>
        <w:keepLines w:val="0"/>
        <w:spacing w:before="280" w:line="360" w:lineRule="auto"/>
        <w:rPr>
          <w:rFonts w:ascii="Times New Roman" w:eastAsia="Times New Roman" w:hAnsi="Times New Roman" w:cs="Times New Roman"/>
          <w:b/>
          <w:bCs/>
          <w:color w:val="000000"/>
          <w:highlight w:val="white"/>
        </w:rPr>
      </w:pPr>
      <w:bookmarkStart w:id="9" w:name="_heading=h.520vwyf1kgux" w:colFirst="0" w:colLast="0"/>
      <w:bookmarkEnd w:id="9"/>
      <w:r>
        <w:rPr>
          <w:rFonts w:ascii="Times New Roman" w:eastAsia="Times New Roman" w:hAnsi="Times New Roman" w:cs="Times New Roman"/>
          <w:b/>
          <w:bCs/>
          <w:color w:val="000000"/>
          <w:highlight w:val="white"/>
        </w:rPr>
        <w:t>Study Selection</w:t>
      </w:r>
    </w:p>
    <w:p w14:paraId="3C85A480"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study selection process was carried out in two stages by two independent reviewers and disagreements were resolved through discussion. First, titles and abstracts were screened against the inclusion criteria. After initial screening, the full-text articles were retrieved and reviewed. Only studies and grey literature that met all eligibility criteria were included for data extraction. Policy documents were reviewed for their relevance to SRH access and included if they addressed policy strategies, barriers, or recommendations related to adolescent SRH in SSA.</w:t>
      </w:r>
    </w:p>
    <w:p w14:paraId="6E049AB0"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search for relevant studies yielded a total of 576 records from multiple sources, including PubMed, AJOL, reference lists, and grey literature. After applying the necessary filters as shown in Table 1 and removing duplicates, 123 records were screened based on title and abstract. Following this, 38 reports were assessed for eligibility, and 17 were excluded for being review articles or not providing relevant data on SRH access for adolescents. Ultimately, 21 publications met the inclusion criteria and were included in the review. The PRISMA flow diagram detailing on the selection process for this study is shown in Figure 1.</w:t>
      </w:r>
    </w:p>
    <w:p w14:paraId="41AF4A1F"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114300" distB="114300" distL="114300" distR="114300" wp14:anchorId="6B189F06" wp14:editId="2A999980">
            <wp:extent cx="5943600" cy="42926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4292600"/>
                    </a:xfrm>
                    <a:prstGeom prst="rect">
                      <a:avLst/>
                    </a:prstGeom>
                    <a:ln/>
                  </pic:spPr>
                </pic:pic>
              </a:graphicData>
            </a:graphic>
          </wp:inline>
        </w:drawing>
      </w:r>
    </w:p>
    <w:p w14:paraId="7CBB6E96" w14:textId="77777777" w:rsidR="00101E6B" w:rsidRDefault="006149C7">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Figure 1: Preferred Reporting Items for Systematic Reviews and Meta-Analysis (PRISMA) Flow Diagram</w:t>
      </w:r>
    </w:p>
    <w:p w14:paraId="3D8E5CD7" w14:textId="77777777" w:rsidR="00101E6B" w:rsidRDefault="006149C7">
      <w:pPr>
        <w:pStyle w:val="Heading3"/>
        <w:keepNext w:val="0"/>
        <w:keepLines w:val="0"/>
        <w:spacing w:before="280" w:line="360" w:lineRule="auto"/>
        <w:rPr>
          <w:rFonts w:ascii="Times New Roman" w:eastAsia="Times New Roman" w:hAnsi="Times New Roman" w:cs="Times New Roman"/>
          <w:b/>
          <w:bCs/>
          <w:color w:val="000000"/>
          <w:highlight w:val="white"/>
        </w:rPr>
      </w:pPr>
      <w:bookmarkStart w:id="10" w:name="_heading=h.relp4g104a1c" w:colFirst="0" w:colLast="0"/>
      <w:bookmarkEnd w:id="10"/>
      <w:r>
        <w:rPr>
          <w:rFonts w:ascii="Times New Roman" w:eastAsia="Times New Roman" w:hAnsi="Times New Roman" w:cs="Times New Roman"/>
          <w:b/>
          <w:bCs/>
          <w:color w:val="000000"/>
          <w:highlight w:val="white"/>
        </w:rPr>
        <w:t xml:space="preserve">Data Extraction </w:t>
      </w:r>
    </w:p>
    <w:p w14:paraId="198C70C3"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Data extraction was performed using a standardized charting tool, capturing key study details, such as: study ID, country, and study design, type of SRH services and/or interventions studied, population characteristics (age range, gender, subgroups), barriers and facilitators to SRH service access, key findings, including any recommendations. Policy documents were extracted for relevant strategies, recommendations, and policy frameworks aimed at improving adolescent SRH access.</w:t>
      </w:r>
    </w:p>
    <w:p w14:paraId="3BCE9559" w14:textId="77777777" w:rsidR="00101E6B" w:rsidRDefault="006149C7">
      <w:pPr>
        <w:pStyle w:val="Heading3"/>
        <w:keepNext w:val="0"/>
        <w:keepLines w:val="0"/>
        <w:spacing w:before="280" w:line="360" w:lineRule="auto"/>
        <w:rPr>
          <w:rFonts w:ascii="Times New Roman" w:eastAsia="Times New Roman" w:hAnsi="Times New Roman" w:cs="Times New Roman"/>
          <w:b/>
          <w:bCs/>
          <w:color w:val="000000"/>
          <w:highlight w:val="white"/>
        </w:rPr>
      </w:pPr>
      <w:bookmarkStart w:id="11" w:name="_heading=h.ife79bj50kk" w:colFirst="0" w:colLast="0"/>
      <w:bookmarkEnd w:id="11"/>
      <w:r>
        <w:rPr>
          <w:rFonts w:ascii="Times New Roman" w:eastAsia="Times New Roman" w:hAnsi="Times New Roman" w:cs="Times New Roman"/>
          <w:b/>
          <w:bCs/>
          <w:color w:val="000000"/>
          <w:highlight w:val="white"/>
        </w:rPr>
        <w:t>Data Synthesis</w:t>
      </w:r>
    </w:p>
    <w:p w14:paraId="7F444D1F"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Given the heterogeneous nature of the studies, a narrative synthesis approach was employed. We grouped the extracted data into major themes, including:</w:t>
      </w:r>
    </w:p>
    <w:p w14:paraId="7A4F9DA3" w14:textId="77777777" w:rsidR="00101E6B" w:rsidRDefault="006149C7">
      <w:pPr>
        <w:numPr>
          <w:ilvl w:val="0"/>
          <w:numId w:val="2"/>
        </w:numPr>
        <w:spacing w:before="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Types of SRH services available and utilized by adolescents.</w:t>
      </w:r>
    </w:p>
    <w:p w14:paraId="5B5F6E53" w14:textId="77777777" w:rsidR="00101E6B" w:rsidRDefault="006149C7">
      <w:pPr>
        <w:numPr>
          <w:ilvl w:val="0"/>
          <w:numId w:val="2"/>
        </w:num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Barriers to accessing these services, including socio‑economic, cultural, structural, and institutional factors.</w:t>
      </w:r>
    </w:p>
    <w:p w14:paraId="77184695" w14:textId="77777777" w:rsidR="00101E6B" w:rsidRDefault="006149C7">
      <w:pPr>
        <w:numPr>
          <w:ilvl w:val="0"/>
          <w:numId w:val="2"/>
        </w:numPr>
        <w:spacing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Policy and programmatic gaps, particularly </w:t>
      </w:r>
      <w:proofErr w:type="gramStart"/>
      <w:r>
        <w:rPr>
          <w:rFonts w:ascii="Times New Roman" w:eastAsia="Times New Roman" w:hAnsi="Times New Roman" w:cs="Times New Roman"/>
          <w:sz w:val="24"/>
          <w:szCs w:val="24"/>
          <w:highlight w:val="white"/>
        </w:rPr>
        <w:t>in service</w:t>
      </w:r>
      <w:proofErr w:type="gramEnd"/>
      <w:r>
        <w:rPr>
          <w:rFonts w:ascii="Times New Roman" w:eastAsia="Times New Roman" w:hAnsi="Times New Roman" w:cs="Times New Roman"/>
          <w:sz w:val="24"/>
          <w:szCs w:val="24"/>
          <w:highlight w:val="white"/>
        </w:rPr>
        <w:t xml:space="preserve"> delivery and adolescent-friendly health provisions.</w:t>
      </w:r>
    </w:p>
    <w:p w14:paraId="7958B990"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synthesis also involved mapping subgroup differences (e.g., rural vs urban) in access to SRH services. We compared findings across studies and grey literature to identify patterns and emerging recommendations. The synthesis provided insights into the gaps in the literature, highlighting areas where further research is needed and where policy interventions may be most effective.</w:t>
      </w:r>
    </w:p>
    <w:p w14:paraId="5BD3B7D5" w14:textId="77777777" w:rsidR="00101E6B" w:rsidRDefault="00101E6B">
      <w:pPr>
        <w:pStyle w:val="Heading3"/>
        <w:keepNext w:val="0"/>
        <w:keepLines w:val="0"/>
        <w:spacing w:before="280" w:line="360" w:lineRule="auto"/>
        <w:rPr>
          <w:rFonts w:ascii="Times New Roman" w:eastAsia="Times New Roman" w:hAnsi="Times New Roman" w:cs="Times New Roman"/>
          <w:b/>
          <w:bCs/>
          <w:color w:val="000000"/>
          <w:sz w:val="26"/>
          <w:szCs w:val="26"/>
          <w:highlight w:val="white"/>
        </w:rPr>
      </w:pPr>
      <w:bookmarkStart w:id="12" w:name="_heading=h.whkdpxb965ap" w:colFirst="0" w:colLast="0"/>
      <w:bookmarkEnd w:id="12"/>
    </w:p>
    <w:p w14:paraId="64403D38" w14:textId="77777777" w:rsidR="00101E6B" w:rsidRDefault="006149C7">
      <w:pPr>
        <w:spacing w:before="240" w:after="240"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Result</w:t>
      </w:r>
    </w:p>
    <w:p w14:paraId="0F797B31" w14:textId="77777777" w:rsidR="00101E6B" w:rsidRDefault="006149C7">
      <w:pPr>
        <w:spacing w:before="240" w:after="240" w:line="360" w:lineRule="auto"/>
        <w:jc w:val="both"/>
        <w:rPr>
          <w:rFonts w:ascii="Times New Roman" w:eastAsia="Times New Roman" w:hAnsi="Times New Roman" w:cs="Times New Roman"/>
          <w:highlight w:val="white"/>
        </w:rPr>
      </w:pPr>
      <w:r>
        <w:rPr>
          <w:rFonts w:ascii="Times New Roman" w:eastAsia="Times New Roman" w:hAnsi="Times New Roman" w:cs="Times New Roman"/>
          <w:b/>
          <w:bCs/>
          <w:sz w:val="28"/>
          <w:szCs w:val="28"/>
          <w:highlight w:val="white"/>
        </w:rPr>
        <w:t>Study Characteristics</w:t>
      </w:r>
    </w:p>
    <w:p w14:paraId="4277C537"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studies included in this scoping review represent a diverse range of research methods and population groups, with a shared focus on access to sexual and reproductive health (SRH) services for adolescents in Sub-Saharan Africa (SSA). A total of 21 were reviewed (15 research articles and 6 policy documents). In terms of population, the studies focused on adolescents and young people between the ages of 10 and 24, with some studies specifically targeting subgroups such as adolescent girls and young women (AGYW), young sex workers (YSW). The most common SRH services studied were family planning, HIV prevention, contraceptive use, STI testing, and sexual education, with a growing focus on youth-friendly services (YFS) and menstrual health management.</w:t>
      </w:r>
    </w:p>
    <w:p w14:paraId="07D5B496"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Factors affecting access were diverse and included cultural stigma, economic constraints, lack of confidentiality, and inadequate healthcare infrastructure. A recurring theme across the studies was the gap in youth-friendly services, with many adolescents reporting difficulty accessing age-</w:t>
      </w:r>
      <w:r>
        <w:rPr>
          <w:rFonts w:ascii="Times New Roman" w:eastAsia="Times New Roman" w:hAnsi="Times New Roman" w:cs="Times New Roman"/>
          <w:sz w:val="24"/>
          <w:szCs w:val="24"/>
          <w:highlight w:val="white"/>
        </w:rPr>
        <w:lastRenderedPageBreak/>
        <w:t>appropriate and confidential care. In response to these barriers, several interventions were proposed, including the integration of comprehensive sexuality education (CSE) within school curricula, the scaling of digital health tools, and the implementation of peer-led education programs, all of which showed promising results in increasing service uptake.</w:t>
      </w:r>
    </w:p>
    <w:p w14:paraId="2C7D9DA9"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Ultimately, the studies highlighted critical gaps in SRH service provision for adolescents, underscoring the need for tailored interventions that address both the structural and socio-cultural barriers to service access. These findings suggest that while some progress has been made, substantial work remains in ensuring equitable access to SRH services across SSA, particularly for marginalized adolescents.</w:t>
      </w:r>
    </w:p>
    <w:p w14:paraId="6A161497" w14:textId="77777777" w:rsidR="00101E6B" w:rsidRDefault="006149C7">
      <w:pPr>
        <w:spacing w:before="240" w:after="240" w:line="360" w:lineRule="auto"/>
        <w:jc w:val="both"/>
        <w:rPr>
          <w:rFonts w:ascii="Times New Roman" w:eastAsia="Times New Roman" w:hAnsi="Times New Roman" w:cs="Times New Roman"/>
          <w:b/>
          <w:bCs/>
          <w:highlight w:val="white"/>
        </w:rPr>
      </w:pPr>
      <w:r>
        <w:rPr>
          <w:rFonts w:ascii="Times New Roman" w:eastAsia="Times New Roman" w:hAnsi="Times New Roman" w:cs="Times New Roman"/>
          <w:b/>
          <w:bCs/>
          <w:sz w:val="24"/>
          <w:szCs w:val="24"/>
          <w:highlight w:val="white"/>
        </w:rPr>
        <w:t>Table 1: Characteristics of Included Research Articles</w:t>
      </w:r>
    </w:p>
    <w:tbl>
      <w:tblPr>
        <w:tblStyle w:val="a5"/>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1185"/>
        <w:gridCol w:w="1140"/>
        <w:gridCol w:w="1770"/>
        <w:gridCol w:w="1320"/>
        <w:gridCol w:w="1320"/>
        <w:gridCol w:w="1320"/>
      </w:tblGrid>
      <w:tr w:rsidR="00101E6B" w14:paraId="4E4B20D7" w14:textId="77777777">
        <w:tc>
          <w:tcPr>
            <w:tcW w:w="1185" w:type="dxa"/>
            <w:tcMar>
              <w:top w:w="100" w:type="dxa"/>
              <w:left w:w="100" w:type="dxa"/>
              <w:bottom w:w="100" w:type="dxa"/>
              <w:right w:w="100" w:type="dxa"/>
            </w:tcMar>
          </w:tcPr>
          <w:p w14:paraId="6C20C789" w14:textId="77777777" w:rsidR="00101E6B" w:rsidRDefault="006149C7">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Study ID</w:t>
            </w:r>
          </w:p>
        </w:tc>
        <w:tc>
          <w:tcPr>
            <w:tcW w:w="1185" w:type="dxa"/>
            <w:tcMar>
              <w:top w:w="100" w:type="dxa"/>
              <w:left w:w="100" w:type="dxa"/>
              <w:bottom w:w="100" w:type="dxa"/>
              <w:right w:w="100" w:type="dxa"/>
            </w:tcMar>
          </w:tcPr>
          <w:p w14:paraId="4093B513" w14:textId="77777777" w:rsidR="00101E6B" w:rsidRDefault="006149C7">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Country</w:t>
            </w:r>
          </w:p>
        </w:tc>
        <w:tc>
          <w:tcPr>
            <w:tcW w:w="1140" w:type="dxa"/>
            <w:tcMar>
              <w:top w:w="100" w:type="dxa"/>
              <w:left w:w="100" w:type="dxa"/>
              <w:bottom w:w="100" w:type="dxa"/>
              <w:right w:w="100" w:type="dxa"/>
            </w:tcMar>
          </w:tcPr>
          <w:p w14:paraId="7D967FBA" w14:textId="77777777" w:rsidR="00101E6B" w:rsidRDefault="006149C7">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Study Design</w:t>
            </w:r>
          </w:p>
        </w:tc>
        <w:tc>
          <w:tcPr>
            <w:tcW w:w="1770" w:type="dxa"/>
            <w:tcMar>
              <w:top w:w="100" w:type="dxa"/>
              <w:left w:w="100" w:type="dxa"/>
              <w:bottom w:w="100" w:type="dxa"/>
              <w:right w:w="100" w:type="dxa"/>
            </w:tcMar>
          </w:tcPr>
          <w:p w14:paraId="11AEFD02" w14:textId="77777777" w:rsidR="00101E6B" w:rsidRDefault="006149C7">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Population Characteristics</w:t>
            </w:r>
          </w:p>
        </w:tc>
        <w:tc>
          <w:tcPr>
            <w:tcW w:w="1320" w:type="dxa"/>
            <w:tcMar>
              <w:top w:w="100" w:type="dxa"/>
              <w:left w:w="100" w:type="dxa"/>
              <w:bottom w:w="100" w:type="dxa"/>
              <w:right w:w="100" w:type="dxa"/>
            </w:tcMar>
          </w:tcPr>
          <w:p w14:paraId="012CE1B7" w14:textId="77777777" w:rsidR="00101E6B" w:rsidRDefault="006149C7">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Type of SRH Services Studied</w:t>
            </w:r>
          </w:p>
        </w:tc>
        <w:tc>
          <w:tcPr>
            <w:tcW w:w="1320" w:type="dxa"/>
            <w:tcMar>
              <w:top w:w="100" w:type="dxa"/>
              <w:left w:w="100" w:type="dxa"/>
              <w:bottom w:w="100" w:type="dxa"/>
              <w:right w:w="100" w:type="dxa"/>
            </w:tcMar>
          </w:tcPr>
          <w:p w14:paraId="31DBCE7F" w14:textId="77777777" w:rsidR="00101E6B" w:rsidRDefault="006149C7">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Factors Affecting Access</w:t>
            </w:r>
          </w:p>
        </w:tc>
        <w:tc>
          <w:tcPr>
            <w:tcW w:w="1320" w:type="dxa"/>
            <w:tcMar>
              <w:top w:w="100" w:type="dxa"/>
              <w:left w:w="100" w:type="dxa"/>
              <w:bottom w:w="100" w:type="dxa"/>
              <w:right w:w="100" w:type="dxa"/>
            </w:tcMar>
          </w:tcPr>
          <w:p w14:paraId="588DADA3" w14:textId="77777777" w:rsidR="00101E6B" w:rsidRDefault="006149C7">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Key Findings</w:t>
            </w:r>
          </w:p>
        </w:tc>
      </w:tr>
      <w:tr w:rsidR="00101E6B" w14:paraId="7F7B53A4" w14:textId="77777777">
        <w:tc>
          <w:tcPr>
            <w:tcW w:w="1185" w:type="dxa"/>
            <w:tcMar>
              <w:top w:w="100" w:type="dxa"/>
              <w:left w:w="100" w:type="dxa"/>
              <w:bottom w:w="100" w:type="dxa"/>
              <w:right w:w="100" w:type="dxa"/>
            </w:tcMar>
          </w:tcPr>
          <w:p w14:paraId="3337B95D" w14:textId="77777777" w:rsidR="00101E6B" w:rsidRDefault="006149C7">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James et al. (2022) </w:t>
            </w:r>
          </w:p>
        </w:tc>
        <w:tc>
          <w:tcPr>
            <w:tcW w:w="1185" w:type="dxa"/>
            <w:tcMar>
              <w:top w:w="100" w:type="dxa"/>
              <w:left w:w="100" w:type="dxa"/>
              <w:bottom w:w="100" w:type="dxa"/>
              <w:right w:w="100" w:type="dxa"/>
            </w:tcMar>
          </w:tcPr>
          <w:p w14:paraId="7BCEF5C8"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Multiple SSA</w:t>
            </w:r>
          </w:p>
        </w:tc>
        <w:tc>
          <w:tcPr>
            <w:tcW w:w="1140" w:type="dxa"/>
            <w:tcMar>
              <w:top w:w="100" w:type="dxa"/>
              <w:left w:w="100" w:type="dxa"/>
              <w:bottom w:w="100" w:type="dxa"/>
              <w:right w:w="100" w:type="dxa"/>
            </w:tcMar>
          </w:tcPr>
          <w:p w14:paraId="4DB7E10F"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Secondary analysis</w:t>
            </w:r>
          </w:p>
        </w:tc>
        <w:tc>
          <w:tcPr>
            <w:tcW w:w="1770" w:type="dxa"/>
            <w:tcMar>
              <w:top w:w="100" w:type="dxa"/>
              <w:left w:w="100" w:type="dxa"/>
              <w:bottom w:w="100" w:type="dxa"/>
              <w:right w:w="100" w:type="dxa"/>
            </w:tcMar>
          </w:tcPr>
          <w:p w14:paraId="2241C967"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Adolescents (11–18 years)</w:t>
            </w:r>
          </w:p>
        </w:tc>
        <w:tc>
          <w:tcPr>
            <w:tcW w:w="1320" w:type="dxa"/>
            <w:tcMar>
              <w:top w:w="100" w:type="dxa"/>
              <w:left w:w="100" w:type="dxa"/>
              <w:bottom w:w="100" w:type="dxa"/>
              <w:right w:w="100" w:type="dxa"/>
            </w:tcMar>
          </w:tcPr>
          <w:p w14:paraId="50D83CCC"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Contraception, condoms</w:t>
            </w:r>
          </w:p>
        </w:tc>
        <w:tc>
          <w:tcPr>
            <w:tcW w:w="1320" w:type="dxa"/>
            <w:tcMar>
              <w:top w:w="100" w:type="dxa"/>
              <w:left w:w="100" w:type="dxa"/>
              <w:bottom w:w="100" w:type="dxa"/>
              <w:right w:w="100" w:type="dxa"/>
            </w:tcMar>
          </w:tcPr>
          <w:p w14:paraId="12A149C9"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Early sexual debut, parental support</w:t>
            </w:r>
          </w:p>
        </w:tc>
        <w:tc>
          <w:tcPr>
            <w:tcW w:w="1320" w:type="dxa"/>
            <w:tcMar>
              <w:top w:w="100" w:type="dxa"/>
              <w:left w:w="100" w:type="dxa"/>
              <w:bottom w:w="100" w:type="dxa"/>
              <w:right w:w="100" w:type="dxa"/>
            </w:tcMar>
          </w:tcPr>
          <w:p w14:paraId="5098582B"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53.8% used condoms, 39.5% used birth control methods</w:t>
            </w:r>
          </w:p>
        </w:tc>
      </w:tr>
      <w:tr w:rsidR="00101E6B" w14:paraId="5E0D2646" w14:textId="77777777">
        <w:tc>
          <w:tcPr>
            <w:tcW w:w="1185" w:type="dxa"/>
            <w:tcMar>
              <w:top w:w="100" w:type="dxa"/>
              <w:left w:w="100" w:type="dxa"/>
              <w:bottom w:w="100" w:type="dxa"/>
              <w:right w:w="100" w:type="dxa"/>
            </w:tcMar>
          </w:tcPr>
          <w:p w14:paraId="3944BB9B" w14:textId="77777777" w:rsidR="00101E6B" w:rsidRDefault="006149C7">
            <w:pPr>
              <w:spacing w:before="240" w:after="240" w:line="360" w:lineRule="auto"/>
              <w:rPr>
                <w:rFonts w:ascii="Times New Roman" w:eastAsia="Times New Roman" w:hAnsi="Times New Roman" w:cs="Times New Roman"/>
                <w:b/>
                <w:bCs/>
                <w:sz w:val="24"/>
                <w:szCs w:val="24"/>
                <w:highlight w:val="white"/>
              </w:rPr>
            </w:pPr>
            <w:proofErr w:type="spellStart"/>
            <w:r>
              <w:rPr>
                <w:rFonts w:ascii="Times New Roman" w:eastAsia="Times New Roman" w:hAnsi="Times New Roman" w:cs="Times New Roman"/>
                <w:b/>
                <w:bCs/>
                <w:sz w:val="24"/>
                <w:szCs w:val="24"/>
                <w:highlight w:val="white"/>
              </w:rPr>
              <w:t>Ashipala</w:t>
            </w:r>
            <w:proofErr w:type="spellEnd"/>
            <w:r>
              <w:rPr>
                <w:rFonts w:ascii="Times New Roman" w:eastAsia="Times New Roman" w:hAnsi="Times New Roman" w:cs="Times New Roman"/>
                <w:b/>
                <w:bCs/>
                <w:sz w:val="24"/>
                <w:szCs w:val="24"/>
                <w:highlight w:val="white"/>
              </w:rPr>
              <w:t xml:space="preserve"> and </w:t>
            </w:r>
            <w:proofErr w:type="spellStart"/>
            <w:r>
              <w:rPr>
                <w:rFonts w:ascii="Times New Roman" w:eastAsia="Times New Roman" w:hAnsi="Times New Roman" w:cs="Times New Roman"/>
                <w:b/>
                <w:bCs/>
                <w:sz w:val="24"/>
                <w:szCs w:val="24"/>
                <w:highlight w:val="white"/>
              </w:rPr>
              <w:t>Katjimune</w:t>
            </w:r>
            <w:proofErr w:type="spellEnd"/>
            <w:r>
              <w:rPr>
                <w:rFonts w:ascii="Times New Roman" w:eastAsia="Times New Roman" w:hAnsi="Times New Roman" w:cs="Times New Roman"/>
                <w:b/>
                <w:bCs/>
                <w:sz w:val="24"/>
                <w:szCs w:val="24"/>
                <w:highlight w:val="white"/>
              </w:rPr>
              <w:t xml:space="preserve"> (2025) </w:t>
            </w:r>
          </w:p>
        </w:tc>
        <w:tc>
          <w:tcPr>
            <w:tcW w:w="1185" w:type="dxa"/>
            <w:tcMar>
              <w:top w:w="100" w:type="dxa"/>
              <w:left w:w="100" w:type="dxa"/>
              <w:bottom w:w="100" w:type="dxa"/>
              <w:right w:w="100" w:type="dxa"/>
            </w:tcMar>
          </w:tcPr>
          <w:p w14:paraId="1CDDFB0F"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Namibia</w:t>
            </w:r>
          </w:p>
        </w:tc>
        <w:tc>
          <w:tcPr>
            <w:tcW w:w="1140" w:type="dxa"/>
            <w:tcMar>
              <w:top w:w="100" w:type="dxa"/>
              <w:left w:w="100" w:type="dxa"/>
              <w:bottom w:w="100" w:type="dxa"/>
              <w:right w:w="100" w:type="dxa"/>
            </w:tcMar>
          </w:tcPr>
          <w:p w14:paraId="0AF52873"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Qualitative</w:t>
            </w:r>
          </w:p>
        </w:tc>
        <w:tc>
          <w:tcPr>
            <w:tcW w:w="1770" w:type="dxa"/>
            <w:tcMar>
              <w:top w:w="100" w:type="dxa"/>
              <w:left w:w="100" w:type="dxa"/>
              <w:bottom w:w="100" w:type="dxa"/>
              <w:right w:w="100" w:type="dxa"/>
            </w:tcMar>
          </w:tcPr>
          <w:p w14:paraId="7A1D6784"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15 </w:t>
            </w:r>
            <w:proofErr w:type="gramStart"/>
            <w:r>
              <w:rPr>
                <w:rFonts w:ascii="Times New Roman" w:eastAsia="Times New Roman" w:hAnsi="Times New Roman" w:cs="Times New Roman"/>
                <w:sz w:val="24"/>
                <w:szCs w:val="24"/>
                <w:highlight w:val="white"/>
              </w:rPr>
              <w:t>nurses  between</w:t>
            </w:r>
            <w:proofErr w:type="gramEnd"/>
            <w:r>
              <w:rPr>
                <w:rFonts w:ascii="Times New Roman" w:eastAsia="Times New Roman" w:hAnsi="Times New Roman" w:cs="Times New Roman"/>
                <w:sz w:val="24"/>
                <w:szCs w:val="24"/>
                <w:highlight w:val="white"/>
              </w:rPr>
              <w:t xml:space="preserve"> 25 and 47 years old in primary </w:t>
            </w:r>
            <w:r>
              <w:rPr>
                <w:rFonts w:ascii="Times New Roman" w:eastAsia="Times New Roman" w:hAnsi="Times New Roman" w:cs="Times New Roman"/>
                <w:sz w:val="24"/>
                <w:szCs w:val="24"/>
                <w:highlight w:val="white"/>
              </w:rPr>
              <w:lastRenderedPageBreak/>
              <w:t>healthcare facilities</w:t>
            </w:r>
          </w:p>
        </w:tc>
        <w:tc>
          <w:tcPr>
            <w:tcW w:w="1320" w:type="dxa"/>
            <w:tcMar>
              <w:top w:w="100" w:type="dxa"/>
              <w:left w:w="100" w:type="dxa"/>
              <w:bottom w:w="100" w:type="dxa"/>
              <w:right w:w="100" w:type="dxa"/>
            </w:tcMar>
          </w:tcPr>
          <w:p w14:paraId="55192571"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Family planning, STI prevention</w:t>
            </w:r>
          </w:p>
        </w:tc>
        <w:tc>
          <w:tcPr>
            <w:tcW w:w="1320" w:type="dxa"/>
            <w:tcMar>
              <w:top w:w="100" w:type="dxa"/>
              <w:left w:w="100" w:type="dxa"/>
              <w:bottom w:w="100" w:type="dxa"/>
              <w:right w:w="100" w:type="dxa"/>
            </w:tcMar>
          </w:tcPr>
          <w:p w14:paraId="40BE4EDF"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Cultural factors, distance to health </w:t>
            </w:r>
            <w:r>
              <w:rPr>
                <w:rFonts w:ascii="Times New Roman" w:eastAsia="Times New Roman" w:hAnsi="Times New Roman" w:cs="Times New Roman"/>
                <w:sz w:val="24"/>
                <w:szCs w:val="24"/>
                <w:highlight w:val="white"/>
              </w:rPr>
              <w:lastRenderedPageBreak/>
              <w:t>facility, stigma</w:t>
            </w:r>
          </w:p>
        </w:tc>
        <w:tc>
          <w:tcPr>
            <w:tcW w:w="1320" w:type="dxa"/>
            <w:tcMar>
              <w:top w:w="100" w:type="dxa"/>
              <w:left w:w="100" w:type="dxa"/>
              <w:bottom w:w="100" w:type="dxa"/>
              <w:right w:w="100" w:type="dxa"/>
            </w:tcMar>
          </w:tcPr>
          <w:p w14:paraId="5FE48D49"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Lack of adolescent-friendly services and </w:t>
            </w:r>
            <w:r>
              <w:rPr>
                <w:rFonts w:ascii="Times New Roman" w:eastAsia="Times New Roman" w:hAnsi="Times New Roman" w:cs="Times New Roman"/>
                <w:sz w:val="24"/>
                <w:szCs w:val="24"/>
                <w:highlight w:val="white"/>
              </w:rPr>
              <w:lastRenderedPageBreak/>
              <w:t>privacy are key barriers to SRH access</w:t>
            </w:r>
          </w:p>
        </w:tc>
      </w:tr>
      <w:tr w:rsidR="00101E6B" w14:paraId="28BB690A" w14:textId="77777777">
        <w:tc>
          <w:tcPr>
            <w:tcW w:w="1185" w:type="dxa"/>
            <w:tcMar>
              <w:top w:w="100" w:type="dxa"/>
              <w:left w:w="100" w:type="dxa"/>
              <w:bottom w:w="100" w:type="dxa"/>
              <w:right w:w="100" w:type="dxa"/>
            </w:tcMar>
          </w:tcPr>
          <w:p w14:paraId="398235D4" w14:textId="77777777" w:rsidR="00101E6B" w:rsidRDefault="006149C7">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 xml:space="preserve">Obi-Nwosu et al. (2023) </w:t>
            </w:r>
          </w:p>
        </w:tc>
        <w:tc>
          <w:tcPr>
            <w:tcW w:w="1185" w:type="dxa"/>
            <w:tcMar>
              <w:top w:w="100" w:type="dxa"/>
              <w:left w:w="100" w:type="dxa"/>
              <w:bottom w:w="100" w:type="dxa"/>
              <w:right w:w="100" w:type="dxa"/>
            </w:tcMar>
          </w:tcPr>
          <w:p w14:paraId="5357DD28"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Nigeria</w:t>
            </w:r>
          </w:p>
        </w:tc>
        <w:tc>
          <w:tcPr>
            <w:tcW w:w="1140" w:type="dxa"/>
            <w:tcMar>
              <w:top w:w="100" w:type="dxa"/>
              <w:left w:w="100" w:type="dxa"/>
              <w:bottom w:w="100" w:type="dxa"/>
              <w:right w:w="100" w:type="dxa"/>
            </w:tcMar>
          </w:tcPr>
          <w:p w14:paraId="6CCC2AE2"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Qualitative</w:t>
            </w:r>
          </w:p>
        </w:tc>
        <w:tc>
          <w:tcPr>
            <w:tcW w:w="1770" w:type="dxa"/>
            <w:tcMar>
              <w:top w:w="100" w:type="dxa"/>
              <w:left w:w="100" w:type="dxa"/>
              <w:bottom w:w="100" w:type="dxa"/>
              <w:right w:w="100" w:type="dxa"/>
            </w:tcMar>
          </w:tcPr>
          <w:p w14:paraId="6F961AC2"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Adolescents (15–19 years), both genders</w:t>
            </w:r>
          </w:p>
        </w:tc>
        <w:tc>
          <w:tcPr>
            <w:tcW w:w="1320" w:type="dxa"/>
            <w:tcMar>
              <w:top w:w="100" w:type="dxa"/>
              <w:left w:w="100" w:type="dxa"/>
              <w:bottom w:w="100" w:type="dxa"/>
              <w:right w:w="100" w:type="dxa"/>
            </w:tcMar>
          </w:tcPr>
          <w:p w14:paraId="6C8D6BA7"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Family planning, HIV prevention, contraceptive education</w:t>
            </w:r>
          </w:p>
        </w:tc>
        <w:tc>
          <w:tcPr>
            <w:tcW w:w="1320" w:type="dxa"/>
            <w:tcMar>
              <w:top w:w="100" w:type="dxa"/>
              <w:left w:w="100" w:type="dxa"/>
              <w:bottom w:w="100" w:type="dxa"/>
              <w:right w:w="100" w:type="dxa"/>
            </w:tcMar>
          </w:tcPr>
          <w:p w14:paraId="0867C428"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Stigma, cultural norms, lack of knowledge</w:t>
            </w:r>
          </w:p>
        </w:tc>
        <w:tc>
          <w:tcPr>
            <w:tcW w:w="1320" w:type="dxa"/>
            <w:tcMar>
              <w:top w:w="100" w:type="dxa"/>
              <w:left w:w="100" w:type="dxa"/>
              <w:bottom w:w="100" w:type="dxa"/>
              <w:right w:w="100" w:type="dxa"/>
            </w:tcMar>
          </w:tcPr>
          <w:p w14:paraId="0FDCE7F5"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Identified social and health system barriers</w:t>
            </w:r>
          </w:p>
        </w:tc>
      </w:tr>
      <w:tr w:rsidR="00101E6B" w14:paraId="7DBB01E6" w14:textId="77777777">
        <w:tc>
          <w:tcPr>
            <w:tcW w:w="1185" w:type="dxa"/>
            <w:tcMar>
              <w:top w:w="100" w:type="dxa"/>
              <w:left w:w="100" w:type="dxa"/>
              <w:bottom w:w="100" w:type="dxa"/>
              <w:right w:w="100" w:type="dxa"/>
            </w:tcMar>
          </w:tcPr>
          <w:p w14:paraId="38B95F9A" w14:textId="77777777" w:rsidR="00101E6B" w:rsidRDefault="006149C7">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Kereta et al. (2021) </w:t>
            </w:r>
          </w:p>
        </w:tc>
        <w:tc>
          <w:tcPr>
            <w:tcW w:w="1185" w:type="dxa"/>
            <w:tcMar>
              <w:top w:w="100" w:type="dxa"/>
              <w:left w:w="100" w:type="dxa"/>
              <w:bottom w:w="100" w:type="dxa"/>
              <w:right w:w="100" w:type="dxa"/>
            </w:tcMar>
          </w:tcPr>
          <w:p w14:paraId="3A956EE9"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Ethiopia</w:t>
            </w:r>
          </w:p>
        </w:tc>
        <w:tc>
          <w:tcPr>
            <w:tcW w:w="1140" w:type="dxa"/>
            <w:tcMar>
              <w:top w:w="100" w:type="dxa"/>
              <w:left w:w="100" w:type="dxa"/>
              <w:bottom w:w="100" w:type="dxa"/>
              <w:right w:w="100" w:type="dxa"/>
            </w:tcMar>
          </w:tcPr>
          <w:p w14:paraId="11CCC3ED"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Mixed-methods (quant/qual)</w:t>
            </w:r>
          </w:p>
        </w:tc>
        <w:tc>
          <w:tcPr>
            <w:tcW w:w="1770" w:type="dxa"/>
            <w:tcMar>
              <w:top w:w="100" w:type="dxa"/>
              <w:left w:w="100" w:type="dxa"/>
              <w:bottom w:w="100" w:type="dxa"/>
              <w:right w:w="100" w:type="dxa"/>
            </w:tcMar>
          </w:tcPr>
          <w:p w14:paraId="7785286C"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Adolescents/young people 10-24 years, both genders</w:t>
            </w:r>
          </w:p>
        </w:tc>
        <w:tc>
          <w:tcPr>
            <w:tcW w:w="1320" w:type="dxa"/>
            <w:tcMar>
              <w:top w:w="100" w:type="dxa"/>
              <w:left w:w="100" w:type="dxa"/>
              <w:bottom w:w="100" w:type="dxa"/>
              <w:right w:w="100" w:type="dxa"/>
            </w:tcMar>
          </w:tcPr>
          <w:p w14:paraId="4A6CA275"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Youth-Friendly Health Services (YFS), Contraceptive access</w:t>
            </w:r>
          </w:p>
        </w:tc>
        <w:tc>
          <w:tcPr>
            <w:tcW w:w="1320" w:type="dxa"/>
            <w:tcMar>
              <w:top w:w="100" w:type="dxa"/>
              <w:left w:w="100" w:type="dxa"/>
              <w:bottom w:w="100" w:type="dxa"/>
              <w:right w:w="100" w:type="dxa"/>
            </w:tcMar>
          </w:tcPr>
          <w:p w14:paraId="44A139A5"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Provider training, youth engagement, facility conditions</w:t>
            </w:r>
          </w:p>
        </w:tc>
        <w:tc>
          <w:tcPr>
            <w:tcW w:w="1320" w:type="dxa"/>
            <w:tcMar>
              <w:top w:w="100" w:type="dxa"/>
              <w:left w:w="100" w:type="dxa"/>
              <w:bottom w:w="100" w:type="dxa"/>
              <w:right w:w="100" w:type="dxa"/>
            </w:tcMar>
          </w:tcPr>
          <w:p w14:paraId="782D524B"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YFS improved service access with a focus on privacy and engagement</w:t>
            </w:r>
          </w:p>
        </w:tc>
      </w:tr>
      <w:tr w:rsidR="00101E6B" w14:paraId="6AC82F70" w14:textId="77777777">
        <w:tc>
          <w:tcPr>
            <w:tcW w:w="1185" w:type="dxa"/>
            <w:tcMar>
              <w:top w:w="100" w:type="dxa"/>
              <w:left w:w="100" w:type="dxa"/>
              <w:bottom w:w="100" w:type="dxa"/>
              <w:right w:w="100" w:type="dxa"/>
            </w:tcMar>
          </w:tcPr>
          <w:p w14:paraId="0A44E219" w14:textId="77777777" w:rsidR="00101E6B" w:rsidRDefault="006149C7">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Gondwe et al. (2025) </w:t>
            </w:r>
          </w:p>
        </w:tc>
        <w:tc>
          <w:tcPr>
            <w:tcW w:w="1185" w:type="dxa"/>
            <w:tcMar>
              <w:top w:w="100" w:type="dxa"/>
              <w:left w:w="100" w:type="dxa"/>
              <w:bottom w:w="100" w:type="dxa"/>
              <w:right w:w="100" w:type="dxa"/>
            </w:tcMar>
          </w:tcPr>
          <w:p w14:paraId="0FA29135"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Zambia</w:t>
            </w:r>
          </w:p>
        </w:tc>
        <w:tc>
          <w:tcPr>
            <w:tcW w:w="1140" w:type="dxa"/>
            <w:tcMar>
              <w:top w:w="100" w:type="dxa"/>
              <w:left w:w="100" w:type="dxa"/>
              <w:bottom w:w="100" w:type="dxa"/>
              <w:right w:w="100" w:type="dxa"/>
            </w:tcMar>
          </w:tcPr>
          <w:p w14:paraId="6AA9539A"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Exploratory Qualitative study</w:t>
            </w:r>
          </w:p>
        </w:tc>
        <w:tc>
          <w:tcPr>
            <w:tcW w:w="1770" w:type="dxa"/>
            <w:tcMar>
              <w:top w:w="100" w:type="dxa"/>
              <w:left w:w="100" w:type="dxa"/>
              <w:bottom w:w="100" w:type="dxa"/>
              <w:right w:w="100" w:type="dxa"/>
            </w:tcMar>
          </w:tcPr>
          <w:p w14:paraId="7CF9215E"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AGYW 15-24 years</w:t>
            </w:r>
          </w:p>
        </w:tc>
        <w:tc>
          <w:tcPr>
            <w:tcW w:w="1320" w:type="dxa"/>
            <w:tcMar>
              <w:top w:w="100" w:type="dxa"/>
              <w:left w:w="100" w:type="dxa"/>
              <w:bottom w:w="100" w:type="dxa"/>
              <w:right w:w="100" w:type="dxa"/>
            </w:tcMar>
          </w:tcPr>
          <w:p w14:paraId="7C821EF6"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Menstrual hygiene products </w:t>
            </w:r>
            <w:r>
              <w:rPr>
                <w:rFonts w:ascii="Times New Roman" w:eastAsia="Times New Roman" w:hAnsi="Times New Roman" w:cs="Times New Roman"/>
                <w:sz w:val="24"/>
                <w:szCs w:val="24"/>
                <w:highlight w:val="white"/>
              </w:rPr>
              <w:lastRenderedPageBreak/>
              <w:t>(cups, pads)</w:t>
            </w:r>
          </w:p>
        </w:tc>
        <w:tc>
          <w:tcPr>
            <w:tcW w:w="1320" w:type="dxa"/>
            <w:tcMar>
              <w:top w:w="100" w:type="dxa"/>
              <w:left w:w="100" w:type="dxa"/>
              <w:bottom w:w="100" w:type="dxa"/>
              <w:right w:w="100" w:type="dxa"/>
            </w:tcMar>
          </w:tcPr>
          <w:p w14:paraId="26EAC179"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Access to menstrual products, </w:t>
            </w:r>
            <w:r>
              <w:rPr>
                <w:rFonts w:ascii="Times New Roman" w:eastAsia="Times New Roman" w:hAnsi="Times New Roman" w:cs="Times New Roman"/>
                <w:sz w:val="24"/>
                <w:szCs w:val="24"/>
                <w:highlight w:val="white"/>
              </w:rPr>
              <w:lastRenderedPageBreak/>
              <w:t>misconceptions</w:t>
            </w:r>
          </w:p>
        </w:tc>
        <w:tc>
          <w:tcPr>
            <w:tcW w:w="1320" w:type="dxa"/>
            <w:tcMar>
              <w:top w:w="100" w:type="dxa"/>
              <w:left w:w="100" w:type="dxa"/>
              <w:bottom w:w="100" w:type="dxa"/>
              <w:right w:w="100" w:type="dxa"/>
            </w:tcMar>
          </w:tcPr>
          <w:p w14:paraId="170D0D69"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Menstrual cups were acceptable among </w:t>
            </w:r>
            <w:r>
              <w:rPr>
                <w:rFonts w:ascii="Times New Roman" w:eastAsia="Times New Roman" w:hAnsi="Times New Roman" w:cs="Times New Roman"/>
                <w:sz w:val="24"/>
                <w:szCs w:val="24"/>
                <w:highlight w:val="white"/>
              </w:rPr>
              <w:lastRenderedPageBreak/>
              <w:t>AGYW, but require better education on use</w:t>
            </w:r>
          </w:p>
        </w:tc>
      </w:tr>
      <w:tr w:rsidR="00101E6B" w14:paraId="59239BD4" w14:textId="77777777">
        <w:tc>
          <w:tcPr>
            <w:tcW w:w="1185" w:type="dxa"/>
            <w:tcMar>
              <w:top w:w="100" w:type="dxa"/>
              <w:left w:w="100" w:type="dxa"/>
              <w:bottom w:w="100" w:type="dxa"/>
              <w:right w:w="100" w:type="dxa"/>
            </w:tcMar>
          </w:tcPr>
          <w:p w14:paraId="1CD0C1AB" w14:textId="77777777" w:rsidR="00101E6B" w:rsidRDefault="006149C7">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 xml:space="preserve">Tallarico et al. (2021) </w:t>
            </w:r>
          </w:p>
        </w:tc>
        <w:tc>
          <w:tcPr>
            <w:tcW w:w="1185" w:type="dxa"/>
            <w:tcMar>
              <w:top w:w="100" w:type="dxa"/>
              <w:left w:w="100" w:type="dxa"/>
              <w:bottom w:w="100" w:type="dxa"/>
              <w:right w:w="100" w:type="dxa"/>
            </w:tcMar>
          </w:tcPr>
          <w:p w14:paraId="0FA278D8"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Multiple SSA</w:t>
            </w:r>
          </w:p>
        </w:tc>
        <w:tc>
          <w:tcPr>
            <w:tcW w:w="1140" w:type="dxa"/>
            <w:tcMar>
              <w:top w:w="100" w:type="dxa"/>
              <w:left w:w="100" w:type="dxa"/>
              <w:bottom w:w="100" w:type="dxa"/>
              <w:right w:w="100" w:type="dxa"/>
            </w:tcMar>
          </w:tcPr>
          <w:p w14:paraId="6702A107"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Qualitative</w:t>
            </w:r>
          </w:p>
        </w:tc>
        <w:tc>
          <w:tcPr>
            <w:tcW w:w="1770" w:type="dxa"/>
            <w:tcMar>
              <w:top w:w="100" w:type="dxa"/>
              <w:left w:w="100" w:type="dxa"/>
              <w:bottom w:w="100" w:type="dxa"/>
              <w:right w:w="100" w:type="dxa"/>
            </w:tcMar>
          </w:tcPr>
          <w:p w14:paraId="6AE869F9"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Adolescents/young people 10‑24, both genders</w:t>
            </w:r>
          </w:p>
        </w:tc>
        <w:tc>
          <w:tcPr>
            <w:tcW w:w="1320" w:type="dxa"/>
            <w:tcMar>
              <w:top w:w="100" w:type="dxa"/>
              <w:left w:w="100" w:type="dxa"/>
              <w:bottom w:w="100" w:type="dxa"/>
              <w:right w:w="100" w:type="dxa"/>
            </w:tcMar>
          </w:tcPr>
          <w:p w14:paraId="71366CE4"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Contraceptive education, STI prevention</w:t>
            </w:r>
          </w:p>
        </w:tc>
        <w:tc>
          <w:tcPr>
            <w:tcW w:w="1320" w:type="dxa"/>
            <w:tcMar>
              <w:top w:w="100" w:type="dxa"/>
              <w:left w:w="100" w:type="dxa"/>
              <w:bottom w:w="100" w:type="dxa"/>
              <w:right w:w="100" w:type="dxa"/>
            </w:tcMar>
          </w:tcPr>
          <w:p w14:paraId="4FFC5559"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Inadequate access to contraceptives, lack of information</w:t>
            </w:r>
          </w:p>
        </w:tc>
        <w:tc>
          <w:tcPr>
            <w:tcW w:w="1320" w:type="dxa"/>
            <w:tcMar>
              <w:top w:w="100" w:type="dxa"/>
              <w:left w:w="100" w:type="dxa"/>
              <w:bottom w:w="100" w:type="dxa"/>
              <w:right w:w="100" w:type="dxa"/>
            </w:tcMar>
          </w:tcPr>
          <w:p w14:paraId="1E630E2D"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High unmet need for contraceptive services, need for educational programs</w:t>
            </w:r>
          </w:p>
        </w:tc>
      </w:tr>
      <w:tr w:rsidR="00101E6B" w14:paraId="263BE425" w14:textId="77777777">
        <w:tc>
          <w:tcPr>
            <w:tcW w:w="1185" w:type="dxa"/>
            <w:tcMar>
              <w:top w:w="100" w:type="dxa"/>
              <w:left w:w="100" w:type="dxa"/>
              <w:bottom w:w="100" w:type="dxa"/>
              <w:right w:w="100" w:type="dxa"/>
            </w:tcMar>
          </w:tcPr>
          <w:p w14:paraId="461DF8CB" w14:textId="77777777" w:rsidR="00101E6B" w:rsidRDefault="006149C7">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Tchuisseu et al. (2023) </w:t>
            </w:r>
          </w:p>
        </w:tc>
        <w:tc>
          <w:tcPr>
            <w:tcW w:w="1185" w:type="dxa"/>
            <w:tcMar>
              <w:top w:w="100" w:type="dxa"/>
              <w:left w:w="100" w:type="dxa"/>
              <w:bottom w:w="100" w:type="dxa"/>
              <w:right w:w="100" w:type="dxa"/>
            </w:tcMar>
          </w:tcPr>
          <w:p w14:paraId="06DE695A"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Uganda</w:t>
            </w:r>
          </w:p>
        </w:tc>
        <w:tc>
          <w:tcPr>
            <w:tcW w:w="1140" w:type="dxa"/>
            <w:tcMar>
              <w:top w:w="100" w:type="dxa"/>
              <w:left w:w="100" w:type="dxa"/>
              <w:bottom w:w="100" w:type="dxa"/>
              <w:right w:w="100" w:type="dxa"/>
            </w:tcMar>
          </w:tcPr>
          <w:p w14:paraId="1D7C60DD"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Qualitative</w:t>
            </w:r>
          </w:p>
        </w:tc>
        <w:tc>
          <w:tcPr>
            <w:tcW w:w="1770" w:type="dxa"/>
            <w:tcMar>
              <w:top w:w="100" w:type="dxa"/>
              <w:left w:w="100" w:type="dxa"/>
              <w:bottom w:w="100" w:type="dxa"/>
              <w:right w:w="100" w:type="dxa"/>
            </w:tcMar>
          </w:tcPr>
          <w:p w14:paraId="479CB67B"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 emerging adults (18-25) reflecting on experiences of 10-14-year-olds</w:t>
            </w:r>
          </w:p>
        </w:tc>
        <w:tc>
          <w:tcPr>
            <w:tcW w:w="1320" w:type="dxa"/>
            <w:tcMar>
              <w:top w:w="100" w:type="dxa"/>
              <w:left w:w="100" w:type="dxa"/>
              <w:bottom w:w="100" w:type="dxa"/>
              <w:right w:w="100" w:type="dxa"/>
            </w:tcMar>
          </w:tcPr>
          <w:p w14:paraId="62116F5D"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Sexual and reproductive health rights (SRHR), sex education</w:t>
            </w:r>
          </w:p>
        </w:tc>
        <w:tc>
          <w:tcPr>
            <w:tcW w:w="1320" w:type="dxa"/>
            <w:tcMar>
              <w:top w:w="100" w:type="dxa"/>
              <w:left w:w="100" w:type="dxa"/>
              <w:bottom w:w="100" w:type="dxa"/>
              <w:right w:w="100" w:type="dxa"/>
            </w:tcMar>
          </w:tcPr>
          <w:p w14:paraId="51EA2517"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Economic resources, gender expectations, limited sex education</w:t>
            </w:r>
          </w:p>
        </w:tc>
        <w:tc>
          <w:tcPr>
            <w:tcW w:w="1320" w:type="dxa"/>
            <w:tcMar>
              <w:top w:w="100" w:type="dxa"/>
              <w:left w:w="100" w:type="dxa"/>
              <w:bottom w:w="100" w:type="dxa"/>
              <w:right w:w="100" w:type="dxa"/>
            </w:tcMar>
          </w:tcPr>
          <w:p w14:paraId="1E9DC92F"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Economic constraints and gender expectations expose adolescents to risky sexual behaviors; parental support and sex education can </w:t>
            </w:r>
            <w:r>
              <w:rPr>
                <w:rFonts w:ascii="Times New Roman" w:eastAsia="Times New Roman" w:hAnsi="Times New Roman" w:cs="Times New Roman"/>
                <w:sz w:val="24"/>
                <w:szCs w:val="24"/>
                <w:highlight w:val="white"/>
              </w:rPr>
              <w:lastRenderedPageBreak/>
              <w:t>mitigate risks</w:t>
            </w:r>
          </w:p>
        </w:tc>
      </w:tr>
      <w:tr w:rsidR="00101E6B" w14:paraId="50036067" w14:textId="77777777">
        <w:tc>
          <w:tcPr>
            <w:tcW w:w="1185" w:type="dxa"/>
            <w:tcMar>
              <w:top w:w="100" w:type="dxa"/>
              <w:left w:w="100" w:type="dxa"/>
              <w:bottom w:w="100" w:type="dxa"/>
              <w:right w:w="100" w:type="dxa"/>
            </w:tcMar>
          </w:tcPr>
          <w:p w14:paraId="62AC31A3" w14:textId="77777777" w:rsidR="00101E6B" w:rsidRDefault="006149C7">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 xml:space="preserve">Hensen et al. (2023) </w:t>
            </w:r>
          </w:p>
        </w:tc>
        <w:tc>
          <w:tcPr>
            <w:tcW w:w="1185" w:type="dxa"/>
            <w:tcMar>
              <w:top w:w="100" w:type="dxa"/>
              <w:left w:w="100" w:type="dxa"/>
              <w:bottom w:w="100" w:type="dxa"/>
              <w:right w:w="100" w:type="dxa"/>
            </w:tcMar>
          </w:tcPr>
          <w:p w14:paraId="02F91E06"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Zambia</w:t>
            </w:r>
          </w:p>
        </w:tc>
        <w:tc>
          <w:tcPr>
            <w:tcW w:w="1140" w:type="dxa"/>
            <w:tcMar>
              <w:top w:w="100" w:type="dxa"/>
              <w:left w:w="100" w:type="dxa"/>
              <w:bottom w:w="100" w:type="dxa"/>
              <w:right w:w="100" w:type="dxa"/>
            </w:tcMar>
          </w:tcPr>
          <w:p w14:paraId="2A017D8F"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Cluster-randomized trial</w:t>
            </w:r>
          </w:p>
        </w:tc>
        <w:tc>
          <w:tcPr>
            <w:tcW w:w="1770" w:type="dxa"/>
            <w:tcMar>
              <w:top w:w="100" w:type="dxa"/>
              <w:left w:w="100" w:type="dxa"/>
              <w:bottom w:w="100" w:type="dxa"/>
              <w:right w:w="100" w:type="dxa"/>
            </w:tcMar>
          </w:tcPr>
          <w:p w14:paraId="163AA554"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Adolescents/young people (15–24 years)</w:t>
            </w:r>
          </w:p>
        </w:tc>
        <w:tc>
          <w:tcPr>
            <w:tcW w:w="1320" w:type="dxa"/>
            <w:tcMar>
              <w:top w:w="100" w:type="dxa"/>
              <w:left w:w="100" w:type="dxa"/>
              <w:bottom w:w="100" w:type="dxa"/>
              <w:right w:w="100" w:type="dxa"/>
            </w:tcMar>
          </w:tcPr>
          <w:p w14:paraId="62E551D8"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HIV testing, </w:t>
            </w:r>
            <w:proofErr w:type="spellStart"/>
            <w:r>
              <w:rPr>
                <w:rFonts w:ascii="Times New Roman" w:eastAsia="Times New Roman" w:hAnsi="Times New Roman" w:cs="Times New Roman"/>
                <w:sz w:val="24"/>
                <w:szCs w:val="24"/>
                <w:highlight w:val="white"/>
              </w:rPr>
              <w:t>PrEP</w:t>
            </w:r>
            <w:proofErr w:type="spellEnd"/>
            <w:r>
              <w:rPr>
                <w:rFonts w:ascii="Times New Roman" w:eastAsia="Times New Roman" w:hAnsi="Times New Roman" w:cs="Times New Roman"/>
                <w:sz w:val="24"/>
                <w:szCs w:val="24"/>
                <w:highlight w:val="white"/>
              </w:rPr>
              <w:t>, contraception</w:t>
            </w:r>
          </w:p>
        </w:tc>
        <w:tc>
          <w:tcPr>
            <w:tcW w:w="1320" w:type="dxa"/>
            <w:tcMar>
              <w:top w:w="100" w:type="dxa"/>
              <w:left w:w="100" w:type="dxa"/>
              <w:bottom w:w="100" w:type="dxa"/>
              <w:right w:w="100" w:type="dxa"/>
            </w:tcMar>
          </w:tcPr>
          <w:p w14:paraId="1281AC81"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Peer-led service delivery, reward system</w:t>
            </w:r>
          </w:p>
        </w:tc>
        <w:tc>
          <w:tcPr>
            <w:tcW w:w="1320" w:type="dxa"/>
            <w:tcMar>
              <w:top w:w="100" w:type="dxa"/>
              <w:left w:w="100" w:type="dxa"/>
              <w:bottom w:w="100" w:type="dxa"/>
              <w:right w:w="100" w:type="dxa"/>
            </w:tcMar>
          </w:tcPr>
          <w:p w14:paraId="13C38CF5"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Increased HIV testing knowledge, but no significant impact on </w:t>
            </w:r>
            <w:proofErr w:type="spellStart"/>
            <w:r>
              <w:rPr>
                <w:rFonts w:ascii="Times New Roman" w:eastAsia="Times New Roman" w:hAnsi="Times New Roman" w:cs="Times New Roman"/>
                <w:sz w:val="24"/>
                <w:szCs w:val="24"/>
                <w:highlight w:val="white"/>
              </w:rPr>
              <w:t>PrEP</w:t>
            </w:r>
            <w:proofErr w:type="spellEnd"/>
            <w:r>
              <w:rPr>
                <w:rFonts w:ascii="Times New Roman" w:eastAsia="Times New Roman" w:hAnsi="Times New Roman" w:cs="Times New Roman"/>
                <w:sz w:val="24"/>
                <w:szCs w:val="24"/>
                <w:highlight w:val="white"/>
              </w:rPr>
              <w:t xml:space="preserve"> uptake</w:t>
            </w:r>
          </w:p>
        </w:tc>
      </w:tr>
      <w:tr w:rsidR="00101E6B" w14:paraId="56E375D4" w14:textId="77777777">
        <w:tc>
          <w:tcPr>
            <w:tcW w:w="1185" w:type="dxa"/>
            <w:tcMar>
              <w:top w:w="100" w:type="dxa"/>
              <w:left w:w="100" w:type="dxa"/>
              <w:bottom w:w="100" w:type="dxa"/>
              <w:right w:w="100" w:type="dxa"/>
            </w:tcMar>
          </w:tcPr>
          <w:p w14:paraId="2C96419C" w14:textId="77777777" w:rsidR="00101E6B" w:rsidRDefault="006149C7">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Ugwu et al. (2022) </w:t>
            </w:r>
          </w:p>
        </w:tc>
        <w:tc>
          <w:tcPr>
            <w:tcW w:w="1185" w:type="dxa"/>
            <w:tcMar>
              <w:top w:w="100" w:type="dxa"/>
              <w:left w:w="100" w:type="dxa"/>
              <w:bottom w:w="100" w:type="dxa"/>
              <w:right w:w="100" w:type="dxa"/>
            </w:tcMar>
          </w:tcPr>
          <w:p w14:paraId="1B5FD09F"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Nigeria</w:t>
            </w:r>
          </w:p>
        </w:tc>
        <w:tc>
          <w:tcPr>
            <w:tcW w:w="1140" w:type="dxa"/>
            <w:tcMar>
              <w:top w:w="100" w:type="dxa"/>
              <w:left w:w="100" w:type="dxa"/>
              <w:bottom w:w="100" w:type="dxa"/>
              <w:right w:w="100" w:type="dxa"/>
            </w:tcMar>
          </w:tcPr>
          <w:p w14:paraId="45D31A29"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Quantitative Cross-sectional</w:t>
            </w:r>
          </w:p>
        </w:tc>
        <w:tc>
          <w:tcPr>
            <w:tcW w:w="1770" w:type="dxa"/>
            <w:tcMar>
              <w:top w:w="100" w:type="dxa"/>
              <w:left w:w="100" w:type="dxa"/>
              <w:bottom w:w="100" w:type="dxa"/>
              <w:right w:w="100" w:type="dxa"/>
            </w:tcMar>
          </w:tcPr>
          <w:p w14:paraId="4E9F6BCA"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Adolescents/young people (age 15-24) </w:t>
            </w:r>
          </w:p>
        </w:tc>
        <w:tc>
          <w:tcPr>
            <w:tcW w:w="1320" w:type="dxa"/>
            <w:tcMar>
              <w:top w:w="100" w:type="dxa"/>
              <w:left w:w="100" w:type="dxa"/>
              <w:bottom w:w="100" w:type="dxa"/>
              <w:right w:w="100" w:type="dxa"/>
            </w:tcMar>
          </w:tcPr>
          <w:p w14:paraId="54F6F681"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Contraceptive use, HIV prevention</w:t>
            </w:r>
          </w:p>
        </w:tc>
        <w:tc>
          <w:tcPr>
            <w:tcW w:w="1320" w:type="dxa"/>
            <w:tcMar>
              <w:top w:w="100" w:type="dxa"/>
              <w:left w:w="100" w:type="dxa"/>
              <w:bottom w:w="100" w:type="dxa"/>
              <w:right w:w="100" w:type="dxa"/>
            </w:tcMar>
          </w:tcPr>
          <w:p w14:paraId="215B8FB4"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Socio-cultural barriers, lack of confidentiality</w:t>
            </w:r>
          </w:p>
        </w:tc>
        <w:tc>
          <w:tcPr>
            <w:tcW w:w="1320" w:type="dxa"/>
            <w:tcMar>
              <w:top w:w="100" w:type="dxa"/>
              <w:left w:w="100" w:type="dxa"/>
              <w:bottom w:w="100" w:type="dxa"/>
              <w:right w:w="100" w:type="dxa"/>
            </w:tcMar>
          </w:tcPr>
          <w:p w14:paraId="50A4A1E4"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Majority of youth knowledgeable about SRH, but barriers like embarrassment prevent use of services</w:t>
            </w:r>
          </w:p>
        </w:tc>
      </w:tr>
      <w:tr w:rsidR="00101E6B" w14:paraId="110B07D2" w14:textId="77777777">
        <w:tc>
          <w:tcPr>
            <w:tcW w:w="1185" w:type="dxa"/>
            <w:tcMar>
              <w:top w:w="100" w:type="dxa"/>
              <w:left w:w="100" w:type="dxa"/>
              <w:bottom w:w="100" w:type="dxa"/>
              <w:right w:w="100" w:type="dxa"/>
            </w:tcMar>
          </w:tcPr>
          <w:p w14:paraId="6F2C2339" w14:textId="77777777" w:rsidR="00101E6B" w:rsidRDefault="006149C7">
            <w:pPr>
              <w:spacing w:before="240" w:after="240" w:line="360" w:lineRule="auto"/>
              <w:rPr>
                <w:rFonts w:ascii="Times New Roman" w:eastAsia="Times New Roman" w:hAnsi="Times New Roman" w:cs="Times New Roman"/>
                <w:b/>
                <w:bCs/>
                <w:sz w:val="24"/>
                <w:szCs w:val="24"/>
                <w:highlight w:val="white"/>
              </w:rPr>
            </w:pPr>
            <w:proofErr w:type="spellStart"/>
            <w:r>
              <w:rPr>
                <w:rFonts w:ascii="Times New Roman" w:eastAsia="Times New Roman" w:hAnsi="Times New Roman" w:cs="Times New Roman"/>
                <w:b/>
                <w:bCs/>
                <w:sz w:val="24"/>
                <w:szCs w:val="24"/>
                <w:highlight w:val="white"/>
              </w:rPr>
              <w:t>Mtae</w:t>
            </w:r>
            <w:proofErr w:type="spellEnd"/>
            <w:r>
              <w:rPr>
                <w:rFonts w:ascii="Times New Roman" w:eastAsia="Times New Roman" w:hAnsi="Times New Roman" w:cs="Times New Roman"/>
                <w:b/>
                <w:bCs/>
                <w:sz w:val="24"/>
                <w:szCs w:val="24"/>
                <w:highlight w:val="white"/>
              </w:rPr>
              <w:t xml:space="preserve"> (2025) </w:t>
            </w:r>
          </w:p>
        </w:tc>
        <w:tc>
          <w:tcPr>
            <w:tcW w:w="1185" w:type="dxa"/>
            <w:tcMar>
              <w:top w:w="100" w:type="dxa"/>
              <w:left w:w="100" w:type="dxa"/>
              <w:bottom w:w="100" w:type="dxa"/>
              <w:right w:w="100" w:type="dxa"/>
            </w:tcMar>
          </w:tcPr>
          <w:p w14:paraId="0B50406A"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Tanzania</w:t>
            </w:r>
          </w:p>
        </w:tc>
        <w:tc>
          <w:tcPr>
            <w:tcW w:w="1140" w:type="dxa"/>
            <w:tcMar>
              <w:top w:w="100" w:type="dxa"/>
              <w:left w:w="100" w:type="dxa"/>
              <w:bottom w:w="100" w:type="dxa"/>
              <w:right w:w="100" w:type="dxa"/>
            </w:tcMar>
          </w:tcPr>
          <w:p w14:paraId="20C3DBFB"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Qualitative</w:t>
            </w:r>
          </w:p>
        </w:tc>
        <w:tc>
          <w:tcPr>
            <w:tcW w:w="1770" w:type="dxa"/>
            <w:tcMar>
              <w:top w:w="100" w:type="dxa"/>
              <w:left w:w="100" w:type="dxa"/>
              <w:bottom w:w="100" w:type="dxa"/>
              <w:right w:w="100" w:type="dxa"/>
            </w:tcMar>
          </w:tcPr>
          <w:p w14:paraId="14DAEBE0"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Adolescents (age 15-19)  </w:t>
            </w:r>
          </w:p>
        </w:tc>
        <w:tc>
          <w:tcPr>
            <w:tcW w:w="1320" w:type="dxa"/>
            <w:tcMar>
              <w:top w:w="100" w:type="dxa"/>
              <w:left w:w="100" w:type="dxa"/>
              <w:bottom w:w="100" w:type="dxa"/>
              <w:right w:w="100" w:type="dxa"/>
            </w:tcMar>
          </w:tcPr>
          <w:p w14:paraId="2D97B2FD"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Contraception, HIV prevention</w:t>
            </w:r>
          </w:p>
        </w:tc>
        <w:tc>
          <w:tcPr>
            <w:tcW w:w="1320" w:type="dxa"/>
            <w:tcMar>
              <w:top w:w="100" w:type="dxa"/>
              <w:left w:w="100" w:type="dxa"/>
              <w:bottom w:w="100" w:type="dxa"/>
              <w:right w:w="100" w:type="dxa"/>
            </w:tcMar>
          </w:tcPr>
          <w:p w14:paraId="2FBA59BF"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Distance to clinics, lack of </w:t>
            </w:r>
            <w:r>
              <w:rPr>
                <w:rFonts w:ascii="Times New Roman" w:eastAsia="Times New Roman" w:hAnsi="Times New Roman" w:cs="Times New Roman"/>
                <w:sz w:val="24"/>
                <w:szCs w:val="24"/>
                <w:highlight w:val="white"/>
              </w:rPr>
              <w:lastRenderedPageBreak/>
              <w:t>education, cultural stigma</w:t>
            </w:r>
          </w:p>
        </w:tc>
        <w:tc>
          <w:tcPr>
            <w:tcW w:w="1320" w:type="dxa"/>
            <w:tcMar>
              <w:top w:w="100" w:type="dxa"/>
              <w:left w:w="100" w:type="dxa"/>
              <w:bottom w:w="100" w:type="dxa"/>
              <w:right w:w="100" w:type="dxa"/>
            </w:tcMar>
          </w:tcPr>
          <w:p w14:paraId="1B11B2F4"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Youth-friendly services </w:t>
            </w:r>
            <w:r>
              <w:rPr>
                <w:rFonts w:ascii="Times New Roman" w:eastAsia="Times New Roman" w:hAnsi="Times New Roman" w:cs="Times New Roman"/>
                <w:sz w:val="24"/>
                <w:szCs w:val="24"/>
                <w:highlight w:val="white"/>
              </w:rPr>
              <w:lastRenderedPageBreak/>
              <w:t>and peer-led education are critical to increasing SRH service use</w:t>
            </w:r>
          </w:p>
        </w:tc>
      </w:tr>
      <w:tr w:rsidR="00101E6B" w14:paraId="5C0023D6" w14:textId="77777777">
        <w:tc>
          <w:tcPr>
            <w:tcW w:w="1185" w:type="dxa"/>
            <w:tcMar>
              <w:top w:w="100" w:type="dxa"/>
              <w:left w:w="100" w:type="dxa"/>
              <w:bottom w:w="100" w:type="dxa"/>
              <w:right w:w="100" w:type="dxa"/>
            </w:tcMar>
          </w:tcPr>
          <w:p w14:paraId="6F37BA35" w14:textId="77777777" w:rsidR="00101E6B" w:rsidRDefault="006149C7">
            <w:pPr>
              <w:spacing w:before="240" w:after="240" w:line="360" w:lineRule="auto"/>
              <w:rPr>
                <w:rFonts w:ascii="Times New Roman" w:eastAsia="Times New Roman" w:hAnsi="Times New Roman" w:cs="Times New Roman"/>
                <w:b/>
                <w:bCs/>
                <w:sz w:val="24"/>
                <w:szCs w:val="24"/>
                <w:highlight w:val="white"/>
              </w:rPr>
            </w:pPr>
            <w:proofErr w:type="spellStart"/>
            <w:r>
              <w:rPr>
                <w:rFonts w:ascii="Times New Roman" w:eastAsia="Times New Roman" w:hAnsi="Times New Roman" w:cs="Times New Roman"/>
                <w:b/>
                <w:bCs/>
                <w:sz w:val="24"/>
                <w:szCs w:val="24"/>
                <w:highlight w:val="white"/>
              </w:rPr>
              <w:lastRenderedPageBreak/>
              <w:t>Mbizvo</w:t>
            </w:r>
            <w:proofErr w:type="spellEnd"/>
            <w:r>
              <w:rPr>
                <w:rFonts w:ascii="Times New Roman" w:eastAsia="Times New Roman" w:hAnsi="Times New Roman" w:cs="Times New Roman"/>
                <w:b/>
                <w:bCs/>
                <w:sz w:val="24"/>
                <w:szCs w:val="24"/>
                <w:highlight w:val="white"/>
              </w:rPr>
              <w:t xml:space="preserve"> et al. (2023) </w:t>
            </w:r>
          </w:p>
        </w:tc>
        <w:tc>
          <w:tcPr>
            <w:tcW w:w="1185" w:type="dxa"/>
            <w:tcMar>
              <w:top w:w="100" w:type="dxa"/>
              <w:left w:w="100" w:type="dxa"/>
              <w:bottom w:w="100" w:type="dxa"/>
              <w:right w:w="100" w:type="dxa"/>
            </w:tcMar>
          </w:tcPr>
          <w:p w14:paraId="47EF88ED"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Zambia</w:t>
            </w:r>
          </w:p>
        </w:tc>
        <w:tc>
          <w:tcPr>
            <w:tcW w:w="1140" w:type="dxa"/>
            <w:tcMar>
              <w:top w:w="100" w:type="dxa"/>
              <w:left w:w="100" w:type="dxa"/>
              <w:bottom w:w="100" w:type="dxa"/>
              <w:right w:w="100" w:type="dxa"/>
            </w:tcMar>
          </w:tcPr>
          <w:p w14:paraId="4B64C7BC"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RCT</w:t>
            </w:r>
          </w:p>
        </w:tc>
        <w:tc>
          <w:tcPr>
            <w:tcW w:w="1770" w:type="dxa"/>
            <w:tcMar>
              <w:top w:w="100" w:type="dxa"/>
              <w:left w:w="100" w:type="dxa"/>
              <w:bottom w:w="100" w:type="dxa"/>
              <w:right w:w="100" w:type="dxa"/>
            </w:tcMar>
          </w:tcPr>
          <w:p w14:paraId="744F56C1"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In-school AGYW (10–24 years)</w:t>
            </w:r>
          </w:p>
        </w:tc>
        <w:tc>
          <w:tcPr>
            <w:tcW w:w="1320" w:type="dxa"/>
            <w:tcMar>
              <w:top w:w="100" w:type="dxa"/>
              <w:left w:w="100" w:type="dxa"/>
              <w:bottom w:w="100" w:type="dxa"/>
              <w:right w:w="100" w:type="dxa"/>
            </w:tcMar>
          </w:tcPr>
          <w:p w14:paraId="22C013B0"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CSE, SRH services</w:t>
            </w:r>
          </w:p>
        </w:tc>
        <w:tc>
          <w:tcPr>
            <w:tcW w:w="1320" w:type="dxa"/>
            <w:tcMar>
              <w:top w:w="100" w:type="dxa"/>
              <w:left w:w="100" w:type="dxa"/>
              <w:bottom w:w="100" w:type="dxa"/>
              <w:right w:w="100" w:type="dxa"/>
            </w:tcMar>
          </w:tcPr>
          <w:p w14:paraId="3DC01E3B"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CSE linkage to health services</w:t>
            </w:r>
          </w:p>
        </w:tc>
        <w:tc>
          <w:tcPr>
            <w:tcW w:w="1320" w:type="dxa"/>
            <w:tcMar>
              <w:top w:w="100" w:type="dxa"/>
              <w:left w:w="100" w:type="dxa"/>
              <w:bottom w:w="100" w:type="dxa"/>
              <w:right w:w="100" w:type="dxa"/>
            </w:tcMar>
          </w:tcPr>
          <w:p w14:paraId="0E54885E"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Decline in early unintended pregnancies in intervention arms</w:t>
            </w:r>
          </w:p>
        </w:tc>
      </w:tr>
      <w:tr w:rsidR="00101E6B" w14:paraId="11E6AF1F" w14:textId="77777777">
        <w:tc>
          <w:tcPr>
            <w:tcW w:w="1185" w:type="dxa"/>
            <w:tcMar>
              <w:top w:w="100" w:type="dxa"/>
              <w:left w:w="100" w:type="dxa"/>
              <w:bottom w:w="100" w:type="dxa"/>
              <w:right w:w="100" w:type="dxa"/>
            </w:tcMar>
          </w:tcPr>
          <w:p w14:paraId="0C6BB099" w14:textId="77777777" w:rsidR="00101E6B" w:rsidRDefault="006149C7">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Roberts et al. (2020) </w:t>
            </w:r>
          </w:p>
        </w:tc>
        <w:tc>
          <w:tcPr>
            <w:tcW w:w="1185" w:type="dxa"/>
            <w:tcMar>
              <w:top w:w="100" w:type="dxa"/>
              <w:left w:w="100" w:type="dxa"/>
              <w:bottom w:w="100" w:type="dxa"/>
              <w:right w:w="100" w:type="dxa"/>
            </w:tcMar>
          </w:tcPr>
          <w:p w14:paraId="1A62879F"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Kenya</w:t>
            </w:r>
          </w:p>
        </w:tc>
        <w:tc>
          <w:tcPr>
            <w:tcW w:w="1140" w:type="dxa"/>
            <w:tcMar>
              <w:top w:w="100" w:type="dxa"/>
              <w:left w:w="100" w:type="dxa"/>
              <w:bottom w:w="100" w:type="dxa"/>
              <w:right w:w="100" w:type="dxa"/>
            </w:tcMar>
          </w:tcPr>
          <w:p w14:paraId="50F98E6A"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Cross-sectional, survey</w:t>
            </w:r>
          </w:p>
        </w:tc>
        <w:tc>
          <w:tcPr>
            <w:tcW w:w="1770" w:type="dxa"/>
            <w:tcMar>
              <w:top w:w="100" w:type="dxa"/>
              <w:left w:w="100" w:type="dxa"/>
              <w:bottom w:w="100" w:type="dxa"/>
              <w:right w:w="100" w:type="dxa"/>
            </w:tcMar>
          </w:tcPr>
          <w:p w14:paraId="10D9666E"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YSW (14–24 years)</w:t>
            </w:r>
          </w:p>
        </w:tc>
        <w:tc>
          <w:tcPr>
            <w:tcW w:w="1320" w:type="dxa"/>
            <w:tcMar>
              <w:top w:w="100" w:type="dxa"/>
              <w:left w:w="100" w:type="dxa"/>
              <w:bottom w:w="100" w:type="dxa"/>
              <w:right w:w="100" w:type="dxa"/>
            </w:tcMar>
          </w:tcPr>
          <w:p w14:paraId="7F3B4F57"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STI testing, HIV prevention</w:t>
            </w:r>
          </w:p>
        </w:tc>
        <w:tc>
          <w:tcPr>
            <w:tcW w:w="1320" w:type="dxa"/>
            <w:tcMar>
              <w:top w:w="100" w:type="dxa"/>
              <w:left w:w="100" w:type="dxa"/>
              <w:bottom w:w="100" w:type="dxa"/>
              <w:right w:w="100" w:type="dxa"/>
            </w:tcMar>
          </w:tcPr>
          <w:p w14:paraId="215FC474"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Violence, stigma, economic barriers</w:t>
            </w:r>
          </w:p>
        </w:tc>
        <w:tc>
          <w:tcPr>
            <w:tcW w:w="1320" w:type="dxa"/>
            <w:tcMar>
              <w:top w:w="100" w:type="dxa"/>
              <w:left w:w="100" w:type="dxa"/>
              <w:bottom w:w="100" w:type="dxa"/>
              <w:right w:w="100" w:type="dxa"/>
            </w:tcMar>
          </w:tcPr>
          <w:p w14:paraId="720055C1"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47.3% inconsistent condom use, 25.7% aware of programs</w:t>
            </w:r>
          </w:p>
        </w:tc>
      </w:tr>
      <w:tr w:rsidR="00101E6B" w14:paraId="49FA5336" w14:textId="77777777">
        <w:tc>
          <w:tcPr>
            <w:tcW w:w="1185" w:type="dxa"/>
            <w:tcMar>
              <w:top w:w="100" w:type="dxa"/>
              <w:left w:w="100" w:type="dxa"/>
              <w:bottom w:w="100" w:type="dxa"/>
              <w:right w:w="100" w:type="dxa"/>
            </w:tcMar>
          </w:tcPr>
          <w:p w14:paraId="59D90237" w14:textId="77777777" w:rsidR="00101E6B" w:rsidRDefault="006149C7">
            <w:pPr>
              <w:spacing w:before="240" w:after="240" w:line="360" w:lineRule="auto"/>
              <w:rPr>
                <w:rFonts w:ascii="Times New Roman" w:eastAsia="Times New Roman" w:hAnsi="Times New Roman" w:cs="Times New Roman"/>
                <w:b/>
                <w:bCs/>
                <w:sz w:val="24"/>
                <w:szCs w:val="24"/>
                <w:highlight w:val="white"/>
              </w:rPr>
            </w:pPr>
            <w:proofErr w:type="spellStart"/>
            <w:r>
              <w:rPr>
                <w:rFonts w:ascii="Times New Roman" w:eastAsia="Times New Roman" w:hAnsi="Times New Roman" w:cs="Times New Roman"/>
                <w:b/>
                <w:bCs/>
                <w:sz w:val="24"/>
                <w:szCs w:val="24"/>
                <w:highlight w:val="white"/>
              </w:rPr>
              <w:t>Ahlou</w:t>
            </w:r>
            <w:proofErr w:type="spellEnd"/>
            <w:r>
              <w:rPr>
                <w:rFonts w:ascii="Times New Roman" w:eastAsia="Times New Roman" w:hAnsi="Times New Roman" w:cs="Times New Roman"/>
                <w:b/>
                <w:bCs/>
                <w:sz w:val="24"/>
                <w:szCs w:val="24"/>
                <w:highlight w:val="white"/>
              </w:rPr>
              <w:t xml:space="preserve"> et al. (2024) </w:t>
            </w:r>
          </w:p>
        </w:tc>
        <w:tc>
          <w:tcPr>
            <w:tcW w:w="1185" w:type="dxa"/>
            <w:tcMar>
              <w:top w:w="100" w:type="dxa"/>
              <w:left w:w="100" w:type="dxa"/>
              <w:bottom w:w="100" w:type="dxa"/>
              <w:right w:w="100" w:type="dxa"/>
            </w:tcMar>
          </w:tcPr>
          <w:p w14:paraId="7536DC88"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Central Africa</w:t>
            </w:r>
          </w:p>
        </w:tc>
        <w:tc>
          <w:tcPr>
            <w:tcW w:w="1140" w:type="dxa"/>
            <w:tcMar>
              <w:top w:w="100" w:type="dxa"/>
              <w:left w:w="100" w:type="dxa"/>
              <w:bottom w:w="100" w:type="dxa"/>
              <w:right w:w="100" w:type="dxa"/>
            </w:tcMar>
          </w:tcPr>
          <w:p w14:paraId="54B74477"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Qualitative</w:t>
            </w:r>
          </w:p>
        </w:tc>
        <w:tc>
          <w:tcPr>
            <w:tcW w:w="1770" w:type="dxa"/>
            <w:tcMar>
              <w:top w:w="100" w:type="dxa"/>
              <w:left w:w="100" w:type="dxa"/>
              <w:bottom w:w="100" w:type="dxa"/>
              <w:right w:w="100" w:type="dxa"/>
            </w:tcMar>
          </w:tcPr>
          <w:p w14:paraId="15CA7B33"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Adolescents (15–19 years), both genders</w:t>
            </w:r>
          </w:p>
        </w:tc>
        <w:tc>
          <w:tcPr>
            <w:tcW w:w="1320" w:type="dxa"/>
            <w:tcMar>
              <w:top w:w="100" w:type="dxa"/>
              <w:left w:w="100" w:type="dxa"/>
              <w:bottom w:w="100" w:type="dxa"/>
              <w:right w:w="100" w:type="dxa"/>
            </w:tcMar>
          </w:tcPr>
          <w:p w14:paraId="13E51192"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Family planning, STI prevention, </w:t>
            </w:r>
            <w:r>
              <w:rPr>
                <w:rFonts w:ascii="Times New Roman" w:eastAsia="Times New Roman" w:hAnsi="Times New Roman" w:cs="Times New Roman"/>
                <w:sz w:val="24"/>
                <w:szCs w:val="24"/>
                <w:highlight w:val="white"/>
              </w:rPr>
              <w:lastRenderedPageBreak/>
              <w:t>reproductive health education</w:t>
            </w:r>
          </w:p>
        </w:tc>
        <w:tc>
          <w:tcPr>
            <w:tcW w:w="1320" w:type="dxa"/>
            <w:tcMar>
              <w:top w:w="100" w:type="dxa"/>
              <w:left w:w="100" w:type="dxa"/>
              <w:bottom w:w="100" w:type="dxa"/>
              <w:right w:w="100" w:type="dxa"/>
            </w:tcMar>
          </w:tcPr>
          <w:p w14:paraId="55DFD0CD"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Health system inadequaci</w:t>
            </w:r>
            <w:r>
              <w:rPr>
                <w:rFonts w:ascii="Times New Roman" w:eastAsia="Times New Roman" w:hAnsi="Times New Roman" w:cs="Times New Roman"/>
                <w:sz w:val="24"/>
                <w:szCs w:val="24"/>
                <w:highlight w:val="white"/>
              </w:rPr>
              <w:lastRenderedPageBreak/>
              <w:t>es, social norms</w:t>
            </w:r>
          </w:p>
        </w:tc>
        <w:tc>
          <w:tcPr>
            <w:tcW w:w="1320" w:type="dxa"/>
            <w:tcMar>
              <w:top w:w="100" w:type="dxa"/>
              <w:left w:w="100" w:type="dxa"/>
              <w:bottom w:w="100" w:type="dxa"/>
              <w:right w:w="100" w:type="dxa"/>
            </w:tcMar>
          </w:tcPr>
          <w:p w14:paraId="065A1C3F"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Identified systemic barriers to </w:t>
            </w:r>
            <w:r>
              <w:rPr>
                <w:rFonts w:ascii="Times New Roman" w:eastAsia="Times New Roman" w:hAnsi="Times New Roman" w:cs="Times New Roman"/>
                <w:sz w:val="24"/>
                <w:szCs w:val="24"/>
                <w:highlight w:val="white"/>
              </w:rPr>
              <w:lastRenderedPageBreak/>
              <w:t>SRH service use</w:t>
            </w:r>
          </w:p>
        </w:tc>
      </w:tr>
      <w:tr w:rsidR="00101E6B" w14:paraId="7CB1336E" w14:textId="77777777">
        <w:tc>
          <w:tcPr>
            <w:tcW w:w="1185" w:type="dxa"/>
            <w:tcMar>
              <w:top w:w="100" w:type="dxa"/>
              <w:left w:w="100" w:type="dxa"/>
              <w:bottom w:w="100" w:type="dxa"/>
              <w:right w:w="100" w:type="dxa"/>
            </w:tcMar>
          </w:tcPr>
          <w:p w14:paraId="23570C8B" w14:textId="77777777" w:rsidR="00101E6B" w:rsidRDefault="006149C7">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 xml:space="preserve">Zielinski et al. (2024) </w:t>
            </w:r>
          </w:p>
        </w:tc>
        <w:tc>
          <w:tcPr>
            <w:tcW w:w="1185" w:type="dxa"/>
            <w:tcMar>
              <w:top w:w="100" w:type="dxa"/>
              <w:left w:w="100" w:type="dxa"/>
              <w:bottom w:w="100" w:type="dxa"/>
              <w:right w:w="100" w:type="dxa"/>
            </w:tcMar>
          </w:tcPr>
          <w:p w14:paraId="5D8906BD"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Ghana</w:t>
            </w:r>
          </w:p>
        </w:tc>
        <w:tc>
          <w:tcPr>
            <w:tcW w:w="1140" w:type="dxa"/>
            <w:tcMar>
              <w:top w:w="100" w:type="dxa"/>
              <w:left w:w="100" w:type="dxa"/>
              <w:bottom w:w="100" w:type="dxa"/>
              <w:right w:w="100" w:type="dxa"/>
            </w:tcMar>
          </w:tcPr>
          <w:p w14:paraId="6CD45D1F"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Cluster RCT</w:t>
            </w:r>
          </w:p>
        </w:tc>
        <w:tc>
          <w:tcPr>
            <w:tcW w:w="1770" w:type="dxa"/>
            <w:tcMar>
              <w:top w:w="100" w:type="dxa"/>
              <w:left w:w="100" w:type="dxa"/>
              <w:bottom w:w="100" w:type="dxa"/>
              <w:right w:w="100" w:type="dxa"/>
            </w:tcMar>
          </w:tcPr>
          <w:p w14:paraId="2A054DA6"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Adolescents/young Women (15–24 years), married</w:t>
            </w:r>
          </w:p>
        </w:tc>
        <w:tc>
          <w:tcPr>
            <w:tcW w:w="1320" w:type="dxa"/>
            <w:tcMar>
              <w:top w:w="100" w:type="dxa"/>
              <w:left w:w="100" w:type="dxa"/>
              <w:bottom w:w="100" w:type="dxa"/>
              <w:right w:w="100" w:type="dxa"/>
            </w:tcMar>
          </w:tcPr>
          <w:p w14:paraId="288095A0"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Family planning</w:t>
            </w:r>
          </w:p>
        </w:tc>
        <w:tc>
          <w:tcPr>
            <w:tcW w:w="1320" w:type="dxa"/>
            <w:tcMar>
              <w:top w:w="100" w:type="dxa"/>
              <w:left w:w="100" w:type="dxa"/>
              <w:bottom w:w="100" w:type="dxa"/>
              <w:right w:w="100" w:type="dxa"/>
            </w:tcMar>
          </w:tcPr>
          <w:p w14:paraId="67F8D711"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Limited access, social norms, and education</w:t>
            </w:r>
          </w:p>
        </w:tc>
        <w:tc>
          <w:tcPr>
            <w:tcW w:w="1320" w:type="dxa"/>
            <w:tcMar>
              <w:top w:w="100" w:type="dxa"/>
              <w:left w:w="100" w:type="dxa"/>
              <w:bottom w:w="100" w:type="dxa"/>
              <w:right w:w="100" w:type="dxa"/>
            </w:tcMar>
          </w:tcPr>
          <w:p w14:paraId="505F8D01"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Higher FP knowledge and uptake in intervention groups</w:t>
            </w:r>
          </w:p>
        </w:tc>
      </w:tr>
      <w:tr w:rsidR="00101E6B" w14:paraId="37FB3FDA" w14:textId="77777777">
        <w:tc>
          <w:tcPr>
            <w:tcW w:w="1185" w:type="dxa"/>
            <w:tcMar>
              <w:top w:w="100" w:type="dxa"/>
              <w:left w:w="100" w:type="dxa"/>
              <w:bottom w:w="100" w:type="dxa"/>
              <w:right w:w="100" w:type="dxa"/>
            </w:tcMar>
          </w:tcPr>
          <w:p w14:paraId="350EFB86" w14:textId="77777777" w:rsidR="00101E6B" w:rsidRDefault="006149C7">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Bomfim et al. (2020) </w:t>
            </w:r>
          </w:p>
        </w:tc>
        <w:tc>
          <w:tcPr>
            <w:tcW w:w="1185" w:type="dxa"/>
            <w:tcMar>
              <w:top w:w="100" w:type="dxa"/>
              <w:left w:w="100" w:type="dxa"/>
              <w:bottom w:w="100" w:type="dxa"/>
              <w:right w:w="100" w:type="dxa"/>
            </w:tcMar>
          </w:tcPr>
          <w:p w14:paraId="1AD40133"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Mozambique</w:t>
            </w:r>
          </w:p>
        </w:tc>
        <w:tc>
          <w:tcPr>
            <w:tcW w:w="1140" w:type="dxa"/>
            <w:tcMar>
              <w:top w:w="100" w:type="dxa"/>
              <w:left w:w="100" w:type="dxa"/>
              <w:bottom w:w="100" w:type="dxa"/>
              <w:right w:w="100" w:type="dxa"/>
            </w:tcMar>
          </w:tcPr>
          <w:p w14:paraId="523EB9DF"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Descriptive Cross-sectional</w:t>
            </w:r>
          </w:p>
        </w:tc>
        <w:tc>
          <w:tcPr>
            <w:tcW w:w="1770" w:type="dxa"/>
            <w:tcMar>
              <w:top w:w="100" w:type="dxa"/>
              <w:left w:w="100" w:type="dxa"/>
              <w:bottom w:w="100" w:type="dxa"/>
              <w:right w:w="100" w:type="dxa"/>
            </w:tcMar>
          </w:tcPr>
          <w:p w14:paraId="4B6D90A1"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Adolescents/young people (age 10-24) </w:t>
            </w:r>
          </w:p>
        </w:tc>
        <w:tc>
          <w:tcPr>
            <w:tcW w:w="1320" w:type="dxa"/>
            <w:tcMar>
              <w:top w:w="100" w:type="dxa"/>
              <w:left w:w="100" w:type="dxa"/>
              <w:bottom w:w="100" w:type="dxa"/>
              <w:right w:w="100" w:type="dxa"/>
            </w:tcMar>
          </w:tcPr>
          <w:p w14:paraId="45524A8D"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Family planning, pregnancy prevention</w:t>
            </w:r>
          </w:p>
        </w:tc>
        <w:tc>
          <w:tcPr>
            <w:tcW w:w="1320" w:type="dxa"/>
            <w:tcMar>
              <w:top w:w="100" w:type="dxa"/>
              <w:left w:w="100" w:type="dxa"/>
              <w:bottom w:w="100" w:type="dxa"/>
              <w:right w:w="100" w:type="dxa"/>
            </w:tcMar>
          </w:tcPr>
          <w:p w14:paraId="0102E9CE"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Lack of access to trained personnel, stigma, cultural norms</w:t>
            </w:r>
          </w:p>
        </w:tc>
        <w:tc>
          <w:tcPr>
            <w:tcW w:w="1320" w:type="dxa"/>
            <w:tcMar>
              <w:top w:w="100" w:type="dxa"/>
              <w:left w:w="100" w:type="dxa"/>
              <w:bottom w:w="100" w:type="dxa"/>
              <w:right w:w="100" w:type="dxa"/>
            </w:tcMar>
          </w:tcPr>
          <w:p w14:paraId="67D02A7F"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Positive feedback for youth-friendly services, though adolescent pregnancy rates remain high</w:t>
            </w:r>
          </w:p>
        </w:tc>
      </w:tr>
    </w:tbl>
    <w:p w14:paraId="3CCD5AD9"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i/>
          <w:iCs/>
          <w:sz w:val="18"/>
          <w:szCs w:val="18"/>
          <w:highlight w:val="white"/>
        </w:rPr>
        <w:t xml:space="preserve">[SSA: Sub-Saharan Africa; AGYW: Adolescent girls and young women; YFS: Youth-friendly services; CSE: Comprehensive Sexuality Education; HIV: Human Immunodeficiency Virus; STI: Sexually Transmitted Infection; </w:t>
      </w:r>
      <w:proofErr w:type="spellStart"/>
      <w:r>
        <w:rPr>
          <w:rFonts w:ascii="Times New Roman" w:eastAsia="Times New Roman" w:hAnsi="Times New Roman" w:cs="Times New Roman"/>
          <w:b/>
          <w:bCs/>
          <w:i/>
          <w:iCs/>
          <w:sz w:val="18"/>
          <w:szCs w:val="18"/>
          <w:highlight w:val="white"/>
        </w:rPr>
        <w:t>PrEP</w:t>
      </w:r>
      <w:proofErr w:type="spellEnd"/>
      <w:r>
        <w:rPr>
          <w:rFonts w:ascii="Times New Roman" w:eastAsia="Times New Roman" w:hAnsi="Times New Roman" w:cs="Times New Roman"/>
          <w:b/>
          <w:bCs/>
          <w:i/>
          <w:iCs/>
          <w:sz w:val="18"/>
          <w:szCs w:val="18"/>
          <w:highlight w:val="white"/>
        </w:rPr>
        <w:t>: Pre-exposure prophylaxis; FP: Family planning; YSW: Young sex workers]</w:t>
      </w:r>
    </w:p>
    <w:p w14:paraId="2D2309B4"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Table 2: Characteristics of Included Policy Documents</w:t>
      </w:r>
    </w:p>
    <w:tbl>
      <w:tblPr>
        <w:tblStyle w:val="a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101E6B" w14:paraId="1AD265F1" w14:textId="77777777">
        <w:tc>
          <w:tcPr>
            <w:tcW w:w="2340" w:type="dxa"/>
            <w:tcMar>
              <w:top w:w="100" w:type="dxa"/>
              <w:left w:w="100" w:type="dxa"/>
              <w:bottom w:w="100" w:type="dxa"/>
              <w:right w:w="100" w:type="dxa"/>
            </w:tcMar>
          </w:tcPr>
          <w:p w14:paraId="3438142F" w14:textId="77777777" w:rsidR="00101E6B" w:rsidRDefault="006149C7">
            <w:pPr>
              <w:spacing w:before="240" w:after="240"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Document Title</w:t>
            </w:r>
          </w:p>
        </w:tc>
        <w:tc>
          <w:tcPr>
            <w:tcW w:w="2340" w:type="dxa"/>
            <w:tcMar>
              <w:top w:w="100" w:type="dxa"/>
              <w:left w:w="100" w:type="dxa"/>
              <w:bottom w:w="100" w:type="dxa"/>
              <w:right w:w="100" w:type="dxa"/>
            </w:tcMar>
          </w:tcPr>
          <w:p w14:paraId="666B2816" w14:textId="77777777" w:rsidR="00101E6B" w:rsidRDefault="006149C7">
            <w:pPr>
              <w:spacing w:before="240" w:after="240"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Key SRH Issues Addressed</w:t>
            </w:r>
          </w:p>
        </w:tc>
        <w:tc>
          <w:tcPr>
            <w:tcW w:w="2340" w:type="dxa"/>
            <w:tcMar>
              <w:top w:w="100" w:type="dxa"/>
              <w:left w:w="100" w:type="dxa"/>
              <w:bottom w:w="100" w:type="dxa"/>
              <w:right w:w="100" w:type="dxa"/>
            </w:tcMar>
          </w:tcPr>
          <w:p w14:paraId="37EDCC1A" w14:textId="77777777" w:rsidR="00101E6B" w:rsidRDefault="006149C7">
            <w:pPr>
              <w:spacing w:before="240" w:after="240"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Policy Recommendations</w:t>
            </w:r>
          </w:p>
        </w:tc>
        <w:tc>
          <w:tcPr>
            <w:tcW w:w="2340" w:type="dxa"/>
            <w:tcMar>
              <w:top w:w="100" w:type="dxa"/>
              <w:left w:w="100" w:type="dxa"/>
              <w:bottom w:w="100" w:type="dxa"/>
              <w:right w:w="100" w:type="dxa"/>
            </w:tcMar>
          </w:tcPr>
          <w:p w14:paraId="38BBE1CE" w14:textId="77777777" w:rsidR="00101E6B" w:rsidRDefault="006149C7">
            <w:pPr>
              <w:spacing w:before="240" w:after="240"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Source</w:t>
            </w:r>
          </w:p>
        </w:tc>
      </w:tr>
      <w:tr w:rsidR="00101E6B" w14:paraId="4556CF8E" w14:textId="77777777">
        <w:tc>
          <w:tcPr>
            <w:tcW w:w="2340" w:type="dxa"/>
            <w:tcMar>
              <w:top w:w="100" w:type="dxa"/>
              <w:left w:w="100" w:type="dxa"/>
              <w:bottom w:w="100" w:type="dxa"/>
              <w:right w:w="100" w:type="dxa"/>
            </w:tcMar>
          </w:tcPr>
          <w:p w14:paraId="149D9AAE"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Rwanda Adolescent Sexual and Reproductive Health Strategic Plan (2018-2024)</w:t>
            </w:r>
          </w:p>
        </w:tc>
        <w:tc>
          <w:tcPr>
            <w:tcW w:w="2340" w:type="dxa"/>
            <w:tcMar>
              <w:top w:w="100" w:type="dxa"/>
              <w:left w:w="100" w:type="dxa"/>
              <w:bottom w:w="100" w:type="dxa"/>
              <w:right w:w="100" w:type="dxa"/>
            </w:tcMar>
          </w:tcPr>
          <w:p w14:paraId="7D43CDAA"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Family planning, SRH education, youth-friendly services, menstrual health</w:t>
            </w:r>
          </w:p>
        </w:tc>
        <w:tc>
          <w:tcPr>
            <w:tcW w:w="2340" w:type="dxa"/>
            <w:tcMar>
              <w:top w:w="100" w:type="dxa"/>
              <w:left w:w="100" w:type="dxa"/>
              <w:bottom w:w="100" w:type="dxa"/>
              <w:right w:w="100" w:type="dxa"/>
            </w:tcMar>
          </w:tcPr>
          <w:p w14:paraId="2D35E566"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Strengthen youth-friendly services, integrate menstrual health, enhance youth participation</w:t>
            </w:r>
          </w:p>
        </w:tc>
        <w:tc>
          <w:tcPr>
            <w:tcW w:w="2340" w:type="dxa"/>
            <w:tcMar>
              <w:top w:w="100" w:type="dxa"/>
              <w:left w:w="100" w:type="dxa"/>
              <w:bottom w:w="100" w:type="dxa"/>
              <w:right w:w="100" w:type="dxa"/>
            </w:tcMar>
          </w:tcPr>
          <w:p w14:paraId="07AE509A"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Rwanda Ministry of Health</w:t>
            </w:r>
          </w:p>
        </w:tc>
      </w:tr>
      <w:tr w:rsidR="00101E6B" w14:paraId="6E356B76" w14:textId="77777777">
        <w:tc>
          <w:tcPr>
            <w:tcW w:w="2340" w:type="dxa"/>
            <w:tcMar>
              <w:top w:w="100" w:type="dxa"/>
              <w:left w:w="100" w:type="dxa"/>
              <w:bottom w:w="100" w:type="dxa"/>
              <w:right w:w="100" w:type="dxa"/>
            </w:tcMar>
          </w:tcPr>
          <w:p w14:paraId="2E65497D" w14:textId="77777777" w:rsidR="00101E6B" w:rsidRDefault="006149C7">
            <w:pPr>
              <w:pStyle w:val="Heading1"/>
              <w:keepNext w:val="0"/>
              <w:keepLines w:val="0"/>
              <w:widowControl w:val="0"/>
              <w:pBdr>
                <w:bottom w:val="none" w:sz="0" w:space="6" w:color="000000"/>
              </w:pBdr>
              <w:spacing w:before="0" w:after="0" w:line="360" w:lineRule="auto"/>
              <w:rPr>
                <w:rFonts w:ascii="Times New Roman" w:eastAsia="Times New Roman" w:hAnsi="Times New Roman" w:cs="Times New Roman"/>
                <w:b/>
                <w:bCs/>
                <w:sz w:val="24"/>
                <w:szCs w:val="24"/>
                <w:highlight w:val="white"/>
              </w:rPr>
            </w:pPr>
            <w:bookmarkStart w:id="13" w:name="_heading=h.fjnq6nfz93ax" w:colFirst="0" w:colLast="0"/>
            <w:bookmarkEnd w:id="13"/>
            <w:r>
              <w:rPr>
                <w:rFonts w:ascii="Gungsuh" w:eastAsia="Gungsuh" w:hAnsi="Gungsuh" w:cs="Gungsuh"/>
                <w:b/>
                <w:bCs/>
                <w:sz w:val="24"/>
                <w:szCs w:val="24"/>
                <w:highlight w:val="white"/>
              </w:rPr>
              <w:t>Strengthening resilience for sexual and reproductive health in West and Central Africa 2018−2021</w:t>
            </w:r>
          </w:p>
          <w:p w14:paraId="7EC0FE26" w14:textId="77777777" w:rsidR="00101E6B" w:rsidRDefault="00101E6B">
            <w:pPr>
              <w:widowControl w:val="0"/>
              <w:spacing w:line="360" w:lineRule="auto"/>
              <w:rPr>
                <w:rFonts w:ascii="Times New Roman" w:eastAsia="Times New Roman" w:hAnsi="Times New Roman" w:cs="Times New Roman"/>
                <w:sz w:val="24"/>
                <w:szCs w:val="24"/>
                <w:highlight w:val="white"/>
              </w:rPr>
            </w:pPr>
          </w:p>
        </w:tc>
        <w:tc>
          <w:tcPr>
            <w:tcW w:w="2340" w:type="dxa"/>
            <w:tcMar>
              <w:top w:w="100" w:type="dxa"/>
              <w:left w:w="100" w:type="dxa"/>
              <w:bottom w:w="100" w:type="dxa"/>
              <w:right w:w="100" w:type="dxa"/>
            </w:tcMar>
          </w:tcPr>
          <w:p w14:paraId="4CE2EB6B"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Family planning, HIV prevention, child marriage prevention</w:t>
            </w:r>
          </w:p>
        </w:tc>
        <w:tc>
          <w:tcPr>
            <w:tcW w:w="2340" w:type="dxa"/>
            <w:tcMar>
              <w:top w:w="100" w:type="dxa"/>
              <w:left w:w="100" w:type="dxa"/>
              <w:bottom w:w="100" w:type="dxa"/>
              <w:right w:w="100" w:type="dxa"/>
            </w:tcMar>
          </w:tcPr>
          <w:p w14:paraId="386E4C33"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Improve integration of SRH services, increase accessibility of family planning, reduce early pregnancies</w:t>
            </w:r>
          </w:p>
        </w:tc>
        <w:tc>
          <w:tcPr>
            <w:tcW w:w="2340" w:type="dxa"/>
            <w:tcMar>
              <w:top w:w="100" w:type="dxa"/>
              <w:left w:w="100" w:type="dxa"/>
              <w:bottom w:w="100" w:type="dxa"/>
              <w:right w:w="100" w:type="dxa"/>
            </w:tcMar>
          </w:tcPr>
          <w:p w14:paraId="7A6E22AE"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UNFPA (United Nations Population Fund) </w:t>
            </w:r>
          </w:p>
        </w:tc>
      </w:tr>
      <w:tr w:rsidR="00101E6B" w14:paraId="18C27438" w14:textId="77777777">
        <w:tc>
          <w:tcPr>
            <w:tcW w:w="2340" w:type="dxa"/>
            <w:tcMar>
              <w:top w:w="100" w:type="dxa"/>
              <w:left w:w="100" w:type="dxa"/>
              <w:bottom w:w="100" w:type="dxa"/>
              <w:right w:w="100" w:type="dxa"/>
            </w:tcMar>
          </w:tcPr>
          <w:p w14:paraId="1268909F"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Adolescent and Youth Sexual and Reproductive Health and Rights Services</w:t>
            </w:r>
          </w:p>
        </w:tc>
        <w:tc>
          <w:tcPr>
            <w:tcW w:w="2340" w:type="dxa"/>
            <w:tcMar>
              <w:top w:w="100" w:type="dxa"/>
              <w:left w:w="100" w:type="dxa"/>
              <w:bottom w:w="100" w:type="dxa"/>
              <w:right w:w="100" w:type="dxa"/>
            </w:tcMar>
          </w:tcPr>
          <w:p w14:paraId="5080D5E3"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Sexual rights, HIV/STI prevention, education on reproductive health</w:t>
            </w:r>
          </w:p>
        </w:tc>
        <w:tc>
          <w:tcPr>
            <w:tcW w:w="2340" w:type="dxa"/>
            <w:tcMar>
              <w:top w:w="100" w:type="dxa"/>
              <w:left w:w="100" w:type="dxa"/>
              <w:bottom w:w="100" w:type="dxa"/>
              <w:right w:w="100" w:type="dxa"/>
            </w:tcMar>
          </w:tcPr>
          <w:p w14:paraId="799A5328"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Strengthen access to reproductive health education, integrate SRH in youth programs</w:t>
            </w:r>
          </w:p>
        </w:tc>
        <w:tc>
          <w:tcPr>
            <w:tcW w:w="2340" w:type="dxa"/>
            <w:tcMar>
              <w:top w:w="100" w:type="dxa"/>
              <w:left w:w="100" w:type="dxa"/>
              <w:bottom w:w="100" w:type="dxa"/>
              <w:right w:w="100" w:type="dxa"/>
            </w:tcMar>
          </w:tcPr>
          <w:p w14:paraId="307522BD"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UNFPA WCARO (West and Central Africa Regional Office) </w:t>
            </w:r>
          </w:p>
        </w:tc>
      </w:tr>
      <w:tr w:rsidR="00101E6B" w14:paraId="7C071E39" w14:textId="77777777">
        <w:tc>
          <w:tcPr>
            <w:tcW w:w="2340" w:type="dxa"/>
            <w:tcMar>
              <w:top w:w="100" w:type="dxa"/>
              <w:left w:w="100" w:type="dxa"/>
              <w:bottom w:w="100" w:type="dxa"/>
              <w:right w:w="100" w:type="dxa"/>
            </w:tcMar>
          </w:tcPr>
          <w:p w14:paraId="76F14DB9"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Sierra Leone National Strategy for the Reduction of Adolescent Pregnancy and Ending Child Marriage (2025-2030)</w:t>
            </w:r>
          </w:p>
        </w:tc>
        <w:tc>
          <w:tcPr>
            <w:tcW w:w="2340" w:type="dxa"/>
            <w:tcMar>
              <w:top w:w="100" w:type="dxa"/>
              <w:left w:w="100" w:type="dxa"/>
              <w:bottom w:w="100" w:type="dxa"/>
              <w:right w:w="100" w:type="dxa"/>
            </w:tcMar>
          </w:tcPr>
          <w:p w14:paraId="223FBA0E"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Adolescent pregnancy, child marriage, reproductive health education</w:t>
            </w:r>
          </w:p>
        </w:tc>
        <w:tc>
          <w:tcPr>
            <w:tcW w:w="2340" w:type="dxa"/>
            <w:tcMar>
              <w:top w:w="100" w:type="dxa"/>
              <w:left w:w="100" w:type="dxa"/>
              <w:bottom w:w="100" w:type="dxa"/>
              <w:right w:w="100" w:type="dxa"/>
            </w:tcMar>
          </w:tcPr>
          <w:p w14:paraId="01D16AB4"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Provide comprehensive sexual education, expand youth-friendly services, reduce early marriages</w:t>
            </w:r>
          </w:p>
        </w:tc>
        <w:tc>
          <w:tcPr>
            <w:tcW w:w="2340" w:type="dxa"/>
            <w:tcMar>
              <w:top w:w="100" w:type="dxa"/>
              <w:left w:w="100" w:type="dxa"/>
              <w:bottom w:w="100" w:type="dxa"/>
              <w:right w:w="100" w:type="dxa"/>
            </w:tcMar>
          </w:tcPr>
          <w:p w14:paraId="59F73708"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Sierra Leone Ministry of Health and Sanitation </w:t>
            </w:r>
          </w:p>
        </w:tc>
      </w:tr>
      <w:tr w:rsidR="00101E6B" w14:paraId="6A65633E" w14:textId="77777777">
        <w:tc>
          <w:tcPr>
            <w:tcW w:w="2340" w:type="dxa"/>
            <w:tcMar>
              <w:top w:w="100" w:type="dxa"/>
              <w:left w:w="100" w:type="dxa"/>
              <w:bottom w:w="100" w:type="dxa"/>
              <w:right w:w="100" w:type="dxa"/>
            </w:tcMar>
          </w:tcPr>
          <w:p w14:paraId="381F6C44"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Sexual and Reproductive Health- Fact sheet 28-05-2020</w:t>
            </w:r>
          </w:p>
        </w:tc>
        <w:tc>
          <w:tcPr>
            <w:tcW w:w="2340" w:type="dxa"/>
            <w:tcMar>
              <w:top w:w="100" w:type="dxa"/>
              <w:left w:w="100" w:type="dxa"/>
              <w:bottom w:w="100" w:type="dxa"/>
              <w:right w:w="100" w:type="dxa"/>
            </w:tcMar>
          </w:tcPr>
          <w:p w14:paraId="28893469"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Family planning, sexual rights, health education</w:t>
            </w:r>
          </w:p>
        </w:tc>
        <w:tc>
          <w:tcPr>
            <w:tcW w:w="2340" w:type="dxa"/>
            <w:tcMar>
              <w:top w:w="100" w:type="dxa"/>
              <w:left w:w="100" w:type="dxa"/>
              <w:bottom w:w="100" w:type="dxa"/>
              <w:right w:w="100" w:type="dxa"/>
            </w:tcMar>
          </w:tcPr>
          <w:p w14:paraId="32AC7377"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Improve access to family planning services, integrate SRH in educational curricula</w:t>
            </w:r>
          </w:p>
        </w:tc>
        <w:tc>
          <w:tcPr>
            <w:tcW w:w="2340" w:type="dxa"/>
            <w:tcMar>
              <w:top w:w="100" w:type="dxa"/>
              <w:left w:w="100" w:type="dxa"/>
              <w:bottom w:w="100" w:type="dxa"/>
              <w:right w:w="100" w:type="dxa"/>
            </w:tcMar>
          </w:tcPr>
          <w:p w14:paraId="1CD67579"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World Health Organization (WHO) </w:t>
            </w:r>
          </w:p>
        </w:tc>
      </w:tr>
      <w:tr w:rsidR="00101E6B" w14:paraId="7A31CFB5" w14:textId="77777777">
        <w:tc>
          <w:tcPr>
            <w:tcW w:w="2340" w:type="dxa"/>
            <w:tcMar>
              <w:top w:w="100" w:type="dxa"/>
              <w:left w:w="100" w:type="dxa"/>
              <w:bottom w:w="100" w:type="dxa"/>
              <w:right w:w="100" w:type="dxa"/>
            </w:tcMar>
          </w:tcPr>
          <w:p w14:paraId="4E9D3BE1" w14:textId="77777777" w:rsidR="00101E6B" w:rsidRDefault="006149C7">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Adolescent Sexual and Reproductive Health Rights</w:t>
            </w:r>
          </w:p>
          <w:p w14:paraId="010F1855" w14:textId="77777777" w:rsidR="00101E6B" w:rsidRDefault="00101E6B">
            <w:pPr>
              <w:spacing w:before="240" w:after="240" w:line="360" w:lineRule="auto"/>
              <w:rPr>
                <w:rFonts w:ascii="Times New Roman" w:eastAsia="Times New Roman" w:hAnsi="Times New Roman" w:cs="Times New Roman"/>
                <w:b/>
                <w:bCs/>
                <w:sz w:val="24"/>
                <w:szCs w:val="24"/>
                <w:highlight w:val="white"/>
              </w:rPr>
            </w:pPr>
          </w:p>
        </w:tc>
        <w:tc>
          <w:tcPr>
            <w:tcW w:w="2340" w:type="dxa"/>
            <w:tcMar>
              <w:top w:w="100" w:type="dxa"/>
              <w:left w:w="100" w:type="dxa"/>
              <w:bottom w:w="100" w:type="dxa"/>
              <w:right w:w="100" w:type="dxa"/>
            </w:tcMar>
          </w:tcPr>
          <w:p w14:paraId="3B253671"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Adolescent SRH, gender-based violence, harmful practices, comprehensive sexuality education (CSE), youth leadership and participation.</w:t>
            </w:r>
          </w:p>
        </w:tc>
        <w:tc>
          <w:tcPr>
            <w:tcW w:w="2340" w:type="dxa"/>
            <w:tcMar>
              <w:top w:w="100" w:type="dxa"/>
              <w:left w:w="100" w:type="dxa"/>
              <w:bottom w:w="100" w:type="dxa"/>
              <w:right w:w="100" w:type="dxa"/>
            </w:tcMar>
          </w:tcPr>
          <w:p w14:paraId="1DA6646C"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Promote rights-based, gender-responsive SRH services. Support CSE in schools and communities. Involve adolescents in program design.</w:t>
            </w:r>
          </w:p>
        </w:tc>
        <w:tc>
          <w:tcPr>
            <w:tcW w:w="2340" w:type="dxa"/>
            <w:tcMar>
              <w:top w:w="100" w:type="dxa"/>
              <w:left w:w="100" w:type="dxa"/>
              <w:bottom w:w="100" w:type="dxa"/>
              <w:right w:w="100" w:type="dxa"/>
            </w:tcMar>
          </w:tcPr>
          <w:p w14:paraId="13673A3C"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United Nations Population Fund (UNFPA) </w:t>
            </w:r>
          </w:p>
        </w:tc>
      </w:tr>
    </w:tbl>
    <w:p w14:paraId="63FA50A2" w14:textId="77777777" w:rsidR="00101E6B" w:rsidRDefault="00101E6B">
      <w:pPr>
        <w:spacing w:before="240" w:after="240" w:line="360" w:lineRule="auto"/>
        <w:rPr>
          <w:rFonts w:ascii="Times New Roman" w:eastAsia="Times New Roman" w:hAnsi="Times New Roman" w:cs="Times New Roman"/>
          <w:sz w:val="24"/>
          <w:szCs w:val="24"/>
          <w:highlight w:val="white"/>
        </w:rPr>
      </w:pPr>
    </w:p>
    <w:p w14:paraId="14F436B0" w14:textId="77777777" w:rsidR="00101E6B" w:rsidRDefault="006149C7">
      <w:pPr>
        <w:pStyle w:val="Heading3"/>
        <w:keepNext w:val="0"/>
        <w:keepLines w:val="0"/>
        <w:spacing w:before="280" w:line="360" w:lineRule="auto"/>
        <w:rPr>
          <w:rFonts w:ascii="Times New Roman" w:eastAsia="Times New Roman" w:hAnsi="Times New Roman" w:cs="Times New Roman"/>
          <w:color w:val="000000"/>
          <w:highlight w:val="white"/>
        </w:rPr>
      </w:pPr>
      <w:bookmarkStart w:id="14" w:name="_heading=h.dacy7bs5lc69" w:colFirst="0" w:colLast="0"/>
      <w:bookmarkEnd w:id="14"/>
      <w:r>
        <w:rPr>
          <w:rFonts w:ascii="Times New Roman" w:eastAsia="Times New Roman" w:hAnsi="Times New Roman" w:cs="Times New Roman"/>
          <w:b/>
          <w:bCs/>
          <w:color w:val="000000"/>
          <w:sz w:val="32"/>
          <w:szCs w:val="32"/>
          <w:highlight w:val="white"/>
        </w:rPr>
        <w:t>Narrative Synthesis</w:t>
      </w:r>
    </w:p>
    <w:p w14:paraId="77E2BDA0" w14:textId="77777777" w:rsidR="00101E6B" w:rsidRDefault="006149C7">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15" w:name="_heading=h.itkfycpm0tdf" w:colFirst="0" w:colLast="0"/>
      <w:bookmarkEnd w:id="15"/>
      <w:r>
        <w:rPr>
          <w:rFonts w:ascii="Times New Roman" w:eastAsia="Times New Roman" w:hAnsi="Times New Roman" w:cs="Times New Roman"/>
          <w:b/>
          <w:bCs/>
          <w:color w:val="000000"/>
          <w:sz w:val="28"/>
          <w:szCs w:val="28"/>
          <w:highlight w:val="white"/>
        </w:rPr>
        <w:lastRenderedPageBreak/>
        <w:t>Types of SRH Services Available to Adolescents</w:t>
      </w:r>
    </w:p>
    <w:p w14:paraId="50918C19"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SSA, the spectrum of available SRH services for adolescents includes family planning, HIV prevention, STI testing, sexual education, and counseling. However, the uptake and quality of these services remain varied. Research by James et al. (2022) found that while services like contraception and condoms are available, there remains a substantial gap in utilization, especially in rural areas. A similar pattern is noted in the study by </w:t>
      </w:r>
      <w:proofErr w:type="spellStart"/>
      <w:r>
        <w:rPr>
          <w:rFonts w:ascii="Times New Roman" w:eastAsia="Times New Roman" w:hAnsi="Times New Roman" w:cs="Times New Roman"/>
          <w:sz w:val="24"/>
          <w:szCs w:val="24"/>
          <w:highlight w:val="white"/>
        </w:rPr>
        <w:t>Ashipala</w:t>
      </w:r>
      <w:proofErr w:type="spellEnd"/>
      <w:r>
        <w:rPr>
          <w:rFonts w:ascii="Times New Roman" w:eastAsia="Times New Roman" w:hAnsi="Times New Roman" w:cs="Times New Roman"/>
          <w:sz w:val="24"/>
          <w:szCs w:val="24"/>
          <w:highlight w:val="white"/>
        </w:rPr>
        <w:t xml:space="preserve"> and </w:t>
      </w:r>
      <w:proofErr w:type="spellStart"/>
      <w:r>
        <w:rPr>
          <w:rFonts w:ascii="Times New Roman" w:eastAsia="Times New Roman" w:hAnsi="Times New Roman" w:cs="Times New Roman"/>
          <w:sz w:val="24"/>
          <w:szCs w:val="24"/>
          <w:highlight w:val="white"/>
        </w:rPr>
        <w:t>Katjimune</w:t>
      </w:r>
      <w:proofErr w:type="spellEnd"/>
      <w:r>
        <w:rPr>
          <w:rFonts w:ascii="Times New Roman" w:eastAsia="Times New Roman" w:hAnsi="Times New Roman" w:cs="Times New Roman"/>
          <w:sz w:val="24"/>
          <w:szCs w:val="24"/>
          <w:highlight w:val="white"/>
        </w:rPr>
        <w:t xml:space="preserve"> (2025), where adolescent-friendly health services (AFHS) in Namibia are underutilized due to a lack of adolescent-specific training for health providers, as well as cultural barriers surrounding youth sexuality. Obi-Nwosu et al. (2023) reported that although HIV testing and counseling services are accessible in urban areas, many adolescents are hesitant to use them due to concerns over confidentiality and societal stigma.</w:t>
      </w:r>
    </w:p>
    <w:p w14:paraId="7AB8875A"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Interestingly, the availability of youth-friendly health services (YFS) has been identified as a crucial factor in enhancing service utilization. Kereta et al. (2021) highlights that in Ethiopia, the introduction of YFS in several regions has significantly increased adolescent engagement with SRH services, particularly among girls and young women. This is supported by Gondwe et al. (2025) study, in which menstrual hygiene management in </w:t>
      </w:r>
      <w:proofErr w:type="gramStart"/>
      <w:r>
        <w:rPr>
          <w:rFonts w:ascii="Times New Roman" w:eastAsia="Times New Roman" w:hAnsi="Times New Roman" w:cs="Times New Roman"/>
          <w:sz w:val="24"/>
          <w:szCs w:val="24"/>
          <w:highlight w:val="white"/>
        </w:rPr>
        <w:t>Zambia  was</w:t>
      </w:r>
      <w:proofErr w:type="gramEnd"/>
      <w:r>
        <w:rPr>
          <w:rFonts w:ascii="Times New Roman" w:eastAsia="Times New Roman" w:hAnsi="Times New Roman" w:cs="Times New Roman"/>
          <w:sz w:val="24"/>
          <w:szCs w:val="24"/>
          <w:highlight w:val="white"/>
        </w:rPr>
        <w:t xml:space="preserve"> evaluated and according to this study, providing accessible menstrual health products alongside reproductive health education greatly increases adolescent confidence in accessing health services.  </w:t>
      </w:r>
    </w:p>
    <w:p w14:paraId="142D7398"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61A281C4" wp14:editId="325913DF">
            <wp:extent cx="5943600" cy="29591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2959100"/>
                    </a:xfrm>
                    <a:prstGeom prst="rect">
                      <a:avLst/>
                    </a:prstGeom>
                    <a:ln/>
                  </pic:spPr>
                </pic:pic>
              </a:graphicData>
            </a:graphic>
          </wp:inline>
        </w:drawing>
      </w:r>
    </w:p>
    <w:p w14:paraId="2EB85746" w14:textId="77777777" w:rsidR="00101E6B" w:rsidRDefault="006149C7">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Figure 2: SRH Service Utilization Rates by Urban and Rural Areas</w:t>
      </w:r>
    </w:p>
    <w:p w14:paraId="70F8F616"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utilization rates depicted in Figure 2 reflects the reported service utilization rates in urban and rural areas for a range of SRH services, including contraception, STI prevention, menstrual health, HIV testing, and family planning education.</w:t>
      </w:r>
    </w:p>
    <w:p w14:paraId="1A05AC25" w14:textId="77777777" w:rsidR="00101E6B" w:rsidRDefault="006149C7">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16" w:name="_heading=h.iba39fix0gv7" w:colFirst="0" w:colLast="0"/>
      <w:bookmarkEnd w:id="16"/>
      <w:r>
        <w:rPr>
          <w:rFonts w:ascii="Times New Roman" w:eastAsia="Times New Roman" w:hAnsi="Times New Roman" w:cs="Times New Roman"/>
          <w:b/>
          <w:bCs/>
          <w:color w:val="000000"/>
          <w:sz w:val="28"/>
          <w:szCs w:val="28"/>
          <w:highlight w:val="white"/>
        </w:rPr>
        <w:t>Patterns of Utilization Across Different Sub-regions</w:t>
      </w:r>
    </w:p>
    <w:p w14:paraId="66A9CE8C"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patterns of SRH service utilization are significantly influenced by geographical location, socio-economic status, and the availability of youth-friendly services. James et al. (2022) note that contraceptive use is notably higher among adolescents in urban areas, where services are more accessible and stigma is lower. In contrast, rural adolescents face multiple barriers, including geographic isolation, economic constraints, and limited service availability. The socio-economic factors that drive these disparities are also discussed by Tallarico et al. (2021), and it was found that poverty and education level are significant predictors of SRH service access.</w:t>
      </w:r>
    </w:p>
    <w:p w14:paraId="1B65B92A" w14:textId="77777777" w:rsidR="00101E6B" w:rsidRDefault="006149C7">
      <w:pPr>
        <w:spacing w:before="240" w:after="240" w:line="360" w:lineRule="auto"/>
        <w:jc w:val="both"/>
        <w:rPr>
          <w:rFonts w:ascii="Times New Roman" w:eastAsia="Times New Roman" w:hAnsi="Times New Roman" w:cs="Times New Roman"/>
          <w:sz w:val="30"/>
          <w:szCs w:val="30"/>
          <w:highlight w:val="white"/>
        </w:rPr>
      </w:pPr>
      <w:r>
        <w:rPr>
          <w:rFonts w:ascii="Times New Roman" w:eastAsia="Times New Roman" w:hAnsi="Times New Roman" w:cs="Times New Roman"/>
          <w:sz w:val="24"/>
          <w:szCs w:val="24"/>
          <w:highlight w:val="white"/>
        </w:rPr>
        <w:t>Furthermore, Tchuisseu et al. (2023) examines access in rural Uganda, focusing on adolescents aged 10–14 years, who are often overlooked in SRH interventions. The study suggests that although rural areas in Uganda have initiated community-based SRH education programs, the uptake remains low due to deeply entrenched gender norms and a lack of parental support for sexual health education.</w:t>
      </w:r>
    </w:p>
    <w:p w14:paraId="287D2DBE" w14:textId="77777777" w:rsidR="00101E6B" w:rsidRDefault="006149C7">
      <w:pPr>
        <w:pStyle w:val="Heading4"/>
        <w:keepNext w:val="0"/>
        <w:keepLines w:val="0"/>
        <w:spacing w:before="240" w:after="40" w:line="360" w:lineRule="auto"/>
        <w:rPr>
          <w:rFonts w:ascii="Times New Roman" w:eastAsia="Times New Roman" w:hAnsi="Times New Roman" w:cs="Times New Roman"/>
          <w:b/>
          <w:bCs/>
          <w:color w:val="000000"/>
          <w:sz w:val="30"/>
          <w:szCs w:val="30"/>
          <w:highlight w:val="white"/>
        </w:rPr>
      </w:pPr>
      <w:bookmarkStart w:id="17" w:name="_heading=h.3m4rwa3ecrhd" w:colFirst="0" w:colLast="0"/>
      <w:bookmarkEnd w:id="17"/>
      <w:r>
        <w:rPr>
          <w:rFonts w:ascii="Times New Roman" w:eastAsia="Times New Roman" w:hAnsi="Times New Roman" w:cs="Times New Roman"/>
          <w:b/>
          <w:bCs/>
          <w:color w:val="000000"/>
          <w:sz w:val="30"/>
          <w:szCs w:val="30"/>
          <w:highlight w:val="white"/>
        </w:rPr>
        <w:t>Youth Preferences, Needs, and Expectations for SRH Services</w:t>
      </w:r>
    </w:p>
    <w:p w14:paraId="65508F50"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Adolescents’ preferences and expectations for SRH services reflect a desire for confidentiality, youth-centered care, and education. Studies by Hensen et al. (2023) and </w:t>
      </w:r>
      <w:proofErr w:type="spellStart"/>
      <w:r>
        <w:rPr>
          <w:rFonts w:ascii="Times New Roman" w:eastAsia="Times New Roman" w:hAnsi="Times New Roman" w:cs="Times New Roman"/>
          <w:sz w:val="24"/>
          <w:szCs w:val="24"/>
          <w:highlight w:val="white"/>
        </w:rPr>
        <w:t>Mtae</w:t>
      </w:r>
      <w:proofErr w:type="spellEnd"/>
      <w:r>
        <w:rPr>
          <w:rFonts w:ascii="Times New Roman" w:eastAsia="Times New Roman" w:hAnsi="Times New Roman" w:cs="Times New Roman"/>
          <w:sz w:val="24"/>
          <w:szCs w:val="24"/>
          <w:highlight w:val="white"/>
        </w:rPr>
        <w:t xml:space="preserve"> (2025) illustrate that youth are more likely to use SRH services when they feel the services are tailored to their needs and provided in a non-judgmental, confidential environment. Hensen et al. (2023) finds that peer-led outreach programs in Zambia have increased adolescents' HIV testing rates by 40%, as the peer model offers a sense of comfort and trust not always found in traditional healthcare settings. In addition, in Gondwe et al. (2025) study, young women in Zambia reported higher satisfaction with services when providers were trained in youth-friendly practices.</w:t>
      </w:r>
    </w:p>
    <w:p w14:paraId="5E96E03B"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However, Tchuisseu et al. (2023) reveals that in rural settings, the idealized model of confidential, youth-friendly care is often not available. Adolescents are left to navigate a health system that is not designed for their needs, with limited options for service delivery. Moreover, adolescents often express a preference for services integrated into their daily routines, such as school-based health education and services, as evidenced by </w:t>
      </w:r>
      <w:proofErr w:type="spellStart"/>
      <w:r>
        <w:rPr>
          <w:rFonts w:ascii="Times New Roman" w:eastAsia="Times New Roman" w:hAnsi="Times New Roman" w:cs="Times New Roman"/>
          <w:sz w:val="24"/>
          <w:szCs w:val="24"/>
          <w:highlight w:val="white"/>
        </w:rPr>
        <w:t>Mbizvo</w:t>
      </w:r>
      <w:proofErr w:type="spellEnd"/>
      <w:r>
        <w:rPr>
          <w:rFonts w:ascii="Times New Roman" w:eastAsia="Times New Roman" w:hAnsi="Times New Roman" w:cs="Times New Roman"/>
          <w:sz w:val="24"/>
          <w:szCs w:val="24"/>
          <w:highlight w:val="white"/>
        </w:rPr>
        <w:t xml:space="preserve"> et al. (2023), who found that linking sexual education with health services within schools improved uptake among both in-school and out-of-school adolescents.</w:t>
      </w:r>
    </w:p>
    <w:p w14:paraId="5D250E0D" w14:textId="77777777" w:rsidR="00101E6B" w:rsidRDefault="006149C7">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18" w:name="_heading=h.xx526oomzjse" w:colFirst="0" w:colLast="0"/>
      <w:bookmarkEnd w:id="18"/>
      <w:r>
        <w:rPr>
          <w:rFonts w:ascii="Times New Roman" w:eastAsia="Times New Roman" w:hAnsi="Times New Roman" w:cs="Times New Roman"/>
          <w:b/>
          <w:bCs/>
          <w:color w:val="000000"/>
          <w:sz w:val="28"/>
          <w:szCs w:val="28"/>
          <w:highlight w:val="white"/>
        </w:rPr>
        <w:t>Barriers and Challenges to Access</w:t>
      </w:r>
    </w:p>
    <w:p w14:paraId="7198E1A9" w14:textId="77777777" w:rsidR="00101E6B" w:rsidRDefault="006149C7">
      <w:pPr>
        <w:pStyle w:val="Heading5"/>
        <w:keepNext w:val="0"/>
        <w:keepLines w:val="0"/>
        <w:numPr>
          <w:ilvl w:val="0"/>
          <w:numId w:val="1"/>
        </w:numPr>
        <w:spacing w:before="220" w:after="40" w:line="360" w:lineRule="auto"/>
        <w:rPr>
          <w:rFonts w:ascii="Times New Roman" w:eastAsia="Times New Roman" w:hAnsi="Times New Roman" w:cs="Times New Roman"/>
          <w:b/>
          <w:bCs/>
          <w:color w:val="000000"/>
          <w:sz w:val="24"/>
          <w:szCs w:val="24"/>
          <w:highlight w:val="white"/>
        </w:rPr>
      </w:pPr>
      <w:bookmarkStart w:id="19" w:name="_heading=h.mqszffijg157" w:colFirst="0" w:colLast="0"/>
      <w:bookmarkEnd w:id="19"/>
      <w:r>
        <w:rPr>
          <w:rFonts w:ascii="Times New Roman" w:eastAsia="Times New Roman" w:hAnsi="Times New Roman" w:cs="Times New Roman"/>
          <w:b/>
          <w:bCs/>
          <w:color w:val="000000"/>
          <w:sz w:val="24"/>
          <w:szCs w:val="24"/>
          <w:highlight w:val="white"/>
        </w:rPr>
        <w:t>Structural and Health-System Barriers</w:t>
      </w:r>
    </w:p>
    <w:p w14:paraId="1116018A"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One of the key barriers to SRH access identified across the studies is the lack of infrastructure and trained personnel. Obi-Nwosu et al. (2023) and </w:t>
      </w:r>
      <w:proofErr w:type="spellStart"/>
      <w:r>
        <w:rPr>
          <w:rFonts w:ascii="Times New Roman" w:eastAsia="Times New Roman" w:hAnsi="Times New Roman" w:cs="Times New Roman"/>
          <w:sz w:val="24"/>
          <w:szCs w:val="24"/>
          <w:highlight w:val="white"/>
        </w:rPr>
        <w:t>Ashipala</w:t>
      </w:r>
      <w:proofErr w:type="spellEnd"/>
      <w:r>
        <w:rPr>
          <w:rFonts w:ascii="Times New Roman" w:eastAsia="Times New Roman" w:hAnsi="Times New Roman" w:cs="Times New Roman"/>
          <w:sz w:val="24"/>
          <w:szCs w:val="24"/>
          <w:highlight w:val="white"/>
        </w:rPr>
        <w:t xml:space="preserve"> and </w:t>
      </w:r>
      <w:proofErr w:type="spellStart"/>
      <w:r>
        <w:rPr>
          <w:rFonts w:ascii="Times New Roman" w:eastAsia="Times New Roman" w:hAnsi="Times New Roman" w:cs="Times New Roman"/>
          <w:sz w:val="24"/>
          <w:szCs w:val="24"/>
          <w:highlight w:val="white"/>
        </w:rPr>
        <w:t>Katjimune</w:t>
      </w:r>
      <w:proofErr w:type="spellEnd"/>
      <w:r>
        <w:rPr>
          <w:rFonts w:ascii="Times New Roman" w:eastAsia="Times New Roman" w:hAnsi="Times New Roman" w:cs="Times New Roman"/>
          <w:sz w:val="24"/>
          <w:szCs w:val="24"/>
          <w:highlight w:val="white"/>
        </w:rPr>
        <w:t xml:space="preserve"> (2025) both highlight that many health facilities in SSA are not equipped with the necessary resources, such as contraceptives, STI testing kits, and trained adolescent-specific counselors. This gap in the health system has led to the underutilization of available services, particularly in rural areas where health facilities are scarce and underfunded.</w:t>
      </w:r>
    </w:p>
    <w:p w14:paraId="1445C967"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Additionally, Tallarico et al. (2021) [25] discusses how stock-outs of essential SRH commodities, such as contraceptives and menstrual hygiene products, contribute to significant barriers. In Uganda, adolescents often resort to informal channels for obtaining contraceptives, which compromises both their health and their trust in the formal healthcare system. The economic barriers, such as the cost of services and transportation, also remain a significant hurdle, particularly for out-of-school adolescents, who have limited financial independence.</w:t>
      </w:r>
    </w:p>
    <w:p w14:paraId="544C25B8" w14:textId="77777777" w:rsidR="00101E6B" w:rsidRDefault="006149C7">
      <w:pPr>
        <w:pStyle w:val="Heading5"/>
        <w:keepNext w:val="0"/>
        <w:keepLines w:val="0"/>
        <w:numPr>
          <w:ilvl w:val="0"/>
          <w:numId w:val="1"/>
        </w:numPr>
        <w:spacing w:before="220" w:after="40" w:line="360" w:lineRule="auto"/>
        <w:rPr>
          <w:rFonts w:ascii="Times New Roman" w:eastAsia="Times New Roman" w:hAnsi="Times New Roman" w:cs="Times New Roman"/>
          <w:b/>
          <w:bCs/>
          <w:color w:val="000000"/>
          <w:sz w:val="24"/>
          <w:szCs w:val="24"/>
          <w:highlight w:val="white"/>
        </w:rPr>
      </w:pPr>
      <w:bookmarkStart w:id="20" w:name="_heading=h.87wulri1m9mc" w:colFirst="0" w:colLast="0"/>
      <w:bookmarkEnd w:id="20"/>
      <w:r>
        <w:rPr>
          <w:rFonts w:ascii="Times New Roman" w:eastAsia="Times New Roman" w:hAnsi="Times New Roman" w:cs="Times New Roman"/>
          <w:b/>
          <w:bCs/>
          <w:color w:val="000000"/>
          <w:sz w:val="24"/>
          <w:szCs w:val="24"/>
          <w:highlight w:val="white"/>
        </w:rPr>
        <w:t>Socio-Economic and Demographic Barriers</w:t>
      </w:r>
    </w:p>
    <w:p w14:paraId="084FF19E"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Socio-economic factors such as poverty, education, and gender play a significant role in determining SRH service access. Tallarico et al. (2021) identifies that adolescent girls, particularly in rural areas, face compounded challenges due to their socio-economic status and the lack of educational resources. </w:t>
      </w:r>
      <w:proofErr w:type="spellStart"/>
      <w:r>
        <w:rPr>
          <w:rFonts w:ascii="Times New Roman" w:eastAsia="Times New Roman" w:hAnsi="Times New Roman" w:cs="Times New Roman"/>
          <w:sz w:val="24"/>
          <w:szCs w:val="24"/>
          <w:highlight w:val="white"/>
        </w:rPr>
        <w:t>Mtae</w:t>
      </w:r>
      <w:proofErr w:type="spellEnd"/>
      <w:r>
        <w:rPr>
          <w:rFonts w:ascii="Times New Roman" w:eastAsia="Times New Roman" w:hAnsi="Times New Roman" w:cs="Times New Roman"/>
          <w:sz w:val="24"/>
          <w:szCs w:val="24"/>
          <w:highlight w:val="white"/>
        </w:rPr>
        <w:t xml:space="preserve"> (2025) further emphasizes how gender-based violence and limited educational opportunities are linked to poor SRH outcomes, particularly for adolescent girls in marginalized communities.  </w:t>
      </w:r>
    </w:p>
    <w:p w14:paraId="7DF4F1D8"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The gender norms that shape adolescent sexual behavior are also barriers that hinder service utilization. Tallarico et al. (2021) and Roberts et al. (2020) highlighted the reluctance of young girls to access services due to cultural stigma and family pressures. These studies suggest that greater engagement with community leaders and families is essential to addressing these socio-cultural barriers.</w:t>
      </w:r>
    </w:p>
    <w:p w14:paraId="38EED531" w14:textId="77777777" w:rsidR="00101E6B" w:rsidRDefault="006149C7">
      <w:pPr>
        <w:pStyle w:val="Heading5"/>
        <w:keepNext w:val="0"/>
        <w:keepLines w:val="0"/>
        <w:numPr>
          <w:ilvl w:val="0"/>
          <w:numId w:val="1"/>
        </w:numPr>
        <w:spacing w:before="220" w:after="40" w:line="360" w:lineRule="auto"/>
        <w:rPr>
          <w:rFonts w:ascii="Times New Roman" w:eastAsia="Times New Roman" w:hAnsi="Times New Roman" w:cs="Times New Roman"/>
          <w:b/>
          <w:bCs/>
          <w:color w:val="000000"/>
          <w:sz w:val="24"/>
          <w:szCs w:val="24"/>
          <w:highlight w:val="white"/>
        </w:rPr>
      </w:pPr>
      <w:bookmarkStart w:id="21" w:name="_heading=h.9qq3j44svvlk" w:colFirst="0" w:colLast="0"/>
      <w:bookmarkEnd w:id="21"/>
      <w:r>
        <w:rPr>
          <w:rFonts w:ascii="Times New Roman" w:eastAsia="Times New Roman" w:hAnsi="Times New Roman" w:cs="Times New Roman"/>
          <w:b/>
          <w:bCs/>
          <w:color w:val="000000"/>
          <w:sz w:val="24"/>
          <w:szCs w:val="24"/>
          <w:highlight w:val="white"/>
        </w:rPr>
        <w:t>Adolescent-Specific Constraints</w:t>
      </w:r>
    </w:p>
    <w:p w14:paraId="3D759E08"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Finally, adolescent-specific constraints such as lack of health literacy, provider attitudes, and concerns about confidentiality are frequently cited as barriers to SRH service access. Adolescents often lack accurate knowledge about their sexual health and available services, which leads to low utilization. </w:t>
      </w:r>
      <w:proofErr w:type="spellStart"/>
      <w:r>
        <w:rPr>
          <w:rFonts w:ascii="Times New Roman" w:eastAsia="Times New Roman" w:hAnsi="Times New Roman" w:cs="Times New Roman"/>
          <w:sz w:val="24"/>
          <w:szCs w:val="24"/>
          <w:highlight w:val="white"/>
        </w:rPr>
        <w:t>Ahlou</w:t>
      </w:r>
      <w:proofErr w:type="spellEnd"/>
      <w:r>
        <w:rPr>
          <w:rFonts w:ascii="Times New Roman" w:eastAsia="Times New Roman" w:hAnsi="Times New Roman" w:cs="Times New Roman"/>
          <w:sz w:val="24"/>
          <w:szCs w:val="24"/>
          <w:highlight w:val="white"/>
        </w:rPr>
        <w:t xml:space="preserve"> et al. (2024) identifies provider attitudes as one of the most significant deterrents, with many healthcare workers holding negative biases about adolescent sexuality. The fear of judgment or breach of confidentiality often prevents adolescents from seeking care, as evidenced in Roberts et al. (2020) study, in which it was found that young women selling sex in Kenya were reluctant to access healthcare due to fears of discrimination.</w:t>
      </w:r>
    </w:p>
    <w:p w14:paraId="643C5B97" w14:textId="77777777" w:rsidR="00101E6B" w:rsidRDefault="006149C7">
      <w:pPr>
        <w:pStyle w:val="Heading3"/>
        <w:keepNext w:val="0"/>
        <w:keepLines w:val="0"/>
        <w:spacing w:before="280" w:line="360" w:lineRule="auto"/>
        <w:rPr>
          <w:rFonts w:ascii="Times New Roman" w:eastAsia="Times New Roman" w:hAnsi="Times New Roman" w:cs="Times New Roman"/>
          <w:b/>
          <w:bCs/>
          <w:color w:val="000000"/>
          <w:highlight w:val="white"/>
        </w:rPr>
      </w:pPr>
      <w:bookmarkStart w:id="22" w:name="_heading=h.ds0w0cg1p3n0" w:colFirst="0" w:colLast="0"/>
      <w:bookmarkEnd w:id="22"/>
      <w:r>
        <w:rPr>
          <w:rFonts w:ascii="Times New Roman" w:eastAsia="Times New Roman" w:hAnsi="Times New Roman" w:cs="Times New Roman"/>
          <w:b/>
          <w:bCs/>
          <w:color w:val="000000"/>
          <w:highlight w:val="white"/>
        </w:rPr>
        <w:t>Policy and Programmatic Gaps</w:t>
      </w:r>
    </w:p>
    <w:p w14:paraId="7A92A304"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Despite the important strides made by several Sub-Saharan African countries, significant policy and programmatic gaps still hinder the full realization of effective Sexual and Reproductive Health (SRH) services for adolescents. These gaps have led to persistent unmet needs, particularly for the youth population, which, as noted by the Rwanda Adolescent Sexual and Reproductive Health Strategic Plan (2018-2024), continues to experience poor access to quality services (Ministry of Health (Rwanda), 2018). This has been exacerbated by weak implementation strategies, underfunding, and lack of infrastructure (UNFPA West and Central Africa, 2020).</w:t>
      </w:r>
    </w:p>
    <w:p w14:paraId="6684D79F"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For instance, Kereta et al. (2021) in Ethiopia emphasized the need for a multi-sectoral approach in addressing adolescent SRH challenges but highlighted a significant lack of enforcement of youth-friendly services (YFS) and weak integration into health systems. Similarly, according to Zielinski et al. (2024) study, despite national policy commitments, the integration of youth voices in SRH policy decision-making remains minimal, creating a disconnect between what young people need and the services offered. This lack of inclusion and effective policy enforcement leaves many </w:t>
      </w:r>
      <w:r>
        <w:rPr>
          <w:rFonts w:ascii="Times New Roman" w:eastAsia="Times New Roman" w:hAnsi="Times New Roman" w:cs="Times New Roman"/>
          <w:sz w:val="24"/>
          <w:szCs w:val="24"/>
          <w:highlight w:val="white"/>
        </w:rPr>
        <w:lastRenderedPageBreak/>
        <w:t>adolescents with limited choices when it comes to accessing sexual and reproductive health services.</w:t>
      </w:r>
    </w:p>
    <w:p w14:paraId="1150E2AE"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Furthermore, Rwanda’s FP/ASRH Strategic Plan (2018-2024) (Ministry of Health (Rwanda), 2018), and the Sierra Leone National Strategy for the Reduction of Adolescent Pregnancy and Ending Child Marriage (2025-2030) also emphasize a critical gap in the policy framework concerning the intersection of adolescent health and rights (Ministry of Health and Sanitation (Sierra Leone) &amp; UNFPA Sierra Leone, n.d.). While Sierra Leone’s strategy is focused on reducing adolescent pregnancy and child marriage, its ability to adequately address SRH needs across all youth groups remains contingent on better coordination and more robust policy design (Ministry of Health and Sanitation (Sierra Leone) &amp; UNFPA Sierra Leone, n.d.). UNFPA (2022) notes that the capacity for providing equitable SRH services is undermined by outdated policies that fail to adapt to the evolving needs of the adolescent population.</w:t>
      </w:r>
    </w:p>
    <w:p w14:paraId="6714E09C"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At the international level, UNFPA’s technical brief urges a deeper integration of menstrual health into the SRH agenda, as menstrual health is often overlooked despite its crucial role in adolescent well-being. Menstruation-related stigma continues to be a significant barrier to full SRH access, as noted in the Technical </w:t>
      </w:r>
      <w:proofErr w:type="gramStart"/>
      <w:r>
        <w:rPr>
          <w:rFonts w:ascii="Times New Roman" w:eastAsia="Times New Roman" w:hAnsi="Times New Roman" w:cs="Times New Roman"/>
          <w:sz w:val="24"/>
          <w:szCs w:val="24"/>
          <w:highlight w:val="white"/>
        </w:rPr>
        <w:t>Brief  highlighting</w:t>
      </w:r>
      <w:proofErr w:type="gramEnd"/>
      <w:r>
        <w:rPr>
          <w:rFonts w:ascii="Times New Roman" w:eastAsia="Times New Roman" w:hAnsi="Times New Roman" w:cs="Times New Roman"/>
          <w:sz w:val="24"/>
          <w:szCs w:val="24"/>
          <w:highlight w:val="white"/>
        </w:rPr>
        <w:t xml:space="preserve"> the need for policies that include menstrual health in SRH frameworks (UNFPA West and Central Africa, 2020; UNFPA, 2022a).</w:t>
      </w:r>
    </w:p>
    <w:p w14:paraId="26F9B1BE" w14:textId="77777777" w:rsidR="00101E6B" w:rsidRDefault="006149C7">
      <w:pPr>
        <w:spacing w:before="240" w:after="240" w:line="36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Opportunities and Recommended Strategies for Improvement</w:t>
      </w:r>
    </w:p>
    <w:p w14:paraId="54247D2B"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Addressing the current gaps requires a concerted effort from both policymakers and program designers. One promising intervention highlighted by </w:t>
      </w:r>
      <w:proofErr w:type="spellStart"/>
      <w:r>
        <w:rPr>
          <w:rFonts w:ascii="Times New Roman" w:eastAsia="Times New Roman" w:hAnsi="Times New Roman" w:cs="Times New Roman"/>
          <w:sz w:val="24"/>
          <w:szCs w:val="24"/>
          <w:highlight w:val="white"/>
        </w:rPr>
        <w:t>Mbizvo</w:t>
      </w:r>
      <w:proofErr w:type="spellEnd"/>
      <w:r>
        <w:rPr>
          <w:rFonts w:ascii="Times New Roman" w:eastAsia="Times New Roman" w:hAnsi="Times New Roman" w:cs="Times New Roman"/>
          <w:sz w:val="24"/>
          <w:szCs w:val="24"/>
          <w:highlight w:val="white"/>
        </w:rPr>
        <w:t xml:space="preserve"> et al. (2023) is the use of digital health interventions, such as mobile health apps, to increase access to SRH services, particularly in underserved and rural areas. Digital solutions provide an opportunity for cost-effective scaling of SRH education and service delivery, reaching young people who might otherwise be excluded from traditional healthcare settings.</w:t>
      </w:r>
    </w:p>
    <w:p w14:paraId="16E2CED6"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expansion of youth-friendly services (YFS), particularly in rural areas, is a key recommendation. Bomfim et al. (2020) and </w:t>
      </w:r>
      <w:proofErr w:type="spellStart"/>
      <w:r>
        <w:rPr>
          <w:rFonts w:ascii="Times New Roman" w:eastAsia="Times New Roman" w:hAnsi="Times New Roman" w:cs="Times New Roman"/>
          <w:sz w:val="24"/>
          <w:szCs w:val="24"/>
          <w:highlight w:val="white"/>
        </w:rPr>
        <w:t>Mtae</w:t>
      </w:r>
      <w:proofErr w:type="spellEnd"/>
      <w:r>
        <w:rPr>
          <w:rFonts w:ascii="Times New Roman" w:eastAsia="Times New Roman" w:hAnsi="Times New Roman" w:cs="Times New Roman"/>
          <w:sz w:val="24"/>
          <w:szCs w:val="24"/>
          <w:highlight w:val="white"/>
        </w:rPr>
        <w:t xml:space="preserve"> (2025) advocate for scaling up youth-friendly health services that prioritize accessibility and inclusivity. Integrating Comprehensive Sexuality Education (CSE) into educational curricula, as suggested by Kereta et al. (2021), is another </w:t>
      </w:r>
      <w:r>
        <w:rPr>
          <w:rFonts w:ascii="Times New Roman" w:eastAsia="Times New Roman" w:hAnsi="Times New Roman" w:cs="Times New Roman"/>
          <w:sz w:val="24"/>
          <w:szCs w:val="24"/>
          <w:highlight w:val="white"/>
        </w:rPr>
        <w:lastRenderedPageBreak/>
        <w:t>effective strategy that can empower adolescents with essential knowledge and reduce stigma surrounding SRH.</w:t>
      </w:r>
    </w:p>
    <w:p w14:paraId="1625B705"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Furthermore, as highlighted by the United Nations Population Fund (UNFPA), promoting rights-based, gender-responsive SRH services is essential (UNFPA, 2022b). This includes supporting the inclusion of CSE in schools and communities, ensuring that adolescents are actively involved in program design. These steps aim to create a comprehensive and responsive approach to SRHR, which can significantly improve adolescent health outcomes. By involving adolescents directly in the design and implementation of these programs, it will help to ensure that the services meet their evolving needs, fostering an environment of trust and respect that is crucial for effective SRH education and service delivery.</w:t>
      </w:r>
    </w:p>
    <w:p w14:paraId="3FEAF509"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Moreover, </w:t>
      </w:r>
      <w:proofErr w:type="spellStart"/>
      <w:r>
        <w:rPr>
          <w:rFonts w:ascii="Times New Roman" w:eastAsia="Times New Roman" w:hAnsi="Times New Roman" w:cs="Times New Roman"/>
          <w:sz w:val="24"/>
          <w:szCs w:val="24"/>
          <w:highlight w:val="white"/>
        </w:rPr>
        <w:t>Mbizvo</w:t>
      </w:r>
      <w:proofErr w:type="spellEnd"/>
      <w:r>
        <w:rPr>
          <w:rFonts w:ascii="Times New Roman" w:eastAsia="Times New Roman" w:hAnsi="Times New Roman" w:cs="Times New Roman"/>
          <w:sz w:val="24"/>
          <w:szCs w:val="24"/>
          <w:highlight w:val="white"/>
        </w:rPr>
        <w:t xml:space="preserve"> et al. (2023) emphasize the importance of policy reforms that guarantee SRH education and services are accessible, acceptable, and aligned with the rights of adolescents. Tallarico et al. (2021) further underline the need to strengthen peer-led education models, which have proven effective in improving knowledge and behaviors related to SRH among adolescents. The integration of menstrual health as an essential part of SRHR interventions, as stressed in the UNFPA Technical Brief, is another critical component in breaking the cultural stigma surrounding menstruation.</w:t>
      </w:r>
    </w:p>
    <w:p w14:paraId="33C73948" w14:textId="77777777" w:rsidR="00101E6B" w:rsidRDefault="006149C7">
      <w:pPr>
        <w:pStyle w:val="Heading3"/>
        <w:keepNext w:val="0"/>
        <w:keepLines w:val="0"/>
        <w:spacing w:before="280" w:line="360" w:lineRule="auto"/>
        <w:rPr>
          <w:rFonts w:ascii="Times New Roman" w:eastAsia="Times New Roman" w:hAnsi="Times New Roman" w:cs="Times New Roman"/>
          <w:color w:val="000000"/>
          <w:sz w:val="24"/>
          <w:szCs w:val="24"/>
          <w:highlight w:val="white"/>
        </w:rPr>
      </w:pPr>
      <w:bookmarkStart w:id="23" w:name="_heading=h.jl3nz1x55cgs" w:colFirst="0" w:colLast="0"/>
      <w:bookmarkEnd w:id="23"/>
      <w:r>
        <w:rPr>
          <w:rFonts w:ascii="Times New Roman" w:eastAsia="Times New Roman" w:hAnsi="Times New Roman" w:cs="Times New Roman"/>
          <w:b/>
          <w:bCs/>
          <w:color w:val="000000"/>
          <w:sz w:val="26"/>
          <w:szCs w:val="26"/>
          <w:highlight w:val="white"/>
        </w:rPr>
        <w:t>Table 3: Summary of Policy and Programmatic Gaps and Recommended Solutions</w:t>
      </w:r>
    </w:p>
    <w:tbl>
      <w:tblPr>
        <w:tblStyle w:val="a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101E6B" w14:paraId="06CCE9C3" w14:textId="77777777">
        <w:tc>
          <w:tcPr>
            <w:tcW w:w="3120" w:type="dxa"/>
            <w:tcMar>
              <w:top w:w="100" w:type="dxa"/>
              <w:left w:w="100" w:type="dxa"/>
              <w:bottom w:w="100" w:type="dxa"/>
              <w:right w:w="100" w:type="dxa"/>
            </w:tcMar>
          </w:tcPr>
          <w:p w14:paraId="7CED3EEB" w14:textId="77777777" w:rsidR="00101E6B" w:rsidRDefault="006149C7">
            <w:pPr>
              <w:spacing w:before="240" w:after="240"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Gap Category</w:t>
            </w:r>
          </w:p>
        </w:tc>
        <w:tc>
          <w:tcPr>
            <w:tcW w:w="3120" w:type="dxa"/>
            <w:tcMar>
              <w:top w:w="100" w:type="dxa"/>
              <w:left w:w="100" w:type="dxa"/>
              <w:bottom w:w="100" w:type="dxa"/>
              <w:right w:w="100" w:type="dxa"/>
            </w:tcMar>
          </w:tcPr>
          <w:p w14:paraId="3493AD51" w14:textId="77777777" w:rsidR="00101E6B" w:rsidRDefault="006149C7">
            <w:pPr>
              <w:spacing w:before="240" w:after="240"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Impact on SRH Services for Adolescents</w:t>
            </w:r>
          </w:p>
        </w:tc>
        <w:tc>
          <w:tcPr>
            <w:tcW w:w="3120" w:type="dxa"/>
            <w:tcMar>
              <w:top w:w="100" w:type="dxa"/>
              <w:left w:w="100" w:type="dxa"/>
              <w:bottom w:w="100" w:type="dxa"/>
              <w:right w:w="100" w:type="dxa"/>
            </w:tcMar>
          </w:tcPr>
          <w:p w14:paraId="206CBE4A" w14:textId="77777777" w:rsidR="00101E6B" w:rsidRDefault="006149C7">
            <w:pPr>
              <w:spacing w:before="240" w:after="240"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Recommended Solutions</w:t>
            </w:r>
          </w:p>
        </w:tc>
      </w:tr>
      <w:tr w:rsidR="00101E6B" w14:paraId="35DC9FE6" w14:textId="77777777">
        <w:tc>
          <w:tcPr>
            <w:tcW w:w="3120" w:type="dxa"/>
            <w:tcMar>
              <w:top w:w="100" w:type="dxa"/>
              <w:left w:w="100" w:type="dxa"/>
              <w:bottom w:w="100" w:type="dxa"/>
              <w:right w:w="100" w:type="dxa"/>
            </w:tcMar>
          </w:tcPr>
          <w:p w14:paraId="7E309F40"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Youth-Unfriendly Services</w:t>
            </w:r>
          </w:p>
        </w:tc>
        <w:tc>
          <w:tcPr>
            <w:tcW w:w="3120" w:type="dxa"/>
            <w:tcMar>
              <w:top w:w="100" w:type="dxa"/>
              <w:left w:w="100" w:type="dxa"/>
              <w:bottom w:w="100" w:type="dxa"/>
              <w:right w:w="100" w:type="dxa"/>
            </w:tcMar>
          </w:tcPr>
          <w:p w14:paraId="2A5A4A0B"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Adolescents often face discrimination and a lack of privacy, leading to underutilization of SRH services. These services may not be tailored to the needs of </w:t>
            </w:r>
            <w:r>
              <w:rPr>
                <w:rFonts w:ascii="Times New Roman" w:eastAsia="Times New Roman" w:hAnsi="Times New Roman" w:cs="Times New Roman"/>
                <w:sz w:val="24"/>
                <w:szCs w:val="24"/>
                <w:highlight w:val="white"/>
              </w:rPr>
              <w:lastRenderedPageBreak/>
              <w:t>young people, making them less accessible.</w:t>
            </w:r>
          </w:p>
        </w:tc>
        <w:tc>
          <w:tcPr>
            <w:tcW w:w="3120" w:type="dxa"/>
            <w:tcMar>
              <w:top w:w="100" w:type="dxa"/>
              <w:left w:w="100" w:type="dxa"/>
              <w:bottom w:w="100" w:type="dxa"/>
              <w:right w:w="100" w:type="dxa"/>
            </w:tcMar>
          </w:tcPr>
          <w:p w14:paraId="64D76222"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Strengthen policy enforcement and ensure that healthcare providers are trained in providing youth-friendly services.</w:t>
            </w:r>
          </w:p>
        </w:tc>
      </w:tr>
      <w:tr w:rsidR="00101E6B" w14:paraId="5BA7BBBF" w14:textId="77777777">
        <w:tc>
          <w:tcPr>
            <w:tcW w:w="3120" w:type="dxa"/>
            <w:tcMar>
              <w:top w:w="100" w:type="dxa"/>
              <w:left w:w="100" w:type="dxa"/>
              <w:bottom w:w="100" w:type="dxa"/>
              <w:right w:w="100" w:type="dxa"/>
            </w:tcMar>
          </w:tcPr>
          <w:p w14:paraId="6BEF0375"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Weak Policy Enforcement</w:t>
            </w:r>
          </w:p>
        </w:tc>
        <w:tc>
          <w:tcPr>
            <w:tcW w:w="3120" w:type="dxa"/>
            <w:tcMar>
              <w:top w:w="100" w:type="dxa"/>
              <w:left w:w="100" w:type="dxa"/>
              <w:bottom w:w="100" w:type="dxa"/>
              <w:right w:w="100" w:type="dxa"/>
            </w:tcMar>
          </w:tcPr>
          <w:p w14:paraId="4B649597"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Weak implementation of policies leaves gaps in service provision and uneven access, especially in rural or underserved areas. This leads to inconsistent access to SRH services.</w:t>
            </w:r>
          </w:p>
        </w:tc>
        <w:tc>
          <w:tcPr>
            <w:tcW w:w="3120" w:type="dxa"/>
            <w:tcMar>
              <w:top w:w="100" w:type="dxa"/>
              <w:left w:w="100" w:type="dxa"/>
              <w:bottom w:w="100" w:type="dxa"/>
              <w:right w:w="100" w:type="dxa"/>
            </w:tcMar>
          </w:tcPr>
          <w:p w14:paraId="6CCBA5E2"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Improve policy enforcement, enhance monitoring, and ensure that youth-friendly services are effectively implemented.</w:t>
            </w:r>
          </w:p>
        </w:tc>
      </w:tr>
      <w:tr w:rsidR="00101E6B" w14:paraId="1E19FC8D" w14:textId="77777777">
        <w:tc>
          <w:tcPr>
            <w:tcW w:w="3120" w:type="dxa"/>
            <w:tcMar>
              <w:top w:w="100" w:type="dxa"/>
              <w:left w:w="100" w:type="dxa"/>
              <w:bottom w:w="100" w:type="dxa"/>
              <w:right w:w="100" w:type="dxa"/>
            </w:tcMar>
          </w:tcPr>
          <w:p w14:paraId="4CDA76E9"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Limited Integration of Digital Tools</w:t>
            </w:r>
          </w:p>
        </w:tc>
        <w:tc>
          <w:tcPr>
            <w:tcW w:w="3120" w:type="dxa"/>
            <w:tcMar>
              <w:top w:w="100" w:type="dxa"/>
              <w:left w:w="100" w:type="dxa"/>
              <w:bottom w:w="100" w:type="dxa"/>
              <w:right w:w="100" w:type="dxa"/>
            </w:tcMar>
          </w:tcPr>
          <w:p w14:paraId="7410B164"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Adolescents, particularly in rural areas, lack access to digital tools that could otherwise increase their access to information, counseling, and services, especially during the COVID-19 pandemic.</w:t>
            </w:r>
          </w:p>
        </w:tc>
        <w:tc>
          <w:tcPr>
            <w:tcW w:w="3120" w:type="dxa"/>
            <w:tcMar>
              <w:top w:w="100" w:type="dxa"/>
              <w:left w:w="100" w:type="dxa"/>
              <w:bottom w:w="100" w:type="dxa"/>
              <w:right w:w="100" w:type="dxa"/>
            </w:tcMar>
          </w:tcPr>
          <w:p w14:paraId="3F7246FC"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Expand digital health solutions, particularly mobile health technologies, to enhance SRH access for adolescents, especially in rural areas.</w:t>
            </w:r>
          </w:p>
        </w:tc>
      </w:tr>
      <w:tr w:rsidR="00101E6B" w14:paraId="73A5DC75" w14:textId="77777777">
        <w:tc>
          <w:tcPr>
            <w:tcW w:w="3120" w:type="dxa"/>
            <w:tcMar>
              <w:top w:w="100" w:type="dxa"/>
              <w:left w:w="100" w:type="dxa"/>
              <w:bottom w:w="100" w:type="dxa"/>
              <w:right w:w="100" w:type="dxa"/>
            </w:tcMar>
          </w:tcPr>
          <w:p w14:paraId="65FA803E"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Policy Gaps for Vulnerable Groups</w:t>
            </w:r>
          </w:p>
        </w:tc>
        <w:tc>
          <w:tcPr>
            <w:tcW w:w="3120" w:type="dxa"/>
            <w:tcMar>
              <w:top w:w="100" w:type="dxa"/>
              <w:left w:w="100" w:type="dxa"/>
              <w:bottom w:w="100" w:type="dxa"/>
              <w:right w:w="100" w:type="dxa"/>
            </w:tcMar>
          </w:tcPr>
          <w:p w14:paraId="5616AE41"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Marginalized adolescents, including out-of-school youth, LGBTQ+ adolescents, and those with disabilities, face systemic barriers to accessing SRH services. These groups are often </w:t>
            </w:r>
            <w:r>
              <w:rPr>
                <w:rFonts w:ascii="Times New Roman" w:eastAsia="Times New Roman" w:hAnsi="Times New Roman" w:cs="Times New Roman"/>
                <w:sz w:val="24"/>
                <w:szCs w:val="24"/>
                <w:highlight w:val="white"/>
              </w:rPr>
              <w:lastRenderedPageBreak/>
              <w:t>overlooked in national SRH policies.</w:t>
            </w:r>
          </w:p>
        </w:tc>
        <w:tc>
          <w:tcPr>
            <w:tcW w:w="3120" w:type="dxa"/>
            <w:tcMar>
              <w:top w:w="100" w:type="dxa"/>
              <w:left w:w="100" w:type="dxa"/>
              <w:bottom w:w="100" w:type="dxa"/>
              <w:right w:w="100" w:type="dxa"/>
            </w:tcMar>
          </w:tcPr>
          <w:p w14:paraId="3F27C463"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Address policy gaps by specifically targeting vulnerable adolescent populations in national and regional SRH policies. Ensure that services are inclusive and accessible to all adolescents.</w:t>
            </w:r>
          </w:p>
        </w:tc>
      </w:tr>
      <w:tr w:rsidR="00101E6B" w14:paraId="7098B9B7" w14:textId="77777777">
        <w:tc>
          <w:tcPr>
            <w:tcW w:w="3120" w:type="dxa"/>
            <w:tcMar>
              <w:top w:w="100" w:type="dxa"/>
              <w:left w:w="100" w:type="dxa"/>
              <w:bottom w:w="100" w:type="dxa"/>
              <w:right w:w="100" w:type="dxa"/>
            </w:tcMar>
          </w:tcPr>
          <w:p w14:paraId="3D07742F"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Insufficient Community Engagement</w:t>
            </w:r>
          </w:p>
        </w:tc>
        <w:tc>
          <w:tcPr>
            <w:tcW w:w="3120" w:type="dxa"/>
            <w:tcMar>
              <w:top w:w="100" w:type="dxa"/>
              <w:left w:w="100" w:type="dxa"/>
              <w:bottom w:w="100" w:type="dxa"/>
              <w:right w:w="100" w:type="dxa"/>
            </w:tcMar>
          </w:tcPr>
          <w:p w14:paraId="6200F654"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Without active community involvement, SRH services fail to meet adolescents’ needs or are not utilized due to stigma, misinformation, and lack of awareness.</w:t>
            </w:r>
          </w:p>
        </w:tc>
        <w:tc>
          <w:tcPr>
            <w:tcW w:w="3120" w:type="dxa"/>
            <w:tcMar>
              <w:top w:w="100" w:type="dxa"/>
              <w:left w:w="100" w:type="dxa"/>
              <w:bottom w:w="100" w:type="dxa"/>
              <w:right w:w="100" w:type="dxa"/>
            </w:tcMar>
          </w:tcPr>
          <w:p w14:paraId="59F6EAC0" w14:textId="77777777" w:rsidR="00101E6B" w:rsidRDefault="006149C7">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Enhance community engagement by involving local leaders, parents, and youth in the development and delivery of SRH services, ensuring that community-driven solutions are prioritized.</w:t>
            </w:r>
          </w:p>
        </w:tc>
      </w:tr>
    </w:tbl>
    <w:p w14:paraId="2E1985E3" w14:textId="77777777" w:rsidR="00101E6B" w:rsidRDefault="00101E6B">
      <w:pPr>
        <w:spacing w:before="240" w:after="240" w:line="360" w:lineRule="auto"/>
        <w:rPr>
          <w:rFonts w:ascii="Times New Roman" w:eastAsia="Times New Roman" w:hAnsi="Times New Roman" w:cs="Times New Roman"/>
          <w:sz w:val="24"/>
          <w:szCs w:val="24"/>
          <w:highlight w:val="white"/>
        </w:rPr>
      </w:pPr>
    </w:p>
    <w:p w14:paraId="2432183A" w14:textId="77777777" w:rsidR="00101E6B" w:rsidRDefault="006149C7">
      <w:pPr>
        <w:pStyle w:val="Heading3"/>
        <w:keepNext w:val="0"/>
        <w:keepLines w:val="0"/>
        <w:spacing w:before="280" w:line="360" w:lineRule="auto"/>
        <w:rPr>
          <w:rFonts w:ascii="Times New Roman" w:eastAsia="Times New Roman" w:hAnsi="Times New Roman" w:cs="Times New Roman"/>
          <w:b/>
          <w:bCs/>
          <w:color w:val="000000"/>
          <w:sz w:val="32"/>
          <w:szCs w:val="32"/>
          <w:highlight w:val="white"/>
        </w:rPr>
      </w:pPr>
      <w:bookmarkStart w:id="24" w:name="_heading=h.cdsnkfj56miz" w:colFirst="0" w:colLast="0"/>
      <w:bookmarkEnd w:id="24"/>
      <w:r>
        <w:rPr>
          <w:rFonts w:ascii="Times New Roman" w:eastAsia="Times New Roman" w:hAnsi="Times New Roman" w:cs="Times New Roman"/>
          <w:b/>
          <w:bCs/>
          <w:color w:val="000000"/>
          <w:sz w:val="32"/>
          <w:szCs w:val="32"/>
          <w:highlight w:val="white"/>
        </w:rPr>
        <w:t>Discussion</w:t>
      </w:r>
    </w:p>
    <w:p w14:paraId="30D83CD7" w14:textId="77777777" w:rsidR="00101E6B" w:rsidRDefault="006149C7">
      <w:pPr>
        <w:spacing w:before="240" w:after="240" w:line="360" w:lineRule="auto"/>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Main Findings</w:t>
      </w:r>
    </w:p>
    <w:p w14:paraId="72A2E0CA"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main findings of this study highlight significant barriers and challenges faced by adolescents in Sub-Saharan Africa (SSA) when accessing sexual and reproductive health (SRH) services. While services such as contraception, HIV prevention, and sexual education are available, their utilization remains disproportionately low, especially in rural areas where access to infrastructure and trained providers is limited (James et al., 2022; </w:t>
      </w:r>
      <w:proofErr w:type="spellStart"/>
      <w:r>
        <w:rPr>
          <w:rFonts w:ascii="Times New Roman" w:eastAsia="Times New Roman" w:hAnsi="Times New Roman" w:cs="Times New Roman"/>
          <w:sz w:val="24"/>
          <w:szCs w:val="24"/>
          <w:highlight w:val="white"/>
        </w:rPr>
        <w:t>Ashipala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Katjimune</w:t>
      </w:r>
      <w:proofErr w:type="spellEnd"/>
      <w:r>
        <w:rPr>
          <w:rFonts w:ascii="Times New Roman" w:eastAsia="Times New Roman" w:hAnsi="Times New Roman" w:cs="Times New Roman"/>
          <w:sz w:val="24"/>
          <w:szCs w:val="24"/>
          <w:highlight w:val="white"/>
        </w:rPr>
        <w:t xml:space="preserve">, 2025). Cultural stigma, confidentiality concerns, and socio-economic barriers such as poverty and education contribute to this underutilization, particularly among vulnerable groups like adolescent girls, youth with disabilities, and out-of-school youth (Tallarico et al., 2021; Tchuisseu et al., 2023). </w:t>
      </w:r>
    </w:p>
    <w:p w14:paraId="6D9699AB"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Additionally, the study found that although innovations such as youth-friendly services (YFS) and digital health interventions show promise, their reach remains limited due to weak policy enforcement and lack of integration into existing healthcare systems (Kereta et al., 2021; </w:t>
      </w:r>
      <w:proofErr w:type="spellStart"/>
      <w:r>
        <w:rPr>
          <w:rFonts w:ascii="Times New Roman" w:eastAsia="Times New Roman" w:hAnsi="Times New Roman" w:cs="Times New Roman"/>
          <w:sz w:val="24"/>
          <w:szCs w:val="24"/>
          <w:highlight w:val="white"/>
        </w:rPr>
        <w:t>Mbizvo</w:t>
      </w:r>
      <w:proofErr w:type="spellEnd"/>
      <w:r>
        <w:rPr>
          <w:rFonts w:ascii="Times New Roman" w:eastAsia="Times New Roman" w:hAnsi="Times New Roman" w:cs="Times New Roman"/>
          <w:sz w:val="24"/>
          <w:szCs w:val="24"/>
          <w:highlight w:val="white"/>
        </w:rPr>
        <w:t xml:space="preserve"> et al., 2023). The findings also suggest that comprehensive sexuality education (CSE) and peer-</w:t>
      </w:r>
      <w:r>
        <w:rPr>
          <w:rFonts w:ascii="Times New Roman" w:eastAsia="Times New Roman" w:hAnsi="Times New Roman" w:cs="Times New Roman"/>
          <w:sz w:val="24"/>
          <w:szCs w:val="24"/>
          <w:highlight w:val="white"/>
        </w:rPr>
        <w:lastRenderedPageBreak/>
        <w:t xml:space="preserve">led education models, when integrated into schools and communities, could significantly enhance adolescent engagement with SRH services (Hensen et al., 2023; </w:t>
      </w:r>
      <w:proofErr w:type="spellStart"/>
      <w:r>
        <w:rPr>
          <w:rFonts w:ascii="Times New Roman" w:eastAsia="Times New Roman" w:hAnsi="Times New Roman" w:cs="Times New Roman"/>
          <w:sz w:val="24"/>
          <w:szCs w:val="24"/>
          <w:highlight w:val="white"/>
        </w:rPr>
        <w:t>Mtae</w:t>
      </w:r>
      <w:proofErr w:type="spellEnd"/>
      <w:r>
        <w:rPr>
          <w:rFonts w:ascii="Times New Roman" w:eastAsia="Times New Roman" w:hAnsi="Times New Roman" w:cs="Times New Roman"/>
          <w:sz w:val="24"/>
          <w:szCs w:val="24"/>
          <w:highlight w:val="white"/>
        </w:rPr>
        <w:t>, 2025). These findings underscore the need for policy reforms, increased funding, and greater community engagement to address the systemic and socio-cultural barriers hindering adolescent SRH access in SSA.</w:t>
      </w:r>
    </w:p>
    <w:p w14:paraId="459231BA"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findings of this scoping review align with those observed in previous studies, indicating that urban adolescents have better access to SRH services compared to their rural counterparts, largely due to infrastructure and healthcare workforce disparities (Tovia et al., 2025; </w:t>
      </w:r>
      <w:proofErr w:type="spellStart"/>
      <w:r>
        <w:rPr>
          <w:rFonts w:ascii="Times New Roman" w:eastAsia="Times New Roman" w:hAnsi="Times New Roman" w:cs="Times New Roman"/>
          <w:sz w:val="24"/>
          <w:szCs w:val="24"/>
          <w:highlight w:val="white"/>
        </w:rPr>
        <w:t>Akwara</w:t>
      </w:r>
      <w:proofErr w:type="spellEnd"/>
      <w:r>
        <w:rPr>
          <w:rFonts w:ascii="Times New Roman" w:eastAsia="Times New Roman" w:hAnsi="Times New Roman" w:cs="Times New Roman"/>
          <w:sz w:val="24"/>
          <w:szCs w:val="24"/>
          <w:highlight w:val="white"/>
        </w:rPr>
        <w:t xml:space="preserve"> et al., 2023; </w:t>
      </w:r>
      <w:proofErr w:type="spellStart"/>
      <w:r>
        <w:rPr>
          <w:rFonts w:ascii="Times New Roman" w:eastAsia="Times New Roman" w:hAnsi="Times New Roman" w:cs="Times New Roman"/>
          <w:sz w:val="24"/>
          <w:szCs w:val="24"/>
          <w:highlight w:val="white"/>
        </w:rPr>
        <w:t>Munakampe</w:t>
      </w:r>
      <w:proofErr w:type="spellEnd"/>
      <w:r>
        <w:rPr>
          <w:rFonts w:ascii="Times New Roman" w:eastAsia="Times New Roman" w:hAnsi="Times New Roman" w:cs="Times New Roman"/>
          <w:sz w:val="24"/>
          <w:szCs w:val="24"/>
          <w:highlight w:val="white"/>
        </w:rPr>
        <w:t xml:space="preserve"> et al., 2024). Studies like Uka et al. (2024) and </w:t>
      </w:r>
      <w:proofErr w:type="spellStart"/>
      <w:r>
        <w:rPr>
          <w:rFonts w:ascii="Times New Roman" w:eastAsia="Times New Roman" w:hAnsi="Times New Roman" w:cs="Times New Roman"/>
          <w:sz w:val="24"/>
          <w:szCs w:val="24"/>
          <w:highlight w:val="white"/>
        </w:rPr>
        <w:t>Munakampe</w:t>
      </w:r>
      <w:proofErr w:type="spellEnd"/>
      <w:r>
        <w:rPr>
          <w:rFonts w:ascii="Times New Roman" w:eastAsia="Times New Roman" w:hAnsi="Times New Roman" w:cs="Times New Roman"/>
          <w:sz w:val="24"/>
          <w:szCs w:val="24"/>
          <w:highlight w:val="white"/>
        </w:rPr>
        <w:t xml:space="preserve"> et al. (2024) confirm the persistent inequalities in service access, with rural areas experiencing more pronounced barriers to both facility-based and community health services. These findings collectively underscore the urgency of addressing the structural barriers that prevent equitable access to SRH services, especially for marginalized youth populations (Decker et al., 2021; Wahyuningsih et al., 2024). Globally, the importance of Comprehensive Sexuality Education (CSE) and adolescent-friendly health services is increasingly recognized as a crucial factor for improving adolescent SRH outcomes (Jacobs et al., 2023; UNESCO, 2025). However, SSA remains far behind other regions in implementing policies that effectively address adolescent SRH needs (Melesse et al., 2020; WHO Regional Office for Africa, 2020).  </w:t>
      </w:r>
    </w:p>
    <w:p w14:paraId="148A891C" w14:textId="77777777" w:rsidR="00101E6B" w:rsidRDefault="006149C7">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25" w:name="_heading=h.pz4ucyfa64qg" w:colFirst="0" w:colLast="0"/>
      <w:bookmarkEnd w:id="25"/>
      <w:r>
        <w:rPr>
          <w:rFonts w:ascii="Times New Roman" w:eastAsia="Times New Roman" w:hAnsi="Times New Roman" w:cs="Times New Roman"/>
          <w:b/>
          <w:bCs/>
          <w:color w:val="000000"/>
          <w:sz w:val="28"/>
          <w:szCs w:val="28"/>
          <w:highlight w:val="white"/>
        </w:rPr>
        <w:t>Implications for Policy and Future Research</w:t>
      </w:r>
    </w:p>
    <w:p w14:paraId="21BAB72A"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findings of this study have significant implications for policy aimed at improving adolescent SRH access in SSA. As highlighted by Tallarico et al. (2021</w:t>
      </w:r>
      <w:proofErr w:type="gramStart"/>
      <w:r>
        <w:rPr>
          <w:rFonts w:ascii="Times New Roman" w:eastAsia="Times New Roman" w:hAnsi="Times New Roman" w:cs="Times New Roman"/>
          <w:sz w:val="24"/>
          <w:szCs w:val="24"/>
          <w:highlight w:val="white"/>
        </w:rPr>
        <w:t>)  and</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Mtae</w:t>
      </w:r>
      <w:proofErr w:type="spellEnd"/>
      <w:r>
        <w:rPr>
          <w:rFonts w:ascii="Times New Roman" w:eastAsia="Times New Roman" w:hAnsi="Times New Roman" w:cs="Times New Roman"/>
          <w:sz w:val="24"/>
          <w:szCs w:val="24"/>
          <w:highlight w:val="white"/>
        </w:rPr>
        <w:t xml:space="preserve"> (2025), national policies must better address the gap between policy intent and real-world implementation. This study reinforces the importance of creating youth-friendly services (YFS) that not only cater to adolescent health needs but also respect confidentiality and promote trust. Furthermore, </w:t>
      </w:r>
      <w:proofErr w:type="spellStart"/>
      <w:r>
        <w:rPr>
          <w:rFonts w:ascii="Times New Roman" w:eastAsia="Times New Roman" w:hAnsi="Times New Roman" w:cs="Times New Roman"/>
          <w:sz w:val="24"/>
          <w:szCs w:val="24"/>
          <w:highlight w:val="white"/>
        </w:rPr>
        <w:t>Mbizvo</w:t>
      </w:r>
      <w:proofErr w:type="spellEnd"/>
      <w:r>
        <w:rPr>
          <w:rFonts w:ascii="Times New Roman" w:eastAsia="Times New Roman" w:hAnsi="Times New Roman" w:cs="Times New Roman"/>
          <w:sz w:val="24"/>
          <w:szCs w:val="24"/>
          <w:highlight w:val="white"/>
        </w:rPr>
        <w:t xml:space="preserve"> et al. (2023) suggest that digital health interventions, such as mobile apps for sexual health education, could revolutionize SRH access, especially in rural areas with limited infrastructure. Policy reforms should thus focus on integrating digital health tools into existing health systems to ensure that adolescents can access accurate, non-stigmatized information and services (UNFPA, 2022a</w:t>
      </w:r>
      <w:proofErr w:type="gramStart"/>
      <w:r>
        <w:rPr>
          <w:rFonts w:ascii="Times New Roman" w:eastAsia="Times New Roman" w:hAnsi="Times New Roman" w:cs="Times New Roman"/>
          <w:sz w:val="24"/>
          <w:szCs w:val="24"/>
          <w:highlight w:val="white"/>
        </w:rPr>
        <w:t>) .</w:t>
      </w:r>
      <w:proofErr w:type="gramEnd"/>
    </w:p>
    <w:p w14:paraId="13117E62"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Moreover, Tchuisseu et al. (2023) and Ugwu et al. (2022) emphasize the need for inclusive policies that address the SRH needs of marginalized groups, such as adolescents with disabilities and those living in poverty. Future research should explore how policies can be more inclusive and cater to the specific needs of these vulnerable populations. As </w:t>
      </w:r>
      <w:proofErr w:type="spellStart"/>
      <w:r>
        <w:rPr>
          <w:rFonts w:ascii="Times New Roman" w:eastAsia="Times New Roman" w:hAnsi="Times New Roman" w:cs="Times New Roman"/>
          <w:sz w:val="24"/>
          <w:szCs w:val="24"/>
          <w:highlight w:val="white"/>
        </w:rPr>
        <w:t>Mtae</w:t>
      </w:r>
      <w:proofErr w:type="spellEnd"/>
      <w:r>
        <w:rPr>
          <w:rFonts w:ascii="Times New Roman" w:eastAsia="Times New Roman" w:hAnsi="Times New Roman" w:cs="Times New Roman"/>
          <w:sz w:val="24"/>
          <w:szCs w:val="24"/>
          <w:highlight w:val="white"/>
        </w:rPr>
        <w:t xml:space="preserve"> (2025) notes, further studies are needed to understand the unique barriers faced by these groups, particularly around access to services that are adapted to their individual needs.</w:t>
      </w:r>
    </w:p>
    <w:p w14:paraId="212A2AF4" w14:textId="77777777" w:rsidR="00101E6B" w:rsidRDefault="006149C7">
      <w:pPr>
        <w:pStyle w:val="Heading4"/>
        <w:keepNext w:val="0"/>
        <w:keepLines w:val="0"/>
        <w:spacing w:before="240" w:after="40" w:line="360" w:lineRule="auto"/>
        <w:rPr>
          <w:rFonts w:ascii="Times New Roman" w:eastAsia="Times New Roman" w:hAnsi="Times New Roman" w:cs="Times New Roman"/>
          <w:b/>
          <w:bCs/>
          <w:color w:val="000000"/>
          <w:sz w:val="28"/>
          <w:szCs w:val="28"/>
          <w:highlight w:val="white"/>
        </w:rPr>
      </w:pPr>
      <w:bookmarkStart w:id="26" w:name="_heading=h.h9l4bhre11nv" w:colFirst="0" w:colLast="0"/>
      <w:bookmarkEnd w:id="26"/>
      <w:r>
        <w:rPr>
          <w:rFonts w:ascii="Times New Roman" w:eastAsia="Times New Roman" w:hAnsi="Times New Roman" w:cs="Times New Roman"/>
          <w:b/>
          <w:bCs/>
          <w:color w:val="000000"/>
          <w:sz w:val="28"/>
          <w:szCs w:val="28"/>
          <w:highlight w:val="white"/>
        </w:rPr>
        <w:t>Strengths and Limitations</w:t>
      </w:r>
    </w:p>
    <w:p w14:paraId="69BE92B4"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scoping review presents several strengths, including its broad scope and inclusion of diverse studies, from peer-reviewed articles to grey literature, which allows for a comprehensive view of the adolescent SRH landscape in SSA. The inclusion of both qualitative and quantitative studies enhances the depth of the findings and provides a well-rounded perspective on the issue. However, the review also has limitations. One key limitation is the potential for publication bias, as studies that demonstrate significant findings are more likely</w:t>
      </w:r>
      <w:bookmarkStart w:id="27" w:name="_GoBack"/>
      <w:bookmarkEnd w:id="27"/>
      <w:r>
        <w:rPr>
          <w:rFonts w:ascii="Times New Roman" w:eastAsia="Times New Roman" w:hAnsi="Times New Roman" w:cs="Times New Roman"/>
          <w:sz w:val="24"/>
          <w:szCs w:val="24"/>
          <w:highlight w:val="white"/>
        </w:rPr>
        <w:t xml:space="preserve"> to be published. Moreover, the heterogeneity in study design and geographic scope means that the findings of this review should be interpreted with caution, particularly when generalizing across all SSA countries.</w:t>
      </w:r>
    </w:p>
    <w:p w14:paraId="4F0EE8D8" w14:textId="77777777" w:rsidR="00101E6B" w:rsidRDefault="00101E6B">
      <w:pPr>
        <w:spacing w:before="240" w:after="240" w:line="360" w:lineRule="auto"/>
        <w:jc w:val="both"/>
        <w:rPr>
          <w:rFonts w:ascii="Times New Roman" w:eastAsia="Times New Roman" w:hAnsi="Times New Roman" w:cs="Times New Roman"/>
          <w:highlight w:val="white"/>
        </w:rPr>
      </w:pPr>
    </w:p>
    <w:p w14:paraId="0A077E10" w14:textId="77777777" w:rsidR="00101E6B" w:rsidRDefault="006149C7">
      <w:pPr>
        <w:spacing w:before="240" w:after="240"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Conclusion</w:t>
      </w:r>
    </w:p>
    <w:p w14:paraId="5C7BEC40" w14:textId="77777777" w:rsidR="00101E6B" w:rsidRDefault="006149C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While significant progress has been made in addressing adolescent SRH needs in SSA, significant gaps remain in policy enforcement, service availability, and cultural acceptance. To bridge these gaps, it is essential to integrate youth-friendly services, enhance digital health </w:t>
      </w:r>
      <w:proofErr w:type="gramStart"/>
      <w:r>
        <w:rPr>
          <w:rFonts w:ascii="Times New Roman" w:eastAsia="Times New Roman" w:hAnsi="Times New Roman" w:cs="Times New Roman"/>
          <w:sz w:val="24"/>
          <w:szCs w:val="24"/>
          <w:highlight w:val="white"/>
        </w:rPr>
        <w:t>solutions,  Comprehensive</w:t>
      </w:r>
      <w:proofErr w:type="gramEnd"/>
      <w:r>
        <w:rPr>
          <w:rFonts w:ascii="Times New Roman" w:eastAsia="Times New Roman" w:hAnsi="Times New Roman" w:cs="Times New Roman"/>
          <w:sz w:val="24"/>
          <w:szCs w:val="24"/>
          <w:highlight w:val="white"/>
        </w:rPr>
        <w:t xml:space="preserve"> Sexuality Education (CSE), and involve adolescents in policy-making. Policymakers and health systems must work together to improve services. Furthermore, future research should continue to explore innovative service delivery models and examine how to best integrate youth perspectives into SRH policy development to ensure more inclusive and equitable access to care.</w:t>
      </w:r>
    </w:p>
    <w:p w14:paraId="1923352F" w14:textId="77777777" w:rsidR="00101E6B" w:rsidRDefault="00101E6B">
      <w:pPr>
        <w:spacing w:before="240" w:after="240" w:line="360" w:lineRule="auto"/>
        <w:jc w:val="both"/>
        <w:rPr>
          <w:rFonts w:ascii="Times New Roman" w:eastAsia="Times New Roman" w:hAnsi="Times New Roman" w:cs="Times New Roman"/>
          <w:highlight w:val="white"/>
        </w:rPr>
      </w:pPr>
    </w:p>
    <w:p w14:paraId="76BC0F0F" w14:textId="77777777" w:rsidR="00101E6B" w:rsidRDefault="006149C7">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Competing Interests:</w:t>
      </w:r>
      <w:r>
        <w:rPr>
          <w:rFonts w:ascii="Times New Roman" w:eastAsia="Times New Roman" w:hAnsi="Times New Roman" w:cs="Times New Roman"/>
          <w:sz w:val="24"/>
          <w:szCs w:val="24"/>
          <w:highlight w:val="white"/>
        </w:rPr>
        <w:t xml:space="preserve"> All the authors declare that they have no conflict of interest.</w:t>
      </w:r>
    </w:p>
    <w:p w14:paraId="279A9B20" w14:textId="77777777" w:rsidR="00101E6B" w:rsidRDefault="006149C7">
      <w:pPr>
        <w:shd w:val="clear" w:color="auto" w:fill="FCFCFC"/>
        <w:spacing w:after="100"/>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 xml:space="preserve">Consent for publication: </w:t>
      </w:r>
      <w:r>
        <w:rPr>
          <w:rFonts w:ascii="Times New Roman" w:eastAsia="Times New Roman" w:hAnsi="Times New Roman" w:cs="Times New Roman"/>
          <w:sz w:val="24"/>
          <w:szCs w:val="24"/>
          <w:highlight w:val="white"/>
        </w:rPr>
        <w:t>Not applicable.</w:t>
      </w:r>
    </w:p>
    <w:p w14:paraId="713DEB05" w14:textId="77777777" w:rsidR="00101E6B" w:rsidRDefault="006149C7">
      <w:pPr>
        <w:shd w:val="clear" w:color="auto" w:fill="FCFCFC"/>
        <w:spacing w:after="100"/>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Ethics approval and consent to participate:</w:t>
      </w:r>
      <w:r>
        <w:rPr>
          <w:rFonts w:ascii="Times New Roman" w:eastAsia="Times New Roman" w:hAnsi="Times New Roman" w:cs="Times New Roman"/>
          <w:sz w:val="24"/>
          <w:szCs w:val="24"/>
          <w:highlight w:val="white"/>
        </w:rPr>
        <w:t xml:space="preserve"> Not applicable. </w:t>
      </w:r>
    </w:p>
    <w:p w14:paraId="6F6E1B32" w14:textId="77777777" w:rsidR="00101E6B" w:rsidRDefault="006149C7">
      <w:pPr>
        <w:shd w:val="clear" w:color="auto" w:fill="FCFCFC"/>
        <w:spacing w:after="100"/>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Availability of data and material: </w:t>
      </w:r>
      <w:r>
        <w:rPr>
          <w:rFonts w:ascii="Times New Roman" w:eastAsia="Times New Roman" w:hAnsi="Times New Roman" w:cs="Times New Roman"/>
          <w:sz w:val="24"/>
          <w:szCs w:val="24"/>
          <w:highlight w:val="white"/>
        </w:rPr>
        <w:t>All the resources consulted in the review are provided in the reference section.</w:t>
      </w:r>
    </w:p>
    <w:p w14:paraId="307DA44E" w14:textId="77777777" w:rsidR="00101E6B" w:rsidRDefault="00101E6B">
      <w:pPr>
        <w:spacing w:before="240" w:after="240" w:line="360" w:lineRule="auto"/>
        <w:jc w:val="both"/>
        <w:rPr>
          <w:rFonts w:ascii="Times New Roman" w:eastAsia="Times New Roman" w:hAnsi="Times New Roman" w:cs="Times New Roman"/>
          <w:highlight w:val="white"/>
        </w:rPr>
      </w:pPr>
    </w:p>
    <w:p w14:paraId="5F1506B9" w14:textId="77777777" w:rsidR="00101E6B" w:rsidRDefault="006149C7">
      <w:pPr>
        <w:spacing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References</w:t>
      </w:r>
    </w:p>
    <w:p w14:paraId="44AFBE80" w14:textId="77777777" w:rsidR="00101E6B" w:rsidRDefault="00101E6B">
      <w:pPr>
        <w:rPr>
          <w:rFonts w:ascii="Times New Roman" w:eastAsia="Times New Roman" w:hAnsi="Times New Roman" w:cs="Times New Roman"/>
          <w:b/>
          <w:bCs/>
          <w:sz w:val="32"/>
          <w:szCs w:val="32"/>
          <w:highlight w:val="white"/>
        </w:rPr>
      </w:pPr>
    </w:p>
    <w:p w14:paraId="23F2EB04" w14:textId="4621A9E5" w:rsidR="00101E6B" w:rsidRDefault="006149C7">
      <w:pPr>
        <w:spacing w:line="360" w:lineRule="auto"/>
        <w:jc w:val="both"/>
        <w:rPr>
          <w:rFonts w:ascii="Times New Roman" w:eastAsia="Times New Roman" w:hAnsi="Times New Roman" w:cs="Times New Roman"/>
          <w:sz w:val="24"/>
          <w:szCs w:val="24"/>
        </w:rPr>
      </w:pPr>
      <w:r w:rsidRPr="006149C7">
        <w:rPr>
          <w:rFonts w:ascii="Times New Roman" w:eastAsia="Times New Roman" w:hAnsi="Times New Roman" w:cs="Times New Roman"/>
          <w:sz w:val="24"/>
          <w:szCs w:val="24"/>
        </w:rPr>
        <w:t xml:space="preserve">Adams, J., Hillier-Brown, F. C., Moore, H. J., Lake, A. A., Araujo-Soares, V., White, M., &amp; </w:t>
      </w:r>
      <w:proofErr w:type="spellStart"/>
      <w:r w:rsidRPr="006149C7">
        <w:rPr>
          <w:rFonts w:ascii="Times New Roman" w:eastAsia="Times New Roman" w:hAnsi="Times New Roman" w:cs="Times New Roman"/>
          <w:sz w:val="24"/>
          <w:szCs w:val="24"/>
        </w:rPr>
        <w:t>Summerbell</w:t>
      </w:r>
      <w:proofErr w:type="spellEnd"/>
      <w:r w:rsidRPr="006149C7">
        <w:rPr>
          <w:rFonts w:ascii="Times New Roman" w:eastAsia="Times New Roman" w:hAnsi="Times New Roman" w:cs="Times New Roman"/>
          <w:sz w:val="24"/>
          <w:szCs w:val="24"/>
        </w:rPr>
        <w:t xml:space="preserve">, C. (2016). Searching and </w:t>
      </w:r>
      <w:proofErr w:type="spellStart"/>
      <w:r w:rsidRPr="006149C7">
        <w:rPr>
          <w:rFonts w:ascii="Times New Roman" w:eastAsia="Times New Roman" w:hAnsi="Times New Roman" w:cs="Times New Roman"/>
          <w:sz w:val="24"/>
          <w:szCs w:val="24"/>
        </w:rPr>
        <w:t>synthesising</w:t>
      </w:r>
      <w:proofErr w:type="spellEnd"/>
      <w:r w:rsidRPr="006149C7">
        <w:rPr>
          <w:rFonts w:ascii="Times New Roman" w:eastAsia="Times New Roman" w:hAnsi="Times New Roman" w:cs="Times New Roman"/>
          <w:sz w:val="24"/>
          <w:szCs w:val="24"/>
        </w:rPr>
        <w:t xml:space="preserve"> 'grey literature' and 'grey information' in public health: critical reflections on three case studies. Systematic Reviews, 5(1), 164. </w:t>
      </w:r>
      <w:hyperlink r:id="rId10" w:history="1">
        <w:r w:rsidRPr="008F3595">
          <w:rPr>
            <w:rStyle w:val="Hyperlink"/>
            <w:rFonts w:ascii="Times New Roman" w:eastAsia="Times New Roman" w:hAnsi="Times New Roman" w:cs="Times New Roman"/>
            <w:sz w:val="24"/>
            <w:szCs w:val="24"/>
          </w:rPr>
          <w:t>https://doi.org/10.1186/s13643-016-0337-y</w:t>
        </w:r>
      </w:hyperlink>
      <w:r>
        <w:rPr>
          <w:rFonts w:ascii="Times New Roman" w:eastAsia="Times New Roman" w:hAnsi="Times New Roman" w:cs="Times New Roman"/>
          <w:sz w:val="24"/>
          <w:szCs w:val="24"/>
        </w:rPr>
        <w:t xml:space="preserve"> </w:t>
      </w:r>
    </w:p>
    <w:p w14:paraId="147F9CFF" w14:textId="77777777" w:rsidR="006149C7" w:rsidRDefault="006149C7">
      <w:pPr>
        <w:spacing w:line="360" w:lineRule="auto"/>
        <w:jc w:val="both"/>
        <w:rPr>
          <w:rFonts w:ascii="Times New Roman" w:eastAsia="Times New Roman" w:hAnsi="Times New Roman" w:cs="Times New Roman"/>
          <w:sz w:val="24"/>
          <w:szCs w:val="24"/>
          <w:highlight w:val="white"/>
        </w:rPr>
      </w:pPr>
    </w:p>
    <w:p w14:paraId="50A022F3" w14:textId="5178AE34" w:rsidR="00101E6B" w:rsidRDefault="006149C7">
      <w:pPr>
        <w:spacing w:line="360" w:lineRule="auto"/>
        <w:ind w:left="720"/>
        <w:jc w:val="both"/>
      </w:pPr>
      <w:proofErr w:type="spellStart"/>
      <w:r w:rsidRPr="006149C7">
        <w:rPr>
          <w:rFonts w:ascii="Times New Roman" w:eastAsia="Times New Roman" w:hAnsi="Times New Roman" w:cs="Times New Roman"/>
          <w:sz w:val="24"/>
          <w:szCs w:val="24"/>
        </w:rPr>
        <w:t>Adekola</w:t>
      </w:r>
      <w:proofErr w:type="spellEnd"/>
      <w:r w:rsidRPr="006149C7">
        <w:rPr>
          <w:rFonts w:ascii="Times New Roman" w:eastAsia="Times New Roman" w:hAnsi="Times New Roman" w:cs="Times New Roman"/>
          <w:sz w:val="24"/>
          <w:szCs w:val="24"/>
        </w:rPr>
        <w:t xml:space="preserve">, A. P., &amp; </w:t>
      </w:r>
      <w:proofErr w:type="spellStart"/>
      <w:r w:rsidRPr="006149C7">
        <w:rPr>
          <w:rFonts w:ascii="Times New Roman" w:eastAsia="Times New Roman" w:hAnsi="Times New Roman" w:cs="Times New Roman"/>
          <w:sz w:val="24"/>
          <w:szCs w:val="24"/>
        </w:rPr>
        <w:t>Ikhile</w:t>
      </w:r>
      <w:proofErr w:type="spellEnd"/>
      <w:r w:rsidRPr="006149C7">
        <w:rPr>
          <w:rFonts w:ascii="Times New Roman" w:eastAsia="Times New Roman" w:hAnsi="Times New Roman" w:cs="Times New Roman"/>
          <w:sz w:val="24"/>
          <w:szCs w:val="24"/>
        </w:rPr>
        <w:t xml:space="preserve">, I. A. (2025). Harnessing E-Health for Adolescent Sexual Health in Sub-Saharan Africa: A Systematic Review and Roadmap for Implementation. The Open Public Health Journal, 18(1). </w:t>
      </w:r>
      <w:hyperlink r:id="rId11" w:history="1">
        <w:r w:rsidRPr="008F3595">
          <w:rPr>
            <w:rStyle w:val="Hyperlink"/>
            <w:rFonts w:ascii="Times New Roman" w:eastAsia="Times New Roman" w:hAnsi="Times New Roman" w:cs="Times New Roman"/>
            <w:sz w:val="24"/>
            <w:szCs w:val="24"/>
          </w:rPr>
          <w:t>https://doi.org/10.2174/0118749445379892250213070126</w:t>
        </w:r>
      </w:hyperlink>
    </w:p>
    <w:p w14:paraId="3C523702" w14:textId="77777777" w:rsidR="006149C7" w:rsidRPr="006149C7" w:rsidRDefault="006149C7">
      <w:pPr>
        <w:spacing w:line="360" w:lineRule="auto"/>
        <w:ind w:left="720"/>
        <w:jc w:val="both"/>
        <w:rPr>
          <w:highlight w:val="white"/>
        </w:rPr>
      </w:pPr>
    </w:p>
    <w:p w14:paraId="30511D2B" w14:textId="1C3223A4" w:rsidR="00101E6B" w:rsidRDefault="006149C7">
      <w:pPr>
        <w:spacing w:line="360" w:lineRule="auto"/>
        <w:jc w:val="both"/>
      </w:pPr>
      <w:proofErr w:type="spellStart"/>
      <w:r w:rsidRPr="006149C7">
        <w:rPr>
          <w:rFonts w:ascii="Times New Roman" w:eastAsia="Times New Roman" w:hAnsi="Times New Roman" w:cs="Times New Roman"/>
          <w:sz w:val="24"/>
          <w:szCs w:val="24"/>
        </w:rPr>
        <w:t>Ahlou</w:t>
      </w:r>
      <w:proofErr w:type="spellEnd"/>
      <w:r w:rsidRPr="006149C7">
        <w:rPr>
          <w:rFonts w:ascii="Times New Roman" w:eastAsia="Times New Roman" w:hAnsi="Times New Roman" w:cs="Times New Roman"/>
          <w:sz w:val="24"/>
          <w:szCs w:val="24"/>
        </w:rPr>
        <w:t xml:space="preserve">, A. E., </w:t>
      </w:r>
      <w:proofErr w:type="spellStart"/>
      <w:r w:rsidRPr="006149C7">
        <w:rPr>
          <w:rFonts w:ascii="Times New Roman" w:eastAsia="Times New Roman" w:hAnsi="Times New Roman" w:cs="Times New Roman"/>
          <w:sz w:val="24"/>
          <w:szCs w:val="24"/>
        </w:rPr>
        <w:t>Taboe</w:t>
      </w:r>
      <w:proofErr w:type="spellEnd"/>
      <w:r w:rsidRPr="006149C7">
        <w:rPr>
          <w:rFonts w:ascii="Times New Roman" w:eastAsia="Times New Roman" w:hAnsi="Times New Roman" w:cs="Times New Roman"/>
          <w:sz w:val="24"/>
          <w:szCs w:val="24"/>
        </w:rPr>
        <w:t xml:space="preserve">, H. B., </w:t>
      </w:r>
      <w:proofErr w:type="spellStart"/>
      <w:r w:rsidRPr="006149C7">
        <w:rPr>
          <w:rFonts w:ascii="Times New Roman" w:eastAsia="Times New Roman" w:hAnsi="Times New Roman" w:cs="Times New Roman"/>
          <w:sz w:val="24"/>
          <w:szCs w:val="24"/>
        </w:rPr>
        <w:t>Fantodji</w:t>
      </w:r>
      <w:proofErr w:type="spellEnd"/>
      <w:r w:rsidRPr="006149C7">
        <w:rPr>
          <w:rFonts w:ascii="Times New Roman" w:eastAsia="Times New Roman" w:hAnsi="Times New Roman" w:cs="Times New Roman"/>
          <w:sz w:val="24"/>
          <w:szCs w:val="24"/>
        </w:rPr>
        <w:t xml:space="preserve">, C., &amp; </w:t>
      </w:r>
      <w:proofErr w:type="spellStart"/>
      <w:r w:rsidRPr="006149C7">
        <w:rPr>
          <w:rFonts w:ascii="Times New Roman" w:eastAsia="Times New Roman" w:hAnsi="Times New Roman" w:cs="Times New Roman"/>
          <w:sz w:val="24"/>
          <w:szCs w:val="24"/>
        </w:rPr>
        <w:t>Saizonou</w:t>
      </w:r>
      <w:proofErr w:type="spellEnd"/>
      <w:r w:rsidRPr="006149C7">
        <w:rPr>
          <w:rFonts w:ascii="Times New Roman" w:eastAsia="Times New Roman" w:hAnsi="Times New Roman" w:cs="Times New Roman"/>
          <w:sz w:val="24"/>
          <w:szCs w:val="24"/>
        </w:rPr>
        <w:t xml:space="preserve">, J. (2024). Unraveling the quality of implementation of sexual and reproductive health projects among adolescents and youths in low-income regions: a case study of the JADES 2 project in Niger in 2021. Pan African Medical Journal. </w:t>
      </w:r>
      <w:hyperlink r:id="rId12" w:history="1">
        <w:r w:rsidRPr="008F3595">
          <w:rPr>
            <w:rStyle w:val="Hyperlink"/>
            <w:rFonts w:ascii="Times New Roman" w:eastAsia="Times New Roman" w:hAnsi="Times New Roman" w:cs="Times New Roman"/>
            <w:sz w:val="24"/>
            <w:szCs w:val="24"/>
          </w:rPr>
          <w:t>https://doi.org/10.11604/pamj.2024.47.123.42725</w:t>
        </w:r>
      </w:hyperlink>
    </w:p>
    <w:p w14:paraId="50337BF9" w14:textId="77777777" w:rsidR="006149C7" w:rsidRPr="006149C7" w:rsidRDefault="006149C7">
      <w:pPr>
        <w:spacing w:line="360" w:lineRule="auto"/>
        <w:jc w:val="both"/>
        <w:rPr>
          <w:highlight w:val="white"/>
        </w:rPr>
      </w:pPr>
    </w:p>
    <w:p w14:paraId="404AC7D8" w14:textId="3247EFB5" w:rsidR="00101E6B" w:rsidRDefault="006149C7">
      <w:pPr>
        <w:spacing w:line="360" w:lineRule="auto"/>
        <w:jc w:val="both"/>
      </w:pPr>
      <w:proofErr w:type="spellStart"/>
      <w:r w:rsidRPr="006149C7">
        <w:rPr>
          <w:rFonts w:ascii="Times New Roman" w:eastAsia="Times New Roman" w:hAnsi="Times New Roman" w:cs="Times New Roman"/>
          <w:sz w:val="24"/>
          <w:szCs w:val="24"/>
        </w:rPr>
        <w:t>Akwara</w:t>
      </w:r>
      <w:proofErr w:type="spellEnd"/>
      <w:r w:rsidRPr="006149C7">
        <w:rPr>
          <w:rFonts w:ascii="Times New Roman" w:eastAsia="Times New Roman" w:hAnsi="Times New Roman" w:cs="Times New Roman"/>
          <w:sz w:val="24"/>
          <w:szCs w:val="24"/>
        </w:rPr>
        <w:t xml:space="preserve">, E., </w:t>
      </w:r>
      <w:proofErr w:type="spellStart"/>
      <w:r w:rsidRPr="006149C7">
        <w:rPr>
          <w:rFonts w:ascii="Times New Roman" w:eastAsia="Times New Roman" w:hAnsi="Times New Roman" w:cs="Times New Roman"/>
          <w:sz w:val="24"/>
          <w:szCs w:val="24"/>
        </w:rPr>
        <w:t>Pinchoff</w:t>
      </w:r>
      <w:proofErr w:type="spellEnd"/>
      <w:r w:rsidRPr="006149C7">
        <w:rPr>
          <w:rFonts w:ascii="Times New Roman" w:eastAsia="Times New Roman" w:hAnsi="Times New Roman" w:cs="Times New Roman"/>
          <w:sz w:val="24"/>
          <w:szCs w:val="24"/>
        </w:rPr>
        <w:t xml:space="preserve">, J., </w:t>
      </w:r>
      <w:proofErr w:type="spellStart"/>
      <w:r w:rsidRPr="006149C7">
        <w:rPr>
          <w:rFonts w:ascii="Times New Roman" w:eastAsia="Times New Roman" w:hAnsi="Times New Roman" w:cs="Times New Roman"/>
          <w:sz w:val="24"/>
          <w:szCs w:val="24"/>
        </w:rPr>
        <w:t>Abularrage</w:t>
      </w:r>
      <w:proofErr w:type="spellEnd"/>
      <w:r w:rsidRPr="006149C7">
        <w:rPr>
          <w:rFonts w:ascii="Times New Roman" w:eastAsia="Times New Roman" w:hAnsi="Times New Roman" w:cs="Times New Roman"/>
          <w:sz w:val="24"/>
          <w:szCs w:val="24"/>
        </w:rPr>
        <w:t xml:space="preserve">, T., White, C., &amp; Ngo, T. D. (2023). The urban environment and disparities in sexual and reproductive health outcomes in the global south: a scoping review. Journal of Urban Health, 100(3), 525-561. </w:t>
      </w:r>
      <w:hyperlink r:id="rId13" w:history="1">
        <w:r w:rsidRPr="008F3595">
          <w:rPr>
            <w:rStyle w:val="Hyperlink"/>
            <w:rFonts w:ascii="Times New Roman" w:eastAsia="Times New Roman" w:hAnsi="Times New Roman" w:cs="Times New Roman"/>
            <w:sz w:val="24"/>
            <w:szCs w:val="24"/>
          </w:rPr>
          <w:t>https://doi.org/10.1007/s11524-023-00724-z</w:t>
        </w:r>
      </w:hyperlink>
    </w:p>
    <w:p w14:paraId="78CEDE22" w14:textId="77777777" w:rsidR="006149C7" w:rsidRPr="006149C7" w:rsidRDefault="006149C7">
      <w:pPr>
        <w:spacing w:line="360" w:lineRule="auto"/>
        <w:jc w:val="both"/>
        <w:rPr>
          <w:highlight w:val="white"/>
        </w:rPr>
      </w:pPr>
    </w:p>
    <w:p w14:paraId="5B460A8C" w14:textId="447ED90C" w:rsidR="00101E6B" w:rsidRDefault="006149C7">
      <w:pPr>
        <w:spacing w:line="360" w:lineRule="auto"/>
        <w:jc w:val="both"/>
      </w:pPr>
      <w:proofErr w:type="spellStart"/>
      <w:r w:rsidRPr="006149C7">
        <w:rPr>
          <w:rFonts w:ascii="Times New Roman" w:eastAsia="Times New Roman" w:hAnsi="Times New Roman" w:cs="Times New Roman"/>
          <w:sz w:val="24"/>
          <w:szCs w:val="24"/>
        </w:rPr>
        <w:t>Alharbi</w:t>
      </w:r>
      <w:proofErr w:type="spellEnd"/>
      <w:r w:rsidRPr="006149C7">
        <w:rPr>
          <w:rFonts w:ascii="Times New Roman" w:eastAsia="Times New Roman" w:hAnsi="Times New Roman" w:cs="Times New Roman"/>
          <w:sz w:val="24"/>
          <w:szCs w:val="24"/>
        </w:rPr>
        <w:t xml:space="preserve">, A., &amp; Stevenson, M. (2020). Refining Boolean queries to identify relevant studies for systematic review updates. Journal of the American Medical Informatics Association, 27(11), 1658-1666. </w:t>
      </w:r>
      <w:hyperlink r:id="rId14" w:history="1">
        <w:r w:rsidRPr="008F3595">
          <w:rPr>
            <w:rStyle w:val="Hyperlink"/>
            <w:rFonts w:ascii="Times New Roman" w:eastAsia="Times New Roman" w:hAnsi="Times New Roman" w:cs="Times New Roman"/>
            <w:sz w:val="24"/>
            <w:szCs w:val="24"/>
          </w:rPr>
          <w:t>https://doi.org/10.1093/jamia/ocaa148</w:t>
        </w:r>
      </w:hyperlink>
    </w:p>
    <w:p w14:paraId="3538B3E2" w14:textId="77777777" w:rsidR="006149C7" w:rsidRPr="006149C7" w:rsidRDefault="006149C7">
      <w:pPr>
        <w:spacing w:line="360" w:lineRule="auto"/>
        <w:jc w:val="both"/>
        <w:rPr>
          <w:highlight w:val="white"/>
        </w:rPr>
      </w:pPr>
    </w:p>
    <w:p w14:paraId="5545F4CA" w14:textId="52D05123" w:rsidR="00101E6B" w:rsidRDefault="006149C7">
      <w:pPr>
        <w:spacing w:line="360" w:lineRule="auto"/>
        <w:jc w:val="both"/>
      </w:pPr>
      <w:r w:rsidRPr="006149C7">
        <w:rPr>
          <w:rFonts w:ascii="Times New Roman" w:eastAsia="Times New Roman" w:hAnsi="Times New Roman" w:cs="Times New Roman"/>
          <w:sz w:val="24"/>
          <w:szCs w:val="24"/>
        </w:rPr>
        <w:lastRenderedPageBreak/>
        <w:t xml:space="preserve">Arksey, H., &amp; O'Malley, L. (2005). Scoping studies: towards a methodological framework. International journal of social research methodology, 8(1), 19-32. </w:t>
      </w:r>
      <w:hyperlink r:id="rId15" w:history="1">
        <w:r w:rsidRPr="008F3595">
          <w:rPr>
            <w:rStyle w:val="Hyperlink"/>
            <w:rFonts w:ascii="Times New Roman" w:eastAsia="Times New Roman" w:hAnsi="Times New Roman" w:cs="Times New Roman"/>
            <w:sz w:val="24"/>
            <w:szCs w:val="24"/>
          </w:rPr>
          <w:t>https://doi.org/10.1080/1364557032000119616</w:t>
        </w:r>
      </w:hyperlink>
    </w:p>
    <w:p w14:paraId="4E4574D3" w14:textId="77777777" w:rsidR="006149C7" w:rsidRPr="006149C7" w:rsidRDefault="006149C7">
      <w:pPr>
        <w:spacing w:line="360" w:lineRule="auto"/>
        <w:jc w:val="both"/>
        <w:rPr>
          <w:highlight w:val="white"/>
        </w:rPr>
      </w:pPr>
    </w:p>
    <w:p w14:paraId="04929D15" w14:textId="257CCD2F" w:rsidR="00101E6B" w:rsidRDefault="006149C7">
      <w:pPr>
        <w:spacing w:line="360" w:lineRule="auto"/>
        <w:jc w:val="both"/>
      </w:pPr>
      <w:proofErr w:type="spellStart"/>
      <w:r w:rsidRPr="006149C7">
        <w:rPr>
          <w:rFonts w:ascii="Times New Roman" w:eastAsia="Times New Roman" w:hAnsi="Times New Roman" w:cs="Times New Roman"/>
          <w:sz w:val="24"/>
          <w:szCs w:val="24"/>
        </w:rPr>
        <w:t>Ashipala</w:t>
      </w:r>
      <w:proofErr w:type="spellEnd"/>
      <w:r w:rsidRPr="006149C7">
        <w:rPr>
          <w:rFonts w:ascii="Times New Roman" w:eastAsia="Times New Roman" w:hAnsi="Times New Roman" w:cs="Times New Roman"/>
          <w:sz w:val="24"/>
          <w:szCs w:val="24"/>
        </w:rPr>
        <w:t xml:space="preserve">, D. O., &amp; </w:t>
      </w:r>
      <w:proofErr w:type="spellStart"/>
      <w:r w:rsidRPr="006149C7">
        <w:rPr>
          <w:rFonts w:ascii="Times New Roman" w:eastAsia="Times New Roman" w:hAnsi="Times New Roman" w:cs="Times New Roman"/>
          <w:sz w:val="24"/>
          <w:szCs w:val="24"/>
        </w:rPr>
        <w:t>Katjimune</w:t>
      </w:r>
      <w:proofErr w:type="spellEnd"/>
      <w:r w:rsidRPr="006149C7">
        <w:rPr>
          <w:rFonts w:ascii="Times New Roman" w:eastAsia="Times New Roman" w:hAnsi="Times New Roman" w:cs="Times New Roman"/>
          <w:sz w:val="24"/>
          <w:szCs w:val="24"/>
        </w:rPr>
        <w:t xml:space="preserve">, V. (2025). Factors influencing access and utilization of sexual and reproductive health services by adolescents in Namibia: Insights from nurses. African Journal of Reproductive Health, 29(1), 109-117. </w:t>
      </w:r>
      <w:hyperlink r:id="rId16" w:history="1">
        <w:r w:rsidRPr="008F3595">
          <w:rPr>
            <w:rStyle w:val="Hyperlink"/>
            <w:rFonts w:ascii="Times New Roman" w:eastAsia="Times New Roman" w:hAnsi="Times New Roman" w:cs="Times New Roman"/>
            <w:sz w:val="24"/>
            <w:szCs w:val="24"/>
          </w:rPr>
          <w:t>https://doi.org/10.29063/ajrh2025/v29i1.11</w:t>
        </w:r>
      </w:hyperlink>
    </w:p>
    <w:p w14:paraId="00D9E48D" w14:textId="77777777" w:rsidR="006149C7" w:rsidRPr="006149C7" w:rsidRDefault="006149C7">
      <w:pPr>
        <w:spacing w:line="360" w:lineRule="auto"/>
        <w:jc w:val="both"/>
        <w:rPr>
          <w:highlight w:val="white"/>
        </w:rPr>
      </w:pPr>
    </w:p>
    <w:p w14:paraId="4253F460" w14:textId="270A02E4" w:rsidR="00101E6B" w:rsidRDefault="006149C7">
      <w:pPr>
        <w:spacing w:line="360" w:lineRule="auto"/>
        <w:jc w:val="both"/>
      </w:pPr>
      <w:proofErr w:type="spellStart"/>
      <w:r w:rsidRPr="006149C7">
        <w:rPr>
          <w:rFonts w:ascii="Times New Roman" w:eastAsia="Times New Roman" w:hAnsi="Times New Roman" w:cs="Times New Roman"/>
          <w:sz w:val="24"/>
          <w:szCs w:val="24"/>
        </w:rPr>
        <w:t>Bomfim</w:t>
      </w:r>
      <w:proofErr w:type="spellEnd"/>
      <w:r w:rsidRPr="006149C7">
        <w:rPr>
          <w:rFonts w:ascii="Times New Roman" w:eastAsia="Times New Roman" w:hAnsi="Times New Roman" w:cs="Times New Roman"/>
          <w:sz w:val="24"/>
          <w:szCs w:val="24"/>
        </w:rPr>
        <w:t xml:space="preserve">, E., </w:t>
      </w:r>
      <w:proofErr w:type="spellStart"/>
      <w:r w:rsidRPr="006149C7">
        <w:rPr>
          <w:rFonts w:ascii="Times New Roman" w:eastAsia="Times New Roman" w:hAnsi="Times New Roman" w:cs="Times New Roman"/>
          <w:sz w:val="24"/>
          <w:szCs w:val="24"/>
        </w:rPr>
        <w:t>Mupueleque</w:t>
      </w:r>
      <w:proofErr w:type="spellEnd"/>
      <w:r w:rsidRPr="006149C7">
        <w:rPr>
          <w:rFonts w:ascii="Times New Roman" w:eastAsia="Times New Roman" w:hAnsi="Times New Roman" w:cs="Times New Roman"/>
          <w:sz w:val="24"/>
          <w:szCs w:val="24"/>
        </w:rPr>
        <w:t xml:space="preserve">, M. A., Dos Santos, D. M. M., </w:t>
      </w:r>
      <w:proofErr w:type="spellStart"/>
      <w:r w:rsidRPr="006149C7">
        <w:rPr>
          <w:rFonts w:ascii="Times New Roman" w:eastAsia="Times New Roman" w:hAnsi="Times New Roman" w:cs="Times New Roman"/>
          <w:sz w:val="24"/>
          <w:szCs w:val="24"/>
        </w:rPr>
        <w:t>Abdirazak</w:t>
      </w:r>
      <w:proofErr w:type="spellEnd"/>
      <w:r w:rsidRPr="006149C7">
        <w:rPr>
          <w:rFonts w:ascii="Times New Roman" w:eastAsia="Times New Roman" w:hAnsi="Times New Roman" w:cs="Times New Roman"/>
          <w:sz w:val="24"/>
          <w:szCs w:val="24"/>
        </w:rPr>
        <w:t xml:space="preserve">, A., de Arminda Bernardo, R., </w:t>
      </w:r>
      <w:proofErr w:type="spellStart"/>
      <w:r w:rsidRPr="006149C7">
        <w:rPr>
          <w:rFonts w:ascii="Times New Roman" w:eastAsia="Times New Roman" w:hAnsi="Times New Roman" w:cs="Times New Roman"/>
          <w:sz w:val="24"/>
          <w:szCs w:val="24"/>
        </w:rPr>
        <w:t>Zakus</w:t>
      </w:r>
      <w:proofErr w:type="spellEnd"/>
      <w:r w:rsidRPr="006149C7">
        <w:rPr>
          <w:rFonts w:ascii="Times New Roman" w:eastAsia="Times New Roman" w:hAnsi="Times New Roman" w:cs="Times New Roman"/>
          <w:sz w:val="24"/>
          <w:szCs w:val="24"/>
        </w:rPr>
        <w:t xml:space="preserve">, D., Pires, P. H. D. N. M., Siemens, R., &amp; Belo, C. F. (2020). Quality assessment in primary health care: Adolescent and Youth Friendly Service, a Mozambican case study. Pan African Medical Journal, 37(1). </w:t>
      </w:r>
      <w:hyperlink r:id="rId17" w:history="1">
        <w:r w:rsidRPr="008F3595">
          <w:rPr>
            <w:rStyle w:val="Hyperlink"/>
            <w:rFonts w:ascii="Times New Roman" w:eastAsia="Times New Roman" w:hAnsi="Times New Roman" w:cs="Times New Roman"/>
            <w:sz w:val="24"/>
            <w:szCs w:val="24"/>
          </w:rPr>
          <w:t>https://doi.org/10.11604/pamj.2020.37.1.22983</w:t>
        </w:r>
      </w:hyperlink>
    </w:p>
    <w:p w14:paraId="6C19AE3F" w14:textId="77777777" w:rsidR="006149C7" w:rsidRPr="006149C7" w:rsidRDefault="006149C7">
      <w:pPr>
        <w:spacing w:line="360" w:lineRule="auto"/>
        <w:jc w:val="both"/>
        <w:rPr>
          <w:highlight w:val="white"/>
        </w:rPr>
      </w:pPr>
    </w:p>
    <w:p w14:paraId="1C5F42FF" w14:textId="08AD2615" w:rsidR="00101E6B" w:rsidRDefault="006149C7">
      <w:pPr>
        <w:spacing w:line="360" w:lineRule="auto"/>
        <w:jc w:val="both"/>
      </w:pPr>
      <w:r w:rsidRPr="006149C7">
        <w:rPr>
          <w:rFonts w:ascii="Times New Roman" w:eastAsia="Times New Roman" w:hAnsi="Times New Roman" w:cs="Times New Roman"/>
          <w:sz w:val="24"/>
          <w:szCs w:val="24"/>
        </w:rPr>
        <w:t xml:space="preserve">National Academies of Sciences, Engineering, and Medicine. (2019). The promise of adolescence: Realizing opportunity for all youth. National Academies Press. </w:t>
      </w:r>
      <w:hyperlink r:id="rId18" w:history="1">
        <w:r w:rsidRPr="008F3595">
          <w:rPr>
            <w:rStyle w:val="Hyperlink"/>
            <w:rFonts w:ascii="Times New Roman" w:eastAsia="Times New Roman" w:hAnsi="Times New Roman" w:cs="Times New Roman"/>
            <w:sz w:val="24"/>
            <w:szCs w:val="24"/>
          </w:rPr>
          <w:t>https://www.ncbi.nlm.nih.gov/books/NBK545476/</w:t>
        </w:r>
      </w:hyperlink>
    </w:p>
    <w:p w14:paraId="2033A770" w14:textId="77777777" w:rsidR="006149C7" w:rsidRPr="006149C7" w:rsidRDefault="006149C7">
      <w:pPr>
        <w:spacing w:line="360" w:lineRule="auto"/>
        <w:jc w:val="both"/>
        <w:rPr>
          <w:highlight w:val="white"/>
        </w:rPr>
      </w:pPr>
    </w:p>
    <w:p w14:paraId="664961C1" w14:textId="328B209B" w:rsidR="00101E6B" w:rsidRDefault="006149C7">
      <w:pPr>
        <w:spacing w:line="360" w:lineRule="auto"/>
        <w:jc w:val="both"/>
      </w:pPr>
      <w:r w:rsidRPr="006149C7">
        <w:rPr>
          <w:rFonts w:ascii="Times New Roman" w:eastAsia="Times New Roman" w:hAnsi="Times New Roman" w:cs="Times New Roman"/>
          <w:sz w:val="24"/>
          <w:szCs w:val="24"/>
        </w:rPr>
        <w:t xml:space="preserve">Decker, M. J., </w:t>
      </w:r>
      <w:proofErr w:type="spellStart"/>
      <w:r w:rsidRPr="006149C7">
        <w:rPr>
          <w:rFonts w:ascii="Times New Roman" w:eastAsia="Times New Roman" w:hAnsi="Times New Roman" w:cs="Times New Roman"/>
          <w:sz w:val="24"/>
          <w:szCs w:val="24"/>
        </w:rPr>
        <w:t>Atyam</w:t>
      </w:r>
      <w:proofErr w:type="spellEnd"/>
      <w:r w:rsidRPr="006149C7">
        <w:rPr>
          <w:rFonts w:ascii="Times New Roman" w:eastAsia="Times New Roman" w:hAnsi="Times New Roman" w:cs="Times New Roman"/>
          <w:sz w:val="24"/>
          <w:szCs w:val="24"/>
        </w:rPr>
        <w:t xml:space="preserve">, T. V., </w:t>
      </w:r>
      <w:proofErr w:type="spellStart"/>
      <w:r w:rsidRPr="006149C7">
        <w:rPr>
          <w:rFonts w:ascii="Times New Roman" w:eastAsia="Times New Roman" w:hAnsi="Times New Roman" w:cs="Times New Roman"/>
          <w:sz w:val="24"/>
          <w:szCs w:val="24"/>
        </w:rPr>
        <w:t>Zárate</w:t>
      </w:r>
      <w:proofErr w:type="spellEnd"/>
      <w:r w:rsidRPr="006149C7">
        <w:rPr>
          <w:rFonts w:ascii="Times New Roman" w:eastAsia="Times New Roman" w:hAnsi="Times New Roman" w:cs="Times New Roman"/>
          <w:sz w:val="24"/>
          <w:szCs w:val="24"/>
        </w:rPr>
        <w:t xml:space="preserve">, C. G., Bayer, A. M., Bautista, C., &amp; </w:t>
      </w:r>
      <w:proofErr w:type="spellStart"/>
      <w:r w:rsidRPr="006149C7">
        <w:rPr>
          <w:rFonts w:ascii="Times New Roman" w:eastAsia="Times New Roman" w:hAnsi="Times New Roman" w:cs="Times New Roman"/>
          <w:sz w:val="24"/>
          <w:szCs w:val="24"/>
        </w:rPr>
        <w:t>Saphir</w:t>
      </w:r>
      <w:proofErr w:type="spellEnd"/>
      <w:r w:rsidRPr="006149C7">
        <w:rPr>
          <w:rFonts w:ascii="Times New Roman" w:eastAsia="Times New Roman" w:hAnsi="Times New Roman" w:cs="Times New Roman"/>
          <w:sz w:val="24"/>
          <w:szCs w:val="24"/>
        </w:rPr>
        <w:t xml:space="preserve">, M. (2021). Adolescents’ perceived barriers to accessing sexual and reproductive health services in California: a cross-sectional survey. BMC Health Services Research, 21(1), 1263. </w:t>
      </w:r>
      <w:hyperlink r:id="rId19" w:history="1">
        <w:r w:rsidRPr="008F3595">
          <w:rPr>
            <w:rStyle w:val="Hyperlink"/>
            <w:rFonts w:ascii="Times New Roman" w:eastAsia="Times New Roman" w:hAnsi="Times New Roman" w:cs="Times New Roman"/>
            <w:sz w:val="24"/>
            <w:szCs w:val="24"/>
          </w:rPr>
          <w:t>https://doi.org/10.1186/s12913-021-07278-3</w:t>
        </w:r>
      </w:hyperlink>
    </w:p>
    <w:p w14:paraId="364ED81E" w14:textId="77777777" w:rsidR="006149C7" w:rsidRPr="006149C7" w:rsidRDefault="006149C7">
      <w:pPr>
        <w:spacing w:line="360" w:lineRule="auto"/>
        <w:jc w:val="both"/>
        <w:rPr>
          <w:highlight w:val="white"/>
        </w:rPr>
      </w:pPr>
    </w:p>
    <w:p w14:paraId="09E144C7" w14:textId="2942A0D2" w:rsidR="00101E6B" w:rsidRDefault="006149C7">
      <w:pPr>
        <w:spacing w:line="360" w:lineRule="auto"/>
        <w:jc w:val="both"/>
      </w:pPr>
      <w:proofErr w:type="spellStart"/>
      <w:r w:rsidRPr="006149C7">
        <w:rPr>
          <w:rFonts w:ascii="Times New Roman" w:eastAsia="Times New Roman" w:hAnsi="Times New Roman" w:cs="Times New Roman"/>
          <w:sz w:val="24"/>
          <w:szCs w:val="24"/>
        </w:rPr>
        <w:t>DeMars</w:t>
      </w:r>
      <w:proofErr w:type="spellEnd"/>
      <w:r w:rsidRPr="006149C7">
        <w:rPr>
          <w:rFonts w:ascii="Times New Roman" w:eastAsia="Times New Roman" w:hAnsi="Times New Roman" w:cs="Times New Roman"/>
          <w:sz w:val="24"/>
          <w:szCs w:val="24"/>
        </w:rPr>
        <w:t xml:space="preserve">, M. M., &amp; </w:t>
      </w:r>
      <w:proofErr w:type="spellStart"/>
      <w:r w:rsidRPr="006149C7">
        <w:rPr>
          <w:rFonts w:ascii="Times New Roman" w:eastAsia="Times New Roman" w:hAnsi="Times New Roman" w:cs="Times New Roman"/>
          <w:sz w:val="24"/>
          <w:szCs w:val="24"/>
        </w:rPr>
        <w:t>Perruso</w:t>
      </w:r>
      <w:proofErr w:type="spellEnd"/>
      <w:r w:rsidRPr="006149C7">
        <w:rPr>
          <w:rFonts w:ascii="Times New Roman" w:eastAsia="Times New Roman" w:hAnsi="Times New Roman" w:cs="Times New Roman"/>
          <w:sz w:val="24"/>
          <w:szCs w:val="24"/>
        </w:rPr>
        <w:t xml:space="preserve">, C. (2022). </w:t>
      </w:r>
      <w:proofErr w:type="spellStart"/>
      <w:r w:rsidRPr="006149C7">
        <w:rPr>
          <w:rFonts w:ascii="Times New Roman" w:eastAsia="Times New Roman" w:hAnsi="Times New Roman" w:cs="Times New Roman"/>
          <w:sz w:val="24"/>
          <w:szCs w:val="24"/>
        </w:rPr>
        <w:t>MeSH</w:t>
      </w:r>
      <w:proofErr w:type="spellEnd"/>
      <w:r w:rsidRPr="006149C7">
        <w:rPr>
          <w:rFonts w:ascii="Times New Roman" w:eastAsia="Times New Roman" w:hAnsi="Times New Roman" w:cs="Times New Roman"/>
          <w:sz w:val="24"/>
          <w:szCs w:val="24"/>
        </w:rPr>
        <w:t xml:space="preserve"> and text-word search strategies: precision, recall, and their implications for library instruction. Journal of the Medical Library Association: JMLA, 110(1), 23 </w:t>
      </w:r>
      <w:hyperlink r:id="rId20" w:history="1">
        <w:r w:rsidRPr="008F3595">
          <w:rPr>
            <w:rStyle w:val="Hyperlink"/>
            <w:rFonts w:ascii="Times New Roman" w:eastAsia="Times New Roman" w:hAnsi="Times New Roman" w:cs="Times New Roman"/>
            <w:sz w:val="24"/>
            <w:szCs w:val="24"/>
          </w:rPr>
          <w:t>https://doi.org/10.5195/jmla.2022.1283</w:t>
        </w:r>
      </w:hyperlink>
    </w:p>
    <w:p w14:paraId="45033DCC" w14:textId="77777777" w:rsidR="006149C7" w:rsidRPr="006149C7" w:rsidRDefault="006149C7">
      <w:pPr>
        <w:spacing w:line="360" w:lineRule="auto"/>
        <w:jc w:val="both"/>
        <w:rPr>
          <w:highlight w:val="white"/>
        </w:rPr>
      </w:pPr>
    </w:p>
    <w:p w14:paraId="18F0EF46" w14:textId="3BC8A556" w:rsidR="00101E6B" w:rsidRDefault="006149C7">
      <w:pPr>
        <w:spacing w:line="360" w:lineRule="auto"/>
        <w:jc w:val="both"/>
      </w:pPr>
      <w:proofErr w:type="spellStart"/>
      <w:r w:rsidRPr="006149C7">
        <w:rPr>
          <w:rFonts w:ascii="Times New Roman" w:eastAsia="Times New Roman" w:hAnsi="Times New Roman" w:cs="Times New Roman"/>
          <w:sz w:val="24"/>
          <w:szCs w:val="24"/>
        </w:rPr>
        <w:t>Ghadirian</w:t>
      </w:r>
      <w:proofErr w:type="spellEnd"/>
      <w:r w:rsidRPr="006149C7">
        <w:rPr>
          <w:rFonts w:ascii="Times New Roman" w:eastAsia="Times New Roman" w:hAnsi="Times New Roman" w:cs="Times New Roman"/>
          <w:sz w:val="24"/>
          <w:szCs w:val="24"/>
        </w:rPr>
        <w:t xml:space="preserve">, M. Z., Omer, K., &amp; Cockcroft, A. (2023). Determinants of Adolescent Sexual and Reproductive Health in Sub-Saharan Africa: Protocol for an Umbrella Review. JMIR Research Protocols. </w:t>
      </w:r>
      <w:hyperlink r:id="rId21" w:history="1">
        <w:r w:rsidRPr="008F3595">
          <w:rPr>
            <w:rStyle w:val="Hyperlink"/>
            <w:rFonts w:ascii="Times New Roman" w:eastAsia="Times New Roman" w:hAnsi="Times New Roman" w:cs="Times New Roman"/>
            <w:sz w:val="24"/>
            <w:szCs w:val="24"/>
          </w:rPr>
          <w:t>https://doi.org/10.2196/51278</w:t>
        </w:r>
      </w:hyperlink>
    </w:p>
    <w:p w14:paraId="7C368DFE" w14:textId="77777777" w:rsidR="006149C7" w:rsidRPr="006149C7" w:rsidRDefault="006149C7">
      <w:pPr>
        <w:spacing w:line="360" w:lineRule="auto"/>
        <w:jc w:val="both"/>
        <w:rPr>
          <w:highlight w:val="white"/>
        </w:rPr>
      </w:pPr>
    </w:p>
    <w:p w14:paraId="29ED71DF" w14:textId="4B6D1525" w:rsidR="00101E6B" w:rsidRDefault="006149C7">
      <w:pPr>
        <w:spacing w:line="360" w:lineRule="auto"/>
        <w:jc w:val="both"/>
      </w:pPr>
      <w:proofErr w:type="spellStart"/>
      <w:r w:rsidRPr="006149C7">
        <w:rPr>
          <w:rFonts w:ascii="Times New Roman" w:eastAsia="Times New Roman" w:hAnsi="Times New Roman" w:cs="Times New Roman"/>
          <w:sz w:val="24"/>
          <w:szCs w:val="24"/>
        </w:rPr>
        <w:t>Gondwe</w:t>
      </w:r>
      <w:proofErr w:type="spellEnd"/>
      <w:r w:rsidRPr="006149C7">
        <w:rPr>
          <w:rFonts w:ascii="Times New Roman" w:eastAsia="Times New Roman" w:hAnsi="Times New Roman" w:cs="Times New Roman"/>
          <w:sz w:val="24"/>
          <w:szCs w:val="24"/>
        </w:rPr>
        <w:t xml:space="preserve">, M., </w:t>
      </w:r>
      <w:proofErr w:type="spellStart"/>
      <w:r w:rsidRPr="006149C7">
        <w:rPr>
          <w:rFonts w:ascii="Times New Roman" w:eastAsia="Times New Roman" w:hAnsi="Times New Roman" w:cs="Times New Roman"/>
          <w:sz w:val="24"/>
          <w:szCs w:val="24"/>
        </w:rPr>
        <w:t>Simuyaba</w:t>
      </w:r>
      <w:proofErr w:type="spellEnd"/>
      <w:r w:rsidRPr="006149C7">
        <w:rPr>
          <w:rFonts w:ascii="Times New Roman" w:eastAsia="Times New Roman" w:hAnsi="Times New Roman" w:cs="Times New Roman"/>
          <w:sz w:val="24"/>
          <w:szCs w:val="24"/>
        </w:rPr>
        <w:t xml:space="preserve">, M., Phiri, M., </w:t>
      </w:r>
      <w:proofErr w:type="spellStart"/>
      <w:r w:rsidRPr="006149C7">
        <w:rPr>
          <w:rFonts w:ascii="Times New Roman" w:eastAsia="Times New Roman" w:hAnsi="Times New Roman" w:cs="Times New Roman"/>
          <w:sz w:val="24"/>
          <w:szCs w:val="24"/>
        </w:rPr>
        <w:t>Mwansa</w:t>
      </w:r>
      <w:proofErr w:type="spellEnd"/>
      <w:r w:rsidRPr="006149C7">
        <w:rPr>
          <w:rFonts w:ascii="Times New Roman" w:eastAsia="Times New Roman" w:hAnsi="Times New Roman" w:cs="Times New Roman"/>
          <w:sz w:val="24"/>
          <w:szCs w:val="24"/>
        </w:rPr>
        <w:t xml:space="preserve">, C., </w:t>
      </w:r>
      <w:proofErr w:type="spellStart"/>
      <w:r w:rsidRPr="006149C7">
        <w:rPr>
          <w:rFonts w:ascii="Times New Roman" w:eastAsia="Times New Roman" w:hAnsi="Times New Roman" w:cs="Times New Roman"/>
          <w:sz w:val="24"/>
          <w:szCs w:val="24"/>
        </w:rPr>
        <w:t>Schaap</w:t>
      </w:r>
      <w:proofErr w:type="spellEnd"/>
      <w:r w:rsidRPr="006149C7">
        <w:rPr>
          <w:rFonts w:ascii="Times New Roman" w:eastAsia="Times New Roman" w:hAnsi="Times New Roman" w:cs="Times New Roman"/>
          <w:sz w:val="24"/>
          <w:szCs w:val="24"/>
        </w:rPr>
        <w:t xml:space="preserve">, A., </w:t>
      </w:r>
      <w:proofErr w:type="spellStart"/>
      <w:r w:rsidRPr="006149C7">
        <w:rPr>
          <w:rFonts w:ascii="Times New Roman" w:eastAsia="Times New Roman" w:hAnsi="Times New Roman" w:cs="Times New Roman"/>
          <w:sz w:val="24"/>
          <w:szCs w:val="24"/>
        </w:rPr>
        <w:t>Sigande</w:t>
      </w:r>
      <w:proofErr w:type="spellEnd"/>
      <w:r w:rsidRPr="006149C7">
        <w:rPr>
          <w:rFonts w:ascii="Times New Roman" w:eastAsia="Times New Roman" w:hAnsi="Times New Roman" w:cs="Times New Roman"/>
          <w:sz w:val="24"/>
          <w:szCs w:val="24"/>
        </w:rPr>
        <w:t xml:space="preserve">, L., </w:t>
      </w:r>
      <w:proofErr w:type="spellStart"/>
      <w:r w:rsidRPr="006149C7">
        <w:rPr>
          <w:rFonts w:ascii="Times New Roman" w:eastAsia="Times New Roman" w:hAnsi="Times New Roman" w:cs="Times New Roman"/>
          <w:sz w:val="24"/>
          <w:szCs w:val="24"/>
        </w:rPr>
        <w:t>Shanaube</w:t>
      </w:r>
      <w:proofErr w:type="spellEnd"/>
      <w:r w:rsidRPr="006149C7">
        <w:rPr>
          <w:rFonts w:ascii="Times New Roman" w:eastAsia="Times New Roman" w:hAnsi="Times New Roman" w:cs="Times New Roman"/>
          <w:sz w:val="24"/>
          <w:szCs w:val="24"/>
        </w:rPr>
        <w:t xml:space="preserve">, K., Floyd, S., Fidler, S., </w:t>
      </w:r>
      <w:proofErr w:type="spellStart"/>
      <w:r w:rsidRPr="006149C7">
        <w:rPr>
          <w:rFonts w:ascii="Times New Roman" w:eastAsia="Times New Roman" w:hAnsi="Times New Roman" w:cs="Times New Roman"/>
          <w:sz w:val="24"/>
          <w:szCs w:val="24"/>
        </w:rPr>
        <w:t>Ayles</w:t>
      </w:r>
      <w:proofErr w:type="spellEnd"/>
      <w:r w:rsidRPr="006149C7">
        <w:rPr>
          <w:rFonts w:ascii="Times New Roman" w:eastAsia="Times New Roman" w:hAnsi="Times New Roman" w:cs="Times New Roman"/>
          <w:sz w:val="24"/>
          <w:szCs w:val="24"/>
        </w:rPr>
        <w:t xml:space="preserve">, H., </w:t>
      </w:r>
      <w:proofErr w:type="spellStart"/>
      <w:r w:rsidRPr="006149C7">
        <w:rPr>
          <w:rFonts w:ascii="Times New Roman" w:eastAsia="Times New Roman" w:hAnsi="Times New Roman" w:cs="Times New Roman"/>
          <w:sz w:val="24"/>
          <w:szCs w:val="24"/>
        </w:rPr>
        <w:t>Simwinga</w:t>
      </w:r>
      <w:proofErr w:type="spellEnd"/>
      <w:r w:rsidRPr="006149C7">
        <w:rPr>
          <w:rFonts w:ascii="Times New Roman" w:eastAsia="Times New Roman" w:hAnsi="Times New Roman" w:cs="Times New Roman"/>
          <w:sz w:val="24"/>
          <w:szCs w:val="24"/>
        </w:rPr>
        <w:t xml:space="preserve">, M., &amp; </w:t>
      </w:r>
      <w:proofErr w:type="spellStart"/>
      <w:r w:rsidRPr="006149C7">
        <w:rPr>
          <w:rFonts w:ascii="Times New Roman" w:eastAsia="Times New Roman" w:hAnsi="Times New Roman" w:cs="Times New Roman"/>
          <w:sz w:val="24"/>
          <w:szCs w:val="24"/>
        </w:rPr>
        <w:t>Hensen</w:t>
      </w:r>
      <w:proofErr w:type="spellEnd"/>
      <w:r w:rsidRPr="006149C7">
        <w:rPr>
          <w:rFonts w:ascii="Times New Roman" w:eastAsia="Times New Roman" w:hAnsi="Times New Roman" w:cs="Times New Roman"/>
          <w:sz w:val="24"/>
          <w:szCs w:val="24"/>
        </w:rPr>
        <w:t xml:space="preserve">, B. (2025). Acceptability of and experiences </w:t>
      </w:r>
      <w:r w:rsidRPr="006149C7">
        <w:rPr>
          <w:rFonts w:ascii="Times New Roman" w:eastAsia="Times New Roman" w:hAnsi="Times New Roman" w:cs="Times New Roman"/>
          <w:sz w:val="24"/>
          <w:szCs w:val="24"/>
        </w:rPr>
        <w:lastRenderedPageBreak/>
        <w:t xml:space="preserve">with menstrual hygiene cups among adolescent girls and young women aged 15–24 in two communities in Lusaka, Zambia: an exploratory study nested in the </w:t>
      </w:r>
      <w:proofErr w:type="spellStart"/>
      <w:r w:rsidRPr="006149C7">
        <w:rPr>
          <w:rFonts w:ascii="Times New Roman" w:eastAsia="Times New Roman" w:hAnsi="Times New Roman" w:cs="Times New Roman"/>
          <w:sz w:val="24"/>
          <w:szCs w:val="24"/>
        </w:rPr>
        <w:t>Yathu</w:t>
      </w:r>
      <w:proofErr w:type="spellEnd"/>
      <w:r w:rsidRPr="006149C7">
        <w:rPr>
          <w:rFonts w:ascii="Times New Roman" w:eastAsia="Times New Roman" w:hAnsi="Times New Roman" w:cs="Times New Roman"/>
          <w:sz w:val="24"/>
          <w:szCs w:val="24"/>
        </w:rPr>
        <w:t xml:space="preserve"> </w:t>
      </w:r>
      <w:proofErr w:type="spellStart"/>
      <w:r w:rsidRPr="006149C7">
        <w:rPr>
          <w:rFonts w:ascii="Times New Roman" w:eastAsia="Times New Roman" w:hAnsi="Times New Roman" w:cs="Times New Roman"/>
          <w:sz w:val="24"/>
          <w:szCs w:val="24"/>
        </w:rPr>
        <w:t>Yathu</w:t>
      </w:r>
      <w:proofErr w:type="spellEnd"/>
      <w:r w:rsidRPr="006149C7">
        <w:rPr>
          <w:rFonts w:ascii="Times New Roman" w:eastAsia="Times New Roman" w:hAnsi="Times New Roman" w:cs="Times New Roman"/>
          <w:sz w:val="24"/>
          <w:szCs w:val="24"/>
        </w:rPr>
        <w:t xml:space="preserve"> trial. Reproductive Health, 22(1), 20. </w:t>
      </w:r>
      <w:hyperlink r:id="rId22" w:history="1">
        <w:r w:rsidRPr="008F3595">
          <w:rPr>
            <w:rStyle w:val="Hyperlink"/>
            <w:rFonts w:ascii="Times New Roman" w:eastAsia="Times New Roman" w:hAnsi="Times New Roman" w:cs="Times New Roman"/>
            <w:sz w:val="24"/>
            <w:szCs w:val="24"/>
          </w:rPr>
          <w:t>https://doi.org/10.1186/s12978-024-01901-2</w:t>
        </w:r>
      </w:hyperlink>
    </w:p>
    <w:p w14:paraId="235B90FA" w14:textId="77777777" w:rsidR="006149C7" w:rsidRPr="006149C7" w:rsidRDefault="006149C7">
      <w:pPr>
        <w:spacing w:line="360" w:lineRule="auto"/>
        <w:jc w:val="both"/>
        <w:rPr>
          <w:highlight w:val="white"/>
        </w:rPr>
      </w:pPr>
    </w:p>
    <w:p w14:paraId="5A96A76D" w14:textId="4C81AC38" w:rsidR="00101E6B" w:rsidRDefault="006149C7">
      <w:pPr>
        <w:spacing w:line="360" w:lineRule="auto"/>
        <w:jc w:val="both"/>
      </w:pPr>
      <w:r w:rsidRPr="006149C7">
        <w:rPr>
          <w:rFonts w:ascii="Times New Roman" w:eastAsia="Times New Roman" w:hAnsi="Times New Roman" w:cs="Times New Roman"/>
          <w:sz w:val="24"/>
          <w:szCs w:val="24"/>
        </w:rPr>
        <w:t xml:space="preserve">Hegde, A. V., Chandran, S., &amp; </w:t>
      </w:r>
      <w:proofErr w:type="spellStart"/>
      <w:r w:rsidRPr="006149C7">
        <w:rPr>
          <w:rFonts w:ascii="Times New Roman" w:eastAsia="Times New Roman" w:hAnsi="Times New Roman" w:cs="Times New Roman"/>
          <w:sz w:val="24"/>
          <w:szCs w:val="24"/>
        </w:rPr>
        <w:t>Pattnaik</w:t>
      </w:r>
      <w:proofErr w:type="spellEnd"/>
      <w:r w:rsidRPr="006149C7">
        <w:rPr>
          <w:rFonts w:ascii="Times New Roman" w:eastAsia="Times New Roman" w:hAnsi="Times New Roman" w:cs="Times New Roman"/>
          <w:sz w:val="24"/>
          <w:szCs w:val="24"/>
        </w:rPr>
        <w:t xml:space="preserve">, J. I. (2022). Understanding adolescent sexuality: A developmental perspective. Journal of Psychosexual Health, 4(4), 237-242. </w:t>
      </w:r>
      <w:hyperlink r:id="rId23" w:history="1">
        <w:r w:rsidRPr="008F3595">
          <w:rPr>
            <w:rStyle w:val="Hyperlink"/>
            <w:rFonts w:ascii="Times New Roman" w:eastAsia="Times New Roman" w:hAnsi="Times New Roman" w:cs="Times New Roman"/>
            <w:sz w:val="24"/>
            <w:szCs w:val="24"/>
          </w:rPr>
          <w:t>https://doi.org/10.1177/26318318221107598</w:t>
        </w:r>
      </w:hyperlink>
    </w:p>
    <w:p w14:paraId="13F74F0E" w14:textId="77777777" w:rsidR="006149C7" w:rsidRPr="006149C7" w:rsidRDefault="006149C7">
      <w:pPr>
        <w:spacing w:line="360" w:lineRule="auto"/>
        <w:jc w:val="both"/>
        <w:rPr>
          <w:highlight w:val="white"/>
        </w:rPr>
      </w:pPr>
    </w:p>
    <w:p w14:paraId="3CF80457" w14:textId="7177B89A" w:rsidR="00101E6B" w:rsidRDefault="006149C7">
      <w:pPr>
        <w:spacing w:line="360" w:lineRule="auto"/>
        <w:jc w:val="both"/>
      </w:pPr>
      <w:proofErr w:type="spellStart"/>
      <w:r w:rsidRPr="006149C7">
        <w:rPr>
          <w:rFonts w:ascii="Times New Roman" w:eastAsia="Times New Roman" w:hAnsi="Times New Roman" w:cs="Times New Roman"/>
          <w:sz w:val="24"/>
          <w:szCs w:val="24"/>
        </w:rPr>
        <w:t>Hensen</w:t>
      </w:r>
      <w:proofErr w:type="spellEnd"/>
      <w:r w:rsidRPr="006149C7">
        <w:rPr>
          <w:rFonts w:ascii="Times New Roman" w:eastAsia="Times New Roman" w:hAnsi="Times New Roman" w:cs="Times New Roman"/>
          <w:sz w:val="24"/>
          <w:szCs w:val="24"/>
        </w:rPr>
        <w:t xml:space="preserve">, B., Floyd, S., Phiri, M. M., </w:t>
      </w:r>
      <w:proofErr w:type="spellStart"/>
      <w:r w:rsidRPr="006149C7">
        <w:rPr>
          <w:rFonts w:ascii="Times New Roman" w:eastAsia="Times New Roman" w:hAnsi="Times New Roman" w:cs="Times New Roman"/>
          <w:sz w:val="24"/>
          <w:szCs w:val="24"/>
        </w:rPr>
        <w:t>Schaap</w:t>
      </w:r>
      <w:proofErr w:type="spellEnd"/>
      <w:r w:rsidRPr="006149C7">
        <w:rPr>
          <w:rFonts w:ascii="Times New Roman" w:eastAsia="Times New Roman" w:hAnsi="Times New Roman" w:cs="Times New Roman"/>
          <w:sz w:val="24"/>
          <w:szCs w:val="24"/>
        </w:rPr>
        <w:t xml:space="preserve">, A., </w:t>
      </w:r>
      <w:proofErr w:type="spellStart"/>
      <w:r w:rsidRPr="006149C7">
        <w:rPr>
          <w:rFonts w:ascii="Times New Roman" w:eastAsia="Times New Roman" w:hAnsi="Times New Roman" w:cs="Times New Roman"/>
          <w:sz w:val="24"/>
          <w:szCs w:val="24"/>
        </w:rPr>
        <w:t>Sigande</w:t>
      </w:r>
      <w:proofErr w:type="spellEnd"/>
      <w:r w:rsidRPr="006149C7">
        <w:rPr>
          <w:rFonts w:ascii="Times New Roman" w:eastAsia="Times New Roman" w:hAnsi="Times New Roman" w:cs="Times New Roman"/>
          <w:sz w:val="24"/>
          <w:szCs w:val="24"/>
        </w:rPr>
        <w:t xml:space="preserve">, L., </w:t>
      </w:r>
      <w:proofErr w:type="spellStart"/>
      <w:r w:rsidRPr="006149C7">
        <w:rPr>
          <w:rFonts w:ascii="Times New Roman" w:eastAsia="Times New Roman" w:hAnsi="Times New Roman" w:cs="Times New Roman"/>
          <w:sz w:val="24"/>
          <w:szCs w:val="24"/>
        </w:rPr>
        <w:t>Simuyaba</w:t>
      </w:r>
      <w:proofErr w:type="spellEnd"/>
      <w:r w:rsidRPr="006149C7">
        <w:rPr>
          <w:rFonts w:ascii="Times New Roman" w:eastAsia="Times New Roman" w:hAnsi="Times New Roman" w:cs="Times New Roman"/>
          <w:sz w:val="24"/>
          <w:szCs w:val="24"/>
        </w:rPr>
        <w:t xml:space="preserve">, M., Mwenge, L., Zulu-Phiri, R., Mwape, L., Fidler, S., Hayes, R., </w:t>
      </w:r>
      <w:proofErr w:type="spellStart"/>
      <w:r w:rsidRPr="006149C7">
        <w:rPr>
          <w:rFonts w:ascii="Times New Roman" w:eastAsia="Times New Roman" w:hAnsi="Times New Roman" w:cs="Times New Roman"/>
          <w:sz w:val="24"/>
          <w:szCs w:val="24"/>
        </w:rPr>
        <w:t>Simwinga</w:t>
      </w:r>
      <w:proofErr w:type="spellEnd"/>
      <w:r w:rsidRPr="006149C7">
        <w:rPr>
          <w:rFonts w:ascii="Times New Roman" w:eastAsia="Times New Roman" w:hAnsi="Times New Roman" w:cs="Times New Roman"/>
          <w:sz w:val="24"/>
          <w:szCs w:val="24"/>
        </w:rPr>
        <w:t xml:space="preserve">, M., &amp; </w:t>
      </w:r>
      <w:proofErr w:type="spellStart"/>
      <w:r w:rsidRPr="006149C7">
        <w:rPr>
          <w:rFonts w:ascii="Times New Roman" w:eastAsia="Times New Roman" w:hAnsi="Times New Roman" w:cs="Times New Roman"/>
          <w:sz w:val="24"/>
          <w:szCs w:val="24"/>
        </w:rPr>
        <w:t>Ayles</w:t>
      </w:r>
      <w:proofErr w:type="spellEnd"/>
      <w:r w:rsidRPr="006149C7">
        <w:rPr>
          <w:rFonts w:ascii="Times New Roman" w:eastAsia="Times New Roman" w:hAnsi="Times New Roman" w:cs="Times New Roman"/>
          <w:sz w:val="24"/>
          <w:szCs w:val="24"/>
        </w:rPr>
        <w:t xml:space="preserve">, H. (2023). The impact of community-based, peer-led sexual and reproductive health services on knowledge of HIV status among adolescents and young people aged 15 to 24 in Lusaka, Zambia: The </w:t>
      </w:r>
      <w:proofErr w:type="spellStart"/>
      <w:r w:rsidRPr="006149C7">
        <w:rPr>
          <w:rFonts w:ascii="Times New Roman" w:eastAsia="Times New Roman" w:hAnsi="Times New Roman" w:cs="Times New Roman"/>
          <w:sz w:val="24"/>
          <w:szCs w:val="24"/>
        </w:rPr>
        <w:t>Yathu</w:t>
      </w:r>
      <w:proofErr w:type="spellEnd"/>
      <w:r w:rsidRPr="006149C7">
        <w:rPr>
          <w:rFonts w:ascii="Times New Roman" w:eastAsia="Times New Roman" w:hAnsi="Times New Roman" w:cs="Times New Roman"/>
          <w:sz w:val="24"/>
          <w:szCs w:val="24"/>
        </w:rPr>
        <w:t xml:space="preserve"> </w:t>
      </w:r>
      <w:proofErr w:type="spellStart"/>
      <w:r w:rsidRPr="006149C7">
        <w:rPr>
          <w:rFonts w:ascii="Times New Roman" w:eastAsia="Times New Roman" w:hAnsi="Times New Roman" w:cs="Times New Roman"/>
          <w:sz w:val="24"/>
          <w:szCs w:val="24"/>
        </w:rPr>
        <w:t>Yathu</w:t>
      </w:r>
      <w:proofErr w:type="spellEnd"/>
      <w:r w:rsidRPr="006149C7">
        <w:rPr>
          <w:rFonts w:ascii="Times New Roman" w:eastAsia="Times New Roman" w:hAnsi="Times New Roman" w:cs="Times New Roman"/>
          <w:sz w:val="24"/>
          <w:szCs w:val="24"/>
        </w:rPr>
        <w:t xml:space="preserve"> cluster-</w:t>
      </w:r>
      <w:proofErr w:type="spellStart"/>
      <w:r w:rsidRPr="006149C7">
        <w:rPr>
          <w:rFonts w:ascii="Times New Roman" w:eastAsia="Times New Roman" w:hAnsi="Times New Roman" w:cs="Times New Roman"/>
          <w:sz w:val="24"/>
          <w:szCs w:val="24"/>
        </w:rPr>
        <w:t>randomised</w:t>
      </w:r>
      <w:proofErr w:type="spellEnd"/>
      <w:r w:rsidRPr="006149C7">
        <w:rPr>
          <w:rFonts w:ascii="Times New Roman" w:eastAsia="Times New Roman" w:hAnsi="Times New Roman" w:cs="Times New Roman"/>
          <w:sz w:val="24"/>
          <w:szCs w:val="24"/>
        </w:rPr>
        <w:t xml:space="preserve"> trial. </w:t>
      </w:r>
      <w:proofErr w:type="spellStart"/>
      <w:r w:rsidRPr="006149C7">
        <w:rPr>
          <w:rFonts w:ascii="Times New Roman" w:eastAsia="Times New Roman" w:hAnsi="Times New Roman" w:cs="Times New Roman"/>
          <w:sz w:val="24"/>
          <w:szCs w:val="24"/>
        </w:rPr>
        <w:t>PLoS</w:t>
      </w:r>
      <w:proofErr w:type="spellEnd"/>
      <w:r w:rsidRPr="006149C7">
        <w:rPr>
          <w:rFonts w:ascii="Times New Roman" w:eastAsia="Times New Roman" w:hAnsi="Times New Roman" w:cs="Times New Roman"/>
          <w:sz w:val="24"/>
          <w:szCs w:val="24"/>
        </w:rPr>
        <w:t xml:space="preserve"> Medicine, 20(4), e1004203. </w:t>
      </w:r>
      <w:hyperlink r:id="rId24" w:history="1">
        <w:r w:rsidRPr="008F3595">
          <w:rPr>
            <w:rStyle w:val="Hyperlink"/>
            <w:rFonts w:ascii="Times New Roman" w:eastAsia="Times New Roman" w:hAnsi="Times New Roman" w:cs="Times New Roman"/>
            <w:sz w:val="24"/>
            <w:szCs w:val="24"/>
          </w:rPr>
          <w:t>https://doi.org/10.1371/journal.pmed.1004203</w:t>
        </w:r>
      </w:hyperlink>
    </w:p>
    <w:p w14:paraId="07597331" w14:textId="77777777" w:rsidR="006149C7" w:rsidRPr="006149C7" w:rsidRDefault="006149C7">
      <w:pPr>
        <w:spacing w:line="360" w:lineRule="auto"/>
        <w:jc w:val="both"/>
        <w:rPr>
          <w:highlight w:val="white"/>
        </w:rPr>
      </w:pPr>
    </w:p>
    <w:p w14:paraId="42C96C5C" w14:textId="3FA9C740" w:rsidR="00101E6B" w:rsidRDefault="006149C7">
      <w:pPr>
        <w:spacing w:line="360" w:lineRule="auto"/>
        <w:jc w:val="both"/>
      </w:pPr>
      <w:proofErr w:type="spellStart"/>
      <w:r w:rsidRPr="006149C7">
        <w:rPr>
          <w:rFonts w:ascii="Times New Roman" w:eastAsia="Times New Roman" w:hAnsi="Times New Roman" w:cs="Times New Roman"/>
          <w:sz w:val="24"/>
          <w:szCs w:val="24"/>
        </w:rPr>
        <w:t>Iwelunmor</w:t>
      </w:r>
      <w:proofErr w:type="spellEnd"/>
      <w:r w:rsidRPr="006149C7">
        <w:rPr>
          <w:rFonts w:ascii="Times New Roman" w:eastAsia="Times New Roman" w:hAnsi="Times New Roman" w:cs="Times New Roman"/>
          <w:sz w:val="24"/>
          <w:szCs w:val="24"/>
        </w:rPr>
        <w:t xml:space="preserve">, J., </w:t>
      </w:r>
      <w:proofErr w:type="spellStart"/>
      <w:r w:rsidRPr="006149C7">
        <w:rPr>
          <w:rFonts w:ascii="Times New Roman" w:eastAsia="Times New Roman" w:hAnsi="Times New Roman" w:cs="Times New Roman"/>
          <w:sz w:val="24"/>
          <w:szCs w:val="24"/>
        </w:rPr>
        <w:t>Folayan</w:t>
      </w:r>
      <w:proofErr w:type="spellEnd"/>
      <w:r w:rsidRPr="006149C7">
        <w:rPr>
          <w:rFonts w:ascii="Times New Roman" w:eastAsia="Times New Roman" w:hAnsi="Times New Roman" w:cs="Times New Roman"/>
          <w:sz w:val="24"/>
          <w:szCs w:val="24"/>
        </w:rPr>
        <w:t xml:space="preserve">, M. O., </w:t>
      </w:r>
      <w:proofErr w:type="spellStart"/>
      <w:r w:rsidRPr="006149C7">
        <w:rPr>
          <w:rFonts w:ascii="Times New Roman" w:eastAsia="Times New Roman" w:hAnsi="Times New Roman" w:cs="Times New Roman"/>
          <w:sz w:val="24"/>
          <w:szCs w:val="24"/>
        </w:rPr>
        <w:t>Nwaozuru</w:t>
      </w:r>
      <w:proofErr w:type="spellEnd"/>
      <w:r w:rsidRPr="006149C7">
        <w:rPr>
          <w:rFonts w:ascii="Times New Roman" w:eastAsia="Times New Roman" w:hAnsi="Times New Roman" w:cs="Times New Roman"/>
          <w:sz w:val="24"/>
          <w:szCs w:val="24"/>
        </w:rPr>
        <w:t xml:space="preserve">, U., &amp; </w:t>
      </w:r>
      <w:proofErr w:type="spellStart"/>
      <w:r w:rsidRPr="006149C7">
        <w:rPr>
          <w:rFonts w:ascii="Times New Roman" w:eastAsia="Times New Roman" w:hAnsi="Times New Roman" w:cs="Times New Roman"/>
          <w:sz w:val="24"/>
          <w:szCs w:val="24"/>
        </w:rPr>
        <w:t>Ezechi</w:t>
      </w:r>
      <w:proofErr w:type="spellEnd"/>
      <w:r w:rsidRPr="006149C7">
        <w:rPr>
          <w:rFonts w:ascii="Times New Roman" w:eastAsia="Times New Roman" w:hAnsi="Times New Roman" w:cs="Times New Roman"/>
          <w:sz w:val="24"/>
          <w:szCs w:val="24"/>
        </w:rPr>
        <w:t xml:space="preserve">, O. (2021). Editorial: Young People's Sexual and Reproductive Health in Sub-Saharan Africa (SSA): Bridging the Research-to-Practice Gap. Frontiers in Reproductive Health, 3, 820142. </w:t>
      </w:r>
      <w:hyperlink r:id="rId25" w:history="1">
        <w:r w:rsidRPr="008F3595">
          <w:rPr>
            <w:rStyle w:val="Hyperlink"/>
            <w:rFonts w:ascii="Times New Roman" w:eastAsia="Times New Roman" w:hAnsi="Times New Roman" w:cs="Times New Roman"/>
            <w:sz w:val="24"/>
            <w:szCs w:val="24"/>
          </w:rPr>
          <w:t>https://doi.org/10.3389/frph.2021.820142</w:t>
        </w:r>
      </w:hyperlink>
    </w:p>
    <w:p w14:paraId="5398820E" w14:textId="77777777" w:rsidR="006149C7" w:rsidRPr="006149C7" w:rsidRDefault="006149C7">
      <w:pPr>
        <w:spacing w:line="360" w:lineRule="auto"/>
        <w:jc w:val="both"/>
        <w:rPr>
          <w:highlight w:val="white"/>
        </w:rPr>
      </w:pPr>
    </w:p>
    <w:p w14:paraId="2081A2E5" w14:textId="7CD50F26" w:rsidR="00101E6B" w:rsidRDefault="006149C7">
      <w:pPr>
        <w:spacing w:line="360" w:lineRule="auto"/>
        <w:jc w:val="both"/>
      </w:pPr>
      <w:r w:rsidRPr="006149C7">
        <w:rPr>
          <w:rFonts w:ascii="Times New Roman" w:eastAsia="Times New Roman" w:hAnsi="Times New Roman" w:cs="Times New Roman"/>
          <w:sz w:val="24"/>
          <w:szCs w:val="24"/>
        </w:rPr>
        <w:t xml:space="preserve">James, P. B., Osborne, A., </w:t>
      </w:r>
      <w:proofErr w:type="spellStart"/>
      <w:r w:rsidRPr="006149C7">
        <w:rPr>
          <w:rFonts w:ascii="Times New Roman" w:eastAsia="Times New Roman" w:hAnsi="Times New Roman" w:cs="Times New Roman"/>
          <w:sz w:val="24"/>
          <w:szCs w:val="24"/>
        </w:rPr>
        <w:t>Babawo</w:t>
      </w:r>
      <w:proofErr w:type="spellEnd"/>
      <w:r w:rsidRPr="006149C7">
        <w:rPr>
          <w:rFonts w:ascii="Times New Roman" w:eastAsia="Times New Roman" w:hAnsi="Times New Roman" w:cs="Times New Roman"/>
          <w:sz w:val="24"/>
          <w:szCs w:val="24"/>
        </w:rPr>
        <w:t xml:space="preserve">, L. S., Bah, A. J., &amp; </w:t>
      </w:r>
      <w:proofErr w:type="spellStart"/>
      <w:r w:rsidRPr="006149C7">
        <w:rPr>
          <w:rFonts w:ascii="Times New Roman" w:eastAsia="Times New Roman" w:hAnsi="Times New Roman" w:cs="Times New Roman"/>
          <w:sz w:val="24"/>
          <w:szCs w:val="24"/>
        </w:rPr>
        <w:t>Margao</w:t>
      </w:r>
      <w:proofErr w:type="spellEnd"/>
      <w:r w:rsidRPr="006149C7">
        <w:rPr>
          <w:rFonts w:ascii="Times New Roman" w:eastAsia="Times New Roman" w:hAnsi="Times New Roman" w:cs="Times New Roman"/>
          <w:sz w:val="24"/>
          <w:szCs w:val="24"/>
        </w:rPr>
        <w:t xml:space="preserve">, E. K. (2022). The use of condoms and other birth control methods among sexually active school-going adolescents in nine sub-Saharan African countries. BMC Public Health. </w:t>
      </w:r>
      <w:hyperlink r:id="rId26" w:history="1">
        <w:r w:rsidRPr="008F3595">
          <w:rPr>
            <w:rStyle w:val="Hyperlink"/>
            <w:rFonts w:ascii="Times New Roman" w:eastAsia="Times New Roman" w:hAnsi="Times New Roman" w:cs="Times New Roman"/>
            <w:sz w:val="24"/>
            <w:szCs w:val="24"/>
          </w:rPr>
          <w:t>https://doi.org/10.1186/s12889-022-14855-6</w:t>
        </w:r>
      </w:hyperlink>
    </w:p>
    <w:p w14:paraId="1CD28E3B" w14:textId="77777777" w:rsidR="006149C7" w:rsidRPr="006149C7" w:rsidRDefault="006149C7">
      <w:pPr>
        <w:spacing w:line="360" w:lineRule="auto"/>
        <w:jc w:val="both"/>
        <w:rPr>
          <w:highlight w:val="white"/>
        </w:rPr>
      </w:pPr>
    </w:p>
    <w:p w14:paraId="0F6B89D4" w14:textId="5A63AB00" w:rsidR="00101E6B" w:rsidRDefault="006149C7">
      <w:pPr>
        <w:spacing w:line="360" w:lineRule="auto"/>
        <w:jc w:val="both"/>
      </w:pPr>
      <w:r w:rsidRPr="006149C7">
        <w:rPr>
          <w:rFonts w:ascii="Times New Roman" w:eastAsia="Times New Roman" w:hAnsi="Times New Roman" w:cs="Times New Roman"/>
          <w:sz w:val="24"/>
          <w:szCs w:val="24"/>
        </w:rPr>
        <w:t xml:space="preserve">Jacobs, C., </w:t>
      </w:r>
      <w:proofErr w:type="spellStart"/>
      <w:r w:rsidRPr="006149C7">
        <w:rPr>
          <w:rFonts w:ascii="Times New Roman" w:eastAsia="Times New Roman" w:hAnsi="Times New Roman" w:cs="Times New Roman"/>
          <w:sz w:val="24"/>
          <w:szCs w:val="24"/>
        </w:rPr>
        <w:t>Mwale</w:t>
      </w:r>
      <w:proofErr w:type="spellEnd"/>
      <w:r w:rsidRPr="006149C7">
        <w:rPr>
          <w:rFonts w:ascii="Times New Roman" w:eastAsia="Times New Roman" w:hAnsi="Times New Roman" w:cs="Times New Roman"/>
          <w:sz w:val="24"/>
          <w:szCs w:val="24"/>
        </w:rPr>
        <w:t xml:space="preserve">, F., </w:t>
      </w:r>
      <w:proofErr w:type="spellStart"/>
      <w:r w:rsidRPr="006149C7">
        <w:rPr>
          <w:rFonts w:ascii="Times New Roman" w:eastAsia="Times New Roman" w:hAnsi="Times New Roman" w:cs="Times New Roman"/>
          <w:sz w:val="24"/>
          <w:szCs w:val="24"/>
        </w:rPr>
        <w:t>Mubanga</w:t>
      </w:r>
      <w:proofErr w:type="spellEnd"/>
      <w:r w:rsidRPr="006149C7">
        <w:rPr>
          <w:rFonts w:ascii="Times New Roman" w:eastAsia="Times New Roman" w:hAnsi="Times New Roman" w:cs="Times New Roman"/>
          <w:sz w:val="24"/>
          <w:szCs w:val="24"/>
        </w:rPr>
        <w:t xml:space="preserve">, M., </w:t>
      </w:r>
      <w:proofErr w:type="spellStart"/>
      <w:r w:rsidRPr="006149C7">
        <w:rPr>
          <w:rFonts w:ascii="Times New Roman" w:eastAsia="Times New Roman" w:hAnsi="Times New Roman" w:cs="Times New Roman"/>
          <w:sz w:val="24"/>
          <w:szCs w:val="24"/>
        </w:rPr>
        <w:t>Kasonde</w:t>
      </w:r>
      <w:proofErr w:type="spellEnd"/>
      <w:r w:rsidRPr="006149C7">
        <w:rPr>
          <w:rFonts w:ascii="Times New Roman" w:eastAsia="Times New Roman" w:hAnsi="Times New Roman" w:cs="Times New Roman"/>
          <w:sz w:val="24"/>
          <w:szCs w:val="24"/>
        </w:rPr>
        <w:t xml:space="preserve">, M., </w:t>
      </w:r>
      <w:proofErr w:type="spellStart"/>
      <w:r w:rsidRPr="006149C7">
        <w:rPr>
          <w:rFonts w:ascii="Times New Roman" w:eastAsia="Times New Roman" w:hAnsi="Times New Roman" w:cs="Times New Roman"/>
          <w:sz w:val="24"/>
          <w:szCs w:val="24"/>
        </w:rPr>
        <w:t>Saili</w:t>
      </w:r>
      <w:proofErr w:type="spellEnd"/>
      <w:r w:rsidRPr="006149C7">
        <w:rPr>
          <w:rFonts w:ascii="Times New Roman" w:eastAsia="Times New Roman" w:hAnsi="Times New Roman" w:cs="Times New Roman"/>
          <w:sz w:val="24"/>
          <w:szCs w:val="24"/>
        </w:rPr>
        <w:t xml:space="preserve">, A., </w:t>
      </w:r>
      <w:proofErr w:type="spellStart"/>
      <w:r w:rsidRPr="006149C7">
        <w:rPr>
          <w:rFonts w:ascii="Times New Roman" w:eastAsia="Times New Roman" w:hAnsi="Times New Roman" w:cs="Times New Roman"/>
          <w:sz w:val="24"/>
          <w:szCs w:val="24"/>
        </w:rPr>
        <w:t>Mukonka</w:t>
      </w:r>
      <w:proofErr w:type="spellEnd"/>
      <w:r w:rsidRPr="006149C7">
        <w:rPr>
          <w:rFonts w:ascii="Times New Roman" w:eastAsia="Times New Roman" w:hAnsi="Times New Roman" w:cs="Times New Roman"/>
          <w:sz w:val="24"/>
          <w:szCs w:val="24"/>
        </w:rPr>
        <w:t xml:space="preserve">, R., </w:t>
      </w:r>
      <w:proofErr w:type="spellStart"/>
      <w:r w:rsidRPr="006149C7">
        <w:rPr>
          <w:rFonts w:ascii="Times New Roman" w:eastAsia="Times New Roman" w:hAnsi="Times New Roman" w:cs="Times New Roman"/>
          <w:sz w:val="24"/>
          <w:szCs w:val="24"/>
        </w:rPr>
        <w:t>Mwilu</w:t>
      </w:r>
      <w:proofErr w:type="spellEnd"/>
      <w:r w:rsidRPr="006149C7">
        <w:rPr>
          <w:rFonts w:ascii="Times New Roman" w:eastAsia="Times New Roman" w:hAnsi="Times New Roman" w:cs="Times New Roman"/>
          <w:sz w:val="24"/>
          <w:szCs w:val="24"/>
        </w:rPr>
        <w:t xml:space="preserve">, L. M., &amp; </w:t>
      </w:r>
      <w:proofErr w:type="spellStart"/>
      <w:r w:rsidRPr="006149C7">
        <w:rPr>
          <w:rFonts w:ascii="Times New Roman" w:eastAsia="Times New Roman" w:hAnsi="Times New Roman" w:cs="Times New Roman"/>
          <w:sz w:val="24"/>
          <w:szCs w:val="24"/>
        </w:rPr>
        <w:t>Munakampe</w:t>
      </w:r>
      <w:proofErr w:type="spellEnd"/>
      <w:r w:rsidRPr="006149C7">
        <w:rPr>
          <w:rFonts w:ascii="Times New Roman" w:eastAsia="Times New Roman" w:hAnsi="Times New Roman" w:cs="Times New Roman"/>
          <w:sz w:val="24"/>
          <w:szCs w:val="24"/>
        </w:rPr>
        <w:t xml:space="preserve">, M. N. (2023). Perceptions of youth-friendly sexual and reproductive health services in selected Higher and Tertiary Education Institutions of Zambia: A qualitative study on the perspectives of young people and healthcare providers. PLOS Global Public Health, 3(11), e0002650. </w:t>
      </w:r>
      <w:hyperlink r:id="rId27" w:history="1">
        <w:r w:rsidRPr="008F3595">
          <w:rPr>
            <w:rStyle w:val="Hyperlink"/>
            <w:rFonts w:ascii="Times New Roman" w:eastAsia="Times New Roman" w:hAnsi="Times New Roman" w:cs="Times New Roman"/>
            <w:sz w:val="24"/>
            <w:szCs w:val="24"/>
          </w:rPr>
          <w:t>https://doi.org/10.1371/journal.pgph.0002650</w:t>
        </w:r>
      </w:hyperlink>
    </w:p>
    <w:p w14:paraId="526C01A5" w14:textId="77777777" w:rsidR="006149C7" w:rsidRPr="006149C7" w:rsidRDefault="006149C7">
      <w:pPr>
        <w:spacing w:line="360" w:lineRule="auto"/>
        <w:jc w:val="both"/>
        <w:rPr>
          <w:highlight w:val="white"/>
        </w:rPr>
      </w:pPr>
    </w:p>
    <w:p w14:paraId="4CE402D7" w14:textId="30A615CB" w:rsidR="00101E6B" w:rsidRDefault="006149C7">
      <w:pPr>
        <w:spacing w:line="360" w:lineRule="auto"/>
        <w:jc w:val="both"/>
      </w:pPr>
      <w:proofErr w:type="spellStart"/>
      <w:r w:rsidRPr="006149C7">
        <w:rPr>
          <w:rFonts w:ascii="Times New Roman" w:eastAsia="Times New Roman" w:hAnsi="Times New Roman" w:cs="Times New Roman"/>
          <w:sz w:val="24"/>
          <w:szCs w:val="24"/>
        </w:rPr>
        <w:t>Kereta</w:t>
      </w:r>
      <w:proofErr w:type="spellEnd"/>
      <w:r w:rsidRPr="006149C7">
        <w:rPr>
          <w:rFonts w:ascii="Times New Roman" w:eastAsia="Times New Roman" w:hAnsi="Times New Roman" w:cs="Times New Roman"/>
          <w:sz w:val="24"/>
          <w:szCs w:val="24"/>
        </w:rPr>
        <w:t xml:space="preserve">, W., </w:t>
      </w:r>
      <w:proofErr w:type="spellStart"/>
      <w:r w:rsidRPr="006149C7">
        <w:rPr>
          <w:rFonts w:ascii="Times New Roman" w:eastAsia="Times New Roman" w:hAnsi="Times New Roman" w:cs="Times New Roman"/>
          <w:sz w:val="24"/>
          <w:szCs w:val="24"/>
        </w:rPr>
        <w:t>Belayihun</w:t>
      </w:r>
      <w:proofErr w:type="spellEnd"/>
      <w:r w:rsidRPr="006149C7">
        <w:rPr>
          <w:rFonts w:ascii="Times New Roman" w:eastAsia="Times New Roman" w:hAnsi="Times New Roman" w:cs="Times New Roman"/>
          <w:sz w:val="24"/>
          <w:szCs w:val="24"/>
        </w:rPr>
        <w:t xml:space="preserve">, B., Hagos, K. L., </w:t>
      </w:r>
      <w:proofErr w:type="spellStart"/>
      <w:r w:rsidRPr="006149C7">
        <w:rPr>
          <w:rFonts w:ascii="Times New Roman" w:eastAsia="Times New Roman" w:hAnsi="Times New Roman" w:cs="Times New Roman"/>
          <w:sz w:val="24"/>
          <w:szCs w:val="24"/>
        </w:rPr>
        <w:t>Molla</w:t>
      </w:r>
      <w:proofErr w:type="spellEnd"/>
      <w:r w:rsidRPr="006149C7">
        <w:rPr>
          <w:rFonts w:ascii="Times New Roman" w:eastAsia="Times New Roman" w:hAnsi="Times New Roman" w:cs="Times New Roman"/>
          <w:sz w:val="24"/>
          <w:szCs w:val="24"/>
        </w:rPr>
        <w:t xml:space="preserve">, Y. B., </w:t>
      </w:r>
      <w:proofErr w:type="spellStart"/>
      <w:r w:rsidRPr="006149C7">
        <w:rPr>
          <w:rFonts w:ascii="Times New Roman" w:eastAsia="Times New Roman" w:hAnsi="Times New Roman" w:cs="Times New Roman"/>
          <w:sz w:val="24"/>
          <w:szCs w:val="24"/>
        </w:rPr>
        <w:t>Pirzadeh</w:t>
      </w:r>
      <w:proofErr w:type="spellEnd"/>
      <w:r w:rsidRPr="006149C7">
        <w:rPr>
          <w:rFonts w:ascii="Times New Roman" w:eastAsia="Times New Roman" w:hAnsi="Times New Roman" w:cs="Times New Roman"/>
          <w:sz w:val="24"/>
          <w:szCs w:val="24"/>
        </w:rPr>
        <w:t xml:space="preserve">, M., &amp; </w:t>
      </w:r>
      <w:proofErr w:type="spellStart"/>
      <w:r w:rsidRPr="006149C7">
        <w:rPr>
          <w:rFonts w:ascii="Times New Roman" w:eastAsia="Times New Roman" w:hAnsi="Times New Roman" w:cs="Times New Roman"/>
          <w:sz w:val="24"/>
          <w:szCs w:val="24"/>
        </w:rPr>
        <w:t>Asnake</w:t>
      </w:r>
      <w:proofErr w:type="spellEnd"/>
      <w:r w:rsidRPr="006149C7">
        <w:rPr>
          <w:rFonts w:ascii="Times New Roman" w:eastAsia="Times New Roman" w:hAnsi="Times New Roman" w:cs="Times New Roman"/>
          <w:sz w:val="24"/>
          <w:szCs w:val="24"/>
        </w:rPr>
        <w:t xml:space="preserve">, M. (2021). Youth-friendly health services in </w:t>
      </w:r>
      <w:proofErr w:type="spellStart"/>
      <w:r w:rsidRPr="006149C7">
        <w:rPr>
          <w:rFonts w:ascii="Times New Roman" w:eastAsia="Times New Roman" w:hAnsi="Times New Roman" w:cs="Times New Roman"/>
          <w:sz w:val="24"/>
          <w:szCs w:val="24"/>
        </w:rPr>
        <w:t>ethiopia</w:t>
      </w:r>
      <w:proofErr w:type="spellEnd"/>
      <w:r w:rsidRPr="006149C7">
        <w:rPr>
          <w:rFonts w:ascii="Times New Roman" w:eastAsia="Times New Roman" w:hAnsi="Times New Roman" w:cs="Times New Roman"/>
          <w:sz w:val="24"/>
          <w:szCs w:val="24"/>
        </w:rPr>
        <w:t xml:space="preserve">: what has been achieved in 15 years and what remains to be </w:t>
      </w:r>
      <w:r w:rsidRPr="006149C7">
        <w:rPr>
          <w:rFonts w:ascii="Times New Roman" w:eastAsia="Times New Roman" w:hAnsi="Times New Roman" w:cs="Times New Roman"/>
          <w:sz w:val="24"/>
          <w:szCs w:val="24"/>
        </w:rPr>
        <w:lastRenderedPageBreak/>
        <w:t xml:space="preserve">done. Ethiopian Journal of Health Development, 35(5). </w:t>
      </w:r>
      <w:hyperlink r:id="rId28" w:history="1">
        <w:r w:rsidRPr="008F3595">
          <w:rPr>
            <w:rStyle w:val="Hyperlink"/>
            <w:rFonts w:ascii="Times New Roman" w:eastAsia="Times New Roman" w:hAnsi="Times New Roman" w:cs="Times New Roman"/>
            <w:sz w:val="24"/>
            <w:szCs w:val="24"/>
          </w:rPr>
          <w:t>https://ejhd.org/index.php/ejhd/article/view/4755</w:t>
        </w:r>
      </w:hyperlink>
    </w:p>
    <w:p w14:paraId="6DB26D81" w14:textId="77777777" w:rsidR="006149C7" w:rsidRPr="006149C7" w:rsidRDefault="006149C7">
      <w:pPr>
        <w:spacing w:line="360" w:lineRule="auto"/>
        <w:jc w:val="both"/>
        <w:rPr>
          <w:highlight w:val="white"/>
        </w:rPr>
      </w:pPr>
    </w:p>
    <w:p w14:paraId="5BF7E735" w14:textId="21CDDA79" w:rsidR="00101E6B" w:rsidRDefault="006149C7">
      <w:pPr>
        <w:spacing w:line="360" w:lineRule="auto"/>
        <w:jc w:val="both"/>
      </w:pPr>
      <w:proofErr w:type="spellStart"/>
      <w:r w:rsidRPr="006149C7">
        <w:rPr>
          <w:rFonts w:ascii="Times New Roman" w:eastAsia="Times New Roman" w:hAnsi="Times New Roman" w:cs="Times New Roman"/>
          <w:sz w:val="24"/>
          <w:szCs w:val="24"/>
        </w:rPr>
        <w:t>Mathabela</w:t>
      </w:r>
      <w:proofErr w:type="spellEnd"/>
      <w:r w:rsidRPr="006149C7">
        <w:rPr>
          <w:rFonts w:ascii="Times New Roman" w:eastAsia="Times New Roman" w:hAnsi="Times New Roman" w:cs="Times New Roman"/>
          <w:sz w:val="24"/>
          <w:szCs w:val="24"/>
        </w:rPr>
        <w:t xml:space="preserve">, B., Madiba, S., &amp; Modjadji, P. (2024). Exploring barriers to accessing sexual and reproductive health services among adolescents and young people with physical disabilities in South Africa. International Journal of Environmental Research and Public Health, 21(2), 199. </w:t>
      </w:r>
      <w:hyperlink r:id="rId29" w:history="1">
        <w:r w:rsidRPr="008F3595">
          <w:rPr>
            <w:rStyle w:val="Hyperlink"/>
            <w:rFonts w:ascii="Times New Roman" w:eastAsia="Times New Roman" w:hAnsi="Times New Roman" w:cs="Times New Roman"/>
            <w:sz w:val="24"/>
            <w:szCs w:val="24"/>
          </w:rPr>
          <w:t>https://doi.org/10.3390/ijerph21020199</w:t>
        </w:r>
      </w:hyperlink>
    </w:p>
    <w:p w14:paraId="48A9D665" w14:textId="77777777" w:rsidR="006149C7" w:rsidRPr="006149C7" w:rsidRDefault="006149C7">
      <w:pPr>
        <w:spacing w:line="360" w:lineRule="auto"/>
        <w:jc w:val="both"/>
        <w:rPr>
          <w:highlight w:val="white"/>
        </w:rPr>
      </w:pPr>
    </w:p>
    <w:p w14:paraId="1E902A21" w14:textId="5D3FADE6" w:rsidR="00101E6B" w:rsidRDefault="006149C7">
      <w:pPr>
        <w:spacing w:line="360" w:lineRule="auto"/>
        <w:jc w:val="both"/>
      </w:pPr>
      <w:proofErr w:type="spellStart"/>
      <w:r w:rsidRPr="006149C7">
        <w:rPr>
          <w:rFonts w:ascii="Times New Roman" w:eastAsia="Times New Roman" w:hAnsi="Times New Roman" w:cs="Times New Roman"/>
          <w:sz w:val="24"/>
          <w:szCs w:val="24"/>
        </w:rPr>
        <w:t>Mbizvo</w:t>
      </w:r>
      <w:proofErr w:type="spellEnd"/>
      <w:r w:rsidRPr="006149C7">
        <w:rPr>
          <w:rFonts w:ascii="Times New Roman" w:eastAsia="Times New Roman" w:hAnsi="Times New Roman" w:cs="Times New Roman"/>
          <w:sz w:val="24"/>
          <w:szCs w:val="24"/>
        </w:rPr>
        <w:t xml:space="preserve">, M. T., </w:t>
      </w:r>
      <w:proofErr w:type="spellStart"/>
      <w:r w:rsidRPr="006149C7">
        <w:rPr>
          <w:rFonts w:ascii="Times New Roman" w:eastAsia="Times New Roman" w:hAnsi="Times New Roman" w:cs="Times New Roman"/>
          <w:sz w:val="24"/>
          <w:szCs w:val="24"/>
        </w:rPr>
        <w:t>Kasonda</w:t>
      </w:r>
      <w:proofErr w:type="spellEnd"/>
      <w:r w:rsidRPr="006149C7">
        <w:rPr>
          <w:rFonts w:ascii="Times New Roman" w:eastAsia="Times New Roman" w:hAnsi="Times New Roman" w:cs="Times New Roman"/>
          <w:sz w:val="24"/>
          <w:szCs w:val="24"/>
        </w:rPr>
        <w:t xml:space="preserve">, K., </w:t>
      </w:r>
      <w:proofErr w:type="spellStart"/>
      <w:r w:rsidRPr="006149C7">
        <w:rPr>
          <w:rFonts w:ascii="Times New Roman" w:eastAsia="Times New Roman" w:hAnsi="Times New Roman" w:cs="Times New Roman"/>
          <w:sz w:val="24"/>
          <w:szCs w:val="24"/>
        </w:rPr>
        <w:t>Muntalima</w:t>
      </w:r>
      <w:proofErr w:type="spellEnd"/>
      <w:r w:rsidRPr="006149C7">
        <w:rPr>
          <w:rFonts w:ascii="Times New Roman" w:eastAsia="Times New Roman" w:hAnsi="Times New Roman" w:cs="Times New Roman"/>
          <w:sz w:val="24"/>
          <w:szCs w:val="24"/>
        </w:rPr>
        <w:t xml:space="preserve">, N. C., Rosen, J. G., </w:t>
      </w:r>
      <w:proofErr w:type="spellStart"/>
      <w:r w:rsidRPr="006149C7">
        <w:rPr>
          <w:rFonts w:ascii="Times New Roman" w:eastAsia="Times New Roman" w:hAnsi="Times New Roman" w:cs="Times New Roman"/>
          <w:sz w:val="24"/>
          <w:szCs w:val="24"/>
        </w:rPr>
        <w:t>Inambwae</w:t>
      </w:r>
      <w:proofErr w:type="spellEnd"/>
      <w:r w:rsidRPr="006149C7">
        <w:rPr>
          <w:rFonts w:ascii="Times New Roman" w:eastAsia="Times New Roman" w:hAnsi="Times New Roman" w:cs="Times New Roman"/>
          <w:sz w:val="24"/>
          <w:szCs w:val="24"/>
        </w:rPr>
        <w:t xml:space="preserve">, S., </w:t>
      </w:r>
      <w:proofErr w:type="spellStart"/>
      <w:r w:rsidRPr="006149C7">
        <w:rPr>
          <w:rFonts w:ascii="Times New Roman" w:eastAsia="Times New Roman" w:hAnsi="Times New Roman" w:cs="Times New Roman"/>
          <w:sz w:val="24"/>
          <w:szCs w:val="24"/>
        </w:rPr>
        <w:t>Namukonda</w:t>
      </w:r>
      <w:proofErr w:type="spellEnd"/>
      <w:r w:rsidRPr="006149C7">
        <w:rPr>
          <w:rFonts w:ascii="Times New Roman" w:eastAsia="Times New Roman" w:hAnsi="Times New Roman" w:cs="Times New Roman"/>
          <w:sz w:val="24"/>
          <w:szCs w:val="24"/>
        </w:rPr>
        <w:t xml:space="preserve">, E. S., </w:t>
      </w:r>
      <w:proofErr w:type="spellStart"/>
      <w:r w:rsidRPr="006149C7">
        <w:rPr>
          <w:rFonts w:ascii="Times New Roman" w:eastAsia="Times New Roman" w:hAnsi="Times New Roman" w:cs="Times New Roman"/>
          <w:sz w:val="24"/>
          <w:szCs w:val="24"/>
        </w:rPr>
        <w:t>Mungoni</w:t>
      </w:r>
      <w:proofErr w:type="spellEnd"/>
      <w:r w:rsidRPr="006149C7">
        <w:rPr>
          <w:rFonts w:ascii="Times New Roman" w:eastAsia="Times New Roman" w:hAnsi="Times New Roman" w:cs="Times New Roman"/>
          <w:sz w:val="24"/>
          <w:szCs w:val="24"/>
        </w:rPr>
        <w:t xml:space="preserve">, R., Okpara, N., Phiri, C., </w:t>
      </w:r>
      <w:proofErr w:type="spellStart"/>
      <w:r w:rsidRPr="006149C7">
        <w:rPr>
          <w:rFonts w:ascii="Times New Roman" w:eastAsia="Times New Roman" w:hAnsi="Times New Roman" w:cs="Times New Roman"/>
          <w:sz w:val="24"/>
          <w:szCs w:val="24"/>
        </w:rPr>
        <w:t>Chelwa</w:t>
      </w:r>
      <w:proofErr w:type="spellEnd"/>
      <w:r w:rsidRPr="006149C7">
        <w:rPr>
          <w:rFonts w:ascii="Times New Roman" w:eastAsia="Times New Roman" w:hAnsi="Times New Roman" w:cs="Times New Roman"/>
          <w:sz w:val="24"/>
          <w:szCs w:val="24"/>
        </w:rPr>
        <w:t xml:space="preserve">, N., &amp; </w:t>
      </w:r>
      <w:proofErr w:type="spellStart"/>
      <w:r w:rsidRPr="006149C7">
        <w:rPr>
          <w:rFonts w:ascii="Times New Roman" w:eastAsia="Times New Roman" w:hAnsi="Times New Roman" w:cs="Times New Roman"/>
          <w:sz w:val="24"/>
          <w:szCs w:val="24"/>
        </w:rPr>
        <w:t>Kangale</w:t>
      </w:r>
      <w:proofErr w:type="spellEnd"/>
      <w:r w:rsidRPr="006149C7">
        <w:rPr>
          <w:rFonts w:ascii="Times New Roman" w:eastAsia="Times New Roman" w:hAnsi="Times New Roman" w:cs="Times New Roman"/>
          <w:sz w:val="24"/>
          <w:szCs w:val="24"/>
        </w:rPr>
        <w:t xml:space="preserve">, C. (2023). Comprehensive sexuality education linked to sexual and reproductive health services reduces early and unintended pregnancies among in-school adolescent girls in Zambia. BMC Public Health, 23(1), 348. </w:t>
      </w:r>
      <w:hyperlink r:id="rId30" w:history="1">
        <w:r w:rsidRPr="008F3595">
          <w:rPr>
            <w:rStyle w:val="Hyperlink"/>
            <w:rFonts w:ascii="Times New Roman" w:eastAsia="Times New Roman" w:hAnsi="Times New Roman" w:cs="Times New Roman"/>
            <w:sz w:val="24"/>
            <w:szCs w:val="24"/>
          </w:rPr>
          <w:t>https://doi.org/10.1186/s12889-023-15023-0</w:t>
        </w:r>
      </w:hyperlink>
    </w:p>
    <w:p w14:paraId="6DCB2C82" w14:textId="77777777" w:rsidR="006149C7" w:rsidRPr="006149C7" w:rsidRDefault="006149C7">
      <w:pPr>
        <w:spacing w:line="360" w:lineRule="auto"/>
        <w:jc w:val="both"/>
        <w:rPr>
          <w:highlight w:val="white"/>
        </w:rPr>
      </w:pPr>
    </w:p>
    <w:p w14:paraId="581DD984" w14:textId="6379E728" w:rsidR="00101E6B" w:rsidRDefault="006149C7">
      <w:pPr>
        <w:spacing w:line="360" w:lineRule="auto"/>
        <w:jc w:val="both"/>
        <w:rPr>
          <w:rFonts w:ascii="Times New Roman" w:eastAsia="Times New Roman" w:hAnsi="Times New Roman" w:cs="Times New Roman"/>
          <w:sz w:val="24"/>
          <w:szCs w:val="24"/>
        </w:rPr>
      </w:pPr>
      <w:proofErr w:type="spellStart"/>
      <w:r w:rsidRPr="006149C7">
        <w:rPr>
          <w:rFonts w:ascii="Times New Roman" w:eastAsia="Times New Roman" w:hAnsi="Times New Roman" w:cs="Times New Roman"/>
          <w:sz w:val="24"/>
          <w:szCs w:val="24"/>
        </w:rPr>
        <w:t>Melesse</w:t>
      </w:r>
      <w:proofErr w:type="spellEnd"/>
      <w:r w:rsidRPr="006149C7">
        <w:rPr>
          <w:rFonts w:ascii="Times New Roman" w:eastAsia="Times New Roman" w:hAnsi="Times New Roman" w:cs="Times New Roman"/>
          <w:sz w:val="24"/>
          <w:szCs w:val="24"/>
        </w:rPr>
        <w:t xml:space="preserve">, D. Y., Mutua, M. K., Choudhury, A., </w:t>
      </w:r>
      <w:proofErr w:type="spellStart"/>
      <w:r w:rsidRPr="006149C7">
        <w:rPr>
          <w:rFonts w:ascii="Times New Roman" w:eastAsia="Times New Roman" w:hAnsi="Times New Roman" w:cs="Times New Roman"/>
          <w:sz w:val="24"/>
          <w:szCs w:val="24"/>
        </w:rPr>
        <w:t>Wado</w:t>
      </w:r>
      <w:proofErr w:type="spellEnd"/>
      <w:r w:rsidRPr="006149C7">
        <w:rPr>
          <w:rFonts w:ascii="Times New Roman" w:eastAsia="Times New Roman" w:hAnsi="Times New Roman" w:cs="Times New Roman"/>
          <w:sz w:val="24"/>
          <w:szCs w:val="24"/>
        </w:rPr>
        <w:t xml:space="preserve">, Y. D., Faye, C. M., Neal, S., &amp; </w:t>
      </w:r>
      <w:proofErr w:type="spellStart"/>
      <w:r w:rsidRPr="006149C7">
        <w:rPr>
          <w:rFonts w:ascii="Times New Roman" w:eastAsia="Times New Roman" w:hAnsi="Times New Roman" w:cs="Times New Roman"/>
          <w:sz w:val="24"/>
          <w:szCs w:val="24"/>
        </w:rPr>
        <w:t>Boerma</w:t>
      </w:r>
      <w:proofErr w:type="spellEnd"/>
      <w:r w:rsidRPr="006149C7">
        <w:rPr>
          <w:rFonts w:ascii="Times New Roman" w:eastAsia="Times New Roman" w:hAnsi="Times New Roman" w:cs="Times New Roman"/>
          <w:sz w:val="24"/>
          <w:szCs w:val="24"/>
        </w:rPr>
        <w:t xml:space="preserve">, T. (2020). Adolescent sexual and reproductive health in sub-Saharan Africa: who is left </w:t>
      </w:r>
      <w:proofErr w:type="gramStart"/>
      <w:r w:rsidRPr="006149C7">
        <w:rPr>
          <w:rFonts w:ascii="Times New Roman" w:eastAsia="Times New Roman" w:hAnsi="Times New Roman" w:cs="Times New Roman"/>
          <w:sz w:val="24"/>
          <w:szCs w:val="24"/>
        </w:rPr>
        <w:t>behind?.</w:t>
      </w:r>
      <w:proofErr w:type="gramEnd"/>
      <w:r w:rsidRPr="006149C7">
        <w:rPr>
          <w:rFonts w:ascii="Times New Roman" w:eastAsia="Times New Roman" w:hAnsi="Times New Roman" w:cs="Times New Roman"/>
          <w:sz w:val="24"/>
          <w:szCs w:val="24"/>
        </w:rPr>
        <w:t xml:space="preserve"> BMJ global health, 5(1), e002231. </w:t>
      </w:r>
      <w:hyperlink r:id="rId31" w:history="1">
        <w:r w:rsidRPr="008F3595">
          <w:rPr>
            <w:rStyle w:val="Hyperlink"/>
            <w:rFonts w:ascii="Times New Roman" w:eastAsia="Times New Roman" w:hAnsi="Times New Roman" w:cs="Times New Roman"/>
            <w:sz w:val="24"/>
            <w:szCs w:val="24"/>
          </w:rPr>
          <w:t>https://doi.org/10.1136/bmjgh-2019-002231</w:t>
        </w:r>
      </w:hyperlink>
    </w:p>
    <w:p w14:paraId="5BBF91FE" w14:textId="77777777" w:rsidR="006149C7" w:rsidRDefault="006149C7">
      <w:pPr>
        <w:spacing w:line="360" w:lineRule="auto"/>
        <w:jc w:val="both"/>
        <w:rPr>
          <w:rFonts w:ascii="Times New Roman" w:eastAsia="Times New Roman" w:hAnsi="Times New Roman" w:cs="Times New Roman"/>
          <w:sz w:val="24"/>
          <w:szCs w:val="24"/>
          <w:highlight w:val="white"/>
        </w:rPr>
      </w:pPr>
    </w:p>
    <w:p w14:paraId="6E705154" w14:textId="4A89C843" w:rsidR="00101E6B" w:rsidRDefault="006149C7">
      <w:pPr>
        <w:spacing w:line="360" w:lineRule="auto"/>
        <w:jc w:val="both"/>
      </w:pPr>
      <w:r w:rsidRPr="006149C7">
        <w:rPr>
          <w:rFonts w:ascii="Times New Roman" w:eastAsia="Times New Roman" w:hAnsi="Times New Roman" w:cs="Times New Roman"/>
          <w:sz w:val="24"/>
          <w:szCs w:val="24"/>
        </w:rPr>
        <w:t xml:space="preserve">Ministry of Health (Rwanda). (2018). National family planning and adolescent sexual and reproductive health (FP/ASRH) strategic plan (2018-2024). </w:t>
      </w:r>
      <w:hyperlink r:id="rId32" w:history="1">
        <w:r w:rsidRPr="008F3595">
          <w:rPr>
            <w:rStyle w:val="Hyperlink"/>
            <w:rFonts w:ascii="Times New Roman" w:eastAsia="Times New Roman" w:hAnsi="Times New Roman" w:cs="Times New Roman"/>
            <w:sz w:val="24"/>
            <w:szCs w:val="24"/>
          </w:rPr>
          <w:t>https://policyvault.africa/policy/national-family-planning-and-adolescent-sexual-and-reproductive-health-fp-asrh-strategic-plan-2018-2024/</w:t>
        </w:r>
      </w:hyperlink>
    </w:p>
    <w:p w14:paraId="3668F3CB" w14:textId="77777777" w:rsidR="006149C7" w:rsidRPr="006149C7" w:rsidRDefault="006149C7">
      <w:pPr>
        <w:spacing w:line="360" w:lineRule="auto"/>
        <w:jc w:val="both"/>
        <w:rPr>
          <w:highlight w:val="white"/>
        </w:rPr>
      </w:pPr>
    </w:p>
    <w:p w14:paraId="4E759575" w14:textId="0BB524CA" w:rsidR="00101E6B" w:rsidRDefault="006149C7">
      <w:pPr>
        <w:spacing w:line="360" w:lineRule="auto"/>
        <w:jc w:val="both"/>
      </w:pPr>
      <w:r w:rsidRPr="006149C7">
        <w:rPr>
          <w:rFonts w:ascii="Times New Roman" w:eastAsia="Times New Roman" w:hAnsi="Times New Roman" w:cs="Times New Roman"/>
          <w:sz w:val="24"/>
          <w:szCs w:val="24"/>
        </w:rPr>
        <w:t xml:space="preserve">Ministry of Health and Sanitation (Sierra Leone), &amp; UNFPA Sierra Leone. (2025). National strategy for the reduction of adolescent pregnancy and ending child marriage 2025–2030. </w:t>
      </w:r>
      <w:hyperlink r:id="rId33" w:history="1">
        <w:r w:rsidRPr="008F3595">
          <w:rPr>
            <w:rStyle w:val="Hyperlink"/>
            <w:rFonts w:ascii="Times New Roman" w:eastAsia="Times New Roman" w:hAnsi="Times New Roman" w:cs="Times New Roman"/>
            <w:sz w:val="24"/>
            <w:szCs w:val="24"/>
          </w:rPr>
          <w:t>https://sierraleone.unfpa.org/sites/default/files/pub-pdf/2025-04/Sierra%20Leone_National%20Strategy%20for%20the%20Reduction%20of%20Adolescent%20Pregnancy%20and%20Ending%20Child%20Marriage_final%20%284%29.pdf</w:t>
        </w:r>
      </w:hyperlink>
    </w:p>
    <w:p w14:paraId="07A6B87E" w14:textId="77777777" w:rsidR="006149C7" w:rsidRPr="006149C7" w:rsidRDefault="006149C7">
      <w:pPr>
        <w:spacing w:line="360" w:lineRule="auto"/>
        <w:jc w:val="both"/>
        <w:rPr>
          <w:highlight w:val="white"/>
        </w:rPr>
      </w:pPr>
    </w:p>
    <w:p w14:paraId="0A05CF89" w14:textId="7D8233BD" w:rsidR="00101E6B" w:rsidRDefault="006149C7">
      <w:pPr>
        <w:spacing w:line="360" w:lineRule="auto"/>
        <w:jc w:val="both"/>
      </w:pPr>
      <w:proofErr w:type="spellStart"/>
      <w:r w:rsidRPr="006149C7">
        <w:rPr>
          <w:rFonts w:ascii="Times New Roman" w:eastAsia="Times New Roman" w:hAnsi="Times New Roman" w:cs="Times New Roman"/>
          <w:sz w:val="24"/>
          <w:szCs w:val="24"/>
        </w:rPr>
        <w:t>Mlotshwa</w:t>
      </w:r>
      <w:proofErr w:type="spellEnd"/>
      <w:r w:rsidRPr="006149C7">
        <w:rPr>
          <w:rFonts w:ascii="Times New Roman" w:eastAsia="Times New Roman" w:hAnsi="Times New Roman" w:cs="Times New Roman"/>
          <w:sz w:val="24"/>
          <w:szCs w:val="24"/>
        </w:rPr>
        <w:t xml:space="preserve">, L., </w:t>
      </w:r>
      <w:proofErr w:type="spellStart"/>
      <w:r w:rsidRPr="006149C7">
        <w:rPr>
          <w:rFonts w:ascii="Times New Roman" w:eastAsia="Times New Roman" w:hAnsi="Times New Roman" w:cs="Times New Roman"/>
          <w:sz w:val="24"/>
          <w:szCs w:val="24"/>
        </w:rPr>
        <w:t>Plüg</w:t>
      </w:r>
      <w:proofErr w:type="spellEnd"/>
      <w:r w:rsidRPr="006149C7">
        <w:rPr>
          <w:rFonts w:ascii="Times New Roman" w:eastAsia="Times New Roman" w:hAnsi="Times New Roman" w:cs="Times New Roman"/>
          <w:sz w:val="24"/>
          <w:szCs w:val="24"/>
        </w:rPr>
        <w:t xml:space="preserve">, S., </w:t>
      </w:r>
      <w:proofErr w:type="spellStart"/>
      <w:r w:rsidRPr="006149C7">
        <w:rPr>
          <w:rFonts w:ascii="Times New Roman" w:eastAsia="Times New Roman" w:hAnsi="Times New Roman" w:cs="Times New Roman"/>
          <w:sz w:val="24"/>
          <w:szCs w:val="24"/>
        </w:rPr>
        <w:t>Simuyaba</w:t>
      </w:r>
      <w:proofErr w:type="spellEnd"/>
      <w:r w:rsidRPr="006149C7">
        <w:rPr>
          <w:rFonts w:ascii="Times New Roman" w:eastAsia="Times New Roman" w:hAnsi="Times New Roman" w:cs="Times New Roman"/>
          <w:sz w:val="24"/>
          <w:szCs w:val="24"/>
        </w:rPr>
        <w:t xml:space="preserve">, M., </w:t>
      </w:r>
      <w:proofErr w:type="spellStart"/>
      <w:r w:rsidRPr="006149C7">
        <w:rPr>
          <w:rFonts w:ascii="Times New Roman" w:eastAsia="Times New Roman" w:hAnsi="Times New Roman" w:cs="Times New Roman"/>
          <w:sz w:val="24"/>
          <w:szCs w:val="24"/>
        </w:rPr>
        <w:t>Chimbindi</w:t>
      </w:r>
      <w:proofErr w:type="spellEnd"/>
      <w:r w:rsidRPr="006149C7">
        <w:rPr>
          <w:rFonts w:ascii="Times New Roman" w:eastAsia="Times New Roman" w:hAnsi="Times New Roman" w:cs="Times New Roman"/>
          <w:sz w:val="24"/>
          <w:szCs w:val="24"/>
        </w:rPr>
        <w:t xml:space="preserve">, N., </w:t>
      </w:r>
      <w:proofErr w:type="spellStart"/>
      <w:r w:rsidRPr="006149C7">
        <w:rPr>
          <w:rFonts w:ascii="Times New Roman" w:eastAsia="Times New Roman" w:hAnsi="Times New Roman" w:cs="Times New Roman"/>
          <w:sz w:val="24"/>
          <w:szCs w:val="24"/>
        </w:rPr>
        <w:t>Govindasamy</w:t>
      </w:r>
      <w:proofErr w:type="spellEnd"/>
      <w:r w:rsidRPr="006149C7">
        <w:rPr>
          <w:rFonts w:ascii="Times New Roman" w:eastAsia="Times New Roman" w:hAnsi="Times New Roman" w:cs="Times New Roman"/>
          <w:sz w:val="24"/>
          <w:szCs w:val="24"/>
        </w:rPr>
        <w:t xml:space="preserve">, D., </w:t>
      </w:r>
      <w:proofErr w:type="spellStart"/>
      <w:r w:rsidRPr="006149C7">
        <w:rPr>
          <w:rFonts w:ascii="Times New Roman" w:eastAsia="Times New Roman" w:hAnsi="Times New Roman" w:cs="Times New Roman"/>
          <w:sz w:val="24"/>
          <w:szCs w:val="24"/>
        </w:rPr>
        <w:t>Simwinga</w:t>
      </w:r>
      <w:proofErr w:type="spellEnd"/>
      <w:r w:rsidRPr="006149C7">
        <w:rPr>
          <w:rFonts w:ascii="Times New Roman" w:eastAsia="Times New Roman" w:hAnsi="Times New Roman" w:cs="Times New Roman"/>
          <w:sz w:val="24"/>
          <w:szCs w:val="24"/>
        </w:rPr>
        <w:t xml:space="preserve">, M., </w:t>
      </w:r>
      <w:proofErr w:type="spellStart"/>
      <w:r w:rsidRPr="006149C7">
        <w:rPr>
          <w:rFonts w:ascii="Times New Roman" w:eastAsia="Times New Roman" w:hAnsi="Times New Roman" w:cs="Times New Roman"/>
          <w:sz w:val="24"/>
          <w:szCs w:val="24"/>
        </w:rPr>
        <w:t>Mirzoev</w:t>
      </w:r>
      <w:proofErr w:type="spellEnd"/>
      <w:r w:rsidRPr="006149C7">
        <w:rPr>
          <w:rFonts w:ascii="Times New Roman" w:eastAsia="Times New Roman" w:hAnsi="Times New Roman" w:cs="Times New Roman"/>
          <w:sz w:val="24"/>
          <w:szCs w:val="24"/>
        </w:rPr>
        <w:t xml:space="preserve">, T., Seeley, J., Bond, V., Dee, C., Ngwenya, N., </w:t>
      </w:r>
      <w:proofErr w:type="spellStart"/>
      <w:r w:rsidRPr="006149C7">
        <w:rPr>
          <w:rFonts w:ascii="Times New Roman" w:eastAsia="Times New Roman" w:hAnsi="Times New Roman" w:cs="Times New Roman"/>
          <w:sz w:val="24"/>
          <w:szCs w:val="24"/>
        </w:rPr>
        <w:t>Shahmanesh</w:t>
      </w:r>
      <w:proofErr w:type="spellEnd"/>
      <w:r w:rsidRPr="006149C7">
        <w:rPr>
          <w:rFonts w:ascii="Times New Roman" w:eastAsia="Times New Roman" w:hAnsi="Times New Roman" w:cs="Times New Roman"/>
          <w:sz w:val="24"/>
          <w:szCs w:val="24"/>
        </w:rPr>
        <w:t xml:space="preserve">, M., Dlamini, N., </w:t>
      </w:r>
      <w:proofErr w:type="spellStart"/>
      <w:r w:rsidRPr="006149C7">
        <w:rPr>
          <w:rFonts w:ascii="Times New Roman" w:eastAsia="Times New Roman" w:hAnsi="Times New Roman" w:cs="Times New Roman"/>
          <w:sz w:val="24"/>
          <w:szCs w:val="24"/>
        </w:rPr>
        <w:t>Ntombela</w:t>
      </w:r>
      <w:proofErr w:type="spellEnd"/>
      <w:r w:rsidRPr="006149C7">
        <w:rPr>
          <w:rFonts w:ascii="Times New Roman" w:eastAsia="Times New Roman" w:hAnsi="Times New Roman" w:cs="Times New Roman"/>
          <w:sz w:val="24"/>
          <w:szCs w:val="24"/>
        </w:rPr>
        <w:t xml:space="preserve">, M., </w:t>
      </w:r>
      <w:proofErr w:type="spellStart"/>
      <w:r w:rsidRPr="006149C7">
        <w:rPr>
          <w:rFonts w:ascii="Times New Roman" w:eastAsia="Times New Roman" w:hAnsi="Times New Roman" w:cs="Times New Roman"/>
          <w:sz w:val="24"/>
          <w:szCs w:val="24"/>
        </w:rPr>
        <w:t>Mabuyakhulu</w:t>
      </w:r>
      <w:proofErr w:type="spellEnd"/>
      <w:r w:rsidRPr="006149C7">
        <w:rPr>
          <w:rFonts w:ascii="Times New Roman" w:eastAsia="Times New Roman" w:hAnsi="Times New Roman" w:cs="Times New Roman"/>
          <w:sz w:val="24"/>
          <w:szCs w:val="24"/>
        </w:rPr>
        <w:t xml:space="preserve">, S., Ndlovu, S., &amp; </w:t>
      </w:r>
      <w:proofErr w:type="spellStart"/>
      <w:r w:rsidRPr="006149C7">
        <w:rPr>
          <w:rFonts w:ascii="Times New Roman" w:eastAsia="Times New Roman" w:hAnsi="Times New Roman" w:cs="Times New Roman"/>
          <w:sz w:val="24"/>
          <w:szCs w:val="24"/>
        </w:rPr>
        <w:t>Belemu</w:t>
      </w:r>
      <w:proofErr w:type="spellEnd"/>
      <w:r w:rsidRPr="006149C7">
        <w:rPr>
          <w:rFonts w:ascii="Times New Roman" w:eastAsia="Times New Roman" w:hAnsi="Times New Roman" w:cs="Times New Roman"/>
          <w:sz w:val="24"/>
          <w:szCs w:val="24"/>
        </w:rPr>
        <w:t xml:space="preserve">, S. (2025). Sexual and reproductive health interventions </w:t>
      </w:r>
      <w:r w:rsidRPr="006149C7">
        <w:rPr>
          <w:rFonts w:ascii="Times New Roman" w:eastAsia="Times New Roman" w:hAnsi="Times New Roman" w:cs="Times New Roman"/>
          <w:sz w:val="24"/>
          <w:szCs w:val="24"/>
        </w:rPr>
        <w:lastRenderedPageBreak/>
        <w:t xml:space="preserve">for mobile adolescents and young people in sub-Saharan Africa: a scoping review. BMC public health, 25(1), 3903. </w:t>
      </w:r>
      <w:hyperlink r:id="rId34" w:history="1">
        <w:r w:rsidRPr="008F3595">
          <w:rPr>
            <w:rStyle w:val="Hyperlink"/>
            <w:rFonts w:ascii="Times New Roman" w:eastAsia="Times New Roman" w:hAnsi="Times New Roman" w:cs="Times New Roman"/>
            <w:sz w:val="24"/>
            <w:szCs w:val="24"/>
          </w:rPr>
          <w:t>https://doi.org/10.1186/s12889-025-25119-4</w:t>
        </w:r>
      </w:hyperlink>
    </w:p>
    <w:p w14:paraId="1C76B00D" w14:textId="77777777" w:rsidR="006149C7" w:rsidRPr="006149C7" w:rsidRDefault="006149C7">
      <w:pPr>
        <w:spacing w:line="360" w:lineRule="auto"/>
        <w:jc w:val="both"/>
        <w:rPr>
          <w:highlight w:val="white"/>
        </w:rPr>
      </w:pPr>
    </w:p>
    <w:p w14:paraId="7E50186D" w14:textId="21CD48B8" w:rsidR="00101E6B" w:rsidRDefault="006149C7">
      <w:pPr>
        <w:spacing w:line="360" w:lineRule="auto"/>
        <w:jc w:val="both"/>
      </w:pPr>
      <w:proofErr w:type="spellStart"/>
      <w:r w:rsidRPr="006149C7">
        <w:rPr>
          <w:rFonts w:ascii="Times New Roman" w:eastAsia="Times New Roman" w:hAnsi="Times New Roman" w:cs="Times New Roman"/>
          <w:sz w:val="24"/>
          <w:szCs w:val="24"/>
        </w:rPr>
        <w:t>Mtae</w:t>
      </w:r>
      <w:proofErr w:type="spellEnd"/>
      <w:r w:rsidRPr="006149C7">
        <w:rPr>
          <w:rFonts w:ascii="Times New Roman" w:eastAsia="Times New Roman" w:hAnsi="Times New Roman" w:cs="Times New Roman"/>
          <w:sz w:val="24"/>
          <w:szCs w:val="24"/>
        </w:rPr>
        <w:t xml:space="preserve">, H. (2025). Demographic determinants of reproductive health outcomes affecting teenagers in </w:t>
      </w:r>
      <w:proofErr w:type="spellStart"/>
      <w:r w:rsidRPr="006149C7">
        <w:rPr>
          <w:rFonts w:ascii="Times New Roman" w:eastAsia="Times New Roman" w:hAnsi="Times New Roman" w:cs="Times New Roman"/>
          <w:sz w:val="24"/>
          <w:szCs w:val="24"/>
        </w:rPr>
        <w:t>Momba</w:t>
      </w:r>
      <w:proofErr w:type="spellEnd"/>
      <w:r w:rsidRPr="006149C7">
        <w:rPr>
          <w:rFonts w:ascii="Times New Roman" w:eastAsia="Times New Roman" w:hAnsi="Times New Roman" w:cs="Times New Roman"/>
          <w:sz w:val="24"/>
          <w:szCs w:val="24"/>
        </w:rPr>
        <w:t xml:space="preserve"> District, Tanzania. African Social Science and Humanities Journal, 6(2), 154-165. </w:t>
      </w:r>
      <w:hyperlink r:id="rId35" w:history="1">
        <w:r w:rsidRPr="008F3595">
          <w:rPr>
            <w:rStyle w:val="Hyperlink"/>
            <w:rFonts w:ascii="Times New Roman" w:eastAsia="Times New Roman" w:hAnsi="Times New Roman" w:cs="Times New Roman"/>
            <w:sz w:val="24"/>
            <w:szCs w:val="24"/>
          </w:rPr>
          <w:t>https://doi.org/10.4314/asshj.v6i2</w:t>
        </w:r>
      </w:hyperlink>
    </w:p>
    <w:p w14:paraId="0D42728F" w14:textId="77777777" w:rsidR="006149C7" w:rsidRPr="006149C7" w:rsidRDefault="006149C7">
      <w:pPr>
        <w:spacing w:line="360" w:lineRule="auto"/>
        <w:jc w:val="both"/>
        <w:rPr>
          <w:highlight w:val="white"/>
        </w:rPr>
      </w:pPr>
    </w:p>
    <w:p w14:paraId="055CEB30" w14:textId="4FA4CA13" w:rsidR="00101E6B" w:rsidRDefault="00A45C29">
      <w:pPr>
        <w:spacing w:line="360" w:lineRule="auto"/>
        <w:jc w:val="both"/>
      </w:pPr>
      <w:proofErr w:type="spellStart"/>
      <w:r w:rsidRPr="00A45C29">
        <w:rPr>
          <w:rFonts w:ascii="Times New Roman" w:eastAsia="Times New Roman" w:hAnsi="Times New Roman" w:cs="Times New Roman"/>
          <w:sz w:val="24"/>
          <w:szCs w:val="24"/>
        </w:rPr>
        <w:t>Munakampe</w:t>
      </w:r>
      <w:proofErr w:type="spellEnd"/>
      <w:r w:rsidRPr="00A45C29">
        <w:rPr>
          <w:rFonts w:ascii="Times New Roman" w:eastAsia="Times New Roman" w:hAnsi="Times New Roman" w:cs="Times New Roman"/>
          <w:sz w:val="24"/>
          <w:szCs w:val="24"/>
        </w:rPr>
        <w:t>, M. N., Ngoma-</w:t>
      </w:r>
      <w:proofErr w:type="spellStart"/>
      <w:r w:rsidRPr="00A45C29">
        <w:rPr>
          <w:rFonts w:ascii="Times New Roman" w:eastAsia="Times New Roman" w:hAnsi="Times New Roman" w:cs="Times New Roman"/>
          <w:sz w:val="24"/>
          <w:szCs w:val="24"/>
        </w:rPr>
        <w:t>Hazemba</w:t>
      </w:r>
      <w:proofErr w:type="spellEnd"/>
      <w:r w:rsidRPr="00A45C29">
        <w:rPr>
          <w:rFonts w:ascii="Times New Roman" w:eastAsia="Times New Roman" w:hAnsi="Times New Roman" w:cs="Times New Roman"/>
          <w:sz w:val="24"/>
          <w:szCs w:val="24"/>
        </w:rPr>
        <w:t xml:space="preserve">, A., </w:t>
      </w:r>
      <w:proofErr w:type="spellStart"/>
      <w:r w:rsidRPr="00A45C29">
        <w:rPr>
          <w:rFonts w:ascii="Times New Roman" w:eastAsia="Times New Roman" w:hAnsi="Times New Roman" w:cs="Times New Roman"/>
          <w:sz w:val="24"/>
          <w:szCs w:val="24"/>
        </w:rPr>
        <w:t>Sampa</w:t>
      </w:r>
      <w:proofErr w:type="spellEnd"/>
      <w:r w:rsidRPr="00A45C29">
        <w:rPr>
          <w:rFonts w:ascii="Times New Roman" w:eastAsia="Times New Roman" w:hAnsi="Times New Roman" w:cs="Times New Roman"/>
          <w:sz w:val="24"/>
          <w:szCs w:val="24"/>
        </w:rPr>
        <w:t xml:space="preserve">, M., &amp; Jacobs, C. N. (2024). Understanding inequalities in the coverage of adolescent sexual and reproductive health services: a qualitative case study of the selected regions of Zambia. Frontiers in Reproductive Health, 6, 1399289. </w:t>
      </w:r>
      <w:hyperlink r:id="rId36" w:history="1">
        <w:r w:rsidRPr="008F3595">
          <w:rPr>
            <w:rStyle w:val="Hyperlink"/>
            <w:rFonts w:ascii="Times New Roman" w:eastAsia="Times New Roman" w:hAnsi="Times New Roman" w:cs="Times New Roman"/>
            <w:sz w:val="24"/>
            <w:szCs w:val="24"/>
          </w:rPr>
          <w:t>https://doi.org/10.3389/frph.2024.1399289</w:t>
        </w:r>
      </w:hyperlink>
    </w:p>
    <w:p w14:paraId="150EE294" w14:textId="77777777" w:rsidR="00A45C29" w:rsidRPr="00A45C29" w:rsidRDefault="00A45C29">
      <w:pPr>
        <w:spacing w:line="360" w:lineRule="auto"/>
        <w:jc w:val="both"/>
        <w:rPr>
          <w:highlight w:val="white"/>
        </w:rPr>
      </w:pPr>
    </w:p>
    <w:p w14:paraId="09286005" w14:textId="7B2270E9" w:rsidR="00101E6B" w:rsidRDefault="00A45C29">
      <w:pPr>
        <w:spacing w:line="360" w:lineRule="auto"/>
        <w:jc w:val="both"/>
      </w:pPr>
      <w:r w:rsidRPr="00A45C29">
        <w:rPr>
          <w:rFonts w:ascii="Times New Roman" w:eastAsia="Times New Roman" w:hAnsi="Times New Roman" w:cs="Times New Roman"/>
          <w:sz w:val="24"/>
          <w:szCs w:val="24"/>
        </w:rPr>
        <w:t xml:space="preserve">Nartey, E. B., Babatunde, S., </w:t>
      </w:r>
      <w:proofErr w:type="spellStart"/>
      <w:r w:rsidRPr="00A45C29">
        <w:rPr>
          <w:rFonts w:ascii="Times New Roman" w:eastAsia="Times New Roman" w:hAnsi="Times New Roman" w:cs="Times New Roman"/>
          <w:sz w:val="24"/>
          <w:szCs w:val="24"/>
        </w:rPr>
        <w:t>Okonta</w:t>
      </w:r>
      <w:proofErr w:type="spellEnd"/>
      <w:r w:rsidRPr="00A45C29">
        <w:rPr>
          <w:rFonts w:ascii="Times New Roman" w:eastAsia="Times New Roman" w:hAnsi="Times New Roman" w:cs="Times New Roman"/>
          <w:sz w:val="24"/>
          <w:szCs w:val="24"/>
        </w:rPr>
        <w:t xml:space="preserve">, K. E., </w:t>
      </w:r>
      <w:proofErr w:type="spellStart"/>
      <w:r w:rsidRPr="00A45C29">
        <w:rPr>
          <w:rFonts w:ascii="Times New Roman" w:eastAsia="Times New Roman" w:hAnsi="Times New Roman" w:cs="Times New Roman"/>
          <w:sz w:val="24"/>
          <w:szCs w:val="24"/>
        </w:rPr>
        <w:t>Kotoh</w:t>
      </w:r>
      <w:proofErr w:type="spellEnd"/>
      <w:r w:rsidRPr="00A45C29">
        <w:rPr>
          <w:rFonts w:ascii="Times New Roman" w:eastAsia="Times New Roman" w:hAnsi="Times New Roman" w:cs="Times New Roman"/>
          <w:sz w:val="24"/>
          <w:szCs w:val="24"/>
        </w:rPr>
        <w:t xml:space="preserve">, A. M., </w:t>
      </w:r>
      <w:proofErr w:type="spellStart"/>
      <w:r w:rsidRPr="00A45C29">
        <w:rPr>
          <w:rFonts w:ascii="Times New Roman" w:eastAsia="Times New Roman" w:hAnsi="Times New Roman" w:cs="Times New Roman"/>
          <w:sz w:val="24"/>
          <w:szCs w:val="24"/>
        </w:rPr>
        <w:t>Amoadu</w:t>
      </w:r>
      <w:proofErr w:type="spellEnd"/>
      <w:r w:rsidRPr="00A45C29">
        <w:rPr>
          <w:rFonts w:ascii="Times New Roman" w:eastAsia="Times New Roman" w:hAnsi="Times New Roman" w:cs="Times New Roman"/>
          <w:sz w:val="24"/>
          <w:szCs w:val="24"/>
        </w:rPr>
        <w:t xml:space="preserve">, M., Abraham, S. A., </w:t>
      </w:r>
      <w:proofErr w:type="spellStart"/>
      <w:r w:rsidRPr="00A45C29">
        <w:rPr>
          <w:rFonts w:ascii="Times New Roman" w:eastAsia="Times New Roman" w:hAnsi="Times New Roman" w:cs="Times New Roman"/>
          <w:sz w:val="24"/>
          <w:szCs w:val="24"/>
        </w:rPr>
        <w:t>Agyare</w:t>
      </w:r>
      <w:proofErr w:type="spellEnd"/>
      <w:r w:rsidRPr="00A45C29">
        <w:rPr>
          <w:rFonts w:ascii="Times New Roman" w:eastAsia="Times New Roman" w:hAnsi="Times New Roman" w:cs="Times New Roman"/>
          <w:sz w:val="24"/>
          <w:szCs w:val="24"/>
        </w:rPr>
        <w:t xml:space="preserve">, D. F., </w:t>
      </w:r>
      <w:proofErr w:type="spellStart"/>
      <w:r w:rsidRPr="00A45C29">
        <w:rPr>
          <w:rFonts w:ascii="Times New Roman" w:eastAsia="Times New Roman" w:hAnsi="Times New Roman" w:cs="Times New Roman"/>
          <w:sz w:val="24"/>
          <w:szCs w:val="24"/>
        </w:rPr>
        <w:t>Baah</w:t>
      </w:r>
      <w:proofErr w:type="spellEnd"/>
      <w:r w:rsidRPr="00A45C29">
        <w:rPr>
          <w:rFonts w:ascii="Times New Roman" w:eastAsia="Times New Roman" w:hAnsi="Times New Roman" w:cs="Times New Roman"/>
          <w:sz w:val="24"/>
          <w:szCs w:val="24"/>
        </w:rPr>
        <w:t xml:space="preserve">, J. A., &amp; Obeng, P. (2025). Prevalence and barriers to the utilization of adolescent and youth-friendly health services in Ghana: systematic review and meta-analysis. Reproductive Health, 22(1), 58. </w:t>
      </w:r>
      <w:hyperlink r:id="rId37" w:history="1">
        <w:r w:rsidRPr="008F3595">
          <w:rPr>
            <w:rStyle w:val="Hyperlink"/>
            <w:rFonts w:ascii="Times New Roman" w:eastAsia="Times New Roman" w:hAnsi="Times New Roman" w:cs="Times New Roman"/>
            <w:sz w:val="24"/>
            <w:szCs w:val="24"/>
          </w:rPr>
          <w:t>https://doi.org/10.1186/s12978-025-02010-4</w:t>
        </w:r>
      </w:hyperlink>
    </w:p>
    <w:p w14:paraId="0F61FF4F" w14:textId="77777777" w:rsidR="00A45C29" w:rsidRPr="00A45C29" w:rsidRDefault="00A45C29">
      <w:pPr>
        <w:spacing w:line="360" w:lineRule="auto"/>
        <w:jc w:val="both"/>
        <w:rPr>
          <w:highlight w:val="white"/>
        </w:rPr>
      </w:pPr>
    </w:p>
    <w:p w14:paraId="0F13053D" w14:textId="5566518C" w:rsidR="00101E6B" w:rsidRDefault="00A45C29">
      <w:pPr>
        <w:spacing w:line="360" w:lineRule="auto"/>
        <w:jc w:val="both"/>
      </w:pPr>
      <w:r w:rsidRPr="00A45C29">
        <w:rPr>
          <w:rFonts w:ascii="Times New Roman" w:eastAsia="Times New Roman" w:hAnsi="Times New Roman" w:cs="Times New Roman"/>
          <w:sz w:val="24"/>
          <w:szCs w:val="24"/>
        </w:rPr>
        <w:t>Ngoma-</w:t>
      </w:r>
      <w:proofErr w:type="spellStart"/>
      <w:r w:rsidRPr="00A45C29">
        <w:rPr>
          <w:rFonts w:ascii="Times New Roman" w:eastAsia="Times New Roman" w:hAnsi="Times New Roman" w:cs="Times New Roman"/>
          <w:sz w:val="24"/>
          <w:szCs w:val="24"/>
        </w:rPr>
        <w:t>Hazemba</w:t>
      </w:r>
      <w:proofErr w:type="spellEnd"/>
      <w:r w:rsidRPr="00A45C29">
        <w:rPr>
          <w:rFonts w:ascii="Times New Roman" w:eastAsia="Times New Roman" w:hAnsi="Times New Roman" w:cs="Times New Roman"/>
          <w:sz w:val="24"/>
          <w:szCs w:val="24"/>
        </w:rPr>
        <w:t xml:space="preserve">, A., </w:t>
      </w:r>
      <w:proofErr w:type="spellStart"/>
      <w:r w:rsidRPr="00A45C29">
        <w:rPr>
          <w:rFonts w:ascii="Times New Roman" w:eastAsia="Times New Roman" w:hAnsi="Times New Roman" w:cs="Times New Roman"/>
          <w:sz w:val="24"/>
          <w:szCs w:val="24"/>
        </w:rPr>
        <w:t>Chavula</w:t>
      </w:r>
      <w:proofErr w:type="spellEnd"/>
      <w:r w:rsidRPr="00A45C29">
        <w:rPr>
          <w:rFonts w:ascii="Times New Roman" w:eastAsia="Times New Roman" w:hAnsi="Times New Roman" w:cs="Times New Roman"/>
          <w:sz w:val="24"/>
          <w:szCs w:val="24"/>
        </w:rPr>
        <w:t xml:space="preserve">, M. P., </w:t>
      </w:r>
      <w:proofErr w:type="spellStart"/>
      <w:r w:rsidRPr="00A45C29">
        <w:rPr>
          <w:rFonts w:ascii="Times New Roman" w:eastAsia="Times New Roman" w:hAnsi="Times New Roman" w:cs="Times New Roman"/>
          <w:sz w:val="24"/>
          <w:szCs w:val="24"/>
        </w:rPr>
        <w:t>Sichula</w:t>
      </w:r>
      <w:proofErr w:type="spellEnd"/>
      <w:r w:rsidRPr="00A45C29">
        <w:rPr>
          <w:rFonts w:ascii="Times New Roman" w:eastAsia="Times New Roman" w:hAnsi="Times New Roman" w:cs="Times New Roman"/>
          <w:sz w:val="24"/>
          <w:szCs w:val="24"/>
        </w:rPr>
        <w:t xml:space="preserve">, N., </w:t>
      </w:r>
      <w:proofErr w:type="spellStart"/>
      <w:r w:rsidRPr="00A45C29">
        <w:rPr>
          <w:rFonts w:ascii="Times New Roman" w:eastAsia="Times New Roman" w:hAnsi="Times New Roman" w:cs="Times New Roman"/>
          <w:sz w:val="24"/>
          <w:szCs w:val="24"/>
        </w:rPr>
        <w:t>Silumbwe</w:t>
      </w:r>
      <w:proofErr w:type="spellEnd"/>
      <w:r w:rsidRPr="00A45C29">
        <w:rPr>
          <w:rFonts w:ascii="Times New Roman" w:eastAsia="Times New Roman" w:hAnsi="Times New Roman" w:cs="Times New Roman"/>
          <w:sz w:val="24"/>
          <w:szCs w:val="24"/>
        </w:rPr>
        <w:t xml:space="preserve">, A., </w:t>
      </w:r>
      <w:proofErr w:type="spellStart"/>
      <w:r w:rsidRPr="00A45C29">
        <w:rPr>
          <w:rFonts w:ascii="Times New Roman" w:eastAsia="Times New Roman" w:hAnsi="Times New Roman" w:cs="Times New Roman"/>
          <w:sz w:val="24"/>
          <w:szCs w:val="24"/>
        </w:rPr>
        <w:t>Mweemba</w:t>
      </w:r>
      <w:proofErr w:type="spellEnd"/>
      <w:r w:rsidRPr="00A45C29">
        <w:rPr>
          <w:rFonts w:ascii="Times New Roman" w:eastAsia="Times New Roman" w:hAnsi="Times New Roman" w:cs="Times New Roman"/>
          <w:sz w:val="24"/>
          <w:szCs w:val="24"/>
        </w:rPr>
        <w:t xml:space="preserve">, O., </w:t>
      </w:r>
      <w:proofErr w:type="spellStart"/>
      <w:r w:rsidRPr="00A45C29">
        <w:rPr>
          <w:rFonts w:ascii="Times New Roman" w:eastAsia="Times New Roman" w:hAnsi="Times New Roman" w:cs="Times New Roman"/>
          <w:sz w:val="24"/>
          <w:szCs w:val="24"/>
        </w:rPr>
        <w:t>Mweemba</w:t>
      </w:r>
      <w:proofErr w:type="spellEnd"/>
      <w:r w:rsidRPr="00A45C29">
        <w:rPr>
          <w:rFonts w:ascii="Times New Roman" w:eastAsia="Times New Roman" w:hAnsi="Times New Roman" w:cs="Times New Roman"/>
          <w:sz w:val="24"/>
          <w:szCs w:val="24"/>
        </w:rPr>
        <w:t xml:space="preserve">, M., ... &amp; Zulu, J. M. (2024). Exploring the barriers, facilitators, and opportunities to enhance uptake of sexual and reproductive health, HIV and GBV services among adolescent girls and young women in Zambia: a qualitative study. BMC Public Health, 24(1), 2191. </w:t>
      </w:r>
      <w:hyperlink r:id="rId38" w:history="1">
        <w:r w:rsidRPr="008F3595">
          <w:rPr>
            <w:rStyle w:val="Hyperlink"/>
            <w:rFonts w:ascii="Times New Roman" w:eastAsia="Times New Roman" w:hAnsi="Times New Roman" w:cs="Times New Roman"/>
            <w:sz w:val="24"/>
            <w:szCs w:val="24"/>
          </w:rPr>
          <w:t>https://doi.org/10.1186/s12889-024-19663-8</w:t>
        </w:r>
      </w:hyperlink>
    </w:p>
    <w:p w14:paraId="4EBD3D09" w14:textId="77777777" w:rsidR="00A45C29" w:rsidRPr="00A45C29" w:rsidRDefault="00A45C29">
      <w:pPr>
        <w:spacing w:line="360" w:lineRule="auto"/>
        <w:jc w:val="both"/>
        <w:rPr>
          <w:highlight w:val="white"/>
        </w:rPr>
      </w:pPr>
    </w:p>
    <w:p w14:paraId="4C61BE18" w14:textId="647C907F" w:rsidR="00101E6B" w:rsidRDefault="00A45C29">
      <w:pPr>
        <w:spacing w:line="360" w:lineRule="auto"/>
        <w:jc w:val="both"/>
        <w:rPr>
          <w:rFonts w:ascii="Times New Roman" w:eastAsia="Times New Roman" w:hAnsi="Times New Roman" w:cs="Times New Roman"/>
          <w:sz w:val="24"/>
          <w:szCs w:val="24"/>
        </w:rPr>
      </w:pPr>
      <w:r w:rsidRPr="00A45C29">
        <w:rPr>
          <w:rFonts w:ascii="Times New Roman" w:eastAsia="Times New Roman" w:hAnsi="Times New Roman" w:cs="Times New Roman"/>
          <w:sz w:val="24"/>
          <w:szCs w:val="24"/>
        </w:rPr>
        <w:t xml:space="preserve">Obi-Nwosu, A. L., </w:t>
      </w:r>
      <w:proofErr w:type="spellStart"/>
      <w:r w:rsidRPr="00A45C29">
        <w:rPr>
          <w:rFonts w:ascii="Times New Roman" w:eastAsia="Times New Roman" w:hAnsi="Times New Roman" w:cs="Times New Roman"/>
          <w:sz w:val="24"/>
          <w:szCs w:val="24"/>
        </w:rPr>
        <w:t>Ubajaka</w:t>
      </w:r>
      <w:proofErr w:type="spellEnd"/>
      <w:r w:rsidRPr="00A45C29">
        <w:rPr>
          <w:rFonts w:ascii="Times New Roman" w:eastAsia="Times New Roman" w:hAnsi="Times New Roman" w:cs="Times New Roman"/>
          <w:sz w:val="24"/>
          <w:szCs w:val="24"/>
        </w:rPr>
        <w:t xml:space="preserve">, C. F., </w:t>
      </w:r>
      <w:proofErr w:type="spellStart"/>
      <w:r w:rsidRPr="00A45C29">
        <w:rPr>
          <w:rFonts w:ascii="Times New Roman" w:eastAsia="Times New Roman" w:hAnsi="Times New Roman" w:cs="Times New Roman"/>
          <w:sz w:val="24"/>
          <w:szCs w:val="24"/>
        </w:rPr>
        <w:t>Onwuegbusi</w:t>
      </w:r>
      <w:proofErr w:type="spellEnd"/>
      <w:r w:rsidRPr="00A45C29">
        <w:rPr>
          <w:rFonts w:ascii="Times New Roman" w:eastAsia="Times New Roman" w:hAnsi="Times New Roman" w:cs="Times New Roman"/>
          <w:sz w:val="24"/>
          <w:szCs w:val="24"/>
        </w:rPr>
        <w:t xml:space="preserve">, E. E., Nwosu, B. O., </w:t>
      </w:r>
      <w:proofErr w:type="spellStart"/>
      <w:r w:rsidRPr="00A45C29">
        <w:rPr>
          <w:rFonts w:ascii="Times New Roman" w:eastAsia="Times New Roman" w:hAnsi="Times New Roman" w:cs="Times New Roman"/>
          <w:sz w:val="24"/>
          <w:szCs w:val="24"/>
        </w:rPr>
        <w:t>Ezemenahi</w:t>
      </w:r>
      <w:proofErr w:type="spellEnd"/>
      <w:r w:rsidRPr="00A45C29">
        <w:rPr>
          <w:rFonts w:ascii="Times New Roman" w:eastAsia="Times New Roman" w:hAnsi="Times New Roman" w:cs="Times New Roman"/>
          <w:sz w:val="24"/>
          <w:szCs w:val="24"/>
        </w:rPr>
        <w:t xml:space="preserve">, S. I., </w:t>
      </w:r>
      <w:proofErr w:type="spellStart"/>
      <w:r w:rsidRPr="00A45C29">
        <w:rPr>
          <w:rFonts w:ascii="Times New Roman" w:eastAsia="Times New Roman" w:hAnsi="Times New Roman" w:cs="Times New Roman"/>
          <w:sz w:val="24"/>
          <w:szCs w:val="24"/>
        </w:rPr>
        <w:t>Okoh</w:t>
      </w:r>
      <w:proofErr w:type="spellEnd"/>
      <w:r w:rsidRPr="00A45C29">
        <w:rPr>
          <w:rFonts w:ascii="Times New Roman" w:eastAsia="Times New Roman" w:hAnsi="Times New Roman" w:cs="Times New Roman"/>
          <w:sz w:val="24"/>
          <w:szCs w:val="24"/>
        </w:rPr>
        <w:t xml:space="preserve">, E. E., &amp; </w:t>
      </w:r>
      <w:proofErr w:type="spellStart"/>
      <w:r w:rsidRPr="00A45C29">
        <w:rPr>
          <w:rFonts w:ascii="Times New Roman" w:eastAsia="Times New Roman" w:hAnsi="Times New Roman" w:cs="Times New Roman"/>
          <w:sz w:val="24"/>
          <w:szCs w:val="24"/>
        </w:rPr>
        <w:t>Azudialu</w:t>
      </w:r>
      <w:proofErr w:type="spellEnd"/>
      <w:r w:rsidRPr="00A45C29">
        <w:rPr>
          <w:rFonts w:ascii="Times New Roman" w:eastAsia="Times New Roman" w:hAnsi="Times New Roman" w:cs="Times New Roman"/>
          <w:sz w:val="24"/>
          <w:szCs w:val="24"/>
        </w:rPr>
        <w:t xml:space="preserve">, B. C. (2023). Reproductive health challenges of rural female adolescents in rural area of South Eastern Nigeria. Orient Journal of Medicine, 35(3-4), 33-43. </w:t>
      </w:r>
      <w:hyperlink r:id="rId39" w:history="1">
        <w:r w:rsidRPr="008F3595">
          <w:rPr>
            <w:rStyle w:val="Hyperlink"/>
            <w:rFonts w:ascii="Times New Roman" w:eastAsia="Times New Roman" w:hAnsi="Times New Roman" w:cs="Times New Roman"/>
            <w:sz w:val="24"/>
            <w:szCs w:val="24"/>
          </w:rPr>
          <w:t>https://doi.org/10.5281/zenodo.7896173</w:t>
        </w:r>
      </w:hyperlink>
    </w:p>
    <w:p w14:paraId="72C3D1DB" w14:textId="77777777" w:rsidR="00A45C29" w:rsidRDefault="00A45C29">
      <w:pPr>
        <w:spacing w:line="360" w:lineRule="auto"/>
        <w:jc w:val="both"/>
        <w:rPr>
          <w:rFonts w:ascii="Times New Roman" w:eastAsia="Times New Roman" w:hAnsi="Times New Roman" w:cs="Times New Roman"/>
          <w:sz w:val="24"/>
          <w:szCs w:val="24"/>
          <w:highlight w:val="white"/>
        </w:rPr>
      </w:pPr>
    </w:p>
    <w:p w14:paraId="68F0A8AB" w14:textId="02E27BB9" w:rsidR="00A45C29" w:rsidRDefault="00A45C29">
      <w:pPr>
        <w:spacing w:line="360" w:lineRule="auto"/>
        <w:jc w:val="both"/>
        <w:rPr>
          <w:rFonts w:ascii="Times New Roman" w:eastAsia="Times New Roman" w:hAnsi="Times New Roman" w:cs="Times New Roman"/>
          <w:sz w:val="24"/>
          <w:szCs w:val="24"/>
        </w:rPr>
      </w:pPr>
      <w:r w:rsidRPr="00A45C29">
        <w:rPr>
          <w:rFonts w:ascii="Times New Roman" w:eastAsia="Times New Roman" w:hAnsi="Times New Roman" w:cs="Times New Roman"/>
          <w:sz w:val="24"/>
          <w:szCs w:val="24"/>
        </w:rPr>
        <w:t xml:space="preserve">Roberts, E., Ma, H., Bhattacharjee, P., </w:t>
      </w:r>
      <w:proofErr w:type="spellStart"/>
      <w:r w:rsidRPr="00A45C29">
        <w:rPr>
          <w:rFonts w:ascii="Times New Roman" w:eastAsia="Times New Roman" w:hAnsi="Times New Roman" w:cs="Times New Roman"/>
          <w:sz w:val="24"/>
          <w:szCs w:val="24"/>
        </w:rPr>
        <w:t>Musyoki</w:t>
      </w:r>
      <w:proofErr w:type="spellEnd"/>
      <w:r w:rsidRPr="00A45C29">
        <w:rPr>
          <w:rFonts w:ascii="Times New Roman" w:eastAsia="Times New Roman" w:hAnsi="Times New Roman" w:cs="Times New Roman"/>
          <w:sz w:val="24"/>
          <w:szCs w:val="24"/>
        </w:rPr>
        <w:t xml:space="preserve">, H. K., </w:t>
      </w:r>
      <w:proofErr w:type="spellStart"/>
      <w:r w:rsidRPr="00A45C29">
        <w:rPr>
          <w:rFonts w:ascii="Times New Roman" w:eastAsia="Times New Roman" w:hAnsi="Times New Roman" w:cs="Times New Roman"/>
          <w:sz w:val="24"/>
          <w:szCs w:val="24"/>
        </w:rPr>
        <w:t>Gichangi</w:t>
      </w:r>
      <w:proofErr w:type="spellEnd"/>
      <w:r w:rsidRPr="00A45C29">
        <w:rPr>
          <w:rFonts w:ascii="Times New Roman" w:eastAsia="Times New Roman" w:hAnsi="Times New Roman" w:cs="Times New Roman"/>
          <w:sz w:val="24"/>
          <w:szCs w:val="24"/>
        </w:rPr>
        <w:t xml:space="preserve">, P., Avery, L., ... &amp; Transitions Study Team. (2020). Low program access despite high burden of sexual, structural, and reproductive health vulnerabilities among young women who sell sex in Mombasa, Kenya. BMC Public Health, 20(1), 806. </w:t>
      </w:r>
      <w:hyperlink r:id="rId40" w:history="1">
        <w:r w:rsidRPr="008F3595">
          <w:rPr>
            <w:rStyle w:val="Hyperlink"/>
            <w:rFonts w:ascii="Times New Roman" w:eastAsia="Times New Roman" w:hAnsi="Times New Roman" w:cs="Times New Roman"/>
            <w:sz w:val="24"/>
            <w:szCs w:val="24"/>
          </w:rPr>
          <w:t>https://doi.org/10.1186/s12889-020-08872-6</w:t>
        </w:r>
      </w:hyperlink>
      <w:r>
        <w:rPr>
          <w:rFonts w:ascii="Times New Roman" w:eastAsia="Times New Roman" w:hAnsi="Times New Roman" w:cs="Times New Roman"/>
          <w:sz w:val="24"/>
          <w:szCs w:val="24"/>
        </w:rPr>
        <w:t xml:space="preserve"> </w:t>
      </w:r>
    </w:p>
    <w:p w14:paraId="45B11A1C" w14:textId="77777777" w:rsidR="00A45C29" w:rsidRPr="00A45C29" w:rsidRDefault="00A45C29">
      <w:pPr>
        <w:spacing w:line="360" w:lineRule="auto"/>
        <w:jc w:val="both"/>
        <w:rPr>
          <w:highlight w:val="white"/>
        </w:rPr>
      </w:pPr>
    </w:p>
    <w:p w14:paraId="2FCF8D8C" w14:textId="04E1E3E2" w:rsidR="00101E6B" w:rsidRDefault="00A45C29">
      <w:pPr>
        <w:spacing w:line="360" w:lineRule="auto"/>
        <w:jc w:val="both"/>
      </w:pPr>
      <w:proofErr w:type="spellStart"/>
      <w:r w:rsidRPr="00A45C29">
        <w:rPr>
          <w:rFonts w:ascii="Times New Roman" w:eastAsia="Times New Roman" w:hAnsi="Times New Roman" w:cs="Times New Roman"/>
          <w:sz w:val="24"/>
          <w:szCs w:val="24"/>
        </w:rPr>
        <w:t>Sanyang</w:t>
      </w:r>
      <w:proofErr w:type="spellEnd"/>
      <w:r w:rsidRPr="00A45C29">
        <w:rPr>
          <w:rFonts w:ascii="Times New Roman" w:eastAsia="Times New Roman" w:hAnsi="Times New Roman" w:cs="Times New Roman"/>
          <w:sz w:val="24"/>
          <w:szCs w:val="24"/>
        </w:rPr>
        <w:t xml:space="preserve">, Y., </w:t>
      </w:r>
      <w:proofErr w:type="spellStart"/>
      <w:r w:rsidRPr="00A45C29">
        <w:rPr>
          <w:rFonts w:ascii="Times New Roman" w:eastAsia="Times New Roman" w:hAnsi="Times New Roman" w:cs="Times New Roman"/>
          <w:sz w:val="24"/>
          <w:szCs w:val="24"/>
        </w:rPr>
        <w:t>Sanyang</w:t>
      </w:r>
      <w:proofErr w:type="spellEnd"/>
      <w:r w:rsidRPr="00A45C29">
        <w:rPr>
          <w:rFonts w:ascii="Times New Roman" w:eastAsia="Times New Roman" w:hAnsi="Times New Roman" w:cs="Times New Roman"/>
          <w:sz w:val="24"/>
          <w:szCs w:val="24"/>
        </w:rPr>
        <w:t xml:space="preserve">, S., </w:t>
      </w:r>
      <w:proofErr w:type="spellStart"/>
      <w:r w:rsidRPr="00A45C29">
        <w:rPr>
          <w:rFonts w:ascii="Times New Roman" w:eastAsia="Times New Roman" w:hAnsi="Times New Roman" w:cs="Times New Roman"/>
          <w:sz w:val="24"/>
          <w:szCs w:val="24"/>
        </w:rPr>
        <w:t>Ladur</w:t>
      </w:r>
      <w:proofErr w:type="spellEnd"/>
      <w:r w:rsidRPr="00A45C29">
        <w:rPr>
          <w:rFonts w:ascii="Times New Roman" w:eastAsia="Times New Roman" w:hAnsi="Times New Roman" w:cs="Times New Roman"/>
          <w:sz w:val="24"/>
          <w:szCs w:val="24"/>
        </w:rPr>
        <w:t xml:space="preserve">, A. N., Cham, M., Desmond, N., &amp; </w:t>
      </w:r>
      <w:proofErr w:type="spellStart"/>
      <w:r w:rsidRPr="00A45C29">
        <w:rPr>
          <w:rFonts w:ascii="Times New Roman" w:eastAsia="Times New Roman" w:hAnsi="Times New Roman" w:cs="Times New Roman"/>
          <w:sz w:val="24"/>
          <w:szCs w:val="24"/>
        </w:rPr>
        <w:t>Mgawadere</w:t>
      </w:r>
      <w:proofErr w:type="spellEnd"/>
      <w:r w:rsidRPr="00A45C29">
        <w:rPr>
          <w:rFonts w:ascii="Times New Roman" w:eastAsia="Times New Roman" w:hAnsi="Times New Roman" w:cs="Times New Roman"/>
          <w:sz w:val="24"/>
          <w:szCs w:val="24"/>
        </w:rPr>
        <w:t xml:space="preserve">, F. (2025). Are facility service delivery models meeting the sexual and reproductive health needs of adolescents in Sub-Saharan Africa? A qualitative evidence synthesis. BMC health services research, 25(1), 193. </w:t>
      </w:r>
      <w:hyperlink r:id="rId41" w:history="1">
        <w:r w:rsidRPr="008F3595">
          <w:rPr>
            <w:rStyle w:val="Hyperlink"/>
            <w:rFonts w:ascii="Times New Roman" w:eastAsia="Times New Roman" w:hAnsi="Times New Roman" w:cs="Times New Roman"/>
            <w:sz w:val="24"/>
            <w:szCs w:val="24"/>
          </w:rPr>
          <w:t>https://doi.org/10.1186/s12913-025-12344-1</w:t>
        </w:r>
      </w:hyperlink>
    </w:p>
    <w:p w14:paraId="10B66F60" w14:textId="77777777" w:rsidR="00A45C29" w:rsidRPr="00A45C29" w:rsidRDefault="00A45C29">
      <w:pPr>
        <w:spacing w:line="360" w:lineRule="auto"/>
        <w:jc w:val="both"/>
        <w:rPr>
          <w:highlight w:val="white"/>
        </w:rPr>
      </w:pPr>
    </w:p>
    <w:p w14:paraId="711E3E8C" w14:textId="7E618872" w:rsidR="00101E6B" w:rsidRDefault="00A45C29">
      <w:pPr>
        <w:spacing w:line="360" w:lineRule="auto"/>
        <w:jc w:val="both"/>
      </w:pPr>
      <w:proofErr w:type="spellStart"/>
      <w:r w:rsidRPr="00A45C29">
        <w:rPr>
          <w:rFonts w:ascii="Times New Roman" w:eastAsia="Times New Roman" w:hAnsi="Times New Roman" w:cs="Times New Roman"/>
          <w:sz w:val="24"/>
          <w:szCs w:val="24"/>
        </w:rPr>
        <w:t>Sidamo</w:t>
      </w:r>
      <w:proofErr w:type="spellEnd"/>
      <w:r w:rsidRPr="00A45C29">
        <w:rPr>
          <w:rFonts w:ascii="Times New Roman" w:eastAsia="Times New Roman" w:hAnsi="Times New Roman" w:cs="Times New Roman"/>
          <w:sz w:val="24"/>
          <w:szCs w:val="24"/>
        </w:rPr>
        <w:t xml:space="preserve">, N. B., Abebe </w:t>
      </w:r>
      <w:proofErr w:type="spellStart"/>
      <w:r w:rsidRPr="00A45C29">
        <w:rPr>
          <w:rFonts w:ascii="Times New Roman" w:eastAsia="Times New Roman" w:hAnsi="Times New Roman" w:cs="Times New Roman"/>
          <w:sz w:val="24"/>
          <w:szCs w:val="24"/>
        </w:rPr>
        <w:t>Kerbo</w:t>
      </w:r>
      <w:proofErr w:type="spellEnd"/>
      <w:r w:rsidRPr="00A45C29">
        <w:rPr>
          <w:rFonts w:ascii="Times New Roman" w:eastAsia="Times New Roman" w:hAnsi="Times New Roman" w:cs="Times New Roman"/>
          <w:sz w:val="24"/>
          <w:szCs w:val="24"/>
        </w:rPr>
        <w:t xml:space="preserve">, A., </w:t>
      </w:r>
      <w:proofErr w:type="spellStart"/>
      <w:r w:rsidRPr="00A45C29">
        <w:rPr>
          <w:rFonts w:ascii="Times New Roman" w:eastAsia="Times New Roman" w:hAnsi="Times New Roman" w:cs="Times New Roman"/>
          <w:sz w:val="24"/>
          <w:szCs w:val="24"/>
        </w:rPr>
        <w:t>Gidebo</w:t>
      </w:r>
      <w:proofErr w:type="spellEnd"/>
      <w:r w:rsidRPr="00A45C29">
        <w:rPr>
          <w:rFonts w:ascii="Times New Roman" w:eastAsia="Times New Roman" w:hAnsi="Times New Roman" w:cs="Times New Roman"/>
          <w:sz w:val="24"/>
          <w:szCs w:val="24"/>
        </w:rPr>
        <w:t xml:space="preserve">, K. D., &amp; </w:t>
      </w:r>
      <w:proofErr w:type="spellStart"/>
      <w:r w:rsidRPr="00A45C29">
        <w:rPr>
          <w:rFonts w:ascii="Times New Roman" w:eastAsia="Times New Roman" w:hAnsi="Times New Roman" w:cs="Times New Roman"/>
          <w:sz w:val="24"/>
          <w:szCs w:val="24"/>
        </w:rPr>
        <w:t>Wado</w:t>
      </w:r>
      <w:proofErr w:type="spellEnd"/>
      <w:r w:rsidRPr="00A45C29">
        <w:rPr>
          <w:rFonts w:ascii="Times New Roman" w:eastAsia="Times New Roman" w:hAnsi="Times New Roman" w:cs="Times New Roman"/>
          <w:sz w:val="24"/>
          <w:szCs w:val="24"/>
        </w:rPr>
        <w:t xml:space="preserve">, Y. D. (2024). Adolescent utilization of sexual and reproductive health services in </w:t>
      </w:r>
      <w:proofErr w:type="spellStart"/>
      <w:r w:rsidRPr="00A45C29">
        <w:rPr>
          <w:rFonts w:ascii="Times New Roman" w:eastAsia="Times New Roman" w:hAnsi="Times New Roman" w:cs="Times New Roman"/>
          <w:sz w:val="24"/>
          <w:szCs w:val="24"/>
        </w:rPr>
        <w:t>Gamo</w:t>
      </w:r>
      <w:proofErr w:type="spellEnd"/>
      <w:r w:rsidRPr="00A45C29">
        <w:rPr>
          <w:rFonts w:ascii="Times New Roman" w:eastAsia="Times New Roman" w:hAnsi="Times New Roman" w:cs="Times New Roman"/>
          <w:sz w:val="24"/>
          <w:szCs w:val="24"/>
        </w:rPr>
        <w:t xml:space="preserve"> Zone, Southern Ethiopia. Insights from multilevel and latent class analysis. Frontiers in Reproductive Health, 6, 1356969. </w:t>
      </w:r>
      <w:hyperlink r:id="rId42" w:history="1">
        <w:r w:rsidRPr="008F3595">
          <w:rPr>
            <w:rStyle w:val="Hyperlink"/>
            <w:rFonts w:ascii="Times New Roman" w:eastAsia="Times New Roman" w:hAnsi="Times New Roman" w:cs="Times New Roman"/>
            <w:sz w:val="24"/>
            <w:szCs w:val="24"/>
          </w:rPr>
          <w:t>https://doi.org/10.3389/frph.2024.1356969</w:t>
        </w:r>
      </w:hyperlink>
    </w:p>
    <w:p w14:paraId="3DC92DDB" w14:textId="77777777" w:rsidR="00A45C29" w:rsidRPr="00A45C29" w:rsidRDefault="00A45C29">
      <w:pPr>
        <w:spacing w:line="360" w:lineRule="auto"/>
        <w:jc w:val="both"/>
        <w:rPr>
          <w:highlight w:val="white"/>
        </w:rPr>
      </w:pPr>
    </w:p>
    <w:p w14:paraId="6400C4AB" w14:textId="4D0DD0E8" w:rsidR="00101E6B" w:rsidRDefault="00A45C29">
      <w:pPr>
        <w:spacing w:line="360" w:lineRule="auto"/>
        <w:jc w:val="both"/>
      </w:pPr>
      <w:proofErr w:type="spellStart"/>
      <w:r w:rsidRPr="00A45C29">
        <w:rPr>
          <w:rFonts w:ascii="Times New Roman" w:eastAsia="Times New Roman" w:hAnsi="Times New Roman" w:cs="Times New Roman"/>
          <w:sz w:val="24"/>
          <w:szCs w:val="24"/>
        </w:rPr>
        <w:t>Tallarico</w:t>
      </w:r>
      <w:proofErr w:type="spellEnd"/>
      <w:r w:rsidRPr="00A45C29">
        <w:rPr>
          <w:rFonts w:ascii="Times New Roman" w:eastAsia="Times New Roman" w:hAnsi="Times New Roman" w:cs="Times New Roman"/>
          <w:sz w:val="24"/>
          <w:szCs w:val="24"/>
        </w:rPr>
        <w:t xml:space="preserve">, R., </w:t>
      </w:r>
      <w:proofErr w:type="spellStart"/>
      <w:r w:rsidRPr="00A45C29">
        <w:rPr>
          <w:rFonts w:ascii="Times New Roman" w:eastAsia="Times New Roman" w:hAnsi="Times New Roman" w:cs="Times New Roman"/>
          <w:sz w:val="24"/>
          <w:szCs w:val="24"/>
        </w:rPr>
        <w:t>Ozah</w:t>
      </w:r>
      <w:proofErr w:type="spellEnd"/>
      <w:r w:rsidRPr="00A45C29">
        <w:rPr>
          <w:rFonts w:ascii="Times New Roman" w:eastAsia="Times New Roman" w:hAnsi="Times New Roman" w:cs="Times New Roman"/>
          <w:sz w:val="24"/>
          <w:szCs w:val="24"/>
        </w:rPr>
        <w:t xml:space="preserve">, K., &amp; </w:t>
      </w:r>
      <w:proofErr w:type="spellStart"/>
      <w:r w:rsidRPr="00A45C29">
        <w:rPr>
          <w:rFonts w:ascii="Times New Roman" w:eastAsia="Times New Roman" w:hAnsi="Times New Roman" w:cs="Times New Roman"/>
          <w:sz w:val="24"/>
          <w:szCs w:val="24"/>
        </w:rPr>
        <w:t>Orievulu</w:t>
      </w:r>
      <w:proofErr w:type="spellEnd"/>
      <w:r w:rsidRPr="00A45C29">
        <w:rPr>
          <w:rFonts w:ascii="Times New Roman" w:eastAsia="Times New Roman" w:hAnsi="Times New Roman" w:cs="Times New Roman"/>
          <w:sz w:val="24"/>
          <w:szCs w:val="24"/>
        </w:rPr>
        <w:t xml:space="preserve">, K. S. (2021). Age of consent: A case for harmonizing laws and policies to advance, promote and protect adolescents’ sexual and reproductive health rights. African Journal of Reproductive Health, 25(2), 94-102. </w:t>
      </w:r>
      <w:hyperlink r:id="rId43" w:history="1">
        <w:r w:rsidRPr="008F3595">
          <w:rPr>
            <w:rStyle w:val="Hyperlink"/>
            <w:rFonts w:ascii="Times New Roman" w:eastAsia="Times New Roman" w:hAnsi="Times New Roman" w:cs="Times New Roman"/>
            <w:sz w:val="24"/>
            <w:szCs w:val="24"/>
          </w:rPr>
          <w:t>https://doi.org/10.4314/ajrh.v25i2</w:t>
        </w:r>
      </w:hyperlink>
    </w:p>
    <w:p w14:paraId="472AE10B" w14:textId="77777777" w:rsidR="00A45C29" w:rsidRPr="00A45C29" w:rsidRDefault="00A45C29">
      <w:pPr>
        <w:spacing w:line="360" w:lineRule="auto"/>
        <w:jc w:val="both"/>
        <w:rPr>
          <w:highlight w:val="white"/>
        </w:rPr>
      </w:pPr>
    </w:p>
    <w:p w14:paraId="00301F61" w14:textId="1AE83306" w:rsidR="00101E6B" w:rsidRDefault="00A45C29">
      <w:pPr>
        <w:spacing w:line="360" w:lineRule="auto"/>
        <w:jc w:val="both"/>
      </w:pPr>
      <w:proofErr w:type="spellStart"/>
      <w:r w:rsidRPr="00A45C29">
        <w:rPr>
          <w:rFonts w:ascii="Times New Roman" w:eastAsia="Times New Roman" w:hAnsi="Times New Roman" w:cs="Times New Roman"/>
          <w:sz w:val="24"/>
          <w:szCs w:val="24"/>
        </w:rPr>
        <w:t>Tchuisseu</w:t>
      </w:r>
      <w:proofErr w:type="spellEnd"/>
      <w:r w:rsidRPr="00A45C29">
        <w:rPr>
          <w:rFonts w:ascii="Times New Roman" w:eastAsia="Times New Roman" w:hAnsi="Times New Roman" w:cs="Times New Roman"/>
          <w:sz w:val="24"/>
          <w:szCs w:val="24"/>
        </w:rPr>
        <w:t xml:space="preserve">, Y. B. P., </w:t>
      </w:r>
      <w:proofErr w:type="spellStart"/>
      <w:r w:rsidRPr="00A45C29">
        <w:rPr>
          <w:rFonts w:ascii="Times New Roman" w:eastAsia="Times New Roman" w:hAnsi="Times New Roman" w:cs="Times New Roman"/>
          <w:sz w:val="24"/>
          <w:szCs w:val="24"/>
        </w:rPr>
        <w:t>Kools</w:t>
      </w:r>
      <w:proofErr w:type="spellEnd"/>
      <w:r w:rsidRPr="00A45C29">
        <w:rPr>
          <w:rFonts w:ascii="Times New Roman" w:eastAsia="Times New Roman" w:hAnsi="Times New Roman" w:cs="Times New Roman"/>
          <w:sz w:val="24"/>
          <w:szCs w:val="24"/>
        </w:rPr>
        <w:t xml:space="preserve">, S., </w:t>
      </w:r>
      <w:proofErr w:type="spellStart"/>
      <w:r w:rsidRPr="00A45C29">
        <w:rPr>
          <w:rFonts w:ascii="Times New Roman" w:eastAsia="Times New Roman" w:hAnsi="Times New Roman" w:cs="Times New Roman"/>
          <w:sz w:val="24"/>
          <w:szCs w:val="24"/>
        </w:rPr>
        <w:t>Kaziga</w:t>
      </w:r>
      <w:proofErr w:type="spellEnd"/>
      <w:r w:rsidRPr="00A45C29">
        <w:rPr>
          <w:rFonts w:ascii="Times New Roman" w:eastAsia="Times New Roman" w:hAnsi="Times New Roman" w:cs="Times New Roman"/>
          <w:sz w:val="24"/>
          <w:szCs w:val="24"/>
        </w:rPr>
        <w:t xml:space="preserve">, R., </w:t>
      </w:r>
      <w:proofErr w:type="spellStart"/>
      <w:r w:rsidRPr="00A45C29">
        <w:rPr>
          <w:rFonts w:ascii="Times New Roman" w:eastAsia="Times New Roman" w:hAnsi="Times New Roman" w:cs="Times New Roman"/>
          <w:sz w:val="24"/>
          <w:szCs w:val="24"/>
        </w:rPr>
        <w:t>Achen</w:t>
      </w:r>
      <w:proofErr w:type="spellEnd"/>
      <w:r w:rsidRPr="00A45C29">
        <w:rPr>
          <w:rFonts w:ascii="Times New Roman" w:eastAsia="Times New Roman" w:hAnsi="Times New Roman" w:cs="Times New Roman"/>
          <w:sz w:val="24"/>
          <w:szCs w:val="24"/>
        </w:rPr>
        <w:t xml:space="preserve">, D., </w:t>
      </w:r>
      <w:proofErr w:type="spellStart"/>
      <w:r w:rsidRPr="00A45C29">
        <w:rPr>
          <w:rFonts w:ascii="Times New Roman" w:eastAsia="Times New Roman" w:hAnsi="Times New Roman" w:cs="Times New Roman"/>
          <w:sz w:val="24"/>
          <w:szCs w:val="24"/>
        </w:rPr>
        <w:t>Rumanzi</w:t>
      </w:r>
      <w:proofErr w:type="spellEnd"/>
      <w:r w:rsidRPr="00A45C29">
        <w:rPr>
          <w:rFonts w:ascii="Times New Roman" w:eastAsia="Times New Roman" w:hAnsi="Times New Roman" w:cs="Times New Roman"/>
          <w:sz w:val="24"/>
          <w:szCs w:val="24"/>
        </w:rPr>
        <w:t xml:space="preserve">, M., </w:t>
      </w:r>
      <w:proofErr w:type="spellStart"/>
      <w:r w:rsidRPr="00A45C29">
        <w:rPr>
          <w:rFonts w:ascii="Times New Roman" w:eastAsia="Times New Roman" w:hAnsi="Times New Roman" w:cs="Times New Roman"/>
          <w:sz w:val="24"/>
          <w:szCs w:val="24"/>
        </w:rPr>
        <w:t>Karungi</w:t>
      </w:r>
      <w:proofErr w:type="spellEnd"/>
      <w:r w:rsidRPr="00A45C29">
        <w:rPr>
          <w:rFonts w:ascii="Times New Roman" w:eastAsia="Times New Roman" w:hAnsi="Times New Roman" w:cs="Times New Roman"/>
          <w:sz w:val="24"/>
          <w:szCs w:val="24"/>
        </w:rPr>
        <w:t xml:space="preserve">, C., Harrison, T. H., </w:t>
      </w:r>
      <w:proofErr w:type="spellStart"/>
      <w:r w:rsidRPr="00A45C29">
        <w:rPr>
          <w:rFonts w:ascii="Times New Roman" w:eastAsia="Times New Roman" w:hAnsi="Times New Roman" w:cs="Times New Roman"/>
          <w:sz w:val="24"/>
          <w:szCs w:val="24"/>
        </w:rPr>
        <w:t>Berhe</w:t>
      </w:r>
      <w:proofErr w:type="spellEnd"/>
      <w:r w:rsidRPr="00A45C29">
        <w:rPr>
          <w:rFonts w:ascii="Times New Roman" w:eastAsia="Times New Roman" w:hAnsi="Times New Roman" w:cs="Times New Roman"/>
          <w:sz w:val="24"/>
          <w:szCs w:val="24"/>
        </w:rPr>
        <w:t xml:space="preserve">, R. M., &amp; </w:t>
      </w:r>
      <w:proofErr w:type="spellStart"/>
      <w:r w:rsidRPr="00A45C29">
        <w:rPr>
          <w:rFonts w:ascii="Times New Roman" w:eastAsia="Times New Roman" w:hAnsi="Times New Roman" w:cs="Times New Roman"/>
          <w:sz w:val="24"/>
          <w:szCs w:val="24"/>
        </w:rPr>
        <w:t>Nyakato</w:t>
      </w:r>
      <w:proofErr w:type="spellEnd"/>
      <w:r w:rsidRPr="00A45C29">
        <w:rPr>
          <w:rFonts w:ascii="Times New Roman" w:eastAsia="Times New Roman" w:hAnsi="Times New Roman" w:cs="Times New Roman"/>
          <w:sz w:val="24"/>
          <w:szCs w:val="24"/>
        </w:rPr>
        <w:t xml:space="preserve">, V. (2023). Understanding the sexual and reproductive health rights and experiences of very young adolescents in rural Uganda from the perspectives of emerging adults. African Journal of Reproductive Health, 27(9), 13-21. </w:t>
      </w:r>
      <w:hyperlink r:id="rId44" w:history="1">
        <w:r w:rsidRPr="008F3595">
          <w:rPr>
            <w:rStyle w:val="Hyperlink"/>
            <w:rFonts w:ascii="Times New Roman" w:eastAsia="Times New Roman" w:hAnsi="Times New Roman" w:cs="Times New Roman"/>
            <w:sz w:val="24"/>
            <w:szCs w:val="24"/>
          </w:rPr>
          <w:t>https://doi.org/10.29063/ajrh2023/v27i9.2</w:t>
        </w:r>
      </w:hyperlink>
    </w:p>
    <w:p w14:paraId="5128A8AE" w14:textId="77777777" w:rsidR="00A45C29" w:rsidRPr="00A45C29" w:rsidRDefault="00A45C29">
      <w:pPr>
        <w:spacing w:line="360" w:lineRule="auto"/>
        <w:jc w:val="both"/>
        <w:rPr>
          <w:highlight w:val="white"/>
        </w:rPr>
      </w:pPr>
    </w:p>
    <w:p w14:paraId="4B6CCEFE" w14:textId="1D0D8183" w:rsidR="00101E6B" w:rsidRDefault="00A45C29">
      <w:pPr>
        <w:spacing w:line="360" w:lineRule="auto"/>
        <w:jc w:val="both"/>
      </w:pPr>
      <w:proofErr w:type="spellStart"/>
      <w:r w:rsidRPr="00A45C29">
        <w:rPr>
          <w:rFonts w:ascii="Times New Roman" w:eastAsia="Times New Roman" w:hAnsi="Times New Roman" w:cs="Times New Roman"/>
          <w:sz w:val="24"/>
          <w:szCs w:val="24"/>
        </w:rPr>
        <w:t>Tovia</w:t>
      </w:r>
      <w:proofErr w:type="spellEnd"/>
      <w:r w:rsidRPr="00A45C29">
        <w:rPr>
          <w:rFonts w:ascii="Times New Roman" w:eastAsia="Times New Roman" w:hAnsi="Times New Roman" w:cs="Times New Roman"/>
          <w:sz w:val="24"/>
          <w:szCs w:val="24"/>
        </w:rPr>
        <w:t xml:space="preserve">, J., Godwin, O. J., Abdul, S., </w:t>
      </w:r>
      <w:proofErr w:type="spellStart"/>
      <w:r w:rsidRPr="00A45C29">
        <w:rPr>
          <w:rFonts w:ascii="Times New Roman" w:eastAsia="Times New Roman" w:hAnsi="Times New Roman" w:cs="Times New Roman"/>
          <w:sz w:val="24"/>
          <w:szCs w:val="24"/>
        </w:rPr>
        <w:t>Ojoanemile</w:t>
      </w:r>
      <w:proofErr w:type="spellEnd"/>
      <w:r w:rsidRPr="00A45C29">
        <w:rPr>
          <w:rFonts w:ascii="Times New Roman" w:eastAsia="Times New Roman" w:hAnsi="Times New Roman" w:cs="Times New Roman"/>
          <w:sz w:val="24"/>
          <w:szCs w:val="24"/>
        </w:rPr>
        <w:t xml:space="preserve">, O. F., Marie, K., &amp; Olamide, J. S. (2025). Biological and Physiological Changes in Adolescence: Sociocultural Impact on Adolescent Sexual Attitude and Reproductive Health. Journal of Psychosexual Health. </w:t>
      </w:r>
      <w:hyperlink r:id="rId45" w:history="1">
        <w:r w:rsidRPr="008F3595">
          <w:rPr>
            <w:rStyle w:val="Hyperlink"/>
            <w:rFonts w:ascii="Times New Roman" w:eastAsia="Times New Roman" w:hAnsi="Times New Roman" w:cs="Times New Roman"/>
            <w:sz w:val="24"/>
            <w:szCs w:val="24"/>
          </w:rPr>
          <w:t>https://doi.org/10.1177/26318318251399267</w:t>
        </w:r>
      </w:hyperlink>
    </w:p>
    <w:p w14:paraId="1251F967" w14:textId="77777777" w:rsidR="00A45C29" w:rsidRPr="00A45C29" w:rsidRDefault="00A45C29">
      <w:pPr>
        <w:spacing w:line="360" w:lineRule="auto"/>
        <w:jc w:val="both"/>
        <w:rPr>
          <w:highlight w:val="white"/>
        </w:rPr>
      </w:pPr>
    </w:p>
    <w:p w14:paraId="48FE13A6" w14:textId="1F1F7B88" w:rsidR="00101E6B" w:rsidRDefault="00A45C29">
      <w:pPr>
        <w:spacing w:line="360" w:lineRule="auto"/>
        <w:jc w:val="both"/>
      </w:pPr>
      <w:proofErr w:type="spellStart"/>
      <w:r w:rsidRPr="00A45C29">
        <w:rPr>
          <w:rFonts w:ascii="Times New Roman" w:eastAsia="Times New Roman" w:hAnsi="Times New Roman" w:cs="Times New Roman"/>
          <w:sz w:val="24"/>
          <w:szCs w:val="24"/>
        </w:rPr>
        <w:t>Ugwu</w:t>
      </w:r>
      <w:proofErr w:type="spellEnd"/>
      <w:r w:rsidRPr="00A45C29">
        <w:rPr>
          <w:rFonts w:ascii="Times New Roman" w:eastAsia="Times New Roman" w:hAnsi="Times New Roman" w:cs="Times New Roman"/>
          <w:sz w:val="24"/>
          <w:szCs w:val="24"/>
        </w:rPr>
        <w:t xml:space="preserve">, N. H., </w:t>
      </w:r>
      <w:proofErr w:type="spellStart"/>
      <w:r w:rsidRPr="00A45C29">
        <w:rPr>
          <w:rFonts w:ascii="Times New Roman" w:eastAsia="Times New Roman" w:hAnsi="Times New Roman" w:cs="Times New Roman"/>
          <w:sz w:val="24"/>
          <w:szCs w:val="24"/>
        </w:rPr>
        <w:t>Igwe</w:t>
      </w:r>
      <w:proofErr w:type="spellEnd"/>
      <w:r w:rsidRPr="00A45C29">
        <w:rPr>
          <w:rFonts w:ascii="Times New Roman" w:eastAsia="Times New Roman" w:hAnsi="Times New Roman" w:cs="Times New Roman"/>
          <w:sz w:val="24"/>
          <w:szCs w:val="24"/>
        </w:rPr>
        <w:t xml:space="preserve">, I., </w:t>
      </w:r>
      <w:proofErr w:type="spellStart"/>
      <w:r w:rsidRPr="00A45C29">
        <w:rPr>
          <w:rFonts w:ascii="Times New Roman" w:eastAsia="Times New Roman" w:hAnsi="Times New Roman" w:cs="Times New Roman"/>
          <w:sz w:val="24"/>
          <w:szCs w:val="24"/>
        </w:rPr>
        <w:t>Nwokeoma</w:t>
      </w:r>
      <w:proofErr w:type="spellEnd"/>
      <w:r w:rsidRPr="00A45C29">
        <w:rPr>
          <w:rFonts w:ascii="Times New Roman" w:eastAsia="Times New Roman" w:hAnsi="Times New Roman" w:cs="Times New Roman"/>
          <w:sz w:val="24"/>
          <w:szCs w:val="24"/>
        </w:rPr>
        <w:t xml:space="preserve">, B. N., </w:t>
      </w:r>
      <w:proofErr w:type="spellStart"/>
      <w:r w:rsidRPr="00A45C29">
        <w:rPr>
          <w:rFonts w:ascii="Times New Roman" w:eastAsia="Times New Roman" w:hAnsi="Times New Roman" w:cs="Times New Roman"/>
          <w:sz w:val="24"/>
          <w:szCs w:val="24"/>
        </w:rPr>
        <w:t>Ajuzie</w:t>
      </w:r>
      <w:proofErr w:type="spellEnd"/>
      <w:r w:rsidRPr="00A45C29">
        <w:rPr>
          <w:rFonts w:ascii="Times New Roman" w:eastAsia="Times New Roman" w:hAnsi="Times New Roman" w:cs="Times New Roman"/>
          <w:sz w:val="24"/>
          <w:szCs w:val="24"/>
        </w:rPr>
        <w:t xml:space="preserve">, H. D., </w:t>
      </w:r>
      <w:proofErr w:type="spellStart"/>
      <w:r w:rsidRPr="00A45C29">
        <w:rPr>
          <w:rFonts w:ascii="Times New Roman" w:eastAsia="Times New Roman" w:hAnsi="Times New Roman" w:cs="Times New Roman"/>
          <w:sz w:val="24"/>
          <w:szCs w:val="24"/>
        </w:rPr>
        <w:t>Iwuamadi</w:t>
      </w:r>
      <w:proofErr w:type="spellEnd"/>
      <w:r w:rsidRPr="00A45C29">
        <w:rPr>
          <w:rFonts w:ascii="Times New Roman" w:eastAsia="Times New Roman" w:hAnsi="Times New Roman" w:cs="Times New Roman"/>
          <w:sz w:val="24"/>
          <w:szCs w:val="24"/>
        </w:rPr>
        <w:t xml:space="preserve">, K. C., </w:t>
      </w:r>
      <w:proofErr w:type="spellStart"/>
      <w:r w:rsidRPr="00A45C29">
        <w:rPr>
          <w:rFonts w:ascii="Times New Roman" w:eastAsia="Times New Roman" w:hAnsi="Times New Roman" w:cs="Times New Roman"/>
          <w:sz w:val="24"/>
          <w:szCs w:val="24"/>
        </w:rPr>
        <w:t>Ezike</w:t>
      </w:r>
      <w:proofErr w:type="spellEnd"/>
      <w:r w:rsidRPr="00A45C29">
        <w:rPr>
          <w:rFonts w:ascii="Times New Roman" w:eastAsia="Times New Roman" w:hAnsi="Times New Roman" w:cs="Times New Roman"/>
          <w:sz w:val="24"/>
          <w:szCs w:val="24"/>
        </w:rPr>
        <w:t xml:space="preserve">, S. C., &amp; </w:t>
      </w:r>
      <w:proofErr w:type="spellStart"/>
      <w:r w:rsidRPr="00A45C29">
        <w:rPr>
          <w:rFonts w:ascii="Times New Roman" w:eastAsia="Times New Roman" w:hAnsi="Times New Roman" w:cs="Times New Roman"/>
          <w:sz w:val="24"/>
          <w:szCs w:val="24"/>
        </w:rPr>
        <w:t>Madukwe</w:t>
      </w:r>
      <w:proofErr w:type="spellEnd"/>
      <w:r w:rsidRPr="00A45C29">
        <w:rPr>
          <w:rFonts w:ascii="Times New Roman" w:eastAsia="Times New Roman" w:hAnsi="Times New Roman" w:cs="Times New Roman"/>
          <w:sz w:val="24"/>
          <w:szCs w:val="24"/>
        </w:rPr>
        <w:t xml:space="preserve">, C. I. (2022). Adolescents’ knowledge and use of sexual and reproductive health services in the Federal Capital Territory, Nigeria. African Journal of Reproductive Health, 26(6), 80-88. </w:t>
      </w:r>
      <w:hyperlink r:id="rId46" w:history="1">
        <w:r w:rsidRPr="008F3595">
          <w:rPr>
            <w:rStyle w:val="Hyperlink"/>
            <w:rFonts w:ascii="Times New Roman" w:eastAsia="Times New Roman" w:hAnsi="Times New Roman" w:cs="Times New Roman"/>
            <w:sz w:val="24"/>
            <w:szCs w:val="24"/>
          </w:rPr>
          <w:t>https://doi.org/10.29063/ajrh2022/v26i6.9</w:t>
        </w:r>
      </w:hyperlink>
    </w:p>
    <w:p w14:paraId="536BDC24" w14:textId="77777777" w:rsidR="00A45C29" w:rsidRPr="00A45C29" w:rsidRDefault="00A45C29">
      <w:pPr>
        <w:spacing w:line="360" w:lineRule="auto"/>
        <w:jc w:val="both"/>
        <w:rPr>
          <w:highlight w:val="white"/>
        </w:rPr>
      </w:pPr>
    </w:p>
    <w:p w14:paraId="20ECC55E" w14:textId="00E9CA16" w:rsidR="00101E6B" w:rsidRDefault="00A45C29">
      <w:pPr>
        <w:spacing w:line="360" w:lineRule="auto"/>
        <w:jc w:val="both"/>
      </w:pPr>
      <w:proofErr w:type="spellStart"/>
      <w:r w:rsidRPr="00A45C29">
        <w:rPr>
          <w:rFonts w:ascii="Times New Roman" w:eastAsia="Times New Roman" w:hAnsi="Times New Roman" w:cs="Times New Roman"/>
          <w:sz w:val="24"/>
          <w:szCs w:val="24"/>
        </w:rPr>
        <w:lastRenderedPageBreak/>
        <w:t>Uka</w:t>
      </w:r>
      <w:proofErr w:type="spellEnd"/>
      <w:r w:rsidRPr="00A45C29">
        <w:rPr>
          <w:rFonts w:ascii="Times New Roman" w:eastAsia="Times New Roman" w:hAnsi="Times New Roman" w:cs="Times New Roman"/>
          <w:sz w:val="24"/>
          <w:szCs w:val="24"/>
        </w:rPr>
        <w:t xml:space="preserve">, V. K., White, H., &amp; Smith, D. M. (2024). The sexual and reproductive health needs and preferences of youths in sub-Saharan Africa: A meta-synthesis. </w:t>
      </w:r>
      <w:proofErr w:type="spellStart"/>
      <w:r w:rsidRPr="00A45C29">
        <w:rPr>
          <w:rFonts w:ascii="Times New Roman" w:eastAsia="Times New Roman" w:hAnsi="Times New Roman" w:cs="Times New Roman"/>
          <w:sz w:val="24"/>
          <w:szCs w:val="24"/>
        </w:rPr>
        <w:t>PloS</w:t>
      </w:r>
      <w:proofErr w:type="spellEnd"/>
      <w:r w:rsidRPr="00A45C29">
        <w:rPr>
          <w:rFonts w:ascii="Times New Roman" w:eastAsia="Times New Roman" w:hAnsi="Times New Roman" w:cs="Times New Roman"/>
          <w:sz w:val="24"/>
          <w:szCs w:val="24"/>
        </w:rPr>
        <w:t xml:space="preserve"> one, 19(12), e0300829. </w:t>
      </w:r>
      <w:hyperlink r:id="rId47" w:history="1">
        <w:r w:rsidRPr="008F3595">
          <w:rPr>
            <w:rStyle w:val="Hyperlink"/>
            <w:rFonts w:ascii="Times New Roman" w:eastAsia="Times New Roman" w:hAnsi="Times New Roman" w:cs="Times New Roman"/>
            <w:sz w:val="24"/>
            <w:szCs w:val="24"/>
          </w:rPr>
          <w:t>https://doi.org/10.1371/journal.pone.0300829</w:t>
        </w:r>
      </w:hyperlink>
    </w:p>
    <w:p w14:paraId="1C9024B6" w14:textId="77777777" w:rsidR="00A45C29" w:rsidRPr="00A45C29" w:rsidRDefault="00A45C29">
      <w:pPr>
        <w:spacing w:line="360" w:lineRule="auto"/>
        <w:jc w:val="both"/>
        <w:rPr>
          <w:highlight w:val="white"/>
        </w:rPr>
      </w:pPr>
    </w:p>
    <w:p w14:paraId="11F907AF" w14:textId="0FF5908C" w:rsidR="00101E6B" w:rsidRDefault="00A45C29">
      <w:pPr>
        <w:spacing w:line="360" w:lineRule="auto"/>
        <w:jc w:val="both"/>
      </w:pPr>
      <w:r w:rsidRPr="00A45C29">
        <w:rPr>
          <w:rFonts w:ascii="Times New Roman" w:eastAsia="Times New Roman" w:hAnsi="Times New Roman" w:cs="Times New Roman"/>
          <w:sz w:val="24"/>
          <w:szCs w:val="24"/>
        </w:rPr>
        <w:t xml:space="preserve">UNESCO. (2025). Comprehensive sexuality education: For healthy, informed and empowered learners. </w:t>
      </w:r>
      <w:hyperlink r:id="rId48" w:history="1">
        <w:r w:rsidRPr="008F3595">
          <w:rPr>
            <w:rStyle w:val="Hyperlink"/>
            <w:rFonts w:ascii="Times New Roman" w:eastAsia="Times New Roman" w:hAnsi="Times New Roman" w:cs="Times New Roman"/>
            <w:sz w:val="24"/>
            <w:szCs w:val="24"/>
          </w:rPr>
          <w:t>https://www.unesco.org/en/health-education/cse</w:t>
        </w:r>
      </w:hyperlink>
    </w:p>
    <w:p w14:paraId="75CD611A" w14:textId="77777777" w:rsidR="00A45C29" w:rsidRPr="00A45C29" w:rsidRDefault="00A45C29">
      <w:pPr>
        <w:spacing w:line="360" w:lineRule="auto"/>
        <w:jc w:val="both"/>
        <w:rPr>
          <w:highlight w:val="white"/>
        </w:rPr>
      </w:pPr>
    </w:p>
    <w:p w14:paraId="72A19365" w14:textId="1B8EAE9A" w:rsidR="00101E6B" w:rsidRDefault="00A45C29">
      <w:pPr>
        <w:spacing w:line="360" w:lineRule="auto"/>
        <w:jc w:val="both"/>
      </w:pPr>
      <w:r w:rsidRPr="00A45C29">
        <w:t xml:space="preserve">United Nations Population Fund (UNFPA). (2022a, December 21). Strengthening resilience for sexual and reproductive health in West and Central Africa. </w:t>
      </w:r>
      <w:hyperlink r:id="rId49" w:history="1">
        <w:r w:rsidRPr="008F3595">
          <w:rPr>
            <w:rStyle w:val="Hyperlink"/>
          </w:rPr>
          <w:t>https://wcaro.unfpa.org/en/publications/strengthening-resilience-sexual-and-reproductive-health-west-and-central-africa</w:t>
        </w:r>
      </w:hyperlink>
    </w:p>
    <w:p w14:paraId="1FE20DF6" w14:textId="77777777" w:rsidR="00A45C29" w:rsidRPr="00A45C29" w:rsidRDefault="00A45C29">
      <w:pPr>
        <w:spacing w:line="360" w:lineRule="auto"/>
        <w:jc w:val="both"/>
        <w:rPr>
          <w:highlight w:val="white"/>
        </w:rPr>
      </w:pPr>
    </w:p>
    <w:p w14:paraId="18780C49" w14:textId="6D45785F" w:rsidR="00101E6B" w:rsidRDefault="00A45C29">
      <w:pPr>
        <w:spacing w:line="360" w:lineRule="auto"/>
        <w:jc w:val="both"/>
      </w:pPr>
      <w:r w:rsidRPr="00A45C29">
        <w:rPr>
          <w:rFonts w:ascii="Times New Roman" w:eastAsia="Times New Roman" w:hAnsi="Times New Roman" w:cs="Times New Roman"/>
          <w:sz w:val="24"/>
          <w:szCs w:val="24"/>
        </w:rPr>
        <w:t xml:space="preserve">United Nations Population Fund. (2022). My Body, My Life, My World Operational Guidance. Module 1: Adolescent Sexual and Reproductive Health and Rights. </w:t>
      </w:r>
      <w:hyperlink r:id="rId50" w:history="1">
        <w:r w:rsidRPr="008F3595">
          <w:rPr>
            <w:rStyle w:val="Hyperlink"/>
            <w:rFonts w:ascii="Times New Roman" w:eastAsia="Times New Roman" w:hAnsi="Times New Roman" w:cs="Times New Roman"/>
            <w:sz w:val="24"/>
            <w:szCs w:val="24"/>
          </w:rPr>
          <w:t>https://www.unfpa.org/sites/default/files/resource-pdf/UNFPA-MBMLMW_MOD1-EN.pdf</w:t>
        </w:r>
      </w:hyperlink>
    </w:p>
    <w:p w14:paraId="05F297B1" w14:textId="77777777" w:rsidR="00A45C29" w:rsidRPr="00A45C29" w:rsidRDefault="00A45C29">
      <w:pPr>
        <w:spacing w:line="360" w:lineRule="auto"/>
        <w:jc w:val="both"/>
        <w:rPr>
          <w:highlight w:val="white"/>
        </w:rPr>
      </w:pPr>
    </w:p>
    <w:p w14:paraId="3F80522A" w14:textId="05E1B2ED" w:rsidR="00101E6B" w:rsidRDefault="00A45C29">
      <w:pPr>
        <w:spacing w:line="360" w:lineRule="auto"/>
        <w:jc w:val="both"/>
      </w:pPr>
      <w:r w:rsidRPr="00A45C29">
        <w:rPr>
          <w:rFonts w:ascii="Times New Roman" w:eastAsia="Times New Roman" w:hAnsi="Times New Roman" w:cs="Times New Roman"/>
          <w:sz w:val="24"/>
          <w:szCs w:val="24"/>
        </w:rPr>
        <w:t xml:space="preserve">United Nations Population Fund (UNFPA) West and Central Africa. (2020). Adolescent and youth sexual and reproductive health and rights services: Key elements for implementation and scaling up in West and Central Africa. UNFPA WCARO. </w:t>
      </w:r>
      <w:hyperlink r:id="rId51" w:history="1">
        <w:r w:rsidRPr="008F3595">
          <w:rPr>
            <w:rStyle w:val="Hyperlink"/>
            <w:rFonts w:ascii="Times New Roman" w:eastAsia="Times New Roman" w:hAnsi="Times New Roman" w:cs="Times New Roman"/>
            <w:sz w:val="24"/>
            <w:szCs w:val="24"/>
          </w:rPr>
          <w:t>https://wcaro.unfpa.org/sites/default/files/pub-pdf/EN-UNFPA-WCARO-MUSKOKA-AYSRHR-Brochure-WEB-1.pdf</w:t>
        </w:r>
      </w:hyperlink>
    </w:p>
    <w:p w14:paraId="6A45E669" w14:textId="77777777" w:rsidR="00A45C29" w:rsidRPr="00A45C29" w:rsidRDefault="00A45C29">
      <w:pPr>
        <w:spacing w:line="360" w:lineRule="auto"/>
        <w:jc w:val="both"/>
        <w:rPr>
          <w:highlight w:val="white"/>
        </w:rPr>
      </w:pPr>
    </w:p>
    <w:p w14:paraId="38DCE2E2" w14:textId="77777777" w:rsidR="00101E6B" w:rsidRDefault="006149C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University of London. (2025, December 7). Literature searching and finding evidence.</w:t>
      </w:r>
      <w:hyperlink r:id="rId52">
        <w:r>
          <w:rPr>
            <w:rFonts w:ascii="Times New Roman" w:eastAsia="Times New Roman" w:hAnsi="Times New Roman" w:cs="Times New Roman"/>
            <w:sz w:val="24"/>
            <w:szCs w:val="24"/>
            <w:highlight w:val="white"/>
          </w:rPr>
          <w:t xml:space="preserve"> </w:t>
        </w:r>
      </w:hyperlink>
      <w:hyperlink r:id="rId53">
        <w:r>
          <w:rPr>
            <w:rFonts w:ascii="Times New Roman" w:eastAsia="Times New Roman" w:hAnsi="Times New Roman" w:cs="Times New Roman"/>
            <w:sz w:val="24"/>
            <w:szCs w:val="24"/>
            <w:highlight w:val="white"/>
            <w:u w:val="single"/>
          </w:rPr>
          <w:t>https://libguides.citystgeorges.ac.uk/SHS-Litsearchguide/frameworks</w:t>
        </w:r>
      </w:hyperlink>
    </w:p>
    <w:p w14:paraId="0CF8D8D6" w14:textId="77777777" w:rsidR="00101E6B" w:rsidRDefault="00101E6B">
      <w:pPr>
        <w:spacing w:line="360" w:lineRule="auto"/>
        <w:jc w:val="both"/>
        <w:rPr>
          <w:rFonts w:ascii="Times New Roman" w:eastAsia="Times New Roman" w:hAnsi="Times New Roman" w:cs="Times New Roman"/>
          <w:sz w:val="24"/>
          <w:szCs w:val="24"/>
          <w:highlight w:val="white"/>
        </w:rPr>
      </w:pPr>
    </w:p>
    <w:p w14:paraId="314D5E0A" w14:textId="684D2EAB" w:rsidR="00101E6B" w:rsidRDefault="00A45C29">
      <w:pPr>
        <w:spacing w:line="360" w:lineRule="auto"/>
        <w:jc w:val="both"/>
      </w:pPr>
      <w:proofErr w:type="spellStart"/>
      <w:r w:rsidRPr="00A45C29">
        <w:rPr>
          <w:rFonts w:ascii="Times New Roman" w:eastAsia="Times New Roman" w:hAnsi="Times New Roman" w:cs="Times New Roman"/>
          <w:sz w:val="24"/>
          <w:szCs w:val="24"/>
        </w:rPr>
        <w:t>Wahyuningsih</w:t>
      </w:r>
      <w:proofErr w:type="spellEnd"/>
      <w:r w:rsidRPr="00A45C29">
        <w:rPr>
          <w:rFonts w:ascii="Times New Roman" w:eastAsia="Times New Roman" w:hAnsi="Times New Roman" w:cs="Times New Roman"/>
          <w:sz w:val="24"/>
          <w:szCs w:val="24"/>
        </w:rPr>
        <w:t xml:space="preserve">, S., </w:t>
      </w:r>
      <w:proofErr w:type="spellStart"/>
      <w:r w:rsidRPr="00A45C29">
        <w:rPr>
          <w:rFonts w:ascii="Times New Roman" w:eastAsia="Times New Roman" w:hAnsi="Times New Roman" w:cs="Times New Roman"/>
          <w:sz w:val="24"/>
          <w:szCs w:val="24"/>
        </w:rPr>
        <w:t>Widati</w:t>
      </w:r>
      <w:proofErr w:type="spellEnd"/>
      <w:r w:rsidRPr="00A45C29">
        <w:rPr>
          <w:rFonts w:ascii="Times New Roman" w:eastAsia="Times New Roman" w:hAnsi="Times New Roman" w:cs="Times New Roman"/>
          <w:sz w:val="24"/>
          <w:szCs w:val="24"/>
        </w:rPr>
        <w:t xml:space="preserve">, S., </w:t>
      </w:r>
      <w:proofErr w:type="spellStart"/>
      <w:r w:rsidRPr="00A45C29">
        <w:rPr>
          <w:rFonts w:ascii="Times New Roman" w:eastAsia="Times New Roman" w:hAnsi="Times New Roman" w:cs="Times New Roman"/>
          <w:sz w:val="24"/>
          <w:szCs w:val="24"/>
        </w:rPr>
        <w:t>Praveena</w:t>
      </w:r>
      <w:proofErr w:type="spellEnd"/>
      <w:r w:rsidRPr="00A45C29">
        <w:rPr>
          <w:rFonts w:ascii="Times New Roman" w:eastAsia="Times New Roman" w:hAnsi="Times New Roman" w:cs="Times New Roman"/>
          <w:sz w:val="24"/>
          <w:szCs w:val="24"/>
        </w:rPr>
        <w:t xml:space="preserve">, S. M., &amp; </w:t>
      </w:r>
      <w:proofErr w:type="spellStart"/>
      <w:r w:rsidRPr="00A45C29">
        <w:rPr>
          <w:rFonts w:ascii="Times New Roman" w:eastAsia="Times New Roman" w:hAnsi="Times New Roman" w:cs="Times New Roman"/>
          <w:sz w:val="24"/>
          <w:szCs w:val="24"/>
        </w:rPr>
        <w:t>Azkiya</w:t>
      </w:r>
      <w:proofErr w:type="spellEnd"/>
      <w:r w:rsidRPr="00A45C29">
        <w:rPr>
          <w:rFonts w:ascii="Times New Roman" w:eastAsia="Times New Roman" w:hAnsi="Times New Roman" w:cs="Times New Roman"/>
          <w:sz w:val="24"/>
          <w:szCs w:val="24"/>
        </w:rPr>
        <w:t xml:space="preserve">, M. W. (2024). Unveiling barriers to reproductive health awareness among rural adolescents: a systematic review. Frontiers in Reproductive Health, 6, 1444111. </w:t>
      </w:r>
      <w:hyperlink r:id="rId54" w:history="1">
        <w:r w:rsidRPr="008F3595">
          <w:rPr>
            <w:rStyle w:val="Hyperlink"/>
            <w:rFonts w:ascii="Times New Roman" w:eastAsia="Times New Roman" w:hAnsi="Times New Roman" w:cs="Times New Roman"/>
            <w:sz w:val="24"/>
            <w:szCs w:val="24"/>
          </w:rPr>
          <w:t>https://doi.org/10.3389/frph.2024.1444111</w:t>
        </w:r>
      </w:hyperlink>
    </w:p>
    <w:p w14:paraId="39DF56EC" w14:textId="77777777" w:rsidR="00A45C29" w:rsidRPr="00A45C29" w:rsidRDefault="00A45C29">
      <w:pPr>
        <w:spacing w:line="360" w:lineRule="auto"/>
        <w:jc w:val="both"/>
        <w:rPr>
          <w:highlight w:val="white"/>
        </w:rPr>
      </w:pPr>
    </w:p>
    <w:p w14:paraId="1A9AC3BA" w14:textId="5D7F7745" w:rsidR="00A45C29" w:rsidRPr="00A45C29" w:rsidRDefault="00A45C29">
      <w:pPr>
        <w:spacing w:line="360" w:lineRule="auto"/>
        <w:jc w:val="both"/>
        <w:rPr>
          <w:highlight w:val="white"/>
        </w:rPr>
      </w:pPr>
      <w:r w:rsidRPr="00A45C29">
        <w:rPr>
          <w:rFonts w:ascii="Times New Roman" w:eastAsia="Times New Roman" w:hAnsi="Times New Roman" w:cs="Times New Roman"/>
          <w:sz w:val="24"/>
          <w:szCs w:val="24"/>
        </w:rPr>
        <w:t xml:space="preserve">World Health Organization, Regional Office for Africa. (n.d.). Sexual and reproductive health fact sheet. </w:t>
      </w:r>
      <w:hyperlink r:id="rId55" w:history="1">
        <w:r w:rsidRPr="008F3595">
          <w:rPr>
            <w:rStyle w:val="Hyperlink"/>
            <w:rFonts w:ascii="Times New Roman" w:eastAsia="Times New Roman" w:hAnsi="Times New Roman" w:cs="Times New Roman"/>
            <w:sz w:val="24"/>
            <w:szCs w:val="24"/>
          </w:rPr>
          <w:t>https://www.afro.who.int/publications/sexual-and-reproductive-health-fact-sheet</w:t>
        </w:r>
      </w:hyperlink>
      <w:r>
        <w:rPr>
          <w:rFonts w:ascii="Times New Roman" w:eastAsia="Times New Roman" w:hAnsi="Times New Roman" w:cs="Times New Roman"/>
          <w:sz w:val="24"/>
          <w:szCs w:val="24"/>
        </w:rPr>
        <w:t xml:space="preserve"> </w:t>
      </w:r>
    </w:p>
    <w:p w14:paraId="745D755C" w14:textId="271910C0" w:rsidR="00101E6B" w:rsidRDefault="00A45C29">
      <w:pPr>
        <w:spacing w:line="360" w:lineRule="auto"/>
        <w:jc w:val="both"/>
        <w:rPr>
          <w:rFonts w:ascii="Times New Roman" w:eastAsia="Times New Roman" w:hAnsi="Times New Roman" w:cs="Times New Roman"/>
          <w:sz w:val="24"/>
          <w:szCs w:val="24"/>
          <w:highlight w:val="white"/>
        </w:rPr>
      </w:pPr>
      <w:r w:rsidRPr="00A45C29">
        <w:rPr>
          <w:rFonts w:ascii="Times New Roman" w:eastAsia="Times New Roman" w:hAnsi="Times New Roman" w:cs="Times New Roman"/>
          <w:sz w:val="24"/>
          <w:szCs w:val="24"/>
        </w:rPr>
        <w:lastRenderedPageBreak/>
        <w:t xml:space="preserve">World Health Organization Regional Office for Africa. (2020). Sexual and reproductive health – Fact sheet. </w:t>
      </w:r>
      <w:hyperlink r:id="rId56" w:history="1">
        <w:r w:rsidRPr="008F3595">
          <w:rPr>
            <w:rStyle w:val="Hyperlink"/>
            <w:rFonts w:ascii="Times New Roman" w:eastAsia="Times New Roman" w:hAnsi="Times New Roman" w:cs="Times New Roman"/>
            <w:sz w:val="24"/>
            <w:szCs w:val="24"/>
          </w:rPr>
          <w:t>https://www.afro.who.int/sites/default/files/2020-06/Sexual%20and%20reproductive%20health-%20Fact%20sheet%2028-05-2020.pdf</w:t>
        </w:r>
      </w:hyperlink>
      <w:r>
        <w:rPr>
          <w:rFonts w:ascii="Times New Roman" w:eastAsia="Times New Roman" w:hAnsi="Times New Roman" w:cs="Times New Roman"/>
          <w:sz w:val="24"/>
          <w:szCs w:val="24"/>
        </w:rPr>
        <w:t xml:space="preserve"> </w:t>
      </w:r>
    </w:p>
    <w:p w14:paraId="14F7FD10" w14:textId="518A3220" w:rsidR="00101E6B" w:rsidRDefault="00A45C29">
      <w:pPr>
        <w:spacing w:before="240" w:after="240" w:line="360" w:lineRule="auto"/>
      </w:pPr>
      <w:r w:rsidRPr="00A45C29">
        <w:rPr>
          <w:rFonts w:ascii="Times New Roman" w:eastAsia="Times New Roman" w:hAnsi="Times New Roman" w:cs="Times New Roman"/>
          <w:sz w:val="24"/>
          <w:szCs w:val="24"/>
        </w:rPr>
        <w:t xml:space="preserve">Zielinski, R., </w:t>
      </w:r>
      <w:proofErr w:type="spellStart"/>
      <w:r w:rsidRPr="00A45C29">
        <w:rPr>
          <w:rFonts w:ascii="Times New Roman" w:eastAsia="Times New Roman" w:hAnsi="Times New Roman" w:cs="Times New Roman"/>
          <w:sz w:val="24"/>
          <w:szCs w:val="24"/>
        </w:rPr>
        <w:t>Abdelnabi</w:t>
      </w:r>
      <w:proofErr w:type="spellEnd"/>
      <w:r w:rsidRPr="00A45C29">
        <w:rPr>
          <w:rFonts w:ascii="Times New Roman" w:eastAsia="Times New Roman" w:hAnsi="Times New Roman" w:cs="Times New Roman"/>
          <w:sz w:val="24"/>
          <w:szCs w:val="24"/>
        </w:rPr>
        <w:t xml:space="preserve">, S., </w:t>
      </w:r>
      <w:proofErr w:type="spellStart"/>
      <w:r w:rsidRPr="00A45C29">
        <w:rPr>
          <w:rFonts w:ascii="Times New Roman" w:eastAsia="Times New Roman" w:hAnsi="Times New Roman" w:cs="Times New Roman"/>
          <w:sz w:val="24"/>
          <w:szCs w:val="24"/>
        </w:rPr>
        <w:t>Amankwah</w:t>
      </w:r>
      <w:proofErr w:type="spellEnd"/>
      <w:r w:rsidRPr="00A45C29">
        <w:rPr>
          <w:rFonts w:ascii="Times New Roman" w:eastAsia="Times New Roman" w:hAnsi="Times New Roman" w:cs="Times New Roman"/>
          <w:sz w:val="24"/>
          <w:szCs w:val="24"/>
        </w:rPr>
        <w:t xml:space="preserve">, G., </w:t>
      </w:r>
      <w:proofErr w:type="spellStart"/>
      <w:r w:rsidRPr="00A45C29">
        <w:rPr>
          <w:rFonts w:ascii="Times New Roman" w:eastAsia="Times New Roman" w:hAnsi="Times New Roman" w:cs="Times New Roman"/>
          <w:sz w:val="24"/>
          <w:szCs w:val="24"/>
        </w:rPr>
        <w:t>Kukula</w:t>
      </w:r>
      <w:proofErr w:type="spellEnd"/>
      <w:r w:rsidRPr="00A45C29">
        <w:rPr>
          <w:rFonts w:ascii="Times New Roman" w:eastAsia="Times New Roman" w:hAnsi="Times New Roman" w:cs="Times New Roman"/>
          <w:sz w:val="24"/>
          <w:szCs w:val="24"/>
        </w:rPr>
        <w:t xml:space="preserve">, V. A., </w:t>
      </w:r>
      <w:proofErr w:type="spellStart"/>
      <w:r w:rsidRPr="00A45C29">
        <w:rPr>
          <w:rFonts w:ascii="Times New Roman" w:eastAsia="Times New Roman" w:hAnsi="Times New Roman" w:cs="Times New Roman"/>
          <w:sz w:val="24"/>
          <w:szCs w:val="24"/>
        </w:rPr>
        <w:t>Apetorgbor</w:t>
      </w:r>
      <w:proofErr w:type="spellEnd"/>
      <w:r w:rsidRPr="00A45C29">
        <w:rPr>
          <w:rFonts w:ascii="Times New Roman" w:eastAsia="Times New Roman" w:hAnsi="Times New Roman" w:cs="Times New Roman"/>
          <w:sz w:val="24"/>
          <w:szCs w:val="24"/>
        </w:rPr>
        <w:t xml:space="preserve">, V., </w:t>
      </w:r>
      <w:proofErr w:type="spellStart"/>
      <w:r w:rsidRPr="00A45C29">
        <w:rPr>
          <w:rFonts w:ascii="Times New Roman" w:eastAsia="Times New Roman" w:hAnsi="Times New Roman" w:cs="Times New Roman"/>
          <w:sz w:val="24"/>
          <w:szCs w:val="24"/>
        </w:rPr>
        <w:t>Awini</w:t>
      </w:r>
      <w:proofErr w:type="spellEnd"/>
      <w:r w:rsidRPr="00A45C29">
        <w:rPr>
          <w:rFonts w:ascii="Times New Roman" w:eastAsia="Times New Roman" w:hAnsi="Times New Roman" w:cs="Times New Roman"/>
          <w:sz w:val="24"/>
          <w:szCs w:val="24"/>
        </w:rPr>
        <w:t xml:space="preserve">, E., Williams, J., Moyer, C., Ghosh, B., &amp; Lori, J. R. (2024). Knowledge, Acceptance, and Uptake of Family Planning: A Cluster Randomized Controlled Trial of Group Antenatal Care in Ghana. International Journal of Environmental Research and Public Health, 21(8), 1025. </w:t>
      </w:r>
      <w:hyperlink r:id="rId57" w:history="1">
        <w:r w:rsidRPr="008F3595">
          <w:rPr>
            <w:rStyle w:val="Hyperlink"/>
            <w:rFonts w:ascii="Times New Roman" w:eastAsia="Times New Roman" w:hAnsi="Times New Roman" w:cs="Times New Roman"/>
            <w:sz w:val="24"/>
            <w:szCs w:val="24"/>
          </w:rPr>
          <w:t>https://doi.org/10.3390/ijerph21081025</w:t>
        </w:r>
      </w:hyperlink>
    </w:p>
    <w:p w14:paraId="61EEA82E" w14:textId="77777777" w:rsidR="00A45C29" w:rsidRPr="00A45C29" w:rsidRDefault="00A45C29">
      <w:pPr>
        <w:spacing w:before="240" w:after="240" w:line="360" w:lineRule="auto"/>
        <w:rPr>
          <w:highlight w:val="white"/>
        </w:rPr>
      </w:pPr>
    </w:p>
    <w:p w14:paraId="08B4091C" w14:textId="77777777" w:rsidR="00101E6B" w:rsidRDefault="00101E6B">
      <w:pPr>
        <w:rPr>
          <w:rFonts w:ascii="Times New Roman" w:eastAsia="Times New Roman" w:hAnsi="Times New Roman" w:cs="Times New Roman"/>
          <w:b/>
          <w:bCs/>
          <w:sz w:val="32"/>
          <w:szCs w:val="32"/>
          <w:highlight w:val="white"/>
        </w:rPr>
      </w:pPr>
    </w:p>
    <w:p w14:paraId="7DCE36C8" w14:textId="77777777" w:rsidR="00101E6B" w:rsidRDefault="00101E6B">
      <w:pPr>
        <w:rPr>
          <w:rFonts w:ascii="Times New Roman" w:eastAsia="Times New Roman" w:hAnsi="Times New Roman" w:cs="Times New Roman"/>
          <w:b/>
          <w:bCs/>
          <w:sz w:val="32"/>
          <w:szCs w:val="32"/>
          <w:highlight w:val="white"/>
        </w:rPr>
      </w:pPr>
    </w:p>
    <w:sectPr w:rsidR="00101E6B">
      <w:headerReference w:type="even" r:id="rId58"/>
      <w:headerReference w:type="default" r:id="rId59"/>
      <w:footerReference w:type="even" r:id="rId60"/>
      <w:footerReference w:type="default" r:id="rId61"/>
      <w:headerReference w:type="first" r:id="rId62"/>
      <w:footerReference w:type="first" r:id="rId6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8D374" w14:textId="77777777" w:rsidR="00192E17" w:rsidRDefault="00192E17" w:rsidP="00EA41AA">
      <w:pPr>
        <w:spacing w:line="240" w:lineRule="auto"/>
      </w:pPr>
      <w:r>
        <w:separator/>
      </w:r>
    </w:p>
  </w:endnote>
  <w:endnote w:type="continuationSeparator" w:id="0">
    <w:p w14:paraId="1F58257F" w14:textId="77777777" w:rsidR="00192E17" w:rsidRDefault="00192E17" w:rsidP="00EA41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Bold r:id="rId1" w:fontKey="{25CD965C-04AB-44D3-9C50-3E77A7AF3D38}"/>
  </w:font>
  <w:font w:name="Calibri">
    <w:panose1 w:val="020F0502020204030204"/>
    <w:charset w:val="00"/>
    <w:family w:val="swiss"/>
    <w:pitch w:val="variable"/>
    <w:sig w:usb0="E4002EFF" w:usb1="C000247B" w:usb2="00000009" w:usb3="00000000" w:csb0="000001FF" w:csb1="00000000"/>
    <w:embedRegular r:id="rId2" w:fontKey="{1C4BCE84-3EAF-4D8E-BC0A-3548468220B4}"/>
  </w:font>
  <w:font w:name="Vrinda">
    <w:panose1 w:val="00000400000000000000"/>
    <w:charset w:val="00"/>
    <w:family w:val="swiss"/>
    <w:pitch w:val="variable"/>
    <w:sig w:usb0="00010003" w:usb1="00000000" w:usb2="00000000" w:usb3="00000000" w:csb0="00000001" w:csb1="00000000"/>
    <w:embedRegular r:id="rId3" w:fontKey="{933C6FF3-C3F6-422E-80C1-93B0B3316BEC}"/>
  </w:font>
  <w:font w:name="Cambria">
    <w:panose1 w:val="02040503050406030204"/>
    <w:charset w:val="00"/>
    <w:family w:val="roman"/>
    <w:pitch w:val="variable"/>
    <w:sig w:usb0="E00006FF" w:usb1="420024FF" w:usb2="02000000" w:usb3="00000000" w:csb0="0000019F" w:csb1="00000000"/>
    <w:embedRegular r:id="rId4" w:fontKey="{60F5CB45-48CF-49CF-9A66-31AC1E9554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5AB7A" w14:textId="77777777" w:rsidR="00EA41AA" w:rsidRDefault="00EA41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701A4" w14:textId="77777777" w:rsidR="00EA41AA" w:rsidRDefault="00EA41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91CAE" w14:textId="77777777" w:rsidR="00EA41AA" w:rsidRDefault="00EA41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D9F33A" w14:textId="77777777" w:rsidR="00192E17" w:rsidRDefault="00192E17" w:rsidP="00EA41AA">
      <w:pPr>
        <w:spacing w:line="240" w:lineRule="auto"/>
      </w:pPr>
      <w:r>
        <w:separator/>
      </w:r>
    </w:p>
  </w:footnote>
  <w:footnote w:type="continuationSeparator" w:id="0">
    <w:p w14:paraId="0A41DB18" w14:textId="77777777" w:rsidR="00192E17" w:rsidRDefault="00192E17" w:rsidP="00EA41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35E5F" w14:textId="76A6A3DE" w:rsidR="00EA41AA" w:rsidRDefault="00EA41AA">
    <w:pPr>
      <w:pStyle w:val="Header"/>
    </w:pPr>
    <w:r>
      <w:rPr>
        <w:noProof/>
      </w:rPr>
      <w:pict w14:anchorId="44CFE5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581641"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D363F" w14:textId="73045446" w:rsidR="00EA41AA" w:rsidRDefault="00EA41AA">
    <w:pPr>
      <w:pStyle w:val="Header"/>
    </w:pPr>
    <w:r>
      <w:rPr>
        <w:noProof/>
      </w:rPr>
      <w:pict w14:anchorId="1B1AED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581642"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423E7" w14:textId="5F0A1677" w:rsidR="00EA41AA" w:rsidRDefault="00EA41AA">
    <w:pPr>
      <w:pStyle w:val="Header"/>
    </w:pPr>
    <w:r>
      <w:rPr>
        <w:noProof/>
      </w:rPr>
      <w:pict w14:anchorId="6BEC30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581640"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A26E0"/>
    <w:multiLevelType w:val="multilevel"/>
    <w:tmpl w:val="3A842D7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79F67E7"/>
    <w:multiLevelType w:val="multilevel"/>
    <w:tmpl w:val="AEA0DF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0626D4C"/>
    <w:multiLevelType w:val="multilevel"/>
    <w:tmpl w:val="80FE12C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E6B"/>
    <w:rsid w:val="000656C6"/>
    <w:rsid w:val="00101E6B"/>
    <w:rsid w:val="00192E17"/>
    <w:rsid w:val="00234BF1"/>
    <w:rsid w:val="00266F24"/>
    <w:rsid w:val="004475ED"/>
    <w:rsid w:val="006149C7"/>
    <w:rsid w:val="006A473D"/>
    <w:rsid w:val="00932E1E"/>
    <w:rsid w:val="009D31AF"/>
    <w:rsid w:val="00A45C29"/>
    <w:rsid w:val="00EA41AA"/>
  </w:rsids>
  <m:mathPr>
    <m:mathFont m:val="Cambria Math"/>
    <m:brkBin m:val="before"/>
    <m:brkBinSub m:val="--"/>
    <m:smallFrac m:val="0"/>
    <m:dispDef/>
    <m:lMargin m:val="0"/>
    <m:rMargin m:val="0"/>
    <m:defJc m:val="centerGroup"/>
    <m:wrapIndent m:val="1440"/>
    <m:intLim m:val="subSup"/>
    <m:naryLim m:val="undOvr"/>
  </m:mathPr>
  <w:themeFontLang w:val="en-GB"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9554FB"/>
  <w15:docId w15:val="{E30EEB3E-5623-49D8-A68F-D2CA8CFED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Pr>
  </w:style>
  <w:style w:type="table" w:customStyle="1" w:styleId="a4">
    <w:basedOn w:val="TableNormal2"/>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5">
    <w:basedOn w:val="TableNormal2"/>
    <w:tblPr>
      <w:tblStyleRowBandSize w:val="1"/>
      <w:tblStyleColBandSize w:val="1"/>
    </w:tblPr>
  </w:style>
  <w:style w:type="table" w:customStyle="1" w:styleId="a6">
    <w:basedOn w:val="TableNormal2"/>
    <w:tblPr>
      <w:tblStyleRowBandSize w:val="1"/>
      <w:tblStyleColBandSize w:val="1"/>
    </w:tblPr>
  </w:style>
  <w:style w:type="table" w:customStyle="1" w:styleId="a7">
    <w:basedOn w:val="TableNormal2"/>
    <w:tblPr>
      <w:tblStyleRowBandSize w:val="1"/>
      <w:tblStyleColBandSize w:val="1"/>
    </w:tblPr>
  </w:style>
  <w:style w:type="character" w:styleId="Hyperlink">
    <w:name w:val="Hyperlink"/>
    <w:basedOn w:val="DefaultParagraphFont"/>
    <w:uiPriority w:val="99"/>
    <w:unhideWhenUsed/>
    <w:rsid w:val="00266F24"/>
    <w:rPr>
      <w:color w:val="0000FF" w:themeColor="hyperlink"/>
      <w:u w:val="single"/>
    </w:rPr>
  </w:style>
  <w:style w:type="character" w:styleId="UnresolvedMention">
    <w:name w:val="Unresolved Mention"/>
    <w:basedOn w:val="DefaultParagraphFont"/>
    <w:uiPriority w:val="99"/>
    <w:semiHidden/>
    <w:unhideWhenUsed/>
    <w:rsid w:val="00266F24"/>
    <w:rPr>
      <w:color w:val="605E5C"/>
      <w:shd w:val="clear" w:color="auto" w:fill="E1DFDD"/>
    </w:rPr>
  </w:style>
  <w:style w:type="paragraph" w:styleId="ListParagraph">
    <w:name w:val="List Paragraph"/>
    <w:basedOn w:val="Normal"/>
    <w:uiPriority w:val="34"/>
    <w:qFormat/>
    <w:rsid w:val="006149C7"/>
    <w:pPr>
      <w:ind w:left="720"/>
      <w:contextualSpacing/>
    </w:pPr>
  </w:style>
  <w:style w:type="paragraph" w:styleId="Header">
    <w:name w:val="header"/>
    <w:basedOn w:val="Normal"/>
    <w:link w:val="HeaderChar"/>
    <w:uiPriority w:val="99"/>
    <w:unhideWhenUsed/>
    <w:rsid w:val="00EA41AA"/>
    <w:pPr>
      <w:tabs>
        <w:tab w:val="center" w:pos="4680"/>
        <w:tab w:val="right" w:pos="9360"/>
      </w:tabs>
      <w:spacing w:line="240" w:lineRule="auto"/>
    </w:pPr>
  </w:style>
  <w:style w:type="character" w:customStyle="1" w:styleId="HeaderChar">
    <w:name w:val="Header Char"/>
    <w:basedOn w:val="DefaultParagraphFont"/>
    <w:link w:val="Header"/>
    <w:uiPriority w:val="99"/>
    <w:rsid w:val="00EA41AA"/>
  </w:style>
  <w:style w:type="paragraph" w:styleId="Footer">
    <w:name w:val="footer"/>
    <w:basedOn w:val="Normal"/>
    <w:link w:val="FooterChar"/>
    <w:uiPriority w:val="99"/>
    <w:unhideWhenUsed/>
    <w:rsid w:val="00EA41AA"/>
    <w:pPr>
      <w:tabs>
        <w:tab w:val="center" w:pos="4680"/>
        <w:tab w:val="right" w:pos="9360"/>
      </w:tabs>
      <w:spacing w:line="240" w:lineRule="auto"/>
    </w:pPr>
  </w:style>
  <w:style w:type="character" w:customStyle="1" w:styleId="FooterChar">
    <w:name w:val="Footer Char"/>
    <w:basedOn w:val="DefaultParagraphFont"/>
    <w:link w:val="Footer"/>
    <w:uiPriority w:val="99"/>
    <w:rsid w:val="00EA41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186/s12889-022-14855-6" TargetMode="External"/><Relationship Id="rId21" Type="http://schemas.openxmlformats.org/officeDocument/2006/relationships/hyperlink" Target="https://doi.org/10.2196/51278" TargetMode="External"/><Relationship Id="rId34" Type="http://schemas.openxmlformats.org/officeDocument/2006/relationships/hyperlink" Target="https://doi.org/10.1186/s12889-025-25119-4" TargetMode="External"/><Relationship Id="rId42" Type="http://schemas.openxmlformats.org/officeDocument/2006/relationships/hyperlink" Target="https://doi.org/10.3389/frph.2024.1356969" TargetMode="External"/><Relationship Id="rId47" Type="http://schemas.openxmlformats.org/officeDocument/2006/relationships/hyperlink" Target="https://doi.org/10.1371/journal.pone.0300829" TargetMode="External"/><Relationship Id="rId50" Type="http://schemas.openxmlformats.org/officeDocument/2006/relationships/hyperlink" Target="https://www.unfpa.org/sites/default/files/resource-pdf/UNFPA-MBMLMW_MOD1-EN.pdf" TargetMode="External"/><Relationship Id="rId55" Type="http://schemas.openxmlformats.org/officeDocument/2006/relationships/hyperlink" Target="https://www.afro.who.int/publications/sexual-and-reproductive-health-fact-sheet"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29063/ajrh2025/v29i1.11" TargetMode="External"/><Relationship Id="rId29" Type="http://schemas.openxmlformats.org/officeDocument/2006/relationships/hyperlink" Target="https://doi.org/10.3390/ijerph21020199" TargetMode="External"/><Relationship Id="rId11" Type="http://schemas.openxmlformats.org/officeDocument/2006/relationships/hyperlink" Target="https://doi.org/10.2174/0118749445379892250213070126" TargetMode="External"/><Relationship Id="rId24" Type="http://schemas.openxmlformats.org/officeDocument/2006/relationships/hyperlink" Target="https://doi.org/10.1371/journal.pmed.1004203" TargetMode="External"/><Relationship Id="rId32" Type="http://schemas.openxmlformats.org/officeDocument/2006/relationships/hyperlink" Target="https://policyvault.africa/policy/national-family-planning-and-adolescent-sexual-and-reproductive-health-fp-asrh-strategic-plan-2018-2024/" TargetMode="External"/><Relationship Id="rId37" Type="http://schemas.openxmlformats.org/officeDocument/2006/relationships/hyperlink" Target="https://doi.org/10.1186/s12978-025-02010-4" TargetMode="External"/><Relationship Id="rId40" Type="http://schemas.openxmlformats.org/officeDocument/2006/relationships/hyperlink" Target="https://doi.org/10.1186/s12889-020-08872-6" TargetMode="External"/><Relationship Id="rId45" Type="http://schemas.openxmlformats.org/officeDocument/2006/relationships/hyperlink" Target="https://doi.org/10.1177/26318318251399267" TargetMode="External"/><Relationship Id="rId53" Type="http://schemas.openxmlformats.org/officeDocument/2006/relationships/hyperlink" Target="https://libguides.citystgeorges.ac.uk/SHS-Litsearchguide/frameworks"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s://doi.org/10.1186/s12913-021-07278-3" TargetMode="External"/><Relationship Id="rId14" Type="http://schemas.openxmlformats.org/officeDocument/2006/relationships/hyperlink" Target="https://doi.org/10.1093/jamia/ocaa148" TargetMode="External"/><Relationship Id="rId22" Type="http://schemas.openxmlformats.org/officeDocument/2006/relationships/hyperlink" Target="https://doi.org/10.1186/s12978-024-01901-2" TargetMode="External"/><Relationship Id="rId27" Type="http://schemas.openxmlformats.org/officeDocument/2006/relationships/hyperlink" Target="https://doi.org/10.1371/journal.pgph.0002650" TargetMode="External"/><Relationship Id="rId30" Type="http://schemas.openxmlformats.org/officeDocument/2006/relationships/hyperlink" Target="https://doi.org/10.1186/s12889-023-15023-0" TargetMode="External"/><Relationship Id="rId35" Type="http://schemas.openxmlformats.org/officeDocument/2006/relationships/hyperlink" Target="https://doi.org/10.4314/asshj.v6i2" TargetMode="External"/><Relationship Id="rId43" Type="http://schemas.openxmlformats.org/officeDocument/2006/relationships/hyperlink" Target="https://doi.org/10.4314/ajrh.v25i2" TargetMode="External"/><Relationship Id="rId48" Type="http://schemas.openxmlformats.org/officeDocument/2006/relationships/hyperlink" Target="https://www.unesco.org/en/health-education/cse" TargetMode="External"/><Relationship Id="rId56" Type="http://schemas.openxmlformats.org/officeDocument/2006/relationships/hyperlink" Target="https://www.afro.who.int/sites/default/files/2020-06/Sexual%20and%20reproductive%20health-%20Fact%20sheet%2028-05-2020.pdf"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caro.unfpa.org/sites/default/files/pub-pdf/EN-UNFPA-WCARO-MUSKOKA-AYSRHR-Brochure-WEB-1.pdf" TargetMode="External"/><Relationship Id="rId3" Type="http://schemas.openxmlformats.org/officeDocument/2006/relationships/styles" Target="styles.xml"/><Relationship Id="rId12" Type="http://schemas.openxmlformats.org/officeDocument/2006/relationships/hyperlink" Target="https://doi.org/10.11604/pamj.2024.47.123.42725" TargetMode="External"/><Relationship Id="rId17" Type="http://schemas.openxmlformats.org/officeDocument/2006/relationships/hyperlink" Target="https://doi.org/10.11604/pamj.2020.37.1.22983" TargetMode="External"/><Relationship Id="rId25" Type="http://schemas.openxmlformats.org/officeDocument/2006/relationships/hyperlink" Target="https://doi.org/10.3389/frph.2021.820142" TargetMode="External"/><Relationship Id="rId33" Type="http://schemas.openxmlformats.org/officeDocument/2006/relationships/hyperlink" Target="https://sierraleone.unfpa.org/sites/default/files/pub-pdf/2025-04/Sierra%20Leone_National%20Strategy%20for%20the%20Reduction%20of%20Adolescent%20Pregnancy%20and%20Ending%20Child%20Marriage_final%20%284%29.pdf" TargetMode="External"/><Relationship Id="rId38" Type="http://schemas.openxmlformats.org/officeDocument/2006/relationships/hyperlink" Target="https://doi.org/10.1186/s12889-024-19663-8" TargetMode="External"/><Relationship Id="rId46" Type="http://schemas.openxmlformats.org/officeDocument/2006/relationships/hyperlink" Target="https://doi.org/10.29063/ajrh2022/v26i6.9" TargetMode="External"/><Relationship Id="rId59" Type="http://schemas.openxmlformats.org/officeDocument/2006/relationships/header" Target="header2.xml"/><Relationship Id="rId20" Type="http://schemas.openxmlformats.org/officeDocument/2006/relationships/hyperlink" Target="https://doi.org/10.5195/jmla.2022.1283" TargetMode="External"/><Relationship Id="rId41" Type="http://schemas.openxmlformats.org/officeDocument/2006/relationships/hyperlink" Target="https://doi.org/10.1186/s12913-025-12344-1" TargetMode="External"/><Relationship Id="rId54" Type="http://schemas.openxmlformats.org/officeDocument/2006/relationships/hyperlink" Target="https://doi.org/10.3389/frph.2024.1444111"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80/1364557032000119616" TargetMode="External"/><Relationship Id="rId23" Type="http://schemas.openxmlformats.org/officeDocument/2006/relationships/hyperlink" Target="https://doi.org/10.1177/26318318221107598" TargetMode="External"/><Relationship Id="rId28" Type="http://schemas.openxmlformats.org/officeDocument/2006/relationships/hyperlink" Target="https://ejhd.org/index.php/ejhd/article/view/4755" TargetMode="External"/><Relationship Id="rId36" Type="http://schemas.openxmlformats.org/officeDocument/2006/relationships/hyperlink" Target="https://doi.org/10.3389/frph.2024.1399289" TargetMode="External"/><Relationship Id="rId49" Type="http://schemas.openxmlformats.org/officeDocument/2006/relationships/hyperlink" Target="https://wcaro.unfpa.org/en/publications/strengthening-resilience-sexual-and-reproductive-health-west-and-central-africa" TargetMode="External"/><Relationship Id="rId57" Type="http://schemas.openxmlformats.org/officeDocument/2006/relationships/hyperlink" Target="https://doi.org/10.3390/ijerph21081025" TargetMode="External"/><Relationship Id="rId10" Type="http://schemas.openxmlformats.org/officeDocument/2006/relationships/hyperlink" Target="https://doi.org/10.1186/s13643-016-0337-y" TargetMode="External"/><Relationship Id="rId31" Type="http://schemas.openxmlformats.org/officeDocument/2006/relationships/hyperlink" Target="https://doi.org/10.1136/bmjgh-2019-002231" TargetMode="External"/><Relationship Id="rId44" Type="http://schemas.openxmlformats.org/officeDocument/2006/relationships/hyperlink" Target="https://doi.org/10.29063/ajrh2023/v27i9.2" TargetMode="External"/><Relationship Id="rId52" Type="http://schemas.openxmlformats.org/officeDocument/2006/relationships/hyperlink" Target="https://libguides.citystgeorges.ac.uk/SHS-Litsearchguide/frameworks"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oi.org/10.1007/s11524-023-00724-z" TargetMode="External"/><Relationship Id="rId18" Type="http://schemas.openxmlformats.org/officeDocument/2006/relationships/hyperlink" Target="https://www.ncbi.nlm.nih.gov/books/NBK545476/" TargetMode="External"/><Relationship Id="rId39" Type="http://schemas.openxmlformats.org/officeDocument/2006/relationships/hyperlink" Target="https://doi.org/10.5281/zenodo.789617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6rTRXMh89GXecyJwb8ttpGKUNA==">CgMxLjAyDmguMzRrMmIxYWo0ZGNqMg5oLnk2aGI3enBvMWllbzIOaC55dmIzcWRhM3h6NHEyDmgucmpjcHBsdzFtcmQzMg5oLnVmd2txNzE1bmU0dzIOaC51a2YwZGJ2YjN2eG8yDmgucDQydTI0NTd6bWMzMg5oLnZ5aXVqMmtjZDh2aTIOaC5uOGZsbjRyanY3dXEyDmguNTIwdnd5ZjFrZ3V4Mg5oLnJlbHA0ZzEwNGExYzINaC5pZmU3OWJqNTBrazIOaC53aGtkcHhiOTY1YXAyDmguZmpucTZuZno5M2F4Mg5oLmRhY3k3YnM1bGM2OTIOaC5pdGtmeWNwbTB0ZGYyDmguaWJhMzlmaXgwZ3Y3Mg5oLjNtNHJ3YTNlY3JoZDIOaC54eDUyNm9vbXpqc2UyDmgubXFzemZmaWpnMTU3Mg5oLjg3d3VscmkxbTltYzIOaC45cXEzajQ0c3Z2bGsyDmguZHMwdzBjZzFwM24wMg5oLmpsM256MXg1NWNnczIOaC5jZHNua2ZqNTZtaXoyDmgucHo0dWN5ZmE2NHFnMg5oLmg5bDRiaHJlMTFudjgAciExNkgtSWFDaGlOT0dLWE9HZ0RibFFkRHBlVmJyNm5Fd0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34</Pages>
  <Words>8982</Words>
  <Characters>51204</Characters>
  <Application>Microsoft Office Word</Application>
  <DocSecurity>0</DocSecurity>
  <Lines>426</Lines>
  <Paragraphs>120</Paragraphs>
  <ScaleCrop>false</ScaleCrop>
  <Company/>
  <LinksUpToDate>false</LinksUpToDate>
  <CharactersWithSpaces>60066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11</cp:revision>
  <dcterms:created xsi:type="dcterms:W3CDTF">2025-12-10T11:15:00Z</dcterms:created>
  <dcterms:modified xsi:type="dcterms:W3CDTF">2025-12-11T08:40:00Z</dcterms:modified>
</cp:coreProperties>
</file>