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AAD11" w14:textId="77777777" w:rsidR="00E004A5" w:rsidRDefault="00E004A5" w:rsidP="00E004A5">
      <w:pPr>
        <w:jc w:val="center"/>
        <w:rPr>
          <w:rFonts w:ascii="Times New Roman" w:hAnsi="Times New Roman" w:cs="Times New Roman"/>
          <w:b/>
          <w:bCs/>
          <w:sz w:val="20"/>
          <w:szCs w:val="20"/>
        </w:rPr>
      </w:pPr>
      <w:r w:rsidRPr="00CE2D9C">
        <w:rPr>
          <w:rFonts w:ascii="Times New Roman" w:hAnsi="Times New Roman" w:cs="Times New Roman"/>
          <w:b/>
          <w:bCs/>
          <w:sz w:val="20"/>
          <w:szCs w:val="20"/>
        </w:rPr>
        <w:t xml:space="preserve">System Drivers of Hypertension Control in Africa: A Beta Regression and Dynamic Factor </w:t>
      </w:r>
      <w:proofErr w:type="spellStart"/>
      <w:r w:rsidRPr="00CE2D9C">
        <w:rPr>
          <w:rFonts w:ascii="Times New Roman" w:hAnsi="Times New Roman" w:cs="Times New Roman"/>
          <w:b/>
          <w:bCs/>
          <w:sz w:val="20"/>
          <w:szCs w:val="20"/>
        </w:rPr>
        <w:t>Modeling</w:t>
      </w:r>
      <w:proofErr w:type="spellEnd"/>
      <w:r w:rsidRPr="00CE2D9C">
        <w:rPr>
          <w:rFonts w:ascii="Times New Roman" w:hAnsi="Times New Roman" w:cs="Times New Roman"/>
          <w:b/>
          <w:bCs/>
          <w:sz w:val="20"/>
          <w:szCs w:val="20"/>
        </w:rPr>
        <w:t xml:space="preserve"> Approach</w:t>
      </w:r>
    </w:p>
    <w:p w14:paraId="15DE4324" w14:textId="77777777" w:rsidR="00E004A5" w:rsidRPr="004E4FF4" w:rsidRDefault="00E004A5" w:rsidP="00E004A5">
      <w:pPr>
        <w:jc w:val="center"/>
        <w:rPr>
          <w:rFonts w:ascii="Times New Roman" w:hAnsi="Times New Roman" w:cs="Times New Roman"/>
          <w:b/>
          <w:bCs/>
          <w:sz w:val="20"/>
          <w:szCs w:val="20"/>
        </w:rPr>
      </w:pPr>
    </w:p>
    <w:p w14:paraId="7D681AE5" w14:textId="77777777" w:rsidR="00AB5C38" w:rsidRPr="00AB5C38" w:rsidRDefault="00AB5C38" w:rsidP="00AB5C38">
      <w:pPr>
        <w:spacing w:after="0" w:line="240" w:lineRule="auto"/>
        <w:jc w:val="both"/>
        <w:rPr>
          <w:rFonts w:ascii="Times New Roman" w:eastAsia="Times New Roman" w:hAnsi="Times New Roman" w:cs="Times New Roman"/>
          <w:kern w:val="0"/>
          <w:sz w:val="20"/>
          <w:szCs w:val="20"/>
          <w:lang w:val="" w:eastAsia=""/>
          <w14:ligatures w14:val="none"/>
        </w:rPr>
      </w:pPr>
    </w:p>
    <w:p w14:paraId="7055A909" w14:textId="77777777" w:rsidR="00AB5C38" w:rsidRPr="00AB5C38" w:rsidRDefault="008A3565" w:rsidP="00AB5C38">
      <w:pPr>
        <w:spacing w:after="0" w:line="240" w:lineRule="auto"/>
        <w:jc w:val="both"/>
        <w:rPr>
          <w:rFonts w:ascii="Times New Roman" w:eastAsia="Times New Roman" w:hAnsi="Times New Roman" w:cs="Times New Roman"/>
          <w:b/>
          <w:bCs/>
          <w:kern w:val="0"/>
          <w:sz w:val="20"/>
          <w:szCs w:val="20"/>
          <w:lang w:val="" w:eastAsia=""/>
          <w14:ligatures w14:val="none"/>
        </w:rPr>
      </w:pPr>
      <w:r w:rsidRPr="00AB5C38">
        <w:rPr>
          <w:rFonts w:ascii="Times New Roman" w:eastAsia="Times New Roman" w:hAnsi="Times New Roman" w:cs="Times New Roman"/>
          <w:b/>
          <w:bCs/>
          <w:kern w:val="0"/>
          <w:sz w:val="20"/>
          <w:szCs w:val="20"/>
          <w:lang w:eastAsia=""/>
          <w14:ligatures w14:val="none"/>
        </w:rPr>
        <w:t>Abstract</w:t>
      </w:r>
    </w:p>
    <w:p w14:paraId="78D61568" w14:textId="5CBF1209" w:rsidR="00AB5C38" w:rsidRPr="00322668" w:rsidRDefault="007943EB" w:rsidP="00AB5C38">
      <w:pPr>
        <w:spacing w:after="0" w:line="240" w:lineRule="auto"/>
        <w:jc w:val="both"/>
        <w:rPr>
          <w:rFonts w:ascii="Times New Roman" w:eastAsia="Times New Roman" w:hAnsi="Times New Roman" w:cs="Times New Roman"/>
          <w:kern w:val="0"/>
          <w:sz w:val="20"/>
          <w:szCs w:val="20"/>
          <w:lang w:val="" w:eastAsia=""/>
          <w14:ligatures w14:val="none"/>
        </w:rPr>
      </w:pPr>
      <w:r w:rsidRPr="00117CC1">
        <w:rPr>
          <w:rFonts w:ascii="Times New Roman" w:hAnsi="Times New Roman" w:cs="Times New Roman"/>
          <w:sz w:val="20"/>
          <w:szCs w:val="20"/>
        </w:rPr>
        <w:t>Noncommunicable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Disease</w:t>
      </w:r>
      <w:r>
        <w:rPr>
          <w:rFonts w:ascii="Times New Roman" w:eastAsia="Calibri" w:hAnsi="Times New Roman" w:cs="Times New Roman"/>
          <w:sz w:val="20"/>
          <w:szCs w:val="20"/>
        </w:rPr>
        <w:t xml:space="preserve"> (</w:t>
      </w:r>
      <w:r w:rsidRPr="00322668">
        <w:rPr>
          <w:rFonts w:ascii="Times New Roman" w:eastAsia="Times New Roman" w:hAnsi="Times New Roman" w:cs="Times New Roman"/>
          <w:kern w:val="0"/>
          <w:sz w:val="20"/>
          <w:szCs w:val="20"/>
          <w:lang w:eastAsia=""/>
          <w14:ligatures w14:val="none"/>
        </w:rPr>
        <w:t>NCD</w:t>
      </w:r>
      <w:r>
        <w:rPr>
          <w:rFonts w:ascii="Times New Roman" w:eastAsia="Times New Roman" w:hAnsi="Times New Roman" w:cs="Times New Roman"/>
          <w:kern w:val="0"/>
          <w:sz w:val="20"/>
          <w:szCs w:val="20"/>
          <w:lang w:eastAsia=""/>
          <w14:ligatures w14:val="none"/>
        </w:rPr>
        <w:t>)</w:t>
      </w:r>
      <w:r w:rsidRPr="00322668">
        <w:rPr>
          <w:rFonts w:ascii="Times New Roman" w:eastAsia="Times New Roman" w:hAnsi="Times New Roman" w:cs="Times New Roman"/>
          <w:kern w:val="0"/>
          <w:sz w:val="20"/>
          <w:szCs w:val="20"/>
          <w:lang w:eastAsia=""/>
          <w14:ligatures w14:val="none"/>
        </w:rPr>
        <w:t xml:space="preserve"> Risk Factor Collaboration supplied population-representative data detailing hypertension management in Africa for individuals aged 30</w:t>
      </w:r>
      <w:r w:rsidR="00F16B11">
        <w:rPr>
          <w:rFonts w:ascii="Times New Roman" w:eastAsia="Times New Roman" w:hAnsi="Times New Roman" w:cs="Times New Roman"/>
          <w:kern w:val="0"/>
          <w:sz w:val="20"/>
          <w:szCs w:val="20"/>
          <w:lang w:eastAsia=""/>
        </w:rPr>
        <w:t xml:space="preserve"> to </w:t>
      </w:r>
      <w:r w:rsidRPr="00322668">
        <w:rPr>
          <w:rFonts w:ascii="Times New Roman" w:eastAsia="Times New Roman" w:hAnsi="Times New Roman" w:cs="Times New Roman"/>
          <w:kern w:val="0"/>
          <w:sz w:val="20"/>
          <w:szCs w:val="20"/>
          <w:lang w:eastAsia=""/>
          <w14:ligatures w14:val="none"/>
        </w:rPr>
        <w:t>79 years from 1990</w:t>
      </w:r>
      <w:r>
        <w:rPr>
          <w:rFonts w:ascii="Times New Roman" w:eastAsia="Times New Roman" w:hAnsi="Times New Roman" w:cs="Times New Roman"/>
          <w:kern w:val="0"/>
          <w:sz w:val="20"/>
          <w:szCs w:val="20"/>
          <w:lang w:eastAsia=""/>
        </w:rPr>
        <w:t>-</w:t>
      </w:r>
      <w:r w:rsidRPr="00322668">
        <w:rPr>
          <w:rFonts w:ascii="Times New Roman" w:eastAsia="Times New Roman" w:hAnsi="Times New Roman" w:cs="Times New Roman"/>
          <w:kern w:val="0"/>
          <w:sz w:val="20"/>
          <w:szCs w:val="20"/>
          <w:lang w:eastAsia=""/>
          <w14:ligatures w14:val="none"/>
        </w:rPr>
        <w:t xml:space="preserve">2019. Ten cascade indicators were analysed </w:t>
      </w:r>
      <w:r>
        <w:rPr>
          <w:rFonts w:ascii="Times New Roman" w:eastAsia="Times New Roman" w:hAnsi="Times New Roman" w:cs="Times New Roman"/>
          <w:kern w:val="0"/>
          <w:sz w:val="20"/>
          <w:szCs w:val="20"/>
          <w:lang w:eastAsia=""/>
        </w:rPr>
        <w:t>via</w:t>
      </w:r>
      <w:r w:rsidRPr="00322668">
        <w:rPr>
          <w:rFonts w:ascii="Times New Roman" w:eastAsia="Times New Roman" w:hAnsi="Times New Roman" w:cs="Times New Roman"/>
          <w:kern w:val="0"/>
          <w:sz w:val="20"/>
          <w:szCs w:val="20"/>
          <w:lang w:eastAsia=""/>
          <w14:ligatures w14:val="none"/>
        </w:rPr>
        <w:t xml:space="preserve"> both age-standardized and crude metrics. Beta regression with a logit link and a continuous function of year </w:t>
      </w:r>
      <w:r>
        <w:rPr>
          <w:rFonts w:ascii="Times New Roman" w:eastAsia="Times New Roman" w:hAnsi="Times New Roman" w:cs="Times New Roman"/>
          <w:kern w:val="0"/>
          <w:sz w:val="20"/>
          <w:szCs w:val="20"/>
          <w:lang w:eastAsia=""/>
        </w:rPr>
        <w:t>was used to assess</w:t>
      </w:r>
      <w:r w:rsidRPr="00322668">
        <w:rPr>
          <w:rFonts w:ascii="Times New Roman" w:eastAsia="Times New Roman" w:hAnsi="Times New Roman" w:cs="Times New Roman"/>
          <w:kern w:val="0"/>
          <w:sz w:val="20"/>
          <w:szCs w:val="20"/>
          <w:lang w:eastAsia=""/>
          <w14:ligatures w14:val="none"/>
        </w:rPr>
        <w:t xml:space="preserve"> the effects of sex on each outcome. A one-factor </w:t>
      </w:r>
      <w:r>
        <w:rPr>
          <w:rFonts w:ascii="Times New Roman" w:eastAsia="Times New Roman" w:hAnsi="Times New Roman" w:cs="Times New Roman"/>
          <w:kern w:val="0"/>
          <w:sz w:val="20"/>
          <w:szCs w:val="20"/>
          <w:lang w:eastAsia=""/>
        </w:rPr>
        <w:t>state‒space</w:t>
      </w:r>
      <w:r w:rsidRPr="00322668">
        <w:rPr>
          <w:rFonts w:ascii="Times New Roman" w:eastAsia="Times New Roman" w:hAnsi="Times New Roman" w:cs="Times New Roman"/>
          <w:kern w:val="0"/>
          <w:sz w:val="20"/>
          <w:szCs w:val="20"/>
          <w:lang w:eastAsia=""/>
          <w14:ligatures w14:val="none"/>
        </w:rPr>
        <w:t xml:space="preserve"> model integrated mixed temporal dynamics and enabled forecasts extending to 2030, adding policy scenario that enhances diagnosis and treatment by 10 percentage points. </w:t>
      </w:r>
      <w:r>
        <w:rPr>
          <w:rFonts w:ascii="Times New Roman" w:eastAsia="Times New Roman" w:hAnsi="Times New Roman" w:cs="Times New Roman"/>
          <w:kern w:val="0"/>
          <w:sz w:val="20"/>
          <w:szCs w:val="20"/>
          <w:lang w:eastAsia=""/>
        </w:rPr>
        <w:t>Compared with men, women were more likely to receive</w:t>
      </w:r>
      <w:r w:rsidRPr="00322668">
        <w:rPr>
          <w:rFonts w:ascii="Times New Roman" w:eastAsia="Times New Roman" w:hAnsi="Times New Roman" w:cs="Times New Roman"/>
          <w:kern w:val="0"/>
          <w:sz w:val="20"/>
          <w:szCs w:val="20"/>
          <w:lang w:eastAsia=""/>
          <w14:ligatures w14:val="none"/>
        </w:rPr>
        <w:t xml:space="preserve"> therapy and control on both metrics (odds ratios of approximately 2.2 and 2.1). Diagnosis indicated negligible benefits for females. Women </w:t>
      </w:r>
      <w:r>
        <w:rPr>
          <w:rFonts w:ascii="Times New Roman" w:eastAsia="Times New Roman" w:hAnsi="Times New Roman" w:cs="Times New Roman"/>
          <w:kern w:val="0"/>
          <w:sz w:val="20"/>
          <w:szCs w:val="20"/>
          <w:lang w:eastAsia=""/>
        </w:rPr>
        <w:t>presented a greater</w:t>
      </w:r>
      <w:r w:rsidRPr="00322668">
        <w:rPr>
          <w:rFonts w:ascii="Times New Roman" w:eastAsia="Times New Roman" w:hAnsi="Times New Roman" w:cs="Times New Roman"/>
          <w:kern w:val="0"/>
          <w:sz w:val="20"/>
          <w:szCs w:val="20"/>
          <w:lang w:eastAsia=""/>
          <w14:ligatures w14:val="none"/>
        </w:rPr>
        <w:t xml:space="preserve"> prevalence of untreated stage</w:t>
      </w:r>
      <w:r w:rsidR="00F16B11">
        <w:rPr>
          <w:rFonts w:ascii="Times New Roman" w:eastAsia="Times New Roman" w:hAnsi="Times New Roman" w:cs="Times New Roman"/>
          <w:kern w:val="0"/>
          <w:sz w:val="20"/>
          <w:szCs w:val="20"/>
          <w:lang w:eastAsia=""/>
        </w:rPr>
        <w:t>-</w:t>
      </w:r>
      <w:r>
        <w:rPr>
          <w:rFonts w:ascii="Times New Roman" w:eastAsia="Times New Roman" w:hAnsi="Times New Roman" w:cs="Times New Roman"/>
          <w:kern w:val="0"/>
          <w:sz w:val="20"/>
          <w:szCs w:val="20"/>
          <w:lang w:eastAsia=""/>
        </w:rPr>
        <w:t>2 disease</w:t>
      </w:r>
      <w:r w:rsidRPr="00322668">
        <w:rPr>
          <w:rFonts w:ascii="Times New Roman" w:eastAsia="Times New Roman" w:hAnsi="Times New Roman" w:cs="Times New Roman"/>
          <w:kern w:val="0"/>
          <w:sz w:val="20"/>
          <w:szCs w:val="20"/>
          <w:lang w:eastAsia=""/>
          <w14:ligatures w14:val="none"/>
        </w:rPr>
        <w:t xml:space="preserve">, although </w:t>
      </w:r>
      <w:r>
        <w:rPr>
          <w:rFonts w:ascii="Times New Roman" w:eastAsia="Times New Roman" w:hAnsi="Times New Roman" w:cs="Times New Roman"/>
          <w:kern w:val="0"/>
          <w:sz w:val="20"/>
          <w:szCs w:val="20"/>
          <w:lang w:eastAsia=""/>
        </w:rPr>
        <w:t>they demonstrated</w:t>
      </w:r>
      <w:r w:rsidRPr="00322668">
        <w:rPr>
          <w:rFonts w:ascii="Times New Roman" w:eastAsia="Times New Roman" w:hAnsi="Times New Roman" w:cs="Times New Roman"/>
          <w:kern w:val="0"/>
          <w:sz w:val="20"/>
          <w:szCs w:val="20"/>
          <w:lang w:eastAsia=""/>
          <w14:ligatures w14:val="none"/>
        </w:rPr>
        <w:t xml:space="preserve"> superior control. A prevalent latent factor indicat</w:t>
      </w:r>
      <w:r w:rsidR="006B7061">
        <w:rPr>
          <w:rFonts w:ascii="Times New Roman" w:eastAsia="Times New Roman" w:hAnsi="Times New Roman" w:cs="Times New Roman"/>
          <w:kern w:val="0"/>
          <w:sz w:val="20"/>
          <w:szCs w:val="20"/>
          <w:lang w:eastAsia=""/>
          <w14:ligatures w14:val="none"/>
        </w:rPr>
        <w:t>ed</w:t>
      </w:r>
      <w:r w:rsidRPr="00322668">
        <w:rPr>
          <w:rFonts w:ascii="Times New Roman" w:eastAsia="Times New Roman" w:hAnsi="Times New Roman" w:cs="Times New Roman"/>
          <w:kern w:val="0"/>
          <w:sz w:val="20"/>
          <w:szCs w:val="20"/>
          <w:lang w:eastAsia=""/>
          <w14:ligatures w14:val="none"/>
        </w:rPr>
        <w:t xml:space="preserve"> significant persistence (</w:t>
      </w:r>
      <m:oMath>
        <m:r>
          <w:rPr>
            <w:rFonts w:ascii="Cambria Math" w:eastAsia="Times New Roman" w:hAnsi="Cambria Math" w:cs="Times New Roman"/>
            <w:kern w:val="0"/>
            <w:sz w:val="20"/>
            <w:szCs w:val="20"/>
            <w:lang w:eastAsia=""/>
            <w14:ligatures w14:val="none"/>
          </w:rPr>
          <m:t>ϕ</m:t>
        </m:r>
      </m:oMath>
      <w:r w:rsidRPr="00322668">
        <w:rPr>
          <w:rFonts w:ascii="Times New Roman" w:eastAsia="Times New Roman" w:hAnsi="Times New Roman" w:cs="Times New Roman"/>
          <w:kern w:val="0"/>
          <w:sz w:val="20"/>
          <w:szCs w:val="20"/>
          <w:lang w:eastAsia=""/>
          <w14:ligatures w14:val="none"/>
        </w:rPr>
        <w:t xml:space="preserve"> </w:t>
      </w:r>
      <w:r>
        <w:rPr>
          <w:rFonts w:ascii="Times New Roman" w:eastAsia="Times New Roman" w:hAnsi="Times New Roman" w:cs="Times New Roman"/>
          <w:kern w:val="0"/>
          <w:sz w:val="20"/>
          <w:szCs w:val="20"/>
          <w:lang w:eastAsia=""/>
        </w:rPr>
        <w:t>approximately</w:t>
      </w:r>
      <w:r w:rsidRPr="00322668">
        <w:rPr>
          <w:rFonts w:ascii="Times New Roman" w:eastAsia="Times New Roman" w:hAnsi="Times New Roman" w:cs="Times New Roman"/>
          <w:kern w:val="0"/>
          <w:sz w:val="20"/>
          <w:szCs w:val="20"/>
          <w:lang w:eastAsia=""/>
          <w14:ligatures w14:val="none"/>
        </w:rPr>
        <w:t xml:space="preserve"> 0.98). By 2030, the scenario indicated a significant increase in control, particularly for women. </w:t>
      </w:r>
      <w:r w:rsidR="006B7061">
        <w:rPr>
          <w:rFonts w:ascii="Times New Roman" w:eastAsia="Times New Roman" w:hAnsi="Times New Roman" w:cs="Times New Roman"/>
          <w:kern w:val="0"/>
          <w:sz w:val="20"/>
          <w:szCs w:val="20"/>
          <w:lang w:eastAsia=""/>
        </w:rPr>
        <w:t>F</w:t>
      </w:r>
      <w:r>
        <w:rPr>
          <w:rFonts w:ascii="Times New Roman" w:eastAsia="Times New Roman" w:hAnsi="Times New Roman" w:cs="Times New Roman"/>
          <w:kern w:val="0"/>
          <w:sz w:val="20"/>
          <w:szCs w:val="20"/>
          <w:lang w:eastAsia=""/>
        </w:rPr>
        <w:t>inding</w:t>
      </w:r>
      <w:r w:rsidR="006B7061">
        <w:rPr>
          <w:rFonts w:ascii="Times New Roman" w:eastAsia="Times New Roman" w:hAnsi="Times New Roman" w:cs="Times New Roman"/>
          <w:kern w:val="0"/>
          <w:sz w:val="20"/>
          <w:szCs w:val="20"/>
          <w:lang w:eastAsia=""/>
        </w:rPr>
        <w:t>s</w:t>
      </w:r>
      <w:r w:rsidRPr="00322668">
        <w:rPr>
          <w:rFonts w:ascii="Times New Roman" w:eastAsia="Times New Roman" w:hAnsi="Times New Roman" w:cs="Times New Roman"/>
          <w:kern w:val="0"/>
          <w:sz w:val="20"/>
          <w:szCs w:val="20"/>
          <w:lang w:eastAsia=""/>
          <w14:ligatures w14:val="none"/>
        </w:rPr>
        <w:t xml:space="preserve"> also </w:t>
      </w:r>
      <w:r>
        <w:rPr>
          <w:rFonts w:ascii="Times New Roman" w:eastAsia="Times New Roman" w:hAnsi="Times New Roman" w:cs="Times New Roman"/>
          <w:kern w:val="0"/>
          <w:sz w:val="20"/>
          <w:szCs w:val="20"/>
          <w:lang w:eastAsia=""/>
        </w:rPr>
        <w:t>indicate the need for increased</w:t>
      </w:r>
      <w:r w:rsidRPr="00322668">
        <w:rPr>
          <w:rFonts w:ascii="Times New Roman" w:eastAsia="Times New Roman" w:hAnsi="Times New Roman" w:cs="Times New Roman"/>
          <w:kern w:val="0"/>
          <w:sz w:val="20"/>
          <w:szCs w:val="20"/>
          <w:lang w:eastAsia=""/>
          <w14:ligatures w14:val="none"/>
        </w:rPr>
        <w:t xml:space="preserve"> capacity to prevent the onset of severe uncontrolled disease. The results reveal a dual approach </w:t>
      </w:r>
      <w:r w:rsidR="006B7061">
        <w:rPr>
          <w:rFonts w:ascii="Times New Roman" w:eastAsia="Times New Roman" w:hAnsi="Times New Roman" w:cs="Times New Roman"/>
          <w:kern w:val="0"/>
          <w:sz w:val="20"/>
          <w:szCs w:val="20"/>
          <w:lang w:eastAsia=""/>
          <w14:ligatures w14:val="none"/>
        </w:rPr>
        <w:t>of</w:t>
      </w:r>
      <w:r w:rsidRPr="00322668">
        <w:rPr>
          <w:rFonts w:ascii="Times New Roman" w:eastAsia="Times New Roman" w:hAnsi="Times New Roman" w:cs="Times New Roman"/>
          <w:kern w:val="0"/>
          <w:sz w:val="20"/>
          <w:szCs w:val="20"/>
          <w:lang w:eastAsia=""/>
          <w14:ligatures w14:val="none"/>
        </w:rPr>
        <w:t xml:space="preserve"> treatment and management while simultaneously emphasizing diagnosis and intervention.</w:t>
      </w:r>
    </w:p>
    <w:p w14:paraId="5E5AD761" w14:textId="611961A1" w:rsidR="00964A8E" w:rsidRDefault="00E004A5" w:rsidP="00E004A5">
      <w:pPr>
        <w:tabs>
          <w:tab w:val="left" w:pos="7620"/>
        </w:tabs>
        <w:rPr>
          <w:rFonts w:ascii="Times New Roman" w:hAnsi="Times New Roman" w:cs="Times New Roman"/>
          <w:b/>
          <w:bCs/>
          <w:sz w:val="20"/>
          <w:szCs w:val="20"/>
        </w:rPr>
      </w:pPr>
      <w:r>
        <w:rPr>
          <w:rFonts w:ascii="Times New Roman" w:hAnsi="Times New Roman" w:cs="Times New Roman"/>
          <w:b/>
          <w:bCs/>
          <w:sz w:val="20"/>
          <w:szCs w:val="20"/>
        </w:rPr>
        <w:tab/>
      </w:r>
    </w:p>
    <w:p w14:paraId="3BC3EBA7" w14:textId="03E0B3B5" w:rsidR="004A1DEA" w:rsidRPr="00AB5C38" w:rsidRDefault="00964A8E" w:rsidP="00964A8E">
      <w:pPr>
        <w:rPr>
          <w:rFonts w:ascii="Times New Roman" w:hAnsi="Times New Roman" w:cs="Times New Roman"/>
          <w:sz w:val="20"/>
          <w:szCs w:val="20"/>
        </w:rPr>
      </w:pPr>
      <w:r w:rsidRPr="00CE2D9C">
        <w:rPr>
          <w:rFonts w:ascii="Times New Roman" w:hAnsi="Times New Roman" w:cs="Times New Roman"/>
          <w:b/>
          <w:bCs/>
          <w:sz w:val="20"/>
          <w:szCs w:val="20"/>
        </w:rPr>
        <w:t xml:space="preserve">Keywords. </w:t>
      </w:r>
      <w:r w:rsidRPr="00CE2D9C">
        <w:rPr>
          <w:rFonts w:ascii="Times New Roman" w:hAnsi="Times New Roman" w:cs="Times New Roman"/>
          <w:sz w:val="20"/>
          <w:szCs w:val="20"/>
        </w:rPr>
        <w:t>Hypertension Diagnosis, Hypertension Treatment; Hypertension Forecasting; Hypertension cascade; Hypertension Sex disparities</w:t>
      </w:r>
    </w:p>
    <w:p w14:paraId="3A0530E4" w14:textId="7B2843C6" w:rsidR="00AB5C38" w:rsidRPr="00AB5C38" w:rsidRDefault="008A3565" w:rsidP="00AB5C38">
      <w:pPr>
        <w:jc w:val="both"/>
        <w:rPr>
          <w:rFonts w:ascii="Times New Roman" w:hAnsi="Times New Roman" w:cs="Times New Roman"/>
          <w:sz w:val="20"/>
          <w:szCs w:val="20"/>
          <w:lang w:val=""/>
        </w:rPr>
      </w:pPr>
      <w:r w:rsidRPr="00AB5C38">
        <w:rPr>
          <w:rFonts w:ascii="Times New Roman" w:hAnsi="Times New Roman" w:cs="Times New Roman"/>
          <w:b/>
          <w:bCs/>
          <w:sz w:val="20"/>
          <w:szCs w:val="20"/>
        </w:rPr>
        <w:t xml:space="preserve">Background </w:t>
      </w:r>
      <w:r w:rsidRPr="00AB5C38">
        <w:rPr>
          <w:rFonts w:ascii="Times New Roman" w:hAnsi="Times New Roman" w:cs="Times New Roman"/>
          <w:sz w:val="20"/>
          <w:szCs w:val="20"/>
        </w:rPr>
        <w:br/>
        <w:t xml:space="preserve">Hypertension remains the </w:t>
      </w:r>
      <w:r w:rsidRPr="00AB5C38">
        <w:rPr>
          <w:rFonts w:ascii="Times New Roman" w:hAnsi="Times New Roman" w:cs="Times New Roman"/>
          <w:sz w:val="20"/>
          <w:szCs w:val="20"/>
        </w:rPr>
        <w:t>foremost modifiable risk factor for cardiovascular disease in Africa, with considerable diversity in its detection, treatment, and management across diverse contexts. Previous syntheses from</w:t>
      </w:r>
      <w:r w:rsidR="007943EB">
        <w:rPr>
          <w:rFonts w:ascii="Times New Roman" w:hAnsi="Times New Roman" w:cs="Times New Roman"/>
          <w:sz w:val="20"/>
          <w:szCs w:val="20"/>
        </w:rPr>
        <w:t xml:space="preserve"> </w:t>
      </w:r>
      <w:r w:rsidR="007943EB" w:rsidRPr="00117CC1">
        <w:rPr>
          <w:rFonts w:ascii="Times New Roman" w:hAnsi="Times New Roman" w:cs="Times New Roman"/>
          <w:sz w:val="20"/>
          <w:szCs w:val="20"/>
        </w:rPr>
        <w:t>Noncommunicable</w:t>
      </w:r>
      <w:r w:rsidR="007943EB">
        <w:rPr>
          <w:rFonts w:ascii="Times New Roman" w:eastAsia="Calibri" w:hAnsi="Times New Roman" w:cs="Times New Roman"/>
          <w:sz w:val="20"/>
          <w:szCs w:val="20"/>
        </w:rPr>
        <w:t xml:space="preserve"> </w:t>
      </w:r>
      <w:r w:rsidR="007943EB" w:rsidRPr="00117CC1">
        <w:rPr>
          <w:rFonts w:ascii="Times New Roman" w:hAnsi="Times New Roman" w:cs="Times New Roman"/>
          <w:sz w:val="20"/>
          <w:szCs w:val="20"/>
        </w:rPr>
        <w:t>Disease</w:t>
      </w:r>
      <w:r w:rsidRPr="00AB5C38">
        <w:rPr>
          <w:rFonts w:ascii="Times New Roman" w:hAnsi="Times New Roman" w:cs="Times New Roman"/>
          <w:sz w:val="20"/>
          <w:szCs w:val="20"/>
        </w:rPr>
        <w:t xml:space="preserve"> </w:t>
      </w:r>
      <w:r w:rsidR="007943EB">
        <w:rPr>
          <w:rFonts w:ascii="Times New Roman" w:hAnsi="Times New Roman" w:cs="Times New Roman"/>
          <w:sz w:val="20"/>
          <w:szCs w:val="20"/>
        </w:rPr>
        <w:t>(</w:t>
      </w:r>
      <w:r w:rsidRPr="00AB5C38">
        <w:rPr>
          <w:rFonts w:ascii="Times New Roman" w:hAnsi="Times New Roman" w:cs="Times New Roman"/>
          <w:sz w:val="20"/>
          <w:szCs w:val="20"/>
        </w:rPr>
        <w:t>NCD</w:t>
      </w:r>
      <w:r w:rsidR="007943EB">
        <w:rPr>
          <w:rFonts w:ascii="Times New Roman" w:hAnsi="Times New Roman" w:cs="Times New Roman"/>
          <w:sz w:val="20"/>
          <w:szCs w:val="20"/>
        </w:rPr>
        <w:t>)</w:t>
      </w:r>
      <w:r w:rsidRPr="00AB5C38">
        <w:rPr>
          <w:rFonts w:ascii="Times New Roman" w:hAnsi="Times New Roman" w:cs="Times New Roman"/>
          <w:sz w:val="20"/>
          <w:szCs w:val="20"/>
        </w:rPr>
        <w:t>-</w:t>
      </w:r>
      <w:proofErr w:type="spellStart"/>
      <w:r w:rsidRPr="00AB5C38">
        <w:rPr>
          <w:rFonts w:ascii="Times New Roman" w:hAnsi="Times New Roman" w:cs="Times New Roman"/>
          <w:sz w:val="20"/>
          <w:szCs w:val="20"/>
        </w:rPr>
        <w:t>RisC</w:t>
      </w:r>
      <w:proofErr w:type="spellEnd"/>
      <w:r w:rsidRPr="00AB5C38">
        <w:rPr>
          <w:rFonts w:ascii="Times New Roman" w:hAnsi="Times New Roman" w:cs="Times New Roman"/>
          <w:sz w:val="20"/>
          <w:szCs w:val="20"/>
        </w:rPr>
        <w:t xml:space="preserve"> indicate a rising or steady pr</w:t>
      </w:r>
      <w:r w:rsidRPr="00AB5C38">
        <w:rPr>
          <w:rFonts w:ascii="Times New Roman" w:hAnsi="Times New Roman" w:cs="Times New Roman"/>
          <w:sz w:val="20"/>
          <w:szCs w:val="20"/>
        </w:rPr>
        <w:t xml:space="preserve">evalence in conjunction with diverse enhancements in care (Abba, 2022; </w:t>
      </w:r>
      <w:proofErr w:type="spellStart"/>
      <w:r w:rsidRPr="00AB5C38">
        <w:rPr>
          <w:rFonts w:ascii="Times New Roman" w:hAnsi="Times New Roman" w:cs="Times New Roman"/>
          <w:sz w:val="20"/>
          <w:szCs w:val="20"/>
        </w:rPr>
        <w:t>Aminde</w:t>
      </w:r>
      <w:proofErr w:type="spellEnd"/>
      <w:r w:rsidRPr="00AB5C38">
        <w:rPr>
          <w:rFonts w:ascii="Times New Roman" w:hAnsi="Times New Roman" w:cs="Times New Roman"/>
          <w:sz w:val="20"/>
          <w:szCs w:val="20"/>
        </w:rPr>
        <w:t xml:space="preserve"> et al., 2025; </w:t>
      </w:r>
      <w:proofErr w:type="spellStart"/>
      <w:r w:rsidRPr="00AB5C38">
        <w:rPr>
          <w:rFonts w:ascii="Times New Roman" w:hAnsi="Times New Roman" w:cs="Times New Roman"/>
          <w:sz w:val="20"/>
          <w:szCs w:val="20"/>
        </w:rPr>
        <w:t>Kirschbaum</w:t>
      </w:r>
      <w:proofErr w:type="spellEnd"/>
      <w:r w:rsidRPr="00AB5C38">
        <w:rPr>
          <w:rFonts w:ascii="Times New Roman" w:hAnsi="Times New Roman" w:cs="Times New Roman"/>
          <w:sz w:val="20"/>
          <w:szCs w:val="20"/>
        </w:rPr>
        <w:t xml:space="preserve"> et al., 2021; Ntaganda et al., 2025; </w:t>
      </w:r>
      <w:proofErr w:type="spellStart"/>
      <w:r w:rsidRPr="00AB5C38">
        <w:rPr>
          <w:rFonts w:ascii="Times New Roman" w:hAnsi="Times New Roman" w:cs="Times New Roman"/>
          <w:sz w:val="20"/>
          <w:szCs w:val="20"/>
        </w:rPr>
        <w:t>Olowoyo</w:t>
      </w:r>
      <w:proofErr w:type="spellEnd"/>
      <w:r w:rsidRPr="00AB5C38">
        <w:rPr>
          <w:rFonts w:ascii="Times New Roman" w:hAnsi="Times New Roman" w:cs="Times New Roman"/>
          <w:sz w:val="20"/>
          <w:szCs w:val="20"/>
        </w:rPr>
        <w:t xml:space="preserve"> et al., 2025; Perkins et al., 2024; Romo et al., 2025; </w:t>
      </w:r>
      <w:proofErr w:type="spellStart"/>
      <w:r w:rsidRPr="00AB5C38">
        <w:rPr>
          <w:rFonts w:ascii="Times New Roman" w:hAnsi="Times New Roman" w:cs="Times New Roman"/>
          <w:sz w:val="20"/>
          <w:szCs w:val="20"/>
        </w:rPr>
        <w:t>Yuyun</w:t>
      </w:r>
      <w:proofErr w:type="spellEnd"/>
      <w:r w:rsidRPr="00AB5C38">
        <w:rPr>
          <w:rFonts w:ascii="Times New Roman" w:hAnsi="Times New Roman" w:cs="Times New Roman"/>
          <w:sz w:val="20"/>
          <w:szCs w:val="20"/>
        </w:rPr>
        <w:t xml:space="preserve"> et al., 2020). Cascade frameworks indicate that</w:t>
      </w:r>
      <w:r w:rsidRPr="00AB5C38">
        <w:rPr>
          <w:rFonts w:ascii="Times New Roman" w:hAnsi="Times New Roman" w:cs="Times New Roman"/>
          <w:sz w:val="20"/>
          <w:szCs w:val="20"/>
        </w:rPr>
        <w:t xml:space="preserve"> the majority of loss occurs prior to the attainment of control, typically during the diagnostic phase and initial therapy steps. Studies in primary care indicate that optimized protocols, assured medication accessibility, and comprehensive registries can </w:t>
      </w:r>
      <w:r w:rsidRPr="00AB5C38">
        <w:rPr>
          <w:rFonts w:ascii="Times New Roman" w:hAnsi="Times New Roman" w:cs="Times New Roman"/>
          <w:sz w:val="20"/>
          <w:szCs w:val="20"/>
        </w:rPr>
        <w:t>enhance large-scale management (</w:t>
      </w:r>
      <w:proofErr w:type="spellStart"/>
      <w:r w:rsidRPr="00AB5C38">
        <w:rPr>
          <w:rFonts w:ascii="Times New Roman" w:hAnsi="Times New Roman" w:cs="Times New Roman"/>
          <w:sz w:val="20"/>
          <w:szCs w:val="20"/>
        </w:rPr>
        <w:t>Chham</w:t>
      </w:r>
      <w:proofErr w:type="spellEnd"/>
      <w:r w:rsidRPr="00AB5C38">
        <w:rPr>
          <w:rFonts w:ascii="Times New Roman" w:hAnsi="Times New Roman" w:cs="Times New Roman"/>
          <w:sz w:val="20"/>
          <w:szCs w:val="20"/>
        </w:rPr>
        <w:t xml:space="preserve"> et al., 2022; </w:t>
      </w:r>
      <w:proofErr w:type="spellStart"/>
      <w:r w:rsidRPr="00AB5C38">
        <w:rPr>
          <w:rFonts w:ascii="Times New Roman" w:hAnsi="Times New Roman" w:cs="Times New Roman"/>
          <w:sz w:val="20"/>
          <w:szCs w:val="20"/>
        </w:rPr>
        <w:t>Guthi</w:t>
      </w:r>
      <w:proofErr w:type="spellEnd"/>
      <w:r w:rsidRPr="00AB5C38">
        <w:rPr>
          <w:rFonts w:ascii="Times New Roman" w:hAnsi="Times New Roman" w:cs="Times New Roman"/>
          <w:sz w:val="20"/>
          <w:szCs w:val="20"/>
        </w:rPr>
        <w:t xml:space="preserve"> et al., 2024; </w:t>
      </w:r>
      <w:proofErr w:type="spellStart"/>
      <w:r w:rsidRPr="00AB5C38">
        <w:rPr>
          <w:rFonts w:ascii="Times New Roman" w:hAnsi="Times New Roman" w:cs="Times New Roman"/>
          <w:sz w:val="20"/>
          <w:szCs w:val="20"/>
        </w:rPr>
        <w:t>Kothavale</w:t>
      </w:r>
      <w:proofErr w:type="spellEnd"/>
      <w:r w:rsidRPr="00AB5C38">
        <w:rPr>
          <w:rFonts w:ascii="Times New Roman" w:hAnsi="Times New Roman" w:cs="Times New Roman"/>
          <w:sz w:val="20"/>
          <w:szCs w:val="20"/>
        </w:rPr>
        <w:t xml:space="preserve"> et al., 2022; Peters et al., 2022). Men and women exhibit disparities in cardiometabolic care. For </w:t>
      </w:r>
      <w:r>
        <w:rPr>
          <w:rFonts w:ascii="Times New Roman" w:eastAsia="Calibri" w:hAnsi="Times New Roman" w:cs="Times New Roman"/>
          <w:sz w:val="20"/>
          <w:szCs w:val="20"/>
        </w:rPr>
        <w:t>example</w:t>
      </w:r>
      <w:r w:rsidRPr="00AB5C38">
        <w:rPr>
          <w:rFonts w:ascii="Times New Roman" w:hAnsi="Times New Roman" w:cs="Times New Roman"/>
          <w:sz w:val="20"/>
          <w:szCs w:val="20"/>
        </w:rPr>
        <w:t xml:space="preserve">, women are more inclined to undergo screenings and receive chronic </w:t>
      </w:r>
      <w:r w:rsidRPr="00AB5C38">
        <w:rPr>
          <w:rFonts w:ascii="Times New Roman" w:hAnsi="Times New Roman" w:cs="Times New Roman"/>
          <w:sz w:val="20"/>
          <w:szCs w:val="20"/>
        </w:rPr>
        <w:t>care, whereas men exhibit greater disparities in accessing and maintaining care (</w:t>
      </w:r>
      <w:proofErr w:type="spellStart"/>
      <w:r w:rsidRPr="00AB5C38">
        <w:rPr>
          <w:rFonts w:ascii="Times New Roman" w:hAnsi="Times New Roman" w:cs="Times New Roman"/>
          <w:sz w:val="20"/>
          <w:szCs w:val="20"/>
        </w:rPr>
        <w:t>Colafella</w:t>
      </w:r>
      <w:proofErr w:type="spellEnd"/>
      <w:r w:rsidRPr="00AB5C38">
        <w:rPr>
          <w:rFonts w:ascii="Times New Roman" w:hAnsi="Times New Roman" w:cs="Times New Roman"/>
          <w:sz w:val="20"/>
          <w:szCs w:val="20"/>
        </w:rPr>
        <w:t xml:space="preserve"> &amp; Denton, 2018; </w:t>
      </w:r>
      <w:proofErr w:type="spellStart"/>
      <w:r w:rsidRPr="00AB5C38">
        <w:rPr>
          <w:rFonts w:ascii="Times New Roman" w:hAnsi="Times New Roman" w:cs="Times New Roman"/>
          <w:sz w:val="20"/>
          <w:szCs w:val="20"/>
        </w:rPr>
        <w:t>Gerdts</w:t>
      </w:r>
      <w:proofErr w:type="spellEnd"/>
      <w:r w:rsidRPr="00AB5C38">
        <w:rPr>
          <w:rFonts w:ascii="Times New Roman" w:hAnsi="Times New Roman" w:cs="Times New Roman"/>
          <w:sz w:val="20"/>
          <w:szCs w:val="20"/>
        </w:rPr>
        <w:t xml:space="preserve"> &amp; </w:t>
      </w:r>
      <w:proofErr w:type="spellStart"/>
      <w:r w:rsidRPr="00AB5C38">
        <w:rPr>
          <w:rFonts w:ascii="Times New Roman" w:hAnsi="Times New Roman" w:cs="Times New Roman"/>
          <w:sz w:val="20"/>
          <w:szCs w:val="20"/>
        </w:rPr>
        <w:t>Regitz-Zagrosek</w:t>
      </w:r>
      <w:proofErr w:type="spellEnd"/>
      <w:r w:rsidRPr="00AB5C38">
        <w:rPr>
          <w:rFonts w:ascii="Times New Roman" w:hAnsi="Times New Roman" w:cs="Times New Roman"/>
          <w:sz w:val="20"/>
          <w:szCs w:val="20"/>
        </w:rPr>
        <w:t xml:space="preserve">, 2019; Ji et al., 2020; </w:t>
      </w:r>
      <w:proofErr w:type="spellStart"/>
      <w:r w:rsidRPr="00AB5C38">
        <w:rPr>
          <w:rFonts w:ascii="Times New Roman" w:hAnsi="Times New Roman" w:cs="Times New Roman"/>
          <w:sz w:val="20"/>
          <w:szCs w:val="20"/>
        </w:rPr>
        <w:t>Meloni</w:t>
      </w:r>
      <w:proofErr w:type="spellEnd"/>
      <w:r w:rsidRPr="00AB5C38">
        <w:rPr>
          <w:rFonts w:ascii="Times New Roman" w:hAnsi="Times New Roman" w:cs="Times New Roman"/>
          <w:sz w:val="20"/>
          <w:szCs w:val="20"/>
        </w:rPr>
        <w:t xml:space="preserve"> et al., 2023; Schorr et al., 2018; </w:t>
      </w:r>
      <w:proofErr w:type="spellStart"/>
      <w:r w:rsidRPr="00AB5C38">
        <w:rPr>
          <w:rFonts w:ascii="Times New Roman" w:hAnsi="Times New Roman" w:cs="Times New Roman"/>
          <w:sz w:val="20"/>
          <w:szCs w:val="20"/>
        </w:rPr>
        <w:t>Šebeková</w:t>
      </w:r>
      <w:proofErr w:type="spellEnd"/>
      <w:r w:rsidRPr="00AB5C38">
        <w:rPr>
          <w:rFonts w:ascii="Times New Roman" w:hAnsi="Times New Roman" w:cs="Times New Roman"/>
          <w:sz w:val="20"/>
          <w:szCs w:val="20"/>
        </w:rPr>
        <w:t xml:space="preserve"> et al., 2020). There is limited information regar</w:t>
      </w:r>
      <w:r w:rsidRPr="00AB5C38">
        <w:rPr>
          <w:rFonts w:ascii="Times New Roman" w:hAnsi="Times New Roman" w:cs="Times New Roman"/>
          <w:sz w:val="20"/>
          <w:szCs w:val="20"/>
        </w:rPr>
        <w:t>ding severe uncontrolled hypertension</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however</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high-risk areas persist despite improvements in average management. A systemic perspective that differentiates between common causes and outcome-specific noise can clarify </w:t>
      </w:r>
      <w:r>
        <w:rPr>
          <w:rFonts w:ascii="Times New Roman" w:eastAsia="Calibri" w:hAnsi="Times New Roman" w:cs="Times New Roman"/>
          <w:sz w:val="20"/>
          <w:szCs w:val="20"/>
        </w:rPr>
        <w:t>a</w:t>
      </w:r>
      <w:r w:rsidRPr="00AB5C38">
        <w:rPr>
          <w:rFonts w:ascii="Times New Roman" w:hAnsi="Times New Roman" w:cs="Times New Roman"/>
          <w:sz w:val="20"/>
          <w:szCs w:val="20"/>
        </w:rPr>
        <w:t xml:space="preserve"> suitable path of action. This stud</w:t>
      </w:r>
      <w:r w:rsidRPr="00AB5C38">
        <w:rPr>
          <w:rFonts w:ascii="Times New Roman" w:hAnsi="Times New Roman" w:cs="Times New Roman"/>
          <w:sz w:val="20"/>
          <w:szCs w:val="20"/>
        </w:rPr>
        <w:t>y aims to quantify the disparities between men and women in the hypertension cascade, identify a shared underlying factor that elucidates the temporal changes in the system, and examine projections and policy scenarios for 2030 that alter diagnostic and tr</w:t>
      </w:r>
      <w:r w:rsidRPr="00AB5C38">
        <w:rPr>
          <w:rFonts w:ascii="Times New Roman" w:hAnsi="Times New Roman" w:cs="Times New Roman"/>
          <w:sz w:val="20"/>
          <w:szCs w:val="20"/>
        </w:rPr>
        <w:t>eatment approaches.</w:t>
      </w:r>
    </w:p>
    <w:p w14:paraId="0B748A95" w14:textId="5DC44DC7" w:rsidR="00AB5C38" w:rsidRPr="00AB5C38" w:rsidRDefault="008A3565" w:rsidP="00AB5C38">
      <w:pPr>
        <w:jc w:val="both"/>
        <w:rPr>
          <w:rFonts w:ascii="Times New Roman" w:hAnsi="Times New Roman" w:cs="Times New Roman"/>
          <w:b/>
          <w:bCs/>
          <w:sz w:val="20"/>
          <w:szCs w:val="20"/>
          <w:lang w:val=""/>
        </w:rPr>
      </w:pPr>
      <w:r w:rsidRPr="00AB5C38">
        <w:rPr>
          <w:rFonts w:ascii="Times New Roman" w:hAnsi="Times New Roman" w:cs="Times New Roman"/>
          <w:b/>
          <w:bCs/>
          <w:sz w:val="20"/>
          <w:szCs w:val="20"/>
        </w:rPr>
        <w:t xml:space="preserve">Materials and </w:t>
      </w:r>
      <w:r>
        <w:rPr>
          <w:rFonts w:ascii="Times New Roman" w:eastAsia="Calibri" w:hAnsi="Times New Roman" w:cs="Times New Roman"/>
          <w:b/>
          <w:bCs/>
          <w:sz w:val="20"/>
          <w:szCs w:val="20"/>
        </w:rPr>
        <w:t>methods</w:t>
      </w:r>
    </w:p>
    <w:p w14:paraId="0B1F08FA" w14:textId="40E971B1" w:rsidR="00AB5C38" w:rsidRPr="00AB5C38" w:rsidRDefault="008A3565"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t>Data source and demographic population. The NCD-</w:t>
      </w:r>
      <w:proofErr w:type="spellStart"/>
      <w:r w:rsidRPr="00AB5C38">
        <w:rPr>
          <w:rFonts w:ascii="Times New Roman" w:hAnsi="Times New Roman" w:cs="Times New Roman"/>
          <w:sz w:val="20"/>
          <w:szCs w:val="20"/>
        </w:rPr>
        <w:t>RisC</w:t>
      </w:r>
      <w:proofErr w:type="spellEnd"/>
      <w:r w:rsidRPr="00AB5C38">
        <w:rPr>
          <w:rFonts w:ascii="Times New Roman" w:hAnsi="Times New Roman" w:cs="Times New Roman"/>
          <w:sz w:val="20"/>
          <w:szCs w:val="20"/>
        </w:rPr>
        <w:t xml:space="preserve"> portal compiled Hypertension Africa, which provides annual indexed, country-aggregated metrics for Africa from 1990</w:t>
      </w:r>
      <w:r>
        <w:rPr>
          <w:rFonts w:ascii="Times New Roman" w:eastAsia="Calibri" w:hAnsi="Times New Roman" w:cs="Times New Roman"/>
          <w:sz w:val="20"/>
          <w:szCs w:val="20"/>
        </w:rPr>
        <w:t>-</w:t>
      </w:r>
      <w:r w:rsidRPr="00AB5C38">
        <w:rPr>
          <w:rFonts w:ascii="Times New Roman" w:hAnsi="Times New Roman" w:cs="Times New Roman"/>
          <w:sz w:val="20"/>
          <w:szCs w:val="20"/>
        </w:rPr>
        <w:t>2019 for adults aged 30</w:t>
      </w:r>
      <w:r>
        <w:rPr>
          <w:rFonts w:ascii="Times New Roman" w:eastAsia="Calibri" w:hAnsi="Times New Roman" w:cs="Times New Roman"/>
          <w:sz w:val="20"/>
          <w:szCs w:val="20"/>
        </w:rPr>
        <w:t>-</w:t>
      </w:r>
      <w:r w:rsidRPr="00AB5C38">
        <w:rPr>
          <w:rFonts w:ascii="Times New Roman" w:hAnsi="Times New Roman" w:cs="Times New Roman"/>
          <w:sz w:val="20"/>
          <w:szCs w:val="20"/>
        </w:rPr>
        <w:t>79 years, categorized</w:t>
      </w:r>
      <w:r w:rsidRPr="00AB5C38">
        <w:rPr>
          <w:rFonts w:ascii="Times New Roman" w:hAnsi="Times New Roman" w:cs="Times New Roman"/>
          <w:sz w:val="20"/>
          <w:szCs w:val="20"/>
        </w:rPr>
        <w:t xml:space="preserve"> by </w:t>
      </w:r>
      <w:r>
        <w:rPr>
          <w:rFonts w:ascii="Times New Roman" w:eastAsia="Calibri" w:hAnsi="Times New Roman" w:cs="Times New Roman"/>
          <w:sz w:val="20"/>
          <w:szCs w:val="20"/>
        </w:rPr>
        <w:t>sex</w:t>
      </w:r>
      <w:r w:rsidRPr="00AB5C38">
        <w:rPr>
          <w:rFonts w:ascii="Times New Roman" w:hAnsi="Times New Roman" w:cs="Times New Roman"/>
          <w:sz w:val="20"/>
          <w:szCs w:val="20"/>
        </w:rPr>
        <w:t>. Hypertension was defined as a systolic blood pressure of ≥140 mmHg, a diastolic blood pressure of ≥90 mmHg, or the administration of antihypertensive medication. The analytical file comprises 60 rows, with 30 allocated to each gender. Five age-sta</w:t>
      </w:r>
      <w:r w:rsidRPr="00AB5C38">
        <w:rPr>
          <w:rFonts w:ascii="Times New Roman" w:hAnsi="Times New Roman" w:cs="Times New Roman"/>
          <w:sz w:val="20"/>
          <w:szCs w:val="20"/>
        </w:rPr>
        <w:t>ndardized indicators and five crude indicators were analysed: prevalence, diagnosis among all individuals with hypertension, treatment among all individuals with hypertension, control among all individuals with hypertension, and untreated stage</w:t>
      </w:r>
      <w:r w:rsidR="00F16B11">
        <w:rPr>
          <w:rFonts w:ascii="Times New Roman" w:eastAsia="Calibri" w:hAnsi="Times New Roman" w:cs="Times New Roman"/>
          <w:sz w:val="20"/>
          <w:szCs w:val="20"/>
        </w:rPr>
        <w:t>-</w:t>
      </w:r>
      <w:r w:rsidRPr="00AB5C38">
        <w:rPr>
          <w:rFonts w:ascii="Times New Roman" w:hAnsi="Times New Roman" w:cs="Times New Roman"/>
          <w:sz w:val="20"/>
          <w:szCs w:val="20"/>
        </w:rPr>
        <w:t>2 hypertens</w:t>
      </w:r>
      <w:r w:rsidRPr="00AB5C38">
        <w:rPr>
          <w:rFonts w:ascii="Times New Roman" w:hAnsi="Times New Roman" w:cs="Times New Roman"/>
          <w:sz w:val="20"/>
          <w:szCs w:val="20"/>
        </w:rPr>
        <w:t>ion among all individuals with hypertension. Indicators were considered ratios. We aggregated the numbers and coverage, thereafter calculating the mean, standard deviation, minimum, and maximum for each sex and overall.</w:t>
      </w:r>
    </w:p>
    <w:p w14:paraId="1C771C29" w14:textId="77777777" w:rsidR="00AB5C38" w:rsidRPr="00C016D6" w:rsidRDefault="008A3565" w:rsidP="00AB5C38">
      <w:pPr>
        <w:rPr>
          <w:rFonts w:ascii="Times New Roman" w:hAnsi="Times New Roman" w:cs="Times New Roman"/>
          <w:b/>
          <w:bCs/>
          <w:sz w:val="20"/>
          <w:szCs w:val="20"/>
        </w:rPr>
      </w:pPr>
      <w:r w:rsidRPr="00C016D6">
        <w:rPr>
          <w:rFonts w:ascii="Times New Roman" w:hAnsi="Times New Roman" w:cs="Times New Roman"/>
          <w:b/>
          <w:bCs/>
          <w:sz w:val="20"/>
          <w:szCs w:val="20"/>
        </w:rPr>
        <w:t>Models used</w:t>
      </w:r>
    </w:p>
    <w:p w14:paraId="20800559" w14:textId="5C1B2A5F" w:rsidR="00AB5C38" w:rsidRPr="00C016D6" w:rsidRDefault="008A3565"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Data scale and index set: outcomes are indexed by </w:t>
      </w:r>
      <m:oMath>
        <m:r>
          <w:rPr>
            <w:rFonts w:ascii="Cambria Math" w:hAnsi="Cambria Math" w:cs="Times New Roman"/>
            <w:sz w:val="20"/>
            <w:szCs w:val="20"/>
          </w:rPr>
          <m:t>i</m:t>
        </m:r>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1,…,10</m:t>
            </m:r>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calendar years by </w:t>
      </w:r>
      <m:oMath>
        <m:r>
          <w:rPr>
            <w:rFonts w:ascii="Cambria Math" w:hAnsi="Cambria Math" w:cs="Times New Roman"/>
            <w:sz w:val="20"/>
            <w:szCs w:val="20"/>
          </w:rPr>
          <m:t>t</m:t>
        </m:r>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1990,…,2019</m:t>
            </m:r>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and sex by </w:t>
      </w:r>
      <m:oMath>
        <m:r>
          <w:rPr>
            <w:rFonts w:ascii="Cambria Math" w:hAnsi="Cambria Math" w:cs="Times New Roman"/>
            <w:sz w:val="20"/>
            <w:szCs w:val="20"/>
          </w:rPr>
          <m:t>s</m:t>
        </m:r>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Men</m:t>
            </m:r>
            <m:r>
              <w:rPr>
                <w:rFonts w:ascii="Cambria Math" w:hAnsi="Cambria Math" w:cs="Times New Roman"/>
                <w:sz w:val="20"/>
                <w:szCs w:val="20"/>
              </w:rPr>
              <m:t xml:space="preserve">, </m:t>
            </m:r>
            <m:r>
              <w:rPr>
                <w:rFonts w:ascii="Cambria Math" w:hAnsi="Cambria Math" w:cs="Times New Roman"/>
                <w:sz w:val="20"/>
                <w:szCs w:val="20"/>
              </w:rPr>
              <m:t>Women</m:t>
            </m:r>
          </m:e>
        </m:d>
        <m:r>
          <w:rPr>
            <w:rFonts w:ascii="Cambria Math" w:hAnsi="Cambria Math" w:cs="Times New Roman"/>
            <w:sz w:val="20"/>
            <w:szCs w:val="20"/>
          </w:rPr>
          <m:t>.</m:t>
        </m:r>
      </m:oMath>
      <w:r w:rsidRPr="00C016D6">
        <w:rPr>
          <w:rFonts w:ascii="Times New Roman" w:hAnsi="Times New Roman" w:cs="Times New Roman"/>
          <w:sz w:val="20"/>
          <w:szCs w:val="20"/>
        </w:rPr>
        <w:t xml:space="preserve"> Each observed indicator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0,1</m:t>
            </m:r>
          </m:e>
        </m:d>
      </m:oMath>
      <w:r w:rsidRPr="00C016D6">
        <w:rPr>
          <w:rFonts w:ascii="Times New Roman" w:hAnsi="Times New Roman" w:cs="Times New Roman"/>
          <w:sz w:val="20"/>
          <w:szCs w:val="20"/>
        </w:rPr>
        <w:t xml:space="preserve"> is a proportion. Values equal to 0 or 1 are mapped </w:t>
      </w:r>
      <w:r w:rsidRPr="00C016D6">
        <w:rPr>
          <w:rFonts w:ascii="Times New Roman" w:hAnsi="Times New Roman" w:cs="Times New Roman"/>
          <w:sz w:val="20"/>
          <w:szCs w:val="20"/>
        </w:rPr>
        <w:lastRenderedPageBreak/>
        <w:t xml:space="preserve">into </w:t>
      </w:r>
      <m:oMath>
        <m:d>
          <m:dPr>
            <m:ctrlPr>
              <w:rPr>
                <w:rFonts w:ascii="Cambria Math" w:hAnsi="Cambria Math" w:cs="Times New Roman"/>
                <w:i/>
                <w:sz w:val="20"/>
                <w:szCs w:val="20"/>
              </w:rPr>
            </m:ctrlPr>
          </m:dPr>
          <m:e>
            <m:r>
              <w:rPr>
                <w:rFonts w:ascii="Cambria Math" w:hAnsi="Cambria Math" w:cs="Times New Roman"/>
                <w:sz w:val="20"/>
                <w:szCs w:val="20"/>
              </w:rPr>
              <m:t>0,1</m:t>
            </m:r>
          </m:e>
        </m:d>
      </m:oMath>
      <w:r w:rsidRPr="00C016D6">
        <w:rPr>
          <w:rFonts w:ascii="Times New Roman" w:eastAsiaTheme="minorEastAsia" w:hAnsi="Times New Roman" w:cs="Times New Roman"/>
          <w:sz w:val="20"/>
          <w:szCs w:val="20"/>
        </w:rPr>
        <w:t xml:space="preserve"> </w:t>
      </w:r>
      <w:r w:rsidRPr="00C016D6">
        <w:rPr>
          <w:rFonts w:ascii="Times New Roman" w:eastAsia="Times New Roman" w:hAnsi="Times New Roman" w:cs="Times New Roman"/>
          <w:sz w:val="20"/>
          <w:szCs w:val="20"/>
        </w:rPr>
        <w:t>via</w:t>
      </w:r>
      <w:r w:rsidRPr="00C016D6">
        <w:rPr>
          <w:rFonts w:ascii="Times New Roman" w:eastAsiaTheme="minorEastAsia" w:hAnsi="Times New Roman" w:cs="Times New Roman"/>
          <w:sz w:val="20"/>
          <w:szCs w:val="20"/>
        </w:rPr>
        <w:t xml:space="preserve"> a standard adjustment pr</w:t>
      </w:r>
      <w:r w:rsidRPr="00C016D6">
        <w:rPr>
          <w:rFonts w:ascii="Times New Roman" w:eastAsiaTheme="minorEastAsia" w:hAnsi="Times New Roman" w:cs="Times New Roman"/>
          <w:sz w:val="20"/>
          <w:szCs w:val="20"/>
        </w:rPr>
        <w:t xml:space="preserve">ior to </w:t>
      </w:r>
      <w:r w:rsidRPr="00C016D6">
        <w:rPr>
          <w:rFonts w:ascii="Times New Roman" w:eastAsia="Times New Roman" w:hAnsi="Times New Roman" w:cs="Times New Roman"/>
          <w:sz w:val="20"/>
          <w:szCs w:val="20"/>
        </w:rPr>
        <w:t>modelling</w:t>
      </w:r>
      <w:r w:rsidRPr="00C016D6">
        <w:rPr>
          <w:rFonts w:ascii="Times New Roman" w:eastAsiaTheme="minorEastAsia" w:hAnsi="Times New Roman" w:cs="Times New Roman"/>
          <w:sz w:val="20"/>
          <w:szCs w:val="20"/>
        </w:rPr>
        <w:t>, and interpretations are returned to the proportion scale via the inverse</w:t>
      </w:r>
      <w:r w:rsidR="00F16B11" w:rsidRPr="00C016D6">
        <w:rPr>
          <w:rFonts w:ascii="Times New Roman" w:eastAsia="Times New Roman" w:hAnsi="Times New Roman" w:cs="Times New Roman"/>
          <w:sz w:val="20"/>
          <w:szCs w:val="20"/>
        </w:rPr>
        <w:t>-</w:t>
      </w:r>
      <w:r w:rsidRPr="00C016D6">
        <w:rPr>
          <w:rFonts w:ascii="Times New Roman" w:eastAsiaTheme="minorEastAsia" w:hAnsi="Times New Roman" w:cs="Times New Roman"/>
          <w:sz w:val="20"/>
          <w:szCs w:val="20"/>
        </w:rPr>
        <w:t>logit.</w:t>
      </w:r>
    </w:p>
    <w:p w14:paraId="6A59E080" w14:textId="77777777" w:rsidR="00AB5C38" w:rsidRPr="00C016D6" w:rsidRDefault="008A3565" w:rsidP="00AB5C38">
      <w:pPr>
        <w:jc w:val="both"/>
        <w:rPr>
          <w:rFonts w:ascii="Times New Roman" w:hAnsi="Times New Roman" w:cs="Times New Roman"/>
          <w:b/>
          <w:bCs/>
          <w:sz w:val="20"/>
          <w:szCs w:val="20"/>
        </w:rPr>
      </w:pPr>
      <w:r w:rsidRPr="00C016D6">
        <w:rPr>
          <w:rFonts w:ascii="Times New Roman" w:hAnsi="Times New Roman" w:cs="Times New Roman"/>
          <w:b/>
          <w:bCs/>
          <w:sz w:val="20"/>
          <w:szCs w:val="20"/>
        </w:rPr>
        <w:t>Sex-effect model for each outcome (Beta GAM)</w:t>
      </w:r>
    </w:p>
    <w:p w14:paraId="15067F0C" w14:textId="2DBC4FAE" w:rsidR="00AB5C38" w:rsidRPr="00C016D6" w:rsidRDefault="008A3565"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For each outcome </w:t>
      </w:r>
      <m:oMath>
        <m:r>
          <w:rPr>
            <w:rFonts w:ascii="Cambria Math" w:hAnsi="Cambria Math" w:cs="Times New Roman"/>
            <w:sz w:val="20"/>
            <w:szCs w:val="20"/>
          </w:rPr>
          <m:t>i</m:t>
        </m:r>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year </w:t>
      </w:r>
      <m:oMath>
        <m:r>
          <w:rPr>
            <w:rFonts w:ascii="Cambria Math" w:hAnsi="Cambria Math" w:cs="Times New Roman"/>
            <w:sz w:val="20"/>
            <w:szCs w:val="20"/>
          </w:rPr>
          <m:t>t</m:t>
        </m:r>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and sex </w:t>
      </w:r>
      <m:oMath>
        <m:r>
          <w:rPr>
            <w:rFonts w:ascii="Cambria Math" w:hAnsi="Cambria Math" w:cs="Times New Roman"/>
            <w:sz w:val="20"/>
            <w:szCs w:val="20"/>
          </w:rPr>
          <m:t>s</m:t>
        </m:r>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r>
          <w:rPr>
            <w:rFonts w:ascii="Cambria Math" w:hAnsi="Cambria Math" w:cs="Times New Roman"/>
            <w:sz w:val="20"/>
            <w:szCs w:val="20"/>
          </w:rPr>
          <m:t>Beta</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with </w:t>
      </w:r>
      <w:r w:rsidRPr="00C016D6">
        <w:rPr>
          <w:rFonts w:ascii="Times New Roman" w:eastAsia="Times New Roman" w:hAnsi="Times New Roman" w:cs="Times New Roman"/>
          <w:sz w:val="20"/>
          <w:szCs w:val="20"/>
        </w:rPr>
        <w:t xml:space="preserve">the </w:t>
      </w:r>
      <w:r w:rsidRPr="00C016D6">
        <w:rPr>
          <w:rFonts w:ascii="Times New Roman" w:eastAsiaTheme="minorEastAsia" w:hAnsi="Times New Roman" w:cs="Times New Roman"/>
          <w:sz w:val="20"/>
          <w:szCs w:val="20"/>
        </w:rPr>
        <w:t>mean linke</w:t>
      </w:r>
      <w:r w:rsidRPr="00C016D6">
        <w:rPr>
          <w:rFonts w:ascii="Times New Roman" w:eastAsiaTheme="minorEastAsia" w:hAnsi="Times New Roman" w:cs="Times New Roman"/>
          <w:sz w:val="20"/>
          <w:szCs w:val="20"/>
        </w:rPr>
        <w:t xml:space="preserve">d on the logit scale through </w:t>
      </w:r>
      <m:oMath>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r>
          <w:rPr>
            <w:rFonts w:ascii="Cambria Math" w:hAnsi="Cambria Math" w:cs="Times New Roman"/>
            <w:sz w:val="20"/>
            <w:szCs w:val="20"/>
          </w:rPr>
          <m:t>I</m:t>
        </m:r>
        <m:d>
          <m:dPr>
            <m:begChr m:val="{"/>
            <m:endChr m:val="}"/>
            <m:ctrlPr>
              <w:rPr>
                <w:rFonts w:ascii="Cambria Math" w:hAnsi="Cambria Math" w:cs="Times New Roman"/>
                <w:i/>
                <w:sz w:val="20"/>
                <w:szCs w:val="20"/>
              </w:rPr>
            </m:ctrlPr>
          </m:dPr>
          <m:e>
            <m:r>
              <w:rPr>
                <w:rFonts w:ascii="Cambria Math" w:hAnsi="Cambria Math" w:cs="Times New Roman"/>
                <w:sz w:val="20"/>
                <w:szCs w:val="20"/>
              </w:rPr>
              <m:t>s</m:t>
            </m:r>
            <m:r>
              <w:rPr>
                <w:rFonts w:ascii="Cambria Math" w:hAnsi="Cambria Math" w:cs="Times New Roman"/>
                <w:sz w:val="20"/>
                <w:szCs w:val="20"/>
              </w:rPr>
              <m:t>=</m:t>
            </m:r>
            <m:r>
              <w:rPr>
                <w:rFonts w:ascii="Cambria Math" w:hAnsi="Cambria Math" w:cs="Times New Roman"/>
                <w:sz w:val="20"/>
                <w:szCs w:val="20"/>
              </w:rPr>
              <m:t>Women</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C016D6">
        <w:rPr>
          <w:rFonts w:ascii="Times New Roman" w:eastAsia="Calibri" w:hAnsi="Times New Roman" w:cs="Times New Roman"/>
          <w:sz w:val="20"/>
          <w:szCs w:val="20"/>
        </w:rPr>
        <w:t>,</w:t>
      </w:r>
      <w:r w:rsidRPr="00C016D6">
        <w:rPr>
          <w:rFonts w:ascii="Times New Roman" w:eastAsiaTheme="minorEastAsia" w:hAnsi="Times New Roman" w:cs="Times New Roman"/>
          <w:sz w:val="20"/>
          <w:szCs w:val="20"/>
        </w:rPr>
        <w:t xml:space="preserve"> where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C016D6">
        <w:rPr>
          <w:rFonts w:ascii="Times New Roman" w:eastAsiaTheme="minorEastAsia" w:hAnsi="Times New Roman" w:cs="Times New Roman"/>
          <w:sz w:val="20"/>
          <w:szCs w:val="20"/>
        </w:rPr>
        <w:t xml:space="preserve"> is a smooth function </w:t>
      </w:r>
      <w:r w:rsidRPr="00C016D6">
        <w:rPr>
          <w:rFonts w:ascii="Times New Roman" w:hAnsi="Times New Roman" w:cs="Times New Roman"/>
          <w:sz w:val="20"/>
          <w:szCs w:val="20"/>
        </w:rPr>
        <w:t xml:space="preserve">of </w:t>
      </w:r>
      <w:r w:rsidRPr="00C016D6">
        <w:rPr>
          <w:rFonts w:ascii="Times New Roman" w:eastAsia="Calibri" w:hAnsi="Times New Roman" w:cs="Times New Roman"/>
          <w:sz w:val="20"/>
          <w:szCs w:val="20"/>
        </w:rPr>
        <w:t xml:space="preserve">the </w:t>
      </w:r>
      <w:r w:rsidRPr="00C016D6">
        <w:rPr>
          <w:rFonts w:ascii="Times New Roman" w:hAnsi="Times New Roman" w:cs="Times New Roman"/>
          <w:sz w:val="20"/>
          <w:szCs w:val="20"/>
        </w:rPr>
        <w:t xml:space="preserve">calendar year represented with a penalized spline,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r>
          <w:rPr>
            <w:rFonts w:ascii="Cambria Math" w:hAnsi="Cambria Math" w:cs="Times New Roman"/>
            <w:sz w:val="20"/>
            <w:szCs w:val="20"/>
          </w:rPr>
          <m:t>b</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t</m:t>
                </m:r>
              </m:e>
            </m:d>
          </m:e>
          <m:sup>
            <m:r>
              <w:rPr>
                <w:rFonts w:ascii="Cambria Math" w:hAnsi="Cambria Math" w:cs="Times New Roman"/>
                <w:sz w:val="20"/>
                <w:szCs w:val="20"/>
              </w:rPr>
              <m:t>T</m:t>
            </m:r>
          </m:sup>
        </m:sSup>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i</m:t>
            </m:r>
          </m:sub>
        </m:sSub>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penalty: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i</m:t>
            </m:r>
          </m:sub>
        </m:sSub>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γ</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T</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γ</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oMath>
      <w:r w:rsidRPr="00C016D6">
        <w:rPr>
          <w:rFonts w:ascii="Times New Roman" w:eastAsiaTheme="minorEastAsia" w:hAnsi="Times New Roman" w:cs="Times New Roman"/>
          <w:sz w:val="20"/>
          <w:szCs w:val="20"/>
        </w:rPr>
        <w:t xml:space="preserve"> Sex effects are reported as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i</m:t>
            </m:r>
          </m:sub>
        </m:sSub>
      </m:oMath>
      <w:r w:rsidRPr="00C016D6">
        <w:rPr>
          <w:rFonts w:ascii="Times New Roman" w:eastAsiaTheme="minorEastAsia" w:hAnsi="Times New Roman" w:cs="Times New Roman"/>
          <w:sz w:val="20"/>
          <w:szCs w:val="20"/>
        </w:rPr>
        <w:t xml:space="preserve"> on the logit scale and as odds ratios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OR</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r>
          <w:rPr>
            <w:rFonts w:ascii="Cambria Math" w:eastAsiaTheme="minorEastAsia" w:hAnsi="Cambria Math" w:cs="Times New Roman"/>
            <w:sz w:val="20"/>
            <w:szCs w:val="20"/>
          </w:rPr>
          <m:t>exp</m:t>
        </m:r>
        <m:d>
          <m:dPr>
            <m:ctrlPr>
              <w:rPr>
                <w:rFonts w:ascii="Cambria Math" w:eastAsiaTheme="minorEastAsia" w:hAnsi="Cambria Math" w:cs="Times New Roman"/>
                <w:i/>
                <w:sz w:val="20"/>
                <w:szCs w:val="20"/>
              </w:rPr>
            </m:ctrlPr>
          </m:d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i</m:t>
                </m:r>
              </m:sub>
            </m:sSub>
          </m:e>
        </m:d>
      </m:oMath>
      <w:r w:rsidRPr="00C016D6">
        <w:rPr>
          <w:rFonts w:ascii="Times New Roman" w:eastAsiaTheme="minorEastAsia" w:hAnsi="Times New Roman" w:cs="Times New Roman"/>
          <w:sz w:val="20"/>
          <w:szCs w:val="20"/>
        </w:rPr>
        <w:t xml:space="preserve"> with</w:t>
      </w:r>
      <w:r w:rsidRPr="00C016D6">
        <w:rPr>
          <w:rFonts w:ascii="Times New Roman" w:eastAsia="Times New Roman" w:hAnsi="Times New Roman" w:cs="Times New Roman"/>
          <w:sz w:val="20"/>
          <w:szCs w:val="20"/>
        </w:rPr>
        <w:t xml:space="preserve"> the </w:t>
      </w:r>
      <w:r w:rsidRPr="00C016D6">
        <w:rPr>
          <w:rFonts w:ascii="Times New Roman" w:eastAsiaTheme="minorEastAsia" w:hAnsi="Times New Roman" w:cs="Times New Roman"/>
          <w:sz w:val="20"/>
          <w:szCs w:val="20"/>
        </w:rPr>
        <w:t>Wald interval.</w:t>
      </w:r>
    </w:p>
    <w:p w14:paraId="35449C18" w14:textId="77777777" w:rsidR="00AB5C38" w:rsidRPr="00C016D6" w:rsidRDefault="008A3565" w:rsidP="00AB5C38">
      <w:pPr>
        <w:jc w:val="both"/>
        <w:rPr>
          <w:rFonts w:ascii="Times New Roman" w:hAnsi="Times New Roman" w:cs="Times New Roman"/>
          <w:b/>
          <w:bCs/>
          <w:sz w:val="20"/>
          <w:szCs w:val="20"/>
        </w:rPr>
      </w:pPr>
      <w:r w:rsidRPr="00C016D6">
        <w:rPr>
          <w:rFonts w:ascii="Times New Roman" w:hAnsi="Times New Roman" w:cs="Times New Roman"/>
          <w:b/>
          <w:bCs/>
          <w:sz w:val="20"/>
          <w:szCs w:val="20"/>
        </w:rPr>
        <w:t>Dynamic factor model for joint temporal dynamics</w:t>
      </w:r>
    </w:p>
    <w:p w14:paraId="2425090E" w14:textId="77777777" w:rsidR="00AB5C38" w:rsidRPr="00C016D6" w:rsidRDefault="008A3565"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Let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oMath>
      <w:r w:rsidRPr="00C016D6">
        <w:rPr>
          <w:rFonts w:ascii="Times New Roman" w:hAnsi="Times New Roman" w:cs="Times New Roman"/>
          <w:sz w:val="20"/>
          <w:szCs w:val="20"/>
        </w:rPr>
        <w:t xml:space="preserve"> denote the logit transformation of the adjusted proportion,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r>
          <w:rPr>
            <w:rFonts w:ascii="Cambria Math" w:hAnsi="Cambria Math" w:cs="Times New Roman"/>
            <w:sz w:val="20"/>
            <w:szCs w:val="20"/>
          </w:rPr>
          <m:t>.</m:t>
        </m:r>
      </m:oMath>
      <w:r w:rsidRPr="00C016D6">
        <w:rPr>
          <w:rFonts w:ascii="Times New Roman" w:hAnsi="Times New Roman" w:cs="Times New Roman"/>
          <w:sz w:val="20"/>
          <w:szCs w:val="20"/>
        </w:rPr>
        <w:t xml:space="preserve"> For each sex </w:t>
      </w:r>
      <m:oMath>
        <m:r>
          <w:rPr>
            <w:rFonts w:ascii="Cambria Math" w:hAnsi="Cambria Math" w:cs="Times New Roman"/>
            <w:sz w:val="20"/>
            <w:szCs w:val="20"/>
          </w:rPr>
          <m:t>s</m:t>
        </m:r>
        <m:r>
          <w:rPr>
            <w:rFonts w:ascii="Cambria Math" w:hAnsi="Cambria Math" w:cs="Times New Roman"/>
            <w:sz w:val="20"/>
            <w:szCs w:val="20"/>
          </w:rPr>
          <m:t xml:space="preserve">, </m:t>
        </m:r>
      </m:oMath>
      <w:r w:rsidRPr="00C016D6">
        <w:rPr>
          <w:rFonts w:ascii="Times New Roman" w:hAnsi="Times New Roman" w:cs="Times New Roman"/>
          <w:sz w:val="20"/>
          <w:szCs w:val="20"/>
        </w:rPr>
        <w:t xml:space="preserve">joint </w:t>
      </w:r>
      <w:r w:rsidRPr="00C016D6">
        <w:rPr>
          <w:rFonts w:ascii="Times New Roman" w:hAnsi="Times New Roman" w:cs="Times New Roman"/>
          <w:sz w:val="20"/>
          <w:szCs w:val="20"/>
        </w:rPr>
        <w:t>evolution is represented by a single latent factor</w:t>
      </w:r>
    </w:p>
    <w:p w14:paraId="3BD92ABD" w14:textId="2C499569" w:rsidR="00AB5C38" w:rsidRPr="00C016D6" w:rsidRDefault="008A3565" w:rsidP="00AB5C38">
      <w:pPr>
        <w:jc w:val="both"/>
        <w:rPr>
          <w:rFonts w:ascii="Times New Roman" w:eastAsiaTheme="minorEastAsia" w:hAnsi="Times New Roman" w:cs="Times New Roman"/>
          <w:sz w:val="20"/>
          <w:szCs w:val="20"/>
        </w:rPr>
      </w:pPr>
      <w:r w:rsidRPr="00C016D6">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groupChr>
          </m:e>
          <m:lim>
            <m:r>
              <w:rPr>
                <w:rFonts w:ascii="Cambria Math" w:hAnsi="Cambria Math" w:cs="Times New Roman"/>
                <w:sz w:val="20"/>
                <w:szCs w:val="20"/>
              </w:rPr>
              <m:t>logitprop</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e>
            </m:groupChr>
          </m:e>
          <m:lim>
            <m:r>
              <w:rPr>
                <w:rFonts w:ascii="Cambria Math" w:hAnsi="Cambria Math" w:cs="Times New Roman"/>
                <w:sz w:val="20"/>
                <w:szCs w:val="20"/>
              </w:rPr>
              <m:t>intercept</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e>
            </m:groupChr>
          </m:e>
          <m:lim>
            <m:r>
              <w:rPr>
                <w:rFonts w:ascii="Cambria Math" w:hAnsi="Cambria Math" w:cs="Times New Roman"/>
                <w:sz w:val="20"/>
                <w:szCs w:val="20"/>
              </w:rPr>
              <m:t>loading</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groupChr>
          </m:e>
          <m:lim>
            <m:r>
              <w:rPr>
                <w:rFonts w:ascii="Cambria Math" w:hAnsi="Cambria Math" w:cs="Times New Roman"/>
                <w:sz w:val="20"/>
                <w:szCs w:val="20"/>
              </w:rPr>
              <m:t>s</m:t>
            </m:r>
            <m:r>
              <w:rPr>
                <w:rFonts w:ascii="Cambria Math" w:hAnsi="Cambria Math" w:cs="Times New Roman"/>
                <w:sz w:val="20"/>
                <w:szCs w:val="20"/>
              </w:rPr>
              <m:t>h</m:t>
            </m:r>
            <m:r>
              <w:rPr>
                <w:rFonts w:ascii="Cambria Math" w:hAnsi="Cambria Math" w:cs="Times New Roman"/>
                <w:sz w:val="20"/>
                <w:szCs w:val="20"/>
              </w:rPr>
              <m:t>aredfactor</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groupChr>
          </m:e>
          <m:lim>
            <m:r>
              <w:rPr>
                <w:rFonts w:ascii="Cambria Math" w:hAnsi="Cambria Math" w:cs="Times New Roman"/>
                <w:sz w:val="20"/>
                <w:szCs w:val="20"/>
              </w:rPr>
              <m:t>idiosyncratic</m:t>
            </m:r>
          </m:lim>
        </m:limLow>
        <m:r>
          <w:rPr>
            <w:rFonts w:ascii="Cambria Math" w:hAnsi="Cambria Math" w:cs="Times New Roman"/>
            <w:sz w:val="20"/>
            <w:szCs w:val="20"/>
          </w:rPr>
          <m:t>,</m:t>
        </m:r>
      </m:oMath>
    </w:p>
    <w:p w14:paraId="15496789" w14:textId="77777777" w:rsidR="00AB5C38" w:rsidRPr="00C016D6" w:rsidRDefault="008A3565" w:rsidP="00AB5C38">
      <w:pPr>
        <w:jc w:val="both"/>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r>
          <m:rPr>
            <m:scr m:val="script"/>
          </m:rP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0,</m:t>
            </m:r>
            <m:sSubSup>
              <m:sSubSupPr>
                <m:ctrlPr>
                  <w:rPr>
                    <w:rFonts w:ascii="Cambria Math" w:hAnsi="Cambria Math" w:cs="Times New Roman"/>
                    <w:i/>
                    <w:sz w:val="20"/>
                    <w:szCs w:val="20"/>
                  </w:rPr>
                </m:ctrlPr>
              </m:sSubSupPr>
              <m:e>
                <m:r>
                  <w:rPr>
                    <w:rFonts w:ascii="Cambria Math" w:hAnsi="Cambria Math" w:cs="Times New Roman"/>
                    <w:sz w:val="20"/>
                    <w:szCs w:val="20"/>
                  </w:rPr>
                  <m:t>σ</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up>
                <m:r>
                  <w:rPr>
                    <w:rFonts w:ascii="Cambria Math" w:hAnsi="Cambria Math" w:cs="Times New Roman"/>
                    <w:sz w:val="20"/>
                    <w:szCs w:val="20"/>
                  </w:rPr>
                  <m:t>2</m:t>
                </m:r>
              </m:sup>
            </m:sSubSup>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ϕ</m:t>
            </m:r>
          </m:e>
          <m:sub>
            <m:r>
              <w:rPr>
                <w:rFonts w:ascii="Cambria Math" w:eastAsiaTheme="minorEastAsia" w:hAnsi="Cambria Math" w:cs="Times New Roman"/>
                <w:sz w:val="20"/>
                <w:szCs w:val="20"/>
              </w:rPr>
              <m:t>s</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t</m:t>
            </m:r>
            <m:r>
              <w:rPr>
                <w:rFonts w:ascii="Cambria Math" w:eastAsiaTheme="minorEastAsia" w:hAnsi="Cambria Math" w:cs="Times New Roman"/>
                <w:sz w:val="20"/>
                <w:szCs w:val="20"/>
              </w:rPr>
              <m:t>-</m:t>
            </m:r>
            <m:r>
              <w:rPr>
                <w:rFonts w:ascii="Cambria Math" w:eastAsiaTheme="minorEastAsia" w:hAnsi="Cambria Math" w:cs="Times New Roman"/>
                <w:sz w:val="20"/>
                <w:szCs w:val="20"/>
              </w:rPr>
              <m:t>1,</m:t>
            </m:r>
            <m:r>
              <w:rPr>
                <w:rFonts w:ascii="Cambria Math" w:eastAsiaTheme="minorEastAsia" w:hAnsi="Cambria Math" w:cs="Times New Roman"/>
                <w:sz w:val="20"/>
                <w:szCs w:val="20"/>
              </w:rPr>
              <m:t>s</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Cambria Math" w:cs="Times New Roman"/>
                <w:sz w:val="20"/>
                <w:szCs w:val="20"/>
              </w:rPr>
              <m:t>t</m:t>
            </m:r>
            <m:r>
              <w:rPr>
                <w:rFonts w:ascii="Cambria Math" w:eastAsiaTheme="minorEastAsia" w:hAnsi="Cambria Math" w:cs="Times New Roman"/>
                <w:sz w:val="20"/>
                <w:szCs w:val="20"/>
              </w:rPr>
              <m:t>,</m:t>
            </m:r>
            <m:r>
              <w:rPr>
                <w:rFonts w:ascii="Cambria Math" w:eastAsiaTheme="minorEastAsia" w:hAnsi="Cambria Math" w:cs="Times New Roman"/>
                <w:sz w:val="20"/>
                <w:szCs w:val="20"/>
              </w:rPr>
              <m:t>s</m:t>
            </m:r>
            <m:r>
              <w:rPr>
                <w:rFonts w:ascii="Cambria Math" w:eastAsiaTheme="minorEastAsia" w:hAnsi="Cambria Math" w:cs="Times New Roman"/>
                <w:sz w:val="20"/>
                <w:szCs w:val="20"/>
              </w:rPr>
              <m:t>,</m:t>
            </m:r>
          </m:sub>
        </m:sSub>
      </m:oMath>
      <w:r w:rsidRPr="00C016D6">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Cambria Math" w:cs="Times New Roman"/>
                <w:sz w:val="20"/>
                <w:szCs w:val="20"/>
              </w:rPr>
              <m:t>t</m:t>
            </m:r>
            <m:r>
              <w:rPr>
                <w:rFonts w:ascii="Cambria Math" w:eastAsiaTheme="minorEastAsia" w:hAnsi="Cambria Math" w:cs="Times New Roman"/>
                <w:sz w:val="20"/>
                <w:szCs w:val="20"/>
              </w:rPr>
              <m:t>,</m:t>
            </m:r>
            <m:r>
              <w:rPr>
                <w:rFonts w:ascii="Cambria Math" w:eastAsiaTheme="minorEastAsia" w:hAnsi="Cambria Math" w:cs="Times New Roman"/>
                <w:sz w:val="20"/>
                <w:szCs w:val="20"/>
              </w:rPr>
              <m:t>s</m:t>
            </m:r>
            <m:r>
              <w:rPr>
                <w:rFonts w:ascii="Cambria Math" w:eastAsiaTheme="minorEastAsia" w:hAnsi="Cambria Math" w:cs="Times New Roman"/>
                <w:sz w:val="20"/>
                <w:szCs w:val="20"/>
              </w:rPr>
              <m:t>,</m:t>
            </m:r>
          </m:sub>
        </m:sSub>
        <m:r>
          <w:rPr>
            <w:rFonts w:ascii="Cambria Math" w:eastAsiaTheme="minorEastAsia" w:hAnsi="Cambria Math" w:cs="Times New Roman"/>
            <w:sz w:val="20"/>
            <w:szCs w:val="20"/>
          </w:rPr>
          <m:t>~</m:t>
        </m:r>
        <m:r>
          <m:rPr>
            <m:scr m:val="script"/>
          </m:rP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0,</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s</m:t>
                </m:r>
              </m:sub>
            </m:sSub>
          </m:e>
        </m:d>
      </m:oMath>
      <w:r w:rsidRPr="00C016D6">
        <w:rPr>
          <w:rFonts w:ascii="Times New Roman" w:eastAsiaTheme="minorEastAsia" w:hAnsi="Times New Roman" w:cs="Times New Roman"/>
          <w:sz w:val="20"/>
          <w:szCs w:val="20"/>
        </w:rPr>
        <w:t>.</w:t>
      </w:r>
    </w:p>
    <w:p w14:paraId="3C15A233" w14:textId="1DF5B6C3" w:rsidR="00AB5C38" w:rsidRPr="00C016D6" w:rsidRDefault="008A3565"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An identification constraint on loadings such as </w:t>
      </w:r>
      <m:oMath>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z</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=1</m:t>
        </m:r>
      </m:oMath>
      <w:r w:rsidRPr="00C016D6">
        <w:rPr>
          <w:rFonts w:ascii="Times New Roman" w:eastAsiaTheme="minorEastAsia" w:hAnsi="Times New Roman" w:cs="Times New Roman"/>
          <w:sz w:val="20"/>
          <w:szCs w:val="20"/>
        </w:rPr>
        <w:t xml:space="preserve"> is imposed.</w:t>
      </w:r>
    </w:p>
    <w:p w14:paraId="24FC578B" w14:textId="77777777" w:rsidR="00AB5C38" w:rsidRPr="00C016D6" w:rsidRDefault="008A3565"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Mapping back to the proportion scale uses </w:t>
      </w:r>
      <m:oMath>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m:t>
            </m:r>
            <m:r>
              <w:rPr>
                <w:rFonts w:ascii="Cambria Math" w:hAnsi="Cambria Math" w:cs="Times New Roman"/>
                <w:sz w:val="20"/>
                <w:szCs w:val="20"/>
              </w:rPr>
              <m:t>1</m:t>
            </m:r>
          </m:sup>
        </m:s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a</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z</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oMath>
      <w:r w:rsidRPr="00C016D6">
        <w:rPr>
          <w:rFonts w:ascii="Times New Roman" w:eastAsiaTheme="minorEastAsia" w:hAnsi="Times New Roman" w:cs="Times New Roman"/>
          <w:sz w:val="20"/>
          <w:szCs w:val="20"/>
        </w:rPr>
        <w:t>.</w:t>
      </w:r>
    </w:p>
    <w:p w14:paraId="7FB7413D" w14:textId="77777777" w:rsidR="00AB5C38" w:rsidRPr="00C016D6" w:rsidRDefault="008A3565" w:rsidP="00AB5C38">
      <w:pPr>
        <w:jc w:val="both"/>
        <w:rPr>
          <w:rFonts w:ascii="Times New Roman" w:hAnsi="Times New Roman" w:cs="Times New Roman"/>
          <w:b/>
          <w:bCs/>
          <w:sz w:val="20"/>
          <w:szCs w:val="20"/>
        </w:rPr>
      </w:pPr>
      <w:r w:rsidRPr="00C016D6">
        <w:rPr>
          <w:rFonts w:ascii="Times New Roman" w:hAnsi="Times New Roman" w:cs="Times New Roman"/>
          <w:b/>
          <w:bCs/>
          <w:sz w:val="20"/>
          <w:szCs w:val="20"/>
        </w:rPr>
        <w:t>Forecasting under the state model</w:t>
      </w:r>
    </w:p>
    <w:p w14:paraId="344EC7E2" w14:textId="402FDD42" w:rsidR="00AB5C38" w:rsidRPr="00C016D6" w:rsidRDefault="008A3565"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Let </w:t>
      </w:r>
      <m:oMath>
        <m:r>
          <w:rPr>
            <w:rFonts w:ascii="Cambria Math" w:hAnsi="Cambria Math" w:cs="Times New Roman"/>
            <w:sz w:val="20"/>
            <w:szCs w:val="20"/>
          </w:rPr>
          <m:t>T</m:t>
        </m:r>
      </m:oMath>
      <w:r w:rsidRPr="00C016D6">
        <w:rPr>
          <w:rFonts w:ascii="Times New Roman" w:eastAsiaTheme="minorEastAsia" w:hAnsi="Times New Roman" w:cs="Times New Roman"/>
          <w:sz w:val="20"/>
          <w:szCs w:val="20"/>
        </w:rPr>
        <w:t xml:space="preserve"> denote the last </w:t>
      </w:r>
      <w:r w:rsidRPr="00C016D6">
        <w:rPr>
          <w:rFonts w:ascii="Times New Roman" w:hAnsi="Times New Roman" w:cs="Times New Roman"/>
          <w:sz w:val="20"/>
          <w:szCs w:val="20"/>
        </w:rPr>
        <w:t xml:space="preserve">observed year. For horizon </w:t>
      </w:r>
      <m:oMath>
        <m:r>
          <w:rPr>
            <w:rFonts w:ascii="Cambria Math" w:hAnsi="Cambria Math" w:cs="Times New Roman"/>
            <w:sz w:val="20"/>
            <w:szCs w:val="20"/>
          </w:rPr>
          <m:t>h≥</m:t>
        </m:r>
        <m:r>
          <w:rPr>
            <w:rFonts w:ascii="Cambria Math" w:hAnsi="Cambria Math" w:cs="Times New Roman"/>
            <w:sz w:val="20"/>
            <w:szCs w:val="20"/>
          </w:rPr>
          <m:t>1,</m:t>
        </m:r>
      </m:oMath>
      <w:r w:rsidRPr="00C016D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E</m:t>
        </m:r>
        <m:d>
          <m:dPr>
            <m:begChr m:val="["/>
            <m:endChr m:val="]"/>
            <m:ctrlPr>
              <w:rPr>
                <w:rFonts w:ascii="Cambria Math" w:eastAsiaTheme="minorEastAsia"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+h,</m:t>
                </m:r>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ϕ</m:t>
            </m:r>
          </m:e>
          <m:sub>
            <m:r>
              <w:rPr>
                <w:rFonts w:ascii="Cambria Math" w:hAnsi="Cambria Math" w:cs="Times New Roman"/>
                <w:sz w:val="20"/>
                <w:szCs w:val="20"/>
              </w:rPr>
              <m:t>s</m:t>
            </m:r>
          </m:sub>
          <m:sup>
            <m:r>
              <w:rPr>
                <w:rFonts w:ascii="Cambria Math" w:hAnsi="Cambria Math" w:cs="Times New Roman"/>
                <w:sz w:val="20"/>
                <w:szCs w:val="20"/>
              </w:rPr>
              <m:t>h</m:t>
            </m:r>
          </m:sup>
        </m:sSubSup>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V</m:t>
        </m:r>
        <m:d>
          <m:dPr>
            <m:begChr m:val="["/>
            <m:endChr m:val="]"/>
            <m:ctrlPr>
              <w:rPr>
                <w:rFonts w:ascii="Cambria Math" w:eastAsiaTheme="minorEastAsia"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+h,</m:t>
                </m:r>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s</m:t>
            </m:r>
          </m:sub>
        </m:sSub>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m:t>
            </m:r>
            <m:r>
              <w:rPr>
                <w:rFonts w:ascii="Cambria Math" w:hAnsi="Cambria Math" w:cs="Times New Roman"/>
                <w:sz w:val="20"/>
                <w:szCs w:val="20"/>
              </w:rPr>
              <m:t>=0</m:t>
            </m:r>
          </m:sub>
          <m:sup>
            <m:r>
              <w:rPr>
                <w:rFonts w:ascii="Cambria Math" w:hAnsi="Cambria Math" w:cs="Times New Roman"/>
                <w:sz w:val="20"/>
                <w:szCs w:val="20"/>
              </w:rPr>
              <m:t>h-</m:t>
            </m:r>
            <m:r>
              <w:rPr>
                <w:rFonts w:ascii="Cambria Math" w:hAnsi="Cambria Math" w:cs="Times New Roman"/>
                <w:sz w:val="20"/>
                <w:szCs w:val="20"/>
              </w:rPr>
              <m:t>1</m:t>
            </m:r>
          </m:sup>
          <m:e>
            <m:sSubSup>
              <m:sSubSupPr>
                <m:ctrlPr>
                  <w:rPr>
                    <w:rFonts w:ascii="Cambria Math" w:hAnsi="Cambria Math" w:cs="Times New Roman"/>
                    <w:i/>
                    <w:sz w:val="20"/>
                    <w:szCs w:val="20"/>
                  </w:rPr>
                </m:ctrlPr>
              </m:sSubSupPr>
              <m:e>
                <m:r>
                  <w:rPr>
                    <w:rFonts w:ascii="Cambria Math" w:hAnsi="Cambria Math" w:cs="Times New Roman"/>
                    <w:sz w:val="20"/>
                    <w:szCs w:val="20"/>
                  </w:rPr>
                  <m:t>ϕ</m:t>
                </m:r>
              </m:e>
              <m:sub>
                <m:r>
                  <w:rPr>
                    <w:rFonts w:ascii="Cambria Math" w:hAnsi="Cambria Math" w:cs="Times New Roman"/>
                    <w:sz w:val="20"/>
                    <w:szCs w:val="20"/>
                  </w:rPr>
                  <m:t>s</m:t>
                </m:r>
              </m:sub>
              <m:sup>
                <m:r>
                  <w:rPr>
                    <w:rFonts w:ascii="Cambria Math" w:hAnsi="Cambria Math" w:cs="Times New Roman"/>
                    <w:sz w:val="20"/>
                    <w:szCs w:val="20"/>
                  </w:rPr>
                  <m:t>2</m:t>
                </m:r>
                <m:r>
                  <w:rPr>
                    <w:rFonts w:ascii="Cambria Math" w:hAnsi="Cambria Math" w:cs="Times New Roman"/>
                    <w:sz w:val="20"/>
                    <w:szCs w:val="20"/>
                  </w:rPr>
                  <m:t>j</m:t>
                </m:r>
              </m:sup>
            </m:sSubSup>
            <m:r>
              <w:rPr>
                <w:rFonts w:ascii="Cambria Math" w:hAnsi="Cambria Math" w:cs="Times New Roman"/>
                <w:sz w:val="20"/>
                <w:szCs w:val="20"/>
              </w:rPr>
              <m:t>.</m:t>
            </m:r>
          </m:e>
        </m:nary>
      </m:oMath>
      <w:r w:rsidRPr="00C016D6">
        <w:rPr>
          <w:rFonts w:ascii="Times New Roman" w:hAnsi="Times New Roman" w:cs="Times New Roman"/>
          <w:sz w:val="20"/>
          <w:szCs w:val="20"/>
        </w:rPr>
        <w:t xml:space="preserve"> Indicator forecast </w:t>
      </w:r>
      <w:r w:rsidRPr="00C016D6">
        <w:rPr>
          <w:rFonts w:ascii="Times New Roman" w:eastAsia="Calibri" w:hAnsi="Times New Roman" w:cs="Times New Roman"/>
          <w:sz w:val="20"/>
          <w:szCs w:val="20"/>
        </w:rPr>
        <w:t xml:space="preserve">follows </w:t>
      </w:r>
      <w:r w:rsidRPr="00C016D6">
        <w:rPr>
          <w:rFonts w:ascii="Times New Roman" w:hAnsi="Times New Roman" w:cs="Times New Roman"/>
          <w:sz w:val="20"/>
          <w:szCs w:val="20"/>
        </w:rPr>
        <w:t xml:space="preserve">from </w:t>
      </w:r>
      <w:r w:rsidRPr="00C016D6">
        <w:rPr>
          <w:rFonts w:ascii="Times New Roman" w:eastAsia="Calibri" w:hAnsi="Times New Roman" w:cs="Times New Roman"/>
          <w:sz w:val="20"/>
          <w:szCs w:val="20"/>
        </w:rPr>
        <w:t xml:space="preserve"> </w:t>
      </w:r>
      <w:proofErr w:type="spellStart"/>
      <w:r w:rsidRPr="00C016D6">
        <w:rPr>
          <w:rFonts w:ascii="Times New Roman" w:hAnsi="Times New Roman" w:cs="Times New Roman"/>
          <w:sz w:val="20"/>
          <w:szCs w:val="20"/>
        </w:rPr>
        <w:t>invlogit</w:t>
      </w:r>
      <w:proofErr w:type="spellEnd"/>
      <w:r w:rsidRPr="00C016D6">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+h,</m:t>
            </m:r>
            <m:r>
              <w:rPr>
                <w:rFonts w:ascii="Cambria Math" w:hAnsi="Cambria Math" w:cs="Times New Roman"/>
                <w:sz w:val="20"/>
                <w:szCs w:val="20"/>
              </w:rPr>
              <m:t>s</m:t>
            </m:r>
          </m:sub>
        </m:sSub>
      </m:oMath>
      <w:r w:rsidRPr="00C016D6">
        <w:rPr>
          <w:rFonts w:ascii="Times New Roman" w:eastAsiaTheme="minorEastAsia" w:hAnsi="Times New Roman" w:cs="Times New Roman"/>
          <w:sz w:val="20"/>
          <w:szCs w:val="20"/>
        </w:rPr>
        <w:t xml:space="preserve"> replaced by its forecast or simulation draws.</w:t>
      </w:r>
    </w:p>
    <w:p w14:paraId="4D56F35B" w14:textId="77777777" w:rsidR="00AB5C38" w:rsidRPr="00C016D6" w:rsidRDefault="008A3565" w:rsidP="00AB5C38">
      <w:pPr>
        <w:jc w:val="both"/>
        <w:rPr>
          <w:rFonts w:ascii="Times New Roman" w:hAnsi="Times New Roman" w:cs="Times New Roman"/>
          <w:b/>
          <w:bCs/>
          <w:sz w:val="20"/>
          <w:szCs w:val="20"/>
        </w:rPr>
      </w:pPr>
      <w:r w:rsidRPr="00C016D6">
        <w:rPr>
          <w:rFonts w:ascii="Times New Roman" w:hAnsi="Times New Roman" w:cs="Times New Roman"/>
          <w:b/>
          <w:bCs/>
          <w:sz w:val="20"/>
          <w:szCs w:val="20"/>
        </w:rPr>
        <w:t>Scenario projection that targets selected out</w:t>
      </w:r>
      <w:r w:rsidRPr="00C016D6">
        <w:rPr>
          <w:rFonts w:ascii="Times New Roman" w:hAnsi="Times New Roman" w:cs="Times New Roman"/>
          <w:b/>
          <w:bCs/>
          <w:sz w:val="20"/>
          <w:szCs w:val="20"/>
        </w:rPr>
        <w:t>comes</w:t>
      </w:r>
    </w:p>
    <w:p w14:paraId="1BC2C420" w14:textId="77777777" w:rsidR="00AB5C38" w:rsidRPr="00C016D6" w:rsidRDefault="008A3565" w:rsidP="00AB5C38">
      <w:pPr>
        <w:jc w:val="both"/>
        <w:rPr>
          <w:rFonts w:ascii="Times New Roman" w:hAnsi="Times New Roman" w:cs="Times New Roman"/>
          <w:sz w:val="20"/>
          <w:szCs w:val="20"/>
        </w:rPr>
      </w:pPr>
      <w:r w:rsidRPr="00C016D6">
        <w:rPr>
          <w:rFonts w:ascii="Times New Roman" w:hAnsi="Times New Roman" w:cs="Times New Roman"/>
          <w:sz w:val="20"/>
          <w:szCs w:val="20"/>
        </w:rPr>
        <w:t xml:space="preserve">Consider a future time </w:t>
      </w:r>
      <m:oMath>
        <m:r>
          <w:rPr>
            <w:rFonts w:ascii="Cambria Math" w:hAnsi="Cambria Math" w:cs="Times New Roman"/>
            <w:sz w:val="20"/>
            <w:szCs w:val="20"/>
          </w:rPr>
          <m:t>t</m:t>
        </m:r>
      </m:oMath>
      <w:r w:rsidRPr="00C016D6">
        <w:rPr>
          <w:rFonts w:ascii="Times New Roman" w:eastAsiaTheme="minorEastAsia" w:hAnsi="Times New Roman" w:cs="Times New Roman"/>
          <w:sz w:val="20"/>
          <w:szCs w:val="20"/>
        </w:rPr>
        <w:t xml:space="preserve"> and a subset of outcomes </w:t>
      </w:r>
      <m:oMath>
        <m:r>
          <w:rPr>
            <w:rFonts w:ascii="Cambria Math" w:hAnsi="Cambria Math" w:cs="Times New Roman"/>
            <w:sz w:val="20"/>
            <w:szCs w:val="20"/>
          </w:rPr>
          <m:t>S</m:t>
        </m:r>
      </m:oMath>
      <w:r w:rsidRPr="00C016D6">
        <w:rPr>
          <w:rFonts w:ascii="Times New Roman" w:eastAsiaTheme="minorEastAsia" w:hAnsi="Times New Roman" w:cs="Times New Roman"/>
          <w:sz w:val="20"/>
          <w:szCs w:val="20"/>
        </w:rPr>
        <w:t xml:space="preserve"> with targets expressed on the logit scale as </w:t>
      </w:r>
      <m:oMath>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up>
            <m:r>
              <w:rPr>
                <w:rFonts w:ascii="Cambria Math" w:hAnsi="Cambria Math" w:cs="Times New Roman"/>
                <w:sz w:val="20"/>
                <w:szCs w:val="20"/>
              </w:rPr>
              <m:t>*</m:t>
            </m:r>
          </m:sup>
        </m:sSubSup>
      </m:oMath>
      <w:r w:rsidRPr="00C016D6">
        <w:rPr>
          <w:rFonts w:ascii="Times New Roman" w:eastAsiaTheme="minorEastAsia" w:hAnsi="Times New Roman" w:cs="Times New Roman"/>
          <w:sz w:val="20"/>
          <w:szCs w:val="20"/>
        </w:rPr>
        <w:t xml:space="preserve"> for </w:t>
      </w:r>
      <m:oMath>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The factor value that best satisfies these targets in </w:t>
      </w:r>
      <w:r w:rsidRPr="00C016D6">
        <w:rPr>
          <w:rFonts w:ascii="Times New Roman" w:eastAsia="Times New Roman" w:hAnsi="Times New Roman" w:cs="Times New Roman"/>
          <w:sz w:val="20"/>
          <w:szCs w:val="20"/>
        </w:rPr>
        <w:t xml:space="preserve">the </w:t>
      </w:r>
      <w:r w:rsidRPr="00C016D6">
        <w:rPr>
          <w:rFonts w:ascii="Times New Roman" w:eastAsiaTheme="minorEastAsia" w:hAnsi="Times New Roman" w:cs="Times New Roman"/>
          <w:sz w:val="20"/>
          <w:szCs w:val="20"/>
        </w:rPr>
        <w:t xml:space="preserve">least-squares sense is </w:t>
      </w:r>
      <m:oMath>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up>
            <m:r>
              <w:rPr>
                <w:rFonts w:ascii="Cambria Math" w:hAnsi="Cambria Math" w:cs="Times New Roman"/>
                <w:sz w:val="20"/>
                <w:szCs w:val="20"/>
              </w:rPr>
              <m:t>*</m:t>
            </m:r>
          </m:sup>
        </m:sSubSup>
        <m:r>
          <w:rPr>
            <w:rFonts w:ascii="Cambria Math" w:hAnsi="Cambria Math" w:cs="Times New Roman"/>
            <w:sz w:val="20"/>
            <w:szCs w:val="20"/>
          </w:rPr>
          <m:t>=</m:t>
        </m:r>
        <m:f>
          <m:fPr>
            <m:ctrlPr>
              <w:rPr>
                <w:rFonts w:ascii="Cambria Math" w:hAnsi="Cambria Math" w:cs="Times New Roman"/>
                <w:i/>
                <w:sz w:val="20"/>
                <w:szCs w:val="20"/>
              </w:rPr>
            </m:ctrlPr>
          </m:fPr>
          <m:num>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up/>
              <m:e>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e>
            </m:nary>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up>
                    <m:r>
                      <w:rPr>
                        <w:rFonts w:ascii="Cambria Math" w:hAnsi="Cambria Math" w:cs="Times New Roman"/>
                        <w:sz w:val="20"/>
                        <w:szCs w:val="20"/>
                      </w:rPr>
                      <m:t>*</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e>
            </m:d>
          </m:num>
          <m:den>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up/>
              <m:e>
                <m:sSubSup>
                  <m:sSubSupPr>
                    <m:ctrlPr>
                      <w:rPr>
                        <w:rFonts w:ascii="Cambria Math" w:hAnsi="Cambria Math" w:cs="Times New Roman"/>
                        <w:i/>
                        <w:sz w:val="20"/>
                        <w:szCs w:val="20"/>
                      </w:rPr>
                    </m:ctrlPr>
                  </m:sSubSupPr>
                  <m:e>
                    <m:r>
                      <w:rPr>
                        <w:rFonts w:ascii="Cambria Math" w:hAnsi="Cambria Math" w:cs="Times New Roman"/>
                        <w:sz w:val="20"/>
                        <w:szCs w:val="20"/>
                      </w:rPr>
                      <m:t>z</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up>
                    <m:r>
                      <w:rPr>
                        <w:rFonts w:ascii="Cambria Math" w:hAnsi="Cambria Math" w:cs="Times New Roman"/>
                        <w:sz w:val="20"/>
                        <w:szCs w:val="20"/>
                      </w:rPr>
                      <m:t>2</m:t>
                    </m:r>
                  </m:sup>
                </m:sSubSup>
              </m:e>
            </m:nary>
          </m:den>
        </m:f>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Scenario indicators updated as</w:t>
      </w:r>
      <m:oMath>
        <m:sSub>
          <m:sSubPr>
            <m:ctrlPr>
              <w:rPr>
                <w:rFonts w:ascii="Cambria Math" w:hAnsi="Cambria Math" w:cs="Times New Roman"/>
                <w:i/>
                <w:sz w:val="20"/>
                <w:szCs w:val="20"/>
              </w:rPr>
            </m:ctrlPr>
          </m:sSub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μ</m:t>
                </m:r>
              </m:e>
              <m:sup>
                <m:r>
                  <w:rPr>
                    <w:rFonts w:ascii="Cambria Math" w:hAnsi="Cambria Math" w:cs="Times New Roman"/>
                    <w:sz w:val="20"/>
                    <w:szCs w:val="20"/>
                  </w:rPr>
                  <m:t>*</m:t>
                </m:r>
              </m:sup>
            </m:sSup>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m:t>
            </m:r>
            <m:r>
              <w:rPr>
                <w:rFonts w:ascii="Cambria Math" w:hAnsi="Cambria Math" w:cs="Times New Roman"/>
                <w:sz w:val="20"/>
                <w:szCs w:val="20"/>
              </w:rPr>
              <m:t>1</m:t>
            </m:r>
          </m:sup>
        </m:s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a</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z</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 xml:space="preserve"> </m:t>
                    </m:r>
                    <m:r>
                      <w:rPr>
                        <w:rFonts w:ascii="Cambria Math" w:hAnsi="Cambria Math" w:cs="Times New Roman"/>
                        <w:sz w:val="20"/>
                        <w:szCs w:val="20"/>
                      </w:rPr>
                      <m:t>f</m:t>
                    </m:r>
                  </m:e>
                  <m:sup>
                    <m:r>
                      <w:rPr>
                        <w:rFonts w:ascii="Cambria Math" w:hAnsi="Cambria Math" w:cs="Times New Roman"/>
                        <w:sz w:val="20"/>
                        <w:szCs w:val="20"/>
                      </w:rPr>
                      <m:t>*</m:t>
                    </m:r>
                  </m:sup>
                </m:sSup>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r>
          <w:rPr>
            <w:rFonts w:ascii="Cambria Math" w:hAnsi="Cambria Math" w:cs="Times New Roman"/>
            <w:sz w:val="20"/>
            <w:szCs w:val="20"/>
          </w:rPr>
          <m:t>.</m:t>
        </m:r>
      </m:oMath>
    </w:p>
    <w:p w14:paraId="25096F2E" w14:textId="45E26D3B" w:rsidR="00AB5C38" w:rsidRPr="00AB5C38" w:rsidRDefault="008A3565" w:rsidP="00AB5C38">
      <w:pPr>
        <w:jc w:val="both"/>
        <w:rPr>
          <w:rFonts w:ascii="Times New Roman" w:hAnsi="Times New Roman" w:cs="Times New Roman"/>
          <w:sz w:val="20"/>
          <w:szCs w:val="20"/>
          <w:lang w:val=""/>
        </w:rPr>
      </w:pPr>
      <w:r w:rsidRPr="00C016D6">
        <w:rPr>
          <w:rFonts w:ascii="Times New Roman" w:hAnsi="Times New Roman" w:cs="Times New Roman"/>
          <w:b/>
          <w:bCs/>
          <w:sz w:val="20"/>
          <w:szCs w:val="20"/>
        </w:rPr>
        <w:t>Analysis</w:t>
      </w:r>
      <w:r w:rsidRPr="00C016D6">
        <w:rPr>
          <w:rFonts w:ascii="Times New Roman" w:hAnsi="Times New Roman" w:cs="Times New Roman"/>
          <w:sz w:val="20"/>
          <w:szCs w:val="20"/>
        </w:rPr>
        <w:br/>
      </w:r>
      <w:r w:rsidRPr="00AB5C38">
        <w:rPr>
          <w:rFonts w:ascii="Times New Roman" w:hAnsi="Times New Roman" w:cs="Times New Roman"/>
          <w:sz w:val="20"/>
          <w:szCs w:val="20"/>
        </w:rPr>
        <w:t xml:space="preserve">The age-standardized prevalence of hypertension was 36.7% (SD 2.0; range 31.4–40.0), although the crude prevalence was elevated and more varied at 43.7% (SD 8.9; 30.3–63.6), reflecting the effects of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demographic mix. The mean age-standardized diagnosis</w:t>
      </w:r>
      <w:r w:rsidRPr="00AB5C38">
        <w:rPr>
          <w:rFonts w:ascii="Times New Roman" w:hAnsi="Times New Roman" w:cs="Times New Roman"/>
          <w:sz w:val="20"/>
          <w:szCs w:val="20"/>
        </w:rPr>
        <w:t xml:space="preserve"> </w:t>
      </w:r>
      <w:r>
        <w:rPr>
          <w:rFonts w:ascii="Times New Roman" w:eastAsia="Calibri" w:hAnsi="Times New Roman" w:cs="Times New Roman"/>
          <w:sz w:val="20"/>
          <w:szCs w:val="20"/>
        </w:rPr>
        <w:t>during</w:t>
      </w:r>
      <w:r w:rsidRPr="00AB5C38">
        <w:rPr>
          <w:rFonts w:ascii="Times New Roman" w:hAnsi="Times New Roman" w:cs="Times New Roman"/>
          <w:sz w:val="20"/>
          <w:szCs w:val="20"/>
        </w:rPr>
        <w:t xml:space="preserve"> the care cascade was 44.8% (SD 2.7; 40.0–50.9), whereas the mean treatment rate was 40.9% (SD 12.4; 25.9–73.7).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indicates that therapy is more dispersed than case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 xml:space="preserve">finding. The age-standardized control averaged 29.8%, with considerable </w:t>
      </w:r>
      <w:r w:rsidRPr="00AB5C38">
        <w:rPr>
          <w:rFonts w:ascii="Times New Roman" w:hAnsi="Times New Roman" w:cs="Times New Roman"/>
          <w:sz w:val="20"/>
          <w:szCs w:val="20"/>
        </w:rPr>
        <w:t>variability (SD 11.0; range 17.0–60.2), indicative of the fluctuations noted in therapy. The untreated stage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 xml:space="preserve">2 group averaged 11.6% (SD 8.0; 5.36–40.7), </w:t>
      </w:r>
      <w:r>
        <w:rPr>
          <w:rFonts w:ascii="Times New Roman" w:eastAsia="Calibri" w:hAnsi="Times New Roman" w:cs="Times New Roman"/>
          <w:sz w:val="20"/>
          <w:szCs w:val="20"/>
        </w:rPr>
        <w:t>indicating</w:t>
      </w:r>
      <w:r w:rsidRPr="00AB5C38">
        <w:rPr>
          <w:rFonts w:ascii="Times New Roman" w:hAnsi="Times New Roman" w:cs="Times New Roman"/>
          <w:sz w:val="20"/>
          <w:szCs w:val="20"/>
        </w:rPr>
        <w:t xml:space="preserve"> a persistently high-risk subgroup that fluctuates with system performance. The sequence </w:t>
      </w:r>
      <w:r>
        <w:rPr>
          <w:rFonts w:ascii="Times New Roman" w:eastAsia="Calibri" w:hAnsi="Times New Roman" w:cs="Times New Roman"/>
          <w:sz w:val="20"/>
          <w:szCs w:val="20"/>
        </w:rPr>
        <w:t>was</w:t>
      </w:r>
      <w:r w:rsidRPr="00AB5C38">
        <w:rPr>
          <w:rFonts w:ascii="Times New Roman" w:hAnsi="Times New Roman" w:cs="Times New Roman"/>
          <w:sz w:val="20"/>
          <w:szCs w:val="20"/>
        </w:rPr>
        <w:t xml:space="preserve"> </w:t>
      </w:r>
      <w:r w:rsidRPr="00AB5C38">
        <w:rPr>
          <w:rFonts w:ascii="Times New Roman" w:hAnsi="Times New Roman" w:cs="Times New Roman"/>
          <w:sz w:val="20"/>
          <w:szCs w:val="20"/>
        </w:rPr>
        <w:t xml:space="preserve">consistent for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 xml:space="preserve">crude analogues, with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control at 27.5% (SD 10.7; 15.1–57.</w:t>
      </w:r>
      <w:r>
        <w:rPr>
          <w:rFonts w:ascii="Times New Roman" w:eastAsia="Calibri" w:hAnsi="Times New Roman" w:cs="Times New Roman"/>
          <w:sz w:val="20"/>
          <w:szCs w:val="20"/>
        </w:rPr>
        <w:t>5%</w:t>
      </w:r>
      <w:r w:rsidRPr="00AB5C38">
        <w:rPr>
          <w:rFonts w:ascii="Times New Roman" w:hAnsi="Times New Roman" w:cs="Times New Roman"/>
          <w:sz w:val="20"/>
          <w:szCs w:val="20"/>
        </w:rPr>
        <w:t>), diagnosis at 40.7% (SD 2.7; 36.5–48.</w:t>
      </w:r>
      <w:r>
        <w:rPr>
          <w:rFonts w:ascii="Times New Roman" w:eastAsia="Calibri" w:hAnsi="Times New Roman" w:cs="Times New Roman"/>
          <w:sz w:val="20"/>
          <w:szCs w:val="20"/>
        </w:rPr>
        <w:t>3%</w:t>
      </w:r>
      <w:r w:rsidRPr="00AB5C38">
        <w:rPr>
          <w:rFonts w:ascii="Times New Roman" w:hAnsi="Times New Roman" w:cs="Times New Roman"/>
          <w:sz w:val="20"/>
          <w:szCs w:val="20"/>
        </w:rPr>
        <w:t>), therapy at 38.3% (SD 12.6; 23.2–71.</w:t>
      </w:r>
      <w:r>
        <w:rPr>
          <w:rFonts w:ascii="Times New Roman" w:eastAsia="Calibri" w:hAnsi="Times New Roman" w:cs="Times New Roman"/>
          <w:sz w:val="20"/>
          <w:szCs w:val="20"/>
        </w:rPr>
        <w:t>6%</w:t>
      </w:r>
      <w:r w:rsidRPr="00AB5C38">
        <w:rPr>
          <w:rFonts w:ascii="Times New Roman" w:hAnsi="Times New Roman" w:cs="Times New Roman"/>
          <w:sz w:val="20"/>
          <w:szCs w:val="20"/>
        </w:rPr>
        <w:t>), and untreated stage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2 at 11.0% (SD 7.5; 4.91–38.</w:t>
      </w:r>
      <w:r>
        <w:rPr>
          <w:rFonts w:ascii="Times New Roman" w:eastAsia="Calibri" w:hAnsi="Times New Roman" w:cs="Times New Roman"/>
          <w:sz w:val="20"/>
          <w:szCs w:val="20"/>
        </w:rPr>
        <w:t>6%</w:t>
      </w:r>
      <w:r w:rsidRPr="00AB5C38">
        <w:rPr>
          <w:rFonts w:ascii="Times New Roman" w:hAnsi="Times New Roman" w:cs="Times New Roman"/>
          <w:sz w:val="20"/>
          <w:szCs w:val="20"/>
        </w:rPr>
        <w:t>). These distributions establish a robus</w:t>
      </w:r>
      <w:r w:rsidRPr="00AB5C38">
        <w:rPr>
          <w:rFonts w:ascii="Times New Roman" w:hAnsi="Times New Roman" w:cs="Times New Roman"/>
          <w:sz w:val="20"/>
          <w:szCs w:val="20"/>
        </w:rPr>
        <w:t>t foundation for prevalence and diagnosis, as well as an expanded array of alternatives for therapy, management, and severe uncontrolled disease. This establishes explicit objectives for program enhancement.</w:t>
      </w:r>
    </w:p>
    <w:p w14:paraId="1B6A13CB" w14:textId="77777777" w:rsidR="00AB5C38" w:rsidRPr="00FC338D" w:rsidRDefault="008A3565" w:rsidP="00AB5C38">
      <w:pPr>
        <w:keepNext/>
        <w:pBdr>
          <w:top w:val="nil"/>
          <w:left w:val="nil"/>
          <w:bottom w:val="nil"/>
          <w:right w:val="nil"/>
        </w:pBdr>
        <w:spacing w:before="60" w:after="60" w:line="240" w:lineRule="auto"/>
        <w:ind w:left="60" w:right="60"/>
        <w:jc w:val="center"/>
        <w:rPr>
          <w:rFonts w:ascii="Times New Roman" w:eastAsia="Times New Roman" w:hAnsi="Times New Roman" w:cs="Times New Roman"/>
          <w:b/>
          <w:i/>
          <w:kern w:val="0"/>
          <w:sz w:val="20"/>
          <w:szCs w:val="20"/>
          <w:lang w:val="en-US"/>
          <w14:ligatures w14:val="none"/>
        </w:rPr>
      </w:pPr>
      <w:r w:rsidRPr="00FC338D">
        <w:rPr>
          <w:rFonts w:ascii="Times New Roman" w:eastAsia="Times New Roman" w:hAnsi="Times New Roman" w:cs="Times New Roman"/>
          <w:b/>
          <w:i/>
          <w:kern w:val="0"/>
          <w:sz w:val="20"/>
          <w:szCs w:val="20"/>
          <w14:ligatures w14:val="none"/>
        </w:rPr>
        <w:t>Table 1. Overall descriptive statistics for hype</w:t>
      </w:r>
      <w:r w:rsidRPr="00FC338D">
        <w:rPr>
          <w:rFonts w:ascii="Times New Roman" w:eastAsia="Times New Roman" w:hAnsi="Times New Roman" w:cs="Times New Roman"/>
          <w:b/>
          <w:i/>
          <w:kern w:val="0"/>
          <w:sz w:val="20"/>
          <w:szCs w:val="20"/>
          <w14:ligatures w14:val="none"/>
        </w:rPr>
        <w:t>rtension indicators (all years, both sexes).</w:t>
      </w:r>
    </w:p>
    <w:tbl>
      <w:tblPr>
        <w:tblW w:w="10895" w:type="dxa"/>
        <w:jc w:val="center"/>
        <w:tblLayout w:type="fixed"/>
        <w:tblLook w:val="0420" w:firstRow="1" w:lastRow="0" w:firstColumn="0" w:lastColumn="0" w:noHBand="0" w:noVBand="1"/>
      </w:tblPr>
      <w:tblGrid>
        <w:gridCol w:w="6678"/>
        <w:gridCol w:w="1028"/>
        <w:gridCol w:w="1094"/>
        <w:gridCol w:w="1094"/>
        <w:gridCol w:w="1001"/>
      </w:tblGrid>
      <w:tr w:rsidR="00BC5BB6" w14:paraId="61697032" w14:textId="77777777" w:rsidTr="00C21318">
        <w:trPr>
          <w:trHeight w:val="417"/>
          <w:tblHeader/>
          <w:jc w:val="center"/>
        </w:trPr>
        <w:tc>
          <w:tcPr>
            <w:tcW w:w="667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F86191A" w14:textId="77777777"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Indicator</w:t>
            </w:r>
          </w:p>
        </w:tc>
        <w:tc>
          <w:tcPr>
            <w:tcW w:w="102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67DE9C9"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Mean (%)</w:t>
            </w:r>
          </w:p>
        </w:tc>
        <w:tc>
          <w:tcPr>
            <w:tcW w:w="109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77EC114"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SD (pp)</w:t>
            </w:r>
          </w:p>
        </w:tc>
        <w:tc>
          <w:tcPr>
            <w:tcW w:w="109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4C1D5D0"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Min (%)</w:t>
            </w:r>
          </w:p>
        </w:tc>
        <w:tc>
          <w:tcPr>
            <w:tcW w:w="100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B345338"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b/>
                <w:bCs/>
                <w:color w:val="000000"/>
                <w:kern w:val="0"/>
                <w:sz w:val="18"/>
                <w:szCs w:val="18"/>
                <w:lang w:val="en-US"/>
                <w14:ligatures w14:val="none"/>
              </w:rPr>
            </w:pPr>
            <w:r w:rsidRPr="00FC338D">
              <w:rPr>
                <w:rFonts w:ascii="Times New Roman" w:eastAsia="Arial" w:hAnsi="Times New Roman" w:cs="Times New Roman"/>
                <w:b/>
                <w:bCs/>
                <w:color w:val="000000"/>
                <w:kern w:val="0"/>
                <w:sz w:val="18"/>
                <w:szCs w:val="18"/>
                <w14:ligatures w14:val="none"/>
              </w:rPr>
              <w:t>Max (%)</w:t>
            </w:r>
          </w:p>
        </w:tc>
      </w:tr>
      <w:tr w:rsidR="00BC5BB6" w14:paraId="03A9708C" w14:textId="77777777" w:rsidTr="00C21318">
        <w:trPr>
          <w:trHeight w:val="427"/>
          <w:jc w:val="center"/>
        </w:trPr>
        <w:tc>
          <w:tcPr>
            <w:tcW w:w="667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5021ABD" w14:textId="1A8558E3"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Age standardized prevalence of hypertension</w:t>
            </w:r>
          </w:p>
        </w:tc>
        <w:tc>
          <w:tcPr>
            <w:tcW w:w="102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5CC87FB4"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36.65106</w:t>
            </w:r>
          </w:p>
        </w:tc>
        <w:tc>
          <w:tcPr>
            <w:tcW w:w="109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2D7FB54"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2.001233</w:t>
            </w:r>
          </w:p>
        </w:tc>
        <w:tc>
          <w:tcPr>
            <w:tcW w:w="109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2D17E51"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31.440818</w:t>
            </w:r>
          </w:p>
        </w:tc>
        <w:tc>
          <w:tcPr>
            <w:tcW w:w="100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9E790C4"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39.97355</w:t>
            </w:r>
          </w:p>
        </w:tc>
      </w:tr>
      <w:tr w:rsidR="00BC5BB6" w14:paraId="5892243D"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164F5DF7" w14:textId="08AFB7E3"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Age standardized proportion of controlled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7DD47B8F"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29.76040</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5B950AF1"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10.971249</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7FD1B243"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17.005844</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2AB0B811"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60.21720</w:t>
            </w:r>
          </w:p>
        </w:tc>
      </w:tr>
      <w:tr w:rsidR="00BC5BB6" w14:paraId="2F6EEA01"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79851D9C" w14:textId="582E3483"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Age standardized proportion of diagnosed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02CDE7A1"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44.82693</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303BCC01"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2.711496</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10E04E8"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40.021634</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11DEE7CA"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50.89236</w:t>
            </w:r>
          </w:p>
        </w:tc>
      </w:tr>
      <w:tr w:rsidR="00BC5BB6" w14:paraId="2FB2DBA3"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4D14017D" w14:textId="7FA17681"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lastRenderedPageBreak/>
              <w:t>Age standardized proportion of treated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138A07CB"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40.87656</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3159BDC8"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12.444380</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5AD25CA0"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25.928837</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53383E17"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73.70609</w:t>
            </w:r>
          </w:p>
        </w:tc>
      </w:tr>
      <w:tr w:rsidR="00BC5BB6" w14:paraId="428F12CB" w14:textId="77777777" w:rsidTr="00C21318">
        <w:trPr>
          <w:trHeight w:val="42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7BA0C98A" w14:textId="704C28CC"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Age standardized proportion of untreated stage 2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62609E5A"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11.58841</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2FA7E034"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8.042661</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5650E7E2"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5.356725</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78DC9D65"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40.69839</w:t>
            </w:r>
          </w:p>
        </w:tc>
      </w:tr>
      <w:tr w:rsidR="00BC5BB6" w14:paraId="3949EDDE"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05D0CD31" w14:textId="77777777"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prevalence of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365C834E"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43.66221</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16260B26"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8.929125</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4C86730A"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30.252712</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5CF83659"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63.57934</w:t>
            </w:r>
          </w:p>
        </w:tc>
      </w:tr>
      <w:tr w:rsidR="00BC5BB6" w14:paraId="47B16BE1"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643728F3" w14:textId="77777777"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proportion of controlled hypertension</w:t>
            </w:r>
            <w:r w:rsidRPr="00FC338D">
              <w:rPr>
                <w:rFonts w:ascii="Times New Roman" w:eastAsia="Arial" w:hAnsi="Times New Roman" w:cs="Times New Roman"/>
                <w:color w:val="000000"/>
                <w:kern w:val="0"/>
                <w:sz w:val="20"/>
                <w:szCs w:val="20"/>
                <w14:ligatures w14:val="none"/>
              </w:rPr>
              <w:t xml:space="preserve">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332AE12C"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27.52699</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F0D283C"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10.692108</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6CD31B5"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15.105241</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08F8B12B"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57.45403</w:t>
            </w:r>
          </w:p>
        </w:tc>
      </w:tr>
      <w:tr w:rsidR="00BC5BB6" w14:paraId="18FD512B" w14:textId="77777777" w:rsidTr="00C21318">
        <w:trPr>
          <w:trHeight w:val="42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7C84657C" w14:textId="77777777"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proportion of diagnosed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7E364293"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40.72772</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2A4FD6A"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2.730321</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0E9A704D"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36.493665</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55D2F491"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48.31104</w:t>
            </w:r>
          </w:p>
        </w:tc>
      </w:tr>
      <w:tr w:rsidR="00BC5BB6" w14:paraId="14B7BFF5" w14:textId="77777777" w:rsidTr="00C21318">
        <w:trPr>
          <w:trHeight w:val="417"/>
          <w:jc w:val="center"/>
        </w:trPr>
        <w:tc>
          <w:tcPr>
            <w:tcW w:w="6678" w:type="dxa"/>
            <w:tcBorders>
              <w:top w:val="nil"/>
              <w:left w:val="nil"/>
              <w:bottom w:val="nil"/>
              <w:right w:val="nil"/>
            </w:tcBorders>
            <w:shd w:val="clear" w:color="auto" w:fill="FFFFFF"/>
            <w:tcMar>
              <w:top w:w="0" w:type="dxa"/>
              <w:left w:w="0" w:type="dxa"/>
              <w:bottom w:w="0" w:type="dxa"/>
              <w:right w:w="0" w:type="dxa"/>
            </w:tcMar>
            <w:vAlign w:val="center"/>
          </w:tcPr>
          <w:p w14:paraId="491FA714" w14:textId="77777777"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proportion of treated hypertension among all hypertension</w:t>
            </w:r>
          </w:p>
        </w:tc>
        <w:tc>
          <w:tcPr>
            <w:tcW w:w="1028" w:type="dxa"/>
            <w:tcBorders>
              <w:top w:val="nil"/>
              <w:left w:val="nil"/>
              <w:bottom w:val="nil"/>
              <w:right w:val="nil"/>
            </w:tcBorders>
            <w:shd w:val="clear" w:color="auto" w:fill="FFFFFF"/>
            <w:tcMar>
              <w:top w:w="0" w:type="dxa"/>
              <w:left w:w="0" w:type="dxa"/>
              <w:bottom w:w="0" w:type="dxa"/>
              <w:right w:w="0" w:type="dxa"/>
            </w:tcMar>
            <w:vAlign w:val="center"/>
          </w:tcPr>
          <w:p w14:paraId="5E59768B"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38.32307</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292588E4"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12.596468</w:t>
            </w:r>
          </w:p>
        </w:tc>
        <w:tc>
          <w:tcPr>
            <w:tcW w:w="1094" w:type="dxa"/>
            <w:tcBorders>
              <w:top w:val="nil"/>
              <w:left w:val="nil"/>
              <w:bottom w:val="nil"/>
              <w:right w:val="nil"/>
            </w:tcBorders>
            <w:shd w:val="clear" w:color="auto" w:fill="FFFFFF"/>
            <w:tcMar>
              <w:top w:w="0" w:type="dxa"/>
              <w:left w:w="0" w:type="dxa"/>
              <w:bottom w:w="0" w:type="dxa"/>
              <w:right w:w="0" w:type="dxa"/>
            </w:tcMar>
            <w:vAlign w:val="center"/>
          </w:tcPr>
          <w:p w14:paraId="200156DE"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23.214890</w:t>
            </w:r>
          </w:p>
        </w:tc>
        <w:tc>
          <w:tcPr>
            <w:tcW w:w="1001" w:type="dxa"/>
            <w:tcBorders>
              <w:top w:val="nil"/>
              <w:left w:val="nil"/>
              <w:bottom w:val="nil"/>
              <w:right w:val="nil"/>
            </w:tcBorders>
            <w:shd w:val="clear" w:color="auto" w:fill="FFFFFF"/>
            <w:tcMar>
              <w:top w:w="0" w:type="dxa"/>
              <w:left w:w="0" w:type="dxa"/>
              <w:bottom w:w="0" w:type="dxa"/>
              <w:right w:w="0" w:type="dxa"/>
            </w:tcMar>
            <w:vAlign w:val="center"/>
          </w:tcPr>
          <w:p w14:paraId="6E6E336D"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71.58250</w:t>
            </w:r>
          </w:p>
        </w:tc>
      </w:tr>
      <w:tr w:rsidR="00BC5BB6" w14:paraId="1E46B29D" w14:textId="77777777" w:rsidTr="00C21318">
        <w:trPr>
          <w:trHeight w:val="417"/>
          <w:jc w:val="center"/>
        </w:trPr>
        <w:tc>
          <w:tcPr>
            <w:tcW w:w="667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84BC815" w14:textId="77777777" w:rsidR="00AB5C38" w:rsidRPr="00FC338D" w:rsidRDefault="008A3565" w:rsidP="00C21318">
            <w:pPr>
              <w:pBdr>
                <w:top w:val="nil"/>
                <w:left w:val="nil"/>
                <w:bottom w:val="nil"/>
                <w:right w:val="nil"/>
              </w:pBdr>
              <w:spacing w:before="100" w:after="100" w:line="240" w:lineRule="auto"/>
              <w:ind w:left="100" w:right="100"/>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Crude proportion of untreated stage 2 hypertension among all hypertension</w:t>
            </w:r>
          </w:p>
        </w:tc>
        <w:tc>
          <w:tcPr>
            <w:tcW w:w="102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3E47C2AB"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11.03390</w:t>
            </w:r>
          </w:p>
        </w:tc>
        <w:tc>
          <w:tcPr>
            <w:tcW w:w="109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203E952"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7.497915</w:t>
            </w:r>
          </w:p>
        </w:tc>
        <w:tc>
          <w:tcPr>
            <w:tcW w:w="109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B1AC867"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4.908718</w:t>
            </w:r>
          </w:p>
        </w:tc>
        <w:tc>
          <w:tcPr>
            <w:tcW w:w="100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D86FA8C" w14:textId="77777777" w:rsidR="00AB5C38" w:rsidRPr="00FC338D" w:rsidRDefault="008A3565" w:rsidP="00C21318">
            <w:pPr>
              <w:pBdr>
                <w:top w:val="nil"/>
                <w:left w:val="nil"/>
                <w:bottom w:val="nil"/>
                <w:right w:val="nil"/>
              </w:pBdr>
              <w:spacing w:before="100" w:after="100" w:line="240" w:lineRule="auto"/>
              <w:ind w:left="100" w:right="100"/>
              <w:jc w:val="right"/>
              <w:rPr>
                <w:rFonts w:ascii="Times New Roman" w:eastAsia="Arial" w:hAnsi="Times New Roman" w:cs="Times New Roman"/>
                <w:color w:val="000000"/>
                <w:kern w:val="0"/>
                <w:sz w:val="20"/>
                <w:szCs w:val="20"/>
                <w:lang w:val="en-US"/>
                <w14:ligatures w14:val="none"/>
              </w:rPr>
            </w:pPr>
            <w:r w:rsidRPr="00FC338D">
              <w:rPr>
                <w:rFonts w:ascii="Times New Roman" w:eastAsia="Arial" w:hAnsi="Times New Roman" w:cs="Times New Roman"/>
                <w:color w:val="000000"/>
                <w:kern w:val="0"/>
                <w:sz w:val="20"/>
                <w:szCs w:val="20"/>
                <w14:ligatures w14:val="none"/>
              </w:rPr>
              <w:t>38.61605</w:t>
            </w:r>
          </w:p>
        </w:tc>
      </w:tr>
    </w:tbl>
    <w:p w14:paraId="23F399CF" w14:textId="77777777" w:rsidR="00D25B63" w:rsidRDefault="008A3565" w:rsidP="00AB5C38">
      <w:pPr>
        <w:jc w:val="both"/>
        <w:rPr>
          <w:rFonts w:ascii="Times New Roman" w:hAnsi="Times New Roman" w:cs="Times New Roman"/>
          <w:sz w:val="20"/>
          <w:szCs w:val="20"/>
        </w:rPr>
      </w:pPr>
      <w:r w:rsidRPr="00AB5C38">
        <w:rPr>
          <w:rFonts w:ascii="Times New Roman" w:hAnsi="Times New Roman" w:cs="Times New Roman"/>
          <w:sz w:val="20"/>
          <w:szCs w:val="20"/>
        </w:rPr>
        <w:t xml:space="preserve">Table 2 indicates that women exhibit a greater age-standardized </w:t>
      </w:r>
      <w:r>
        <w:rPr>
          <w:rFonts w:ascii="Times New Roman" w:eastAsia="Calibri" w:hAnsi="Times New Roman" w:cs="Times New Roman"/>
          <w:sz w:val="20"/>
          <w:szCs w:val="20"/>
        </w:rPr>
        <w:t>incidence</w:t>
      </w:r>
      <w:r w:rsidRPr="00AB5C38">
        <w:rPr>
          <w:rFonts w:ascii="Times New Roman" w:hAnsi="Times New Roman" w:cs="Times New Roman"/>
          <w:sz w:val="20"/>
          <w:szCs w:val="20"/>
        </w:rPr>
        <w:t xml:space="preserve"> of hypertension </w:t>
      </w:r>
      <w:r>
        <w:rPr>
          <w:rFonts w:ascii="Times New Roman" w:eastAsia="Calibri" w:hAnsi="Times New Roman" w:cs="Times New Roman"/>
          <w:sz w:val="20"/>
          <w:szCs w:val="20"/>
        </w:rPr>
        <w:t>than</w:t>
      </w:r>
      <w:r w:rsidRPr="00AB5C38">
        <w:rPr>
          <w:rFonts w:ascii="Times New Roman" w:hAnsi="Times New Roman" w:cs="Times New Roman"/>
          <w:sz w:val="20"/>
          <w:szCs w:val="20"/>
        </w:rPr>
        <w:t xml:space="preserve"> men </w:t>
      </w:r>
      <w:r>
        <w:rPr>
          <w:rFonts w:ascii="Times New Roman" w:eastAsia="Calibri" w:hAnsi="Times New Roman" w:cs="Times New Roman"/>
          <w:sz w:val="20"/>
          <w:szCs w:val="20"/>
        </w:rPr>
        <w:t xml:space="preserve">do </w:t>
      </w:r>
      <w:r w:rsidRPr="00AB5C38">
        <w:rPr>
          <w:rFonts w:ascii="Times New Roman" w:hAnsi="Times New Roman" w:cs="Times New Roman"/>
          <w:sz w:val="20"/>
          <w:szCs w:val="20"/>
        </w:rPr>
        <w:t xml:space="preserve">(38.03% versus 35.28%). The dispersion is comparable, with women consistently outperforming men in the cascade: the age-standardized control averages 37.17% for women and 22.35% for men, </w:t>
      </w:r>
      <w:r>
        <w:rPr>
          <w:rFonts w:ascii="Times New Roman" w:eastAsia="Calibri" w:hAnsi="Times New Roman" w:cs="Times New Roman"/>
          <w:sz w:val="20"/>
          <w:szCs w:val="20"/>
        </w:rPr>
        <w:t>whereas</w:t>
      </w:r>
      <w:r w:rsidRPr="00AB5C38">
        <w:rPr>
          <w:rFonts w:ascii="Times New Roman" w:hAnsi="Times New Roman" w:cs="Times New Roman"/>
          <w:sz w:val="20"/>
          <w:szCs w:val="20"/>
        </w:rPr>
        <w:t xml:space="preserve"> the age-standardized treatment averages 50.35% for women and </w:t>
      </w:r>
      <w:r w:rsidRPr="00AB5C38">
        <w:rPr>
          <w:rFonts w:ascii="Times New Roman" w:hAnsi="Times New Roman" w:cs="Times New Roman"/>
          <w:sz w:val="20"/>
          <w:szCs w:val="20"/>
        </w:rPr>
        <w:t xml:space="preserve">31.40% for men. Both outcomes exhibit greater variability, indicating that the program is sensitive. The diagnosis rate is marginally elevated in women, with age-standardized and crude metrics indicating 45.78% compared </w:t>
      </w:r>
      <w:r>
        <w:rPr>
          <w:rFonts w:ascii="Times New Roman" w:eastAsia="Calibri" w:hAnsi="Times New Roman" w:cs="Times New Roman"/>
          <w:sz w:val="20"/>
          <w:szCs w:val="20"/>
        </w:rPr>
        <w:t>with</w:t>
      </w:r>
      <w:r w:rsidRPr="00AB5C38">
        <w:rPr>
          <w:rFonts w:ascii="Times New Roman" w:hAnsi="Times New Roman" w:cs="Times New Roman"/>
          <w:sz w:val="20"/>
          <w:szCs w:val="20"/>
        </w:rPr>
        <w:t xml:space="preserve"> 43.88% and 41.12% compared </w:t>
      </w:r>
      <w:r>
        <w:rPr>
          <w:rFonts w:ascii="Times New Roman" w:eastAsia="Calibri" w:hAnsi="Times New Roman" w:cs="Times New Roman"/>
          <w:sz w:val="20"/>
          <w:szCs w:val="20"/>
        </w:rPr>
        <w:t>with</w:t>
      </w:r>
      <w:r w:rsidRPr="00AB5C38">
        <w:rPr>
          <w:rFonts w:ascii="Times New Roman" w:hAnsi="Times New Roman" w:cs="Times New Roman"/>
          <w:sz w:val="20"/>
          <w:szCs w:val="20"/>
        </w:rPr>
        <w:t xml:space="preserve"> 40.34%</w:t>
      </w:r>
      <w:r>
        <w:rPr>
          <w:rFonts w:ascii="Times New Roman" w:eastAsia="Calibri" w:hAnsi="Times New Roman" w:cs="Times New Roman"/>
          <w:sz w:val="20"/>
          <w:szCs w:val="20"/>
        </w:rPr>
        <w:t>, respectively</w:t>
      </w:r>
      <w:r w:rsidRPr="00AB5C38">
        <w:rPr>
          <w:rFonts w:ascii="Times New Roman" w:hAnsi="Times New Roman" w:cs="Times New Roman"/>
          <w:sz w:val="20"/>
          <w:szCs w:val="20"/>
        </w:rPr>
        <w:t xml:space="preserve">.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 xml:space="preserve">indicates that women possess a </w:t>
      </w:r>
      <w:r>
        <w:rPr>
          <w:rFonts w:ascii="Times New Roman" w:eastAsia="Calibri" w:hAnsi="Times New Roman" w:cs="Times New Roman"/>
          <w:sz w:val="20"/>
          <w:szCs w:val="20"/>
        </w:rPr>
        <w:t>small</w:t>
      </w:r>
      <w:r w:rsidRPr="00AB5C38">
        <w:rPr>
          <w:rFonts w:ascii="Times New Roman" w:hAnsi="Times New Roman" w:cs="Times New Roman"/>
          <w:sz w:val="20"/>
          <w:szCs w:val="20"/>
        </w:rPr>
        <w:t xml:space="preserve"> advantage in identifying cases. Untreated stage</w:t>
      </w:r>
      <w:r w:rsidR="00D25B63">
        <w:rPr>
          <w:rFonts w:ascii="Times New Roman" w:eastAsia="Calibri" w:hAnsi="Times New Roman" w:cs="Times New Roman"/>
          <w:sz w:val="20"/>
          <w:szCs w:val="20"/>
        </w:rPr>
        <w:t>-</w:t>
      </w:r>
      <w:r w:rsidRPr="00AB5C38">
        <w:rPr>
          <w:rFonts w:ascii="Times New Roman" w:hAnsi="Times New Roman" w:cs="Times New Roman"/>
          <w:sz w:val="20"/>
          <w:szCs w:val="20"/>
        </w:rPr>
        <w:t xml:space="preserve">2 </w:t>
      </w:r>
      <w:r>
        <w:rPr>
          <w:rFonts w:ascii="Times New Roman" w:eastAsia="Calibri" w:hAnsi="Times New Roman" w:cs="Times New Roman"/>
          <w:sz w:val="20"/>
          <w:szCs w:val="20"/>
        </w:rPr>
        <w:t xml:space="preserve">disease </w:t>
      </w:r>
      <w:r w:rsidRPr="00AB5C38">
        <w:rPr>
          <w:rFonts w:ascii="Times New Roman" w:hAnsi="Times New Roman" w:cs="Times New Roman"/>
          <w:sz w:val="20"/>
          <w:szCs w:val="20"/>
        </w:rPr>
        <w:t xml:space="preserve">remains more prevalent in women </w:t>
      </w:r>
      <w:r>
        <w:rPr>
          <w:rFonts w:ascii="Times New Roman" w:eastAsia="Calibri" w:hAnsi="Times New Roman" w:cs="Times New Roman"/>
          <w:sz w:val="20"/>
          <w:szCs w:val="20"/>
        </w:rPr>
        <w:t>in</w:t>
      </w:r>
      <w:r w:rsidRPr="00AB5C38">
        <w:rPr>
          <w:rFonts w:ascii="Times New Roman" w:hAnsi="Times New Roman" w:cs="Times New Roman"/>
          <w:sz w:val="20"/>
          <w:szCs w:val="20"/>
        </w:rPr>
        <w:t xml:space="preserve"> both categories (age-</w:t>
      </w:r>
      <w:r>
        <w:rPr>
          <w:rFonts w:ascii="Times New Roman" w:eastAsia="Calibri" w:hAnsi="Times New Roman" w:cs="Times New Roman"/>
          <w:sz w:val="20"/>
          <w:szCs w:val="20"/>
        </w:rPr>
        <w:t>standardized</w:t>
      </w:r>
      <w:r w:rsidRPr="00AB5C38">
        <w:rPr>
          <w:rFonts w:ascii="Times New Roman" w:hAnsi="Times New Roman" w:cs="Times New Roman"/>
          <w:sz w:val="20"/>
          <w:szCs w:val="20"/>
        </w:rPr>
        <w:t xml:space="preserve"> 14.00% vs 9.18%; crude 13.74% vs 8.33%), indicating a co</w:t>
      </w:r>
      <w:r w:rsidRPr="00AB5C38">
        <w:rPr>
          <w:rFonts w:ascii="Times New Roman" w:hAnsi="Times New Roman" w:cs="Times New Roman"/>
          <w:sz w:val="20"/>
          <w:szCs w:val="20"/>
        </w:rPr>
        <w:t>ncentrated high-risk group despite improved overall management. The crude prevalence is similar for both genders (43.56% for women and 43.76% for men)</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however</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it is more dispersed among women, </w:t>
      </w:r>
      <w:r>
        <w:rPr>
          <w:rFonts w:ascii="Times New Roman" w:eastAsia="Calibri" w:hAnsi="Times New Roman" w:cs="Times New Roman"/>
          <w:sz w:val="20"/>
          <w:szCs w:val="20"/>
        </w:rPr>
        <w:t xml:space="preserve">which is </w:t>
      </w:r>
      <w:r w:rsidRPr="00AB5C38">
        <w:rPr>
          <w:rFonts w:ascii="Times New Roman" w:hAnsi="Times New Roman" w:cs="Times New Roman"/>
          <w:sz w:val="20"/>
          <w:szCs w:val="20"/>
        </w:rPr>
        <w:t>consistent with the demographic composition. These p</w:t>
      </w:r>
      <w:r w:rsidRPr="00AB5C38">
        <w:rPr>
          <w:rFonts w:ascii="Times New Roman" w:hAnsi="Times New Roman" w:cs="Times New Roman"/>
          <w:sz w:val="20"/>
          <w:szCs w:val="20"/>
        </w:rPr>
        <w:t>atterns indicate the necessity of prioritizing sex-disaggregated aims that safeguard women's advancements in treatment and management while employing focused intervention strategies to mitigate severe uncontrolled disease. We must enhance detection and lin</w:t>
      </w:r>
      <w:r w:rsidRPr="00AB5C38">
        <w:rPr>
          <w:rFonts w:ascii="Times New Roman" w:hAnsi="Times New Roman" w:cs="Times New Roman"/>
          <w:sz w:val="20"/>
          <w:szCs w:val="20"/>
        </w:rPr>
        <w:t xml:space="preserve">king to increase male participation. </w:t>
      </w:r>
    </w:p>
    <w:p w14:paraId="1059D355" w14:textId="0D1B1338" w:rsidR="00AB5C38" w:rsidRPr="00AB5C38" w:rsidRDefault="008A3565"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br/>
        <w:t>Table 3 illustrates a robust common system component that accounts for nearly all variations in treatment, control, and untreated stage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2 indications for both genders. The control (men 1.047; women 1.223), treatment (</w:t>
      </w:r>
      <w:r w:rsidRPr="00AB5C38">
        <w:rPr>
          <w:rFonts w:ascii="Times New Roman" w:hAnsi="Times New Roman" w:cs="Times New Roman"/>
          <w:sz w:val="20"/>
          <w:szCs w:val="20"/>
        </w:rPr>
        <w:t>men 0.921; women 1.112), and particularly untreated stage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 xml:space="preserve">2 (men 1.435–1.484; women 1.895–2.061) indices exhibit substantial positive loadings, with the explained variance ranging from </w:t>
      </w:r>
      <w:r>
        <w:rPr>
          <w:rFonts w:ascii="Times New Roman" w:eastAsia="Calibri" w:hAnsi="Times New Roman" w:cs="Times New Roman"/>
          <w:sz w:val="20"/>
          <w:szCs w:val="20"/>
        </w:rPr>
        <w:t>approximately</w:t>
      </w:r>
      <w:r w:rsidRPr="00AB5C38">
        <w:rPr>
          <w:rFonts w:ascii="Times New Roman" w:hAnsi="Times New Roman" w:cs="Times New Roman"/>
          <w:sz w:val="20"/>
          <w:szCs w:val="20"/>
        </w:rPr>
        <w:t xml:space="preserve"> 97% to 100%. The age-standardized prevalence acts as the </w:t>
      </w:r>
      <w:r w:rsidRPr="00AB5C38">
        <w:rPr>
          <w:rFonts w:ascii="Times New Roman" w:hAnsi="Times New Roman" w:cs="Times New Roman"/>
          <w:sz w:val="20"/>
          <w:szCs w:val="20"/>
        </w:rPr>
        <w:t xml:space="preserve">scale's reference point (loading fixed at 1.000 for both genders), </w:t>
      </w:r>
      <w:r>
        <w:rPr>
          <w:rFonts w:ascii="Times New Roman" w:eastAsia="Calibri" w:hAnsi="Times New Roman" w:cs="Times New Roman"/>
          <w:sz w:val="20"/>
          <w:szCs w:val="20"/>
        </w:rPr>
        <w:t>whereas the</w:t>
      </w:r>
      <w:r w:rsidRPr="00AB5C38">
        <w:rPr>
          <w:rFonts w:ascii="Times New Roman" w:hAnsi="Times New Roman" w:cs="Times New Roman"/>
          <w:sz w:val="20"/>
          <w:szCs w:val="20"/>
        </w:rPr>
        <w:t xml:space="preserve"> crude prevalence </w:t>
      </w:r>
      <w:r>
        <w:rPr>
          <w:rFonts w:ascii="Times New Roman" w:eastAsia="Calibri" w:hAnsi="Times New Roman" w:cs="Times New Roman"/>
          <w:sz w:val="20"/>
          <w:szCs w:val="20"/>
        </w:rPr>
        <w:t>has a</w:t>
      </w:r>
      <w:r w:rsidRPr="00AB5C38">
        <w:rPr>
          <w:rFonts w:ascii="Times New Roman" w:hAnsi="Times New Roman" w:cs="Times New Roman"/>
          <w:sz w:val="20"/>
          <w:szCs w:val="20"/>
        </w:rPr>
        <w:t xml:space="preserve"> negative loading (men −0.618; women −1.082) with minimal variance explained, indicating the impact of demographic composition on crude measures. The diagn</w:t>
      </w:r>
      <w:r w:rsidRPr="00AB5C38">
        <w:rPr>
          <w:rFonts w:ascii="Times New Roman" w:hAnsi="Times New Roman" w:cs="Times New Roman"/>
          <w:sz w:val="20"/>
          <w:szCs w:val="20"/>
        </w:rPr>
        <w:t>osis shows minimal negative loadings and limited variance capture, especially in women (age-</w:t>
      </w:r>
      <w:r>
        <w:rPr>
          <w:rFonts w:ascii="Times New Roman" w:eastAsia="Calibri" w:hAnsi="Times New Roman" w:cs="Times New Roman"/>
          <w:sz w:val="20"/>
          <w:szCs w:val="20"/>
        </w:rPr>
        <w:t>standardized</w:t>
      </w:r>
      <w:r w:rsidRPr="00AB5C38">
        <w:rPr>
          <w:rFonts w:ascii="Times New Roman" w:hAnsi="Times New Roman" w:cs="Times New Roman"/>
          <w:sz w:val="20"/>
          <w:szCs w:val="20"/>
        </w:rPr>
        <w:t xml:space="preserve"> loading −0.094; crude −0.023; variance explained 0.9%–16.2%), suggesting a partial disconnection from system-wide dynamics. Intercepts on the logit sca</w:t>
      </w:r>
      <w:r w:rsidRPr="00AB5C38">
        <w:rPr>
          <w:rFonts w:ascii="Times New Roman" w:hAnsi="Times New Roman" w:cs="Times New Roman"/>
          <w:sz w:val="20"/>
          <w:szCs w:val="20"/>
        </w:rPr>
        <w:t>le indicate that the average values for the control group are approximately zero to slightly negative, whereas those for the untreated stage-2 group are more negative. This aligns with the observed mid-range proportions following their modification. The fa</w:t>
      </w:r>
      <w:r w:rsidRPr="00AB5C38">
        <w:rPr>
          <w:rFonts w:ascii="Times New Roman" w:hAnsi="Times New Roman" w:cs="Times New Roman"/>
          <w:sz w:val="20"/>
          <w:szCs w:val="20"/>
        </w:rPr>
        <w:t>ctor structure enables the use of age-standardized controls and therapies as sensitive measures of system performance, monitoring untreated stage</w:t>
      </w:r>
      <w:r w:rsidR="00D25B63">
        <w:rPr>
          <w:rFonts w:ascii="Times New Roman" w:eastAsia="Calibri" w:hAnsi="Times New Roman" w:cs="Times New Roman"/>
          <w:sz w:val="20"/>
          <w:szCs w:val="20"/>
        </w:rPr>
        <w:t>-</w:t>
      </w:r>
      <w:r w:rsidRPr="00AB5C38">
        <w:rPr>
          <w:rFonts w:ascii="Times New Roman" w:hAnsi="Times New Roman" w:cs="Times New Roman"/>
          <w:sz w:val="20"/>
          <w:szCs w:val="20"/>
        </w:rPr>
        <w:t xml:space="preserve">2 as a significant risk </w:t>
      </w:r>
      <w:proofErr w:type="spellStart"/>
      <w:r w:rsidRPr="00AB5C38">
        <w:rPr>
          <w:rFonts w:ascii="Times New Roman" w:hAnsi="Times New Roman" w:cs="Times New Roman"/>
          <w:sz w:val="20"/>
          <w:szCs w:val="20"/>
        </w:rPr>
        <w:t>counterindicator</w:t>
      </w:r>
      <w:proofErr w:type="spellEnd"/>
      <w:r w:rsidRPr="00AB5C38">
        <w:rPr>
          <w:rFonts w:ascii="Times New Roman" w:hAnsi="Times New Roman" w:cs="Times New Roman"/>
          <w:sz w:val="20"/>
          <w:szCs w:val="20"/>
        </w:rPr>
        <w:t>, and addressing diagnosis with customized strategies that operate out</w:t>
      </w:r>
      <w:r w:rsidRPr="00AB5C38">
        <w:rPr>
          <w:rFonts w:ascii="Times New Roman" w:hAnsi="Times New Roman" w:cs="Times New Roman"/>
          <w:sz w:val="20"/>
          <w:szCs w:val="20"/>
        </w:rPr>
        <w:t xml:space="preserve">side the primary system driver. </w:t>
      </w:r>
      <w:r w:rsidRPr="00AB5C38">
        <w:rPr>
          <w:rFonts w:ascii="Times New Roman" w:hAnsi="Times New Roman" w:cs="Times New Roman"/>
          <w:sz w:val="20"/>
          <w:szCs w:val="20"/>
        </w:rPr>
        <w:br/>
        <w:t xml:space="preserve">Table 4 indicates that the autoregressive parameter is significantly elevated for both genders (φ=0.980 for men and φ=0.982 for women), but the process variance is minimal (q=0.003).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indicates that the shared s</w:t>
      </w:r>
      <w:r w:rsidRPr="00AB5C38">
        <w:rPr>
          <w:rFonts w:ascii="Times New Roman" w:hAnsi="Times New Roman" w:cs="Times New Roman"/>
          <w:sz w:val="20"/>
          <w:szCs w:val="20"/>
        </w:rPr>
        <w:t>ystem driver exhibits remarkable persistence and seamlessly</w:t>
      </w:r>
      <w:r>
        <w:rPr>
          <w:rFonts w:ascii="Times New Roman" w:eastAsia="Calibri" w:hAnsi="Times New Roman" w:cs="Times New Roman"/>
          <w:sz w:val="20"/>
          <w:szCs w:val="20"/>
        </w:rPr>
        <w:t xml:space="preserve"> transitions</w:t>
      </w:r>
      <w:r w:rsidRPr="00AB5C38">
        <w:rPr>
          <w:rFonts w:ascii="Times New Roman" w:hAnsi="Times New Roman" w:cs="Times New Roman"/>
          <w:sz w:val="20"/>
          <w:szCs w:val="20"/>
        </w:rPr>
        <w:t>. Annual shocks diminish gradually</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hence</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alterations in the cascade reflect the program's effects throughout time rather than only short-term variations. The φ values for both men and</w:t>
      </w:r>
      <w:r w:rsidRPr="00AB5C38">
        <w:rPr>
          <w:rFonts w:ascii="Times New Roman" w:hAnsi="Times New Roman" w:cs="Times New Roman"/>
          <w:sz w:val="20"/>
          <w:szCs w:val="20"/>
        </w:rPr>
        <w:t xml:space="preserve"> women are nearly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 xml:space="preserve">same, indicating that their temporal mechanics are likewise comparable.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 xml:space="preserve">reinforces the notion that system-strengthening treatments </w:t>
      </w:r>
      <w:r>
        <w:rPr>
          <w:rFonts w:ascii="Times New Roman" w:eastAsia="Calibri" w:hAnsi="Times New Roman" w:cs="Times New Roman"/>
          <w:sz w:val="20"/>
          <w:szCs w:val="20"/>
        </w:rPr>
        <w:t>should</w:t>
      </w:r>
      <w:r w:rsidRPr="00AB5C38">
        <w:rPr>
          <w:rFonts w:ascii="Times New Roman" w:hAnsi="Times New Roman" w:cs="Times New Roman"/>
          <w:sz w:val="20"/>
          <w:szCs w:val="20"/>
        </w:rPr>
        <w:t xml:space="preserve"> be concurrently designed for both genders. </w:t>
      </w:r>
      <w:r>
        <w:rPr>
          <w:rFonts w:ascii="Times New Roman" w:eastAsia="Calibri" w:hAnsi="Times New Roman" w:cs="Times New Roman"/>
          <w:sz w:val="20"/>
          <w:szCs w:val="20"/>
        </w:rPr>
        <w:t>A</w:t>
      </w:r>
      <w:r w:rsidRPr="00AB5C38">
        <w:rPr>
          <w:rFonts w:ascii="Times New Roman" w:hAnsi="Times New Roman" w:cs="Times New Roman"/>
          <w:sz w:val="20"/>
          <w:szCs w:val="20"/>
        </w:rPr>
        <w:t xml:space="preserve"> low q indicates minimal intrinsic vola</w:t>
      </w:r>
      <w:r w:rsidRPr="00AB5C38">
        <w:rPr>
          <w:rFonts w:ascii="Times New Roman" w:hAnsi="Times New Roman" w:cs="Times New Roman"/>
          <w:sz w:val="20"/>
          <w:szCs w:val="20"/>
        </w:rPr>
        <w:t>tility, resulting in more reliable forecasts and narrower uncertainty bands over short to medium time horizons. The strategy must emphasize prolonged inputs that gradually alter the fundamental driver, including guaranteed medicine supply, streamlined proc</w:t>
      </w:r>
      <w:r w:rsidRPr="00AB5C38">
        <w:rPr>
          <w:rFonts w:ascii="Times New Roman" w:hAnsi="Times New Roman" w:cs="Times New Roman"/>
          <w:sz w:val="20"/>
          <w:szCs w:val="20"/>
        </w:rPr>
        <w:t>edures, and continuity systems, since their effects will spread and persist within these dynamics.</w:t>
      </w:r>
    </w:p>
    <w:p w14:paraId="238DA566" w14:textId="77777777" w:rsidR="00AB5C38" w:rsidRPr="002673F1" w:rsidRDefault="008A3565" w:rsidP="00AB5C38">
      <w:pPr>
        <w:spacing w:after="0" w:line="240" w:lineRule="auto"/>
        <w:rPr>
          <w:rFonts w:ascii="Times New Roman" w:eastAsia="Times New Roman" w:hAnsi="Times New Roman" w:cs="Times New Roman"/>
          <w:b/>
          <w:i/>
          <w:kern w:val="0"/>
          <w:sz w:val="20"/>
          <w:szCs w:val="20"/>
          <w:lang w:val="en-US"/>
          <w14:ligatures w14:val="none"/>
        </w:rPr>
      </w:pPr>
      <w:r w:rsidRPr="002673F1">
        <w:rPr>
          <w:rFonts w:ascii="Times New Roman" w:eastAsia="Times New Roman" w:hAnsi="Times New Roman" w:cs="Times New Roman"/>
          <w:b/>
          <w:i/>
          <w:kern w:val="0"/>
          <w:sz w:val="20"/>
          <w:szCs w:val="20"/>
          <w14:ligatures w14:val="none"/>
        </w:rPr>
        <w:lastRenderedPageBreak/>
        <w:t>Table 2. Descriptive statistics for hypertension indicators by sex.</w:t>
      </w:r>
    </w:p>
    <w:tbl>
      <w:tblPr>
        <w:tblW w:w="11468" w:type="dxa"/>
        <w:jc w:val="center"/>
        <w:tblLayout w:type="fixed"/>
        <w:tblLook w:val="0420" w:firstRow="1" w:lastRow="0" w:firstColumn="0" w:lastColumn="0" w:noHBand="0" w:noVBand="1"/>
      </w:tblPr>
      <w:tblGrid>
        <w:gridCol w:w="853"/>
        <w:gridCol w:w="6468"/>
        <w:gridCol w:w="1059"/>
        <w:gridCol w:w="1059"/>
        <w:gridCol w:w="1059"/>
        <w:gridCol w:w="970"/>
      </w:tblGrid>
      <w:tr w:rsidR="00BC5BB6" w14:paraId="6B380193" w14:textId="77777777" w:rsidTr="00C21318">
        <w:trPr>
          <w:trHeight w:val="403"/>
          <w:tblHeader/>
          <w:jc w:val="center"/>
        </w:trPr>
        <w:tc>
          <w:tcPr>
            <w:tcW w:w="85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C0F1000"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Sex</w:t>
            </w:r>
          </w:p>
        </w:tc>
        <w:tc>
          <w:tcPr>
            <w:tcW w:w="646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8E59097"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Indicator</w:t>
            </w:r>
          </w:p>
        </w:tc>
        <w:tc>
          <w:tcPr>
            <w:tcW w:w="105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9E8BA5C"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Mean (%)</w:t>
            </w:r>
          </w:p>
        </w:tc>
        <w:tc>
          <w:tcPr>
            <w:tcW w:w="105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0423C87"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SD (pp)</w:t>
            </w:r>
          </w:p>
        </w:tc>
        <w:tc>
          <w:tcPr>
            <w:tcW w:w="105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818F078"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Min (%)</w:t>
            </w:r>
          </w:p>
        </w:tc>
        <w:tc>
          <w:tcPr>
            <w:tcW w:w="97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FCDF4E0"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Max (%)</w:t>
            </w:r>
          </w:p>
        </w:tc>
      </w:tr>
      <w:tr w:rsidR="00BC5BB6" w14:paraId="0856FD7E" w14:textId="77777777" w:rsidTr="00C21318">
        <w:trPr>
          <w:trHeight w:val="403"/>
          <w:jc w:val="center"/>
        </w:trPr>
        <w:tc>
          <w:tcPr>
            <w:tcW w:w="85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5EA15A30"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F0DD1F4" w14:textId="62BCF886"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 xml:space="preserve">Age standardized prevalence of </w:t>
            </w:r>
            <w:r w:rsidRPr="002673F1">
              <w:rPr>
                <w:rFonts w:ascii="Times New Roman" w:eastAsia="Arial" w:hAnsi="Times New Roman" w:cs="Times New Roman"/>
                <w:color w:val="000000"/>
                <w:kern w:val="0"/>
                <w:sz w:val="20"/>
                <w:szCs w:val="20"/>
                <w14:ligatures w14:val="none"/>
              </w:rPr>
              <w:t>hypertension</w:t>
            </w:r>
          </w:p>
        </w:tc>
        <w:tc>
          <w:tcPr>
            <w:tcW w:w="105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03C7AC6"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35.276693</w:t>
            </w:r>
          </w:p>
        </w:tc>
        <w:tc>
          <w:tcPr>
            <w:tcW w:w="105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B3EBE98"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1.517302</w:t>
            </w:r>
          </w:p>
        </w:tc>
        <w:tc>
          <w:tcPr>
            <w:tcW w:w="105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1229DB2"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31.440818</w:t>
            </w:r>
          </w:p>
        </w:tc>
        <w:tc>
          <w:tcPr>
            <w:tcW w:w="97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8087AAC"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36.97858</w:t>
            </w:r>
          </w:p>
        </w:tc>
      </w:tr>
      <w:tr w:rsidR="00BC5BB6" w14:paraId="027967C4"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0C47788F"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2CE8B8C1" w14:textId="06971AD4"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prevalence of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7047D6E"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38.025434</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24CE372"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1.392015</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ABE30E7"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35.678608</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4D66F95E"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39.97355</w:t>
            </w:r>
          </w:p>
        </w:tc>
      </w:tr>
      <w:tr w:rsidR="00BC5BB6" w14:paraId="0C2807C2"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068E6ACD"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20A3EE7A" w14:textId="6DECEAF0"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controlled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C008B0A"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22.350783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BE2C939"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6.819477</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64E75E8"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17.005844</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1B0E3C32"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40.73148</w:t>
            </w:r>
          </w:p>
        </w:tc>
      </w:tr>
      <w:tr w:rsidR="00BC5BB6" w14:paraId="5F0E18AE"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76BE5CCA"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7FFA9DE0" w14:textId="34FDF4AC"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controlled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C879B2D"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37.170023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958F07B"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9.208183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40E5E13"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29.126578</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263BCC01"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60.21720</w:t>
            </w:r>
          </w:p>
        </w:tc>
      </w:tr>
      <w:tr w:rsidR="00BC5BB6" w14:paraId="26EBCA4A"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AD5AEA4"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3299A4D8" w14:textId="0DA02B2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diagnosed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B55AF16"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43.877339</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12AB6CF"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3.118707</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EB3F88B"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40.021634</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6952C210"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50.89236</w:t>
            </w:r>
          </w:p>
        </w:tc>
      </w:tr>
      <w:tr w:rsidR="00BC5BB6" w14:paraId="61EF4FEC"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EBC30A1"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54A26FB9" w14:textId="54A4214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diagnosed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6A4E0DF"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45.776512</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E53D4F5"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1.834663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611D7DEA"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43.399655</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43745BB7"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50.75633</w:t>
            </w:r>
          </w:p>
        </w:tc>
      </w:tr>
      <w:tr w:rsidR="00BC5BB6" w14:paraId="5AC4428F"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4DA05C6"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2B1C4C21" w14:textId="379D7DC8"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treated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7A16799"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31.403438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6106214"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7.154302</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D8F58BB"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25.928837</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3F4BD201"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51.23762</w:t>
            </w:r>
          </w:p>
        </w:tc>
      </w:tr>
      <w:tr w:rsidR="00BC5BB6" w14:paraId="6B4A09EB"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63A4BC1"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757902DA" w14:textId="2FEF2518"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 xml:space="preserve">Age </w:t>
            </w:r>
            <w:r w:rsidRPr="002673F1">
              <w:rPr>
                <w:rFonts w:ascii="Times New Roman" w:eastAsia="Arial" w:hAnsi="Times New Roman" w:cs="Times New Roman"/>
                <w:color w:val="000000"/>
                <w:kern w:val="0"/>
                <w:sz w:val="20"/>
                <w:szCs w:val="20"/>
                <w14:ligatures w14:val="none"/>
              </w:rPr>
              <w:t>standardized proportion of treated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E6F59EF"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50.349681</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0D9FFAA"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8.843766</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631EE6E"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42.616546</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5494CB59"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73.70609</w:t>
            </w:r>
          </w:p>
        </w:tc>
      </w:tr>
      <w:tr w:rsidR="00BC5BB6" w14:paraId="7D58325B"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126B6E7D"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3E7A7D76" w14:textId="046ECF7B"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Age standardized proportion of untreated stage 2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C2BFFB7"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9.175018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EFE063E"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5.468431</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2424E9E"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5.356725</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34CED1ED"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25.61887</w:t>
            </w:r>
          </w:p>
        </w:tc>
      </w:tr>
      <w:tr w:rsidR="00BC5BB6" w14:paraId="2E055A21"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B90D547"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3E52E753" w14:textId="2A1A5948"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 xml:space="preserve">Age </w:t>
            </w:r>
            <w:r w:rsidRPr="002673F1">
              <w:rPr>
                <w:rFonts w:ascii="Times New Roman" w:eastAsia="Arial" w:hAnsi="Times New Roman" w:cs="Times New Roman"/>
                <w:color w:val="000000"/>
                <w:kern w:val="0"/>
                <w:sz w:val="20"/>
                <w:szCs w:val="20"/>
                <w14:ligatures w14:val="none"/>
              </w:rPr>
              <w:t>standardized proportion of untreated stage 2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D812F86"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14.001798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008EF63"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9.468103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61D47C49"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6.984287</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2FB0D5C3"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40.69839</w:t>
            </w:r>
          </w:p>
        </w:tc>
      </w:tr>
      <w:tr w:rsidR="00BC5BB6" w14:paraId="083405E8"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1E5F77FC"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4F8AC9C6"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prevalence of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1A6B98DC"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43.762440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CD3E0ED"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6.814077</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768B5FE"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35.756705</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671ABF91"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57.35333</w:t>
            </w:r>
          </w:p>
        </w:tc>
      </w:tr>
      <w:tr w:rsidR="00BC5BB6" w14:paraId="4156E878"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4ED33BCB"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18A9C286"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prevalence of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398581C"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43.561988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679044F"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10.758968</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BA7383F"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30.252712</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492591CB"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63.57934</w:t>
            </w:r>
          </w:p>
        </w:tc>
      </w:tr>
      <w:tr w:rsidR="00BC5BB6" w14:paraId="46AA2D3E"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E2127A0"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18F9EB69"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controlled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6C8DD28"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19.916186</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2D92259"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6.242873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F076980"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15.105241</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5A67440B"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37.10643</w:t>
            </w:r>
          </w:p>
        </w:tc>
      </w:tr>
      <w:tr w:rsidR="00BC5BB6" w14:paraId="0F87C68C"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099675CC"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6C31D784"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controlled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F25DCF0"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35.137786</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A99B1EF"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8.588810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54C1A5A"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27.917858</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039BEAB5"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57.45403</w:t>
            </w:r>
          </w:p>
        </w:tc>
      </w:tr>
      <w:tr w:rsidR="00BC5BB6" w14:paraId="23617B65"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66D8A374"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200374A1"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 xml:space="preserve">Crude </w:t>
            </w:r>
            <w:r w:rsidRPr="002673F1">
              <w:rPr>
                <w:rFonts w:ascii="Times New Roman" w:eastAsia="Arial" w:hAnsi="Times New Roman" w:cs="Times New Roman"/>
                <w:color w:val="000000"/>
                <w:kern w:val="0"/>
                <w:sz w:val="20"/>
                <w:szCs w:val="20"/>
                <w14:ligatures w14:val="none"/>
              </w:rPr>
              <w:t>proportion of diagnosed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F9E1603"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40.338970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2EBF3C8B"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3.374274</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98276F6"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36.493665</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1D1AACBC"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48.31104</w:t>
            </w:r>
          </w:p>
        </w:tc>
      </w:tr>
      <w:tr w:rsidR="00BC5BB6" w14:paraId="0443875A"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6DC79606"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1CD35732"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diagnosed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72C4EC1B"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41.116474</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7A2CAF0"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1.862244</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B5007DF"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39.252307</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184AAFB6"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46.54106</w:t>
            </w:r>
          </w:p>
        </w:tc>
      </w:tr>
      <w:tr w:rsidR="00BC5BB6" w14:paraId="29945542"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2DAC3DF2"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43D133DF"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 xml:space="preserve">Crude proportion of treated hypertension </w:t>
            </w:r>
            <w:r w:rsidRPr="002673F1">
              <w:rPr>
                <w:rFonts w:ascii="Times New Roman" w:eastAsia="Arial" w:hAnsi="Times New Roman" w:cs="Times New Roman"/>
                <w:color w:val="000000"/>
                <w:kern w:val="0"/>
                <w:sz w:val="20"/>
                <w:szCs w:val="20"/>
                <w14:ligatures w14:val="none"/>
              </w:rPr>
              <w:t>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BBFCC60"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28.482610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18105AF7"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6.772911</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67E7246"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23.214890</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7BF2B846"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47.65342</w:t>
            </w:r>
          </w:p>
        </w:tc>
      </w:tr>
      <w:tr w:rsidR="00BC5BB6" w14:paraId="4D1B1D9A"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3A979A52"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6508115B"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treated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018EBA89"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48.163523</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5B96D184"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8.751780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3F09430"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40.391141</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7F71D591"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71.58250</w:t>
            </w:r>
          </w:p>
        </w:tc>
      </w:tr>
      <w:tr w:rsidR="00BC5BB6" w14:paraId="3C223F9B" w14:textId="77777777" w:rsidTr="00C21318">
        <w:trPr>
          <w:trHeight w:val="403"/>
          <w:jc w:val="center"/>
        </w:trPr>
        <w:tc>
          <w:tcPr>
            <w:tcW w:w="853" w:type="dxa"/>
            <w:tcBorders>
              <w:top w:val="nil"/>
              <w:left w:val="nil"/>
              <w:bottom w:val="nil"/>
              <w:right w:val="nil"/>
            </w:tcBorders>
            <w:shd w:val="clear" w:color="auto" w:fill="FFFFFF"/>
            <w:tcMar>
              <w:top w:w="0" w:type="dxa"/>
              <w:left w:w="0" w:type="dxa"/>
              <w:bottom w:w="0" w:type="dxa"/>
              <w:right w:w="0" w:type="dxa"/>
            </w:tcMar>
            <w:vAlign w:val="center"/>
          </w:tcPr>
          <w:p w14:paraId="244B7596"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Men</w:t>
            </w:r>
          </w:p>
        </w:tc>
        <w:tc>
          <w:tcPr>
            <w:tcW w:w="6468" w:type="dxa"/>
            <w:tcBorders>
              <w:top w:val="nil"/>
              <w:left w:val="nil"/>
              <w:bottom w:val="nil"/>
              <w:right w:val="nil"/>
            </w:tcBorders>
            <w:shd w:val="clear" w:color="auto" w:fill="FFFFFF"/>
            <w:tcMar>
              <w:top w:w="0" w:type="dxa"/>
              <w:left w:w="0" w:type="dxa"/>
              <w:bottom w:w="0" w:type="dxa"/>
              <w:right w:w="0" w:type="dxa"/>
            </w:tcMar>
            <w:vAlign w:val="center"/>
          </w:tcPr>
          <w:p w14:paraId="7DEAD0C2"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untreated stage 2 hypertension among all hypertension</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34579771"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8.331540</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1F59925C"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4.956489</w:t>
            </w:r>
          </w:p>
        </w:tc>
        <w:tc>
          <w:tcPr>
            <w:tcW w:w="1059" w:type="dxa"/>
            <w:tcBorders>
              <w:top w:val="nil"/>
              <w:left w:val="nil"/>
              <w:bottom w:val="nil"/>
              <w:right w:val="nil"/>
            </w:tcBorders>
            <w:shd w:val="clear" w:color="auto" w:fill="FFFFFF"/>
            <w:tcMar>
              <w:top w:w="0" w:type="dxa"/>
              <w:left w:w="0" w:type="dxa"/>
              <w:bottom w:w="0" w:type="dxa"/>
              <w:right w:w="0" w:type="dxa"/>
            </w:tcMar>
            <w:vAlign w:val="center"/>
          </w:tcPr>
          <w:p w14:paraId="4A5091C3"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4.908718</w:t>
            </w:r>
          </w:p>
        </w:tc>
        <w:tc>
          <w:tcPr>
            <w:tcW w:w="970" w:type="dxa"/>
            <w:tcBorders>
              <w:top w:val="nil"/>
              <w:left w:val="nil"/>
              <w:bottom w:val="nil"/>
              <w:right w:val="nil"/>
            </w:tcBorders>
            <w:shd w:val="clear" w:color="auto" w:fill="FFFFFF"/>
            <w:tcMar>
              <w:top w:w="0" w:type="dxa"/>
              <w:left w:w="0" w:type="dxa"/>
              <w:bottom w:w="0" w:type="dxa"/>
              <w:right w:w="0" w:type="dxa"/>
            </w:tcMar>
            <w:vAlign w:val="center"/>
          </w:tcPr>
          <w:p w14:paraId="0FF4C47A"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23.54874</w:t>
            </w:r>
          </w:p>
        </w:tc>
      </w:tr>
      <w:tr w:rsidR="00BC5BB6" w14:paraId="456C73C9" w14:textId="77777777" w:rsidTr="00C21318">
        <w:trPr>
          <w:trHeight w:val="403"/>
          <w:jc w:val="center"/>
        </w:trPr>
        <w:tc>
          <w:tcPr>
            <w:tcW w:w="85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8EEFB7F"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Women</w:t>
            </w:r>
          </w:p>
        </w:tc>
        <w:tc>
          <w:tcPr>
            <w:tcW w:w="646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332F6FA" w14:textId="77777777" w:rsidR="00AB5C38" w:rsidRPr="002673F1" w:rsidRDefault="008A3565" w:rsidP="00C21318">
            <w:pPr>
              <w:pBdr>
                <w:top w:val="nil"/>
                <w:left w:val="nil"/>
                <w:bottom w:val="nil"/>
                <w:right w:val="nil"/>
              </w:pBdr>
              <w:spacing w:after="0" w:line="240" w:lineRule="auto"/>
              <w:ind w:left="100" w:right="100"/>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Crude proportion of untreated stage 2 hypertension among all hypertension</w:t>
            </w:r>
          </w:p>
        </w:tc>
        <w:tc>
          <w:tcPr>
            <w:tcW w:w="105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539A55E"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13.736258</w:t>
            </w:r>
          </w:p>
        </w:tc>
        <w:tc>
          <w:tcPr>
            <w:tcW w:w="105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F89EB1A"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8.642923</w:t>
            </w:r>
          </w:p>
        </w:tc>
        <w:tc>
          <w:tcPr>
            <w:tcW w:w="105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90D2A20"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7.325567</w:t>
            </w:r>
          </w:p>
        </w:tc>
        <w:tc>
          <w:tcPr>
            <w:tcW w:w="97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915D3D6" w14:textId="77777777" w:rsidR="00AB5C38" w:rsidRPr="002673F1" w:rsidRDefault="008A3565" w:rsidP="00C21318">
            <w:pPr>
              <w:pBdr>
                <w:top w:val="nil"/>
                <w:left w:val="nil"/>
                <w:bottom w:val="nil"/>
                <w:right w:val="nil"/>
              </w:pBdr>
              <w:spacing w:after="0" w:line="240" w:lineRule="auto"/>
              <w:ind w:left="100" w:right="100"/>
              <w:jc w:val="right"/>
              <w:rPr>
                <w:rFonts w:ascii="Times New Roman" w:eastAsia="Arial" w:hAnsi="Times New Roman" w:cs="Times New Roman"/>
                <w:color w:val="000000"/>
                <w:kern w:val="0"/>
                <w:sz w:val="20"/>
                <w:szCs w:val="20"/>
                <w:lang w:val="en-US"/>
                <w14:ligatures w14:val="none"/>
              </w:rPr>
            </w:pPr>
            <w:r w:rsidRPr="002673F1">
              <w:rPr>
                <w:rFonts w:ascii="Times New Roman" w:eastAsia="Arial" w:hAnsi="Times New Roman" w:cs="Times New Roman"/>
                <w:color w:val="000000"/>
                <w:kern w:val="0"/>
                <w:sz w:val="20"/>
                <w:szCs w:val="20"/>
                <w14:ligatures w14:val="none"/>
              </w:rPr>
              <w:t>38.61605</w:t>
            </w:r>
          </w:p>
        </w:tc>
      </w:tr>
    </w:tbl>
    <w:p w14:paraId="22F651CC" w14:textId="77777777" w:rsidR="00AB5C38" w:rsidRDefault="00AB5C38" w:rsidP="00AB5C38">
      <w:pPr>
        <w:jc w:val="both"/>
        <w:rPr>
          <w:rFonts w:ascii="Times New Roman" w:hAnsi="Times New Roman" w:cs="Times New Roman"/>
          <w:sz w:val="20"/>
          <w:szCs w:val="20"/>
        </w:rPr>
      </w:pPr>
    </w:p>
    <w:p w14:paraId="4279F378" w14:textId="59EDD5C0" w:rsidR="00AB5C38" w:rsidRPr="00AB5C38" w:rsidRDefault="008A3565"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t xml:space="preserve">Tables 1–4 collectively convey a coherent narrative regarding a system. Table 1 indicates that </w:t>
      </w:r>
      <w:r w:rsidRPr="00AB5C38">
        <w:rPr>
          <w:rFonts w:ascii="Times New Roman" w:hAnsi="Times New Roman" w:cs="Times New Roman"/>
          <w:sz w:val="20"/>
          <w:szCs w:val="20"/>
        </w:rPr>
        <w:t>consistent prevalence and diagnosis correlate with an expanded operational bandwidth in treatment, control, and untreated stage</w:t>
      </w:r>
      <w:r w:rsidR="00D25B63">
        <w:rPr>
          <w:rFonts w:ascii="Times New Roman" w:eastAsia="Calibri" w:hAnsi="Times New Roman" w:cs="Times New Roman"/>
          <w:sz w:val="20"/>
          <w:szCs w:val="20"/>
        </w:rPr>
        <w:t>-</w:t>
      </w:r>
      <w:r>
        <w:rPr>
          <w:rFonts w:ascii="Times New Roman" w:eastAsia="Calibri" w:hAnsi="Times New Roman" w:cs="Times New Roman"/>
          <w:sz w:val="20"/>
          <w:szCs w:val="20"/>
        </w:rPr>
        <w:t>2 patients</w:t>
      </w:r>
      <w:r w:rsidRPr="00AB5C38">
        <w:rPr>
          <w:rFonts w:ascii="Times New Roman" w:hAnsi="Times New Roman" w:cs="Times New Roman"/>
          <w:sz w:val="20"/>
          <w:szCs w:val="20"/>
        </w:rPr>
        <w:t>, differing by sex (Table 2). This pattern is elucidated and refined by the common factor structure (Table 3), and it evolves over time with significant durability (Table 4). The aggregate averages and limited variances for prevalence and diagnosis present</w:t>
      </w:r>
      <w:r w:rsidRPr="00AB5C38">
        <w:rPr>
          <w:rFonts w:ascii="Times New Roman" w:hAnsi="Times New Roman" w:cs="Times New Roman"/>
          <w:sz w:val="20"/>
          <w:szCs w:val="20"/>
        </w:rPr>
        <w:t xml:space="preserve">ed in Table 1 establish a consistent baseline. The greater variability observed in both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 xml:space="preserve">treatment and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control indicates the program's sensitivity, as evidenced by the continuously elevated levels for women in Table 2 and the substantial positive lo</w:t>
      </w:r>
      <w:r w:rsidRPr="00AB5C38">
        <w:rPr>
          <w:rFonts w:ascii="Times New Roman" w:hAnsi="Times New Roman" w:cs="Times New Roman"/>
          <w:sz w:val="20"/>
          <w:szCs w:val="20"/>
        </w:rPr>
        <w:t xml:space="preserve">adings together with nearly total variance explained for these outcomes in Table 3. The feeble, frequently adverse loadings for diagnosis in Table 3 corroborate the </w:t>
      </w:r>
      <w:r>
        <w:rPr>
          <w:rFonts w:ascii="Times New Roman" w:eastAsia="Calibri" w:hAnsi="Times New Roman" w:cs="Times New Roman"/>
          <w:sz w:val="20"/>
          <w:szCs w:val="20"/>
        </w:rPr>
        <w:t>small</w:t>
      </w:r>
      <w:r w:rsidRPr="00AB5C38">
        <w:rPr>
          <w:rFonts w:ascii="Times New Roman" w:hAnsi="Times New Roman" w:cs="Times New Roman"/>
          <w:sz w:val="20"/>
          <w:szCs w:val="20"/>
        </w:rPr>
        <w:t xml:space="preserve"> differences between men and women and the tight distribution observed in Tables 1–2. </w:t>
      </w:r>
      <w:r w:rsidRPr="00AB5C38">
        <w:rPr>
          <w:rFonts w:ascii="Times New Roman" w:hAnsi="Times New Roman" w:cs="Times New Roman"/>
          <w:sz w:val="20"/>
          <w:szCs w:val="20"/>
        </w:rPr>
        <w:t xml:space="preserve">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 xml:space="preserve">indicates that case identification is governed by distinct processes that require attention. The significant loadings for untreated </w:t>
      </w:r>
      <w:r>
        <w:rPr>
          <w:rFonts w:ascii="Times New Roman" w:eastAsia="Calibri" w:hAnsi="Times New Roman" w:cs="Times New Roman"/>
          <w:sz w:val="20"/>
          <w:szCs w:val="20"/>
        </w:rPr>
        <w:t>Stage</w:t>
      </w:r>
      <w:r w:rsidR="00D25B63">
        <w:rPr>
          <w:rFonts w:ascii="Times New Roman" w:eastAsia="Calibri" w:hAnsi="Times New Roman" w:cs="Times New Roman"/>
          <w:sz w:val="20"/>
          <w:szCs w:val="20"/>
        </w:rPr>
        <w:t>-</w:t>
      </w:r>
      <w:r w:rsidRPr="00AB5C38">
        <w:rPr>
          <w:rFonts w:ascii="Times New Roman" w:hAnsi="Times New Roman" w:cs="Times New Roman"/>
          <w:sz w:val="20"/>
          <w:szCs w:val="20"/>
        </w:rPr>
        <w:t>2 in Table 3 correspond to the substantial variation and female predominance in Table 2. This indicates t</w:t>
      </w:r>
      <w:r w:rsidRPr="00AB5C38">
        <w:rPr>
          <w:rFonts w:ascii="Times New Roman" w:hAnsi="Times New Roman" w:cs="Times New Roman"/>
          <w:sz w:val="20"/>
          <w:szCs w:val="20"/>
        </w:rPr>
        <w:t xml:space="preserve">he existence of a high-risk group that </w:t>
      </w:r>
      <w:r>
        <w:rPr>
          <w:rFonts w:ascii="Times New Roman" w:eastAsia="Calibri" w:hAnsi="Times New Roman" w:cs="Times New Roman"/>
          <w:sz w:val="20"/>
          <w:szCs w:val="20"/>
        </w:rPr>
        <w:t>reacts</w:t>
      </w:r>
      <w:r w:rsidRPr="00AB5C38">
        <w:rPr>
          <w:rFonts w:ascii="Times New Roman" w:hAnsi="Times New Roman" w:cs="Times New Roman"/>
          <w:sz w:val="20"/>
          <w:szCs w:val="20"/>
        </w:rPr>
        <w:t xml:space="preserve"> only if the system is reinforced and the likelihood of escalation increases. The </w:t>
      </w:r>
      <w:proofErr w:type="gramStart"/>
      <w:r w:rsidRPr="00AB5C38">
        <w:rPr>
          <w:rFonts w:ascii="Times New Roman" w:hAnsi="Times New Roman" w:cs="Times New Roman"/>
          <w:sz w:val="20"/>
          <w:szCs w:val="20"/>
        </w:rPr>
        <w:t>AR(</w:t>
      </w:r>
      <w:proofErr w:type="gramEnd"/>
      <w:r w:rsidRPr="00AB5C38">
        <w:rPr>
          <w:rFonts w:ascii="Times New Roman" w:hAnsi="Times New Roman" w:cs="Times New Roman"/>
          <w:sz w:val="20"/>
          <w:szCs w:val="20"/>
        </w:rPr>
        <w:t>1) estimations presented in Table 4 indicate that the dynamics are gradual and enduring. This indicates that continuous inputs</w:t>
      </w:r>
      <w:r w:rsidRPr="00AB5C38">
        <w:rPr>
          <w:rFonts w:ascii="Times New Roman" w:hAnsi="Times New Roman" w:cs="Times New Roman"/>
          <w:sz w:val="20"/>
          <w:szCs w:val="20"/>
        </w:rPr>
        <w:t xml:space="preserve"> accumulate, resulting in stable projections and scenarios on the </w:t>
      </w:r>
      <w:r>
        <w:rPr>
          <w:rFonts w:ascii="Times New Roman" w:eastAsia="Calibri" w:hAnsi="Times New Roman" w:cs="Times New Roman"/>
          <w:sz w:val="20"/>
          <w:szCs w:val="20"/>
        </w:rPr>
        <w:t xml:space="preserve">basis of this </w:t>
      </w:r>
      <w:r w:rsidRPr="00AB5C38">
        <w:rPr>
          <w:rFonts w:ascii="Times New Roman" w:hAnsi="Times New Roman" w:cs="Times New Roman"/>
          <w:sz w:val="20"/>
          <w:szCs w:val="20"/>
        </w:rPr>
        <w:t xml:space="preserve">factor. </w:t>
      </w:r>
      <w:r>
        <w:rPr>
          <w:rFonts w:ascii="Times New Roman" w:eastAsia="Calibri" w:hAnsi="Times New Roman" w:cs="Times New Roman"/>
          <w:sz w:val="20"/>
          <w:szCs w:val="20"/>
        </w:rPr>
        <w:t>The analysis</w:t>
      </w:r>
      <w:r w:rsidRPr="00AB5C38">
        <w:rPr>
          <w:rFonts w:ascii="Times New Roman" w:hAnsi="Times New Roman" w:cs="Times New Roman"/>
          <w:sz w:val="20"/>
          <w:szCs w:val="20"/>
        </w:rPr>
        <w:t xml:space="preserve"> suggests a twin strategy: </w:t>
      </w:r>
      <w:r>
        <w:rPr>
          <w:rFonts w:ascii="Times New Roman" w:eastAsia="Calibri" w:hAnsi="Times New Roman" w:cs="Times New Roman"/>
          <w:sz w:val="20"/>
          <w:szCs w:val="20"/>
        </w:rPr>
        <w:t>improving</w:t>
      </w:r>
      <w:r w:rsidRPr="00AB5C38">
        <w:rPr>
          <w:rFonts w:ascii="Times New Roman" w:hAnsi="Times New Roman" w:cs="Times New Roman"/>
          <w:sz w:val="20"/>
          <w:szCs w:val="20"/>
        </w:rPr>
        <w:t xml:space="preserve"> the system driver to optimize treatment and management while executing a targeted diagnostic initiative and a contingen</w:t>
      </w:r>
      <w:r w:rsidRPr="00AB5C38">
        <w:rPr>
          <w:rFonts w:ascii="Times New Roman" w:hAnsi="Times New Roman" w:cs="Times New Roman"/>
          <w:sz w:val="20"/>
          <w:szCs w:val="20"/>
        </w:rPr>
        <w:t xml:space="preserve">cy plan for severe hypertension. Table 1 emphasizes age-standardized indicators as foundational, Table 2 advocates for sex-disaggregated targets, Table </w:t>
      </w:r>
      <w:r w:rsidRPr="00AB5C38">
        <w:rPr>
          <w:rFonts w:ascii="Times New Roman" w:hAnsi="Times New Roman" w:cs="Times New Roman"/>
          <w:sz w:val="20"/>
          <w:szCs w:val="20"/>
        </w:rPr>
        <w:lastRenderedPageBreak/>
        <w:t>3 validates a singular lever for multi-indicator improvements and highlights diagnosis as the exception,</w:t>
      </w:r>
      <w:r w:rsidRPr="00AB5C38">
        <w:rPr>
          <w:rFonts w:ascii="Times New Roman" w:hAnsi="Times New Roman" w:cs="Times New Roman"/>
          <w:sz w:val="20"/>
          <w:szCs w:val="20"/>
        </w:rPr>
        <w:t xml:space="preserve"> </w:t>
      </w:r>
      <w:r>
        <w:rPr>
          <w:rFonts w:ascii="Times New Roman" w:eastAsia="Calibri" w:hAnsi="Times New Roman" w:cs="Times New Roman"/>
          <w:sz w:val="20"/>
          <w:szCs w:val="20"/>
        </w:rPr>
        <w:t>and</w:t>
      </w:r>
      <w:r w:rsidRPr="00AB5C38">
        <w:rPr>
          <w:rFonts w:ascii="Times New Roman" w:hAnsi="Times New Roman" w:cs="Times New Roman"/>
          <w:sz w:val="20"/>
          <w:szCs w:val="20"/>
        </w:rPr>
        <w:t xml:space="preserve"> Table 4 justifies multiyear commitments </w:t>
      </w:r>
      <w:r>
        <w:rPr>
          <w:rFonts w:ascii="Times New Roman" w:eastAsia="Calibri" w:hAnsi="Times New Roman" w:cs="Times New Roman"/>
          <w:sz w:val="20"/>
          <w:szCs w:val="20"/>
        </w:rPr>
        <w:t>owing</w:t>
      </w:r>
      <w:r w:rsidRPr="00AB5C38">
        <w:rPr>
          <w:rFonts w:ascii="Times New Roman" w:hAnsi="Times New Roman" w:cs="Times New Roman"/>
          <w:sz w:val="20"/>
          <w:szCs w:val="20"/>
        </w:rPr>
        <w:t xml:space="preserve"> to considerable persistence.</w:t>
      </w:r>
    </w:p>
    <w:p w14:paraId="0580C8A0" w14:textId="77777777" w:rsidR="00AB5C38" w:rsidRPr="00C236A9" w:rsidRDefault="008A3565" w:rsidP="00AB5C38">
      <w:pPr>
        <w:pStyle w:val="TableCaption"/>
        <w:keepNext/>
        <w:pBdr>
          <w:top w:val="nil"/>
          <w:left w:val="nil"/>
          <w:bottom w:val="nil"/>
          <w:right w:val="nil"/>
        </w:pBdr>
        <w:spacing w:before="60" w:after="60"/>
        <w:ind w:left="60" w:right="60"/>
        <w:rPr>
          <w:rFonts w:ascii="Times New Roman" w:hAnsi="Times New Roman" w:cs="Times New Roman"/>
          <w:sz w:val="20"/>
          <w:szCs w:val="20"/>
        </w:rPr>
      </w:pPr>
      <w:r w:rsidRPr="00C236A9">
        <w:rPr>
          <w:rFonts w:ascii="Times New Roman" w:hAnsi="Times New Roman" w:cs="Times New Roman"/>
          <w:sz w:val="20"/>
          <w:szCs w:val="20"/>
        </w:rPr>
        <w:t>Table 3. Loadings, intercepts, and variance explained by the shared factor</w:t>
      </w:r>
    </w:p>
    <w:tbl>
      <w:tblPr>
        <w:tblW w:w="11171" w:type="dxa"/>
        <w:jc w:val="center"/>
        <w:tblLayout w:type="fixed"/>
        <w:tblLook w:val="0420" w:firstRow="1" w:lastRow="0" w:firstColumn="0" w:lastColumn="0" w:noHBand="0" w:noVBand="1"/>
      </w:tblPr>
      <w:tblGrid>
        <w:gridCol w:w="697"/>
        <w:gridCol w:w="1038"/>
        <w:gridCol w:w="6709"/>
        <w:gridCol w:w="641"/>
        <w:gridCol w:w="582"/>
        <w:gridCol w:w="676"/>
        <w:gridCol w:w="828"/>
      </w:tblGrid>
      <w:tr w:rsidR="00BC5BB6" w14:paraId="194D8081" w14:textId="77777777" w:rsidTr="00C21318">
        <w:trPr>
          <w:trHeight w:val="242"/>
          <w:tblHeader/>
          <w:jc w:val="center"/>
        </w:trPr>
        <w:tc>
          <w:tcPr>
            <w:tcW w:w="69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89D61E4"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Sex</w:t>
            </w:r>
          </w:p>
        </w:tc>
        <w:tc>
          <w:tcPr>
            <w:tcW w:w="103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8C13169"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Group</w:t>
            </w:r>
          </w:p>
        </w:tc>
        <w:tc>
          <w:tcPr>
            <w:tcW w:w="670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6914ADB"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Indicator</w:t>
            </w:r>
          </w:p>
        </w:tc>
        <w:tc>
          <w:tcPr>
            <w:tcW w:w="64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EF198DD"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Loading</w:t>
            </w:r>
          </w:p>
        </w:tc>
        <w:tc>
          <w:tcPr>
            <w:tcW w:w="582"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5821FF0"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C10293A"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Intercept</w:t>
            </w:r>
          </w:p>
        </w:tc>
        <w:tc>
          <w:tcPr>
            <w:tcW w:w="82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30A9D9E"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Variance explained (%)</w:t>
            </w:r>
          </w:p>
        </w:tc>
      </w:tr>
      <w:tr w:rsidR="00BC5BB6" w14:paraId="47192B56" w14:textId="77777777" w:rsidTr="00C21318">
        <w:trPr>
          <w:trHeight w:val="248"/>
          <w:jc w:val="center"/>
        </w:trPr>
        <w:tc>
          <w:tcPr>
            <w:tcW w:w="69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D47A0FD"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FF7F8BA" w14:textId="142E0EC1"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770DEA35" w14:textId="45F8BA16" w:rsidR="00AB5C38" w:rsidRPr="00715B60" w:rsidRDefault="008A3565" w:rsidP="00C21318">
            <w:pPr>
              <w:pBdr>
                <w:top w:val="nil"/>
                <w:left w:val="nil"/>
                <w:bottom w:val="nil"/>
                <w:right w:val="nil"/>
              </w:pBdr>
              <w:spacing w:before="100" w:after="100"/>
              <w:ind w:left="68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age_standardized_prevalence_of_hypertension</w:t>
            </w:r>
            <w:proofErr w:type="spellEnd"/>
          </w:p>
        </w:tc>
        <w:tc>
          <w:tcPr>
            <w:tcW w:w="64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BDEF002"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c>
          <w:tcPr>
            <w:tcW w:w="582"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2AA6733"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E45EDB6"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0.423</w:t>
            </w:r>
          </w:p>
        </w:tc>
        <w:tc>
          <w:tcPr>
            <w:tcW w:w="82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BBD4552"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r>
      <w:tr w:rsidR="00BC5BB6" w14:paraId="674666BF"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2BA06633"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437D71D8" w14:textId="7207ABC4"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3E85319A" w14:textId="2B556CE0"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age_standardized_proportion_of_controlled_hypertension_among_all_hypertension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16CCBB63"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1.047</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73D81A8"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1DA3E8D1"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-0.182</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34276B26"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99.5</w:t>
            </w:r>
          </w:p>
        </w:tc>
      </w:tr>
      <w:tr w:rsidR="00BC5BB6" w14:paraId="66CD60B4"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12E09457"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4CA7971C" w14:textId="073E8BCB"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545CEE47" w14:textId="0585A9FD"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age_standardized_proportion_of_diagnosed_hypertension_among_all_hypertension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0C2E0338"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-0.265</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5C3E449F"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5BDB7A53"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-0.513</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0DF0B7F1"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50.7</w:t>
            </w:r>
          </w:p>
        </w:tc>
      </w:tr>
      <w:tr w:rsidR="00BC5BB6" w14:paraId="0F90E9D4"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7003D685"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5E499331" w14:textId="73D70E12"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47A0A7C6" w14:textId="1C43CD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age_standardized_proportion_of_treated_hypertension_among_all_hypertension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7951431F"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0.921</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3D89078E"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4CF39FD6"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0.157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3947B8FF"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99.0</w:t>
            </w:r>
          </w:p>
        </w:tc>
      </w:tr>
      <w:tr w:rsidR="00BC5BB6" w14:paraId="4B461183"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5671FAA"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203698B2" w14:textId="702E0AB2"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698CB9A1" w14:textId="315D3EE8"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age_standardized_proportion_of_untreated_stage_2_hypertension_among_all_hypertension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56BA54F1"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1.484</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5597A44"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14B45EF1"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-0.804</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66AB0E07"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r>
      <w:tr w:rsidR="00BC5BB6" w14:paraId="4468510B"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5A1AA8CD"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4BCAB4FC"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3A8E12B2"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crude_prevalence_of_hypertension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777006C2"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-0.618</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1FC0475A"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2E7DF960"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-0.881</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31D49BC3"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57.0</w:t>
            </w:r>
          </w:p>
        </w:tc>
      </w:tr>
      <w:tr w:rsidR="00BC5BB6" w14:paraId="356FFEA5"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70F9FE97"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41A8E0C4"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06C38710"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crude_proportion_of_controlled_hypertension_among_all_hypertension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16212BB6"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1.027</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11968FC1"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5815A026"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-0.347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50ADC51E"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99.9</w:t>
            </w:r>
          </w:p>
        </w:tc>
      </w:tr>
      <w:tr w:rsidR="00BC5BB6" w14:paraId="30304E4A"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2488C541"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2E0402C4"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6AEADCDC"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crude_proportion_of_diagnosed_hypertension_among_all_hypertension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4F27E4F3"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-0.271</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8871006"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07E968B"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-0.663</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1361F63D"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43.8</w:t>
            </w:r>
          </w:p>
        </w:tc>
      </w:tr>
      <w:tr w:rsidR="00BC5BB6" w14:paraId="395F69AA"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83840D7"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311C5308"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26AA30AD"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crude_proportion_of_treated_hypertension_among_all_hypertension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6A1A1D5C"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0.900</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06E53B53"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23219E05"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-0.003</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5BB7E880"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97.2</w:t>
            </w:r>
          </w:p>
        </w:tc>
      </w:tr>
      <w:tr w:rsidR="00BC5BB6" w14:paraId="7A7A9D52"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1C657F91"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7CDBAB39"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1244A9D6"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crude_proportion_of_untreated_stage_2_hypertension_among_all_hypertension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6F344198"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1.435</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2C54FAB"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268E18E2"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-0.947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345D4DB3"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99.8</w:t>
            </w:r>
          </w:p>
        </w:tc>
      </w:tr>
      <w:tr w:rsidR="00BC5BB6" w14:paraId="23F01017"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CF25610"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07DC86A6" w14:textId="61432804"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322631D2" w14:textId="68630435"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age_standardized_prevalence_of_hypertension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7E5222DF"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3010C032"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DAA0952"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0.048</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4F344962"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100.0</w:t>
            </w:r>
          </w:p>
        </w:tc>
      </w:tr>
      <w:tr w:rsidR="00BC5BB6" w14:paraId="6077F10B"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BA613E1"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3D556A31" w14:textId="39A54E8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10D7B045" w14:textId="15C272C1"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age_standardized_proportion_of_controlled_hypertension_among_all_hypertension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3D921212"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1.223</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27CC0F90"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5A7DC4AD"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0.117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25EF17FC"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99.5</w:t>
            </w:r>
          </w:p>
        </w:tc>
      </w:tr>
      <w:tr w:rsidR="00BC5BB6" w14:paraId="1F52CD68"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74670C4F"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30502052" w14:textId="5FB90431"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0CF4B9BE" w14:textId="57E2C0D6"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age_standardized_proportion_of_diagnosed_hypertension_among_all_hypertension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23865A3C"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-0.094</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744069B7"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66247AFA"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-0.216</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208EBF6F"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16.2</w:t>
            </w:r>
          </w:p>
        </w:tc>
      </w:tr>
      <w:tr w:rsidR="00BC5BB6" w14:paraId="2B0DCFC1"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69EDE94"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57CDBEC3" w14:textId="310CC74E"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0B1C275E" w14:textId="5246D4F3"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age_standardized_proportion_of_treated_hypertension_among_all_hypertension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521F0389"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1.112</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0AD77611"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6D90EBF"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0.607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50175B13"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90.6</w:t>
            </w:r>
          </w:p>
        </w:tc>
      </w:tr>
      <w:tr w:rsidR="00BC5BB6" w14:paraId="4CAC6984"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4BE7EF83"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1BDC4A9C" w14:textId="02645169"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Age-standardized</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6D270A3A" w14:textId="5D93E888"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age_standardized_proportion_of_untreated_stage_2_hypertension_among_all_hypertension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0DC03ED2"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2.061</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2336B98F"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579706E"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-0.821</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1EDAD865"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99.7</w:t>
            </w:r>
          </w:p>
        </w:tc>
      </w:tr>
      <w:tr w:rsidR="00BC5BB6" w14:paraId="26C2D9AD"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0D58CA18"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224DA5BB"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17DBB474"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crude_prevalence_of_hypertension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62A67E7C"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-1.082</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284F4BAA"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051692D3"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-0.837</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4E0B68DE"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58.4</w:t>
            </w:r>
          </w:p>
        </w:tc>
      </w:tr>
      <w:tr w:rsidR="00BC5BB6" w14:paraId="3F7EB1AF"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1C259133"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684012B6"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7D1AD15D"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crude_proportion_of_controlled_hypertension_among_all_hypertension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08DEE9A7"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1.158</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6AB671B9"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7435C00A"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-0.005</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4D1526CF"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99.9</w:t>
            </w:r>
          </w:p>
        </w:tc>
      </w:tr>
      <w:tr w:rsidR="00BC5BB6" w14:paraId="52AE9291" w14:textId="77777777" w:rsidTr="00C21318">
        <w:trPr>
          <w:trHeight w:val="248"/>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7A736249"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378E70F3"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6E8FD970"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crude_proportion_of_diagnosed_hypertension_among_all_hypertension</w:t>
            </w:r>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1F95A29D"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-0.023</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4A8C1D81"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7C54A7BD"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-0.365</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56B4019C"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w:t>
            </w:r>
          </w:p>
        </w:tc>
      </w:tr>
      <w:tr w:rsidR="00BC5BB6" w14:paraId="7F46574D" w14:textId="77777777" w:rsidTr="00C21318">
        <w:trPr>
          <w:trHeight w:val="242"/>
          <w:jc w:val="center"/>
        </w:trPr>
        <w:tc>
          <w:tcPr>
            <w:tcW w:w="697" w:type="dxa"/>
            <w:tcBorders>
              <w:top w:val="nil"/>
              <w:left w:val="nil"/>
              <w:bottom w:val="nil"/>
              <w:right w:val="nil"/>
            </w:tcBorders>
            <w:shd w:val="clear" w:color="auto" w:fill="FFFFFF"/>
            <w:tcMar>
              <w:top w:w="0" w:type="dxa"/>
              <w:left w:w="0" w:type="dxa"/>
              <w:bottom w:w="0" w:type="dxa"/>
              <w:right w:w="0" w:type="dxa"/>
            </w:tcMar>
            <w:vAlign w:val="center"/>
          </w:tcPr>
          <w:p w14:paraId="0E3996CD"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nil"/>
              <w:right w:val="nil"/>
            </w:tcBorders>
            <w:shd w:val="clear" w:color="auto" w:fill="FFFFFF"/>
            <w:tcMar>
              <w:top w:w="0" w:type="dxa"/>
              <w:left w:w="0" w:type="dxa"/>
              <w:bottom w:w="0" w:type="dxa"/>
              <w:right w:w="0" w:type="dxa"/>
            </w:tcMar>
            <w:vAlign w:val="center"/>
          </w:tcPr>
          <w:p w14:paraId="525AECF2"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nil"/>
              <w:right w:val="nil"/>
            </w:tcBorders>
            <w:shd w:val="clear" w:color="auto" w:fill="FFFFFF"/>
            <w:tcMar>
              <w:top w:w="0" w:type="dxa"/>
              <w:left w:w="0" w:type="dxa"/>
              <w:bottom w:w="0" w:type="dxa"/>
              <w:right w:w="0" w:type="dxa"/>
            </w:tcMar>
            <w:vAlign w:val="center"/>
          </w:tcPr>
          <w:p w14:paraId="0540DBC8"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715B60">
              <w:rPr>
                <w:rFonts w:ascii="Times New Roman" w:eastAsia="Arial" w:hAnsi="Times New Roman" w:cs="Times New Roman"/>
                <w:color w:val="000000"/>
                <w:sz w:val="16"/>
                <w:szCs w:val="16"/>
              </w:rPr>
              <w:t>crude_proportion_of_treated_hypertension_among_all_hypertension</w:t>
            </w:r>
            <w:proofErr w:type="spellEnd"/>
          </w:p>
        </w:tc>
        <w:tc>
          <w:tcPr>
            <w:tcW w:w="641" w:type="dxa"/>
            <w:tcBorders>
              <w:top w:val="nil"/>
              <w:left w:val="nil"/>
              <w:bottom w:val="nil"/>
              <w:right w:val="nil"/>
            </w:tcBorders>
            <w:shd w:val="clear" w:color="auto" w:fill="FFFFFF"/>
            <w:tcMar>
              <w:top w:w="0" w:type="dxa"/>
              <w:left w:w="0" w:type="dxa"/>
              <w:bottom w:w="0" w:type="dxa"/>
              <w:right w:w="0" w:type="dxa"/>
            </w:tcMar>
            <w:vAlign w:val="center"/>
          </w:tcPr>
          <w:p w14:paraId="243C2F4C"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1.067</w:t>
            </w:r>
          </w:p>
        </w:tc>
        <w:tc>
          <w:tcPr>
            <w:tcW w:w="582" w:type="dxa"/>
            <w:tcBorders>
              <w:top w:val="nil"/>
              <w:left w:val="nil"/>
              <w:bottom w:val="nil"/>
              <w:right w:val="nil"/>
            </w:tcBorders>
            <w:shd w:val="clear" w:color="auto" w:fill="FFFFFF"/>
            <w:tcMar>
              <w:top w:w="0" w:type="dxa"/>
              <w:left w:w="0" w:type="dxa"/>
              <w:bottom w:w="0" w:type="dxa"/>
              <w:right w:w="0" w:type="dxa"/>
            </w:tcMar>
            <w:vAlign w:val="center"/>
          </w:tcPr>
          <w:p w14:paraId="33EF2D75"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nil"/>
              <w:right w:val="nil"/>
            </w:tcBorders>
            <w:shd w:val="clear" w:color="auto" w:fill="FFFFFF"/>
            <w:tcMar>
              <w:top w:w="0" w:type="dxa"/>
              <w:left w:w="0" w:type="dxa"/>
              <w:bottom w:w="0" w:type="dxa"/>
              <w:right w:w="0" w:type="dxa"/>
            </w:tcMar>
            <w:vAlign w:val="center"/>
          </w:tcPr>
          <w:p w14:paraId="79AFB9D7"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0.494</w:t>
            </w:r>
          </w:p>
        </w:tc>
        <w:tc>
          <w:tcPr>
            <w:tcW w:w="828" w:type="dxa"/>
            <w:tcBorders>
              <w:top w:val="nil"/>
              <w:left w:val="nil"/>
              <w:bottom w:val="nil"/>
              <w:right w:val="nil"/>
            </w:tcBorders>
            <w:shd w:val="clear" w:color="auto" w:fill="FFFFFF"/>
            <w:tcMar>
              <w:top w:w="0" w:type="dxa"/>
              <w:left w:w="0" w:type="dxa"/>
              <w:bottom w:w="0" w:type="dxa"/>
              <w:right w:w="0" w:type="dxa"/>
            </w:tcMar>
            <w:vAlign w:val="center"/>
          </w:tcPr>
          <w:p w14:paraId="6579733A"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86.8</w:t>
            </w:r>
          </w:p>
        </w:tc>
      </w:tr>
      <w:tr w:rsidR="00BC5BB6" w14:paraId="4FAC01B6" w14:textId="77777777" w:rsidTr="00C21318">
        <w:trPr>
          <w:trHeight w:val="242"/>
          <w:jc w:val="center"/>
        </w:trPr>
        <w:tc>
          <w:tcPr>
            <w:tcW w:w="69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8902001"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Women</w:t>
            </w:r>
          </w:p>
        </w:tc>
        <w:tc>
          <w:tcPr>
            <w:tcW w:w="103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C28AA17"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w:t>
            </w:r>
          </w:p>
        </w:tc>
        <w:tc>
          <w:tcPr>
            <w:tcW w:w="670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F122B7E" w14:textId="77777777" w:rsidR="00AB5C38" w:rsidRPr="00715B6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crude_proportion_of_untreated_stage_2_hypertension_among_all_hypertension</w:t>
            </w:r>
          </w:p>
        </w:tc>
        <w:tc>
          <w:tcPr>
            <w:tcW w:w="64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71B5346"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1.895</w:t>
            </w:r>
          </w:p>
        </w:tc>
        <w:tc>
          <w:tcPr>
            <w:tcW w:w="582"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E565762" w14:textId="77777777" w:rsidR="00AB5C38" w:rsidRPr="00715B60"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
        </w:tc>
        <w:tc>
          <w:tcPr>
            <w:tcW w:w="67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16311DC"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-0.909</w:t>
            </w:r>
          </w:p>
        </w:tc>
        <w:tc>
          <w:tcPr>
            <w:tcW w:w="82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70B0F4CB" w14:textId="77777777" w:rsidR="00AB5C38" w:rsidRPr="00715B6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715B60">
              <w:rPr>
                <w:rFonts w:ascii="Times New Roman" w:eastAsia="Arial" w:hAnsi="Times New Roman" w:cs="Times New Roman"/>
                <w:color w:val="000000"/>
                <w:sz w:val="16"/>
                <w:szCs w:val="16"/>
              </w:rPr>
              <w:t>99.9</w:t>
            </w:r>
          </w:p>
        </w:tc>
      </w:tr>
    </w:tbl>
    <w:p w14:paraId="14CA8799" w14:textId="77777777" w:rsidR="00AB5C38" w:rsidRDefault="00AB5C38" w:rsidP="00AB5C38">
      <w:pPr>
        <w:rPr>
          <w:rFonts w:ascii="Times New Roman" w:hAnsi="Times New Roman" w:cs="Times New Roman"/>
          <w:b/>
          <w:bCs/>
        </w:rPr>
      </w:pPr>
    </w:p>
    <w:p w14:paraId="38C0C250" w14:textId="77777777" w:rsidR="00AB5C38" w:rsidRPr="00F83BC9" w:rsidRDefault="008A3565" w:rsidP="00AB5C38">
      <w:pPr>
        <w:pStyle w:val="TableCaption"/>
        <w:keepNext/>
        <w:pBdr>
          <w:top w:val="nil"/>
          <w:left w:val="nil"/>
          <w:bottom w:val="nil"/>
          <w:right w:val="nil"/>
        </w:pBdr>
        <w:spacing w:before="60" w:after="60"/>
        <w:ind w:left="60" w:right="60"/>
        <w:rPr>
          <w:rFonts w:ascii="Times New Roman" w:hAnsi="Times New Roman" w:cs="Times New Roman"/>
          <w:sz w:val="20"/>
          <w:szCs w:val="20"/>
        </w:rPr>
      </w:pPr>
      <w:r w:rsidRPr="00F83BC9">
        <w:rPr>
          <w:rFonts w:ascii="Times New Roman" w:hAnsi="Times New Roman" w:cs="Times New Roman"/>
          <w:sz w:val="20"/>
          <w:szCs w:val="20"/>
        </w:rPr>
        <w:t xml:space="preserve">Table 4. State dynamics parameters (AR φ and process </w:t>
      </w:r>
      <w:r w:rsidRPr="00F83BC9">
        <w:rPr>
          <w:rFonts w:ascii="Times New Roman" w:hAnsi="Times New Roman" w:cs="Times New Roman"/>
          <w:sz w:val="20"/>
          <w:szCs w:val="20"/>
        </w:rPr>
        <w:t>variance q).</w:t>
      </w:r>
    </w:p>
    <w:tbl>
      <w:tblPr>
        <w:tblW w:w="0" w:type="auto"/>
        <w:jc w:val="center"/>
        <w:tblLayout w:type="fixed"/>
        <w:tblLook w:val="0420" w:firstRow="1" w:lastRow="0" w:firstColumn="0" w:lastColumn="0" w:noHBand="0" w:noVBand="1"/>
      </w:tblPr>
      <w:tblGrid>
        <w:gridCol w:w="1300"/>
        <w:gridCol w:w="2539"/>
        <w:gridCol w:w="1273"/>
        <w:gridCol w:w="2118"/>
        <w:gridCol w:w="1083"/>
      </w:tblGrid>
      <w:tr w:rsidR="00BC5BB6" w14:paraId="654DF395" w14:textId="77777777" w:rsidTr="00C21318">
        <w:trPr>
          <w:trHeight w:val="468"/>
          <w:tblHeader/>
          <w:jc w:val="center"/>
        </w:trPr>
        <w:tc>
          <w:tcPr>
            <w:tcW w:w="130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5EB46B6" w14:textId="77777777" w:rsidR="00AB5C38" w:rsidRPr="00F83BC9"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Sex</w:t>
            </w:r>
          </w:p>
        </w:tc>
        <w:tc>
          <w:tcPr>
            <w:tcW w:w="253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E04912E" w14:textId="77777777" w:rsidR="00AB5C38" w:rsidRPr="00F83BC9"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AR parameter (phi)</w:t>
            </w:r>
          </w:p>
        </w:tc>
        <w:tc>
          <w:tcPr>
            <w:tcW w:w="127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0425C1D" w14:textId="77777777" w:rsidR="00AB5C38" w:rsidRPr="00F83BC9"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p>
        </w:tc>
        <w:tc>
          <w:tcPr>
            <w:tcW w:w="211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CD4AC8A" w14:textId="77777777" w:rsidR="00AB5C38" w:rsidRPr="00F83BC9"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Process var (q)</w:t>
            </w:r>
          </w:p>
        </w:tc>
        <w:tc>
          <w:tcPr>
            <w:tcW w:w="108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5EBE21B" w14:textId="77777777" w:rsidR="00AB5C38" w:rsidRPr="00F83BC9"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p>
        </w:tc>
      </w:tr>
      <w:tr w:rsidR="00BC5BB6" w14:paraId="21590697" w14:textId="77777777" w:rsidTr="00C21318">
        <w:trPr>
          <w:trHeight w:val="478"/>
          <w:jc w:val="center"/>
        </w:trPr>
        <w:tc>
          <w:tcPr>
            <w:tcW w:w="130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7A8689CB" w14:textId="77777777" w:rsidR="00AB5C38" w:rsidRPr="00F83BC9"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Men</w:t>
            </w:r>
          </w:p>
        </w:tc>
        <w:tc>
          <w:tcPr>
            <w:tcW w:w="253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6613BD1" w14:textId="77777777" w:rsidR="00AB5C38" w:rsidRPr="00F83BC9"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0.980</w:t>
            </w:r>
          </w:p>
        </w:tc>
        <w:tc>
          <w:tcPr>
            <w:tcW w:w="127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B407933" w14:textId="77777777" w:rsidR="00AB5C38" w:rsidRPr="00F83BC9" w:rsidRDefault="00AB5C38"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p>
        </w:tc>
        <w:tc>
          <w:tcPr>
            <w:tcW w:w="211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3765CD0" w14:textId="77777777" w:rsidR="00AB5C38" w:rsidRPr="00F83BC9"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0.003</w:t>
            </w:r>
          </w:p>
        </w:tc>
        <w:tc>
          <w:tcPr>
            <w:tcW w:w="108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ED375BF" w14:textId="77777777" w:rsidR="00AB5C38" w:rsidRPr="00F83BC9" w:rsidRDefault="00AB5C38" w:rsidP="00C21318">
            <w:pPr>
              <w:pBdr>
                <w:top w:val="nil"/>
                <w:left w:val="nil"/>
                <w:bottom w:val="nil"/>
                <w:right w:val="nil"/>
              </w:pBdr>
              <w:spacing w:before="100" w:after="100"/>
              <w:ind w:right="100"/>
              <w:rPr>
                <w:rFonts w:ascii="Times New Roman" w:eastAsia="Arial" w:hAnsi="Times New Roman" w:cs="Times New Roman"/>
                <w:color w:val="000000"/>
                <w:sz w:val="20"/>
                <w:szCs w:val="20"/>
              </w:rPr>
            </w:pPr>
          </w:p>
        </w:tc>
      </w:tr>
      <w:tr w:rsidR="00BC5BB6" w14:paraId="4BED11CD" w14:textId="77777777" w:rsidTr="00C21318">
        <w:trPr>
          <w:trHeight w:val="468"/>
          <w:jc w:val="center"/>
        </w:trPr>
        <w:tc>
          <w:tcPr>
            <w:tcW w:w="130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F5E9F67" w14:textId="77777777" w:rsidR="00AB5C38" w:rsidRPr="00F83BC9"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lastRenderedPageBreak/>
              <w:t>Women</w:t>
            </w:r>
          </w:p>
        </w:tc>
        <w:tc>
          <w:tcPr>
            <w:tcW w:w="253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C161660" w14:textId="77777777" w:rsidR="00AB5C38" w:rsidRPr="00F83BC9"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0.982</w:t>
            </w:r>
          </w:p>
        </w:tc>
        <w:tc>
          <w:tcPr>
            <w:tcW w:w="127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6652058" w14:textId="77777777" w:rsidR="00AB5C38" w:rsidRPr="00F83BC9" w:rsidRDefault="00AB5C38" w:rsidP="00C21318">
            <w:pPr>
              <w:pBdr>
                <w:top w:val="nil"/>
                <w:left w:val="nil"/>
                <w:bottom w:val="nil"/>
                <w:right w:val="nil"/>
              </w:pBdr>
              <w:spacing w:before="100" w:after="100"/>
              <w:ind w:right="100"/>
              <w:rPr>
                <w:rFonts w:ascii="Times New Roman" w:eastAsia="Arial" w:hAnsi="Times New Roman" w:cs="Times New Roman"/>
                <w:color w:val="000000"/>
                <w:sz w:val="20"/>
                <w:szCs w:val="20"/>
              </w:rPr>
            </w:pPr>
          </w:p>
        </w:tc>
        <w:tc>
          <w:tcPr>
            <w:tcW w:w="211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0967DAD" w14:textId="77777777" w:rsidR="00AB5C38" w:rsidRPr="00F83BC9"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20"/>
                <w:szCs w:val="20"/>
              </w:rPr>
            </w:pPr>
            <w:r w:rsidRPr="00F83BC9">
              <w:rPr>
                <w:rFonts w:ascii="Times New Roman" w:eastAsia="Arial" w:hAnsi="Times New Roman" w:cs="Times New Roman"/>
                <w:color w:val="000000"/>
                <w:sz w:val="20"/>
                <w:szCs w:val="20"/>
              </w:rPr>
              <w:t>0.003</w:t>
            </w:r>
          </w:p>
        </w:tc>
        <w:tc>
          <w:tcPr>
            <w:tcW w:w="108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860280B" w14:textId="77777777" w:rsidR="00AB5C38" w:rsidRPr="00F83BC9" w:rsidRDefault="00AB5C38" w:rsidP="00C21318">
            <w:pPr>
              <w:pBdr>
                <w:top w:val="nil"/>
                <w:left w:val="nil"/>
                <w:bottom w:val="nil"/>
                <w:right w:val="nil"/>
              </w:pBdr>
              <w:spacing w:before="100" w:after="100"/>
              <w:ind w:right="100"/>
              <w:rPr>
                <w:rFonts w:ascii="Times New Roman" w:eastAsia="Arial" w:hAnsi="Times New Roman" w:cs="Times New Roman"/>
                <w:color w:val="000000"/>
                <w:sz w:val="20"/>
                <w:szCs w:val="20"/>
              </w:rPr>
            </w:pPr>
          </w:p>
        </w:tc>
      </w:tr>
    </w:tbl>
    <w:p w14:paraId="752A7E2D" w14:textId="77777777" w:rsidR="00AB5C38" w:rsidRDefault="00AB5C38" w:rsidP="00AB5C38">
      <w:pPr>
        <w:jc w:val="both"/>
        <w:rPr>
          <w:rFonts w:ascii="Times New Roman" w:hAnsi="Times New Roman" w:cs="Times New Roman"/>
          <w:sz w:val="20"/>
          <w:szCs w:val="20"/>
        </w:rPr>
      </w:pPr>
    </w:p>
    <w:p w14:paraId="4016F0A0" w14:textId="506790F6" w:rsidR="00AB5C38" w:rsidRPr="00AB5C38" w:rsidRDefault="008A3565"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t xml:space="preserve">The subsequent equations offer a clear, policy-focused evaluation of hypertension system efficacy in Africa. The sex-effect Beta-GAM precisely models each cascade indicator on its intrinsic (0,1) scale </w:t>
      </w:r>
      <w:r>
        <w:rPr>
          <w:rFonts w:ascii="Times New Roman" w:eastAsia="Calibri" w:hAnsi="Times New Roman" w:cs="Times New Roman"/>
          <w:sz w:val="20"/>
          <w:szCs w:val="20"/>
        </w:rPr>
        <w:t>via</w:t>
      </w:r>
      <w:r w:rsidRPr="00AB5C38">
        <w:rPr>
          <w:rFonts w:ascii="Times New Roman" w:hAnsi="Times New Roman" w:cs="Times New Roman"/>
          <w:sz w:val="20"/>
          <w:szCs w:val="20"/>
        </w:rPr>
        <w:t xml:space="preserve"> a logit link and </w:t>
      </w:r>
      <w:r>
        <w:rPr>
          <w:rFonts w:ascii="Times New Roman" w:eastAsia="Calibri" w:hAnsi="Times New Roman" w:cs="Times New Roman"/>
          <w:sz w:val="20"/>
          <w:szCs w:val="20"/>
        </w:rPr>
        <w:t>beta</w:t>
      </w:r>
      <w:r w:rsidRPr="00AB5C38">
        <w:rPr>
          <w:rFonts w:ascii="Times New Roman" w:hAnsi="Times New Roman" w:cs="Times New Roman"/>
          <w:sz w:val="20"/>
          <w:szCs w:val="20"/>
        </w:rPr>
        <w:t xml:space="preserve"> likelihood, differentiating a continuous calendar-time trend from a distinct contrast </w:t>
      </w:r>
      <w:r>
        <w:rPr>
          <w:rFonts w:ascii="Times New Roman" w:eastAsia="Calibri" w:hAnsi="Times New Roman" w:cs="Times New Roman"/>
          <w:sz w:val="20"/>
          <w:szCs w:val="20"/>
        </w:rPr>
        <w:t xml:space="preserve">between women and men </w:t>
      </w:r>
      <w:r w:rsidRPr="00AB5C38">
        <w:rPr>
          <w:rFonts w:ascii="Times New Roman" w:hAnsi="Times New Roman" w:cs="Times New Roman"/>
          <w:sz w:val="20"/>
          <w:szCs w:val="20"/>
        </w:rPr>
        <w:t>(β</w:t>
      </w:r>
      <w:proofErr w:type="spellStart"/>
      <w:r w:rsidRPr="00AB5C38">
        <w:rPr>
          <w:rFonts w:ascii="Times New Roman" w:hAnsi="Times New Roman" w:cs="Times New Roman"/>
          <w:sz w:val="20"/>
          <w:szCs w:val="20"/>
        </w:rPr>
        <w:t>i</w:t>
      </w:r>
      <w:proofErr w:type="spellEnd"/>
      <w:r w:rsidRPr="00AB5C38">
        <w:rPr>
          <w:rFonts w:ascii="Times New Roman" w:hAnsi="Times New Roman" w:cs="Times New Roman"/>
          <w:sz w:val="20"/>
          <w:szCs w:val="20"/>
        </w:rPr>
        <w:t>). Given that β</w:t>
      </w:r>
      <w:proofErr w:type="spellStart"/>
      <w:r w:rsidRPr="00AB5C38">
        <w:rPr>
          <w:rFonts w:ascii="Times New Roman" w:hAnsi="Times New Roman" w:cs="Times New Roman"/>
          <w:sz w:val="20"/>
          <w:szCs w:val="20"/>
        </w:rPr>
        <w:t>i</w:t>
      </w:r>
      <w:proofErr w:type="spellEnd"/>
      <w:r w:rsidRPr="00AB5C38">
        <w:rPr>
          <w:rFonts w:ascii="Times New Roman" w:hAnsi="Times New Roman" w:cs="Times New Roman"/>
          <w:sz w:val="20"/>
          <w:szCs w:val="20"/>
        </w:rPr>
        <w:t xml:space="preserve"> exponentiates to an odds ratio and facilitates a closed-form conversion from any male baseline probability to the corresponding</w:t>
      </w:r>
      <w:r w:rsidRPr="00AB5C38">
        <w:rPr>
          <w:rFonts w:ascii="Times New Roman" w:hAnsi="Times New Roman" w:cs="Times New Roman"/>
          <w:sz w:val="20"/>
          <w:szCs w:val="20"/>
        </w:rPr>
        <w:t xml:space="preserve"> female probability, the estimations in Table 5 can be easily transformed into actionable gaps: </w:t>
      </w:r>
      <w:r>
        <w:rPr>
          <w:rFonts w:ascii="Times New Roman" w:eastAsia="Calibri" w:hAnsi="Times New Roman" w:cs="Times New Roman"/>
          <w:sz w:val="20"/>
          <w:szCs w:val="20"/>
        </w:rPr>
        <w:t>the</w:t>
      </w:r>
      <w:r w:rsidRPr="00AB5C38">
        <w:rPr>
          <w:rFonts w:ascii="Times New Roman" w:hAnsi="Times New Roman" w:cs="Times New Roman"/>
          <w:sz w:val="20"/>
          <w:szCs w:val="20"/>
        </w:rPr>
        <w:t xml:space="preserve"> odds for women in the control and treatment groups are approximately double (OR≈2.06 and 2.23), although the odds for diagnosis are marginally elevated (OR≈</w:t>
      </w:r>
      <w:r w:rsidRPr="00AB5C38">
        <w:rPr>
          <w:rFonts w:ascii="Times New Roman" w:hAnsi="Times New Roman" w:cs="Times New Roman"/>
          <w:sz w:val="20"/>
          <w:szCs w:val="20"/>
        </w:rPr>
        <w:t>1.08). The likelihood of untreated stage</w:t>
      </w:r>
      <w:r>
        <w:rPr>
          <w:rFonts w:ascii="Times New Roman" w:eastAsia="Calibri" w:hAnsi="Times New Roman" w:cs="Times New Roman"/>
          <w:sz w:val="20"/>
          <w:szCs w:val="20"/>
        </w:rPr>
        <w:t xml:space="preserve"> </w:t>
      </w:r>
      <w:r w:rsidRPr="00AB5C38">
        <w:rPr>
          <w:rFonts w:ascii="Times New Roman" w:hAnsi="Times New Roman" w:cs="Times New Roman"/>
          <w:sz w:val="20"/>
          <w:szCs w:val="20"/>
        </w:rPr>
        <w:t xml:space="preserve">2 </w:t>
      </w:r>
      <w:r>
        <w:rPr>
          <w:rFonts w:ascii="Times New Roman" w:eastAsia="Calibri" w:hAnsi="Times New Roman" w:cs="Times New Roman"/>
          <w:sz w:val="20"/>
          <w:szCs w:val="20"/>
        </w:rPr>
        <w:t xml:space="preserve">disease </w:t>
      </w:r>
      <w:r w:rsidRPr="00AB5C38">
        <w:rPr>
          <w:rFonts w:ascii="Times New Roman" w:hAnsi="Times New Roman" w:cs="Times New Roman"/>
          <w:sz w:val="20"/>
          <w:szCs w:val="20"/>
        </w:rPr>
        <w:t xml:space="preserve">is considerably elevated (OR≈1.60), indicating that detection continues to be the primary issue and that a substantial high-risk demographic of women persists. The one-factor </w:t>
      </w:r>
      <w:r>
        <w:rPr>
          <w:rFonts w:ascii="Times New Roman" w:eastAsia="Calibri" w:hAnsi="Times New Roman" w:cs="Times New Roman"/>
          <w:sz w:val="20"/>
          <w:szCs w:val="20"/>
        </w:rPr>
        <w:t>state‒space</w:t>
      </w:r>
      <w:r w:rsidRPr="00AB5C38">
        <w:rPr>
          <w:rFonts w:ascii="Times New Roman" w:hAnsi="Times New Roman" w:cs="Times New Roman"/>
          <w:sz w:val="20"/>
          <w:szCs w:val="20"/>
        </w:rPr>
        <w:t xml:space="preserve"> model is relevant</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as it captures the overall dynamics of all ten indicators while preserving sex-specific trajectories; a high persistence (φ≈0.98 in Table 4) suggests that shocks and improvements diminish gradually, enabling sustained investments to accumulate over time. </w:t>
      </w:r>
      <w:r w:rsidRPr="00AB5C38">
        <w:rPr>
          <w:rFonts w:ascii="Times New Roman" w:hAnsi="Times New Roman" w:cs="Times New Roman"/>
          <w:sz w:val="20"/>
          <w:szCs w:val="20"/>
        </w:rPr>
        <w:t xml:space="preserve">The completed measurement equations in Table 3 indicate that </w:t>
      </w:r>
      <w:r>
        <w:rPr>
          <w:rFonts w:ascii="Times New Roman" w:eastAsia="Calibri" w:hAnsi="Times New Roman" w:cs="Times New Roman"/>
          <w:sz w:val="20"/>
          <w:szCs w:val="20"/>
        </w:rPr>
        <w:t xml:space="preserve">the </w:t>
      </w:r>
      <w:r w:rsidRPr="00AB5C38">
        <w:rPr>
          <w:rFonts w:ascii="Times New Roman" w:hAnsi="Times New Roman" w:cs="Times New Roman"/>
          <w:sz w:val="20"/>
          <w:szCs w:val="20"/>
        </w:rPr>
        <w:t xml:space="preserve">control, treatment, and untreated </w:t>
      </w:r>
      <w:r>
        <w:rPr>
          <w:rFonts w:ascii="Times New Roman" w:eastAsia="Calibri" w:hAnsi="Times New Roman" w:cs="Times New Roman"/>
          <w:sz w:val="20"/>
          <w:szCs w:val="20"/>
        </w:rPr>
        <w:t>Stage 2 samples all exhibited</w:t>
      </w:r>
      <w:r w:rsidRPr="00AB5C38">
        <w:rPr>
          <w:rFonts w:ascii="Times New Roman" w:hAnsi="Times New Roman" w:cs="Times New Roman"/>
          <w:sz w:val="20"/>
          <w:szCs w:val="20"/>
        </w:rPr>
        <w:t xml:space="preserve"> substantial positive loadings. A singular latent "system factor" consistently influences these outcomes: as the factor </w:t>
      </w:r>
      <w:r>
        <w:rPr>
          <w:rFonts w:ascii="Times New Roman" w:eastAsia="Calibri" w:hAnsi="Times New Roman" w:cs="Times New Roman"/>
          <w:sz w:val="20"/>
          <w:szCs w:val="20"/>
        </w:rPr>
        <w:t>increase</w:t>
      </w:r>
      <w:r>
        <w:rPr>
          <w:rFonts w:ascii="Times New Roman" w:eastAsia="Calibri" w:hAnsi="Times New Roman" w:cs="Times New Roman"/>
          <w:sz w:val="20"/>
          <w:szCs w:val="20"/>
        </w:rPr>
        <w:t>s</w:t>
      </w:r>
      <w:r w:rsidRPr="00AB5C38">
        <w:rPr>
          <w:rFonts w:ascii="Times New Roman" w:hAnsi="Times New Roman" w:cs="Times New Roman"/>
          <w:sz w:val="20"/>
          <w:szCs w:val="20"/>
        </w:rPr>
        <w:t>, control increases</w:t>
      </w:r>
      <w:r>
        <w:rPr>
          <w:rFonts w:ascii="Times New Roman" w:eastAsia="Calibri" w:hAnsi="Times New Roman" w:cs="Times New Roman"/>
          <w:sz w:val="20"/>
          <w:szCs w:val="20"/>
        </w:rPr>
        <w:t>,</w:t>
      </w:r>
      <w:r w:rsidRPr="00AB5C38">
        <w:rPr>
          <w:rFonts w:ascii="Times New Roman" w:hAnsi="Times New Roman" w:cs="Times New Roman"/>
          <w:sz w:val="20"/>
          <w:szCs w:val="20"/>
        </w:rPr>
        <w:t xml:space="preserve"> and the likelihood of severe uncontrolled disease diminishes. The inferences and implications are unambiguous. Integrate a comprehensive package that enhances the common factor—ensured drug availability, streamlined protocols, and reg</w:t>
      </w:r>
      <w:r w:rsidRPr="00AB5C38">
        <w:rPr>
          <w:rFonts w:ascii="Times New Roman" w:hAnsi="Times New Roman" w:cs="Times New Roman"/>
          <w:sz w:val="20"/>
          <w:szCs w:val="20"/>
        </w:rPr>
        <w:t>istry-facilitated continuity—with a focused diagnostic initiative (opportunistic screening, community engagement, and expedited confirmation) to eliminate entry disparities. Establish sex-disaggregated objectives and monitor both control improvements and h</w:t>
      </w:r>
      <w:r w:rsidRPr="00AB5C38">
        <w:rPr>
          <w:rFonts w:ascii="Times New Roman" w:hAnsi="Times New Roman" w:cs="Times New Roman"/>
          <w:sz w:val="20"/>
          <w:szCs w:val="20"/>
        </w:rPr>
        <w:t xml:space="preserve">igh-risk mitigation, recognizing that enduring change necessitates a </w:t>
      </w:r>
      <w:r>
        <w:rPr>
          <w:rFonts w:ascii="Times New Roman" w:eastAsia="Calibri" w:hAnsi="Times New Roman" w:cs="Times New Roman"/>
          <w:sz w:val="20"/>
          <w:szCs w:val="20"/>
        </w:rPr>
        <w:t>multiyear</w:t>
      </w:r>
      <w:r w:rsidRPr="00AB5C38">
        <w:rPr>
          <w:rFonts w:ascii="Times New Roman" w:hAnsi="Times New Roman" w:cs="Times New Roman"/>
          <w:sz w:val="20"/>
          <w:szCs w:val="20"/>
        </w:rPr>
        <w:t xml:space="preserve"> commitment due to near-unit-root dynamics.</w:t>
      </w:r>
    </w:p>
    <w:p w14:paraId="1837FB24" w14:textId="30310ABB" w:rsidR="00AB5C38" w:rsidRPr="00C016D6" w:rsidRDefault="008A3565" w:rsidP="00AB5C38">
      <w:pPr>
        <w:rPr>
          <w:rFonts w:ascii="Times New Roman" w:hAnsi="Times New Roman" w:cs="Times New Roman"/>
          <w:sz w:val="20"/>
          <w:szCs w:val="20"/>
        </w:rPr>
      </w:pPr>
      <w:r w:rsidRPr="00C016D6">
        <w:rPr>
          <w:rFonts w:ascii="Times New Roman" w:hAnsi="Times New Roman" w:cs="Times New Roman"/>
          <w:sz w:val="20"/>
          <w:szCs w:val="20"/>
        </w:rPr>
        <w:t>The sex effect Beta-GAM for each indicator</w:t>
      </w:r>
      <m:oMath>
        <m:r>
          <w:rPr>
            <w:rFonts w:ascii="Cambria Math" w:hAnsi="Cambria Math" w:cs="Times New Roman"/>
            <w:sz w:val="20"/>
            <w:szCs w:val="20"/>
          </w:rPr>
          <m:t>i</m:t>
        </m:r>
      </m:oMath>
    </w:p>
    <w:p w14:paraId="36AA4F92" w14:textId="647567D8" w:rsidR="00AB5C38" w:rsidRPr="00C016D6" w:rsidRDefault="008A3565" w:rsidP="00AB5C38">
      <w:pPr>
        <w:rPr>
          <w:rFonts w:ascii="Times New Roman" w:eastAsiaTheme="minorEastAsia" w:hAnsi="Times New Roman" w:cs="Times New Roman"/>
          <w:sz w:val="20"/>
          <w:szCs w:val="20"/>
        </w:rPr>
      </w:pPr>
      <w:r w:rsidRPr="00C016D6">
        <w:rPr>
          <w:rFonts w:ascii="Times New Roman" w:hAnsi="Times New Roman" w:cs="Times New Roman"/>
          <w:sz w:val="20"/>
          <w:szCs w:val="20"/>
        </w:rPr>
        <w:t xml:space="preserve"> Let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0,1</m:t>
            </m:r>
          </m:e>
        </m:d>
      </m:oMath>
      <w:r w:rsidRPr="00C016D6">
        <w:rPr>
          <w:rFonts w:ascii="Times New Roman" w:eastAsiaTheme="minorEastAsia" w:hAnsi="Times New Roman" w:cs="Times New Roman"/>
          <w:sz w:val="20"/>
          <w:szCs w:val="20"/>
        </w:rPr>
        <w:t xml:space="preserve"> denote the proportion </w:t>
      </w:r>
      <w:r w:rsidRPr="00C016D6">
        <w:rPr>
          <w:rFonts w:ascii="Times New Roman" w:eastAsia="Times New Roman" w:hAnsi="Times New Roman" w:cs="Times New Roman"/>
          <w:sz w:val="20"/>
          <w:szCs w:val="20"/>
        </w:rPr>
        <w:t>of the</w:t>
      </w:r>
      <w:r w:rsidRPr="00C016D6">
        <w:rPr>
          <w:rFonts w:ascii="Times New Roman" w:eastAsiaTheme="minorEastAsia" w:hAnsi="Times New Roman" w:cs="Times New Roman"/>
          <w:sz w:val="20"/>
          <w:szCs w:val="20"/>
        </w:rPr>
        <w:t xml:space="preserve"> outcome</w:t>
      </w:r>
      <w:r w:rsidRPr="00C016D6">
        <w:rPr>
          <w:rFonts w:ascii="Times New Roman" w:hAnsi="Times New Roman" w:cs="Times New Roman"/>
          <w:sz w:val="20"/>
          <w:szCs w:val="20"/>
        </w:rPr>
        <w:t xml:space="preserve">, </w:t>
      </w:r>
      <m:oMath>
        <m:r>
          <w:rPr>
            <w:rFonts w:ascii="Cambria Math" w:hAnsi="Cambria Math" w:cs="Times New Roman"/>
            <w:sz w:val="20"/>
            <w:szCs w:val="20"/>
          </w:rPr>
          <m:t>i</m:t>
        </m:r>
      </m:oMath>
      <w:r w:rsidRPr="00C016D6">
        <w:rPr>
          <w:rFonts w:ascii="Times New Roman" w:eastAsia="Calibri" w:hAnsi="Times New Roman" w:cs="Times New Roman"/>
          <w:sz w:val="20"/>
          <w:szCs w:val="20"/>
        </w:rPr>
        <w:t>,</w:t>
      </w:r>
      <w:r w:rsidRPr="00C016D6">
        <w:rPr>
          <w:rFonts w:ascii="Times New Roman" w:eastAsiaTheme="minorEastAsia" w:hAnsi="Times New Roman" w:cs="Times New Roman"/>
          <w:sz w:val="20"/>
          <w:szCs w:val="20"/>
        </w:rPr>
        <w:t xml:space="preserve"> in year </w:t>
      </w:r>
      <m:oMath>
        <m:r>
          <w:rPr>
            <w:rFonts w:ascii="Cambria Math" w:hAnsi="Cambria Math" w:cs="Times New Roman"/>
            <w:sz w:val="20"/>
            <w:szCs w:val="20"/>
          </w:rPr>
          <m:t>t</m:t>
        </m:r>
      </m:oMath>
      <w:r w:rsidRPr="00C016D6">
        <w:rPr>
          <w:rFonts w:ascii="Times New Roman" w:eastAsiaTheme="minorEastAsia" w:hAnsi="Times New Roman" w:cs="Times New Roman"/>
          <w:sz w:val="20"/>
          <w:szCs w:val="20"/>
        </w:rPr>
        <w:t xml:space="preserve"> and sex </w:t>
      </w:r>
      <m:oMath>
        <m:r>
          <w:rPr>
            <w:rFonts w:ascii="Cambria Math" w:hAnsi="Cambria Math" w:cs="Times New Roman"/>
            <w:sz w:val="20"/>
            <w:szCs w:val="20"/>
          </w:rPr>
          <m:t>s</m:t>
        </m:r>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Me</m:t>
            </m:r>
            <m:r>
              <w:rPr>
                <w:rFonts w:ascii="Cambria Math" w:hAnsi="Cambria Math" w:cs="Times New Roman"/>
                <w:sz w:val="20"/>
                <w:szCs w:val="20"/>
              </w:rPr>
              <m:t>n</m:t>
            </m:r>
            <m:r>
              <w:rPr>
                <w:rFonts w:ascii="Cambria Math" w:hAnsi="Cambria Math" w:cs="Times New Roman"/>
                <w:sz w:val="20"/>
                <w:szCs w:val="20"/>
              </w:rPr>
              <m:t xml:space="preserve">, </m:t>
            </m:r>
            <m:r>
              <w:rPr>
                <w:rFonts w:ascii="Cambria Math" w:hAnsi="Cambria Math" w:cs="Times New Roman"/>
                <w:sz w:val="20"/>
                <w:szCs w:val="20"/>
              </w:rPr>
              <m:t>Women</m:t>
            </m:r>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Define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r>
          <w:rPr>
            <w:rFonts w:ascii="Cambria Math" w:hAnsi="Cambria Math" w:cs="Times New Roman"/>
            <w:sz w:val="20"/>
            <w:szCs w:val="20"/>
          </w:rPr>
          <m:t>E</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logit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r>
          <w:rPr>
            <w:rFonts w:ascii="Cambria Math" w:hAnsi="Cambria Math" w:cs="Times New Roman"/>
            <w:sz w:val="20"/>
            <w:szCs w:val="20"/>
          </w:rPr>
          <m:t>1</m:t>
        </m:r>
        <m:d>
          <m:dPr>
            <m:begChr m:val="{"/>
            <m:endChr m:val="}"/>
            <m:ctrlPr>
              <w:rPr>
                <w:rFonts w:ascii="Cambria Math" w:hAnsi="Cambria Math" w:cs="Times New Roman"/>
                <w:i/>
                <w:sz w:val="20"/>
                <w:szCs w:val="20"/>
              </w:rPr>
            </m:ctrlPr>
          </m:dPr>
          <m:e>
            <m:r>
              <w:rPr>
                <w:rFonts w:ascii="Cambria Math" w:hAnsi="Cambria Math" w:cs="Times New Roman"/>
                <w:sz w:val="20"/>
                <w:szCs w:val="20"/>
              </w:rPr>
              <m:t>s</m:t>
            </m:r>
            <m:r>
              <w:rPr>
                <w:rFonts w:ascii="Cambria Math" w:hAnsi="Cambria Math" w:cs="Times New Roman"/>
                <w:sz w:val="20"/>
                <w:szCs w:val="20"/>
              </w:rPr>
              <m:t>=</m:t>
            </m:r>
            <m:r>
              <w:rPr>
                <w:rFonts w:ascii="Cambria Math" w:hAnsi="Cambria Math" w:cs="Times New Roman"/>
                <w:sz w:val="20"/>
                <w:szCs w:val="20"/>
              </w:rPr>
              <m:t>Women</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r>
          <w:rPr>
            <w:rFonts w:ascii="Cambria Math" w:hAnsi="Cambria Math" w:cs="Times New Roman"/>
            <w:sz w:val="20"/>
            <w:szCs w:val="20"/>
          </w:rPr>
          <m:t>Beta</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e>
        </m:d>
        <m:r>
          <w:rPr>
            <w:rFonts w:ascii="Cambria Math" w:hAnsi="Cambria Math" w:cs="Times New Roman"/>
            <w:sz w:val="20"/>
            <w:szCs w:val="20"/>
          </w:rPr>
          <m:t>.</m:t>
        </m:r>
      </m:oMath>
    </w:p>
    <w:p w14:paraId="3EBB766C" w14:textId="21D6D5AD" w:rsidR="00AB5C38" w:rsidRPr="00C016D6" w:rsidRDefault="008A3565" w:rsidP="00AB5C38">
      <w:pPr>
        <w:rPr>
          <w:rFonts w:ascii="Times New Roman" w:eastAsiaTheme="minorEastAsia" w:hAnsi="Times New Roman" w:cs="Times New Roman"/>
          <w:sz w:val="20"/>
          <w:szCs w:val="20"/>
        </w:rPr>
      </w:pPr>
      <w:r w:rsidRPr="00C016D6">
        <w:rPr>
          <w:rFonts w:ascii="Times New Roman" w:eastAsia="Times New Roman" w:hAnsi="Times New Roman" w:cs="Times New Roman"/>
          <w:sz w:val="20"/>
          <w:szCs w:val="20"/>
        </w:rPr>
        <w:t>where</w:t>
      </w:r>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oMath>
      <w:r w:rsidRPr="00C016D6">
        <w:rPr>
          <w:rFonts w:ascii="Times New Roman" w:eastAsiaTheme="minorEastAsia" w:hAnsi="Times New Roman" w:cs="Times New Roman"/>
          <w:sz w:val="20"/>
          <w:szCs w:val="20"/>
        </w:rPr>
        <w:t xml:space="preserve"> is the sex contrast (</w:t>
      </w:r>
      <w:r w:rsidRPr="00C016D6">
        <w:rPr>
          <w:rFonts w:ascii="Times New Roman" w:eastAsia="Times New Roman" w:hAnsi="Times New Roman" w:cs="Times New Roman"/>
          <w:sz w:val="20"/>
          <w:szCs w:val="20"/>
        </w:rPr>
        <w:t>women</w:t>
      </w:r>
      <w:r w:rsidRPr="00C016D6">
        <w:rPr>
          <w:rFonts w:ascii="Times New Roman" w:eastAsiaTheme="minorEastAsia" w:hAnsi="Times New Roman" w:cs="Times New Roman"/>
          <w:sz w:val="20"/>
          <w:szCs w:val="20"/>
        </w:rPr>
        <w:t xml:space="preserve"> vs </w:t>
      </w:r>
      <w:proofErr w:type="gramStart"/>
      <w:r w:rsidRPr="00C016D6">
        <w:rPr>
          <w:rFonts w:ascii="Times New Roman" w:eastAsia="Times New Roman" w:hAnsi="Times New Roman" w:cs="Times New Roman"/>
          <w:sz w:val="20"/>
          <w:szCs w:val="20"/>
        </w:rPr>
        <w:t>men</w:t>
      </w:r>
      <w:r w:rsidRPr="00C016D6">
        <w:rPr>
          <w:rFonts w:ascii="Times New Roman" w:eastAsiaTheme="minorEastAsia" w:hAnsi="Times New Roman" w:cs="Times New Roman"/>
          <w:sz w:val="20"/>
          <w:szCs w:val="20"/>
        </w:rPr>
        <w:t>).</w:t>
      </w:r>
      <w:proofErr w:type="gramEnd"/>
      <w:r w:rsidRPr="00C016D6">
        <w:rPr>
          <w:rFonts w:ascii="Times New Roman" w:eastAsiaTheme="minorEastAsia" w:hAnsi="Times New Roman" w:cs="Times New Roman"/>
          <w:sz w:val="20"/>
          <w:szCs w:val="20"/>
        </w:rPr>
        <w:t xml:space="preserve"> From Table 5, examples on the age-standardized scale are</w:t>
      </w:r>
      <w:r w:rsidRPr="00C016D6">
        <w:rPr>
          <w:rFonts w:ascii="Times New Roman" w:eastAsia="Times New Roman" w:hAnsi="Times New Roman" w:cs="Times New Roman"/>
          <w:sz w:val="20"/>
          <w:szCs w:val="20"/>
        </w:rPr>
        <w:t xml:space="preserve"> as follows</w:t>
      </w:r>
      <w:r w:rsidRPr="00C016D6">
        <w:rPr>
          <w:rFonts w:ascii="Times New Roman" w:eastAsiaTheme="minorEastAsia" w:hAnsi="Times New Roman" w:cs="Times New Roman"/>
          <w:sz w:val="20"/>
          <w:szCs w:val="20"/>
        </w:rPr>
        <w:t>:</w:t>
      </w:r>
    </w:p>
    <w:p w14:paraId="38BAD3AB" w14:textId="77777777"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Control:</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ctrl</m:t>
            </m:r>
          </m:sub>
        </m:sSub>
        <m:r>
          <w:rPr>
            <w:rFonts w:ascii="Cambria Math" w:hAnsi="Cambria Math" w:cs="Times New Roman"/>
            <w:sz w:val="20"/>
            <w:szCs w:val="20"/>
          </w:rPr>
          <m:t>=0.725⇒</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0.725</m:t>
            </m:r>
          </m:sup>
        </m:sSup>
        <m:r>
          <w:rPr>
            <w:rFonts w:ascii="Cambria Math" w:hAnsi="Cambria Math" w:cs="Times New Roman"/>
            <w:sz w:val="20"/>
            <w:szCs w:val="20"/>
          </w:rPr>
          <m:t>=2.064</m:t>
        </m:r>
      </m:oMath>
    </w:p>
    <w:p w14:paraId="72571711" w14:textId="77777777"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Treated:</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trt</m:t>
            </m:r>
          </m:sub>
        </m:sSub>
        <m:r>
          <w:rPr>
            <w:rFonts w:ascii="Cambria Math" w:hAnsi="Cambria Math" w:cs="Times New Roman"/>
            <w:sz w:val="20"/>
            <w:szCs w:val="20"/>
          </w:rPr>
          <m:t>=0.801⇒</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=2.229</m:t>
        </m:r>
      </m:oMath>
    </w:p>
    <w:p w14:paraId="121CE01D" w14:textId="77777777"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Diagnosis:</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dx</m:t>
            </m:r>
          </m:sub>
        </m:sSub>
        <m:r>
          <w:rPr>
            <w:rFonts w:ascii="Cambria Math" w:hAnsi="Cambria Math" w:cs="Times New Roman"/>
            <w:sz w:val="20"/>
            <w:szCs w:val="20"/>
          </w:rPr>
          <m:t>=0.076⇒</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=1.079</m:t>
        </m:r>
      </m:oMath>
    </w:p>
    <w:p w14:paraId="78CE729A" w14:textId="49D013AE" w:rsidR="00AB5C38" w:rsidRPr="00C016D6" w:rsidRDefault="008A3565" w:rsidP="00AB5C38">
      <w:pPr>
        <w:rPr>
          <w:rFonts w:ascii="Times New Roman" w:eastAsiaTheme="minorEastAsia" w:hAnsi="Times New Roman" w:cs="Times New Roman"/>
          <w:sz w:val="20"/>
          <w:szCs w:val="20"/>
        </w:rPr>
      </w:pPr>
      <w:r w:rsidRPr="00C016D6">
        <w:rPr>
          <w:rFonts w:ascii="Times New Roman" w:eastAsia="Times New Roman" w:hAnsi="Times New Roman" w:cs="Times New Roman"/>
          <w:sz w:val="20"/>
          <w:szCs w:val="20"/>
        </w:rPr>
        <w:t xml:space="preserve">Untreated Stage </w:t>
      </w:r>
      <w:r w:rsidRPr="00C016D6">
        <w:rPr>
          <w:rFonts w:ascii="Times New Roman" w:eastAsiaTheme="minorEastAsia" w:hAnsi="Times New Roman" w:cs="Times New Roman"/>
          <w:sz w:val="20"/>
          <w:szCs w:val="20"/>
        </w:rPr>
        <w:t>2:</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uS</m:t>
            </m:r>
            <m:r>
              <w:rPr>
                <w:rFonts w:ascii="Cambria Math" w:hAnsi="Cambria Math" w:cs="Times New Roman"/>
                <w:sz w:val="20"/>
                <w:szCs w:val="20"/>
              </w:rPr>
              <m:t>2</m:t>
            </m:r>
          </m:sub>
        </m:sSub>
        <m:r>
          <w:rPr>
            <w:rFonts w:ascii="Cambria Math" w:hAnsi="Cambria Math" w:cs="Times New Roman"/>
            <w:sz w:val="20"/>
            <w:szCs w:val="20"/>
          </w:rPr>
          <m:t>=0.470⇒</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=1.601</m:t>
        </m:r>
      </m:oMath>
    </w:p>
    <w:p w14:paraId="230F7562" w14:textId="77777777"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Prevalence:</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β</m:t>
                </m:r>
              </m:e>
            </m:acc>
          </m:e>
          <m:sub>
            <m:r>
              <w:rPr>
                <w:rFonts w:ascii="Cambria Math" w:hAnsi="Cambria Math" w:cs="Times New Roman"/>
                <w:sz w:val="20"/>
                <w:szCs w:val="20"/>
              </w:rPr>
              <m:t>prev</m:t>
            </m:r>
          </m:sub>
        </m:sSub>
        <m:r>
          <w:rPr>
            <w:rFonts w:ascii="Cambria Math" w:hAnsi="Cambria Math" w:cs="Times New Roman"/>
            <w:sz w:val="20"/>
            <w:szCs w:val="20"/>
          </w:rPr>
          <m:t>=0.116⇒</m:t>
        </m:r>
        <m:acc>
          <m:accPr>
            <m:ctrlPr>
              <w:rPr>
                <w:rFonts w:ascii="Cambria Math" w:hAnsi="Cambria Math" w:cs="Times New Roman"/>
                <w:i/>
                <w:sz w:val="20"/>
                <w:szCs w:val="20"/>
              </w:rPr>
            </m:ctrlPr>
          </m:accPr>
          <m:e>
            <m:r>
              <w:rPr>
                <w:rFonts w:ascii="Cambria Math" w:hAnsi="Cambria Math" w:cs="Times New Roman"/>
                <w:sz w:val="20"/>
                <w:szCs w:val="20"/>
              </w:rPr>
              <m:t>OR</m:t>
            </m:r>
          </m:e>
        </m:acc>
        <m:r>
          <w:rPr>
            <w:rFonts w:ascii="Cambria Math" w:hAnsi="Cambria Math" w:cs="Times New Roman"/>
            <w:sz w:val="20"/>
            <w:szCs w:val="20"/>
          </w:rPr>
          <m:t>=1.123</m:t>
        </m:r>
      </m:oMath>
    </w:p>
    <w:p w14:paraId="2316F8C2" w14:textId="77777777" w:rsidR="00AB5C38" w:rsidRPr="00C016D6" w:rsidRDefault="00AB5C38" w:rsidP="00AB5C38">
      <w:pPr>
        <w:rPr>
          <w:rFonts w:ascii="Times New Roman" w:eastAsiaTheme="minorEastAsia" w:hAnsi="Times New Roman" w:cs="Times New Roman"/>
          <w:sz w:val="20"/>
          <w:szCs w:val="20"/>
        </w:rPr>
      </w:pPr>
    </w:p>
    <w:p w14:paraId="4352013E" w14:textId="77777777"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Reduced form (odds and probability)</w:t>
      </w:r>
    </w:p>
    <w:p w14:paraId="3C068E67" w14:textId="77777777"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Holding year</w:t>
      </w:r>
      <w:r w:rsidRPr="00C016D6">
        <w:rPr>
          <w:rFonts w:ascii="Times New Roman" w:eastAsiaTheme="minorEastAsia" w:hAnsi="Times New Roman" w:cs="Times New Roman"/>
          <w:sz w:val="20"/>
          <w:szCs w:val="20"/>
        </w:rPr>
        <w:t xml:space="preserve"> fixed,</w:t>
      </w:r>
    </w:p>
    <w:p w14:paraId="6291C7F4" w14:textId="77777777" w:rsidR="00AB5C38" w:rsidRPr="00C016D6" w:rsidRDefault="008A3565" w:rsidP="00AB5C38">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den>
          </m:f>
          <m:r>
            <w:rPr>
              <w:rFonts w:ascii="Cambria Math" w:hAnsi="Cambria Math" w:cs="Times New Roman"/>
              <w:sz w:val="20"/>
              <w:szCs w:val="20"/>
            </w:rPr>
            <m:t>=</m:t>
          </m:r>
          <m:r>
            <w:rPr>
              <w:rFonts w:ascii="Cambria Math" w:hAnsi="Cambria Math" w:cs="Times New Roman"/>
              <w:sz w:val="20"/>
              <w:szCs w:val="20"/>
            </w:rPr>
            <m:t>exp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e>
          </m:d>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den>
          </m:f>
        </m:oMath>
      </m:oMathPara>
    </w:p>
    <w:p w14:paraId="0DB0C0DF" w14:textId="77777777"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Given a baseline male probability</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oMath>
    </w:p>
    <w:p w14:paraId="50E3EDB2"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exp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e>
              </m:d>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sub>
              </m:sSub>
            </m:num>
            <m:den>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sub>
              </m:sSub>
              <m:r>
                <w:rPr>
                  <w:rFonts w:ascii="Cambria Math" w:hAnsi="Cambria Math" w:cs="Times New Roman"/>
                  <w:sz w:val="20"/>
                  <w:szCs w:val="20"/>
                </w:rPr>
                <m:t>+</m:t>
              </m:r>
              <m:r>
                <w:rPr>
                  <w:rFonts w:ascii="Cambria Math" w:hAnsi="Cambria Math" w:cs="Times New Roman"/>
                  <w:sz w:val="20"/>
                  <w:szCs w:val="20"/>
                </w:rPr>
                <m:t>exp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e>
              </m:d>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sub>
              </m:sSub>
            </m:den>
          </m:f>
        </m:oMath>
      </m:oMathPara>
    </w:p>
    <w:p w14:paraId="5322B8D4" w14:textId="4E8FDF24"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 xml:space="preserve">This closed form maps any male baseline to the implied female probability </w:t>
      </w:r>
      <w:r w:rsidRPr="00C016D6">
        <w:rPr>
          <w:rFonts w:ascii="Times New Roman" w:eastAsia="Times New Roman" w:hAnsi="Times New Roman" w:cs="Times New Roman"/>
          <w:sz w:val="20"/>
          <w:szCs w:val="20"/>
        </w:rPr>
        <w:t>via</w:t>
      </w:r>
      <w:r w:rsidRPr="00C016D6">
        <w:rPr>
          <w:rFonts w:ascii="Times New Roman" w:eastAsiaTheme="minorEastAsia" w:hAnsi="Times New Roman" w:cs="Times New Roman"/>
          <w:sz w:val="20"/>
          <w:szCs w:val="20"/>
        </w:rPr>
        <w:t xml:space="preserve"> the estimated</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m:t>
            </m:r>
          </m:sub>
        </m:sSub>
      </m:oMath>
    </w:p>
    <w:p w14:paraId="76197DD2" w14:textId="6BB7DBE6" w:rsidR="00AB5C38" w:rsidRPr="00C016D6" w:rsidRDefault="008A3565" w:rsidP="00AB5C38">
      <w:pPr>
        <w:rPr>
          <w:rFonts w:ascii="Times New Roman" w:eastAsiaTheme="minorEastAsia" w:hAnsi="Times New Roman" w:cs="Times New Roman"/>
          <w:b/>
          <w:bCs/>
          <w:sz w:val="20"/>
          <w:szCs w:val="20"/>
        </w:rPr>
      </w:pPr>
      <w:r w:rsidRPr="00C016D6">
        <w:rPr>
          <w:rFonts w:ascii="Times New Roman" w:eastAsiaTheme="minorEastAsia" w:hAnsi="Times New Roman" w:cs="Times New Roman"/>
          <w:b/>
          <w:bCs/>
          <w:sz w:val="20"/>
          <w:szCs w:val="20"/>
        </w:rPr>
        <w:lastRenderedPageBreak/>
        <w:t>2) One</w:t>
      </w:r>
      <w:r w:rsidRPr="00C016D6">
        <w:rPr>
          <w:rFonts w:ascii="Times New Roman" w:eastAsia="Times New Roman" w:hAnsi="Times New Roman" w:cs="Times New Roman"/>
          <w:b/>
          <w:bCs/>
          <w:sz w:val="20"/>
          <w:szCs w:val="20"/>
        </w:rPr>
        <w:t>-</w:t>
      </w:r>
      <w:r w:rsidRPr="00C016D6">
        <w:rPr>
          <w:rFonts w:ascii="Times New Roman" w:eastAsiaTheme="minorEastAsia" w:hAnsi="Times New Roman" w:cs="Times New Roman"/>
          <w:b/>
          <w:bCs/>
          <w:sz w:val="20"/>
          <w:szCs w:val="20"/>
        </w:rPr>
        <w:t xml:space="preserve">factor </w:t>
      </w:r>
      <w:r w:rsidRPr="00C016D6">
        <w:rPr>
          <w:rFonts w:ascii="Times New Roman" w:eastAsia="Times New Roman" w:hAnsi="Times New Roman" w:cs="Times New Roman"/>
          <w:b/>
          <w:bCs/>
          <w:sz w:val="20"/>
          <w:szCs w:val="20"/>
        </w:rPr>
        <w:t>state‒space</w:t>
      </w:r>
      <w:r w:rsidRPr="00C016D6">
        <w:rPr>
          <w:rFonts w:ascii="Times New Roman" w:eastAsiaTheme="minorEastAsia" w:hAnsi="Times New Roman" w:cs="Times New Roman"/>
          <w:b/>
          <w:bCs/>
          <w:sz w:val="20"/>
          <w:szCs w:val="20"/>
        </w:rPr>
        <w:t xml:space="preserve"> (dynamic factor) model by sex</w:t>
      </w:r>
    </w:p>
    <w:p w14:paraId="4AFCD534" w14:textId="077BE5DE"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 xml:space="preserve">Work on the logit scale: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r>
          <w:rPr>
            <w:rFonts w:ascii="Cambria Math" w:hAnsi="Cambria Math" w:cs="Times New Roman"/>
            <w:sz w:val="20"/>
            <w:szCs w:val="20"/>
          </w:rPr>
          <m:t>logit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e>
        </m:d>
      </m:oMath>
      <w:r w:rsidRPr="00C016D6">
        <w:rPr>
          <w:rFonts w:ascii="Times New Roman" w:eastAsiaTheme="minorEastAsia" w:hAnsi="Times New Roman" w:cs="Times New Roman"/>
          <w:sz w:val="20"/>
          <w:szCs w:val="20"/>
        </w:rPr>
        <w:t xml:space="preserve">. For each sex </w:t>
      </w:r>
      <m:oMath>
        <m:r>
          <w:rPr>
            <w:rFonts w:ascii="Cambria Math" w:hAnsi="Cambria Math" w:cs="Times New Roman"/>
            <w:sz w:val="20"/>
            <w:szCs w:val="20"/>
          </w:rPr>
          <m:t>s</m:t>
        </m:r>
      </m:oMath>
      <w:r w:rsidRPr="00C016D6">
        <w:rPr>
          <w:rFonts w:ascii="Times New Roman" w:eastAsiaTheme="minorEastAsia" w:hAnsi="Times New Roman" w:cs="Times New Roman"/>
          <w:sz w:val="20"/>
          <w:szCs w:val="20"/>
        </w:rPr>
        <w:t xml:space="preserve">, the </w:t>
      </w:r>
      <m:oMath>
        <m:r>
          <w:rPr>
            <w:rFonts w:ascii="Cambria Math" w:hAnsi="Cambria Math" w:cs="Times New Roman"/>
            <w:sz w:val="20"/>
            <w:szCs w:val="20"/>
          </w:rPr>
          <m:t>n</m:t>
        </m:r>
        <m:r>
          <w:rPr>
            <w:rFonts w:ascii="Cambria Math" w:hAnsi="Cambria Math" w:cs="Times New Roman"/>
            <w:sz w:val="20"/>
            <w:szCs w:val="20"/>
          </w:rPr>
          <m:t>=10</m:t>
        </m:r>
      </m:oMath>
      <w:r w:rsidRPr="00C016D6">
        <w:rPr>
          <w:rFonts w:ascii="Times New Roman" w:eastAsiaTheme="minorEastAsia" w:hAnsi="Times New Roman" w:cs="Times New Roman"/>
          <w:sz w:val="20"/>
          <w:szCs w:val="20"/>
        </w:rPr>
        <w:t xml:space="preserve"> indicators </w:t>
      </w:r>
      <w:r w:rsidRPr="00C016D6">
        <w:rPr>
          <w:rFonts w:ascii="Times New Roman" w:eastAsia="Times New Roman" w:hAnsi="Times New Roman" w:cs="Times New Roman"/>
          <w:sz w:val="20"/>
          <w:szCs w:val="20"/>
        </w:rPr>
        <w:t xml:space="preserve">are stacked </w:t>
      </w:r>
      <w:r w:rsidRPr="00C016D6">
        <w:rPr>
          <w:rFonts w:ascii="Times New Roman" w:eastAsiaTheme="minorEastAsia" w:hAnsi="Times New Roman" w:cs="Times New Roman"/>
          <w:sz w:val="20"/>
          <w:szCs w:val="20"/>
        </w:rPr>
        <w:t xml:space="preserve">into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sSup>
          <m:sSupPr>
            <m:ctrlPr>
              <w:rPr>
                <w:rFonts w:ascii="Cambria Math" w:hAnsi="Cambria Math" w:cs="Times New Roman"/>
                <w:i/>
                <w:sz w:val="20"/>
                <w:szCs w:val="20"/>
              </w:rPr>
            </m:ctrlPr>
          </m:sSupPr>
          <m:e>
            <m:r>
              <m:rPr>
                <m:scr m:val="double-struck"/>
              </m:rPr>
              <w:rPr>
                <w:rFonts w:ascii="Cambria Math" w:hAnsi="Cambria Math" w:cs="Times New Roman"/>
                <w:sz w:val="20"/>
                <w:szCs w:val="20"/>
              </w:rPr>
              <m:t>R</m:t>
            </m:r>
          </m:e>
          <m:sup>
            <m:r>
              <w:rPr>
                <w:rFonts w:ascii="Cambria Math" w:hAnsi="Cambria Math" w:cs="Times New Roman"/>
                <w:sz w:val="20"/>
                <w:szCs w:val="20"/>
              </w:rPr>
              <m:t>n</m:t>
            </m:r>
          </m:sup>
        </m:sSup>
      </m:oMath>
      <w:r w:rsidRPr="00C016D6">
        <w:rPr>
          <w:rFonts w:ascii="Times New Roman" w:eastAsiaTheme="minorEastAsia" w:hAnsi="Times New Roman" w:cs="Times New Roman"/>
          <w:sz w:val="20"/>
          <w:szCs w:val="20"/>
        </w:rPr>
        <w:t>.</w:t>
      </w:r>
    </w:p>
    <w:p w14:paraId="608C05BA" w14:textId="372E3676" w:rsidR="00AB5C38" w:rsidRPr="00C016D6" w:rsidRDefault="008A3565" w:rsidP="00AB5C38">
      <w:pPr>
        <w:rPr>
          <w:rFonts w:ascii="Times New Roman" w:eastAsiaTheme="minorEastAsia" w:hAnsi="Times New Roman" w:cs="Times New Roman"/>
          <w:sz w:val="20"/>
          <w:szCs w:val="20"/>
        </w:rPr>
      </w:pPr>
      <m:oMath>
        <m:limLow>
          <m:limLowPr>
            <m:ctrlPr>
              <w:rPr>
                <w:rFonts w:ascii="Cambria Math" w:hAnsi="Cambria Math" w:cs="Times New Roman"/>
                <w:i/>
                <w:sz w:val="20"/>
                <w:szCs w:val="20"/>
              </w:rPr>
            </m:ctrlPr>
          </m:limLowPr>
          <m:e>
            <m:groupChr>
              <m:groupChrPr>
                <m:ctrlPr>
                  <w:rPr>
                    <w:rFonts w:ascii="Cambria Math" w:hAnsi="Cambria Math" w:cs="Times New Roman"/>
                    <w:b/>
                    <w:bCs/>
                    <w:i/>
                    <w:sz w:val="20"/>
                    <w:szCs w:val="20"/>
                  </w:rPr>
                </m:ctrlPr>
              </m:groupChrPr>
              <m:e>
                <m:sSub>
                  <m:sSubPr>
                    <m:ctrlPr>
                      <w:rPr>
                        <w:rFonts w:ascii="Cambria Math" w:hAnsi="Cambria Math" w:cs="Times New Roman"/>
                        <w:b/>
                        <w:bCs/>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m:t>
                    </m:r>
                    <m:r>
                      <m:rPr>
                        <m:sty m:val="bi"/>
                      </m:rPr>
                      <w:rPr>
                        <w:rFonts w:ascii="Cambria Math" w:hAnsi="Cambria Math" w:cs="Times New Roman"/>
                        <w:sz w:val="20"/>
                        <w:szCs w:val="20"/>
                      </w:rPr>
                      <m:t>,</m:t>
                    </m:r>
                    <m:r>
                      <m:rPr>
                        <m:sty m:val="bi"/>
                      </m:rPr>
                      <w:rPr>
                        <w:rFonts w:ascii="Cambria Math" w:hAnsi="Cambria Math" w:cs="Times New Roman"/>
                        <w:sz w:val="20"/>
                        <w:szCs w:val="20"/>
                      </w:rPr>
                      <m:t>s</m:t>
                    </m:r>
                  </m:sub>
                </m:sSub>
              </m:e>
            </m:groupChr>
          </m:e>
          <m:lim>
            <m:r>
              <w:rPr>
                <w:rFonts w:ascii="Cambria Math" w:hAnsi="Cambria Math" w:cs="Times New Roman"/>
                <w:sz w:val="20"/>
                <w:szCs w:val="20"/>
              </w:rPr>
              <m:t>series</m:t>
            </m:r>
            <m:r>
              <w:rPr>
                <w:rFonts w:ascii="Cambria Math" w:hAnsi="Cambria Math" w:cs="Times New Roman"/>
                <w:sz w:val="20"/>
                <w:szCs w:val="20"/>
              </w:rPr>
              <m:t>×1</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b/>
                    <w:bCs/>
                    <w:i/>
                    <w:sz w:val="20"/>
                    <w:szCs w:val="20"/>
                  </w:rPr>
                </m:ctrlPr>
              </m:groupChrPr>
              <m:e>
                <m:sSub>
                  <m:sSubPr>
                    <m:ctrlPr>
                      <w:rPr>
                        <w:rFonts w:ascii="Cambria Math" w:hAnsi="Cambria Math" w:cs="Times New Roman"/>
                        <w:b/>
                        <w:bCs/>
                        <w:i/>
                        <w:sz w:val="20"/>
                        <w:szCs w:val="20"/>
                      </w:rPr>
                    </m:ctrlPr>
                  </m:sSubPr>
                  <m:e>
                    <m:r>
                      <m:rPr>
                        <m:sty m:val="bi"/>
                      </m:rPr>
                      <w:rPr>
                        <w:rFonts w:ascii="Cambria Math" w:hAnsi="Cambria Math" w:cs="Times New Roman"/>
                        <w:sz w:val="20"/>
                        <w:szCs w:val="20"/>
                      </w:rPr>
                      <m:t>A</m:t>
                    </m:r>
                  </m:e>
                  <m:sub>
                    <m:r>
                      <m:rPr>
                        <m:sty m:val="bi"/>
                      </m:rPr>
                      <w:rPr>
                        <w:rFonts w:ascii="Cambria Math" w:hAnsi="Cambria Math" w:cs="Times New Roman"/>
                        <w:sz w:val="20"/>
                        <w:szCs w:val="20"/>
                      </w:rPr>
                      <m:t>s</m:t>
                    </m:r>
                  </m:sub>
                </m:sSub>
              </m:e>
            </m:groupChr>
          </m:e>
          <m:lim>
            <m:r>
              <w:rPr>
                <w:rFonts w:ascii="Cambria Math" w:hAnsi="Cambria Math" w:cs="Times New Roman"/>
                <w:sz w:val="20"/>
                <w:szCs w:val="20"/>
              </w:rPr>
              <m:t>n</m:t>
            </m:r>
            <m:r>
              <w:rPr>
                <w:rFonts w:ascii="Cambria Math" w:hAnsi="Cambria Math" w:cs="Times New Roman"/>
                <w:sz w:val="20"/>
                <w:szCs w:val="20"/>
              </w:rPr>
              <m:t>×1</m:t>
            </m:r>
          </m:lim>
        </m:limLow>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b/>
                        <w:bCs/>
                        <w:i/>
                        <w:sz w:val="20"/>
                        <w:szCs w:val="20"/>
                      </w:rPr>
                    </m:ctrlPr>
                  </m:sSubPr>
                  <m:e>
                    <m:r>
                      <m:rPr>
                        <m:sty m:val="bi"/>
                      </m:rPr>
                      <w:rPr>
                        <w:rFonts w:ascii="Cambria Math" w:hAnsi="Cambria Math" w:cs="Times New Roman"/>
                        <w:sz w:val="20"/>
                        <w:szCs w:val="20"/>
                      </w:rPr>
                      <m:t>z</m:t>
                    </m:r>
                  </m:e>
                  <m:sub>
                    <m:r>
                      <m:rPr>
                        <m:sty m:val="bi"/>
                      </m:rPr>
                      <w:rPr>
                        <w:rFonts w:ascii="Cambria Math" w:hAnsi="Cambria Math" w:cs="Times New Roman"/>
                        <w:sz w:val="20"/>
                        <w:szCs w:val="20"/>
                      </w:rPr>
                      <m:t>s</m:t>
                    </m:r>
                  </m:sub>
                </m:sSub>
              </m:e>
            </m:groupChr>
          </m:e>
          <m:lim>
            <m:r>
              <w:rPr>
                <w:rFonts w:ascii="Cambria Math" w:hAnsi="Cambria Math" w:cs="Times New Roman"/>
                <w:sz w:val="20"/>
                <w:szCs w:val="20"/>
              </w:rPr>
              <m:t>n</m:t>
            </m:r>
            <m:r>
              <w:rPr>
                <w:rFonts w:ascii="Cambria Math" w:hAnsi="Cambria Math" w:cs="Times New Roman"/>
                <w:sz w:val="20"/>
                <w:szCs w:val="20"/>
              </w:rPr>
              <m:t>×1</m:t>
            </m:r>
          </m:lim>
        </m:limLow>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limLow>
          <m:limLowPr>
            <m:ctrlPr>
              <w:rPr>
                <w:rFonts w:ascii="Cambria Math" w:hAnsi="Cambria Math" w:cs="Times New Roman"/>
                <w:i/>
                <w:sz w:val="20"/>
                <w:szCs w:val="20"/>
              </w:rPr>
            </m:ctrlPr>
          </m:limLowPr>
          <m:e>
            <m:groupChr>
              <m:groupChrPr>
                <m:ctrlPr>
                  <w:rPr>
                    <w:rFonts w:ascii="Cambria Math" w:hAnsi="Cambria Math" w:cs="Times New Roman"/>
                    <w:i/>
                    <w:sz w:val="20"/>
                    <w:szCs w:val="20"/>
                  </w:rPr>
                </m:ctrlPr>
              </m:groupChrPr>
              <m:e>
                <m:sSub>
                  <m:sSubPr>
                    <m:ctrlPr>
                      <w:rPr>
                        <w:rFonts w:ascii="Cambria Math" w:hAnsi="Cambria Math" w:cs="Times New Roman"/>
                        <w:b/>
                        <w:bCs/>
                        <w:i/>
                        <w:sz w:val="20"/>
                        <w:szCs w:val="20"/>
                      </w:rPr>
                    </m:ctrlPr>
                  </m:sSubPr>
                  <m:e>
                    <m:r>
                      <m:rPr>
                        <m:sty m:val="bi"/>
                      </m:rPr>
                      <w:rPr>
                        <w:rFonts w:ascii="Cambria Math" w:hAnsi="Cambria Math" w:cs="Times New Roman"/>
                        <w:sz w:val="20"/>
                        <w:szCs w:val="20"/>
                      </w:rPr>
                      <m:t>e</m:t>
                    </m:r>
                  </m:e>
                  <m:sub>
                    <m:r>
                      <m:rPr>
                        <m:sty m:val="bi"/>
                      </m:rPr>
                      <w:rPr>
                        <w:rFonts w:ascii="Cambria Math" w:hAnsi="Cambria Math" w:cs="Times New Roman"/>
                        <w:sz w:val="20"/>
                        <w:szCs w:val="20"/>
                      </w:rPr>
                      <m:t>t</m:t>
                    </m:r>
                    <m:r>
                      <m:rPr>
                        <m:sty m:val="bi"/>
                      </m:rPr>
                      <w:rPr>
                        <w:rFonts w:ascii="Cambria Math" w:hAnsi="Cambria Math" w:cs="Times New Roman"/>
                        <w:sz w:val="20"/>
                        <w:szCs w:val="20"/>
                      </w:rPr>
                      <m:t>,</m:t>
                    </m:r>
                    <m:r>
                      <m:rPr>
                        <m:sty m:val="bi"/>
                      </m:rPr>
                      <w:rPr>
                        <w:rFonts w:ascii="Cambria Math" w:hAnsi="Cambria Math" w:cs="Times New Roman"/>
                        <w:sz w:val="20"/>
                        <w:szCs w:val="20"/>
                      </w:rPr>
                      <m:t>s</m:t>
                    </m:r>
                  </m:sub>
                </m:sSub>
              </m:e>
            </m:groupChr>
          </m:e>
          <m:lim>
            <m:r>
              <w:rPr>
                <w:rFonts w:ascii="Cambria Math" w:hAnsi="Cambria Math" w:cs="Times New Roman"/>
                <w:sz w:val="20"/>
                <w:szCs w:val="20"/>
              </w:rPr>
              <m:t>n</m:t>
            </m:r>
            <m:r>
              <w:rPr>
                <w:rFonts w:ascii="Cambria Math" w:hAnsi="Cambria Math" w:cs="Times New Roman"/>
                <w:sz w:val="20"/>
                <w:szCs w:val="20"/>
              </w:rPr>
              <m:t>×1</m:t>
            </m:r>
          </m:lim>
        </m:limLow>
        <m:r>
          <w:rPr>
            <w:rFonts w:ascii="Cambria Math" w:hAnsi="Cambria Math" w:cs="Times New Roman"/>
            <w:sz w:val="20"/>
            <w:szCs w:val="20"/>
          </w:rPr>
          <m:t>,</m:t>
        </m:r>
      </m:oMath>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e</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r>
          <m:rPr>
            <m:scr m:val="script"/>
          </m:rPr>
          <w:rPr>
            <w:rFonts w:ascii="Cambria Math" w:hAnsi="Cambria Math" w:cs="Times New Roman"/>
            <w:sz w:val="20"/>
            <w:szCs w:val="20"/>
          </w:rPr>
          <m:t>N</m:t>
        </m:r>
        <m:d>
          <m:dPr>
            <m:ctrlPr>
              <w:rPr>
                <w:rFonts w:ascii="Cambria Math" w:hAnsi="Cambria Math" w:cs="Times New Roman"/>
                <w:i/>
                <w:sz w:val="20"/>
                <w:szCs w:val="20"/>
              </w:rPr>
            </m:ctrlPr>
          </m:dPr>
          <m:e>
            <m:r>
              <m:rPr>
                <m:sty m:val="bi"/>
              </m:rPr>
              <w:rPr>
                <w:rFonts w:ascii="Cambria Math" w:hAnsi="Cambria Math" w:cs="Times New Roman"/>
                <w:sz w:val="20"/>
                <w:szCs w:val="20"/>
              </w:rPr>
              <m:t>0</m:t>
            </m:r>
            <m:r>
              <m:rPr>
                <m:sty m:val="bi"/>
              </m:rP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R</m:t>
                </m:r>
              </m:e>
              <m:sub>
                <m:r>
                  <m:rPr>
                    <m:sty m:val="bi"/>
                  </m:rPr>
                  <w:rPr>
                    <w:rFonts w:ascii="Cambria Math" w:hAnsi="Cambria Math" w:cs="Times New Roman"/>
                    <w:sz w:val="20"/>
                    <w:szCs w:val="20"/>
                  </w:rPr>
                  <m:t>s</m:t>
                </m:r>
              </m:sub>
            </m:sSub>
          </m:e>
        </m:d>
        <m:r>
          <w:rPr>
            <w:rFonts w:ascii="Cambria Math" w:hAnsi="Cambria Math" w:cs="Times New Roman"/>
            <w:sz w:val="20"/>
            <w:szCs w:val="20"/>
          </w:rPr>
          <m:t>,</m:t>
        </m:r>
      </m:oMath>
    </w:p>
    <w:p w14:paraId="76C4A89A" w14:textId="02EC2B48" w:rsidR="00AB5C38" w:rsidRPr="00C016D6" w:rsidRDefault="008A3565" w:rsidP="00AB5C38">
      <w:p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s</m:t>
            </m:r>
          </m:sub>
        </m:sSub>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r>
          <w:rPr>
            <w:rFonts w:ascii="Cambria Math" w:hAnsi="Cambria Math" w:cs="Times New Roman"/>
            <w:sz w:val="20"/>
            <w:szCs w:val="20"/>
          </w:rPr>
          <m:t>~ℵ</m:t>
        </m:r>
        <m:d>
          <m:dPr>
            <m:ctrlPr>
              <w:rPr>
                <w:rFonts w:ascii="Cambria Math" w:hAnsi="Cambria Math" w:cs="Times New Roman"/>
                <w:i/>
                <w:sz w:val="20"/>
                <w:szCs w:val="20"/>
              </w:rPr>
            </m:ctrlPr>
          </m:dPr>
          <m:e>
            <m:r>
              <w:rPr>
                <w:rFonts w:ascii="Cambria Math" w:hAnsi="Cambria Math" w:cs="Times New Roman"/>
                <w:sz w:val="20"/>
                <w:szCs w:val="20"/>
              </w:rPr>
              <m:t>0,</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s</m:t>
                </m:r>
              </m:sub>
            </m:sSub>
          </m:e>
        </m:d>
      </m:oMath>
      <w:r w:rsidRPr="00C016D6">
        <w:rPr>
          <w:rFonts w:ascii="Times New Roman" w:eastAsia="Times New Roman" w:hAnsi="Times New Roman" w:cs="Times New Roman"/>
          <w:sz w:val="20"/>
          <w:szCs w:val="20"/>
        </w:rPr>
        <w:t>, where</w:t>
      </w:r>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s</m:t>
            </m:r>
          </m:sub>
        </m:sSub>
      </m:oMath>
      <w:r w:rsidRPr="00C016D6">
        <w:rPr>
          <w:rFonts w:ascii="Times New Roman" w:eastAsiaTheme="minorEastAsia" w:hAnsi="Times New Roman" w:cs="Times New Roman"/>
          <w:sz w:val="20"/>
          <w:szCs w:val="20"/>
        </w:rPr>
        <w:t xml:space="preserve"> </w:t>
      </w:r>
      <w:r w:rsidRPr="00C016D6">
        <w:rPr>
          <w:rFonts w:ascii="Times New Roman" w:eastAsia="Times New Roman" w:hAnsi="Times New Roman" w:cs="Times New Roman"/>
          <w:sz w:val="20"/>
          <w:szCs w:val="20"/>
        </w:rPr>
        <w:t xml:space="preserve">is </w:t>
      </w:r>
      <w:r w:rsidRPr="00C016D6">
        <w:rPr>
          <w:rFonts w:ascii="Times New Roman" w:eastAsiaTheme="minorEastAsia" w:hAnsi="Times New Roman" w:cs="Times New Roman"/>
          <w:sz w:val="20"/>
          <w:szCs w:val="20"/>
        </w:rPr>
        <w:t>the shared latent factor.</w:t>
      </w:r>
    </w:p>
    <w:p w14:paraId="71851BB2" w14:textId="77777777" w:rsidR="00AB5C38" w:rsidRPr="00C016D6" w:rsidRDefault="008A3565" w:rsidP="00AB5C38">
      <w:pPr>
        <w:rPr>
          <w:rFonts w:ascii="Times New Roman" w:eastAsiaTheme="minorEastAsia" w:hAnsi="Times New Roman" w:cs="Times New Roman"/>
          <w:sz w:val="20"/>
          <w:szCs w:val="20"/>
        </w:rPr>
      </w:pPr>
      <w:r w:rsidRPr="00C016D6">
        <w:rPr>
          <w:rFonts w:ascii="Times New Roman" w:eastAsiaTheme="minorEastAsia" w:hAnsi="Times New Roman" w:cs="Times New Roman"/>
          <w:sz w:val="20"/>
          <w:szCs w:val="20"/>
        </w:rPr>
        <w:t>From Table 4 (state dynamics):</w:t>
      </w:r>
    </w:p>
    <w:p w14:paraId="1A847054" w14:textId="77777777" w:rsidR="00AB5C38" w:rsidRPr="00C016D6" w:rsidRDefault="008A3565" w:rsidP="00AB5C38">
      <w:p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ϕ</m:t>
                </m:r>
              </m:e>
            </m:acc>
          </m:e>
          <m:sub>
            <m:r>
              <w:rPr>
                <w:rFonts w:ascii="Cambria Math" w:hAnsi="Cambria Math" w:cs="Times New Roman"/>
                <w:sz w:val="20"/>
                <w:szCs w:val="20"/>
              </w:rPr>
              <m:t>Men</m:t>
            </m:r>
          </m:sub>
        </m:sSub>
        <m:r>
          <w:rPr>
            <w:rFonts w:ascii="Cambria Math" w:hAnsi="Cambria Math" w:cs="Times New Roman"/>
            <w:sz w:val="20"/>
            <w:szCs w:val="20"/>
          </w:rPr>
          <m:t>=0.</m:t>
        </m:r>
        <m:r>
          <w:rPr>
            <w:rFonts w:ascii="Cambria Math" w:hAnsi="Cambria Math" w:cs="Times New Roman"/>
            <w:sz w:val="20"/>
            <w:szCs w:val="20"/>
          </w:rPr>
          <m:t>980,</m:t>
        </m:r>
      </m:oMath>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q</m:t>
                </m:r>
              </m:e>
            </m:acc>
          </m:e>
          <m:sub>
            <m:r>
              <w:rPr>
                <w:rFonts w:ascii="Cambria Math" w:hAnsi="Cambria Math" w:cs="Times New Roman"/>
                <w:sz w:val="20"/>
                <w:szCs w:val="20"/>
              </w:rPr>
              <m:t>Men</m:t>
            </m:r>
          </m:sub>
        </m:sSub>
        <m:r>
          <w:rPr>
            <w:rFonts w:ascii="Cambria Math" w:hAnsi="Cambria Math" w:cs="Times New Roman"/>
            <w:sz w:val="20"/>
            <w:szCs w:val="20"/>
          </w:rPr>
          <m:t>=0.003</m:t>
        </m:r>
      </m:oMath>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ϕ</m:t>
                </m:r>
              </m:e>
            </m:acc>
          </m:e>
          <m:sub>
            <m:r>
              <w:rPr>
                <w:rFonts w:ascii="Cambria Math" w:hAnsi="Cambria Math" w:cs="Times New Roman"/>
                <w:sz w:val="20"/>
                <w:szCs w:val="20"/>
              </w:rPr>
              <m:t>Women</m:t>
            </m:r>
          </m:sub>
        </m:sSub>
        <m:r>
          <w:rPr>
            <w:rFonts w:ascii="Cambria Math" w:hAnsi="Cambria Math" w:cs="Times New Roman"/>
            <w:sz w:val="20"/>
            <w:szCs w:val="20"/>
          </w:rPr>
          <m:t>=0.982,</m:t>
        </m:r>
      </m:oMath>
      <w:r w:rsidRPr="00C016D6">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q</m:t>
                </m:r>
              </m:e>
            </m:acc>
          </m:e>
          <m:sub>
            <m:r>
              <w:rPr>
                <w:rFonts w:ascii="Cambria Math" w:hAnsi="Cambria Math" w:cs="Times New Roman"/>
                <w:sz w:val="20"/>
                <w:szCs w:val="20"/>
              </w:rPr>
              <m:t>Women</m:t>
            </m:r>
          </m:sub>
        </m:sSub>
        <m:r>
          <w:rPr>
            <w:rFonts w:ascii="Cambria Math" w:hAnsi="Cambria Math" w:cs="Times New Roman"/>
            <w:sz w:val="20"/>
            <w:szCs w:val="20"/>
          </w:rPr>
          <m:t>=0.003</m:t>
        </m:r>
      </m:oMath>
    </w:p>
    <w:p w14:paraId="65D6194F" w14:textId="77777777" w:rsidR="00AB5C38" w:rsidRPr="00C016D6" w:rsidRDefault="008A3565" w:rsidP="00AB5C38">
      <w:pPr>
        <w:rPr>
          <w:rFonts w:ascii="Times New Roman" w:eastAsiaTheme="minorEastAsia" w:hAnsi="Times New Roman" w:cs="Times New Roman"/>
          <w:b/>
          <w:bCs/>
          <w:sz w:val="20"/>
          <w:szCs w:val="20"/>
        </w:rPr>
      </w:pPr>
      <w:r w:rsidRPr="00C016D6">
        <w:rPr>
          <w:rFonts w:ascii="Times New Roman" w:eastAsiaTheme="minorEastAsia" w:hAnsi="Times New Roman" w:cs="Times New Roman"/>
          <w:sz w:val="20"/>
          <w:szCs w:val="20"/>
        </w:rPr>
        <w:t xml:space="preserve">From Table 3 (Intercept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A</m:t>
            </m:r>
          </m:e>
          <m:sub>
            <m:r>
              <m:rPr>
                <m:sty m:val="bi"/>
              </m:rPr>
              <w:rPr>
                <w:rFonts w:ascii="Cambria Math" w:hAnsi="Cambria Math" w:cs="Times New Roman"/>
                <w:sz w:val="20"/>
                <w:szCs w:val="20"/>
              </w:rPr>
              <m:t>s</m:t>
            </m:r>
          </m:sub>
        </m:sSub>
      </m:oMath>
      <w:r w:rsidRPr="00C016D6">
        <w:rPr>
          <w:rFonts w:ascii="Times New Roman" w:eastAsiaTheme="minorEastAsia" w:hAnsi="Times New Roman" w:cs="Times New Roman"/>
          <w:b/>
          <w:bCs/>
          <w:sz w:val="20"/>
          <w:szCs w:val="20"/>
        </w:rPr>
        <w:t xml:space="preserve"> </w:t>
      </w:r>
      <w:r w:rsidRPr="00C016D6">
        <w:rPr>
          <w:rFonts w:ascii="Times New Roman" w:eastAsiaTheme="minorEastAsia" w:hAnsi="Times New Roman" w:cs="Times New Roman"/>
          <w:sz w:val="20"/>
          <w:szCs w:val="20"/>
        </w:rPr>
        <w:t>and loading</w:t>
      </w:r>
      <w:r w:rsidRPr="00C016D6">
        <w:rPr>
          <w:rFonts w:ascii="Times New Roman" w:eastAsiaTheme="minorEastAsia" w:hAnsi="Times New Roman" w:cs="Times New Roman"/>
          <w:b/>
          <w:bCs/>
          <w:sz w:val="20"/>
          <w:szCs w:val="20"/>
        </w:rPr>
        <w:t xml:space="preserv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Z</m:t>
            </m:r>
          </m:e>
          <m:sub>
            <m:r>
              <m:rPr>
                <m:sty m:val="bi"/>
              </m:rPr>
              <w:rPr>
                <w:rFonts w:ascii="Cambria Math" w:hAnsi="Cambria Math" w:cs="Times New Roman"/>
                <w:sz w:val="20"/>
                <w:szCs w:val="20"/>
              </w:rPr>
              <m:t>s</m:t>
            </m:r>
          </m:sub>
        </m:sSub>
        <m:r>
          <m:rPr>
            <m:sty m:val="bi"/>
          </m:rPr>
          <w:rPr>
            <w:rFonts w:ascii="Cambria Math" w:hAnsi="Cambria Math" w:cs="Times New Roman"/>
            <w:sz w:val="20"/>
            <w:szCs w:val="20"/>
          </w:rPr>
          <m:t>;</m:t>
        </m:r>
      </m:oMath>
      <w:r w:rsidRPr="00C016D6">
        <w:rPr>
          <w:rFonts w:ascii="Times New Roman" w:eastAsiaTheme="minorEastAsia" w:hAnsi="Times New Roman" w:cs="Times New Roman"/>
          <w:b/>
          <w:bCs/>
          <w:sz w:val="20"/>
          <w:szCs w:val="20"/>
        </w:rPr>
        <w:t xml:space="preserve"> </w:t>
      </w:r>
      <w:r w:rsidRPr="00C016D6">
        <w:rPr>
          <w:rFonts w:ascii="Times New Roman" w:eastAsiaTheme="minorEastAsia" w:hAnsi="Times New Roman" w:cs="Times New Roman"/>
          <w:sz w:val="20"/>
          <w:szCs w:val="20"/>
        </w:rPr>
        <w:t>order shown below), the filled-in measurement equations for</w:t>
      </w:r>
      <w:r w:rsidRPr="00C016D6">
        <w:rPr>
          <w:rFonts w:ascii="Times New Roman" w:eastAsiaTheme="minorEastAsia" w:hAnsi="Times New Roman" w:cs="Times New Roman"/>
          <w:b/>
          <w:bCs/>
          <w:sz w:val="20"/>
          <w:szCs w:val="20"/>
        </w:rPr>
        <w:t xml:space="preserve"> Men </w:t>
      </w:r>
      <w:r w:rsidRPr="00C016D6">
        <w:rPr>
          <w:rFonts w:ascii="Times New Roman" w:eastAsiaTheme="minorEastAsia" w:hAnsi="Times New Roman" w:cs="Times New Roman"/>
          <w:sz w:val="20"/>
          <w:szCs w:val="20"/>
        </w:rPr>
        <w:t>are</w:t>
      </w:r>
      <w:r w:rsidRPr="00C016D6">
        <w:rPr>
          <w:rFonts w:ascii="Times New Roman" w:eastAsia="Times New Roman" w:hAnsi="Times New Roman" w:cs="Times New Roman"/>
          <w:sz w:val="20"/>
          <w:szCs w:val="20"/>
        </w:rPr>
        <w:t xml:space="preserve"> as follows</w:t>
      </w:r>
      <w:r w:rsidRPr="00C016D6">
        <w:rPr>
          <w:rFonts w:ascii="Times New Roman" w:eastAsiaTheme="minorEastAsia" w:hAnsi="Times New Roman" w:cs="Times New Roman"/>
          <w:b/>
          <w:bCs/>
          <w:sz w:val="20"/>
          <w:szCs w:val="20"/>
        </w:rPr>
        <w:t>:</w:t>
      </w:r>
    </w:p>
    <w:p w14:paraId="6195E0E3"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prev</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=0.423+1.000</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prev</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4DE1419A"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ctrlA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=-0.182+1.047</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ctrlA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559E8251"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dxA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=-0.513+-0.265</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dxA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3CFA414E"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trtA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=0.157+0.921</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trtA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67A82C0B"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uS</m:t>
              </m:r>
              <m:r>
                <w:rPr>
                  <w:rFonts w:ascii="Cambria Math" w:hAnsi="Cambria Math" w:cs="Times New Roman"/>
                  <w:sz w:val="20"/>
                  <w:szCs w:val="20"/>
                </w:rPr>
                <m:t>2</m:t>
              </m:r>
              <m:r>
                <w:rPr>
                  <w:rFonts w:ascii="Cambria Math" w:hAnsi="Cambria Math" w:cs="Times New Roman"/>
                  <w:sz w:val="20"/>
                  <w:szCs w:val="20"/>
                </w:rPr>
                <m:t>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=-0.804+1.484</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uS</m:t>
              </m:r>
              <m:r>
                <w:rPr>
                  <w:rFonts w:ascii="Cambria Math" w:hAnsi="Cambria Math" w:cs="Times New Roman"/>
                  <w:sz w:val="20"/>
                  <w:szCs w:val="20"/>
                </w:rPr>
                <m:t>2</m:t>
              </m:r>
              <m:r>
                <w:rPr>
                  <w:rFonts w:ascii="Cambria Math" w:hAnsi="Cambria Math" w:cs="Times New Roman"/>
                  <w:sz w:val="20"/>
                  <w:szCs w:val="20"/>
                </w:rPr>
                <m:t>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39AE929D"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prevC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m:t>
              </m:r>
              <m:r>
                <w:rPr>
                  <w:rFonts w:ascii="Cambria Math" w:hAnsi="Cambria Math" w:cs="Times New Roman"/>
                  <w:sz w:val="20"/>
                  <w:szCs w:val="20"/>
                </w:rPr>
                <m:t>n</m:t>
              </m:r>
            </m:sub>
          </m:sSub>
          <m:r>
            <w:rPr>
              <w:rFonts w:ascii="Cambria Math" w:hAnsi="Cambria Math" w:cs="Times New Roman"/>
              <w:sz w:val="20"/>
              <w:szCs w:val="20"/>
            </w:rPr>
            <m:t>=-0.881+-0.618</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prevC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793B6B19"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ctrlC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=-0.347+1.027</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ctrlC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778884A8"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dxC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=-0.663+ -0.271</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dxC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4B56147F"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trtC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=0.003+0.900</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trtC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405D2288"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uS</m:t>
              </m:r>
              <m:r>
                <w:rPr>
                  <w:rFonts w:ascii="Cambria Math" w:hAnsi="Cambria Math" w:cs="Times New Roman"/>
                  <w:sz w:val="20"/>
                  <w:szCs w:val="20"/>
                </w:rPr>
                <m:t>2</m:t>
              </m:r>
              <m:r>
                <w:rPr>
                  <w:rFonts w:ascii="Cambria Math" w:hAnsi="Cambria Math" w:cs="Times New Roman"/>
                  <w:sz w:val="20"/>
                  <w:szCs w:val="20"/>
                </w:rPr>
                <m:t>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=-0.947+1.4</m:t>
          </m:r>
          <m:r>
            <w:rPr>
              <w:rFonts w:ascii="Cambria Math" w:hAnsi="Cambria Math" w:cs="Times New Roman"/>
              <w:sz w:val="20"/>
              <w:szCs w:val="20"/>
            </w:rPr>
            <m:t>35</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uS</m:t>
              </m:r>
              <m:r>
                <w:rPr>
                  <w:rFonts w:ascii="Cambria Math" w:hAnsi="Cambria Math" w:cs="Times New Roman"/>
                  <w:sz w:val="20"/>
                  <w:szCs w:val="20"/>
                </w:rPr>
                <m:t>2</m:t>
              </m:r>
              <m:r>
                <w:rPr>
                  <w:rFonts w:ascii="Cambria Math" w:hAnsi="Cambria Math" w:cs="Times New Roman"/>
                  <w:sz w:val="20"/>
                  <w:szCs w:val="20"/>
                </w:rPr>
                <m:t>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50027F71" w14:textId="77777777" w:rsidR="00AB5C38" w:rsidRPr="00C016D6" w:rsidRDefault="008A3565" w:rsidP="00AB5C38">
      <w:pPr>
        <w:rPr>
          <w:rFonts w:ascii="Times New Roman" w:eastAsiaTheme="minorEastAsia" w:hAnsi="Times New Roman" w:cs="Times New Roman"/>
          <w:b/>
          <w:bCs/>
          <w:sz w:val="20"/>
          <w:szCs w:val="20"/>
        </w:rPr>
      </w:pPr>
      <w:r w:rsidRPr="00C016D6">
        <w:rPr>
          <w:rFonts w:ascii="Times New Roman" w:eastAsiaTheme="minorEastAsia" w:hAnsi="Times New Roman" w:cs="Times New Roman"/>
          <w:sz w:val="20"/>
          <w:szCs w:val="20"/>
        </w:rPr>
        <w:t>for</w:t>
      </w:r>
      <w:r w:rsidRPr="00C016D6">
        <w:rPr>
          <w:rFonts w:ascii="Times New Roman" w:eastAsiaTheme="minorEastAsia" w:hAnsi="Times New Roman" w:cs="Times New Roman"/>
          <w:b/>
          <w:bCs/>
          <w:sz w:val="20"/>
          <w:szCs w:val="20"/>
        </w:rPr>
        <w:t xml:space="preserve"> Women </w:t>
      </w:r>
      <w:r w:rsidRPr="00C016D6">
        <w:rPr>
          <w:rFonts w:ascii="Times New Roman" w:eastAsiaTheme="minorEastAsia" w:hAnsi="Times New Roman" w:cs="Times New Roman"/>
          <w:sz w:val="20"/>
          <w:szCs w:val="20"/>
        </w:rPr>
        <w:t>are</w:t>
      </w:r>
      <w:r w:rsidRPr="00C016D6">
        <w:rPr>
          <w:rFonts w:ascii="Times New Roman" w:eastAsiaTheme="minorEastAsia" w:hAnsi="Times New Roman" w:cs="Times New Roman"/>
          <w:b/>
          <w:bCs/>
          <w:sz w:val="20"/>
          <w:szCs w:val="20"/>
        </w:rPr>
        <w:t>:</w:t>
      </w:r>
    </w:p>
    <w:p w14:paraId="0ADFE932"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prev</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=0.048+1.000</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prev</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4B01E028"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ctrlA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=0.117+1.223</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ctrlA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220132D4"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dxA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=-0.216+-0.094</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dxA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2307AFC1"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trtA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=0.607+1.112</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trtA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78EE568D"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uS</m:t>
              </m:r>
              <m:r>
                <w:rPr>
                  <w:rFonts w:ascii="Cambria Math" w:hAnsi="Cambria Math" w:cs="Times New Roman"/>
                  <w:sz w:val="20"/>
                  <w:szCs w:val="20"/>
                </w:rPr>
                <m:t>2</m:t>
              </m:r>
              <m:r>
                <w:rPr>
                  <w:rFonts w:ascii="Cambria Math" w:hAnsi="Cambria Math" w:cs="Times New Roman"/>
                  <w:sz w:val="20"/>
                  <w:szCs w:val="20"/>
                </w:rPr>
                <m:t>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=-0.821</m:t>
          </m:r>
          <m:sSub>
            <m:sSubPr>
              <m:ctrlPr>
                <w:rPr>
                  <w:rFonts w:ascii="Cambria Math" w:hAnsi="Cambria Math" w:cs="Times New Roman"/>
                  <w:i/>
                  <w:sz w:val="20"/>
                  <w:szCs w:val="20"/>
                </w:rPr>
              </m:ctrlPr>
            </m:sSubPr>
            <m:e>
              <m:r>
                <w:rPr>
                  <w:rFonts w:ascii="Cambria Math" w:hAnsi="Cambria Math" w:cs="Times New Roman"/>
                  <w:sz w:val="20"/>
                  <w:szCs w:val="20"/>
                </w:rPr>
                <m:t>+2.061</m:t>
              </m:r>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uS</m:t>
              </m:r>
              <m:r>
                <w:rPr>
                  <w:rFonts w:ascii="Cambria Math" w:hAnsi="Cambria Math" w:cs="Times New Roman"/>
                  <w:sz w:val="20"/>
                  <w:szCs w:val="20"/>
                </w:rPr>
                <m:t>2</m:t>
              </m:r>
              <m:r>
                <w:rPr>
                  <w:rFonts w:ascii="Cambria Math" w:hAnsi="Cambria Math" w:cs="Times New Roman"/>
                  <w:sz w:val="20"/>
                  <w:szCs w:val="20"/>
                </w:rPr>
                <m:t>A</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6A7B5E73"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prevC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=-0.837+-1.082</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prevC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19E34C1A"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ctrlC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=-0.005+1.158</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c</m:t>
              </m:r>
              <m:r>
                <w:rPr>
                  <w:rFonts w:ascii="Cambria Math" w:hAnsi="Cambria Math" w:cs="Times New Roman"/>
                  <w:sz w:val="20"/>
                  <w:szCs w:val="20"/>
                </w:rPr>
                <m:t>t</m:t>
              </m:r>
              <m:r>
                <w:rPr>
                  <w:rFonts w:ascii="Cambria Math" w:hAnsi="Cambria Math" w:cs="Times New Roman"/>
                  <w:sz w:val="20"/>
                  <w:szCs w:val="20"/>
                </w:rPr>
                <m:t>rlC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3FEB519E"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dxC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=-0.365+ -0.023</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dxC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41A701E0"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trtC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=0.494+1.067</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trtC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3EFFC24C" w14:textId="77777777" w:rsidR="00AB5C38" w:rsidRPr="00C016D6" w:rsidRDefault="008A3565" w:rsidP="00AB5C38">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uS</m:t>
              </m:r>
              <m:r>
                <w:rPr>
                  <w:rFonts w:ascii="Cambria Math" w:hAnsi="Cambria Math" w:cs="Times New Roman"/>
                  <w:sz w:val="20"/>
                  <w:szCs w:val="20"/>
                </w:rPr>
                <m:t>2</m:t>
              </m:r>
              <m:r>
                <w:rPr>
                  <w:rFonts w:ascii="Cambria Math" w:hAnsi="Cambria Math" w:cs="Times New Roman"/>
                  <w:sz w:val="20"/>
                  <w:szCs w:val="20"/>
                </w:rPr>
                <m:t>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=-0.909+1.895</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Women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uS</m:t>
              </m:r>
              <m:r>
                <w:rPr>
                  <w:rFonts w:ascii="Cambria Math" w:hAnsi="Cambria Math" w:cs="Times New Roman"/>
                  <w:sz w:val="20"/>
                  <w:szCs w:val="20"/>
                </w:rPr>
                <m:t>2</m:t>
              </m:r>
              <m:r>
                <w:rPr>
                  <w:rFonts w:ascii="Cambria Math" w:hAnsi="Cambria Math" w:cs="Times New Roman"/>
                  <w:sz w:val="20"/>
                  <w:szCs w:val="20"/>
                </w:rPr>
                <m:t>C</m:t>
              </m:r>
              <m:r>
                <w:rPr>
                  <w:rFonts w:ascii="Cambria Math" w:hAnsi="Cambria Math" w:cs="Times New Roman"/>
                  <w:sz w:val="20"/>
                  <w:szCs w:val="20"/>
                </w:rPr>
                <m:t>,</m:t>
              </m:r>
              <m:r>
                <w:rPr>
                  <w:rFonts w:ascii="Cambria Math" w:hAnsi="Cambria Math" w:cs="Times New Roman"/>
                  <w:sz w:val="20"/>
                  <w:szCs w:val="20"/>
                </w:rPr>
                <m:t>t</m:t>
              </m:r>
              <m:r>
                <w:rPr>
                  <w:rFonts w:ascii="Cambria Math" w:hAnsi="Cambria Math" w:cs="Times New Roman"/>
                  <w:sz w:val="20"/>
                  <w:szCs w:val="20"/>
                </w:rPr>
                <m:t>,</m:t>
              </m:r>
            </m:sub>
          </m:sSub>
        </m:oMath>
      </m:oMathPara>
    </w:p>
    <w:p w14:paraId="3CC623D2" w14:textId="2AA4CD52" w:rsidR="00AB5C38" w:rsidRPr="00AB5C38" w:rsidRDefault="008A3565" w:rsidP="00AB5C38">
      <w:pPr>
        <w:jc w:val="both"/>
        <w:rPr>
          <w:rFonts w:ascii="Times New Roman" w:hAnsi="Times New Roman" w:cs="Times New Roman"/>
          <w:sz w:val="20"/>
          <w:szCs w:val="20"/>
          <w:lang w:val=""/>
        </w:rPr>
      </w:pPr>
      <w:r w:rsidRPr="00AB5C38">
        <w:rPr>
          <w:rFonts w:ascii="Times New Roman" w:hAnsi="Times New Roman" w:cs="Times New Roman"/>
          <w:sz w:val="20"/>
          <w:szCs w:val="20"/>
        </w:rPr>
        <w:t xml:space="preserve">Figure 1 illustrates a unique standardized system factor that decreased throughout the 1990s, reaching a low point by the end of the decade, subsequently increasing steadily from the early 2000s, exceeding zero </w:t>
      </w:r>
      <w:r>
        <w:rPr>
          <w:rFonts w:ascii="Times New Roman" w:eastAsia="Calibri" w:hAnsi="Times New Roman" w:cs="Times New Roman"/>
          <w:sz w:val="20"/>
          <w:szCs w:val="20"/>
        </w:rPr>
        <w:t>from approximately</w:t>
      </w:r>
      <w:r w:rsidRPr="00AB5C38">
        <w:rPr>
          <w:rFonts w:ascii="Times New Roman" w:hAnsi="Times New Roman" w:cs="Times New Roman"/>
          <w:sz w:val="20"/>
          <w:szCs w:val="20"/>
        </w:rPr>
        <w:t xml:space="preserve"> 2009–2010, and culminating</w:t>
      </w:r>
      <w:r w:rsidRPr="00AB5C38">
        <w:rPr>
          <w:rFonts w:ascii="Times New Roman" w:hAnsi="Times New Roman" w:cs="Times New Roman"/>
          <w:sz w:val="20"/>
          <w:szCs w:val="20"/>
        </w:rPr>
        <w:t xml:space="preserve"> in a significant high by 2019. The paths for men and women exhibit considerable similarity, with only minor distinctions. This </w:t>
      </w:r>
      <w:r>
        <w:rPr>
          <w:rFonts w:ascii="Times New Roman" w:eastAsia="Calibri" w:hAnsi="Times New Roman" w:cs="Times New Roman"/>
          <w:sz w:val="20"/>
          <w:szCs w:val="20"/>
        </w:rPr>
        <w:t xml:space="preserve">finding </w:t>
      </w:r>
      <w:r w:rsidRPr="00AB5C38">
        <w:rPr>
          <w:rFonts w:ascii="Times New Roman" w:hAnsi="Times New Roman" w:cs="Times New Roman"/>
          <w:sz w:val="20"/>
          <w:szCs w:val="20"/>
        </w:rPr>
        <w:t xml:space="preserve">indicates </w:t>
      </w:r>
      <w:r>
        <w:rPr>
          <w:rFonts w:ascii="Times New Roman" w:eastAsia="Calibri" w:hAnsi="Times New Roman" w:cs="Times New Roman"/>
          <w:sz w:val="20"/>
          <w:szCs w:val="20"/>
        </w:rPr>
        <w:t xml:space="preserve">that </w:t>
      </w:r>
      <w:r w:rsidRPr="00AB5C38">
        <w:rPr>
          <w:rFonts w:ascii="Times New Roman" w:hAnsi="Times New Roman" w:cs="Times New Roman"/>
          <w:sz w:val="20"/>
          <w:szCs w:val="20"/>
        </w:rPr>
        <w:t xml:space="preserve">a shared macro factor </w:t>
      </w:r>
      <w:r>
        <w:rPr>
          <w:rFonts w:ascii="Times New Roman" w:eastAsia="Calibri" w:hAnsi="Times New Roman" w:cs="Times New Roman"/>
          <w:sz w:val="20"/>
          <w:szCs w:val="20"/>
        </w:rPr>
        <w:t>influences</w:t>
      </w:r>
      <w:r w:rsidRPr="00AB5C38">
        <w:rPr>
          <w:rFonts w:ascii="Times New Roman" w:hAnsi="Times New Roman" w:cs="Times New Roman"/>
          <w:sz w:val="20"/>
          <w:szCs w:val="20"/>
        </w:rPr>
        <w:t xml:space="preserve"> cascade performance for both genders. The smooth curve and prolonged ups</w:t>
      </w:r>
      <w:r w:rsidRPr="00AB5C38">
        <w:rPr>
          <w:rFonts w:ascii="Times New Roman" w:hAnsi="Times New Roman" w:cs="Times New Roman"/>
          <w:sz w:val="20"/>
          <w:szCs w:val="20"/>
        </w:rPr>
        <w:t xml:space="preserve">wing indicate that a consistent process is in operation, whereby cumulative program inputs—such as adopting protocols, guaranteeing a reliable drug </w:t>
      </w:r>
      <w:r w:rsidRPr="00AB5C38">
        <w:rPr>
          <w:rFonts w:ascii="Times New Roman" w:hAnsi="Times New Roman" w:cs="Times New Roman"/>
          <w:sz w:val="20"/>
          <w:szCs w:val="20"/>
        </w:rPr>
        <w:lastRenderedPageBreak/>
        <w:t>supply, and establishing continuity systems—collectively alter outcomes. This tendency suggests that enhanci</w:t>
      </w:r>
      <w:r w:rsidRPr="00AB5C38">
        <w:rPr>
          <w:rFonts w:ascii="Times New Roman" w:hAnsi="Times New Roman" w:cs="Times New Roman"/>
          <w:sz w:val="20"/>
          <w:szCs w:val="20"/>
        </w:rPr>
        <w:t xml:space="preserve">ng coordinated systems will disseminate advantages across therapy and control, hence reducing the incidence of severe uncontrolled diseases via shared pathways. This entails establishing long-term objectives informed by this factor, enhancing primary care </w:t>
      </w:r>
      <w:r w:rsidRPr="00AB5C38">
        <w:rPr>
          <w:rFonts w:ascii="Times New Roman" w:hAnsi="Times New Roman" w:cs="Times New Roman"/>
          <w:sz w:val="20"/>
          <w:szCs w:val="20"/>
        </w:rPr>
        <w:t>capacities to adapt to community requirements, and utilizing this factor as a predictive measure for implementing changes and forecasting future developments.</w:t>
      </w:r>
    </w:p>
    <w:p w14:paraId="69F1B2BC" w14:textId="474451C8" w:rsidR="00AB5C38" w:rsidRDefault="008A3565" w:rsidP="00AB5C38">
      <w:pPr>
        <w:jc w:val="both"/>
        <w:rPr>
          <w:rFonts w:ascii="Times New Roman" w:hAnsi="Times New Roman" w:cs="Times New Roman"/>
          <w:sz w:val="20"/>
          <w:szCs w:val="20"/>
        </w:rPr>
      </w:pPr>
      <w:r w:rsidRPr="00E41FC1">
        <w:rPr>
          <w:rFonts w:ascii="Times New Roman" w:hAnsi="Times New Roman" w:cs="Times New Roman"/>
          <w:noProof/>
          <w:sz w:val="20"/>
          <w:szCs w:val="20"/>
        </w:rPr>
        <w:drawing>
          <wp:inline distT="0" distB="0" distL="0" distR="0" wp14:anchorId="0747F68F" wp14:editId="6ECA8DA9">
            <wp:extent cx="5731510" cy="3350729"/>
            <wp:effectExtent l="0" t="0" r="0" b="0"/>
            <wp:docPr id="1037501895" name="Picture 103750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01895" name=""/>
                    <pic:cNvPicPr>
                      <a:picLocks noChangeAspect="1" noChangeArrowheads="1"/>
                    </pic:cNvPicPr>
                  </pic:nvPicPr>
                  <pic:blipFill>
                    <a:blip r:embed="rId6"/>
                    <a:stretch>
                      <a:fillRect/>
                    </a:stretch>
                  </pic:blipFill>
                  <pic:spPr bwMode="auto">
                    <a:xfrm>
                      <a:off x="0" y="0"/>
                      <a:ext cx="5731510" cy="3350729"/>
                    </a:xfrm>
                    <a:prstGeom prst="rect">
                      <a:avLst/>
                    </a:prstGeom>
                    <a:noFill/>
                  </pic:spPr>
                </pic:pic>
              </a:graphicData>
            </a:graphic>
          </wp:inline>
        </w:drawing>
      </w:r>
    </w:p>
    <w:p w14:paraId="3EF02E6F" w14:textId="77777777" w:rsidR="00CC220F" w:rsidRDefault="008A3565"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t>Figure 1: Standardized shared system factor by sex, 1990–2019.</w:t>
      </w:r>
    </w:p>
    <w:p w14:paraId="214C0E67" w14:textId="101DBEE0" w:rsidR="00CC220F" w:rsidRPr="00CC220F" w:rsidRDefault="008A3565"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br/>
        <w:t xml:space="preserve">Figure 2 </w:t>
      </w:r>
      <w:r>
        <w:rPr>
          <w:rFonts w:ascii="Times New Roman" w:eastAsia="Calibri" w:hAnsi="Times New Roman" w:cs="Times New Roman"/>
          <w:sz w:val="20"/>
          <w:szCs w:val="20"/>
        </w:rPr>
        <w:t>shows</w:t>
      </w:r>
      <w:r w:rsidRPr="00CC220F">
        <w:rPr>
          <w:rFonts w:ascii="Times New Roman" w:hAnsi="Times New Roman" w:cs="Times New Roman"/>
          <w:sz w:val="20"/>
          <w:szCs w:val="20"/>
        </w:rPr>
        <w:t xml:space="preserve"> that the common </w:t>
      </w:r>
      <w:r w:rsidRPr="00CC220F">
        <w:rPr>
          <w:rFonts w:ascii="Times New Roman" w:hAnsi="Times New Roman" w:cs="Times New Roman"/>
          <w:sz w:val="20"/>
          <w:szCs w:val="20"/>
        </w:rPr>
        <w:t>component closely corresponds with the observed trajectories for treatment, control, and untreated stage</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 xml:space="preserve">2 </w:t>
      </w:r>
      <w:r>
        <w:rPr>
          <w:rFonts w:ascii="Times New Roman" w:eastAsia="Calibri" w:hAnsi="Times New Roman" w:cs="Times New Roman"/>
          <w:sz w:val="20"/>
          <w:szCs w:val="20"/>
        </w:rPr>
        <w:t xml:space="preserve">disease </w:t>
      </w:r>
      <w:r w:rsidRPr="00CC220F">
        <w:rPr>
          <w:rFonts w:ascii="Times New Roman" w:hAnsi="Times New Roman" w:cs="Times New Roman"/>
          <w:sz w:val="20"/>
          <w:szCs w:val="20"/>
        </w:rPr>
        <w:t xml:space="preserve">across both genders, indicating that a </w:t>
      </w:r>
      <w:r>
        <w:rPr>
          <w:rFonts w:ascii="Times New Roman" w:eastAsia="Calibri" w:hAnsi="Times New Roman" w:cs="Times New Roman"/>
          <w:sz w:val="20"/>
          <w:szCs w:val="20"/>
        </w:rPr>
        <w:t>single</w:t>
      </w:r>
      <w:r w:rsidRPr="00CC220F">
        <w:rPr>
          <w:rFonts w:ascii="Times New Roman" w:hAnsi="Times New Roman" w:cs="Times New Roman"/>
          <w:sz w:val="20"/>
          <w:szCs w:val="20"/>
        </w:rPr>
        <w:t xml:space="preserve"> systemic factor accounts for the majority of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annual </w:t>
      </w:r>
      <w:r>
        <w:rPr>
          <w:rFonts w:ascii="Times New Roman" w:eastAsia="Calibri" w:hAnsi="Times New Roman" w:cs="Times New Roman"/>
          <w:sz w:val="20"/>
          <w:szCs w:val="20"/>
        </w:rPr>
        <w:t>variation</w:t>
      </w:r>
      <w:r w:rsidRPr="00CC220F">
        <w:rPr>
          <w:rFonts w:ascii="Times New Roman" w:hAnsi="Times New Roman" w:cs="Times New Roman"/>
          <w:sz w:val="20"/>
          <w:szCs w:val="20"/>
        </w:rPr>
        <w:t xml:space="preserve"> in these outcomes. The most r</w:t>
      </w:r>
      <w:r w:rsidRPr="00CC220F">
        <w:rPr>
          <w:rFonts w:ascii="Times New Roman" w:hAnsi="Times New Roman" w:cs="Times New Roman"/>
          <w:sz w:val="20"/>
          <w:szCs w:val="20"/>
        </w:rPr>
        <w:t xml:space="preserve">obust alignment occurs between the control and untreated </w:t>
      </w:r>
      <w:r>
        <w:rPr>
          <w:rFonts w:ascii="Times New Roman" w:eastAsia="Calibri" w:hAnsi="Times New Roman" w:cs="Times New Roman"/>
          <w:sz w:val="20"/>
          <w:szCs w:val="20"/>
        </w:rPr>
        <w:t>Stage 2 samples</w:t>
      </w:r>
      <w:r w:rsidRPr="00CC220F">
        <w:rPr>
          <w:rFonts w:ascii="Times New Roman" w:hAnsi="Times New Roman" w:cs="Times New Roman"/>
          <w:sz w:val="20"/>
          <w:szCs w:val="20"/>
        </w:rPr>
        <w:t xml:space="preserve">, where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peaks and troughs correspond precisely. This </w:t>
      </w:r>
      <w:r>
        <w:rPr>
          <w:rFonts w:ascii="Times New Roman" w:eastAsia="Calibri" w:hAnsi="Times New Roman" w:cs="Times New Roman"/>
          <w:sz w:val="20"/>
          <w:szCs w:val="20"/>
        </w:rPr>
        <w:t xml:space="preserve">finding </w:t>
      </w:r>
      <w:r w:rsidRPr="00CC220F">
        <w:rPr>
          <w:rFonts w:ascii="Times New Roman" w:hAnsi="Times New Roman" w:cs="Times New Roman"/>
          <w:sz w:val="20"/>
          <w:szCs w:val="20"/>
        </w:rPr>
        <w:t xml:space="preserve">indicates that an </w:t>
      </w:r>
      <w:r>
        <w:rPr>
          <w:rFonts w:ascii="Times New Roman" w:eastAsia="Calibri" w:hAnsi="Times New Roman" w:cs="Times New Roman"/>
          <w:sz w:val="20"/>
          <w:szCs w:val="20"/>
        </w:rPr>
        <w:t>increase</w:t>
      </w:r>
      <w:r w:rsidRPr="00CC220F">
        <w:rPr>
          <w:rFonts w:ascii="Times New Roman" w:hAnsi="Times New Roman" w:cs="Times New Roman"/>
          <w:sz w:val="20"/>
          <w:szCs w:val="20"/>
        </w:rPr>
        <w:t xml:space="preserve"> in system performance correlates with an increase in control and a simultaneous decrease in severe uncontrolled disease when analysed in terms of proportions. The diagnosis deviates from this pattern, showing reduced alignment and increased variability ac</w:t>
      </w:r>
      <w:r w:rsidRPr="00CC220F">
        <w:rPr>
          <w:rFonts w:ascii="Times New Roman" w:hAnsi="Times New Roman" w:cs="Times New Roman"/>
          <w:sz w:val="20"/>
          <w:szCs w:val="20"/>
        </w:rPr>
        <w:t xml:space="preserve">ross several periods, suggesting that detection is affected by programming and measurement factors that are less congruent with the overall system trend. Age-standardized prevalence more accurately </w:t>
      </w:r>
      <w:r>
        <w:rPr>
          <w:rFonts w:ascii="Times New Roman" w:eastAsia="Calibri" w:hAnsi="Times New Roman" w:cs="Times New Roman"/>
          <w:sz w:val="20"/>
          <w:szCs w:val="20"/>
        </w:rPr>
        <w:t>followed</w:t>
      </w:r>
      <w:r w:rsidRPr="00CC220F">
        <w:rPr>
          <w:rFonts w:ascii="Times New Roman" w:hAnsi="Times New Roman" w:cs="Times New Roman"/>
          <w:sz w:val="20"/>
          <w:szCs w:val="20"/>
        </w:rPr>
        <w:t xml:space="preserve"> the typical trend than </w:t>
      </w:r>
      <w:r>
        <w:rPr>
          <w:rFonts w:ascii="Times New Roman" w:eastAsia="Calibri" w:hAnsi="Times New Roman" w:cs="Times New Roman"/>
          <w:sz w:val="20"/>
          <w:szCs w:val="20"/>
        </w:rPr>
        <w:t xml:space="preserve">did </w:t>
      </w:r>
      <w:r w:rsidRPr="00CC220F">
        <w:rPr>
          <w:rFonts w:ascii="Times New Roman" w:hAnsi="Times New Roman" w:cs="Times New Roman"/>
          <w:sz w:val="20"/>
          <w:szCs w:val="20"/>
        </w:rPr>
        <w:t>crude prevalence, supp</w:t>
      </w:r>
      <w:r w:rsidRPr="00CC220F">
        <w:rPr>
          <w:rFonts w:ascii="Times New Roman" w:hAnsi="Times New Roman" w:cs="Times New Roman"/>
          <w:sz w:val="20"/>
          <w:szCs w:val="20"/>
        </w:rPr>
        <w:t xml:space="preserve">orting the idea that demographic composition influences crude levels. The conclusion is that altering the core system driver can yield several advantages across various indicators; however, diagnosis requires more concentrated effort. </w:t>
      </w:r>
      <w:r>
        <w:rPr>
          <w:rFonts w:ascii="Times New Roman" w:eastAsia="Calibri" w:hAnsi="Times New Roman" w:cs="Times New Roman"/>
          <w:sz w:val="20"/>
          <w:szCs w:val="20"/>
        </w:rPr>
        <w:t>Policies</w:t>
      </w:r>
      <w:r w:rsidRPr="00CC220F">
        <w:rPr>
          <w:rFonts w:ascii="Times New Roman" w:hAnsi="Times New Roman" w:cs="Times New Roman"/>
          <w:sz w:val="20"/>
          <w:szCs w:val="20"/>
        </w:rPr>
        <w:t xml:space="preserve"> should estab</w:t>
      </w:r>
      <w:r w:rsidRPr="00CC220F">
        <w:rPr>
          <w:rFonts w:ascii="Times New Roman" w:hAnsi="Times New Roman" w:cs="Times New Roman"/>
          <w:sz w:val="20"/>
          <w:szCs w:val="20"/>
        </w:rPr>
        <w:t xml:space="preserve">lish primary accountability metrics </w:t>
      </w:r>
      <w:proofErr w:type="spellStart"/>
      <w:r w:rsidRPr="00CC220F">
        <w:rPr>
          <w:rFonts w:ascii="Times New Roman" w:hAnsi="Times New Roman" w:cs="Times New Roman"/>
          <w:sz w:val="20"/>
          <w:szCs w:val="20"/>
        </w:rPr>
        <w:t>centered</w:t>
      </w:r>
      <w:proofErr w:type="spellEnd"/>
      <w:r w:rsidRPr="00CC220F">
        <w:rPr>
          <w:rFonts w:ascii="Times New Roman" w:hAnsi="Times New Roman" w:cs="Times New Roman"/>
          <w:sz w:val="20"/>
          <w:szCs w:val="20"/>
        </w:rPr>
        <w:t xml:space="preserve"> on age-standardized control and high-risk reduction, invest in capabilities that enhance the common component (ensured medications, protocol-based care, </w:t>
      </w:r>
      <w:r>
        <w:rPr>
          <w:rFonts w:ascii="Times New Roman" w:eastAsia="Calibri" w:hAnsi="Times New Roman" w:cs="Times New Roman"/>
          <w:sz w:val="20"/>
          <w:szCs w:val="20"/>
        </w:rPr>
        <w:t xml:space="preserve">and </w:t>
      </w:r>
      <w:r w:rsidRPr="00CC220F">
        <w:rPr>
          <w:rFonts w:ascii="Times New Roman" w:hAnsi="Times New Roman" w:cs="Times New Roman"/>
          <w:sz w:val="20"/>
          <w:szCs w:val="20"/>
        </w:rPr>
        <w:t>registry-enabled continuity), and implement a concurre</w:t>
      </w:r>
      <w:r w:rsidRPr="00CC220F">
        <w:rPr>
          <w:rFonts w:ascii="Times New Roman" w:hAnsi="Times New Roman" w:cs="Times New Roman"/>
          <w:sz w:val="20"/>
          <w:szCs w:val="20"/>
        </w:rPr>
        <w:t>nt case-finding initiative to address detection gaps indicated by the observed-versus-common divergence in Figure 2.</w:t>
      </w:r>
    </w:p>
    <w:p w14:paraId="29626777" w14:textId="07537FE6" w:rsidR="00CC220F" w:rsidRDefault="008A3565" w:rsidP="00AB5C38">
      <w:pPr>
        <w:jc w:val="both"/>
        <w:rPr>
          <w:rFonts w:ascii="Times New Roman" w:hAnsi="Times New Roman" w:cs="Times New Roman"/>
          <w:sz w:val="20"/>
          <w:szCs w:val="20"/>
        </w:rPr>
      </w:pPr>
      <w:r w:rsidRPr="009678D2">
        <w:rPr>
          <w:rFonts w:ascii="Times New Roman" w:hAnsi="Times New Roman" w:cs="Times New Roman"/>
          <w:noProof/>
          <w:sz w:val="20"/>
          <w:szCs w:val="20"/>
        </w:rPr>
        <w:lastRenderedPageBreak/>
        <w:drawing>
          <wp:inline distT="0" distB="0" distL="0" distR="0" wp14:anchorId="6BA971B2" wp14:editId="5E7BA9AE">
            <wp:extent cx="5731510" cy="4585208"/>
            <wp:effectExtent l="0" t="0" r="0" b="0"/>
            <wp:docPr id="895831878" name="Picture 89583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31878" name=""/>
                    <pic:cNvPicPr>
                      <a:picLocks noChangeAspect="1" noChangeArrowheads="1"/>
                    </pic:cNvPicPr>
                  </pic:nvPicPr>
                  <pic:blipFill>
                    <a:blip r:embed="rId7"/>
                    <a:stretch>
                      <a:fillRect/>
                    </a:stretch>
                  </pic:blipFill>
                  <pic:spPr bwMode="auto">
                    <a:xfrm>
                      <a:off x="0" y="0"/>
                      <a:ext cx="5731510" cy="4585208"/>
                    </a:xfrm>
                    <a:prstGeom prst="rect">
                      <a:avLst/>
                    </a:prstGeom>
                    <a:noFill/>
                  </pic:spPr>
                </pic:pic>
              </a:graphicData>
            </a:graphic>
          </wp:inline>
        </w:drawing>
      </w:r>
    </w:p>
    <w:p w14:paraId="18BE1B95" w14:textId="77777777" w:rsidR="00DC3E1C" w:rsidRPr="00A07FC5" w:rsidRDefault="008A3565" w:rsidP="00CC220F">
      <w:pPr>
        <w:jc w:val="both"/>
        <w:rPr>
          <w:rFonts w:ascii="Times New Roman" w:hAnsi="Times New Roman" w:cs="Times New Roman"/>
          <w:b/>
          <w:bCs/>
          <w:sz w:val="20"/>
          <w:szCs w:val="20"/>
        </w:rPr>
      </w:pPr>
      <w:r w:rsidRPr="00A07FC5">
        <w:rPr>
          <w:rFonts w:ascii="Times New Roman" w:hAnsi="Times New Roman" w:cs="Times New Roman"/>
          <w:b/>
          <w:bCs/>
          <w:sz w:val="20"/>
          <w:szCs w:val="20"/>
        </w:rPr>
        <w:t xml:space="preserve">Figure 2: Observed proportions relative to the common component by indicator and gender, 1990–2019. </w:t>
      </w:r>
    </w:p>
    <w:p w14:paraId="3E5A0234" w14:textId="7BCA3E1F" w:rsidR="00E11B7D" w:rsidRDefault="008A3565" w:rsidP="00CC220F">
      <w:pPr>
        <w:jc w:val="both"/>
        <w:rPr>
          <w:rFonts w:ascii="Times New Roman" w:hAnsi="Times New Roman" w:cs="Times New Roman"/>
          <w:sz w:val="20"/>
          <w:szCs w:val="20"/>
        </w:rPr>
      </w:pPr>
      <w:r w:rsidRPr="00CC220F">
        <w:rPr>
          <w:rFonts w:ascii="Times New Roman" w:hAnsi="Times New Roman" w:cs="Times New Roman"/>
          <w:sz w:val="20"/>
          <w:szCs w:val="20"/>
        </w:rPr>
        <w:br/>
        <w:t>Table 5 demonstrates that women con</w:t>
      </w:r>
      <w:r w:rsidRPr="00CC220F">
        <w:rPr>
          <w:rFonts w:ascii="Times New Roman" w:hAnsi="Times New Roman" w:cs="Times New Roman"/>
          <w:sz w:val="20"/>
          <w:szCs w:val="20"/>
        </w:rPr>
        <w:t xml:space="preserve">sistently possess an edge throughout the cascade. The therapeutic and control effects are substantial and precise, but the diagnostic effects are </w:t>
      </w:r>
      <w:r>
        <w:rPr>
          <w:rFonts w:ascii="Times New Roman" w:eastAsia="Calibri" w:hAnsi="Times New Roman" w:cs="Times New Roman"/>
          <w:sz w:val="20"/>
          <w:szCs w:val="20"/>
        </w:rPr>
        <w:t>less</w:t>
      </w:r>
      <w:r w:rsidRPr="00CC220F">
        <w:rPr>
          <w:rFonts w:ascii="Times New Roman" w:hAnsi="Times New Roman" w:cs="Times New Roman"/>
          <w:sz w:val="20"/>
          <w:szCs w:val="20"/>
        </w:rPr>
        <w:t xml:space="preserve"> yet nonetheless noteworthy. </w:t>
      </w:r>
      <w:r>
        <w:rPr>
          <w:rFonts w:ascii="Times New Roman" w:eastAsia="Calibri" w:hAnsi="Times New Roman" w:cs="Times New Roman"/>
          <w:sz w:val="20"/>
          <w:szCs w:val="20"/>
        </w:rPr>
        <w:t>Compared with men, women</w:t>
      </w:r>
      <w:r w:rsidRPr="00CC220F">
        <w:rPr>
          <w:rFonts w:ascii="Times New Roman" w:hAnsi="Times New Roman" w:cs="Times New Roman"/>
          <w:sz w:val="20"/>
          <w:szCs w:val="20"/>
        </w:rPr>
        <w:t xml:space="preserve"> had a 2.23-fold greater likelihood of receiving trea</w:t>
      </w:r>
      <w:r w:rsidRPr="00CC220F">
        <w:rPr>
          <w:rFonts w:ascii="Times New Roman" w:hAnsi="Times New Roman" w:cs="Times New Roman"/>
          <w:sz w:val="20"/>
          <w:szCs w:val="20"/>
        </w:rPr>
        <w:t xml:space="preserve">tment and a 2.06-fold greater likelihood of achieving control (both p&lt;0.001). They </w:t>
      </w:r>
      <w:r>
        <w:rPr>
          <w:rFonts w:ascii="Times New Roman" w:eastAsia="Calibri" w:hAnsi="Times New Roman" w:cs="Times New Roman"/>
          <w:sz w:val="20"/>
          <w:szCs w:val="20"/>
        </w:rPr>
        <w:t>have</w:t>
      </w:r>
      <w:r w:rsidRPr="00CC220F">
        <w:rPr>
          <w:rFonts w:ascii="Times New Roman" w:hAnsi="Times New Roman" w:cs="Times New Roman"/>
          <w:sz w:val="20"/>
          <w:szCs w:val="20"/>
        </w:rPr>
        <w:t xml:space="preserve"> a minor advantage in </w:t>
      </w:r>
      <w:r>
        <w:rPr>
          <w:rFonts w:ascii="Times New Roman" w:eastAsia="Calibri" w:hAnsi="Times New Roman" w:cs="Times New Roman"/>
          <w:sz w:val="20"/>
          <w:szCs w:val="20"/>
        </w:rPr>
        <w:t xml:space="preserve">terms of </w:t>
      </w:r>
      <w:r w:rsidRPr="00CC220F">
        <w:rPr>
          <w:rFonts w:ascii="Times New Roman" w:hAnsi="Times New Roman" w:cs="Times New Roman"/>
          <w:sz w:val="20"/>
          <w:szCs w:val="20"/>
        </w:rPr>
        <w:t xml:space="preserve">diagnosis (OR=1.079, p&lt;0.001) and a marginally </w:t>
      </w:r>
      <w:r>
        <w:rPr>
          <w:rFonts w:ascii="Times New Roman" w:eastAsia="Calibri" w:hAnsi="Times New Roman" w:cs="Times New Roman"/>
          <w:sz w:val="20"/>
          <w:szCs w:val="20"/>
        </w:rPr>
        <w:t>greater</w:t>
      </w:r>
      <w:r w:rsidRPr="00CC220F">
        <w:rPr>
          <w:rFonts w:ascii="Times New Roman" w:hAnsi="Times New Roman" w:cs="Times New Roman"/>
          <w:sz w:val="20"/>
          <w:szCs w:val="20"/>
        </w:rPr>
        <w:t xml:space="preserve"> prevalence (OR=1.123, p&lt;0.001). The crude prevalence reveals no significant sex dif</w:t>
      </w:r>
      <w:r w:rsidRPr="00CC220F">
        <w:rPr>
          <w:rFonts w:ascii="Times New Roman" w:hAnsi="Times New Roman" w:cs="Times New Roman"/>
          <w:sz w:val="20"/>
          <w:szCs w:val="20"/>
        </w:rPr>
        <w:t xml:space="preserve">ference (OR=0.992, p=0.713); nonetheless, the crude treatment and control effects are considerable (OR=2.345 and OR=2.18, both p&lt;0.001), </w:t>
      </w:r>
      <w:r>
        <w:rPr>
          <w:rFonts w:ascii="Times New Roman" w:eastAsia="Calibri" w:hAnsi="Times New Roman" w:cs="Times New Roman"/>
          <w:sz w:val="20"/>
          <w:szCs w:val="20"/>
        </w:rPr>
        <w:t>confirming</w:t>
      </w:r>
      <w:r w:rsidRPr="00CC220F">
        <w:rPr>
          <w:rFonts w:ascii="Times New Roman" w:hAnsi="Times New Roman" w:cs="Times New Roman"/>
          <w:sz w:val="20"/>
          <w:szCs w:val="20"/>
        </w:rPr>
        <w:t xml:space="preserve"> their robustness to standardization. Untreated stage</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 xml:space="preserve">2 </w:t>
      </w:r>
      <w:r>
        <w:rPr>
          <w:rFonts w:ascii="Times New Roman" w:eastAsia="Calibri" w:hAnsi="Times New Roman" w:cs="Times New Roman"/>
          <w:sz w:val="20"/>
          <w:szCs w:val="20"/>
        </w:rPr>
        <w:t>disease was</w:t>
      </w:r>
      <w:r w:rsidRPr="00CC220F">
        <w:rPr>
          <w:rFonts w:ascii="Times New Roman" w:hAnsi="Times New Roman" w:cs="Times New Roman"/>
          <w:sz w:val="20"/>
          <w:szCs w:val="20"/>
        </w:rPr>
        <w:t xml:space="preserve"> more prevalent in women according to both</w:t>
      </w:r>
      <w:r w:rsidRPr="00CC220F">
        <w:rPr>
          <w:rFonts w:ascii="Times New Roman" w:hAnsi="Times New Roman" w:cs="Times New Roman"/>
          <w:sz w:val="20"/>
          <w:szCs w:val="20"/>
        </w:rPr>
        <w:t xml:space="preserve"> definitions (age-</w:t>
      </w:r>
      <w:r>
        <w:rPr>
          <w:rFonts w:ascii="Times New Roman" w:eastAsia="Calibri" w:hAnsi="Times New Roman" w:cs="Times New Roman"/>
          <w:sz w:val="20"/>
          <w:szCs w:val="20"/>
        </w:rPr>
        <w:t>standardized</w:t>
      </w:r>
      <w:r w:rsidRPr="00CC220F">
        <w:rPr>
          <w:rFonts w:ascii="Times New Roman" w:hAnsi="Times New Roman" w:cs="Times New Roman"/>
          <w:sz w:val="20"/>
          <w:szCs w:val="20"/>
        </w:rPr>
        <w:t xml:space="preserve"> OR=1.601; crude OR=1.727; both p&lt;0.001). This </w:t>
      </w:r>
      <w:r>
        <w:rPr>
          <w:rFonts w:ascii="Times New Roman" w:eastAsia="Calibri" w:hAnsi="Times New Roman" w:cs="Times New Roman"/>
          <w:sz w:val="20"/>
          <w:szCs w:val="20"/>
        </w:rPr>
        <w:t xml:space="preserve">finding </w:t>
      </w:r>
      <w:r w:rsidRPr="00CC220F">
        <w:rPr>
          <w:rFonts w:ascii="Times New Roman" w:hAnsi="Times New Roman" w:cs="Times New Roman"/>
          <w:sz w:val="20"/>
          <w:szCs w:val="20"/>
        </w:rPr>
        <w:t xml:space="preserve">indicates that a subpopulation of women is at heightened risk of illness despite having superior average management. </w:t>
      </w:r>
      <w:r>
        <w:rPr>
          <w:rFonts w:ascii="Times New Roman" w:eastAsia="Calibri" w:hAnsi="Times New Roman" w:cs="Times New Roman"/>
          <w:sz w:val="20"/>
          <w:szCs w:val="20"/>
        </w:rPr>
        <w:t>The analysis suggested</w:t>
      </w:r>
      <w:r w:rsidRPr="00CC220F">
        <w:rPr>
          <w:rFonts w:ascii="Times New Roman" w:hAnsi="Times New Roman" w:cs="Times New Roman"/>
          <w:sz w:val="20"/>
          <w:szCs w:val="20"/>
        </w:rPr>
        <w:t xml:space="preserve"> improved </w:t>
      </w:r>
      <w:r>
        <w:rPr>
          <w:rFonts w:ascii="Times New Roman" w:eastAsia="Calibri" w:hAnsi="Times New Roman" w:cs="Times New Roman"/>
          <w:sz w:val="20"/>
          <w:szCs w:val="20"/>
        </w:rPr>
        <w:t>advancements</w:t>
      </w:r>
      <w:r w:rsidRPr="00CC220F">
        <w:rPr>
          <w:rFonts w:ascii="Times New Roman" w:hAnsi="Times New Roman" w:cs="Times New Roman"/>
          <w:sz w:val="20"/>
          <w:szCs w:val="20"/>
        </w:rPr>
        <w:t xml:space="preserve"> in care f</w:t>
      </w:r>
      <w:r w:rsidRPr="00CC220F">
        <w:rPr>
          <w:rFonts w:ascii="Times New Roman" w:hAnsi="Times New Roman" w:cs="Times New Roman"/>
          <w:sz w:val="20"/>
          <w:szCs w:val="20"/>
        </w:rPr>
        <w:t>or women once recognized, including a remaining group requiring customized escalation strategies. The policy implication is to establish sex-disaggregated targets that maintain advancements in female treatment and control, bridge the diagnosis-to-treatment</w:t>
      </w:r>
      <w:r w:rsidRPr="00CC220F">
        <w:rPr>
          <w:rFonts w:ascii="Times New Roman" w:hAnsi="Times New Roman" w:cs="Times New Roman"/>
          <w:sz w:val="20"/>
          <w:szCs w:val="20"/>
        </w:rPr>
        <w:t xml:space="preserve"> gap in men, and implement targeted rescue strategies for severe uncontrolled disease in high-risk women, utilizing age-standardized indicators as primary accountability metrics and crude indicators to track demographic challenges. </w:t>
      </w:r>
    </w:p>
    <w:p w14:paraId="69D89EDA" w14:textId="4E5F700A" w:rsidR="00CC220F" w:rsidRPr="00CC220F" w:rsidRDefault="008A3565"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br/>
      </w:r>
      <w:r w:rsidRPr="00CC220F">
        <w:rPr>
          <w:rFonts w:ascii="Times New Roman" w:hAnsi="Times New Roman" w:cs="Times New Roman"/>
          <w:sz w:val="20"/>
          <w:szCs w:val="20"/>
        </w:rPr>
        <w:t>Figure 3 illustrates that the hypertension cascade has improved in a coordinated manner since the early 2000s. Nonetheless, challenges persist in case detection and a subsequent surge in severe, uncontrolled disease. The age-standardized prevalence increas</w:t>
      </w:r>
      <w:r w:rsidRPr="00CC220F">
        <w:rPr>
          <w:rFonts w:ascii="Times New Roman" w:hAnsi="Times New Roman" w:cs="Times New Roman"/>
          <w:sz w:val="20"/>
          <w:szCs w:val="20"/>
        </w:rPr>
        <w:t xml:space="preserve">es until the mid-2000s, after which it stabilizes at a higher level for women and declines slightly for men. </w:t>
      </w:r>
      <w:r>
        <w:rPr>
          <w:rFonts w:ascii="Times New Roman" w:eastAsia="Calibri" w:hAnsi="Times New Roman" w:cs="Times New Roman"/>
          <w:sz w:val="20"/>
          <w:szCs w:val="20"/>
        </w:rPr>
        <w:t>Conversely, treatment</w:t>
      </w:r>
      <w:r w:rsidRPr="00CC220F">
        <w:rPr>
          <w:rFonts w:ascii="Times New Roman" w:hAnsi="Times New Roman" w:cs="Times New Roman"/>
          <w:sz w:val="20"/>
          <w:szCs w:val="20"/>
        </w:rPr>
        <w:t xml:space="preserve"> and control</w:t>
      </w:r>
      <w:r>
        <w:rPr>
          <w:rFonts w:ascii="Times New Roman" w:eastAsia="Calibri" w:hAnsi="Times New Roman" w:cs="Times New Roman"/>
          <w:sz w:val="20"/>
          <w:szCs w:val="20"/>
        </w:rPr>
        <w:t xml:space="preserve"> consistently</w:t>
      </w:r>
      <w:r w:rsidRPr="00CC220F">
        <w:rPr>
          <w:rFonts w:ascii="Times New Roman" w:hAnsi="Times New Roman" w:cs="Times New Roman"/>
          <w:sz w:val="20"/>
          <w:szCs w:val="20"/>
        </w:rPr>
        <w:t xml:space="preserve"> increase for both genders, with a distinct benefit for women. Age-standardized </w:t>
      </w:r>
      <w:r>
        <w:rPr>
          <w:rFonts w:ascii="Times New Roman" w:eastAsia="Calibri" w:hAnsi="Times New Roman" w:cs="Times New Roman"/>
          <w:sz w:val="20"/>
          <w:szCs w:val="20"/>
        </w:rPr>
        <w:t>diagnoses</w:t>
      </w:r>
      <w:r w:rsidRPr="00CC220F">
        <w:rPr>
          <w:rFonts w:ascii="Times New Roman" w:hAnsi="Times New Roman" w:cs="Times New Roman"/>
          <w:sz w:val="20"/>
          <w:szCs w:val="20"/>
        </w:rPr>
        <w:t xml:space="preserve"> declined du</w:t>
      </w:r>
      <w:r w:rsidRPr="00CC220F">
        <w:rPr>
          <w:rFonts w:ascii="Times New Roman" w:hAnsi="Times New Roman" w:cs="Times New Roman"/>
          <w:sz w:val="20"/>
          <w:szCs w:val="20"/>
        </w:rPr>
        <w:t xml:space="preserve">ring the 1990s, stabilized, and subsequently </w:t>
      </w:r>
      <w:r>
        <w:rPr>
          <w:rFonts w:ascii="Times New Roman" w:eastAsia="Calibri" w:hAnsi="Times New Roman" w:cs="Times New Roman"/>
          <w:sz w:val="20"/>
          <w:szCs w:val="20"/>
        </w:rPr>
        <w:t>showed</w:t>
      </w:r>
      <w:r w:rsidRPr="00CC220F">
        <w:rPr>
          <w:rFonts w:ascii="Times New Roman" w:hAnsi="Times New Roman" w:cs="Times New Roman"/>
          <w:sz w:val="20"/>
          <w:szCs w:val="20"/>
        </w:rPr>
        <w:t xml:space="preserve"> only a marginal rebound, indicating that detection has not kept pace with the gains made downstream. The age-standardized incidence of untreated stage</w:t>
      </w:r>
      <w:r>
        <w:rPr>
          <w:rFonts w:ascii="Times New Roman" w:eastAsia="Calibri" w:hAnsi="Times New Roman" w:cs="Times New Roman"/>
          <w:sz w:val="20"/>
          <w:szCs w:val="20"/>
        </w:rPr>
        <w:t xml:space="preserve"> 2 patients declined</w:t>
      </w:r>
      <w:r w:rsidRPr="00CC220F">
        <w:rPr>
          <w:rFonts w:ascii="Times New Roman" w:hAnsi="Times New Roman" w:cs="Times New Roman"/>
          <w:sz w:val="20"/>
          <w:szCs w:val="20"/>
        </w:rPr>
        <w:t xml:space="preserve"> first </w:t>
      </w:r>
      <w:r>
        <w:rPr>
          <w:rFonts w:ascii="Times New Roman" w:eastAsia="Calibri" w:hAnsi="Times New Roman" w:cs="Times New Roman"/>
          <w:sz w:val="20"/>
          <w:szCs w:val="20"/>
        </w:rPr>
        <w:t>but</w:t>
      </w:r>
      <w:r w:rsidRPr="00CC220F">
        <w:rPr>
          <w:rFonts w:ascii="Times New Roman" w:hAnsi="Times New Roman" w:cs="Times New Roman"/>
          <w:sz w:val="20"/>
          <w:szCs w:val="20"/>
        </w:rPr>
        <w:t xml:space="preserve"> then significantly </w:t>
      </w:r>
      <w:r>
        <w:rPr>
          <w:rFonts w:ascii="Times New Roman" w:eastAsia="Calibri" w:hAnsi="Times New Roman" w:cs="Times New Roman"/>
          <w:sz w:val="20"/>
          <w:szCs w:val="20"/>
        </w:rPr>
        <w:t>incr</w:t>
      </w:r>
      <w:r>
        <w:rPr>
          <w:rFonts w:ascii="Times New Roman" w:eastAsia="Calibri" w:hAnsi="Times New Roman" w:cs="Times New Roman"/>
          <w:sz w:val="20"/>
          <w:szCs w:val="20"/>
        </w:rPr>
        <w:t>eased over</w:t>
      </w:r>
      <w:r w:rsidRPr="00CC220F">
        <w:rPr>
          <w:rFonts w:ascii="Times New Roman" w:hAnsi="Times New Roman" w:cs="Times New Roman"/>
          <w:sz w:val="20"/>
          <w:szCs w:val="20"/>
        </w:rPr>
        <w:t xml:space="preserve"> the past </w:t>
      </w:r>
      <w:r w:rsidRPr="00CC220F">
        <w:rPr>
          <w:rFonts w:ascii="Times New Roman" w:hAnsi="Times New Roman" w:cs="Times New Roman"/>
          <w:sz w:val="20"/>
          <w:szCs w:val="20"/>
        </w:rPr>
        <w:lastRenderedPageBreak/>
        <w:t xml:space="preserve">decade, predominantly among women. This indicates an increasing division within the population, where a significant number of individuals receive improved care, </w:t>
      </w:r>
      <w:r>
        <w:rPr>
          <w:rFonts w:ascii="Times New Roman" w:eastAsia="Calibri" w:hAnsi="Times New Roman" w:cs="Times New Roman"/>
          <w:sz w:val="20"/>
          <w:szCs w:val="20"/>
        </w:rPr>
        <w:t>whereas</w:t>
      </w:r>
      <w:r w:rsidRPr="00CC220F">
        <w:rPr>
          <w:rFonts w:ascii="Times New Roman" w:hAnsi="Times New Roman" w:cs="Times New Roman"/>
          <w:sz w:val="20"/>
          <w:szCs w:val="20"/>
        </w:rPr>
        <w:t xml:space="preserve"> a small group of high-risk individuals remains unchanged. </w:t>
      </w:r>
      <w:r>
        <w:rPr>
          <w:rFonts w:ascii="Times New Roman" w:eastAsia="Calibri" w:hAnsi="Times New Roman" w:cs="Times New Roman"/>
          <w:sz w:val="20"/>
          <w:szCs w:val="20"/>
        </w:rPr>
        <w:t>The crude</w:t>
      </w:r>
      <w:r w:rsidRPr="00CC220F">
        <w:rPr>
          <w:rFonts w:ascii="Times New Roman" w:hAnsi="Times New Roman" w:cs="Times New Roman"/>
          <w:sz w:val="20"/>
          <w:szCs w:val="20"/>
        </w:rPr>
        <w:t xml:space="preserve"> indicators illustrate these patterns with a more significant demographic effect: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crude prevalence </w:t>
      </w:r>
      <w:r>
        <w:rPr>
          <w:rFonts w:ascii="Times New Roman" w:eastAsia="Calibri" w:hAnsi="Times New Roman" w:cs="Times New Roman"/>
          <w:sz w:val="20"/>
          <w:szCs w:val="20"/>
        </w:rPr>
        <w:t>decreases, whereas the</w:t>
      </w:r>
      <w:r w:rsidRPr="00CC220F">
        <w:rPr>
          <w:rFonts w:ascii="Times New Roman" w:hAnsi="Times New Roman" w:cs="Times New Roman"/>
          <w:sz w:val="20"/>
          <w:szCs w:val="20"/>
        </w:rPr>
        <w:t xml:space="preserve"> crude treatment and control </w:t>
      </w:r>
      <w:r>
        <w:rPr>
          <w:rFonts w:ascii="Times New Roman" w:eastAsia="Calibri" w:hAnsi="Times New Roman" w:cs="Times New Roman"/>
          <w:sz w:val="20"/>
          <w:szCs w:val="20"/>
        </w:rPr>
        <w:t>rates increase</w:t>
      </w:r>
      <w:r w:rsidRPr="00CC220F">
        <w:rPr>
          <w:rFonts w:ascii="Times New Roman" w:hAnsi="Times New Roman" w:cs="Times New Roman"/>
          <w:sz w:val="20"/>
          <w:szCs w:val="20"/>
        </w:rPr>
        <w:t xml:space="preserve">, although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crude diagnosis </w:t>
      </w:r>
      <w:r>
        <w:rPr>
          <w:rFonts w:ascii="Times New Roman" w:eastAsia="Calibri" w:hAnsi="Times New Roman" w:cs="Times New Roman"/>
          <w:sz w:val="20"/>
          <w:szCs w:val="20"/>
        </w:rPr>
        <w:t xml:space="preserve">rate </w:t>
      </w:r>
      <w:r w:rsidRPr="00CC220F">
        <w:rPr>
          <w:rFonts w:ascii="Times New Roman" w:hAnsi="Times New Roman" w:cs="Times New Roman"/>
          <w:sz w:val="20"/>
          <w:szCs w:val="20"/>
        </w:rPr>
        <w:t xml:space="preserve">shows only a </w:t>
      </w:r>
      <w:r>
        <w:rPr>
          <w:rFonts w:ascii="Times New Roman" w:eastAsia="Calibri" w:hAnsi="Times New Roman" w:cs="Times New Roman"/>
          <w:sz w:val="20"/>
          <w:szCs w:val="20"/>
        </w:rPr>
        <w:t>slight</w:t>
      </w:r>
      <w:r w:rsidRPr="00CC220F">
        <w:rPr>
          <w:rFonts w:ascii="Times New Roman" w:hAnsi="Times New Roman" w:cs="Times New Roman"/>
          <w:sz w:val="20"/>
          <w:szCs w:val="20"/>
        </w:rPr>
        <w:t xml:space="preserve"> rebound. The conclusion is that </w:t>
      </w:r>
      <w:r w:rsidRPr="00CC220F">
        <w:rPr>
          <w:rFonts w:ascii="Times New Roman" w:hAnsi="Times New Roman" w:cs="Times New Roman"/>
          <w:sz w:val="20"/>
          <w:szCs w:val="20"/>
        </w:rPr>
        <w:t>enhancing the system has resulted in improved management upon patient admission to care. Nonetheless, entry into the cascade remains the most vulnerable phase. The implications involve the establishment of performance metrics utilizing age-standardized con</w:t>
      </w:r>
      <w:r w:rsidRPr="00CC220F">
        <w:rPr>
          <w:rFonts w:ascii="Times New Roman" w:hAnsi="Times New Roman" w:cs="Times New Roman"/>
          <w:sz w:val="20"/>
          <w:szCs w:val="20"/>
        </w:rPr>
        <w:t xml:space="preserve">trols, the enhancement of </w:t>
      </w:r>
      <w:proofErr w:type="spellStart"/>
      <w:r w:rsidRPr="00CC220F">
        <w:rPr>
          <w:rFonts w:ascii="Times New Roman" w:hAnsi="Times New Roman" w:cs="Times New Roman"/>
          <w:sz w:val="20"/>
          <w:szCs w:val="20"/>
        </w:rPr>
        <w:t>multimonth</w:t>
      </w:r>
      <w:proofErr w:type="spellEnd"/>
      <w:r w:rsidRPr="00CC220F">
        <w:rPr>
          <w:rFonts w:ascii="Times New Roman" w:hAnsi="Times New Roman" w:cs="Times New Roman"/>
          <w:sz w:val="20"/>
          <w:szCs w:val="20"/>
        </w:rPr>
        <w:t xml:space="preserve"> dispensing and protocol-driven titration to sustain progress, the initiation of a diagnostic surge within routine interactions, and the incorporation of rapid escalation pathways to address severe uncontrolled disease, </w:t>
      </w:r>
      <w:r w:rsidRPr="00CC220F">
        <w:rPr>
          <w:rFonts w:ascii="Times New Roman" w:hAnsi="Times New Roman" w:cs="Times New Roman"/>
          <w:sz w:val="20"/>
          <w:szCs w:val="20"/>
        </w:rPr>
        <w:t>all guided by sex-disaggregated implementation targets.</w:t>
      </w:r>
    </w:p>
    <w:p w14:paraId="37852AAF" w14:textId="77777777" w:rsidR="00CC220F" w:rsidRPr="00546C80" w:rsidRDefault="008A3565" w:rsidP="00CC220F">
      <w:pPr>
        <w:pStyle w:val="TableCaption"/>
        <w:keepNext/>
        <w:pBdr>
          <w:top w:val="nil"/>
          <w:left w:val="nil"/>
          <w:bottom w:val="nil"/>
          <w:right w:val="nil"/>
        </w:pBdr>
        <w:spacing w:before="60" w:after="60"/>
        <w:ind w:left="60" w:right="60"/>
        <w:rPr>
          <w:rFonts w:ascii="Times New Roman" w:hAnsi="Times New Roman" w:cs="Times New Roman"/>
          <w:sz w:val="16"/>
          <w:szCs w:val="16"/>
        </w:rPr>
      </w:pPr>
      <w:r w:rsidRPr="00A07FC5">
        <w:rPr>
          <w:rFonts w:ascii="Times New Roman" w:hAnsi="Times New Roman" w:cs="Times New Roman"/>
          <w:i w:val="0"/>
          <w:iCs/>
          <w:sz w:val="20"/>
          <w:szCs w:val="20"/>
        </w:rPr>
        <w:t>Table 5. Outcome-specific sex effects across the hypertension cascade</w:t>
      </w:r>
      <w:r w:rsidRPr="00546C80">
        <w:rPr>
          <w:rFonts w:ascii="Times New Roman" w:hAnsi="Times New Roman" w:cs="Times New Roman"/>
          <w:sz w:val="16"/>
          <w:szCs w:val="16"/>
        </w:rPr>
        <w:t>.</w:t>
      </w:r>
    </w:p>
    <w:tbl>
      <w:tblPr>
        <w:tblW w:w="11559" w:type="dxa"/>
        <w:jc w:val="center"/>
        <w:tblLayout w:type="fixed"/>
        <w:tblLook w:val="0420" w:firstRow="1" w:lastRow="0" w:firstColumn="0" w:lastColumn="0" w:noHBand="0" w:noVBand="1"/>
      </w:tblPr>
      <w:tblGrid>
        <w:gridCol w:w="1351"/>
        <w:gridCol w:w="5973"/>
        <w:gridCol w:w="725"/>
        <w:gridCol w:w="608"/>
        <w:gridCol w:w="685"/>
        <w:gridCol w:w="689"/>
        <w:gridCol w:w="1528"/>
      </w:tblGrid>
      <w:tr w:rsidR="00BC5BB6" w14:paraId="4F83FE34" w14:textId="77777777" w:rsidTr="00C21318">
        <w:trPr>
          <w:trHeight w:val="318"/>
          <w:tblHeader/>
          <w:jc w:val="center"/>
        </w:trPr>
        <w:tc>
          <w:tcPr>
            <w:tcW w:w="135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AC35CFC"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Group</w:t>
            </w:r>
          </w:p>
        </w:tc>
        <w:tc>
          <w:tcPr>
            <w:tcW w:w="597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3D2E81F"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Outcome</w:t>
            </w:r>
          </w:p>
        </w:tc>
        <w:tc>
          <w:tcPr>
            <w:tcW w:w="72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D1FA60F"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β (logit)</w:t>
            </w:r>
          </w:p>
        </w:tc>
        <w:tc>
          <w:tcPr>
            <w:tcW w:w="60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2325B26"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SE</w:t>
            </w:r>
          </w:p>
        </w:tc>
        <w:tc>
          <w:tcPr>
            <w:tcW w:w="68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0DFA881"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z</w:t>
            </w:r>
          </w:p>
        </w:tc>
        <w:tc>
          <w:tcPr>
            <w:tcW w:w="68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F5045B0"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p</w:t>
            </w:r>
          </w:p>
        </w:tc>
        <w:tc>
          <w:tcPr>
            <w:tcW w:w="152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58E4F45"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Odds Ratio [95% CI]</w:t>
            </w:r>
          </w:p>
        </w:tc>
      </w:tr>
      <w:tr w:rsidR="00BC5BB6" w14:paraId="734FEC5E" w14:textId="77777777" w:rsidTr="00C21318">
        <w:trPr>
          <w:trHeight w:val="327"/>
          <w:jc w:val="center"/>
        </w:trPr>
        <w:tc>
          <w:tcPr>
            <w:tcW w:w="135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5BBFF90" w14:textId="3F9B4122"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847F5A7" w14:textId="421E964F"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546C80">
              <w:rPr>
                <w:rFonts w:ascii="Times New Roman" w:eastAsia="Arial" w:hAnsi="Times New Roman" w:cs="Times New Roman"/>
                <w:color w:val="000000"/>
                <w:sz w:val="16"/>
                <w:szCs w:val="16"/>
              </w:rPr>
              <w:t>age_standardized_prevalence_of_hypertension</w:t>
            </w:r>
            <w:proofErr w:type="spellEnd"/>
          </w:p>
        </w:tc>
        <w:tc>
          <w:tcPr>
            <w:tcW w:w="72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BA7E64E"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0.116</w:t>
            </w:r>
          </w:p>
        </w:tc>
        <w:tc>
          <w:tcPr>
            <w:tcW w:w="60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33B019F"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0.007</w:t>
            </w:r>
          </w:p>
        </w:tc>
        <w:tc>
          <w:tcPr>
            <w:tcW w:w="68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9BA0EF2"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17.83</w:t>
            </w:r>
          </w:p>
        </w:tc>
        <w:tc>
          <w:tcPr>
            <w:tcW w:w="68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1DC401E"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9948F73"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1.123 [1.109, 1.138]</w:t>
            </w:r>
          </w:p>
        </w:tc>
      </w:tr>
      <w:tr w:rsidR="00BC5BB6" w14:paraId="35D9D62A"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5C2BB7D3" w14:textId="2A793030"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1438063A" w14:textId="063A72F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age_standardized_proportion_of_controlled_hypertension_among_all_hypertension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44539A1D"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0.725</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564C2978"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0.006</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42DFBFC1"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129.86</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1CCC1CD1"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5D7A3F43"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2.064 [2.042, 2.087]</w:t>
            </w:r>
          </w:p>
        </w:tc>
      </w:tr>
      <w:tr w:rsidR="00BC5BB6" w14:paraId="2404FB5E" w14:textId="77777777" w:rsidTr="00C21318">
        <w:trPr>
          <w:trHeight w:val="327"/>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00F9E786" w14:textId="0B5912D3"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0E33A021" w14:textId="7333D8C1"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age_standardized_proportion_of_diagnosed_hypertension_among_all_hypertension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6D92B80D"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0.076</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30ABBA8E"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0.008</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4720A424"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9.01</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4A45C8A7"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722F84C2"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1.079 [1.061, 1.096]</w:t>
            </w:r>
          </w:p>
        </w:tc>
      </w:tr>
      <w:tr w:rsidR="00BC5BB6" w14:paraId="6955C231"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6E2C0669" w14:textId="270F557B"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29FECC01" w14:textId="124F22C8"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age_standardized_proportion_of_treated_hypertension_among_all_hypertension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2EE4FE88"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0.801</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22057BC7"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0.014</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476A4900"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59.00</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537F5852"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576C1B07"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 xml:space="preserve">2.229 [2.17, </w:t>
            </w:r>
            <w:r w:rsidRPr="00546C80">
              <w:rPr>
                <w:rFonts w:ascii="Times New Roman" w:eastAsia="Arial" w:hAnsi="Times New Roman" w:cs="Times New Roman"/>
                <w:color w:val="000000"/>
                <w:sz w:val="16"/>
                <w:szCs w:val="16"/>
              </w:rPr>
              <w:t>2.289]</w:t>
            </w:r>
          </w:p>
        </w:tc>
      </w:tr>
      <w:tr w:rsidR="00BC5BB6" w14:paraId="311C067D"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1A07CC29" w14:textId="00F616FF"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Age-standardized</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38300C20" w14:textId="7BDCDAEC"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age_standardized_proportion_of_untreated_stage_2_hypertension_among_all_hypertension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264DE930"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0.470</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15F7ADCF"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0.022</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59D389BB"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21.68</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2357B93B"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7769CE4B"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1.601 [1.534, 1.67]</w:t>
            </w:r>
          </w:p>
        </w:tc>
      </w:tr>
      <w:tr w:rsidR="00BC5BB6" w14:paraId="3EB86055" w14:textId="77777777" w:rsidTr="00C21318">
        <w:trPr>
          <w:trHeight w:val="327"/>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1B31AAFA"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5B78E9D2"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546C80">
              <w:rPr>
                <w:rFonts w:ascii="Times New Roman" w:eastAsia="Arial" w:hAnsi="Times New Roman" w:cs="Times New Roman"/>
                <w:color w:val="000000"/>
                <w:sz w:val="16"/>
                <w:szCs w:val="16"/>
              </w:rPr>
              <w:t>crude_prevalence_of_hypertension</w:t>
            </w:r>
            <w:proofErr w:type="spellEnd"/>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48AF158C"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-0.008</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7FDA8A26"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0.022</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7DF2E264"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-0.37</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69E409A4"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0.713</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6C52C765"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0.992 [0.949, 1.036]</w:t>
            </w:r>
          </w:p>
        </w:tc>
      </w:tr>
      <w:tr w:rsidR="00BC5BB6" w14:paraId="48CEF9E2"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4254736C"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3CDCC835"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crude_proportion_of_controlled_hypertension_among_all_hypertension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7CF96826"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0.779</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071D8447"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0.004</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12683EAF"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182.64</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44397D77"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6C8F196A"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2.18 [2.161, 2.198]</w:t>
            </w:r>
          </w:p>
        </w:tc>
      </w:tr>
      <w:tr w:rsidR="00BC5BB6" w14:paraId="32488FEA" w14:textId="77777777" w:rsidTr="00C21318">
        <w:trPr>
          <w:trHeight w:val="327"/>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47552F0A"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29FA679A"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crude_proportion_of_diagnosed_hypertension_among_all_hypertension</w:t>
            </w:r>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0665580A"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0.032</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78EF29FB"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0.012</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0A2A84CA"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2.72</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1C34DD93"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0.006</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33251FFA"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1.032 [1.009, 1.056]</w:t>
            </w:r>
          </w:p>
        </w:tc>
      </w:tr>
      <w:tr w:rsidR="00BC5BB6" w14:paraId="09B1C2D4" w14:textId="77777777" w:rsidTr="00C21318">
        <w:trPr>
          <w:trHeight w:val="318"/>
          <w:jc w:val="center"/>
        </w:trPr>
        <w:tc>
          <w:tcPr>
            <w:tcW w:w="1351" w:type="dxa"/>
            <w:tcBorders>
              <w:top w:val="nil"/>
              <w:left w:val="nil"/>
              <w:bottom w:val="nil"/>
              <w:right w:val="nil"/>
            </w:tcBorders>
            <w:shd w:val="clear" w:color="auto" w:fill="FFFFFF"/>
            <w:tcMar>
              <w:top w:w="0" w:type="dxa"/>
              <w:left w:w="0" w:type="dxa"/>
              <w:bottom w:w="0" w:type="dxa"/>
              <w:right w:w="0" w:type="dxa"/>
            </w:tcMar>
            <w:vAlign w:val="center"/>
          </w:tcPr>
          <w:p w14:paraId="24C5D289"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nil"/>
              <w:right w:val="nil"/>
            </w:tcBorders>
            <w:shd w:val="clear" w:color="auto" w:fill="FFFFFF"/>
            <w:tcMar>
              <w:top w:w="0" w:type="dxa"/>
              <w:left w:w="0" w:type="dxa"/>
              <w:bottom w:w="0" w:type="dxa"/>
              <w:right w:w="0" w:type="dxa"/>
            </w:tcMar>
            <w:vAlign w:val="center"/>
          </w:tcPr>
          <w:p w14:paraId="542A9308"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proofErr w:type="spellStart"/>
            <w:r w:rsidRPr="00546C80">
              <w:rPr>
                <w:rFonts w:ascii="Times New Roman" w:eastAsia="Arial" w:hAnsi="Times New Roman" w:cs="Times New Roman"/>
                <w:color w:val="000000"/>
                <w:sz w:val="16"/>
                <w:szCs w:val="16"/>
              </w:rPr>
              <w:t>crude_proportion_of_treated_hypertension_among_all_hypertension</w:t>
            </w:r>
            <w:proofErr w:type="spellEnd"/>
          </w:p>
        </w:tc>
        <w:tc>
          <w:tcPr>
            <w:tcW w:w="725" w:type="dxa"/>
            <w:tcBorders>
              <w:top w:val="nil"/>
              <w:left w:val="nil"/>
              <w:bottom w:val="nil"/>
              <w:right w:val="nil"/>
            </w:tcBorders>
            <w:shd w:val="clear" w:color="auto" w:fill="FFFFFF"/>
            <w:tcMar>
              <w:top w:w="0" w:type="dxa"/>
              <w:left w:w="0" w:type="dxa"/>
              <w:bottom w:w="0" w:type="dxa"/>
              <w:right w:w="0" w:type="dxa"/>
            </w:tcMar>
            <w:vAlign w:val="center"/>
          </w:tcPr>
          <w:p w14:paraId="00577BC4"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0.852</w:t>
            </w:r>
          </w:p>
        </w:tc>
        <w:tc>
          <w:tcPr>
            <w:tcW w:w="608" w:type="dxa"/>
            <w:tcBorders>
              <w:top w:val="nil"/>
              <w:left w:val="nil"/>
              <w:bottom w:val="nil"/>
              <w:right w:val="nil"/>
            </w:tcBorders>
            <w:shd w:val="clear" w:color="auto" w:fill="FFFFFF"/>
            <w:tcMar>
              <w:top w:w="0" w:type="dxa"/>
              <w:left w:w="0" w:type="dxa"/>
              <w:bottom w:w="0" w:type="dxa"/>
              <w:right w:w="0" w:type="dxa"/>
            </w:tcMar>
            <w:vAlign w:val="center"/>
          </w:tcPr>
          <w:p w14:paraId="3733CA39"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0.013</w:t>
            </w:r>
          </w:p>
        </w:tc>
        <w:tc>
          <w:tcPr>
            <w:tcW w:w="685" w:type="dxa"/>
            <w:tcBorders>
              <w:top w:val="nil"/>
              <w:left w:val="nil"/>
              <w:bottom w:val="nil"/>
              <w:right w:val="nil"/>
            </w:tcBorders>
            <w:shd w:val="clear" w:color="auto" w:fill="FFFFFF"/>
            <w:tcMar>
              <w:top w:w="0" w:type="dxa"/>
              <w:left w:w="0" w:type="dxa"/>
              <w:bottom w:w="0" w:type="dxa"/>
              <w:right w:w="0" w:type="dxa"/>
            </w:tcMar>
            <w:vAlign w:val="center"/>
          </w:tcPr>
          <w:p w14:paraId="58E1B324"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65.82</w:t>
            </w:r>
          </w:p>
        </w:tc>
        <w:tc>
          <w:tcPr>
            <w:tcW w:w="689" w:type="dxa"/>
            <w:tcBorders>
              <w:top w:val="nil"/>
              <w:left w:val="nil"/>
              <w:bottom w:val="nil"/>
              <w:right w:val="nil"/>
            </w:tcBorders>
            <w:shd w:val="clear" w:color="auto" w:fill="FFFFFF"/>
            <w:tcMar>
              <w:top w:w="0" w:type="dxa"/>
              <w:left w:w="0" w:type="dxa"/>
              <w:bottom w:w="0" w:type="dxa"/>
              <w:right w:w="0" w:type="dxa"/>
            </w:tcMar>
            <w:vAlign w:val="center"/>
          </w:tcPr>
          <w:p w14:paraId="65A24A69" w14:textId="77777777" w:rsidR="00CC220F" w:rsidRPr="00546C80" w:rsidRDefault="008A3565" w:rsidP="00C21318">
            <w:pPr>
              <w:pBdr>
                <w:top w:val="nil"/>
                <w:left w:val="nil"/>
                <w:bottom w:val="nil"/>
                <w:right w:val="nil"/>
              </w:pBdr>
              <w:spacing w:before="100" w:after="100"/>
              <w:ind w:left="100" w:right="174"/>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nil"/>
              <w:right w:val="nil"/>
            </w:tcBorders>
            <w:shd w:val="clear" w:color="auto" w:fill="FFFFFF"/>
            <w:tcMar>
              <w:top w:w="0" w:type="dxa"/>
              <w:left w:w="0" w:type="dxa"/>
              <w:bottom w:w="0" w:type="dxa"/>
              <w:right w:w="0" w:type="dxa"/>
            </w:tcMar>
            <w:vAlign w:val="center"/>
          </w:tcPr>
          <w:p w14:paraId="1E0D9249"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2.345 [2.286, 2.405]</w:t>
            </w:r>
          </w:p>
        </w:tc>
      </w:tr>
      <w:tr w:rsidR="00BC5BB6" w14:paraId="4523C576" w14:textId="77777777" w:rsidTr="00C21318">
        <w:trPr>
          <w:trHeight w:val="318"/>
          <w:jc w:val="center"/>
        </w:trPr>
        <w:tc>
          <w:tcPr>
            <w:tcW w:w="135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38BFD5C"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w:t>
            </w:r>
          </w:p>
        </w:tc>
        <w:tc>
          <w:tcPr>
            <w:tcW w:w="597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C836AB2"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crude_proportion_of_untreated_stage_2_hypertension_among_all_hypertension</w:t>
            </w:r>
          </w:p>
        </w:tc>
        <w:tc>
          <w:tcPr>
            <w:tcW w:w="72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8A0F1F3"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0.546</w:t>
            </w:r>
          </w:p>
        </w:tc>
        <w:tc>
          <w:tcPr>
            <w:tcW w:w="60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16ED576"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0.017</w:t>
            </w:r>
          </w:p>
        </w:tc>
        <w:tc>
          <w:tcPr>
            <w:tcW w:w="68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73FFF611" w14:textId="77777777" w:rsidR="00CC220F" w:rsidRPr="00546C8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32.80</w:t>
            </w:r>
          </w:p>
        </w:tc>
        <w:tc>
          <w:tcPr>
            <w:tcW w:w="68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3D8FE116"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&lt;0.001</w:t>
            </w:r>
          </w:p>
        </w:tc>
        <w:tc>
          <w:tcPr>
            <w:tcW w:w="152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3BAED05" w14:textId="77777777" w:rsidR="00CC220F" w:rsidRPr="00546C8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546C80">
              <w:rPr>
                <w:rFonts w:ascii="Times New Roman" w:eastAsia="Arial" w:hAnsi="Times New Roman" w:cs="Times New Roman"/>
                <w:color w:val="000000"/>
                <w:sz w:val="16"/>
                <w:szCs w:val="16"/>
              </w:rPr>
              <w:t>1.727 [1.672, 1.784]</w:t>
            </w:r>
          </w:p>
        </w:tc>
      </w:tr>
    </w:tbl>
    <w:p w14:paraId="085B283F" w14:textId="3FFEF490" w:rsidR="00CC220F" w:rsidRPr="00546C80" w:rsidRDefault="008A3565" w:rsidP="00CC220F">
      <w:pPr>
        <w:rPr>
          <w:rFonts w:ascii="Times New Roman" w:hAnsi="Times New Roman" w:cs="Times New Roman"/>
          <w:sz w:val="16"/>
          <w:szCs w:val="16"/>
        </w:rPr>
      </w:pPr>
      <w:r w:rsidRPr="00546C80">
        <w:rPr>
          <w:rFonts w:ascii="Times New Roman" w:hAnsi="Times New Roman" w:cs="Times New Roman"/>
          <w:sz w:val="16"/>
          <w:szCs w:val="16"/>
        </w:rPr>
        <w:t xml:space="preserve">Note. β is the coefficient for </w:t>
      </w:r>
      <w:r>
        <w:rPr>
          <w:rFonts w:ascii="Times New Roman" w:eastAsia="Calibri" w:hAnsi="Times New Roman" w:cs="Times New Roman"/>
          <w:sz w:val="16"/>
          <w:szCs w:val="16"/>
        </w:rPr>
        <w:t>women</w:t>
      </w:r>
      <w:r w:rsidRPr="00546C80">
        <w:rPr>
          <w:rFonts w:ascii="Times New Roman" w:hAnsi="Times New Roman" w:cs="Times New Roman"/>
          <w:sz w:val="16"/>
          <w:szCs w:val="16"/>
        </w:rPr>
        <w:t xml:space="preserve"> relative to </w:t>
      </w:r>
      <w:r>
        <w:rPr>
          <w:rFonts w:ascii="Times New Roman" w:eastAsia="Calibri" w:hAnsi="Times New Roman" w:cs="Times New Roman"/>
          <w:sz w:val="16"/>
          <w:szCs w:val="16"/>
        </w:rPr>
        <w:t>men</w:t>
      </w:r>
      <w:r w:rsidRPr="00546C80">
        <w:rPr>
          <w:rFonts w:ascii="Times New Roman" w:hAnsi="Times New Roman" w:cs="Times New Roman"/>
          <w:sz w:val="16"/>
          <w:szCs w:val="16"/>
        </w:rPr>
        <w:t xml:space="preserve"> on the logit</w:t>
      </w:r>
      <w:r>
        <w:rPr>
          <w:rFonts w:ascii="Times New Roman" w:eastAsia="Calibri" w:hAnsi="Times New Roman" w:cs="Times New Roman"/>
          <w:sz w:val="16"/>
          <w:szCs w:val="16"/>
        </w:rPr>
        <w:t xml:space="preserve"> </w:t>
      </w:r>
      <w:r w:rsidRPr="00546C80">
        <w:rPr>
          <w:rFonts w:ascii="Times New Roman" w:hAnsi="Times New Roman" w:cs="Times New Roman"/>
          <w:sz w:val="16"/>
          <w:szCs w:val="16"/>
        </w:rPr>
        <w:t xml:space="preserve">(μ) scale in a </w:t>
      </w:r>
      <w:r>
        <w:rPr>
          <w:rFonts w:ascii="Times New Roman" w:eastAsia="Calibri" w:hAnsi="Times New Roman" w:cs="Times New Roman"/>
          <w:sz w:val="16"/>
          <w:szCs w:val="16"/>
        </w:rPr>
        <w:t>beta</w:t>
      </w:r>
      <w:r w:rsidRPr="00546C80">
        <w:rPr>
          <w:rFonts w:ascii="Times New Roman" w:hAnsi="Times New Roman" w:cs="Times New Roman"/>
          <w:sz w:val="16"/>
          <w:szCs w:val="16"/>
        </w:rPr>
        <w:t xml:space="preserve"> regression with s(Year). OR = exp(β).</w:t>
      </w:r>
    </w:p>
    <w:p w14:paraId="3482FEE8" w14:textId="14F298BA" w:rsidR="00CC220F" w:rsidRDefault="008A3565" w:rsidP="00AB5C38">
      <w:pPr>
        <w:jc w:val="both"/>
        <w:rPr>
          <w:rFonts w:ascii="Times New Roman" w:hAnsi="Times New Roman" w:cs="Times New Roman"/>
          <w:sz w:val="20"/>
          <w:szCs w:val="20"/>
        </w:rPr>
      </w:pPr>
      <w:r w:rsidRPr="00706215">
        <w:rPr>
          <w:rFonts w:ascii="Times New Roman" w:hAnsi="Times New Roman" w:cs="Times New Roman"/>
          <w:b/>
          <w:bCs/>
          <w:noProof/>
        </w:rPr>
        <w:lastRenderedPageBreak/>
        <w:drawing>
          <wp:inline distT="0" distB="0" distL="0" distR="0" wp14:anchorId="49296754" wp14:editId="546DE9AA">
            <wp:extent cx="5731510" cy="4232888"/>
            <wp:effectExtent l="0" t="0" r="0" b="0"/>
            <wp:docPr id="1850660612" name="Picture 185066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60612" name=""/>
                    <pic:cNvPicPr>
                      <a:picLocks noChangeAspect="1" noChangeArrowheads="1"/>
                    </pic:cNvPicPr>
                  </pic:nvPicPr>
                  <pic:blipFill>
                    <a:blip r:embed="rId8"/>
                    <a:stretch>
                      <a:fillRect/>
                    </a:stretch>
                  </pic:blipFill>
                  <pic:spPr bwMode="auto">
                    <a:xfrm>
                      <a:off x="0" y="0"/>
                      <a:ext cx="5731510" cy="4232888"/>
                    </a:xfrm>
                    <a:prstGeom prst="rect">
                      <a:avLst/>
                    </a:prstGeom>
                    <a:noFill/>
                  </pic:spPr>
                </pic:pic>
              </a:graphicData>
            </a:graphic>
          </wp:inline>
        </w:drawing>
      </w:r>
    </w:p>
    <w:p w14:paraId="0387DEA8" w14:textId="4ABB5B42" w:rsidR="00CC220F" w:rsidRPr="00CC220F" w:rsidRDefault="008A3565" w:rsidP="00CC220F">
      <w:pPr>
        <w:jc w:val="both"/>
        <w:rPr>
          <w:rFonts w:ascii="Times New Roman" w:hAnsi="Times New Roman" w:cs="Times New Roman"/>
          <w:sz w:val="20"/>
          <w:szCs w:val="20"/>
          <w:lang w:val=""/>
        </w:rPr>
      </w:pPr>
      <w:r w:rsidRPr="00300D77">
        <w:rPr>
          <w:rFonts w:ascii="Times New Roman" w:hAnsi="Times New Roman" w:cs="Times New Roman"/>
          <w:b/>
          <w:bCs/>
          <w:sz w:val="20"/>
          <w:szCs w:val="20"/>
        </w:rPr>
        <w:t>Figure 3: Age-standardized and crude metrics by sex for the hypertension cascade in Africa from 1990</w:t>
      </w:r>
      <w:r w:rsidRPr="00300D77">
        <w:rPr>
          <w:rFonts w:ascii="Times New Roman" w:eastAsia="Calibri" w:hAnsi="Times New Roman" w:cs="Times New Roman"/>
          <w:b/>
          <w:bCs/>
          <w:sz w:val="20"/>
          <w:szCs w:val="20"/>
        </w:rPr>
        <w:t>-</w:t>
      </w:r>
      <w:r w:rsidRPr="00300D77">
        <w:rPr>
          <w:rFonts w:ascii="Times New Roman" w:hAnsi="Times New Roman" w:cs="Times New Roman"/>
          <w:b/>
          <w:bCs/>
          <w:sz w:val="20"/>
          <w:szCs w:val="20"/>
        </w:rPr>
        <w:t>2019</w:t>
      </w:r>
      <w:r w:rsidRPr="00CC220F">
        <w:rPr>
          <w:rFonts w:ascii="Times New Roman" w:hAnsi="Times New Roman" w:cs="Times New Roman"/>
          <w:sz w:val="20"/>
          <w:szCs w:val="20"/>
        </w:rPr>
        <w:t xml:space="preserve"> </w:t>
      </w:r>
      <w:r w:rsidRPr="00CC220F">
        <w:rPr>
          <w:rFonts w:ascii="Times New Roman" w:hAnsi="Times New Roman" w:cs="Times New Roman"/>
          <w:sz w:val="20"/>
          <w:szCs w:val="20"/>
        </w:rPr>
        <w:br/>
      </w:r>
      <w:r w:rsidRPr="00CC220F">
        <w:rPr>
          <w:rFonts w:ascii="Times New Roman" w:hAnsi="Times New Roman" w:cs="Times New Roman"/>
          <w:sz w:val="20"/>
          <w:szCs w:val="20"/>
        </w:rPr>
        <w:br/>
      </w:r>
      <w:r w:rsidRPr="00CC220F">
        <w:rPr>
          <w:rFonts w:ascii="Times New Roman" w:hAnsi="Times New Roman" w:cs="Times New Roman"/>
          <w:sz w:val="20"/>
          <w:szCs w:val="20"/>
        </w:rPr>
        <w:br/>
      </w:r>
      <w:r w:rsidRPr="00CC220F">
        <w:rPr>
          <w:rFonts w:ascii="Times New Roman" w:hAnsi="Times New Roman" w:cs="Times New Roman"/>
          <w:sz w:val="20"/>
          <w:szCs w:val="20"/>
        </w:rPr>
        <w:t xml:space="preserve">Table 6 indicates that by 2030, age-standardized blood pressure control will markedly increase, </w:t>
      </w:r>
      <w:r>
        <w:rPr>
          <w:rFonts w:ascii="Times New Roman" w:eastAsia="Calibri" w:hAnsi="Times New Roman" w:cs="Times New Roman"/>
          <w:sz w:val="20"/>
          <w:szCs w:val="20"/>
        </w:rPr>
        <w:t>increasing</w:t>
      </w:r>
      <w:r w:rsidRPr="00CC220F">
        <w:rPr>
          <w:rFonts w:ascii="Times New Roman" w:hAnsi="Times New Roman" w:cs="Times New Roman"/>
          <w:sz w:val="20"/>
          <w:szCs w:val="20"/>
        </w:rPr>
        <w:t xml:space="preserve"> from 42.1% to 48.8% in males and from 59.1% to 72.8% in females. This represents a definitive enhancement of 6.6 and 13.7 percentage points, respecti</w:t>
      </w:r>
      <w:r w:rsidRPr="00CC220F">
        <w:rPr>
          <w:rFonts w:ascii="Times New Roman" w:hAnsi="Times New Roman" w:cs="Times New Roman"/>
          <w:sz w:val="20"/>
          <w:szCs w:val="20"/>
        </w:rPr>
        <w:t xml:space="preserve">vely. The identical scenario forecasts substantial </w:t>
      </w:r>
      <w:r>
        <w:rPr>
          <w:rFonts w:ascii="Times New Roman" w:eastAsia="Calibri" w:hAnsi="Times New Roman" w:cs="Times New Roman"/>
          <w:sz w:val="20"/>
          <w:szCs w:val="20"/>
        </w:rPr>
        <w:t>increases</w:t>
      </w:r>
      <w:r w:rsidRPr="00CC220F">
        <w:rPr>
          <w:rFonts w:ascii="Times New Roman" w:hAnsi="Times New Roman" w:cs="Times New Roman"/>
          <w:sz w:val="20"/>
          <w:szCs w:val="20"/>
        </w:rPr>
        <w:t xml:space="preserve"> in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untreated stage 2, age-adjusted</w:t>
      </w:r>
      <w:r>
        <w:rPr>
          <w:rFonts w:ascii="Times New Roman" w:eastAsia="Calibri" w:hAnsi="Times New Roman" w:cs="Times New Roman"/>
          <w:sz w:val="20"/>
          <w:szCs w:val="20"/>
        </w:rPr>
        <w:t xml:space="preserve"> stage</w:t>
      </w:r>
      <w:r w:rsidRPr="00CC220F">
        <w:rPr>
          <w:rFonts w:ascii="Times New Roman" w:hAnsi="Times New Roman" w:cs="Times New Roman"/>
          <w:sz w:val="20"/>
          <w:szCs w:val="20"/>
        </w:rPr>
        <w:t xml:space="preserve">, from 27.0% to 35.1% in males and from 40.2% to 65.5% in females. This </w:t>
      </w:r>
      <w:r>
        <w:rPr>
          <w:rFonts w:ascii="Times New Roman" w:eastAsia="Calibri" w:hAnsi="Times New Roman" w:cs="Times New Roman"/>
          <w:sz w:val="20"/>
          <w:szCs w:val="20"/>
        </w:rPr>
        <w:t xml:space="preserve">finding </w:t>
      </w:r>
      <w:r w:rsidRPr="00CC220F">
        <w:rPr>
          <w:rFonts w:ascii="Times New Roman" w:hAnsi="Times New Roman" w:cs="Times New Roman"/>
          <w:sz w:val="20"/>
          <w:szCs w:val="20"/>
        </w:rPr>
        <w:t>indicates that scale diagnosis and beginning without the capacity for e</w:t>
      </w:r>
      <w:r w:rsidRPr="00CC220F">
        <w:rPr>
          <w:rFonts w:ascii="Times New Roman" w:hAnsi="Times New Roman" w:cs="Times New Roman"/>
          <w:sz w:val="20"/>
          <w:szCs w:val="20"/>
        </w:rPr>
        <w:t xml:space="preserve">nhancement may </w:t>
      </w:r>
      <w:r>
        <w:rPr>
          <w:rFonts w:ascii="Times New Roman" w:eastAsia="Calibri" w:hAnsi="Times New Roman" w:cs="Times New Roman"/>
          <w:sz w:val="20"/>
          <w:szCs w:val="20"/>
        </w:rPr>
        <w:t>increase</w:t>
      </w:r>
      <w:r w:rsidRPr="00CC220F">
        <w:rPr>
          <w:rFonts w:ascii="Times New Roman" w:hAnsi="Times New Roman" w:cs="Times New Roman"/>
          <w:sz w:val="20"/>
          <w:szCs w:val="20"/>
        </w:rPr>
        <w:t xml:space="preserve"> the incidence of individuals with severe uncontrolled disease. The conclusion is that the system is very responsive to upstream control inputs, particularly for women; nonetheless, it is susceptible to overload at the high-risk end </w:t>
      </w:r>
      <w:r w:rsidRPr="00CC220F">
        <w:rPr>
          <w:rFonts w:ascii="Times New Roman" w:hAnsi="Times New Roman" w:cs="Times New Roman"/>
          <w:sz w:val="20"/>
          <w:szCs w:val="20"/>
        </w:rPr>
        <w:t>of the cascade. The policy implication is to couple an increase in diagnosis and treatments with a safety</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 xml:space="preserve">net program that prevents severe hypertension from deteriorating. This should encompass expedited titration processes,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availability of second- and</w:t>
      </w:r>
      <w:r w:rsidRPr="00CC220F">
        <w:rPr>
          <w:rFonts w:ascii="Times New Roman" w:hAnsi="Times New Roman" w:cs="Times New Roman"/>
          <w:sz w:val="20"/>
          <w:szCs w:val="20"/>
        </w:rPr>
        <w:t xml:space="preserve"> third-line combinations, rigorous follow-up for very elevated readings, and proactive engagement for missed appointments. It should also have sex-disaggregated control objectives and consistent monitoring of high-risk mitigation.</w:t>
      </w:r>
    </w:p>
    <w:p w14:paraId="0F4D9B8F" w14:textId="2E9EFD9F" w:rsidR="00CC220F" w:rsidRPr="00706215" w:rsidRDefault="008A3565" w:rsidP="00CC220F">
      <w:pPr>
        <w:pStyle w:val="TableCaption"/>
        <w:keepNext/>
        <w:pBdr>
          <w:top w:val="nil"/>
          <w:left w:val="nil"/>
          <w:bottom w:val="nil"/>
          <w:right w:val="nil"/>
        </w:pBdr>
        <w:spacing w:before="60" w:after="60"/>
        <w:ind w:left="60" w:right="60"/>
        <w:rPr>
          <w:rFonts w:ascii="Times New Roman" w:hAnsi="Times New Roman" w:cs="Times New Roman"/>
          <w:sz w:val="20"/>
          <w:szCs w:val="20"/>
        </w:rPr>
      </w:pPr>
      <w:r w:rsidRPr="00706215">
        <w:rPr>
          <w:rFonts w:ascii="Times New Roman" w:hAnsi="Times New Roman" w:cs="Times New Roman"/>
          <w:sz w:val="20"/>
          <w:szCs w:val="20"/>
        </w:rPr>
        <w:t xml:space="preserve">Table 6. 2030 baseline </w:t>
      </w:r>
      <w:r w:rsidRPr="00706215">
        <w:rPr>
          <w:rFonts w:ascii="Times New Roman" w:hAnsi="Times New Roman" w:cs="Times New Roman"/>
          <w:i w:val="0"/>
          <w:sz w:val="20"/>
          <w:szCs w:val="20"/>
        </w:rPr>
        <w:t>vs</w:t>
      </w:r>
      <w:r>
        <w:rPr>
          <w:rFonts w:ascii="Times New Roman" w:eastAsia="Times New Roman" w:hAnsi="Times New Roman" w:cs="Times New Roman"/>
          <w:sz w:val="20"/>
          <w:szCs w:val="20"/>
        </w:rPr>
        <w:t>.</w:t>
      </w:r>
      <w:r w:rsidRPr="00706215">
        <w:rPr>
          <w:rFonts w:ascii="Times New Roman" w:hAnsi="Times New Roman" w:cs="Times New Roman"/>
          <w:sz w:val="20"/>
          <w:szCs w:val="20"/>
        </w:rPr>
        <w:t xml:space="preserve"> scenario for age-</w:t>
      </w:r>
      <w:r>
        <w:rPr>
          <w:rFonts w:ascii="Times New Roman" w:eastAsia="Times New Roman" w:hAnsi="Times New Roman" w:cs="Times New Roman"/>
          <w:sz w:val="20"/>
          <w:szCs w:val="20"/>
        </w:rPr>
        <w:t>standardized</w:t>
      </w:r>
      <w:r w:rsidRPr="00706215">
        <w:rPr>
          <w:rFonts w:ascii="Times New Roman" w:hAnsi="Times New Roman" w:cs="Times New Roman"/>
          <w:sz w:val="20"/>
          <w:szCs w:val="20"/>
        </w:rPr>
        <w:t xml:space="preserve"> control and untreated stage</w:t>
      </w:r>
      <w:r w:rsidR="00D25B63">
        <w:rPr>
          <w:rFonts w:ascii="Times New Roman" w:eastAsia="Times New Roman" w:hAnsi="Times New Roman" w:cs="Times New Roman"/>
          <w:sz w:val="20"/>
          <w:szCs w:val="20"/>
        </w:rPr>
        <w:t>-</w:t>
      </w:r>
      <w:r>
        <w:rPr>
          <w:rFonts w:ascii="Times New Roman" w:eastAsia="Times New Roman" w:hAnsi="Times New Roman" w:cs="Times New Roman"/>
          <w:sz w:val="20"/>
          <w:szCs w:val="20"/>
        </w:rPr>
        <w:t>2 patients</w:t>
      </w:r>
      <w:r w:rsidRPr="00706215">
        <w:rPr>
          <w:rFonts w:ascii="Times New Roman" w:hAnsi="Times New Roman" w:cs="Times New Roman"/>
          <w:sz w:val="20"/>
          <w:szCs w:val="20"/>
        </w:rPr>
        <w:t>.</w:t>
      </w:r>
    </w:p>
    <w:tbl>
      <w:tblPr>
        <w:tblW w:w="10989" w:type="dxa"/>
        <w:jc w:val="center"/>
        <w:tblLayout w:type="fixed"/>
        <w:tblLook w:val="0420" w:firstRow="1" w:lastRow="0" w:firstColumn="0" w:lastColumn="0" w:noHBand="0" w:noVBand="1"/>
      </w:tblPr>
      <w:tblGrid>
        <w:gridCol w:w="873"/>
        <w:gridCol w:w="6615"/>
        <w:gridCol w:w="717"/>
        <w:gridCol w:w="938"/>
        <w:gridCol w:w="955"/>
        <w:gridCol w:w="891"/>
      </w:tblGrid>
      <w:tr w:rsidR="00BC5BB6" w14:paraId="2593F0D5" w14:textId="77777777" w:rsidTr="00C21318">
        <w:trPr>
          <w:trHeight w:val="372"/>
          <w:tblHeader/>
          <w:jc w:val="center"/>
        </w:trPr>
        <w:tc>
          <w:tcPr>
            <w:tcW w:w="87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F556BEE"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Sex</w:t>
            </w:r>
          </w:p>
        </w:tc>
        <w:tc>
          <w:tcPr>
            <w:tcW w:w="661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B1A5F07"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Indicator</w:t>
            </w:r>
          </w:p>
        </w:tc>
        <w:tc>
          <w:tcPr>
            <w:tcW w:w="71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DBC7A04"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Year</w:t>
            </w:r>
          </w:p>
        </w:tc>
        <w:tc>
          <w:tcPr>
            <w:tcW w:w="93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2A1C9A4"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Baseline</w:t>
            </w:r>
          </w:p>
        </w:tc>
        <w:tc>
          <w:tcPr>
            <w:tcW w:w="955"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3C1586C"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Scenario</w:t>
            </w:r>
          </w:p>
        </w:tc>
        <w:tc>
          <w:tcPr>
            <w:tcW w:w="89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B69D16B"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Diff (pp)</w:t>
            </w:r>
          </w:p>
        </w:tc>
      </w:tr>
      <w:tr w:rsidR="00BC5BB6" w14:paraId="214EB181" w14:textId="77777777" w:rsidTr="00C21318">
        <w:trPr>
          <w:trHeight w:val="382"/>
          <w:jc w:val="center"/>
        </w:trPr>
        <w:tc>
          <w:tcPr>
            <w:tcW w:w="87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78AD1B4"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Men</w:t>
            </w:r>
          </w:p>
        </w:tc>
        <w:tc>
          <w:tcPr>
            <w:tcW w:w="661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39BB450" w14:textId="2474909C"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Age standardized proportion of controlled hypertension among all hypertension</w:t>
            </w:r>
          </w:p>
        </w:tc>
        <w:tc>
          <w:tcPr>
            <w:tcW w:w="71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7615DAB"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2,030</w:t>
            </w:r>
          </w:p>
        </w:tc>
        <w:tc>
          <w:tcPr>
            <w:tcW w:w="93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D534596"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42.1%</w:t>
            </w:r>
          </w:p>
        </w:tc>
        <w:tc>
          <w:tcPr>
            <w:tcW w:w="955"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EA14484"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48.8%</w:t>
            </w:r>
          </w:p>
        </w:tc>
        <w:tc>
          <w:tcPr>
            <w:tcW w:w="89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BCE3832"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6.6</w:t>
            </w:r>
          </w:p>
        </w:tc>
      </w:tr>
      <w:tr w:rsidR="00BC5BB6" w14:paraId="646E6EF3" w14:textId="77777777" w:rsidTr="00C21318">
        <w:trPr>
          <w:trHeight w:val="372"/>
          <w:jc w:val="center"/>
        </w:trPr>
        <w:tc>
          <w:tcPr>
            <w:tcW w:w="873" w:type="dxa"/>
            <w:tcBorders>
              <w:top w:val="nil"/>
              <w:left w:val="nil"/>
              <w:bottom w:val="nil"/>
              <w:right w:val="nil"/>
            </w:tcBorders>
            <w:shd w:val="clear" w:color="auto" w:fill="FFFFFF"/>
            <w:tcMar>
              <w:top w:w="0" w:type="dxa"/>
              <w:left w:w="0" w:type="dxa"/>
              <w:bottom w:w="0" w:type="dxa"/>
              <w:right w:w="0" w:type="dxa"/>
            </w:tcMar>
            <w:vAlign w:val="center"/>
          </w:tcPr>
          <w:p w14:paraId="62FC6572"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Women</w:t>
            </w:r>
          </w:p>
        </w:tc>
        <w:tc>
          <w:tcPr>
            <w:tcW w:w="6615" w:type="dxa"/>
            <w:tcBorders>
              <w:top w:val="nil"/>
              <w:left w:val="nil"/>
              <w:bottom w:val="nil"/>
              <w:right w:val="nil"/>
            </w:tcBorders>
            <w:shd w:val="clear" w:color="auto" w:fill="FFFFFF"/>
            <w:tcMar>
              <w:top w:w="0" w:type="dxa"/>
              <w:left w:w="0" w:type="dxa"/>
              <w:bottom w:w="0" w:type="dxa"/>
              <w:right w:w="0" w:type="dxa"/>
            </w:tcMar>
            <w:vAlign w:val="center"/>
          </w:tcPr>
          <w:p w14:paraId="07CCC07A" w14:textId="26DC6DF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 xml:space="preserve">Age standardized </w:t>
            </w:r>
            <w:r w:rsidRPr="00F73B00">
              <w:rPr>
                <w:rFonts w:ascii="Times New Roman" w:eastAsia="Arial" w:hAnsi="Times New Roman" w:cs="Times New Roman"/>
                <w:color w:val="000000"/>
                <w:sz w:val="16"/>
                <w:szCs w:val="16"/>
              </w:rPr>
              <w:t>proportion of controlled hypertension among all hypertension</w:t>
            </w:r>
          </w:p>
        </w:tc>
        <w:tc>
          <w:tcPr>
            <w:tcW w:w="717" w:type="dxa"/>
            <w:tcBorders>
              <w:top w:val="nil"/>
              <w:left w:val="nil"/>
              <w:bottom w:val="nil"/>
              <w:right w:val="nil"/>
            </w:tcBorders>
            <w:shd w:val="clear" w:color="auto" w:fill="FFFFFF"/>
            <w:tcMar>
              <w:top w:w="0" w:type="dxa"/>
              <w:left w:w="0" w:type="dxa"/>
              <w:bottom w:w="0" w:type="dxa"/>
              <w:right w:w="0" w:type="dxa"/>
            </w:tcMar>
            <w:vAlign w:val="center"/>
          </w:tcPr>
          <w:p w14:paraId="5500B7AD"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2,030</w:t>
            </w:r>
          </w:p>
        </w:tc>
        <w:tc>
          <w:tcPr>
            <w:tcW w:w="938" w:type="dxa"/>
            <w:tcBorders>
              <w:top w:val="nil"/>
              <w:left w:val="nil"/>
              <w:bottom w:val="nil"/>
              <w:right w:val="nil"/>
            </w:tcBorders>
            <w:shd w:val="clear" w:color="auto" w:fill="FFFFFF"/>
            <w:tcMar>
              <w:top w:w="0" w:type="dxa"/>
              <w:left w:w="0" w:type="dxa"/>
              <w:bottom w:w="0" w:type="dxa"/>
              <w:right w:w="0" w:type="dxa"/>
            </w:tcMar>
            <w:vAlign w:val="center"/>
          </w:tcPr>
          <w:p w14:paraId="179339E6"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59.1%</w:t>
            </w:r>
          </w:p>
        </w:tc>
        <w:tc>
          <w:tcPr>
            <w:tcW w:w="955" w:type="dxa"/>
            <w:tcBorders>
              <w:top w:val="nil"/>
              <w:left w:val="nil"/>
              <w:bottom w:val="nil"/>
              <w:right w:val="nil"/>
            </w:tcBorders>
            <w:shd w:val="clear" w:color="auto" w:fill="FFFFFF"/>
            <w:tcMar>
              <w:top w:w="0" w:type="dxa"/>
              <w:left w:w="0" w:type="dxa"/>
              <w:bottom w:w="0" w:type="dxa"/>
              <w:right w:w="0" w:type="dxa"/>
            </w:tcMar>
            <w:vAlign w:val="center"/>
          </w:tcPr>
          <w:p w14:paraId="0620DC10"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72.8%</w:t>
            </w:r>
          </w:p>
        </w:tc>
        <w:tc>
          <w:tcPr>
            <w:tcW w:w="891" w:type="dxa"/>
            <w:tcBorders>
              <w:top w:val="nil"/>
              <w:left w:val="nil"/>
              <w:bottom w:val="nil"/>
              <w:right w:val="nil"/>
            </w:tcBorders>
            <w:shd w:val="clear" w:color="auto" w:fill="FFFFFF"/>
            <w:tcMar>
              <w:top w:w="0" w:type="dxa"/>
              <w:left w:w="0" w:type="dxa"/>
              <w:bottom w:w="0" w:type="dxa"/>
              <w:right w:w="0" w:type="dxa"/>
            </w:tcMar>
            <w:vAlign w:val="center"/>
          </w:tcPr>
          <w:p w14:paraId="35A70B6F"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13.7</w:t>
            </w:r>
          </w:p>
        </w:tc>
      </w:tr>
      <w:tr w:rsidR="00BC5BB6" w14:paraId="1CD5A5E8" w14:textId="77777777" w:rsidTr="00C21318">
        <w:trPr>
          <w:trHeight w:val="382"/>
          <w:jc w:val="center"/>
        </w:trPr>
        <w:tc>
          <w:tcPr>
            <w:tcW w:w="873" w:type="dxa"/>
            <w:tcBorders>
              <w:top w:val="nil"/>
              <w:left w:val="nil"/>
              <w:bottom w:val="nil"/>
              <w:right w:val="nil"/>
            </w:tcBorders>
            <w:shd w:val="clear" w:color="auto" w:fill="FFFFFF"/>
            <w:tcMar>
              <w:top w:w="0" w:type="dxa"/>
              <w:left w:w="0" w:type="dxa"/>
              <w:bottom w:w="0" w:type="dxa"/>
              <w:right w:w="0" w:type="dxa"/>
            </w:tcMar>
            <w:vAlign w:val="center"/>
          </w:tcPr>
          <w:p w14:paraId="7BA34102"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Men</w:t>
            </w:r>
          </w:p>
        </w:tc>
        <w:tc>
          <w:tcPr>
            <w:tcW w:w="6615" w:type="dxa"/>
            <w:tcBorders>
              <w:top w:val="nil"/>
              <w:left w:val="nil"/>
              <w:bottom w:val="nil"/>
              <w:right w:val="nil"/>
            </w:tcBorders>
            <w:shd w:val="clear" w:color="auto" w:fill="FFFFFF"/>
            <w:tcMar>
              <w:top w:w="0" w:type="dxa"/>
              <w:left w:w="0" w:type="dxa"/>
              <w:bottom w:w="0" w:type="dxa"/>
              <w:right w:w="0" w:type="dxa"/>
            </w:tcMar>
            <w:vAlign w:val="center"/>
          </w:tcPr>
          <w:p w14:paraId="4101D6AC" w14:textId="71736688"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Age standardized proportion of untreated stage 2 hypertension among all hypertension</w:t>
            </w:r>
          </w:p>
        </w:tc>
        <w:tc>
          <w:tcPr>
            <w:tcW w:w="717" w:type="dxa"/>
            <w:tcBorders>
              <w:top w:val="nil"/>
              <w:left w:val="nil"/>
              <w:bottom w:val="nil"/>
              <w:right w:val="nil"/>
            </w:tcBorders>
            <w:shd w:val="clear" w:color="auto" w:fill="FFFFFF"/>
            <w:tcMar>
              <w:top w:w="0" w:type="dxa"/>
              <w:left w:w="0" w:type="dxa"/>
              <w:bottom w:w="0" w:type="dxa"/>
              <w:right w:w="0" w:type="dxa"/>
            </w:tcMar>
            <w:vAlign w:val="center"/>
          </w:tcPr>
          <w:p w14:paraId="7E956284"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2,030</w:t>
            </w:r>
          </w:p>
        </w:tc>
        <w:tc>
          <w:tcPr>
            <w:tcW w:w="938" w:type="dxa"/>
            <w:tcBorders>
              <w:top w:val="nil"/>
              <w:left w:val="nil"/>
              <w:bottom w:val="nil"/>
              <w:right w:val="nil"/>
            </w:tcBorders>
            <w:shd w:val="clear" w:color="auto" w:fill="FFFFFF"/>
            <w:tcMar>
              <w:top w:w="0" w:type="dxa"/>
              <w:left w:w="0" w:type="dxa"/>
              <w:bottom w:w="0" w:type="dxa"/>
              <w:right w:w="0" w:type="dxa"/>
            </w:tcMar>
            <w:vAlign w:val="center"/>
          </w:tcPr>
          <w:p w14:paraId="43F16095"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27.0%</w:t>
            </w:r>
          </w:p>
        </w:tc>
        <w:tc>
          <w:tcPr>
            <w:tcW w:w="955" w:type="dxa"/>
            <w:tcBorders>
              <w:top w:val="nil"/>
              <w:left w:val="nil"/>
              <w:bottom w:val="nil"/>
              <w:right w:val="nil"/>
            </w:tcBorders>
            <w:shd w:val="clear" w:color="auto" w:fill="FFFFFF"/>
            <w:tcMar>
              <w:top w:w="0" w:type="dxa"/>
              <w:left w:w="0" w:type="dxa"/>
              <w:bottom w:w="0" w:type="dxa"/>
              <w:right w:w="0" w:type="dxa"/>
            </w:tcMar>
            <w:vAlign w:val="center"/>
          </w:tcPr>
          <w:p w14:paraId="1E130D12"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35.1%</w:t>
            </w:r>
          </w:p>
        </w:tc>
        <w:tc>
          <w:tcPr>
            <w:tcW w:w="891" w:type="dxa"/>
            <w:tcBorders>
              <w:top w:val="nil"/>
              <w:left w:val="nil"/>
              <w:bottom w:val="nil"/>
              <w:right w:val="nil"/>
            </w:tcBorders>
            <w:shd w:val="clear" w:color="auto" w:fill="FFFFFF"/>
            <w:tcMar>
              <w:top w:w="0" w:type="dxa"/>
              <w:left w:w="0" w:type="dxa"/>
              <w:bottom w:w="0" w:type="dxa"/>
              <w:right w:w="0" w:type="dxa"/>
            </w:tcMar>
            <w:vAlign w:val="center"/>
          </w:tcPr>
          <w:p w14:paraId="5BE93651"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8.1</w:t>
            </w:r>
          </w:p>
        </w:tc>
      </w:tr>
      <w:tr w:rsidR="00BC5BB6" w14:paraId="4B11D110" w14:textId="77777777" w:rsidTr="00C21318">
        <w:trPr>
          <w:trHeight w:val="372"/>
          <w:jc w:val="center"/>
        </w:trPr>
        <w:tc>
          <w:tcPr>
            <w:tcW w:w="87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B4A7F03"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Women</w:t>
            </w:r>
          </w:p>
        </w:tc>
        <w:tc>
          <w:tcPr>
            <w:tcW w:w="661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3F765BE" w14:textId="73316C62"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 xml:space="preserve">Age standardized proportion of untreated stage 2 </w:t>
            </w:r>
            <w:r w:rsidRPr="00F73B00">
              <w:rPr>
                <w:rFonts w:ascii="Times New Roman" w:eastAsia="Arial" w:hAnsi="Times New Roman" w:cs="Times New Roman"/>
                <w:color w:val="000000"/>
                <w:sz w:val="16"/>
                <w:szCs w:val="16"/>
              </w:rPr>
              <w:t>hypertension among all hypertension</w:t>
            </w:r>
          </w:p>
        </w:tc>
        <w:tc>
          <w:tcPr>
            <w:tcW w:w="71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506E0B9"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2,030</w:t>
            </w:r>
          </w:p>
        </w:tc>
        <w:tc>
          <w:tcPr>
            <w:tcW w:w="938"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33E7E39D"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40.2%</w:t>
            </w:r>
          </w:p>
        </w:tc>
        <w:tc>
          <w:tcPr>
            <w:tcW w:w="955"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213BFAC" w14:textId="77777777" w:rsidR="00CC220F" w:rsidRPr="00F73B00" w:rsidRDefault="008A3565" w:rsidP="00C21318">
            <w:pPr>
              <w:pBdr>
                <w:top w:val="nil"/>
                <w:left w:val="nil"/>
                <w:bottom w:val="nil"/>
                <w:right w:val="nil"/>
              </w:pBdr>
              <w:spacing w:before="100" w:after="100"/>
              <w:ind w:left="100" w:right="100"/>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65.5%</w:t>
            </w:r>
          </w:p>
        </w:tc>
        <w:tc>
          <w:tcPr>
            <w:tcW w:w="89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2AAD07D2" w14:textId="77777777" w:rsidR="00CC220F" w:rsidRPr="00F73B00" w:rsidRDefault="008A3565" w:rsidP="00C21318">
            <w:pPr>
              <w:pBdr>
                <w:top w:val="nil"/>
                <w:left w:val="nil"/>
                <w:bottom w:val="nil"/>
                <w:right w:val="nil"/>
              </w:pBdr>
              <w:spacing w:before="100" w:after="100"/>
              <w:ind w:left="100" w:right="100"/>
              <w:jc w:val="right"/>
              <w:rPr>
                <w:rFonts w:ascii="Times New Roman" w:eastAsia="Arial" w:hAnsi="Times New Roman" w:cs="Times New Roman"/>
                <w:color w:val="000000"/>
                <w:sz w:val="16"/>
                <w:szCs w:val="16"/>
              </w:rPr>
            </w:pPr>
            <w:r w:rsidRPr="00F73B00">
              <w:rPr>
                <w:rFonts w:ascii="Times New Roman" w:eastAsia="Arial" w:hAnsi="Times New Roman" w:cs="Times New Roman"/>
                <w:color w:val="000000"/>
                <w:sz w:val="16"/>
                <w:szCs w:val="16"/>
              </w:rPr>
              <w:t>25.4</w:t>
            </w:r>
          </w:p>
        </w:tc>
      </w:tr>
    </w:tbl>
    <w:p w14:paraId="333ACB1C" w14:textId="77777777" w:rsidR="00CC220F" w:rsidRDefault="00CC220F" w:rsidP="00AB5C38">
      <w:pPr>
        <w:jc w:val="both"/>
        <w:rPr>
          <w:rFonts w:ascii="Times New Roman" w:hAnsi="Times New Roman" w:cs="Times New Roman"/>
          <w:sz w:val="20"/>
          <w:szCs w:val="20"/>
        </w:rPr>
      </w:pPr>
    </w:p>
    <w:p w14:paraId="6CEDDD8C" w14:textId="5EACC0AA" w:rsidR="00CC220F" w:rsidRPr="00CC220F" w:rsidRDefault="008A3565"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lastRenderedPageBreak/>
        <w:t xml:space="preserve">Figure 4 illustrates the steady rise of the shared system factor from the mid-2000s, remaining high under the scenario until 2030 for both sexes. This indicates a persistent, systemic advantage that can be enhanced by coordinated policy measures. Figure 5 </w:t>
      </w:r>
      <w:r>
        <w:rPr>
          <w:rFonts w:ascii="Times New Roman" w:eastAsia="Calibri" w:hAnsi="Times New Roman" w:cs="Times New Roman"/>
          <w:sz w:val="20"/>
          <w:szCs w:val="20"/>
        </w:rPr>
        <w:t>shows</w:t>
      </w:r>
      <w:r w:rsidRPr="00CC220F">
        <w:rPr>
          <w:rFonts w:ascii="Times New Roman" w:hAnsi="Times New Roman" w:cs="Times New Roman"/>
          <w:sz w:val="20"/>
          <w:szCs w:val="20"/>
        </w:rPr>
        <w:t xml:space="preserve"> that the lift transitions into age-standardized control. The scenario outperforms the baseline beginning in the year of intervention, achieving </w:t>
      </w:r>
      <w:r>
        <w:rPr>
          <w:rFonts w:ascii="Times New Roman" w:eastAsia="Calibri" w:hAnsi="Times New Roman" w:cs="Times New Roman"/>
          <w:sz w:val="20"/>
          <w:szCs w:val="20"/>
        </w:rPr>
        <w:t>approximately</w:t>
      </w:r>
      <w:r w:rsidRPr="00CC220F">
        <w:rPr>
          <w:rFonts w:ascii="Times New Roman" w:hAnsi="Times New Roman" w:cs="Times New Roman"/>
          <w:sz w:val="20"/>
          <w:szCs w:val="20"/>
        </w:rPr>
        <w:t xml:space="preserve"> fifty percent of males and nearly seventy-five percent of women by 2030. This </w:t>
      </w:r>
      <w:r>
        <w:rPr>
          <w:rFonts w:ascii="Times New Roman" w:eastAsia="Calibri" w:hAnsi="Times New Roman" w:cs="Times New Roman"/>
          <w:sz w:val="20"/>
          <w:szCs w:val="20"/>
        </w:rPr>
        <w:t xml:space="preserve">finding </w:t>
      </w:r>
      <w:r w:rsidRPr="00CC220F">
        <w:rPr>
          <w:rFonts w:ascii="Times New Roman" w:hAnsi="Times New Roman" w:cs="Times New Roman"/>
          <w:sz w:val="20"/>
          <w:szCs w:val="20"/>
        </w:rPr>
        <w:t>indica</w:t>
      </w:r>
      <w:r w:rsidRPr="00CC220F">
        <w:rPr>
          <w:rFonts w:ascii="Times New Roman" w:hAnsi="Times New Roman" w:cs="Times New Roman"/>
          <w:sz w:val="20"/>
          <w:szCs w:val="20"/>
        </w:rPr>
        <w:t>tes that investments in case</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finding and prompt initiation are effective when medications, follow-up, and protocol-driven titration are properly implemented. Figure 6 illustrates a concurrent risk: in the absence of enhanced escalation capacity, the age-st</w:t>
      </w:r>
      <w:r w:rsidRPr="00CC220F">
        <w:rPr>
          <w:rFonts w:ascii="Times New Roman" w:hAnsi="Times New Roman" w:cs="Times New Roman"/>
          <w:sz w:val="20"/>
          <w:szCs w:val="20"/>
        </w:rPr>
        <w:t>andardized untreated stage</w:t>
      </w:r>
      <w:r w:rsidR="00D25B63">
        <w:rPr>
          <w:rFonts w:ascii="Times New Roman" w:eastAsia="Calibri" w:hAnsi="Times New Roman" w:cs="Times New Roman"/>
          <w:sz w:val="20"/>
          <w:szCs w:val="20"/>
        </w:rPr>
        <w:t>-</w:t>
      </w:r>
      <w:r w:rsidRPr="00CC220F">
        <w:rPr>
          <w:rFonts w:ascii="Times New Roman" w:hAnsi="Times New Roman" w:cs="Times New Roman"/>
          <w:sz w:val="20"/>
          <w:szCs w:val="20"/>
        </w:rPr>
        <w:t>2 rate exceeds baseline levels, particularly among women. Expanded detection indicates a significant high-risk population unless rapid titration, access to second- and third-line treatments, and aggressive outreach are simultaneo</w:t>
      </w:r>
      <w:r w:rsidRPr="00CC220F">
        <w:rPr>
          <w:rFonts w:ascii="Times New Roman" w:hAnsi="Times New Roman" w:cs="Times New Roman"/>
          <w:sz w:val="20"/>
          <w:szCs w:val="20"/>
        </w:rPr>
        <w:t xml:space="preserve">usly enhanced. Figure 7 illustrates these net consequences for the year 2030. There will be double-digit increases in control (particularly pronounced for women) and significant </w:t>
      </w:r>
      <w:r>
        <w:rPr>
          <w:rFonts w:ascii="Times New Roman" w:eastAsia="Calibri" w:hAnsi="Times New Roman" w:cs="Times New Roman"/>
          <w:sz w:val="20"/>
          <w:szCs w:val="20"/>
        </w:rPr>
        <w:t>increases</w:t>
      </w:r>
      <w:r w:rsidRPr="00CC220F">
        <w:rPr>
          <w:rFonts w:ascii="Times New Roman" w:hAnsi="Times New Roman" w:cs="Times New Roman"/>
          <w:sz w:val="20"/>
          <w:szCs w:val="20"/>
        </w:rPr>
        <w:t xml:space="preserve"> in untreated stage</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2 when precautions are not concurrently strengthe</w:t>
      </w:r>
      <w:r w:rsidRPr="00CC220F">
        <w:rPr>
          <w:rFonts w:ascii="Times New Roman" w:hAnsi="Times New Roman" w:cs="Times New Roman"/>
          <w:sz w:val="20"/>
          <w:szCs w:val="20"/>
        </w:rPr>
        <w:t>ned. The policy aims to align the increase in diagnosis and treatment with a comprehensive safety</w:t>
      </w:r>
      <w:r>
        <w:rPr>
          <w:rFonts w:ascii="Times New Roman" w:eastAsia="Calibri" w:hAnsi="Times New Roman" w:cs="Times New Roman"/>
          <w:sz w:val="20"/>
          <w:szCs w:val="20"/>
        </w:rPr>
        <w:t xml:space="preserve"> </w:t>
      </w:r>
      <w:r w:rsidRPr="00CC220F">
        <w:rPr>
          <w:rFonts w:ascii="Times New Roman" w:hAnsi="Times New Roman" w:cs="Times New Roman"/>
          <w:sz w:val="20"/>
          <w:szCs w:val="20"/>
        </w:rPr>
        <w:t xml:space="preserve">net package for high-risk individuals, which encompasses expedited management for elevated readings, </w:t>
      </w:r>
      <w:proofErr w:type="spellStart"/>
      <w:r w:rsidRPr="00CC220F">
        <w:rPr>
          <w:rFonts w:ascii="Times New Roman" w:hAnsi="Times New Roman" w:cs="Times New Roman"/>
          <w:sz w:val="20"/>
          <w:szCs w:val="20"/>
        </w:rPr>
        <w:t>multimonth</w:t>
      </w:r>
      <w:proofErr w:type="spellEnd"/>
      <w:r w:rsidRPr="00CC220F">
        <w:rPr>
          <w:rFonts w:ascii="Times New Roman" w:hAnsi="Times New Roman" w:cs="Times New Roman"/>
          <w:sz w:val="20"/>
          <w:szCs w:val="20"/>
        </w:rPr>
        <w:t xml:space="preserve"> medication dispensing, collaborative primary c</w:t>
      </w:r>
      <w:r w:rsidRPr="00CC220F">
        <w:rPr>
          <w:rFonts w:ascii="Times New Roman" w:hAnsi="Times New Roman" w:cs="Times New Roman"/>
          <w:sz w:val="20"/>
          <w:szCs w:val="20"/>
        </w:rPr>
        <w:t xml:space="preserve">are, registry-supported continuity, and sex-disaggregated objectives with regular monitoring of both controlled and severely uncontrolled conditions. This </w:t>
      </w:r>
      <w:r>
        <w:rPr>
          <w:rFonts w:ascii="Times New Roman" w:eastAsia="Calibri" w:hAnsi="Times New Roman" w:cs="Times New Roman"/>
          <w:sz w:val="20"/>
          <w:szCs w:val="20"/>
        </w:rPr>
        <w:t>ensures</w:t>
      </w:r>
      <w:r w:rsidRPr="00CC220F">
        <w:rPr>
          <w:rFonts w:ascii="Times New Roman" w:hAnsi="Times New Roman" w:cs="Times New Roman"/>
          <w:sz w:val="20"/>
          <w:szCs w:val="20"/>
        </w:rPr>
        <w:t xml:space="preserve"> that the scenario fosters widespread enhancement while reducing, rather than expanding, the h</w:t>
      </w:r>
      <w:r w:rsidRPr="00CC220F">
        <w:rPr>
          <w:rFonts w:ascii="Times New Roman" w:hAnsi="Times New Roman" w:cs="Times New Roman"/>
          <w:sz w:val="20"/>
          <w:szCs w:val="20"/>
        </w:rPr>
        <w:t>ighest-risk pool.</w:t>
      </w:r>
    </w:p>
    <w:p w14:paraId="1A362F62" w14:textId="77777777" w:rsidR="00CC220F" w:rsidRDefault="00CC220F" w:rsidP="00CC220F">
      <w:pPr>
        <w:rPr>
          <w:rFonts w:ascii="Times New Roman" w:hAnsi="Times New Roman" w:cs="Times New Roman"/>
          <w:b/>
          <w:bCs/>
        </w:rPr>
      </w:pPr>
    </w:p>
    <w:p w14:paraId="2BC47016" w14:textId="77777777" w:rsidR="00CC220F" w:rsidRPr="00EA438D" w:rsidRDefault="008A3565" w:rsidP="00CC220F">
      <w:pPr>
        <w:spacing w:after="0"/>
        <w:rPr>
          <w:rFonts w:ascii="Times New Roman" w:hAnsi="Times New Roman" w:cs="Times New Roman"/>
          <w:sz w:val="20"/>
          <w:szCs w:val="20"/>
        </w:rPr>
      </w:pPr>
      <w:r w:rsidRPr="00EA438D">
        <w:rPr>
          <w:rFonts w:ascii="Times New Roman" w:hAnsi="Times New Roman" w:cs="Times New Roman"/>
          <w:noProof/>
          <w:sz w:val="20"/>
          <w:szCs w:val="20"/>
        </w:rPr>
        <w:drawing>
          <wp:inline distT="0" distB="0" distL="0" distR="0" wp14:anchorId="17AA0B08" wp14:editId="7175F770">
            <wp:extent cx="5943600" cy="4206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9"/>
                    <a:stretch>
                      <a:fillRect/>
                    </a:stretch>
                  </pic:blipFill>
                  <pic:spPr bwMode="auto">
                    <a:xfrm>
                      <a:off x="0" y="0"/>
                      <a:ext cx="82550" cy="58420"/>
                    </a:xfrm>
                    <a:prstGeom prst="rect">
                      <a:avLst/>
                    </a:prstGeom>
                    <a:noFill/>
                  </pic:spPr>
                </pic:pic>
              </a:graphicData>
            </a:graphic>
          </wp:inline>
        </w:drawing>
      </w:r>
    </w:p>
    <w:p w14:paraId="2A0CB949" w14:textId="246828A7" w:rsidR="00CC220F" w:rsidRPr="00300D77" w:rsidRDefault="008A3565" w:rsidP="00CC220F">
      <w:pPr>
        <w:spacing w:after="0"/>
        <w:rPr>
          <w:rFonts w:ascii="Times New Roman" w:hAnsi="Times New Roman" w:cs="Times New Roman"/>
          <w:b/>
          <w:bCs/>
          <w:sz w:val="20"/>
          <w:szCs w:val="20"/>
        </w:rPr>
      </w:pPr>
      <w:r w:rsidRPr="00300D77">
        <w:rPr>
          <w:rFonts w:ascii="Times New Roman" w:hAnsi="Times New Roman" w:cs="Times New Roman"/>
          <w:b/>
          <w:bCs/>
          <w:sz w:val="20"/>
          <w:szCs w:val="20"/>
        </w:rPr>
        <w:t>Figure 4. Shared latent system factor by sex, baseline versus scenario, 1990</w:t>
      </w:r>
      <w:r w:rsidRPr="00300D77">
        <w:rPr>
          <w:rFonts w:ascii="Times New Roman" w:eastAsia="Calibri" w:hAnsi="Times New Roman" w:cs="Times New Roman"/>
          <w:b/>
          <w:bCs/>
          <w:sz w:val="20"/>
          <w:szCs w:val="20"/>
        </w:rPr>
        <w:t>--</w:t>
      </w:r>
      <w:r w:rsidRPr="00300D77">
        <w:rPr>
          <w:rFonts w:ascii="Times New Roman" w:hAnsi="Times New Roman" w:cs="Times New Roman"/>
          <w:b/>
          <w:bCs/>
          <w:sz w:val="20"/>
          <w:szCs w:val="20"/>
        </w:rPr>
        <w:t>2030 (standardized)</w:t>
      </w:r>
    </w:p>
    <w:p w14:paraId="452CEF53" w14:textId="77777777" w:rsidR="00CC220F" w:rsidRPr="00EA438D" w:rsidRDefault="008A3565" w:rsidP="00CC220F">
      <w:pPr>
        <w:spacing w:after="0"/>
        <w:rPr>
          <w:rFonts w:ascii="Times New Roman" w:hAnsi="Times New Roman" w:cs="Times New Roman"/>
          <w:sz w:val="20"/>
          <w:szCs w:val="20"/>
        </w:rPr>
      </w:pPr>
      <w:r w:rsidRPr="00EA438D">
        <w:rPr>
          <w:rFonts w:ascii="Times New Roman" w:hAnsi="Times New Roman" w:cs="Times New Roman"/>
          <w:noProof/>
          <w:sz w:val="20"/>
          <w:szCs w:val="20"/>
        </w:rPr>
        <w:lastRenderedPageBreak/>
        <w:drawing>
          <wp:inline distT="0" distB="0" distL="0" distR="0" wp14:anchorId="55A2731B" wp14:editId="5426B08B">
            <wp:extent cx="5943600" cy="438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10"/>
                    <a:stretch>
                      <a:fillRect/>
                    </a:stretch>
                  </pic:blipFill>
                  <pic:spPr bwMode="auto">
                    <a:xfrm>
                      <a:off x="0" y="0"/>
                      <a:ext cx="82550" cy="60960"/>
                    </a:xfrm>
                    <a:prstGeom prst="rect">
                      <a:avLst/>
                    </a:prstGeom>
                    <a:noFill/>
                  </pic:spPr>
                </pic:pic>
              </a:graphicData>
            </a:graphic>
          </wp:inline>
        </w:drawing>
      </w:r>
    </w:p>
    <w:p w14:paraId="67E619C4" w14:textId="4AEC61EA" w:rsidR="00CC220F" w:rsidRPr="00300D77" w:rsidRDefault="008A3565" w:rsidP="00CC220F">
      <w:pPr>
        <w:spacing w:after="0"/>
        <w:rPr>
          <w:rFonts w:ascii="Times New Roman" w:hAnsi="Times New Roman" w:cs="Times New Roman"/>
          <w:b/>
          <w:bCs/>
          <w:sz w:val="20"/>
          <w:szCs w:val="20"/>
        </w:rPr>
      </w:pPr>
      <w:r w:rsidRPr="00300D77">
        <w:rPr>
          <w:rFonts w:ascii="Times New Roman" w:hAnsi="Times New Roman" w:cs="Times New Roman"/>
          <w:b/>
          <w:bCs/>
          <w:sz w:val="20"/>
          <w:szCs w:val="20"/>
        </w:rPr>
        <w:t>Figure 5. Age-</w:t>
      </w:r>
      <w:r w:rsidRPr="00300D77">
        <w:rPr>
          <w:rFonts w:ascii="Times New Roman" w:eastAsia="Calibri" w:hAnsi="Times New Roman" w:cs="Times New Roman"/>
          <w:b/>
          <w:bCs/>
          <w:sz w:val="20"/>
          <w:szCs w:val="20"/>
        </w:rPr>
        <w:t>standardized</w:t>
      </w:r>
      <w:r w:rsidRPr="00300D77">
        <w:rPr>
          <w:rFonts w:ascii="Times New Roman" w:hAnsi="Times New Roman" w:cs="Times New Roman"/>
          <w:b/>
          <w:bCs/>
          <w:sz w:val="20"/>
          <w:szCs w:val="20"/>
        </w:rPr>
        <w:t xml:space="preserve"> controlled hypertension by sex, baseline versus scenario, 1990–2030</w:t>
      </w:r>
    </w:p>
    <w:p w14:paraId="01777383" w14:textId="77777777" w:rsidR="00CC220F" w:rsidRPr="00EA438D" w:rsidRDefault="008A3565" w:rsidP="00CC220F">
      <w:pPr>
        <w:spacing w:after="0"/>
        <w:rPr>
          <w:rFonts w:ascii="Times New Roman" w:hAnsi="Times New Roman" w:cs="Times New Roman"/>
          <w:sz w:val="20"/>
          <w:szCs w:val="20"/>
        </w:rPr>
      </w:pPr>
      <w:r w:rsidRPr="00EA438D">
        <w:rPr>
          <w:rFonts w:ascii="Times New Roman" w:hAnsi="Times New Roman" w:cs="Times New Roman"/>
          <w:noProof/>
          <w:sz w:val="20"/>
          <w:szCs w:val="20"/>
        </w:rPr>
        <w:lastRenderedPageBreak/>
        <w:drawing>
          <wp:inline distT="0" distB="0" distL="0" distR="0" wp14:anchorId="6B4FA740" wp14:editId="69D02B86">
            <wp:extent cx="5943600" cy="438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11"/>
                    <a:stretch>
                      <a:fillRect/>
                    </a:stretch>
                  </pic:blipFill>
                  <pic:spPr bwMode="auto">
                    <a:xfrm>
                      <a:off x="0" y="0"/>
                      <a:ext cx="82550" cy="60960"/>
                    </a:xfrm>
                    <a:prstGeom prst="rect">
                      <a:avLst/>
                    </a:prstGeom>
                    <a:noFill/>
                  </pic:spPr>
                </pic:pic>
              </a:graphicData>
            </a:graphic>
          </wp:inline>
        </w:drawing>
      </w:r>
    </w:p>
    <w:p w14:paraId="5E970D01" w14:textId="2357E65C" w:rsidR="00CC220F" w:rsidRPr="00EA438D" w:rsidRDefault="008A3565" w:rsidP="00CC220F">
      <w:pPr>
        <w:spacing w:after="0"/>
        <w:rPr>
          <w:rFonts w:ascii="Times New Roman" w:hAnsi="Times New Roman" w:cs="Times New Roman"/>
          <w:sz w:val="20"/>
          <w:szCs w:val="20"/>
        </w:rPr>
      </w:pPr>
      <w:r w:rsidRPr="00EA438D">
        <w:rPr>
          <w:rFonts w:ascii="Times New Roman" w:hAnsi="Times New Roman" w:cs="Times New Roman"/>
          <w:sz w:val="20"/>
          <w:szCs w:val="20"/>
        </w:rPr>
        <w:t>Figure6. Age-</w:t>
      </w:r>
      <w:r>
        <w:rPr>
          <w:rFonts w:ascii="Times New Roman" w:eastAsia="Calibri" w:hAnsi="Times New Roman" w:cs="Times New Roman"/>
          <w:sz w:val="20"/>
          <w:szCs w:val="20"/>
        </w:rPr>
        <w:t>standardized</w:t>
      </w:r>
      <w:r w:rsidRPr="00EA438D">
        <w:rPr>
          <w:rFonts w:ascii="Times New Roman" w:hAnsi="Times New Roman" w:cs="Times New Roman"/>
          <w:sz w:val="20"/>
          <w:szCs w:val="20"/>
        </w:rPr>
        <w:t xml:space="preserve"> untreated stage</w:t>
      </w:r>
      <w:r w:rsidR="00D25B63">
        <w:rPr>
          <w:rFonts w:ascii="Times New Roman" w:eastAsia="Calibri" w:hAnsi="Times New Roman" w:cs="Times New Roman"/>
          <w:sz w:val="20"/>
          <w:szCs w:val="20"/>
        </w:rPr>
        <w:t>-</w:t>
      </w:r>
      <w:r w:rsidRPr="00EA438D">
        <w:rPr>
          <w:rFonts w:ascii="Times New Roman" w:hAnsi="Times New Roman" w:cs="Times New Roman"/>
          <w:sz w:val="20"/>
          <w:szCs w:val="20"/>
        </w:rPr>
        <w:t>2 hypertension by sex, baseline versus scenario, 1990–2030</w:t>
      </w:r>
    </w:p>
    <w:p w14:paraId="63DAC3D7" w14:textId="77777777" w:rsidR="00CC220F" w:rsidRPr="00EA438D" w:rsidRDefault="008A3565" w:rsidP="00CC220F">
      <w:pPr>
        <w:spacing w:after="0"/>
        <w:rPr>
          <w:rFonts w:ascii="Times New Roman" w:hAnsi="Times New Roman" w:cs="Times New Roman"/>
          <w:sz w:val="20"/>
          <w:szCs w:val="20"/>
        </w:rPr>
      </w:pPr>
      <w:r w:rsidRPr="00EA438D">
        <w:rPr>
          <w:rFonts w:ascii="Times New Roman" w:hAnsi="Times New Roman" w:cs="Times New Roman"/>
          <w:noProof/>
          <w:sz w:val="20"/>
          <w:szCs w:val="20"/>
        </w:rPr>
        <w:drawing>
          <wp:inline distT="0" distB="0" distL="0" distR="0" wp14:anchorId="72229575" wp14:editId="33CCAB48">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12"/>
                    <a:stretch>
                      <a:fillRect/>
                    </a:stretch>
                  </pic:blipFill>
                  <pic:spPr bwMode="auto">
                    <a:xfrm>
                      <a:off x="0" y="0"/>
                      <a:ext cx="76200" cy="50800"/>
                    </a:xfrm>
                    <a:prstGeom prst="rect">
                      <a:avLst/>
                    </a:prstGeom>
                    <a:noFill/>
                  </pic:spPr>
                </pic:pic>
              </a:graphicData>
            </a:graphic>
          </wp:inline>
        </w:drawing>
      </w:r>
    </w:p>
    <w:p w14:paraId="5A980AA9" w14:textId="0D68AC36" w:rsidR="00CC220F" w:rsidRPr="00EA438D" w:rsidRDefault="008A3565" w:rsidP="00CC220F">
      <w:pPr>
        <w:spacing w:after="0"/>
        <w:rPr>
          <w:rFonts w:ascii="Times New Roman" w:hAnsi="Times New Roman" w:cs="Times New Roman"/>
          <w:sz w:val="20"/>
          <w:szCs w:val="20"/>
        </w:rPr>
      </w:pPr>
      <w:r w:rsidRPr="00EA438D">
        <w:rPr>
          <w:rFonts w:ascii="Times New Roman" w:hAnsi="Times New Roman" w:cs="Times New Roman"/>
          <w:sz w:val="20"/>
          <w:szCs w:val="20"/>
        </w:rPr>
        <w:t xml:space="preserve">Figure </w:t>
      </w:r>
      <w:r>
        <w:rPr>
          <w:rFonts w:ascii="Times New Roman" w:eastAsia="Calibri" w:hAnsi="Times New Roman" w:cs="Times New Roman"/>
          <w:sz w:val="20"/>
          <w:szCs w:val="20"/>
        </w:rPr>
        <w:t>7 Scenario</w:t>
      </w:r>
      <w:r w:rsidRPr="00EA438D">
        <w:rPr>
          <w:rFonts w:ascii="Times New Roman" w:hAnsi="Times New Roman" w:cs="Times New Roman"/>
          <w:sz w:val="20"/>
          <w:szCs w:val="20"/>
        </w:rPr>
        <w:t xml:space="preserve"> impact in 2030: change in age-</w:t>
      </w:r>
      <w:r>
        <w:rPr>
          <w:rFonts w:ascii="Times New Roman" w:eastAsia="Calibri" w:hAnsi="Times New Roman" w:cs="Times New Roman"/>
          <w:sz w:val="20"/>
          <w:szCs w:val="20"/>
        </w:rPr>
        <w:t>standardized</w:t>
      </w:r>
      <w:r w:rsidRPr="00EA438D">
        <w:rPr>
          <w:rFonts w:ascii="Times New Roman" w:hAnsi="Times New Roman" w:cs="Times New Roman"/>
          <w:sz w:val="20"/>
          <w:szCs w:val="20"/>
        </w:rPr>
        <w:t xml:space="preserve"> control and untreated </w:t>
      </w:r>
      <w:r>
        <w:rPr>
          <w:rFonts w:ascii="Times New Roman" w:eastAsia="Calibri" w:hAnsi="Times New Roman" w:cs="Times New Roman"/>
          <w:sz w:val="20"/>
          <w:szCs w:val="20"/>
        </w:rPr>
        <w:t>Stage</w:t>
      </w:r>
      <w:r w:rsidR="00D25B63">
        <w:rPr>
          <w:rFonts w:ascii="Times New Roman" w:eastAsia="Calibri" w:hAnsi="Times New Roman" w:cs="Times New Roman"/>
          <w:sz w:val="20"/>
          <w:szCs w:val="20"/>
        </w:rPr>
        <w:t>-</w:t>
      </w:r>
      <w:r>
        <w:rPr>
          <w:rFonts w:ascii="Times New Roman" w:eastAsia="Calibri" w:hAnsi="Times New Roman" w:cs="Times New Roman"/>
          <w:sz w:val="20"/>
          <w:szCs w:val="20"/>
        </w:rPr>
        <w:t>2 disease</w:t>
      </w:r>
      <w:r w:rsidRPr="00EA438D">
        <w:rPr>
          <w:rFonts w:ascii="Times New Roman" w:hAnsi="Times New Roman" w:cs="Times New Roman"/>
          <w:sz w:val="20"/>
          <w:szCs w:val="20"/>
        </w:rPr>
        <w:t xml:space="preserve"> by sex (percentage points)</w:t>
      </w:r>
    </w:p>
    <w:p w14:paraId="15DDE364" w14:textId="77777777" w:rsidR="00CC220F" w:rsidRDefault="00CC220F" w:rsidP="00CC220F">
      <w:pPr>
        <w:rPr>
          <w:rFonts w:ascii="Times New Roman" w:hAnsi="Times New Roman" w:cs="Times New Roman"/>
          <w:b/>
          <w:bCs/>
        </w:rPr>
      </w:pPr>
    </w:p>
    <w:p w14:paraId="56F636DC" w14:textId="62CDA8C6" w:rsidR="00CC220F" w:rsidRDefault="008A3565" w:rsidP="00CC220F">
      <w:pPr>
        <w:jc w:val="both"/>
        <w:rPr>
          <w:rFonts w:ascii="Times New Roman" w:hAnsi="Times New Roman" w:cs="Times New Roman"/>
          <w:sz w:val="20"/>
          <w:szCs w:val="20"/>
          <w:lang w:val=""/>
        </w:rPr>
      </w:pPr>
      <w:r w:rsidRPr="00CC220F">
        <w:rPr>
          <w:rFonts w:ascii="Times New Roman" w:hAnsi="Times New Roman" w:cs="Times New Roman"/>
          <w:b/>
          <w:bCs/>
          <w:sz w:val="20"/>
          <w:szCs w:val="20"/>
        </w:rPr>
        <w:lastRenderedPageBreak/>
        <w:t xml:space="preserve">Discussion </w:t>
      </w:r>
      <w:r w:rsidRPr="00CC220F">
        <w:rPr>
          <w:rFonts w:ascii="Times New Roman" w:hAnsi="Times New Roman" w:cs="Times New Roman"/>
          <w:sz w:val="20"/>
          <w:szCs w:val="20"/>
        </w:rPr>
        <w:br/>
      </w:r>
      <w:r w:rsidRPr="00CC220F">
        <w:rPr>
          <w:rFonts w:ascii="Times New Roman" w:hAnsi="Times New Roman" w:cs="Times New Roman"/>
          <w:sz w:val="20"/>
          <w:szCs w:val="20"/>
        </w:rPr>
        <w:t xml:space="preserve">The findings demonstrate a unified hypertension framework in which a single latent factor explains most changes in treatment, management, and severe uncontrolled </w:t>
      </w:r>
      <w:r>
        <w:rPr>
          <w:rFonts w:ascii="Times New Roman" w:eastAsia="Calibri" w:hAnsi="Times New Roman" w:cs="Times New Roman"/>
          <w:sz w:val="20"/>
          <w:szCs w:val="20"/>
        </w:rPr>
        <w:t>conditions</w:t>
      </w:r>
      <w:r w:rsidRPr="00CC220F">
        <w:rPr>
          <w:rFonts w:ascii="Times New Roman" w:hAnsi="Times New Roman" w:cs="Times New Roman"/>
          <w:sz w:val="20"/>
          <w:szCs w:val="20"/>
        </w:rPr>
        <w:t xml:space="preserve"> from 1990</w:t>
      </w:r>
      <w:r>
        <w:rPr>
          <w:rFonts w:ascii="Times New Roman" w:eastAsia="Calibri" w:hAnsi="Times New Roman" w:cs="Times New Roman"/>
          <w:sz w:val="20"/>
          <w:szCs w:val="20"/>
        </w:rPr>
        <w:t>-</w:t>
      </w:r>
      <w:r w:rsidRPr="00CC220F">
        <w:rPr>
          <w:rFonts w:ascii="Times New Roman" w:hAnsi="Times New Roman" w:cs="Times New Roman"/>
          <w:sz w:val="20"/>
          <w:szCs w:val="20"/>
        </w:rPr>
        <w:t>2019, with virtually total variance clarified for crucial cascade stages.</w:t>
      </w:r>
      <w:r w:rsidRPr="00CC220F">
        <w:rPr>
          <w:rFonts w:ascii="Times New Roman" w:hAnsi="Times New Roman" w:cs="Times New Roman"/>
          <w:sz w:val="20"/>
          <w:szCs w:val="20"/>
        </w:rPr>
        <w:t xml:space="preserve"> Age-standardized indicators are strongly associated with this common component, </w:t>
      </w:r>
      <w:r>
        <w:rPr>
          <w:rFonts w:ascii="Times New Roman" w:eastAsia="Calibri" w:hAnsi="Times New Roman" w:cs="Times New Roman"/>
          <w:sz w:val="20"/>
          <w:szCs w:val="20"/>
        </w:rPr>
        <w:t>whereas</w:t>
      </w:r>
      <w:r w:rsidRPr="00CC220F">
        <w:rPr>
          <w:rFonts w:ascii="Times New Roman" w:hAnsi="Times New Roman" w:cs="Times New Roman"/>
          <w:sz w:val="20"/>
          <w:szCs w:val="20"/>
        </w:rPr>
        <w:t xml:space="preserve"> diagnosis shows slight and sometimes negative loadings, indicating some independence from the system trajectory. The advantages of therapy and control for women are su</w:t>
      </w:r>
      <w:r w:rsidRPr="00CC220F">
        <w:rPr>
          <w:rFonts w:ascii="Times New Roman" w:hAnsi="Times New Roman" w:cs="Times New Roman"/>
          <w:sz w:val="20"/>
          <w:szCs w:val="20"/>
        </w:rPr>
        <w:t xml:space="preserve">bstantial and precise </w:t>
      </w:r>
      <w:r>
        <w:rPr>
          <w:rFonts w:ascii="Times New Roman" w:eastAsia="Calibri" w:hAnsi="Times New Roman" w:cs="Times New Roman"/>
          <w:sz w:val="20"/>
          <w:szCs w:val="20"/>
        </w:rPr>
        <w:t>in terms of</w:t>
      </w:r>
      <w:r w:rsidRPr="00CC220F">
        <w:rPr>
          <w:rFonts w:ascii="Times New Roman" w:hAnsi="Times New Roman" w:cs="Times New Roman"/>
          <w:sz w:val="20"/>
          <w:szCs w:val="20"/>
        </w:rPr>
        <w:t xml:space="preserve"> both age-standardized and crude metrics. A substantial group of women with untreated stage</w:t>
      </w:r>
      <w:r w:rsidR="00D25B63">
        <w:rPr>
          <w:rFonts w:ascii="Times New Roman" w:eastAsia="Calibri" w:hAnsi="Times New Roman" w:cs="Times New Roman"/>
          <w:sz w:val="20"/>
          <w:szCs w:val="20"/>
        </w:rPr>
        <w:t>-</w:t>
      </w:r>
      <w:r w:rsidRPr="00CC220F">
        <w:rPr>
          <w:rFonts w:ascii="Times New Roman" w:hAnsi="Times New Roman" w:cs="Times New Roman"/>
          <w:sz w:val="20"/>
          <w:szCs w:val="20"/>
        </w:rPr>
        <w:t xml:space="preserve">2 </w:t>
      </w:r>
      <w:r>
        <w:rPr>
          <w:rFonts w:ascii="Times New Roman" w:eastAsia="Calibri" w:hAnsi="Times New Roman" w:cs="Times New Roman"/>
          <w:sz w:val="20"/>
          <w:szCs w:val="20"/>
        </w:rPr>
        <w:t xml:space="preserve">disease </w:t>
      </w:r>
      <w:r w:rsidRPr="00CC220F">
        <w:rPr>
          <w:rFonts w:ascii="Times New Roman" w:hAnsi="Times New Roman" w:cs="Times New Roman"/>
          <w:sz w:val="20"/>
          <w:szCs w:val="20"/>
        </w:rPr>
        <w:t>persists, highlighting a concentration of risk within subpopulations that current pathways do not adequately address. The</w:t>
      </w:r>
      <w:r w:rsidRPr="00CC220F">
        <w:rPr>
          <w:rFonts w:ascii="Times New Roman" w:hAnsi="Times New Roman" w:cs="Times New Roman"/>
          <w:sz w:val="20"/>
          <w:szCs w:val="20"/>
        </w:rPr>
        <w:t xml:space="preserve"> state dynamics exhibit considerable stability, with φ approximately equal to 0.98 and negligible process variance. This aligns with gradual structural modifications, including the implementation of protocols, ensuring the reliability of medical supplies, </w:t>
      </w:r>
      <w:r w:rsidRPr="00CC220F">
        <w:rPr>
          <w:rFonts w:ascii="Times New Roman" w:hAnsi="Times New Roman" w:cs="Times New Roman"/>
          <w:sz w:val="20"/>
          <w:szCs w:val="20"/>
        </w:rPr>
        <w:t xml:space="preserve">augmenting the workforce, and maintaining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oversight of registries. Projections and scenario analyses utilizing this methodology generate coherent trajectories that respond predictably to policy alterations.</w:t>
      </w:r>
    </w:p>
    <w:p w14:paraId="20175119" w14:textId="59020F9C" w:rsidR="00CC220F" w:rsidRDefault="008A3565"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t>A concentrated enhancement in diagnosis and t</w:t>
      </w:r>
      <w:r w:rsidRPr="00CC220F">
        <w:rPr>
          <w:rFonts w:ascii="Times New Roman" w:hAnsi="Times New Roman" w:cs="Times New Roman"/>
          <w:sz w:val="20"/>
          <w:szCs w:val="20"/>
        </w:rPr>
        <w:t xml:space="preserve">reatment results in substantial advancements in control, especially for women, but simultaneously </w:t>
      </w:r>
      <w:r>
        <w:rPr>
          <w:rFonts w:ascii="Times New Roman" w:eastAsia="Calibri" w:hAnsi="Times New Roman" w:cs="Times New Roman"/>
          <w:sz w:val="20"/>
          <w:szCs w:val="20"/>
        </w:rPr>
        <w:t>increases</w:t>
      </w:r>
      <w:r w:rsidRPr="00CC220F">
        <w:rPr>
          <w:rFonts w:ascii="Times New Roman" w:hAnsi="Times New Roman" w:cs="Times New Roman"/>
          <w:sz w:val="20"/>
          <w:szCs w:val="20"/>
        </w:rPr>
        <w:t xml:space="preserve"> the prevalence of untreated stage</w:t>
      </w:r>
      <w:r w:rsidR="001B083B">
        <w:rPr>
          <w:rFonts w:ascii="Times New Roman" w:eastAsia="Calibri" w:hAnsi="Times New Roman" w:cs="Times New Roman"/>
          <w:sz w:val="20"/>
          <w:szCs w:val="20"/>
        </w:rPr>
        <w:t>-</w:t>
      </w:r>
      <w:r>
        <w:rPr>
          <w:rFonts w:ascii="Times New Roman" w:eastAsia="Calibri" w:hAnsi="Times New Roman" w:cs="Times New Roman"/>
          <w:sz w:val="20"/>
          <w:szCs w:val="20"/>
        </w:rPr>
        <w:t>2 cases</w:t>
      </w:r>
      <w:r w:rsidRPr="00CC220F">
        <w:rPr>
          <w:rFonts w:ascii="Times New Roman" w:hAnsi="Times New Roman" w:cs="Times New Roman"/>
          <w:sz w:val="20"/>
          <w:szCs w:val="20"/>
        </w:rPr>
        <w:t xml:space="preserve"> when the ability to escalate does not match demand. </w:t>
      </w:r>
      <w:r>
        <w:rPr>
          <w:rFonts w:ascii="Times New Roman" w:eastAsia="Calibri" w:hAnsi="Times New Roman" w:cs="Times New Roman"/>
          <w:sz w:val="20"/>
          <w:szCs w:val="20"/>
        </w:rPr>
        <w:t>Analysing</w:t>
      </w:r>
      <w:r w:rsidRPr="00CC220F">
        <w:rPr>
          <w:rFonts w:ascii="Times New Roman" w:hAnsi="Times New Roman" w:cs="Times New Roman"/>
          <w:sz w:val="20"/>
          <w:szCs w:val="20"/>
        </w:rPr>
        <w:t xml:space="preserve"> these patterns collectively reveals two meth</w:t>
      </w:r>
      <w:r w:rsidRPr="00CC220F">
        <w:rPr>
          <w:rFonts w:ascii="Times New Roman" w:hAnsi="Times New Roman" w:cs="Times New Roman"/>
          <w:sz w:val="20"/>
          <w:szCs w:val="20"/>
        </w:rPr>
        <w:t>ods for effecting change: a systemic lever that elevates the common factor, enhancing conditions for all, and a focused lever that addresses the diagnostic bottleneck and the high-risk population suffering from severe uncontrolled hypertension. Age-standar</w:t>
      </w:r>
      <w:r w:rsidRPr="00CC220F">
        <w:rPr>
          <w:rFonts w:ascii="Times New Roman" w:hAnsi="Times New Roman" w:cs="Times New Roman"/>
          <w:sz w:val="20"/>
          <w:szCs w:val="20"/>
        </w:rPr>
        <w:t>dized indicators provide the most accurate assessment of program efficacy, whereas crude prevalence reveals demographic challenges that necessitate long-term preventive strategies. The strengths include a comprehensive modelling approach that integrates al</w:t>
      </w:r>
      <w:r w:rsidRPr="00CC220F">
        <w:rPr>
          <w:rFonts w:ascii="Times New Roman" w:hAnsi="Times New Roman" w:cs="Times New Roman"/>
          <w:sz w:val="20"/>
          <w:szCs w:val="20"/>
        </w:rPr>
        <w:t xml:space="preserve">l cascade indicators, explicit sex stratification, and a </w:t>
      </w:r>
      <w:r>
        <w:rPr>
          <w:rFonts w:ascii="Times New Roman" w:eastAsia="Calibri" w:hAnsi="Times New Roman" w:cs="Times New Roman"/>
          <w:sz w:val="20"/>
          <w:szCs w:val="20"/>
        </w:rPr>
        <w:t>state‒space</w:t>
      </w:r>
      <w:r w:rsidRPr="00CC220F">
        <w:rPr>
          <w:rFonts w:ascii="Times New Roman" w:hAnsi="Times New Roman" w:cs="Times New Roman"/>
          <w:sz w:val="20"/>
          <w:szCs w:val="20"/>
        </w:rPr>
        <w:t xml:space="preserve"> estimate that considers temporal persistence. Limitations include reliance on country-aggregated data,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absence of subnational variability, and the potential for residual confounding d</w:t>
      </w:r>
      <w:r w:rsidRPr="00CC220F">
        <w:rPr>
          <w:rFonts w:ascii="Times New Roman" w:hAnsi="Times New Roman" w:cs="Times New Roman"/>
          <w:sz w:val="20"/>
          <w:szCs w:val="20"/>
        </w:rPr>
        <w:t xml:space="preserve">ue to unmeasured program shocks or changes in measurement. The dynamic factor serves as a system capacity index; nonetheless, it remains a simplistic construct that cannot identify individual mechanisms without supplementary implementation data. Future </w:t>
      </w:r>
      <w:r>
        <w:rPr>
          <w:rFonts w:ascii="Times New Roman" w:eastAsia="Calibri" w:hAnsi="Times New Roman" w:cs="Times New Roman"/>
          <w:sz w:val="20"/>
          <w:szCs w:val="20"/>
        </w:rPr>
        <w:t>stu</w:t>
      </w:r>
      <w:r>
        <w:rPr>
          <w:rFonts w:ascii="Times New Roman" w:eastAsia="Calibri" w:hAnsi="Times New Roman" w:cs="Times New Roman"/>
          <w:sz w:val="20"/>
          <w:szCs w:val="20"/>
        </w:rPr>
        <w:t>dies</w:t>
      </w:r>
      <w:r w:rsidRPr="00CC220F">
        <w:rPr>
          <w:rFonts w:ascii="Times New Roman" w:hAnsi="Times New Roman" w:cs="Times New Roman"/>
          <w:sz w:val="20"/>
          <w:szCs w:val="20"/>
        </w:rPr>
        <w:t xml:space="preserve"> may extend to subnational panels, incorporate covariates associated with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 xml:space="preserve">supply chain and service delivery, and evaluate policy interventions </w:t>
      </w:r>
      <w:r>
        <w:rPr>
          <w:rFonts w:ascii="Times New Roman" w:eastAsia="Calibri" w:hAnsi="Times New Roman" w:cs="Times New Roman"/>
          <w:sz w:val="20"/>
          <w:szCs w:val="20"/>
        </w:rPr>
        <w:t>via</w:t>
      </w:r>
      <w:r w:rsidRPr="00CC220F">
        <w:rPr>
          <w:rFonts w:ascii="Times New Roman" w:hAnsi="Times New Roman" w:cs="Times New Roman"/>
          <w:sz w:val="20"/>
          <w:szCs w:val="20"/>
        </w:rPr>
        <w:t xml:space="preserve"> quasi</w:t>
      </w:r>
      <w:r w:rsidR="001B083B">
        <w:rPr>
          <w:rFonts w:ascii="Times New Roman" w:hAnsi="Times New Roman" w:cs="Times New Roman"/>
          <w:sz w:val="20"/>
          <w:szCs w:val="20"/>
        </w:rPr>
        <w:t xml:space="preserve"> </w:t>
      </w:r>
      <w:r w:rsidRPr="00CC220F">
        <w:rPr>
          <w:rFonts w:ascii="Times New Roman" w:hAnsi="Times New Roman" w:cs="Times New Roman"/>
          <w:sz w:val="20"/>
          <w:szCs w:val="20"/>
        </w:rPr>
        <w:t>experimental approaches incorporated within the factor structure.</w:t>
      </w:r>
    </w:p>
    <w:p w14:paraId="18E8B289" w14:textId="7966C027" w:rsidR="000D144F" w:rsidRDefault="008A3565"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br/>
        <w:t>This article presents a prag</w:t>
      </w:r>
      <w:r w:rsidRPr="00CC220F">
        <w:rPr>
          <w:rFonts w:ascii="Times New Roman" w:hAnsi="Times New Roman" w:cs="Times New Roman"/>
          <w:sz w:val="20"/>
          <w:szCs w:val="20"/>
        </w:rPr>
        <w:t>matic measurement and policy framework for the Sustainable Development Goal 3 targets related to noncommunicable diseases and universal healthcare within the context of the Sustainable Development Goals. The joint factor model generates a unique, interpret</w:t>
      </w:r>
      <w:r w:rsidRPr="00CC220F">
        <w:rPr>
          <w:rFonts w:ascii="Times New Roman" w:hAnsi="Times New Roman" w:cs="Times New Roman"/>
          <w:sz w:val="20"/>
          <w:szCs w:val="20"/>
        </w:rPr>
        <w:t xml:space="preserve">able system indicator that may be utilized as a program metric for SDG 3.4 (reducing premature mortality from </w:t>
      </w:r>
      <w:r>
        <w:rPr>
          <w:rFonts w:ascii="Times New Roman" w:eastAsia="Calibri" w:hAnsi="Times New Roman" w:cs="Times New Roman"/>
          <w:sz w:val="20"/>
          <w:szCs w:val="20"/>
        </w:rPr>
        <w:t>noncommunicable</w:t>
      </w:r>
      <w:r w:rsidRPr="00CC220F">
        <w:rPr>
          <w:rFonts w:ascii="Times New Roman" w:hAnsi="Times New Roman" w:cs="Times New Roman"/>
          <w:sz w:val="20"/>
          <w:szCs w:val="20"/>
        </w:rPr>
        <w:t xml:space="preserve"> diseases) and SDG 3.8 (coverage of critical services). The sex-disaggregated consequences directly pertain to SDG 5 on gender equa</w:t>
      </w:r>
      <w:r w:rsidRPr="00CC220F">
        <w:rPr>
          <w:rFonts w:ascii="Times New Roman" w:hAnsi="Times New Roman" w:cs="Times New Roman"/>
          <w:sz w:val="20"/>
          <w:szCs w:val="20"/>
        </w:rPr>
        <w:t>lity and SDG 10 on mitigating disparities by identifying areas where women gain, men fall behind, and a vulnerable grouping is overlooked. The scenario results transform the objectives of the SDGs into immediate operational targets by linking additional di</w:t>
      </w:r>
      <w:r w:rsidRPr="00CC220F">
        <w:rPr>
          <w:rFonts w:ascii="Times New Roman" w:hAnsi="Times New Roman" w:cs="Times New Roman"/>
          <w:sz w:val="20"/>
          <w:szCs w:val="20"/>
        </w:rPr>
        <w:t>agnoses and treatments to enhanced control and demonstrating the requisite capacity for escalation to halt the proliferation of severe uncontrolled diseases. The emphasis on registry-enabled continuity, reliable medications, and protocol-driven treatment a</w:t>
      </w:r>
      <w:r w:rsidRPr="00CC220F">
        <w:rPr>
          <w:rFonts w:ascii="Times New Roman" w:hAnsi="Times New Roman" w:cs="Times New Roman"/>
          <w:sz w:val="20"/>
          <w:szCs w:val="20"/>
        </w:rPr>
        <w:t>ligns with SDG 9 concerning resilient systems and data infrastructure, along with the use of publicly accessible resources. Data from NCD-</w:t>
      </w:r>
      <w:proofErr w:type="spellStart"/>
      <w:r w:rsidRPr="00CC220F">
        <w:rPr>
          <w:rFonts w:ascii="Times New Roman" w:hAnsi="Times New Roman" w:cs="Times New Roman"/>
          <w:sz w:val="20"/>
          <w:szCs w:val="20"/>
        </w:rPr>
        <w:t>RisC</w:t>
      </w:r>
      <w:proofErr w:type="spellEnd"/>
      <w:r w:rsidRPr="00CC220F">
        <w:rPr>
          <w:rFonts w:ascii="Times New Roman" w:hAnsi="Times New Roman" w:cs="Times New Roman"/>
          <w:sz w:val="20"/>
          <w:szCs w:val="20"/>
        </w:rPr>
        <w:t xml:space="preserve"> </w:t>
      </w:r>
      <w:r>
        <w:rPr>
          <w:rFonts w:ascii="Times New Roman" w:eastAsia="Calibri" w:hAnsi="Times New Roman" w:cs="Times New Roman"/>
          <w:sz w:val="20"/>
          <w:szCs w:val="20"/>
        </w:rPr>
        <w:t>support</w:t>
      </w:r>
      <w:r w:rsidRPr="00CC220F">
        <w:rPr>
          <w:rFonts w:ascii="Times New Roman" w:hAnsi="Times New Roman" w:cs="Times New Roman"/>
          <w:sz w:val="20"/>
          <w:szCs w:val="20"/>
        </w:rPr>
        <w:t xml:space="preserve"> SDG 17 regarding </w:t>
      </w:r>
      <w:r>
        <w:rPr>
          <w:rFonts w:ascii="Times New Roman" w:eastAsia="Calibri" w:hAnsi="Times New Roman" w:cs="Times New Roman"/>
          <w:sz w:val="20"/>
          <w:szCs w:val="20"/>
        </w:rPr>
        <w:t>collaboration</w:t>
      </w:r>
      <w:r w:rsidRPr="00CC220F">
        <w:rPr>
          <w:rFonts w:ascii="Times New Roman" w:hAnsi="Times New Roman" w:cs="Times New Roman"/>
          <w:sz w:val="20"/>
          <w:szCs w:val="20"/>
        </w:rPr>
        <w:t xml:space="preserve"> and data exchange. </w:t>
      </w:r>
      <w:r>
        <w:rPr>
          <w:rFonts w:ascii="Times New Roman" w:eastAsia="Calibri" w:hAnsi="Times New Roman" w:cs="Times New Roman"/>
          <w:sz w:val="20"/>
          <w:szCs w:val="20"/>
        </w:rPr>
        <w:t>This</w:t>
      </w:r>
      <w:r w:rsidRPr="00CC220F">
        <w:rPr>
          <w:rFonts w:ascii="Times New Roman" w:hAnsi="Times New Roman" w:cs="Times New Roman"/>
          <w:sz w:val="20"/>
          <w:szCs w:val="20"/>
        </w:rPr>
        <w:t xml:space="preserve"> research provides a pragmatic framework for integr</w:t>
      </w:r>
      <w:r w:rsidRPr="00CC220F">
        <w:rPr>
          <w:rFonts w:ascii="Times New Roman" w:hAnsi="Times New Roman" w:cs="Times New Roman"/>
          <w:sz w:val="20"/>
          <w:szCs w:val="20"/>
        </w:rPr>
        <w:t>ating population hypertension treatment, equality, and health system performance with the Sustainable Development Goals agenda through measurable, sex-responsive, and time-constrained activities.</w:t>
      </w:r>
    </w:p>
    <w:p w14:paraId="0E8F61F9" w14:textId="404A97B6" w:rsidR="000D144F" w:rsidRDefault="008A3565" w:rsidP="00CC220F">
      <w:pPr>
        <w:jc w:val="both"/>
        <w:rPr>
          <w:rFonts w:ascii="Times New Roman" w:hAnsi="Times New Roman" w:cs="Times New Roman"/>
          <w:sz w:val="20"/>
          <w:szCs w:val="20"/>
          <w:lang w:val=""/>
        </w:rPr>
      </w:pPr>
      <w:r>
        <w:rPr>
          <w:rFonts w:ascii="Times New Roman" w:eastAsia="Calibri" w:hAnsi="Times New Roman" w:cs="Times New Roman"/>
          <w:sz w:val="20"/>
          <w:szCs w:val="20"/>
        </w:rPr>
        <w:t xml:space="preserve">Limitations </w:t>
      </w:r>
      <w:r w:rsidRPr="00CC220F">
        <w:rPr>
          <w:rFonts w:ascii="Times New Roman" w:eastAsia="Calibri" w:hAnsi="Times New Roman" w:cs="Times New Roman"/>
          <w:sz w:val="20"/>
          <w:szCs w:val="20"/>
        </w:rPr>
        <w:br/>
      </w:r>
      <w:r>
        <w:rPr>
          <w:rFonts w:ascii="Times New Roman" w:eastAsia="Calibri" w:hAnsi="Times New Roman" w:cs="Times New Roman"/>
          <w:sz w:val="20"/>
          <w:szCs w:val="20"/>
        </w:rPr>
        <w:t>This</w:t>
      </w:r>
      <w:r w:rsidRPr="00CC220F">
        <w:rPr>
          <w:rFonts w:ascii="Times New Roman" w:hAnsi="Times New Roman" w:cs="Times New Roman"/>
          <w:sz w:val="20"/>
          <w:szCs w:val="20"/>
        </w:rPr>
        <w:t xml:space="preserve"> study utilizes country-level averages for adults aged 30</w:t>
      </w:r>
      <w:r>
        <w:rPr>
          <w:rFonts w:ascii="Times New Roman" w:eastAsia="Calibri" w:hAnsi="Times New Roman" w:cs="Times New Roman"/>
          <w:sz w:val="20"/>
          <w:szCs w:val="20"/>
        </w:rPr>
        <w:t>-</w:t>
      </w:r>
      <w:r w:rsidRPr="00CC220F">
        <w:rPr>
          <w:rFonts w:ascii="Times New Roman" w:hAnsi="Times New Roman" w:cs="Times New Roman"/>
          <w:sz w:val="20"/>
          <w:szCs w:val="20"/>
        </w:rPr>
        <w:t xml:space="preserve">79 years, obscuring subnational heterogeneity, disparities across younger and older age groups, and individual characteristics such as socioeconomic status, comorbidities, and HIV. Measurement </w:t>
      </w:r>
      <w:r>
        <w:rPr>
          <w:rFonts w:ascii="Times New Roman" w:eastAsia="Calibri" w:hAnsi="Times New Roman" w:cs="Times New Roman"/>
          <w:sz w:val="20"/>
          <w:szCs w:val="20"/>
        </w:rPr>
        <w:t>error</w:t>
      </w:r>
      <w:r>
        <w:rPr>
          <w:rFonts w:ascii="Times New Roman" w:eastAsia="Calibri" w:hAnsi="Times New Roman" w:cs="Times New Roman"/>
          <w:sz w:val="20"/>
          <w:szCs w:val="20"/>
        </w:rPr>
        <w:t>s</w:t>
      </w:r>
      <w:r w:rsidRPr="00CC220F">
        <w:rPr>
          <w:rFonts w:ascii="Times New Roman" w:hAnsi="Times New Roman" w:cs="Times New Roman"/>
          <w:sz w:val="20"/>
          <w:szCs w:val="20"/>
        </w:rPr>
        <w:t xml:space="preserve"> in </w:t>
      </w:r>
      <w:r>
        <w:rPr>
          <w:rFonts w:ascii="Times New Roman" w:eastAsia="Calibri" w:hAnsi="Times New Roman" w:cs="Times New Roman"/>
          <w:sz w:val="20"/>
          <w:szCs w:val="20"/>
        </w:rPr>
        <w:t xml:space="preserve">the </w:t>
      </w:r>
      <w:r w:rsidRPr="00CC220F">
        <w:rPr>
          <w:rFonts w:ascii="Times New Roman" w:hAnsi="Times New Roman" w:cs="Times New Roman"/>
          <w:sz w:val="20"/>
          <w:szCs w:val="20"/>
        </w:rPr>
        <w:t>NCD-</w:t>
      </w:r>
      <w:proofErr w:type="spellStart"/>
      <w:r w:rsidRPr="00CC220F">
        <w:rPr>
          <w:rFonts w:ascii="Times New Roman" w:hAnsi="Times New Roman" w:cs="Times New Roman"/>
          <w:sz w:val="20"/>
          <w:szCs w:val="20"/>
        </w:rPr>
        <w:t>RisC</w:t>
      </w:r>
      <w:proofErr w:type="spellEnd"/>
      <w:r w:rsidRPr="00CC220F">
        <w:rPr>
          <w:rFonts w:ascii="Times New Roman" w:hAnsi="Times New Roman" w:cs="Times New Roman"/>
          <w:sz w:val="20"/>
          <w:szCs w:val="20"/>
        </w:rPr>
        <w:t xml:space="preserve"> indicators may arise from the survey design, the reporting of treatments, and the standardization of age.</w:t>
      </w:r>
    </w:p>
    <w:p w14:paraId="08433A52" w14:textId="41254533" w:rsidR="000D144F" w:rsidRPr="000D144F" w:rsidRDefault="008A3565" w:rsidP="00CC220F">
      <w:pPr>
        <w:jc w:val="both"/>
        <w:rPr>
          <w:rFonts w:ascii="Times New Roman" w:hAnsi="Times New Roman" w:cs="Times New Roman"/>
          <w:b/>
          <w:bCs/>
          <w:sz w:val="20"/>
          <w:szCs w:val="20"/>
          <w:lang w:val=""/>
        </w:rPr>
      </w:pPr>
      <w:r w:rsidRPr="000D144F">
        <w:rPr>
          <w:rFonts w:ascii="Times New Roman" w:hAnsi="Times New Roman" w:cs="Times New Roman"/>
          <w:b/>
          <w:bCs/>
          <w:sz w:val="20"/>
          <w:szCs w:val="20"/>
        </w:rPr>
        <w:t>Conclusion</w:t>
      </w:r>
    </w:p>
    <w:p w14:paraId="6BFCF953" w14:textId="3FC5E896" w:rsidR="00CC220F" w:rsidRPr="00CC220F" w:rsidRDefault="008A3565" w:rsidP="00CC220F">
      <w:pPr>
        <w:jc w:val="both"/>
        <w:rPr>
          <w:rFonts w:ascii="Times New Roman" w:hAnsi="Times New Roman" w:cs="Times New Roman"/>
          <w:sz w:val="20"/>
          <w:szCs w:val="20"/>
          <w:lang w:val=""/>
        </w:rPr>
      </w:pPr>
      <w:r w:rsidRPr="00CC220F">
        <w:rPr>
          <w:rFonts w:ascii="Times New Roman" w:hAnsi="Times New Roman" w:cs="Times New Roman"/>
          <w:sz w:val="20"/>
          <w:szCs w:val="20"/>
        </w:rPr>
        <w:t>The African hypertension cascade exhibits strong system coherence in treatment, management, and severe uncontrolled disea</w:t>
      </w:r>
      <w:r w:rsidRPr="00CC220F">
        <w:rPr>
          <w:rFonts w:ascii="Times New Roman" w:hAnsi="Times New Roman" w:cs="Times New Roman"/>
          <w:sz w:val="20"/>
          <w:szCs w:val="20"/>
        </w:rPr>
        <w:t>se</w:t>
      </w:r>
      <w:r>
        <w:rPr>
          <w:rFonts w:ascii="Times New Roman" w:eastAsia="Calibri" w:hAnsi="Times New Roman" w:cs="Times New Roman"/>
          <w:sz w:val="20"/>
          <w:szCs w:val="20"/>
        </w:rPr>
        <w:t>;</w:t>
      </w:r>
      <w:r w:rsidRPr="00CC220F">
        <w:rPr>
          <w:rFonts w:ascii="Times New Roman" w:hAnsi="Times New Roman" w:cs="Times New Roman"/>
          <w:sz w:val="20"/>
          <w:szCs w:val="20"/>
        </w:rPr>
        <w:t xml:space="preserve"> moderate and fragmented progress in diagnosis</w:t>
      </w:r>
      <w:r>
        <w:rPr>
          <w:rFonts w:ascii="Times New Roman" w:eastAsia="Calibri" w:hAnsi="Times New Roman" w:cs="Times New Roman"/>
          <w:sz w:val="20"/>
          <w:szCs w:val="20"/>
        </w:rPr>
        <w:t>;</w:t>
      </w:r>
      <w:r w:rsidRPr="00CC220F">
        <w:rPr>
          <w:rFonts w:ascii="Times New Roman" w:hAnsi="Times New Roman" w:cs="Times New Roman"/>
          <w:sz w:val="20"/>
          <w:szCs w:val="20"/>
        </w:rPr>
        <w:t xml:space="preserve"> and considerable advantages for females in following care, </w:t>
      </w:r>
      <w:r>
        <w:rPr>
          <w:rFonts w:ascii="Times New Roman" w:eastAsia="Calibri" w:hAnsi="Times New Roman" w:cs="Times New Roman"/>
          <w:sz w:val="20"/>
          <w:szCs w:val="20"/>
        </w:rPr>
        <w:t>especially in</w:t>
      </w:r>
      <w:r w:rsidRPr="00CC220F">
        <w:rPr>
          <w:rFonts w:ascii="Times New Roman" w:hAnsi="Times New Roman" w:cs="Times New Roman"/>
          <w:sz w:val="20"/>
          <w:szCs w:val="20"/>
        </w:rPr>
        <w:t xml:space="preserve"> persistently high-risk </w:t>
      </w:r>
      <w:r>
        <w:rPr>
          <w:rFonts w:ascii="Times New Roman" w:eastAsia="Calibri" w:hAnsi="Times New Roman" w:cs="Times New Roman"/>
          <w:sz w:val="20"/>
          <w:szCs w:val="20"/>
        </w:rPr>
        <w:t>populations</w:t>
      </w:r>
      <w:r w:rsidRPr="00CC220F">
        <w:rPr>
          <w:rFonts w:ascii="Times New Roman" w:hAnsi="Times New Roman" w:cs="Times New Roman"/>
          <w:sz w:val="20"/>
          <w:szCs w:val="20"/>
        </w:rPr>
        <w:t>. A robust shared impetus indicates that investment in assured pharmaceuticals, collaborative prim</w:t>
      </w:r>
      <w:r w:rsidRPr="00CC220F">
        <w:rPr>
          <w:rFonts w:ascii="Times New Roman" w:hAnsi="Times New Roman" w:cs="Times New Roman"/>
          <w:sz w:val="20"/>
          <w:szCs w:val="20"/>
        </w:rPr>
        <w:t xml:space="preserve">ary care, protocol-guided titration, </w:t>
      </w:r>
      <w:proofErr w:type="spellStart"/>
      <w:r w:rsidRPr="00CC220F">
        <w:rPr>
          <w:rFonts w:ascii="Times New Roman" w:hAnsi="Times New Roman" w:cs="Times New Roman"/>
          <w:sz w:val="20"/>
          <w:szCs w:val="20"/>
        </w:rPr>
        <w:t>multimonth</w:t>
      </w:r>
      <w:proofErr w:type="spellEnd"/>
      <w:r w:rsidRPr="00CC220F">
        <w:rPr>
          <w:rFonts w:ascii="Times New Roman" w:hAnsi="Times New Roman" w:cs="Times New Roman"/>
          <w:sz w:val="20"/>
          <w:szCs w:val="20"/>
        </w:rPr>
        <w:t xml:space="preserve"> distribution, and </w:t>
      </w:r>
      <w:r w:rsidRPr="00CC220F">
        <w:rPr>
          <w:rFonts w:ascii="Times New Roman" w:hAnsi="Times New Roman" w:cs="Times New Roman"/>
          <w:sz w:val="20"/>
          <w:szCs w:val="20"/>
        </w:rPr>
        <w:lastRenderedPageBreak/>
        <w:t xml:space="preserve">registry-facilitated continuity over multiple years will yield cumulative enhancements. </w:t>
      </w:r>
      <w:r>
        <w:rPr>
          <w:rFonts w:ascii="Times New Roman" w:eastAsia="Calibri" w:hAnsi="Times New Roman" w:cs="Times New Roman"/>
          <w:sz w:val="20"/>
          <w:szCs w:val="20"/>
        </w:rPr>
        <w:t>Policies</w:t>
      </w:r>
      <w:r w:rsidRPr="00CC220F">
        <w:rPr>
          <w:rFonts w:ascii="Times New Roman" w:hAnsi="Times New Roman" w:cs="Times New Roman"/>
          <w:sz w:val="20"/>
          <w:szCs w:val="20"/>
        </w:rPr>
        <w:t xml:space="preserve"> must create sex-disaggregated objectives for age-standardized control and precise targets for</w:t>
      </w:r>
      <w:r w:rsidRPr="00CC220F">
        <w:rPr>
          <w:rFonts w:ascii="Times New Roman" w:hAnsi="Times New Roman" w:cs="Times New Roman"/>
          <w:sz w:val="20"/>
          <w:szCs w:val="20"/>
        </w:rPr>
        <w:t xml:space="preserve"> reducing untreated stage</w:t>
      </w:r>
      <w:r w:rsidR="001B083B">
        <w:rPr>
          <w:rFonts w:ascii="Times New Roman" w:eastAsia="Calibri" w:hAnsi="Times New Roman" w:cs="Times New Roman"/>
          <w:sz w:val="20"/>
          <w:szCs w:val="20"/>
        </w:rPr>
        <w:t>-</w:t>
      </w:r>
      <w:r w:rsidRPr="00CC220F">
        <w:rPr>
          <w:rFonts w:ascii="Times New Roman" w:hAnsi="Times New Roman" w:cs="Times New Roman"/>
          <w:sz w:val="20"/>
          <w:szCs w:val="20"/>
        </w:rPr>
        <w:t xml:space="preserve">2 cases while launching a diagnostic surge that incorporates measurement into routine interactions and community environments. </w:t>
      </w:r>
      <w:r>
        <w:rPr>
          <w:rFonts w:ascii="Times New Roman" w:eastAsia="Calibri" w:hAnsi="Times New Roman" w:cs="Times New Roman"/>
          <w:sz w:val="20"/>
          <w:szCs w:val="20"/>
        </w:rPr>
        <w:t>These</w:t>
      </w:r>
      <w:r w:rsidRPr="00CC220F">
        <w:rPr>
          <w:rFonts w:ascii="Times New Roman" w:hAnsi="Times New Roman" w:cs="Times New Roman"/>
          <w:sz w:val="20"/>
          <w:szCs w:val="20"/>
        </w:rPr>
        <w:t xml:space="preserve"> findings indicate that enhancing diagnosis and treatment can significantly improve control by 203</w:t>
      </w:r>
      <w:r w:rsidRPr="00CC220F">
        <w:rPr>
          <w:rFonts w:ascii="Times New Roman" w:hAnsi="Times New Roman" w:cs="Times New Roman"/>
          <w:sz w:val="20"/>
          <w:szCs w:val="20"/>
        </w:rPr>
        <w:t xml:space="preserve">0, provided that the capacity to escalate care increases to halt the proliferation of severe uncontrolled disease. Coordinating financing, procurement, clinical protocols, and digital follow-up to </w:t>
      </w:r>
      <w:r>
        <w:rPr>
          <w:rFonts w:ascii="Times New Roman" w:eastAsia="Calibri" w:hAnsi="Times New Roman" w:cs="Times New Roman"/>
          <w:sz w:val="20"/>
          <w:szCs w:val="20"/>
        </w:rPr>
        <w:t>increase</w:t>
      </w:r>
      <w:r w:rsidRPr="00CC220F">
        <w:rPr>
          <w:rFonts w:ascii="Times New Roman" w:hAnsi="Times New Roman" w:cs="Times New Roman"/>
          <w:sz w:val="20"/>
          <w:szCs w:val="20"/>
        </w:rPr>
        <w:t xml:space="preserve"> the </w:t>
      </w:r>
      <w:r>
        <w:rPr>
          <w:rFonts w:ascii="Times New Roman" w:eastAsia="Calibri" w:hAnsi="Times New Roman" w:cs="Times New Roman"/>
          <w:sz w:val="20"/>
          <w:szCs w:val="20"/>
        </w:rPr>
        <w:t xml:space="preserve">number of </w:t>
      </w:r>
      <w:r w:rsidRPr="00CC220F">
        <w:rPr>
          <w:rFonts w:ascii="Times New Roman" w:hAnsi="Times New Roman" w:cs="Times New Roman"/>
          <w:sz w:val="20"/>
          <w:szCs w:val="20"/>
        </w:rPr>
        <w:t xml:space="preserve">shared </w:t>
      </w:r>
      <w:r>
        <w:rPr>
          <w:rFonts w:ascii="Times New Roman" w:eastAsia="Calibri" w:hAnsi="Times New Roman" w:cs="Times New Roman"/>
          <w:sz w:val="20"/>
          <w:szCs w:val="20"/>
        </w:rPr>
        <w:t>factors</w:t>
      </w:r>
      <w:r w:rsidRPr="00CC220F">
        <w:rPr>
          <w:rFonts w:ascii="Times New Roman" w:hAnsi="Times New Roman" w:cs="Times New Roman"/>
          <w:sz w:val="20"/>
          <w:szCs w:val="20"/>
        </w:rPr>
        <w:t xml:space="preserve"> while safeguarding hi</w:t>
      </w:r>
      <w:r w:rsidRPr="00CC220F">
        <w:rPr>
          <w:rFonts w:ascii="Times New Roman" w:hAnsi="Times New Roman" w:cs="Times New Roman"/>
          <w:sz w:val="20"/>
          <w:szCs w:val="20"/>
        </w:rPr>
        <w:t>gh-risk patients through expedited management is a viable technique for the rapid and sustained control of hypertension on a broad scale.</w:t>
      </w:r>
    </w:p>
    <w:p w14:paraId="119BFBD9" w14:textId="77777777" w:rsidR="00117CC1" w:rsidRPr="00117CC1" w:rsidRDefault="008A3565" w:rsidP="00117CC1">
      <w:pPr>
        <w:jc w:val="both"/>
        <w:rPr>
          <w:rFonts w:ascii="Times New Roman" w:hAnsi="Times New Roman" w:cs="Times New Roman"/>
          <w:b/>
          <w:bCs/>
          <w:sz w:val="20"/>
          <w:szCs w:val="20"/>
        </w:rPr>
      </w:pPr>
      <w:r w:rsidRPr="00117CC1">
        <w:rPr>
          <w:rFonts w:ascii="Times New Roman" w:hAnsi="Times New Roman" w:cs="Times New Roman"/>
          <w:b/>
          <w:bCs/>
          <w:sz w:val="20"/>
          <w:szCs w:val="20"/>
        </w:rPr>
        <w:t>Declarations</w:t>
      </w:r>
    </w:p>
    <w:p w14:paraId="71131993" w14:textId="7DA78850" w:rsidR="00117CC1" w:rsidRPr="00117CC1" w:rsidRDefault="008A3565" w:rsidP="00117CC1">
      <w:pPr>
        <w:jc w:val="both"/>
        <w:rPr>
          <w:rFonts w:ascii="Times New Roman" w:hAnsi="Times New Roman" w:cs="Times New Roman"/>
          <w:b/>
          <w:bCs/>
          <w:sz w:val="20"/>
          <w:szCs w:val="20"/>
        </w:rPr>
      </w:pPr>
      <w:r w:rsidRPr="00117CC1">
        <w:rPr>
          <w:rFonts w:ascii="Times New Roman" w:hAnsi="Times New Roman" w:cs="Times New Roman"/>
          <w:b/>
          <w:bCs/>
          <w:sz w:val="20"/>
          <w:szCs w:val="20"/>
        </w:rPr>
        <w:t>Data</w:t>
      </w:r>
      <w:r>
        <w:rPr>
          <w:rFonts w:ascii="Times New Roman" w:eastAsia="Calibri" w:hAnsi="Times New Roman" w:cs="Times New Roman"/>
          <w:b/>
          <w:bCs/>
          <w:sz w:val="20"/>
          <w:szCs w:val="20"/>
        </w:rPr>
        <w:t xml:space="preserve"> </w:t>
      </w:r>
      <w:r w:rsidRPr="00117CC1">
        <w:rPr>
          <w:rFonts w:ascii="Times New Roman" w:hAnsi="Times New Roman" w:cs="Times New Roman"/>
          <w:b/>
          <w:bCs/>
          <w:sz w:val="20"/>
          <w:szCs w:val="20"/>
        </w:rPr>
        <w:t>availability</w:t>
      </w:r>
      <w:r>
        <w:rPr>
          <w:rFonts w:ascii="Times New Roman" w:eastAsia="Calibri" w:hAnsi="Times New Roman" w:cs="Times New Roman"/>
          <w:b/>
          <w:bCs/>
          <w:sz w:val="20"/>
          <w:szCs w:val="20"/>
        </w:rPr>
        <w:t xml:space="preserve"> </w:t>
      </w:r>
      <w:r w:rsidRPr="00117CC1">
        <w:rPr>
          <w:rFonts w:ascii="Times New Roman" w:hAnsi="Times New Roman" w:cs="Times New Roman"/>
          <w:b/>
          <w:bCs/>
          <w:sz w:val="20"/>
          <w:szCs w:val="20"/>
        </w:rPr>
        <w:t>statement</w:t>
      </w:r>
    </w:p>
    <w:p w14:paraId="7B02AE56" w14:textId="36CE3F7A" w:rsidR="00117CC1" w:rsidRPr="00117CC1" w:rsidRDefault="008A3565" w:rsidP="00117CC1">
      <w:pPr>
        <w:jc w:val="both"/>
        <w:rPr>
          <w:rFonts w:ascii="Times New Roman" w:hAnsi="Times New Roman" w:cs="Times New Roman"/>
          <w:sz w:val="20"/>
          <w:szCs w:val="20"/>
        </w:rPr>
      </w:pP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supporting</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this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study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are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publicly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available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Noncommunicable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Disease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Risk</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Factor</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Collaboration (NCD-</w:t>
      </w:r>
      <w:proofErr w:type="spellStart"/>
      <w:r w:rsidRPr="00117CC1">
        <w:rPr>
          <w:rFonts w:ascii="Times New Roman" w:hAnsi="Times New Roman" w:cs="Times New Roman"/>
          <w:sz w:val="20"/>
          <w:szCs w:val="20"/>
        </w:rPr>
        <w:t>RisC</w:t>
      </w:r>
      <w:proofErr w:type="spellEnd"/>
      <w:r w:rsidRPr="00117CC1">
        <w:rPr>
          <w:rFonts w:ascii="Times New Roman" w:hAnsi="Times New Roman" w:cs="Times New Roman"/>
          <w:sz w:val="20"/>
          <w:szCs w:val="20"/>
        </w:rPr>
        <w: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global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estimates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database, https://www.ncdrisc.org/data-downloads.html.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Ethics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Statement This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study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utilized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publicly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available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from</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Noncommunicable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Disease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Risk</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Factor</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Collaboration</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w:t>
      </w:r>
      <w:proofErr w:type="spellStart"/>
      <w:r w:rsidRPr="00117CC1">
        <w:rPr>
          <w:rFonts w:ascii="Times New Roman" w:hAnsi="Times New Roman" w:cs="Times New Roman"/>
          <w:sz w:val="20"/>
          <w:szCs w:val="20"/>
        </w:rPr>
        <w:t>NCDRisC</w:t>
      </w:r>
      <w:proofErr w:type="spellEnd"/>
      <w:r w:rsidRPr="00117CC1">
        <w:rPr>
          <w:rFonts w:ascii="Times New Roman" w:hAnsi="Times New Roman" w:cs="Times New Roman"/>
          <w:sz w:val="20"/>
          <w:szCs w:val="20"/>
        </w:rPr>
        <w: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global</w:t>
      </w:r>
      <w:r>
        <w:rPr>
          <w:rFonts w:ascii="Times New Roman" w:eastAsia="Calibri" w:hAnsi="Times New Roman" w:cs="Times New Roman"/>
          <w:sz w:val="20"/>
          <w:szCs w:val="20"/>
        </w:rPr>
        <w:t xml:space="preserve"> estimate </w:t>
      </w:r>
      <w:r w:rsidRPr="00117CC1">
        <w:rPr>
          <w:rFonts w:ascii="Times New Roman" w:hAnsi="Times New Roman" w:cs="Times New Roman"/>
          <w:sz w:val="20"/>
          <w:szCs w:val="20"/>
        </w:rPr>
        <w:t>database.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are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deidentified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and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aggregated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population</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level,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no</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ethical approval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was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needed.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study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adheres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to</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all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ethical</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guidelines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for</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use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of</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publicly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accessible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data</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and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ensures that</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information</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is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used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solely</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for</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academic</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and</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research</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purposes to</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inform</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public</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health</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strategies.</w:t>
      </w:r>
    </w:p>
    <w:p w14:paraId="2DF2EEB6" w14:textId="5DB9376A" w:rsidR="00117CC1" w:rsidRPr="00117CC1" w:rsidRDefault="008A3565" w:rsidP="00117CC1">
      <w:pPr>
        <w:jc w:val="both"/>
        <w:rPr>
          <w:rFonts w:ascii="Times New Roman" w:hAnsi="Times New Roman" w:cs="Times New Roman"/>
          <w:b/>
          <w:bCs/>
          <w:sz w:val="20"/>
          <w:szCs w:val="20"/>
        </w:rPr>
      </w:pPr>
      <w:r w:rsidRPr="00117CC1">
        <w:rPr>
          <w:rFonts w:ascii="Times New Roman" w:hAnsi="Times New Roman" w:cs="Times New Roman"/>
          <w:b/>
          <w:bCs/>
          <w:sz w:val="20"/>
          <w:szCs w:val="20"/>
        </w:rPr>
        <w:t>Conflicts of</w:t>
      </w:r>
      <w:r>
        <w:rPr>
          <w:rFonts w:ascii="Times New Roman" w:eastAsia="Calibri" w:hAnsi="Times New Roman" w:cs="Times New Roman"/>
          <w:b/>
          <w:bCs/>
          <w:sz w:val="20"/>
          <w:szCs w:val="20"/>
        </w:rPr>
        <w:t xml:space="preserve"> </w:t>
      </w:r>
      <w:r w:rsidRPr="00117CC1">
        <w:rPr>
          <w:rFonts w:ascii="Times New Roman" w:hAnsi="Times New Roman" w:cs="Times New Roman"/>
          <w:b/>
          <w:bCs/>
          <w:sz w:val="20"/>
          <w:szCs w:val="20"/>
        </w:rPr>
        <w:t>interest</w:t>
      </w:r>
    </w:p>
    <w:p w14:paraId="223271EB" w14:textId="7BAA2493" w:rsidR="00117CC1" w:rsidRPr="00117CC1" w:rsidRDefault="008A3565" w:rsidP="00117CC1">
      <w:pPr>
        <w:jc w:val="both"/>
        <w:rPr>
          <w:rFonts w:ascii="Times New Roman" w:hAnsi="Times New Roman" w:cs="Times New Roman"/>
          <w:sz w:val="20"/>
          <w:szCs w:val="20"/>
        </w:rPr>
      </w:pPr>
      <w:r w:rsidRPr="00117CC1">
        <w:rPr>
          <w:rFonts w:ascii="Times New Roman" w:hAnsi="Times New Roman" w:cs="Times New Roman"/>
          <w:sz w:val="20"/>
          <w:szCs w:val="20"/>
        </w:rPr>
        <w:t>The</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authors</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declare</w:t>
      </w:r>
      <w:r>
        <w:rPr>
          <w:rFonts w:ascii="Times New Roman" w:eastAsia="Calibri" w:hAnsi="Times New Roman" w:cs="Times New Roman"/>
          <w:sz w:val="20"/>
          <w:szCs w:val="20"/>
        </w:rPr>
        <w:t xml:space="preserve"> that they have no </w:t>
      </w:r>
      <w:r w:rsidRPr="00117CC1">
        <w:rPr>
          <w:rFonts w:ascii="Times New Roman" w:hAnsi="Times New Roman" w:cs="Times New Roman"/>
          <w:sz w:val="20"/>
          <w:szCs w:val="20"/>
        </w:rPr>
        <w:t>competing</w:t>
      </w:r>
      <w:r>
        <w:rPr>
          <w:rFonts w:ascii="Times New Roman" w:eastAsia="Calibri" w:hAnsi="Times New Roman" w:cs="Times New Roman"/>
          <w:sz w:val="20"/>
          <w:szCs w:val="20"/>
        </w:rPr>
        <w:t xml:space="preserve"> </w:t>
      </w:r>
      <w:r w:rsidRPr="00117CC1">
        <w:rPr>
          <w:rFonts w:ascii="Times New Roman" w:hAnsi="Times New Roman" w:cs="Times New Roman"/>
          <w:sz w:val="20"/>
          <w:szCs w:val="20"/>
        </w:rPr>
        <w:t>interests.</w:t>
      </w:r>
    </w:p>
    <w:p w14:paraId="7F1F6894" w14:textId="3BBE534C" w:rsidR="00117CC1" w:rsidRPr="00117CC1" w:rsidRDefault="008A3565" w:rsidP="00117CC1">
      <w:pPr>
        <w:jc w:val="both"/>
        <w:rPr>
          <w:rFonts w:ascii="Times New Roman" w:hAnsi="Times New Roman" w:cs="Times New Roman"/>
          <w:b/>
          <w:bCs/>
          <w:sz w:val="20"/>
          <w:szCs w:val="20"/>
        </w:rPr>
      </w:pPr>
      <w:r w:rsidRPr="00117CC1">
        <w:rPr>
          <w:rFonts w:ascii="Times New Roman" w:hAnsi="Times New Roman" w:cs="Times New Roman"/>
          <w:b/>
          <w:bCs/>
          <w:sz w:val="20"/>
          <w:szCs w:val="20"/>
        </w:rPr>
        <w:t>Consent</w:t>
      </w:r>
      <w:r>
        <w:rPr>
          <w:rFonts w:ascii="Times New Roman" w:eastAsia="Calibri" w:hAnsi="Times New Roman" w:cs="Times New Roman"/>
          <w:b/>
          <w:bCs/>
          <w:sz w:val="20"/>
          <w:szCs w:val="20"/>
        </w:rPr>
        <w:t xml:space="preserve"> </w:t>
      </w:r>
      <w:r w:rsidRPr="00117CC1">
        <w:rPr>
          <w:rFonts w:ascii="Times New Roman" w:hAnsi="Times New Roman" w:cs="Times New Roman"/>
          <w:b/>
          <w:bCs/>
          <w:sz w:val="20"/>
          <w:szCs w:val="20"/>
        </w:rPr>
        <w:t>for</w:t>
      </w:r>
      <w:r>
        <w:rPr>
          <w:rFonts w:ascii="Times New Roman" w:eastAsia="Calibri" w:hAnsi="Times New Roman" w:cs="Times New Roman"/>
          <w:b/>
          <w:bCs/>
          <w:sz w:val="20"/>
          <w:szCs w:val="20"/>
        </w:rPr>
        <w:t xml:space="preserve"> </w:t>
      </w:r>
      <w:r w:rsidRPr="00117CC1">
        <w:rPr>
          <w:rFonts w:ascii="Times New Roman" w:hAnsi="Times New Roman" w:cs="Times New Roman"/>
          <w:b/>
          <w:bCs/>
          <w:sz w:val="20"/>
          <w:szCs w:val="20"/>
        </w:rPr>
        <w:t>Publication</w:t>
      </w:r>
    </w:p>
    <w:p w14:paraId="6CCEC9CD" w14:textId="0F8E59E3" w:rsidR="00117CC1" w:rsidRPr="00117CC1" w:rsidRDefault="008A3565" w:rsidP="00117CC1">
      <w:pPr>
        <w:jc w:val="both"/>
        <w:rPr>
          <w:rFonts w:ascii="Times New Roman" w:hAnsi="Times New Roman" w:cs="Times New Roman"/>
          <w:sz w:val="20"/>
          <w:szCs w:val="20"/>
        </w:rPr>
      </w:pPr>
      <w:r w:rsidRPr="00117CC1">
        <w:rPr>
          <w:rFonts w:ascii="Times New Roman" w:hAnsi="Times New Roman" w:cs="Times New Roman"/>
          <w:sz w:val="20"/>
          <w:szCs w:val="20"/>
        </w:rPr>
        <w:t xml:space="preserve">Not applicable </w:t>
      </w:r>
      <w:r>
        <w:rPr>
          <w:rFonts w:ascii="Times New Roman" w:eastAsia="Calibri" w:hAnsi="Times New Roman" w:cs="Times New Roman"/>
          <w:sz w:val="20"/>
          <w:szCs w:val="20"/>
        </w:rPr>
        <w:t>in the clinic</w:t>
      </w:r>
    </w:p>
    <w:p w14:paraId="07A64130" w14:textId="77777777" w:rsidR="00117CC1" w:rsidRPr="00117CC1" w:rsidRDefault="008A3565" w:rsidP="00117CC1">
      <w:pPr>
        <w:jc w:val="both"/>
        <w:rPr>
          <w:rFonts w:ascii="Times New Roman" w:hAnsi="Times New Roman" w:cs="Times New Roman"/>
          <w:b/>
          <w:bCs/>
          <w:sz w:val="20"/>
          <w:szCs w:val="20"/>
        </w:rPr>
      </w:pPr>
      <w:r w:rsidRPr="00117CC1">
        <w:rPr>
          <w:rFonts w:ascii="Times New Roman" w:hAnsi="Times New Roman" w:cs="Times New Roman"/>
          <w:b/>
          <w:bCs/>
          <w:sz w:val="20"/>
          <w:szCs w:val="20"/>
        </w:rPr>
        <w:t>Trial Number</w:t>
      </w:r>
    </w:p>
    <w:p w14:paraId="5B53230A" w14:textId="5420C158" w:rsidR="000D144F" w:rsidRDefault="008A3565" w:rsidP="00117CC1">
      <w:pPr>
        <w:jc w:val="both"/>
        <w:rPr>
          <w:rFonts w:ascii="Times New Roman" w:hAnsi="Times New Roman" w:cs="Times New Roman"/>
          <w:sz w:val="20"/>
          <w:szCs w:val="20"/>
        </w:rPr>
      </w:pPr>
      <w:r w:rsidRPr="00117CC1">
        <w:rPr>
          <w:rFonts w:ascii="Times New Roman" w:hAnsi="Times New Roman" w:cs="Times New Roman"/>
          <w:sz w:val="20"/>
          <w:szCs w:val="20"/>
        </w:rPr>
        <w:t>Not applicable</w:t>
      </w:r>
    </w:p>
    <w:p w14:paraId="1F741AF7" w14:textId="77777777" w:rsidR="000D144F" w:rsidRPr="00010423" w:rsidRDefault="008A3565" w:rsidP="000D144F">
      <w:pPr>
        <w:rPr>
          <w:rFonts w:ascii="Times New Roman" w:hAnsi="Times New Roman" w:cs="Times New Roman"/>
          <w:b/>
          <w:bCs/>
          <w:sz w:val="20"/>
          <w:szCs w:val="20"/>
        </w:rPr>
      </w:pPr>
      <w:bookmarkStart w:id="0" w:name="_GoBack"/>
      <w:bookmarkEnd w:id="0"/>
      <w:r w:rsidRPr="00010423">
        <w:rPr>
          <w:rFonts w:ascii="Times New Roman" w:hAnsi="Times New Roman" w:cs="Times New Roman"/>
          <w:b/>
          <w:bCs/>
          <w:sz w:val="20"/>
          <w:szCs w:val="20"/>
        </w:rPr>
        <w:t>Reference</w:t>
      </w:r>
    </w:p>
    <w:p w14:paraId="443B3186"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Abba, M. S. (2022). </w:t>
      </w:r>
      <w:r w:rsidRPr="007F0543">
        <w:rPr>
          <w:rFonts w:ascii="Times New Roman" w:hAnsi="Times New Roman" w:cs="Times New Roman"/>
          <w:i/>
          <w:iCs/>
          <w:sz w:val="20"/>
          <w:szCs w:val="20"/>
        </w:rPr>
        <w:t xml:space="preserve">Novel risk factors for hypertension in low-and </w:t>
      </w:r>
      <w:proofErr w:type="gramStart"/>
      <w:r w:rsidRPr="007F0543">
        <w:rPr>
          <w:rFonts w:ascii="Times New Roman" w:hAnsi="Times New Roman" w:cs="Times New Roman"/>
          <w:i/>
          <w:iCs/>
          <w:sz w:val="20"/>
          <w:szCs w:val="20"/>
        </w:rPr>
        <w:t>middle income</w:t>
      </w:r>
      <w:proofErr w:type="gramEnd"/>
      <w:r w:rsidRPr="007F0543">
        <w:rPr>
          <w:rFonts w:ascii="Times New Roman" w:hAnsi="Times New Roman" w:cs="Times New Roman"/>
          <w:i/>
          <w:iCs/>
          <w:sz w:val="20"/>
          <w:szCs w:val="20"/>
        </w:rPr>
        <w:t xml:space="preserve"> countries: buildin</w:t>
      </w:r>
      <w:r w:rsidRPr="007F0543">
        <w:rPr>
          <w:rFonts w:ascii="Times New Roman" w:hAnsi="Times New Roman" w:cs="Times New Roman"/>
          <w:i/>
          <w:iCs/>
          <w:sz w:val="20"/>
          <w:szCs w:val="20"/>
        </w:rPr>
        <w:t>g evidence to reverse the burgeoning epidemic</w:t>
      </w:r>
      <w:r w:rsidRPr="007F0543">
        <w:rPr>
          <w:rFonts w:ascii="Times New Roman" w:hAnsi="Times New Roman" w:cs="Times New Roman"/>
          <w:sz w:val="20"/>
          <w:szCs w:val="20"/>
        </w:rPr>
        <w:t xml:space="preserve"> (Doctoral dissertation, University of Warwick).</w:t>
      </w:r>
    </w:p>
    <w:p w14:paraId="2DE7B992"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Akl</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Akik</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Ghattas</w:t>
      </w:r>
      <w:proofErr w:type="spellEnd"/>
      <w:r w:rsidRPr="007F0543">
        <w:rPr>
          <w:rFonts w:ascii="Times New Roman" w:hAnsi="Times New Roman" w:cs="Times New Roman"/>
          <w:sz w:val="20"/>
          <w:szCs w:val="20"/>
        </w:rPr>
        <w:t xml:space="preserve">, H., &amp; Obermeyer, C. M. (2020). The cascade of care in managing hypertension in the Arab world: a systematic assessment of the evidence on awareness, treatment and control. </w:t>
      </w:r>
      <w:r w:rsidRPr="007F0543">
        <w:rPr>
          <w:rFonts w:ascii="Times New Roman" w:hAnsi="Times New Roman" w:cs="Times New Roman"/>
          <w:i/>
          <w:iCs/>
          <w:sz w:val="20"/>
          <w:szCs w:val="20"/>
        </w:rPr>
        <w:t>BMC Public Health, 20</w:t>
      </w:r>
      <w:r w:rsidRPr="007F0543">
        <w:rPr>
          <w:rFonts w:ascii="Times New Roman" w:hAnsi="Times New Roman" w:cs="Times New Roman"/>
          <w:sz w:val="20"/>
          <w:szCs w:val="20"/>
        </w:rPr>
        <w:t>(1), 835.</w:t>
      </w:r>
    </w:p>
    <w:p w14:paraId="2DC6F25A"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Aminde</w:t>
      </w:r>
      <w:proofErr w:type="spellEnd"/>
      <w:r w:rsidRPr="007F0543">
        <w:rPr>
          <w:rFonts w:ascii="Times New Roman" w:hAnsi="Times New Roman" w:cs="Times New Roman"/>
          <w:sz w:val="20"/>
          <w:szCs w:val="20"/>
        </w:rPr>
        <w:t xml:space="preserve">, L. N., </w:t>
      </w:r>
      <w:proofErr w:type="spellStart"/>
      <w:r w:rsidRPr="007F0543">
        <w:rPr>
          <w:rFonts w:ascii="Times New Roman" w:hAnsi="Times New Roman" w:cs="Times New Roman"/>
          <w:sz w:val="20"/>
          <w:szCs w:val="20"/>
        </w:rPr>
        <w:t>Agbor</w:t>
      </w:r>
      <w:proofErr w:type="spellEnd"/>
      <w:r w:rsidRPr="007F0543">
        <w:rPr>
          <w:rFonts w:ascii="Times New Roman" w:hAnsi="Times New Roman" w:cs="Times New Roman"/>
          <w:sz w:val="20"/>
          <w:szCs w:val="20"/>
        </w:rPr>
        <w:t xml:space="preserve">, V. </w:t>
      </w:r>
      <w:r w:rsidRPr="007F0543">
        <w:rPr>
          <w:rFonts w:ascii="Times New Roman" w:hAnsi="Times New Roman" w:cs="Times New Roman"/>
          <w:sz w:val="20"/>
          <w:szCs w:val="20"/>
        </w:rPr>
        <w:t xml:space="preserve">N., </w:t>
      </w:r>
      <w:proofErr w:type="spellStart"/>
      <w:r w:rsidRPr="007F0543">
        <w:rPr>
          <w:rFonts w:ascii="Times New Roman" w:hAnsi="Times New Roman" w:cs="Times New Roman"/>
          <w:sz w:val="20"/>
          <w:szCs w:val="20"/>
        </w:rPr>
        <w:t>Fongwen</w:t>
      </w:r>
      <w:proofErr w:type="spellEnd"/>
      <w:r w:rsidRPr="007F0543">
        <w:rPr>
          <w:rFonts w:ascii="Times New Roman" w:hAnsi="Times New Roman" w:cs="Times New Roman"/>
          <w:sz w:val="20"/>
          <w:szCs w:val="20"/>
        </w:rPr>
        <w:t xml:space="preserve">, N. T., </w:t>
      </w:r>
      <w:proofErr w:type="spellStart"/>
      <w:r w:rsidRPr="007F0543">
        <w:rPr>
          <w:rFonts w:ascii="Times New Roman" w:hAnsi="Times New Roman" w:cs="Times New Roman"/>
          <w:sz w:val="20"/>
          <w:szCs w:val="20"/>
        </w:rPr>
        <w:t>Ngwasiri</w:t>
      </w:r>
      <w:proofErr w:type="spellEnd"/>
      <w:r w:rsidRPr="007F0543">
        <w:rPr>
          <w:rFonts w:ascii="Times New Roman" w:hAnsi="Times New Roman" w:cs="Times New Roman"/>
          <w:sz w:val="20"/>
          <w:szCs w:val="20"/>
        </w:rPr>
        <w:t xml:space="preserve">, C. A., </w:t>
      </w:r>
      <w:proofErr w:type="spellStart"/>
      <w:r w:rsidRPr="007F0543">
        <w:rPr>
          <w:rFonts w:ascii="Times New Roman" w:hAnsi="Times New Roman" w:cs="Times New Roman"/>
          <w:sz w:val="20"/>
          <w:szCs w:val="20"/>
        </w:rPr>
        <w:t>Nkoke</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Nji</w:t>
      </w:r>
      <w:proofErr w:type="spellEnd"/>
      <w:r w:rsidRPr="007F0543">
        <w:rPr>
          <w:rFonts w:ascii="Times New Roman" w:hAnsi="Times New Roman" w:cs="Times New Roman"/>
          <w:sz w:val="20"/>
          <w:szCs w:val="20"/>
        </w:rPr>
        <w:t xml:space="preserve">, M. A., ... &amp; Schutte, A. E. (2025). High Burden and Trend in Nonadherence to Blood Pressure‐Lowering Medications: Meta‐Analysis of Data </w:t>
      </w:r>
      <w:proofErr w:type="gramStart"/>
      <w:r w:rsidRPr="007F0543">
        <w:rPr>
          <w:rFonts w:ascii="Times New Roman" w:hAnsi="Times New Roman" w:cs="Times New Roman"/>
          <w:sz w:val="20"/>
          <w:szCs w:val="20"/>
        </w:rPr>
        <w:t>From</w:t>
      </w:r>
      <w:proofErr w:type="gramEnd"/>
      <w:r w:rsidRPr="007F0543">
        <w:rPr>
          <w:rFonts w:ascii="Times New Roman" w:hAnsi="Times New Roman" w:cs="Times New Roman"/>
          <w:sz w:val="20"/>
          <w:szCs w:val="20"/>
        </w:rPr>
        <w:t xml:space="preserve"> Over 34 000 Adults With Hypertension in Sub‐Saharan Africa. </w:t>
      </w:r>
      <w:r w:rsidRPr="007F0543">
        <w:rPr>
          <w:rFonts w:ascii="Times New Roman" w:hAnsi="Times New Roman" w:cs="Times New Roman"/>
          <w:i/>
          <w:iCs/>
          <w:sz w:val="20"/>
          <w:szCs w:val="20"/>
        </w:rPr>
        <w:t>Jo</w:t>
      </w:r>
      <w:r w:rsidRPr="007F0543">
        <w:rPr>
          <w:rFonts w:ascii="Times New Roman" w:hAnsi="Times New Roman" w:cs="Times New Roman"/>
          <w:i/>
          <w:iCs/>
          <w:sz w:val="20"/>
          <w:szCs w:val="20"/>
        </w:rPr>
        <w:t>urnal of the American Heart Association, 14</w:t>
      </w:r>
      <w:r w:rsidRPr="007F0543">
        <w:rPr>
          <w:rFonts w:ascii="Times New Roman" w:hAnsi="Times New Roman" w:cs="Times New Roman"/>
          <w:sz w:val="20"/>
          <w:szCs w:val="20"/>
        </w:rPr>
        <w:t>(9), e037555.</w:t>
      </w:r>
    </w:p>
    <w:p w14:paraId="444C3824"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Chham</w:t>
      </w:r>
      <w:proofErr w:type="spellEnd"/>
      <w:r w:rsidRPr="007F0543">
        <w:rPr>
          <w:rFonts w:ascii="Times New Roman" w:hAnsi="Times New Roman" w:cs="Times New Roman"/>
          <w:sz w:val="20"/>
          <w:szCs w:val="20"/>
        </w:rPr>
        <w:t xml:space="preserve">, S., </w:t>
      </w:r>
      <w:proofErr w:type="spellStart"/>
      <w:r w:rsidRPr="007F0543">
        <w:rPr>
          <w:rFonts w:ascii="Times New Roman" w:hAnsi="Times New Roman" w:cs="Times New Roman"/>
          <w:sz w:val="20"/>
          <w:szCs w:val="20"/>
        </w:rPr>
        <w:t>Buffel</w:t>
      </w:r>
      <w:proofErr w:type="spellEnd"/>
      <w:r w:rsidRPr="007F0543">
        <w:rPr>
          <w:rFonts w:ascii="Times New Roman" w:hAnsi="Times New Roman" w:cs="Times New Roman"/>
          <w:sz w:val="20"/>
          <w:szCs w:val="20"/>
        </w:rPr>
        <w:t xml:space="preserve">, V., Van </w:t>
      </w:r>
      <w:proofErr w:type="spellStart"/>
      <w:r w:rsidRPr="007F0543">
        <w:rPr>
          <w:rFonts w:ascii="Times New Roman" w:hAnsi="Times New Roman" w:cs="Times New Roman"/>
          <w:sz w:val="20"/>
          <w:szCs w:val="20"/>
        </w:rPr>
        <w:t>Olmen</w:t>
      </w:r>
      <w:proofErr w:type="spellEnd"/>
      <w:r w:rsidRPr="007F0543">
        <w:rPr>
          <w:rFonts w:ascii="Times New Roman" w:hAnsi="Times New Roman" w:cs="Times New Roman"/>
          <w:sz w:val="20"/>
          <w:szCs w:val="20"/>
        </w:rPr>
        <w:t xml:space="preserve">, J., </w:t>
      </w:r>
      <w:proofErr w:type="spellStart"/>
      <w:r w:rsidRPr="007F0543">
        <w:rPr>
          <w:rFonts w:ascii="Times New Roman" w:hAnsi="Times New Roman" w:cs="Times New Roman"/>
          <w:sz w:val="20"/>
          <w:szCs w:val="20"/>
        </w:rPr>
        <w:t>Chhim</w:t>
      </w:r>
      <w:proofErr w:type="spellEnd"/>
      <w:r w:rsidRPr="007F0543">
        <w:rPr>
          <w:rFonts w:ascii="Times New Roman" w:hAnsi="Times New Roman" w:cs="Times New Roman"/>
          <w:sz w:val="20"/>
          <w:szCs w:val="20"/>
        </w:rPr>
        <w:t xml:space="preserve">, S., </w:t>
      </w:r>
      <w:proofErr w:type="spellStart"/>
      <w:r w:rsidRPr="007F0543">
        <w:rPr>
          <w:rFonts w:ascii="Times New Roman" w:hAnsi="Times New Roman" w:cs="Times New Roman"/>
          <w:sz w:val="20"/>
          <w:szCs w:val="20"/>
        </w:rPr>
        <w:t>Ir</w:t>
      </w:r>
      <w:proofErr w:type="spellEnd"/>
      <w:r w:rsidRPr="007F0543">
        <w:rPr>
          <w:rFonts w:ascii="Times New Roman" w:hAnsi="Times New Roman" w:cs="Times New Roman"/>
          <w:sz w:val="20"/>
          <w:szCs w:val="20"/>
        </w:rPr>
        <w:t xml:space="preserve">, P., &amp; </w:t>
      </w:r>
      <w:proofErr w:type="spellStart"/>
      <w:r w:rsidRPr="007F0543">
        <w:rPr>
          <w:rFonts w:ascii="Times New Roman" w:hAnsi="Times New Roman" w:cs="Times New Roman"/>
          <w:sz w:val="20"/>
          <w:szCs w:val="20"/>
        </w:rPr>
        <w:t>Wouters</w:t>
      </w:r>
      <w:proofErr w:type="spellEnd"/>
      <w:r w:rsidRPr="007F0543">
        <w:rPr>
          <w:rFonts w:ascii="Times New Roman" w:hAnsi="Times New Roman" w:cs="Times New Roman"/>
          <w:sz w:val="20"/>
          <w:szCs w:val="20"/>
        </w:rPr>
        <w:t xml:space="preserve">, E. (2022). The cascade of hypertension care in Cambodia: evidence from a cross-sectional population-based survey. </w:t>
      </w:r>
      <w:r w:rsidRPr="007F0543">
        <w:rPr>
          <w:rFonts w:ascii="Times New Roman" w:hAnsi="Times New Roman" w:cs="Times New Roman"/>
          <w:i/>
          <w:iCs/>
          <w:sz w:val="20"/>
          <w:szCs w:val="20"/>
        </w:rPr>
        <w:t>BMC Health Servic</w:t>
      </w:r>
      <w:r w:rsidRPr="007F0543">
        <w:rPr>
          <w:rFonts w:ascii="Times New Roman" w:hAnsi="Times New Roman" w:cs="Times New Roman"/>
          <w:i/>
          <w:iCs/>
          <w:sz w:val="20"/>
          <w:szCs w:val="20"/>
        </w:rPr>
        <w:t>es Research, 22</w:t>
      </w:r>
      <w:r w:rsidRPr="007F0543">
        <w:rPr>
          <w:rFonts w:ascii="Times New Roman" w:hAnsi="Times New Roman" w:cs="Times New Roman"/>
          <w:sz w:val="20"/>
          <w:szCs w:val="20"/>
        </w:rPr>
        <w:t>(1), 838.</w:t>
      </w:r>
    </w:p>
    <w:p w14:paraId="3B12A7ED"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Colafella</w:t>
      </w:r>
      <w:proofErr w:type="spellEnd"/>
      <w:r w:rsidRPr="007F0543">
        <w:rPr>
          <w:rFonts w:ascii="Times New Roman" w:hAnsi="Times New Roman" w:cs="Times New Roman"/>
          <w:sz w:val="20"/>
          <w:szCs w:val="20"/>
        </w:rPr>
        <w:t xml:space="preserve">, K. M. M., &amp; Denton, K. M. (2018). Sex-specific differences in hypertension and associated cardiovascular disease. </w:t>
      </w:r>
      <w:r w:rsidRPr="007F0543">
        <w:rPr>
          <w:rFonts w:ascii="Times New Roman" w:hAnsi="Times New Roman" w:cs="Times New Roman"/>
          <w:i/>
          <w:iCs/>
          <w:sz w:val="20"/>
          <w:szCs w:val="20"/>
        </w:rPr>
        <w:t>Nature Reviews Nephrology, 14</w:t>
      </w:r>
      <w:r w:rsidRPr="007F0543">
        <w:rPr>
          <w:rFonts w:ascii="Times New Roman" w:hAnsi="Times New Roman" w:cs="Times New Roman"/>
          <w:sz w:val="20"/>
          <w:szCs w:val="20"/>
        </w:rPr>
        <w:t>(3), 185–201.</w:t>
      </w:r>
    </w:p>
    <w:p w14:paraId="55C109AF"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Gerdts</w:t>
      </w:r>
      <w:proofErr w:type="spellEnd"/>
      <w:r w:rsidRPr="007F0543">
        <w:rPr>
          <w:rFonts w:ascii="Times New Roman" w:hAnsi="Times New Roman" w:cs="Times New Roman"/>
          <w:sz w:val="20"/>
          <w:szCs w:val="20"/>
        </w:rPr>
        <w:t xml:space="preserve">, E., &amp; </w:t>
      </w:r>
      <w:proofErr w:type="spellStart"/>
      <w:r w:rsidRPr="007F0543">
        <w:rPr>
          <w:rFonts w:ascii="Times New Roman" w:hAnsi="Times New Roman" w:cs="Times New Roman"/>
          <w:sz w:val="20"/>
          <w:szCs w:val="20"/>
        </w:rPr>
        <w:t>Regitz-Zagrosek</w:t>
      </w:r>
      <w:proofErr w:type="spellEnd"/>
      <w:r w:rsidRPr="007F0543">
        <w:rPr>
          <w:rFonts w:ascii="Times New Roman" w:hAnsi="Times New Roman" w:cs="Times New Roman"/>
          <w:sz w:val="20"/>
          <w:szCs w:val="20"/>
        </w:rPr>
        <w:t>, V. (2019). Sex differences in ca</w:t>
      </w:r>
      <w:r w:rsidRPr="007F0543">
        <w:rPr>
          <w:rFonts w:ascii="Times New Roman" w:hAnsi="Times New Roman" w:cs="Times New Roman"/>
          <w:sz w:val="20"/>
          <w:szCs w:val="20"/>
        </w:rPr>
        <w:t xml:space="preserve">rdiometabolic disorders. </w:t>
      </w:r>
      <w:r w:rsidRPr="007F0543">
        <w:rPr>
          <w:rFonts w:ascii="Times New Roman" w:hAnsi="Times New Roman" w:cs="Times New Roman"/>
          <w:i/>
          <w:iCs/>
          <w:sz w:val="20"/>
          <w:szCs w:val="20"/>
        </w:rPr>
        <w:t>Nature Medicine, 25</w:t>
      </w:r>
      <w:r w:rsidRPr="007F0543">
        <w:rPr>
          <w:rFonts w:ascii="Times New Roman" w:hAnsi="Times New Roman" w:cs="Times New Roman"/>
          <w:sz w:val="20"/>
          <w:szCs w:val="20"/>
        </w:rPr>
        <w:t>(11), 1657–1666.</w:t>
      </w:r>
    </w:p>
    <w:p w14:paraId="699D6F90"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Guthi</w:t>
      </w:r>
      <w:proofErr w:type="spellEnd"/>
      <w:r w:rsidRPr="007F0543">
        <w:rPr>
          <w:rFonts w:ascii="Times New Roman" w:hAnsi="Times New Roman" w:cs="Times New Roman"/>
          <w:sz w:val="20"/>
          <w:szCs w:val="20"/>
        </w:rPr>
        <w:t xml:space="preserve">, V. R., Kumar, D. S., Kumar, S., </w:t>
      </w:r>
      <w:proofErr w:type="spellStart"/>
      <w:r w:rsidRPr="007F0543">
        <w:rPr>
          <w:rFonts w:ascii="Times New Roman" w:hAnsi="Times New Roman" w:cs="Times New Roman"/>
          <w:sz w:val="20"/>
          <w:szCs w:val="20"/>
        </w:rPr>
        <w:t>Kondagunta</w:t>
      </w:r>
      <w:proofErr w:type="spellEnd"/>
      <w:r w:rsidRPr="007F0543">
        <w:rPr>
          <w:rFonts w:ascii="Times New Roman" w:hAnsi="Times New Roman" w:cs="Times New Roman"/>
          <w:sz w:val="20"/>
          <w:szCs w:val="20"/>
        </w:rPr>
        <w:t xml:space="preserve">, N., Raj, S., Goel, S., &amp; </w:t>
      </w:r>
      <w:proofErr w:type="spellStart"/>
      <w:r w:rsidRPr="007F0543">
        <w:rPr>
          <w:rFonts w:ascii="Times New Roman" w:hAnsi="Times New Roman" w:cs="Times New Roman"/>
          <w:sz w:val="20"/>
          <w:szCs w:val="20"/>
        </w:rPr>
        <w:t>Ojah</w:t>
      </w:r>
      <w:proofErr w:type="spellEnd"/>
      <w:r w:rsidRPr="007F0543">
        <w:rPr>
          <w:rFonts w:ascii="Times New Roman" w:hAnsi="Times New Roman" w:cs="Times New Roman"/>
          <w:sz w:val="20"/>
          <w:szCs w:val="20"/>
        </w:rPr>
        <w:t xml:space="preserve">, P. (2024). Hypertension treatment cascade among men and women of reproductive age group in India: analysis of National Family Health Survey-5 (2019–2021). </w:t>
      </w:r>
      <w:r w:rsidRPr="007F0543">
        <w:rPr>
          <w:rFonts w:ascii="Times New Roman" w:hAnsi="Times New Roman" w:cs="Times New Roman"/>
          <w:i/>
          <w:iCs/>
          <w:sz w:val="20"/>
          <w:szCs w:val="20"/>
        </w:rPr>
        <w:t>The Lancet Regional</w:t>
      </w:r>
      <w:r w:rsidRPr="007F0543">
        <w:rPr>
          <w:rFonts w:ascii="Times New Roman" w:hAnsi="Times New Roman" w:cs="Times New Roman"/>
          <w:i/>
          <w:iCs/>
          <w:sz w:val="20"/>
          <w:szCs w:val="20"/>
        </w:rPr>
        <w:t xml:space="preserve"> Health—Southeast Asia, 23</w:t>
      </w:r>
      <w:r w:rsidRPr="007F0543">
        <w:rPr>
          <w:rFonts w:ascii="Times New Roman" w:hAnsi="Times New Roman" w:cs="Times New Roman"/>
          <w:sz w:val="20"/>
          <w:szCs w:val="20"/>
        </w:rPr>
        <w:t>.</w:t>
      </w:r>
    </w:p>
    <w:p w14:paraId="57CDE438"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Ji, H., Kim, A., </w:t>
      </w:r>
      <w:proofErr w:type="spellStart"/>
      <w:r w:rsidRPr="007F0543">
        <w:rPr>
          <w:rFonts w:ascii="Times New Roman" w:hAnsi="Times New Roman" w:cs="Times New Roman"/>
          <w:sz w:val="20"/>
          <w:szCs w:val="20"/>
        </w:rPr>
        <w:t>Ebinger</w:t>
      </w:r>
      <w:proofErr w:type="spellEnd"/>
      <w:r w:rsidRPr="007F0543">
        <w:rPr>
          <w:rFonts w:ascii="Times New Roman" w:hAnsi="Times New Roman" w:cs="Times New Roman"/>
          <w:sz w:val="20"/>
          <w:szCs w:val="20"/>
        </w:rPr>
        <w:t xml:space="preserve">, J. E., </w:t>
      </w:r>
      <w:proofErr w:type="spellStart"/>
      <w:r w:rsidRPr="007F0543">
        <w:rPr>
          <w:rFonts w:ascii="Times New Roman" w:hAnsi="Times New Roman" w:cs="Times New Roman"/>
          <w:sz w:val="20"/>
          <w:szCs w:val="20"/>
        </w:rPr>
        <w:t>Niiranen</w:t>
      </w:r>
      <w:proofErr w:type="spellEnd"/>
      <w:r w:rsidRPr="007F0543">
        <w:rPr>
          <w:rFonts w:ascii="Times New Roman" w:hAnsi="Times New Roman" w:cs="Times New Roman"/>
          <w:sz w:val="20"/>
          <w:szCs w:val="20"/>
        </w:rPr>
        <w:t xml:space="preserve">, T. J., Claggett, B. L., Merz, C. N. B., &amp; Cheng, S. (2020). Cardiometabolic risk-related blood pressure trajectories differ by sex. </w:t>
      </w:r>
      <w:r w:rsidRPr="007F0543">
        <w:rPr>
          <w:rFonts w:ascii="Times New Roman" w:hAnsi="Times New Roman" w:cs="Times New Roman"/>
          <w:i/>
          <w:iCs/>
          <w:sz w:val="20"/>
          <w:szCs w:val="20"/>
        </w:rPr>
        <w:t>Hypertension, 75</w:t>
      </w:r>
      <w:r w:rsidRPr="007F0543">
        <w:rPr>
          <w:rFonts w:ascii="Times New Roman" w:hAnsi="Times New Roman" w:cs="Times New Roman"/>
          <w:sz w:val="20"/>
          <w:szCs w:val="20"/>
        </w:rPr>
        <w:t>(4), e6–e9.</w:t>
      </w:r>
    </w:p>
    <w:p w14:paraId="10B90A52"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lastRenderedPageBreak/>
        <w:t>Kirschbaum</w:t>
      </w:r>
      <w:proofErr w:type="spellEnd"/>
      <w:r w:rsidRPr="007F0543">
        <w:rPr>
          <w:rFonts w:ascii="Times New Roman" w:hAnsi="Times New Roman" w:cs="Times New Roman"/>
          <w:sz w:val="20"/>
          <w:szCs w:val="20"/>
        </w:rPr>
        <w:t xml:space="preserve">, T. K., </w:t>
      </w:r>
      <w:proofErr w:type="spellStart"/>
      <w:r w:rsidRPr="007F0543">
        <w:rPr>
          <w:rFonts w:ascii="Times New Roman" w:hAnsi="Times New Roman" w:cs="Times New Roman"/>
          <w:sz w:val="20"/>
          <w:szCs w:val="20"/>
        </w:rPr>
        <w:t>Theilm</w:t>
      </w:r>
      <w:r w:rsidRPr="007F0543">
        <w:rPr>
          <w:rFonts w:ascii="Times New Roman" w:hAnsi="Times New Roman" w:cs="Times New Roman"/>
          <w:sz w:val="20"/>
          <w:szCs w:val="20"/>
        </w:rPr>
        <w:t>ann</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Sudharsanan</w:t>
      </w:r>
      <w:proofErr w:type="spellEnd"/>
      <w:r w:rsidRPr="007F0543">
        <w:rPr>
          <w:rFonts w:ascii="Times New Roman" w:hAnsi="Times New Roman" w:cs="Times New Roman"/>
          <w:sz w:val="20"/>
          <w:szCs w:val="20"/>
        </w:rPr>
        <w:t>, N., Manne-</w:t>
      </w:r>
      <w:proofErr w:type="spellStart"/>
      <w:r w:rsidRPr="007F0543">
        <w:rPr>
          <w:rFonts w:ascii="Times New Roman" w:hAnsi="Times New Roman" w:cs="Times New Roman"/>
          <w:sz w:val="20"/>
          <w:szCs w:val="20"/>
        </w:rPr>
        <w:t>Goehler</w:t>
      </w:r>
      <w:proofErr w:type="spellEnd"/>
      <w:r w:rsidRPr="007F0543">
        <w:rPr>
          <w:rFonts w:ascii="Times New Roman" w:hAnsi="Times New Roman" w:cs="Times New Roman"/>
          <w:sz w:val="20"/>
          <w:szCs w:val="20"/>
        </w:rPr>
        <w:t xml:space="preserve">, J., </w:t>
      </w:r>
      <w:proofErr w:type="spellStart"/>
      <w:r w:rsidRPr="007F0543">
        <w:rPr>
          <w:rFonts w:ascii="Times New Roman" w:hAnsi="Times New Roman" w:cs="Times New Roman"/>
          <w:sz w:val="20"/>
          <w:szCs w:val="20"/>
        </w:rPr>
        <w:t>Lemp</w:t>
      </w:r>
      <w:proofErr w:type="spellEnd"/>
      <w:r w:rsidRPr="007F0543">
        <w:rPr>
          <w:rFonts w:ascii="Times New Roman" w:hAnsi="Times New Roman" w:cs="Times New Roman"/>
          <w:sz w:val="20"/>
          <w:szCs w:val="20"/>
        </w:rPr>
        <w:t xml:space="preserve">, J. M., De Neve, J. W., ... &amp; </w:t>
      </w:r>
      <w:proofErr w:type="spellStart"/>
      <w:r w:rsidRPr="007F0543">
        <w:rPr>
          <w:rFonts w:ascii="Times New Roman" w:hAnsi="Times New Roman" w:cs="Times New Roman"/>
          <w:sz w:val="20"/>
          <w:szCs w:val="20"/>
        </w:rPr>
        <w:t>Geldsetzer</w:t>
      </w:r>
      <w:proofErr w:type="spellEnd"/>
      <w:r w:rsidRPr="007F0543">
        <w:rPr>
          <w:rFonts w:ascii="Times New Roman" w:hAnsi="Times New Roman" w:cs="Times New Roman"/>
          <w:sz w:val="20"/>
          <w:szCs w:val="20"/>
        </w:rPr>
        <w:t xml:space="preserve">, P. (2021). Targeting hypertension screening in low- and middle-income countries: a cross-sectional analysis of 1.2 million adults in 56 countries. </w:t>
      </w:r>
      <w:r w:rsidRPr="007F0543">
        <w:rPr>
          <w:rFonts w:ascii="Times New Roman" w:hAnsi="Times New Roman" w:cs="Times New Roman"/>
          <w:i/>
          <w:iCs/>
          <w:sz w:val="20"/>
          <w:szCs w:val="20"/>
        </w:rPr>
        <w:t>Journal of the Am</w:t>
      </w:r>
      <w:r w:rsidRPr="007F0543">
        <w:rPr>
          <w:rFonts w:ascii="Times New Roman" w:hAnsi="Times New Roman" w:cs="Times New Roman"/>
          <w:i/>
          <w:iCs/>
          <w:sz w:val="20"/>
          <w:szCs w:val="20"/>
        </w:rPr>
        <w:t>erican Heart Association, 10</w:t>
      </w:r>
      <w:r w:rsidRPr="007F0543">
        <w:rPr>
          <w:rFonts w:ascii="Times New Roman" w:hAnsi="Times New Roman" w:cs="Times New Roman"/>
          <w:sz w:val="20"/>
          <w:szCs w:val="20"/>
        </w:rPr>
        <w:t>(13), e021063.</w:t>
      </w:r>
    </w:p>
    <w:p w14:paraId="25CD9454"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Kothavale</w:t>
      </w:r>
      <w:proofErr w:type="spellEnd"/>
      <w:r w:rsidRPr="007F0543">
        <w:rPr>
          <w:rFonts w:ascii="Times New Roman" w:hAnsi="Times New Roman" w:cs="Times New Roman"/>
          <w:sz w:val="20"/>
          <w:szCs w:val="20"/>
        </w:rPr>
        <w:t xml:space="preserve">, A., </w:t>
      </w:r>
      <w:proofErr w:type="spellStart"/>
      <w:r w:rsidRPr="007F0543">
        <w:rPr>
          <w:rFonts w:ascii="Times New Roman" w:hAnsi="Times New Roman" w:cs="Times New Roman"/>
          <w:sz w:val="20"/>
          <w:szCs w:val="20"/>
        </w:rPr>
        <w:t>Puri</w:t>
      </w:r>
      <w:proofErr w:type="spellEnd"/>
      <w:r w:rsidRPr="007F0543">
        <w:rPr>
          <w:rFonts w:ascii="Times New Roman" w:hAnsi="Times New Roman" w:cs="Times New Roman"/>
          <w:sz w:val="20"/>
          <w:szCs w:val="20"/>
        </w:rPr>
        <w:t xml:space="preserve">, P., &amp; </w:t>
      </w:r>
      <w:proofErr w:type="spellStart"/>
      <w:r w:rsidRPr="007F0543">
        <w:rPr>
          <w:rFonts w:ascii="Times New Roman" w:hAnsi="Times New Roman" w:cs="Times New Roman"/>
          <w:sz w:val="20"/>
          <w:szCs w:val="20"/>
        </w:rPr>
        <w:t>Sangani</w:t>
      </w:r>
      <w:proofErr w:type="spellEnd"/>
      <w:r w:rsidRPr="007F0543">
        <w:rPr>
          <w:rFonts w:ascii="Times New Roman" w:hAnsi="Times New Roman" w:cs="Times New Roman"/>
          <w:sz w:val="20"/>
          <w:szCs w:val="20"/>
        </w:rPr>
        <w:t xml:space="preserve">, P. G. (2022). Quantifying population level hypertension care cascades in India: a cross-sectional analysis of risk factors and disease linkages. </w:t>
      </w:r>
      <w:r w:rsidRPr="007F0543">
        <w:rPr>
          <w:rFonts w:ascii="Times New Roman" w:hAnsi="Times New Roman" w:cs="Times New Roman"/>
          <w:i/>
          <w:iCs/>
          <w:sz w:val="20"/>
          <w:szCs w:val="20"/>
        </w:rPr>
        <w:t>BMC Geriatrics, 22</w:t>
      </w:r>
      <w:r w:rsidRPr="007F0543">
        <w:rPr>
          <w:rFonts w:ascii="Times New Roman" w:hAnsi="Times New Roman" w:cs="Times New Roman"/>
          <w:sz w:val="20"/>
          <w:szCs w:val="20"/>
        </w:rPr>
        <w:t>(1), 98.</w:t>
      </w:r>
    </w:p>
    <w:p w14:paraId="5AC01841"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Melon</w:t>
      </w:r>
      <w:r w:rsidRPr="007F0543">
        <w:rPr>
          <w:rFonts w:ascii="Times New Roman" w:hAnsi="Times New Roman" w:cs="Times New Roman"/>
          <w:sz w:val="20"/>
          <w:szCs w:val="20"/>
        </w:rPr>
        <w:t>i</w:t>
      </w:r>
      <w:proofErr w:type="spellEnd"/>
      <w:r w:rsidRPr="007F0543">
        <w:rPr>
          <w:rFonts w:ascii="Times New Roman" w:hAnsi="Times New Roman" w:cs="Times New Roman"/>
          <w:sz w:val="20"/>
          <w:szCs w:val="20"/>
        </w:rPr>
        <w:t xml:space="preserve">, A., </w:t>
      </w:r>
      <w:proofErr w:type="spellStart"/>
      <w:r w:rsidRPr="007F0543">
        <w:rPr>
          <w:rFonts w:ascii="Times New Roman" w:hAnsi="Times New Roman" w:cs="Times New Roman"/>
          <w:sz w:val="20"/>
          <w:szCs w:val="20"/>
        </w:rPr>
        <w:t>Cadeddu</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Cugusi</w:t>
      </w:r>
      <w:proofErr w:type="spellEnd"/>
      <w:r w:rsidRPr="007F0543">
        <w:rPr>
          <w:rFonts w:ascii="Times New Roman" w:hAnsi="Times New Roman" w:cs="Times New Roman"/>
          <w:sz w:val="20"/>
          <w:szCs w:val="20"/>
        </w:rPr>
        <w:t xml:space="preserve">, L., </w:t>
      </w:r>
      <w:proofErr w:type="spellStart"/>
      <w:r w:rsidRPr="007F0543">
        <w:rPr>
          <w:rFonts w:ascii="Times New Roman" w:hAnsi="Times New Roman" w:cs="Times New Roman"/>
          <w:sz w:val="20"/>
          <w:szCs w:val="20"/>
        </w:rPr>
        <w:t>Donataccio</w:t>
      </w:r>
      <w:proofErr w:type="spellEnd"/>
      <w:r w:rsidRPr="007F0543">
        <w:rPr>
          <w:rFonts w:ascii="Times New Roman" w:hAnsi="Times New Roman" w:cs="Times New Roman"/>
          <w:sz w:val="20"/>
          <w:szCs w:val="20"/>
        </w:rPr>
        <w:t xml:space="preserve">, M. P., </w:t>
      </w:r>
      <w:proofErr w:type="spellStart"/>
      <w:r w:rsidRPr="007F0543">
        <w:rPr>
          <w:rFonts w:ascii="Times New Roman" w:hAnsi="Times New Roman" w:cs="Times New Roman"/>
          <w:sz w:val="20"/>
          <w:szCs w:val="20"/>
        </w:rPr>
        <w:t>Deidda</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Sciomer</w:t>
      </w:r>
      <w:proofErr w:type="spellEnd"/>
      <w:r w:rsidRPr="007F0543">
        <w:rPr>
          <w:rFonts w:ascii="Times New Roman" w:hAnsi="Times New Roman" w:cs="Times New Roman"/>
          <w:sz w:val="20"/>
          <w:szCs w:val="20"/>
        </w:rPr>
        <w:t xml:space="preserve">, S., ... &amp; Maffei, S. (2023). Gender differences and cardiometabolic risk: the importance of the risk factors. </w:t>
      </w:r>
      <w:r w:rsidRPr="007F0543">
        <w:rPr>
          <w:rFonts w:ascii="Times New Roman" w:hAnsi="Times New Roman" w:cs="Times New Roman"/>
          <w:i/>
          <w:iCs/>
          <w:sz w:val="20"/>
          <w:szCs w:val="20"/>
        </w:rPr>
        <w:t>International Journal of Molecular Sciences, 24</w:t>
      </w:r>
      <w:r w:rsidRPr="007F0543">
        <w:rPr>
          <w:rFonts w:ascii="Times New Roman" w:hAnsi="Times New Roman" w:cs="Times New Roman"/>
          <w:sz w:val="20"/>
          <w:szCs w:val="20"/>
        </w:rPr>
        <w:t>(2), 1588.</w:t>
      </w:r>
    </w:p>
    <w:p w14:paraId="166F693B"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Ntaganda, E., El</w:t>
      </w:r>
      <w:r w:rsidRPr="007F0543">
        <w:rPr>
          <w:rFonts w:ascii="Times New Roman" w:hAnsi="Times New Roman" w:cs="Times New Roman"/>
          <w:sz w:val="20"/>
          <w:szCs w:val="20"/>
        </w:rPr>
        <w:t xml:space="preserve">-Khatib, Z., </w:t>
      </w:r>
      <w:proofErr w:type="spellStart"/>
      <w:r w:rsidRPr="007F0543">
        <w:rPr>
          <w:rFonts w:ascii="Times New Roman" w:hAnsi="Times New Roman" w:cs="Times New Roman"/>
          <w:sz w:val="20"/>
          <w:szCs w:val="20"/>
        </w:rPr>
        <w:t>Mugeni</w:t>
      </w:r>
      <w:proofErr w:type="spellEnd"/>
      <w:r w:rsidRPr="007F0543">
        <w:rPr>
          <w:rFonts w:ascii="Times New Roman" w:hAnsi="Times New Roman" w:cs="Times New Roman"/>
          <w:sz w:val="20"/>
          <w:szCs w:val="20"/>
        </w:rPr>
        <w:t xml:space="preserve">, R., </w:t>
      </w:r>
      <w:proofErr w:type="spellStart"/>
      <w:r w:rsidRPr="007F0543">
        <w:rPr>
          <w:rFonts w:ascii="Times New Roman" w:hAnsi="Times New Roman" w:cs="Times New Roman"/>
          <w:sz w:val="20"/>
          <w:szCs w:val="20"/>
        </w:rPr>
        <w:t>Nsengiyumva</w:t>
      </w:r>
      <w:proofErr w:type="spellEnd"/>
      <w:r w:rsidRPr="007F0543">
        <w:rPr>
          <w:rFonts w:ascii="Times New Roman" w:hAnsi="Times New Roman" w:cs="Times New Roman"/>
          <w:sz w:val="20"/>
          <w:szCs w:val="20"/>
        </w:rPr>
        <w:t xml:space="preserve">, B., </w:t>
      </w:r>
      <w:proofErr w:type="spellStart"/>
      <w:r w:rsidRPr="007F0543">
        <w:rPr>
          <w:rFonts w:ascii="Times New Roman" w:hAnsi="Times New Roman" w:cs="Times New Roman"/>
          <w:sz w:val="20"/>
          <w:szCs w:val="20"/>
        </w:rPr>
        <w:t>Musanabaganwa</w:t>
      </w:r>
      <w:proofErr w:type="spellEnd"/>
      <w:r w:rsidRPr="007F0543">
        <w:rPr>
          <w:rFonts w:ascii="Times New Roman" w:hAnsi="Times New Roman" w:cs="Times New Roman"/>
          <w:sz w:val="20"/>
          <w:szCs w:val="20"/>
        </w:rPr>
        <w:t xml:space="preserve">, C., </w:t>
      </w:r>
      <w:proofErr w:type="spellStart"/>
      <w:r w:rsidRPr="007F0543">
        <w:rPr>
          <w:rFonts w:ascii="Times New Roman" w:hAnsi="Times New Roman" w:cs="Times New Roman"/>
          <w:sz w:val="20"/>
          <w:szCs w:val="20"/>
        </w:rPr>
        <w:t>Gafirita</w:t>
      </w:r>
      <w:proofErr w:type="spellEnd"/>
      <w:r w:rsidRPr="007F0543">
        <w:rPr>
          <w:rFonts w:ascii="Times New Roman" w:hAnsi="Times New Roman" w:cs="Times New Roman"/>
          <w:sz w:val="20"/>
          <w:szCs w:val="20"/>
        </w:rPr>
        <w:t xml:space="preserve">, J., ... &amp; </w:t>
      </w:r>
      <w:proofErr w:type="spellStart"/>
      <w:r w:rsidRPr="007F0543">
        <w:rPr>
          <w:rFonts w:ascii="Times New Roman" w:hAnsi="Times New Roman" w:cs="Times New Roman"/>
          <w:sz w:val="20"/>
          <w:szCs w:val="20"/>
        </w:rPr>
        <w:t>Kalisa</w:t>
      </w:r>
      <w:proofErr w:type="spellEnd"/>
      <w:r w:rsidRPr="007F0543">
        <w:rPr>
          <w:rFonts w:ascii="Times New Roman" w:hAnsi="Times New Roman" w:cs="Times New Roman"/>
          <w:sz w:val="20"/>
          <w:szCs w:val="20"/>
        </w:rPr>
        <w:t xml:space="preserve">, R. (2025). Assessment of Blood Pressure Control Status Among Hypertensive Patients Attending Rwandan District Hospital NCD Clinics: A Retrospective Follow-Up Study. </w:t>
      </w:r>
      <w:r w:rsidRPr="007F0543">
        <w:rPr>
          <w:rFonts w:ascii="Times New Roman" w:hAnsi="Times New Roman" w:cs="Times New Roman"/>
          <w:i/>
          <w:iCs/>
          <w:sz w:val="20"/>
          <w:szCs w:val="20"/>
        </w:rPr>
        <w:t>Jo</w:t>
      </w:r>
      <w:r w:rsidRPr="007F0543">
        <w:rPr>
          <w:rFonts w:ascii="Times New Roman" w:hAnsi="Times New Roman" w:cs="Times New Roman"/>
          <w:i/>
          <w:iCs/>
          <w:sz w:val="20"/>
          <w:szCs w:val="20"/>
        </w:rPr>
        <w:t>urnal of Epidemiology and Global Health, 15</w:t>
      </w:r>
      <w:r w:rsidRPr="007F0543">
        <w:rPr>
          <w:rFonts w:ascii="Times New Roman" w:hAnsi="Times New Roman" w:cs="Times New Roman"/>
          <w:sz w:val="20"/>
          <w:szCs w:val="20"/>
        </w:rPr>
        <w:t>(1), 13.</w:t>
      </w:r>
    </w:p>
    <w:p w14:paraId="4B24BA53"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Olowoyo</w:t>
      </w:r>
      <w:proofErr w:type="spellEnd"/>
      <w:r w:rsidRPr="007F0543">
        <w:rPr>
          <w:rFonts w:ascii="Times New Roman" w:hAnsi="Times New Roman" w:cs="Times New Roman"/>
          <w:sz w:val="20"/>
          <w:szCs w:val="20"/>
        </w:rPr>
        <w:t xml:space="preserve">, P., </w:t>
      </w:r>
      <w:proofErr w:type="spellStart"/>
      <w:r w:rsidRPr="007F0543">
        <w:rPr>
          <w:rFonts w:ascii="Times New Roman" w:hAnsi="Times New Roman" w:cs="Times New Roman"/>
          <w:sz w:val="20"/>
          <w:szCs w:val="20"/>
        </w:rPr>
        <w:t>Okekunle</w:t>
      </w:r>
      <w:proofErr w:type="spellEnd"/>
      <w:r w:rsidRPr="007F0543">
        <w:rPr>
          <w:rFonts w:ascii="Times New Roman" w:hAnsi="Times New Roman" w:cs="Times New Roman"/>
          <w:sz w:val="20"/>
          <w:szCs w:val="20"/>
        </w:rPr>
        <w:t xml:space="preserve">, A. P., </w:t>
      </w:r>
      <w:proofErr w:type="spellStart"/>
      <w:r w:rsidRPr="007F0543">
        <w:rPr>
          <w:rFonts w:ascii="Times New Roman" w:hAnsi="Times New Roman" w:cs="Times New Roman"/>
          <w:sz w:val="20"/>
          <w:szCs w:val="20"/>
        </w:rPr>
        <w:t>Asowata</w:t>
      </w:r>
      <w:proofErr w:type="spellEnd"/>
      <w:r w:rsidRPr="007F0543">
        <w:rPr>
          <w:rFonts w:ascii="Times New Roman" w:hAnsi="Times New Roman" w:cs="Times New Roman"/>
          <w:sz w:val="20"/>
          <w:szCs w:val="20"/>
        </w:rPr>
        <w:t xml:space="preserve">, O. J., </w:t>
      </w:r>
      <w:proofErr w:type="spellStart"/>
      <w:r w:rsidRPr="007F0543">
        <w:rPr>
          <w:rFonts w:ascii="Times New Roman" w:hAnsi="Times New Roman" w:cs="Times New Roman"/>
          <w:sz w:val="20"/>
          <w:szCs w:val="20"/>
        </w:rPr>
        <w:t>Atolani</w:t>
      </w:r>
      <w:proofErr w:type="spellEnd"/>
      <w:r w:rsidRPr="007F0543">
        <w:rPr>
          <w:rFonts w:ascii="Times New Roman" w:hAnsi="Times New Roman" w:cs="Times New Roman"/>
          <w:sz w:val="20"/>
          <w:szCs w:val="20"/>
        </w:rPr>
        <w:t xml:space="preserve">, S., </w:t>
      </w:r>
      <w:proofErr w:type="spellStart"/>
      <w:r w:rsidRPr="007F0543">
        <w:rPr>
          <w:rFonts w:ascii="Times New Roman" w:hAnsi="Times New Roman" w:cs="Times New Roman"/>
          <w:sz w:val="20"/>
          <w:szCs w:val="20"/>
        </w:rPr>
        <w:t>Morsy</w:t>
      </w:r>
      <w:proofErr w:type="spellEnd"/>
      <w:r w:rsidRPr="007F0543">
        <w:rPr>
          <w:rFonts w:ascii="Times New Roman" w:hAnsi="Times New Roman" w:cs="Times New Roman"/>
          <w:sz w:val="20"/>
          <w:szCs w:val="20"/>
        </w:rPr>
        <w:t xml:space="preserve">, M. I., </w:t>
      </w:r>
      <w:proofErr w:type="spellStart"/>
      <w:r w:rsidRPr="007F0543">
        <w:rPr>
          <w:rFonts w:ascii="Times New Roman" w:hAnsi="Times New Roman" w:cs="Times New Roman"/>
          <w:sz w:val="20"/>
          <w:szCs w:val="20"/>
        </w:rPr>
        <w:t>Caiazzo</w:t>
      </w:r>
      <w:proofErr w:type="spellEnd"/>
      <w:r w:rsidRPr="007F0543">
        <w:rPr>
          <w:rFonts w:ascii="Times New Roman" w:hAnsi="Times New Roman" w:cs="Times New Roman"/>
          <w:sz w:val="20"/>
          <w:szCs w:val="20"/>
        </w:rPr>
        <w:t>, E., ... &amp; Owolabi, M. O. (2025). Prevalence of hypertension in Africa in the last two decades: Systematic review and meta-</w:t>
      </w:r>
      <w:r w:rsidRPr="007F0543">
        <w:rPr>
          <w:rFonts w:ascii="Times New Roman" w:hAnsi="Times New Roman" w:cs="Times New Roman"/>
          <w:sz w:val="20"/>
          <w:szCs w:val="20"/>
        </w:rPr>
        <w:t xml:space="preserve">analysis. </w:t>
      </w:r>
      <w:r w:rsidRPr="007F0543">
        <w:rPr>
          <w:rFonts w:ascii="Times New Roman" w:hAnsi="Times New Roman" w:cs="Times New Roman"/>
          <w:i/>
          <w:iCs/>
          <w:sz w:val="20"/>
          <w:szCs w:val="20"/>
        </w:rPr>
        <w:t>Cardiovascular Research</w:t>
      </w:r>
      <w:r w:rsidRPr="007F0543">
        <w:rPr>
          <w:rFonts w:ascii="Times New Roman" w:hAnsi="Times New Roman" w:cs="Times New Roman"/>
          <w:sz w:val="20"/>
          <w:szCs w:val="20"/>
        </w:rPr>
        <w:t>, cvaf125.</w:t>
      </w:r>
    </w:p>
    <w:p w14:paraId="5B0CDD57"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Perkins, A. D., </w:t>
      </w:r>
      <w:proofErr w:type="spellStart"/>
      <w:r w:rsidRPr="007F0543">
        <w:rPr>
          <w:rFonts w:ascii="Times New Roman" w:hAnsi="Times New Roman" w:cs="Times New Roman"/>
          <w:sz w:val="20"/>
          <w:szCs w:val="20"/>
        </w:rPr>
        <w:t>Awori</w:t>
      </w:r>
      <w:proofErr w:type="spellEnd"/>
      <w:r w:rsidRPr="007F0543">
        <w:rPr>
          <w:rFonts w:ascii="Times New Roman" w:hAnsi="Times New Roman" w:cs="Times New Roman"/>
          <w:sz w:val="20"/>
          <w:szCs w:val="20"/>
        </w:rPr>
        <w:t xml:space="preserve">, J. O., </w:t>
      </w:r>
      <w:proofErr w:type="spellStart"/>
      <w:r w:rsidRPr="007F0543">
        <w:rPr>
          <w:rFonts w:ascii="Times New Roman" w:hAnsi="Times New Roman" w:cs="Times New Roman"/>
          <w:sz w:val="20"/>
          <w:szCs w:val="20"/>
        </w:rPr>
        <w:t>Jobe</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Lucinde</w:t>
      </w:r>
      <w:proofErr w:type="spellEnd"/>
      <w:r w:rsidRPr="007F0543">
        <w:rPr>
          <w:rFonts w:ascii="Times New Roman" w:hAnsi="Times New Roman" w:cs="Times New Roman"/>
          <w:sz w:val="20"/>
          <w:szCs w:val="20"/>
        </w:rPr>
        <w:t xml:space="preserve">, R. K., </w:t>
      </w:r>
      <w:proofErr w:type="spellStart"/>
      <w:r w:rsidRPr="007F0543">
        <w:rPr>
          <w:rFonts w:ascii="Times New Roman" w:hAnsi="Times New Roman" w:cs="Times New Roman"/>
          <w:sz w:val="20"/>
          <w:szCs w:val="20"/>
        </w:rPr>
        <w:t>Siemonsma</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Oyando</w:t>
      </w:r>
      <w:proofErr w:type="spellEnd"/>
      <w:r w:rsidRPr="007F0543">
        <w:rPr>
          <w:rFonts w:ascii="Times New Roman" w:hAnsi="Times New Roman" w:cs="Times New Roman"/>
          <w:sz w:val="20"/>
          <w:szCs w:val="20"/>
        </w:rPr>
        <w:t xml:space="preserve">, R., ... &amp; </w:t>
      </w:r>
      <w:proofErr w:type="spellStart"/>
      <w:r w:rsidRPr="007F0543">
        <w:rPr>
          <w:rFonts w:ascii="Times New Roman" w:hAnsi="Times New Roman" w:cs="Times New Roman"/>
          <w:sz w:val="20"/>
          <w:szCs w:val="20"/>
        </w:rPr>
        <w:t>IHCoR</w:t>
      </w:r>
      <w:proofErr w:type="spellEnd"/>
      <w:r w:rsidRPr="007F0543">
        <w:rPr>
          <w:rFonts w:ascii="Times New Roman" w:hAnsi="Times New Roman" w:cs="Times New Roman"/>
          <w:sz w:val="20"/>
          <w:szCs w:val="20"/>
        </w:rPr>
        <w:t>-Africa Collaborators. (2024). Determining the optimal diagnostic and risk stratification approaches for people with h</w:t>
      </w:r>
      <w:r w:rsidRPr="007F0543">
        <w:rPr>
          <w:rFonts w:ascii="Times New Roman" w:hAnsi="Times New Roman" w:cs="Times New Roman"/>
          <w:sz w:val="20"/>
          <w:szCs w:val="20"/>
        </w:rPr>
        <w:t xml:space="preserve">ypertension in two rural populations in Kenya and The Gambia: a study protocol for </w:t>
      </w:r>
      <w:proofErr w:type="spellStart"/>
      <w:r w:rsidRPr="007F0543">
        <w:rPr>
          <w:rFonts w:ascii="Times New Roman" w:hAnsi="Times New Roman" w:cs="Times New Roman"/>
          <w:sz w:val="20"/>
          <w:szCs w:val="20"/>
        </w:rPr>
        <w:t>IHCoR</w:t>
      </w:r>
      <w:proofErr w:type="spellEnd"/>
      <w:r w:rsidRPr="007F0543">
        <w:rPr>
          <w:rFonts w:ascii="Times New Roman" w:hAnsi="Times New Roman" w:cs="Times New Roman"/>
          <w:sz w:val="20"/>
          <w:szCs w:val="20"/>
        </w:rPr>
        <w:t xml:space="preserve">-Africa Work Package 2. </w:t>
      </w:r>
      <w:r w:rsidRPr="007F0543">
        <w:rPr>
          <w:rFonts w:ascii="Times New Roman" w:hAnsi="Times New Roman" w:cs="Times New Roman"/>
          <w:i/>
          <w:iCs/>
          <w:sz w:val="20"/>
          <w:szCs w:val="20"/>
        </w:rPr>
        <w:t>NIHR Open Research, 3</w:t>
      </w:r>
      <w:r w:rsidRPr="007F0543">
        <w:rPr>
          <w:rFonts w:ascii="Times New Roman" w:hAnsi="Times New Roman" w:cs="Times New Roman"/>
          <w:sz w:val="20"/>
          <w:szCs w:val="20"/>
        </w:rPr>
        <w:t>, 68.</w:t>
      </w:r>
    </w:p>
    <w:p w14:paraId="17942E9F"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Peters, M. A., Noonan, C. M., Rao, K. D., Edward, A., &amp; </w:t>
      </w:r>
      <w:proofErr w:type="spellStart"/>
      <w:r w:rsidRPr="007F0543">
        <w:rPr>
          <w:rFonts w:ascii="Times New Roman" w:hAnsi="Times New Roman" w:cs="Times New Roman"/>
          <w:sz w:val="20"/>
          <w:szCs w:val="20"/>
        </w:rPr>
        <w:t>Alonge</w:t>
      </w:r>
      <w:proofErr w:type="spellEnd"/>
      <w:r w:rsidRPr="007F0543">
        <w:rPr>
          <w:rFonts w:ascii="Times New Roman" w:hAnsi="Times New Roman" w:cs="Times New Roman"/>
          <w:sz w:val="20"/>
          <w:szCs w:val="20"/>
        </w:rPr>
        <w:t>, O. O. (2022). Evidence for an expanded hypertension c</w:t>
      </w:r>
      <w:r w:rsidRPr="007F0543">
        <w:rPr>
          <w:rFonts w:ascii="Times New Roman" w:hAnsi="Times New Roman" w:cs="Times New Roman"/>
          <w:sz w:val="20"/>
          <w:szCs w:val="20"/>
        </w:rPr>
        <w:t xml:space="preserve">are cascade in low- and middle-income countries: a scoping review. </w:t>
      </w:r>
      <w:r w:rsidRPr="007F0543">
        <w:rPr>
          <w:rFonts w:ascii="Times New Roman" w:hAnsi="Times New Roman" w:cs="Times New Roman"/>
          <w:i/>
          <w:iCs/>
          <w:sz w:val="20"/>
          <w:szCs w:val="20"/>
        </w:rPr>
        <w:t>BMC Health Services Research, 22</w:t>
      </w:r>
      <w:r w:rsidRPr="007F0543">
        <w:rPr>
          <w:rFonts w:ascii="Times New Roman" w:hAnsi="Times New Roman" w:cs="Times New Roman"/>
          <w:sz w:val="20"/>
          <w:szCs w:val="20"/>
        </w:rPr>
        <w:t>(1), 827.</w:t>
      </w:r>
    </w:p>
    <w:p w14:paraId="2ACD3F56"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Romo, M. L., Dear, N., Crowell, T. A., </w:t>
      </w:r>
      <w:proofErr w:type="spellStart"/>
      <w:r w:rsidRPr="007F0543">
        <w:rPr>
          <w:rFonts w:ascii="Times New Roman" w:hAnsi="Times New Roman" w:cs="Times New Roman"/>
          <w:sz w:val="20"/>
          <w:szCs w:val="20"/>
        </w:rPr>
        <w:t>Frndak</w:t>
      </w:r>
      <w:proofErr w:type="spellEnd"/>
      <w:r w:rsidRPr="007F0543">
        <w:rPr>
          <w:rFonts w:ascii="Times New Roman" w:hAnsi="Times New Roman" w:cs="Times New Roman"/>
          <w:sz w:val="20"/>
          <w:szCs w:val="20"/>
        </w:rPr>
        <w:t xml:space="preserve">, S., Parikh, A. P., </w:t>
      </w:r>
      <w:proofErr w:type="spellStart"/>
      <w:r w:rsidRPr="007F0543">
        <w:rPr>
          <w:rFonts w:ascii="Times New Roman" w:hAnsi="Times New Roman" w:cs="Times New Roman"/>
          <w:sz w:val="20"/>
          <w:szCs w:val="20"/>
        </w:rPr>
        <w:t>Kibuuka</w:t>
      </w:r>
      <w:proofErr w:type="spellEnd"/>
      <w:r w:rsidRPr="007F0543">
        <w:rPr>
          <w:rFonts w:ascii="Times New Roman" w:hAnsi="Times New Roman" w:cs="Times New Roman"/>
          <w:sz w:val="20"/>
          <w:szCs w:val="20"/>
        </w:rPr>
        <w:t>, H., ... &amp; African Cohort Study (AFRICOS) Group. (2025). Gaps in hyperten</w:t>
      </w:r>
      <w:r w:rsidRPr="007F0543">
        <w:rPr>
          <w:rFonts w:ascii="Times New Roman" w:hAnsi="Times New Roman" w:cs="Times New Roman"/>
          <w:sz w:val="20"/>
          <w:szCs w:val="20"/>
        </w:rPr>
        <w:t xml:space="preserve">sion and diabetes treatment among people living with and without HIV: Findings from a prospective cohort study in Kenya, Nigeria, Tanzania, and Uganda, 2013–2023. </w:t>
      </w:r>
      <w:r w:rsidRPr="007F0543">
        <w:rPr>
          <w:rFonts w:ascii="Times New Roman" w:hAnsi="Times New Roman" w:cs="Times New Roman"/>
          <w:i/>
          <w:iCs/>
          <w:sz w:val="20"/>
          <w:szCs w:val="20"/>
        </w:rPr>
        <w:t>PLOS Global Public Health, 5</w:t>
      </w:r>
      <w:r w:rsidRPr="007F0543">
        <w:rPr>
          <w:rFonts w:ascii="Times New Roman" w:hAnsi="Times New Roman" w:cs="Times New Roman"/>
          <w:sz w:val="20"/>
          <w:szCs w:val="20"/>
        </w:rPr>
        <w:t>(4), e0004464.</w:t>
      </w:r>
    </w:p>
    <w:p w14:paraId="1F039B37"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Schorr, M., </w:t>
      </w:r>
      <w:proofErr w:type="spellStart"/>
      <w:r w:rsidRPr="007F0543">
        <w:rPr>
          <w:rFonts w:ascii="Times New Roman" w:hAnsi="Times New Roman" w:cs="Times New Roman"/>
          <w:sz w:val="20"/>
          <w:szCs w:val="20"/>
        </w:rPr>
        <w:t>Dichtel</w:t>
      </w:r>
      <w:proofErr w:type="spellEnd"/>
      <w:r w:rsidRPr="007F0543">
        <w:rPr>
          <w:rFonts w:ascii="Times New Roman" w:hAnsi="Times New Roman" w:cs="Times New Roman"/>
          <w:sz w:val="20"/>
          <w:szCs w:val="20"/>
        </w:rPr>
        <w:t xml:space="preserve">, L. E., </w:t>
      </w:r>
      <w:proofErr w:type="spellStart"/>
      <w:r w:rsidRPr="007F0543">
        <w:rPr>
          <w:rFonts w:ascii="Times New Roman" w:hAnsi="Times New Roman" w:cs="Times New Roman"/>
          <w:sz w:val="20"/>
          <w:szCs w:val="20"/>
        </w:rPr>
        <w:t>Gerweck</w:t>
      </w:r>
      <w:proofErr w:type="spellEnd"/>
      <w:r w:rsidRPr="007F0543">
        <w:rPr>
          <w:rFonts w:ascii="Times New Roman" w:hAnsi="Times New Roman" w:cs="Times New Roman"/>
          <w:sz w:val="20"/>
          <w:szCs w:val="20"/>
        </w:rPr>
        <w:t>, A. V., Valera</w:t>
      </w:r>
      <w:r w:rsidRPr="007F0543">
        <w:rPr>
          <w:rFonts w:ascii="Times New Roman" w:hAnsi="Times New Roman" w:cs="Times New Roman"/>
          <w:sz w:val="20"/>
          <w:szCs w:val="20"/>
        </w:rPr>
        <w:t xml:space="preserve">, R. D., </w:t>
      </w:r>
      <w:proofErr w:type="spellStart"/>
      <w:r w:rsidRPr="007F0543">
        <w:rPr>
          <w:rFonts w:ascii="Times New Roman" w:hAnsi="Times New Roman" w:cs="Times New Roman"/>
          <w:sz w:val="20"/>
          <w:szCs w:val="20"/>
        </w:rPr>
        <w:t>Torriani</w:t>
      </w:r>
      <w:proofErr w:type="spellEnd"/>
      <w:r w:rsidRPr="007F0543">
        <w:rPr>
          <w:rFonts w:ascii="Times New Roman" w:hAnsi="Times New Roman" w:cs="Times New Roman"/>
          <w:sz w:val="20"/>
          <w:szCs w:val="20"/>
        </w:rPr>
        <w:t xml:space="preserve">, M., Miller, K. K., &amp; </w:t>
      </w:r>
      <w:proofErr w:type="spellStart"/>
      <w:r w:rsidRPr="007F0543">
        <w:rPr>
          <w:rFonts w:ascii="Times New Roman" w:hAnsi="Times New Roman" w:cs="Times New Roman"/>
          <w:sz w:val="20"/>
          <w:szCs w:val="20"/>
        </w:rPr>
        <w:t>Bredella</w:t>
      </w:r>
      <w:proofErr w:type="spellEnd"/>
      <w:r w:rsidRPr="007F0543">
        <w:rPr>
          <w:rFonts w:ascii="Times New Roman" w:hAnsi="Times New Roman" w:cs="Times New Roman"/>
          <w:sz w:val="20"/>
          <w:szCs w:val="20"/>
        </w:rPr>
        <w:t xml:space="preserve">, M. A. (2018). Sex differences in body composition and association with cardiometabolic risk. </w:t>
      </w:r>
      <w:r w:rsidRPr="007F0543">
        <w:rPr>
          <w:rFonts w:ascii="Times New Roman" w:hAnsi="Times New Roman" w:cs="Times New Roman"/>
          <w:i/>
          <w:iCs/>
          <w:sz w:val="20"/>
          <w:szCs w:val="20"/>
        </w:rPr>
        <w:t>Biology of Sex Differences, 9</w:t>
      </w:r>
      <w:r w:rsidRPr="007F0543">
        <w:rPr>
          <w:rFonts w:ascii="Times New Roman" w:hAnsi="Times New Roman" w:cs="Times New Roman"/>
          <w:sz w:val="20"/>
          <w:szCs w:val="20"/>
        </w:rPr>
        <w:t>(1), 28.</w:t>
      </w:r>
    </w:p>
    <w:p w14:paraId="68663FB4"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Šebeková</w:t>
      </w:r>
      <w:proofErr w:type="spellEnd"/>
      <w:r w:rsidRPr="007F0543">
        <w:rPr>
          <w:rFonts w:ascii="Times New Roman" w:hAnsi="Times New Roman" w:cs="Times New Roman"/>
          <w:sz w:val="20"/>
          <w:szCs w:val="20"/>
        </w:rPr>
        <w:t xml:space="preserve">, K., </w:t>
      </w:r>
      <w:proofErr w:type="spellStart"/>
      <w:r w:rsidRPr="007F0543">
        <w:rPr>
          <w:rFonts w:ascii="Times New Roman" w:hAnsi="Times New Roman" w:cs="Times New Roman"/>
          <w:sz w:val="20"/>
          <w:szCs w:val="20"/>
        </w:rPr>
        <w:t>Gurecká</w:t>
      </w:r>
      <w:proofErr w:type="spellEnd"/>
      <w:r w:rsidRPr="007F0543">
        <w:rPr>
          <w:rFonts w:ascii="Times New Roman" w:hAnsi="Times New Roman" w:cs="Times New Roman"/>
          <w:sz w:val="20"/>
          <w:szCs w:val="20"/>
        </w:rPr>
        <w:t xml:space="preserve">, R., </w:t>
      </w:r>
      <w:proofErr w:type="spellStart"/>
      <w:r w:rsidRPr="007F0543">
        <w:rPr>
          <w:rFonts w:ascii="Times New Roman" w:hAnsi="Times New Roman" w:cs="Times New Roman"/>
          <w:sz w:val="20"/>
          <w:szCs w:val="20"/>
        </w:rPr>
        <w:t>Csongová</w:t>
      </w:r>
      <w:proofErr w:type="spellEnd"/>
      <w:r w:rsidRPr="007F0543">
        <w:rPr>
          <w:rFonts w:ascii="Times New Roman" w:hAnsi="Times New Roman" w:cs="Times New Roman"/>
          <w:sz w:val="20"/>
          <w:szCs w:val="20"/>
        </w:rPr>
        <w:t xml:space="preserve">, M., </w:t>
      </w:r>
      <w:proofErr w:type="spellStart"/>
      <w:r w:rsidRPr="007F0543">
        <w:rPr>
          <w:rFonts w:ascii="Times New Roman" w:hAnsi="Times New Roman" w:cs="Times New Roman"/>
          <w:sz w:val="20"/>
          <w:szCs w:val="20"/>
        </w:rPr>
        <w:t>Koborová</w:t>
      </w:r>
      <w:proofErr w:type="spellEnd"/>
      <w:r w:rsidRPr="007F0543">
        <w:rPr>
          <w:rFonts w:ascii="Times New Roman" w:hAnsi="Times New Roman" w:cs="Times New Roman"/>
          <w:sz w:val="20"/>
          <w:szCs w:val="20"/>
        </w:rPr>
        <w:t xml:space="preserve">, I., &amp; </w:t>
      </w:r>
      <w:proofErr w:type="spellStart"/>
      <w:r w:rsidRPr="007F0543">
        <w:rPr>
          <w:rFonts w:ascii="Times New Roman" w:hAnsi="Times New Roman" w:cs="Times New Roman"/>
          <w:sz w:val="20"/>
          <w:szCs w:val="20"/>
        </w:rPr>
        <w:t>Šebek</w:t>
      </w:r>
      <w:proofErr w:type="spellEnd"/>
      <w:r w:rsidRPr="007F0543">
        <w:rPr>
          <w:rFonts w:ascii="Times New Roman" w:hAnsi="Times New Roman" w:cs="Times New Roman"/>
          <w:sz w:val="20"/>
          <w:szCs w:val="20"/>
        </w:rPr>
        <w:t xml:space="preserve">, J. (2020). </w:t>
      </w:r>
      <w:r w:rsidRPr="007F0543">
        <w:rPr>
          <w:rFonts w:ascii="Times New Roman" w:hAnsi="Times New Roman" w:cs="Times New Roman"/>
          <w:sz w:val="20"/>
          <w:szCs w:val="20"/>
        </w:rPr>
        <w:t xml:space="preserve">Sex differences in Association of Elevated Blood Pressure with variables characterizing cardiometabolic risk in young subjects with or without metabolic abnormalities. </w:t>
      </w:r>
      <w:r w:rsidRPr="007F0543">
        <w:rPr>
          <w:rFonts w:ascii="Times New Roman" w:hAnsi="Times New Roman" w:cs="Times New Roman"/>
          <w:i/>
          <w:iCs/>
          <w:sz w:val="20"/>
          <w:szCs w:val="20"/>
        </w:rPr>
        <w:t>International Journal of Environmental Research and Public Health, 17</w:t>
      </w:r>
      <w:r w:rsidRPr="007F0543">
        <w:rPr>
          <w:rFonts w:ascii="Times New Roman" w:hAnsi="Times New Roman" w:cs="Times New Roman"/>
          <w:sz w:val="20"/>
          <w:szCs w:val="20"/>
        </w:rPr>
        <w:t>(10), 3612.</w:t>
      </w:r>
    </w:p>
    <w:p w14:paraId="35A6DB78"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Wang, J</w:t>
      </w:r>
      <w:r w:rsidRPr="007F0543">
        <w:rPr>
          <w:rFonts w:ascii="Times New Roman" w:hAnsi="Times New Roman" w:cs="Times New Roman"/>
          <w:sz w:val="20"/>
          <w:szCs w:val="20"/>
        </w:rPr>
        <w:t xml:space="preserve">., Tan, F., Wang, Z., Yu, Y., Yang, J., Wang, Y., ... &amp; Yin, X. (2024). Understanding gaps in the hypertension and diabetes care cascade: systematic scoping review. </w:t>
      </w:r>
      <w:r w:rsidRPr="007F0543">
        <w:rPr>
          <w:rFonts w:ascii="Times New Roman" w:hAnsi="Times New Roman" w:cs="Times New Roman"/>
          <w:i/>
          <w:iCs/>
          <w:sz w:val="20"/>
          <w:szCs w:val="20"/>
        </w:rPr>
        <w:t>JMIR Public Health and Surveillance, 10</w:t>
      </w:r>
      <w:r w:rsidRPr="007F0543">
        <w:rPr>
          <w:rFonts w:ascii="Times New Roman" w:hAnsi="Times New Roman" w:cs="Times New Roman"/>
          <w:sz w:val="20"/>
          <w:szCs w:val="20"/>
        </w:rPr>
        <w:t>, e51802.</w:t>
      </w:r>
    </w:p>
    <w:p w14:paraId="5D3E66D4" w14:textId="77777777" w:rsidR="000D144F" w:rsidRPr="007F0543" w:rsidRDefault="008A3565" w:rsidP="000D144F">
      <w:pPr>
        <w:jc w:val="both"/>
        <w:rPr>
          <w:rFonts w:ascii="Times New Roman" w:hAnsi="Times New Roman" w:cs="Times New Roman"/>
          <w:sz w:val="20"/>
          <w:szCs w:val="20"/>
        </w:rPr>
      </w:pPr>
      <w:r w:rsidRPr="007F0543">
        <w:rPr>
          <w:rFonts w:ascii="Times New Roman" w:hAnsi="Times New Roman" w:cs="Times New Roman"/>
          <w:sz w:val="20"/>
          <w:szCs w:val="20"/>
        </w:rPr>
        <w:t xml:space="preserve">Wozniak, G., Khan, T., Gillespie, C., </w:t>
      </w:r>
      <w:proofErr w:type="spellStart"/>
      <w:r w:rsidRPr="007F0543">
        <w:rPr>
          <w:rFonts w:ascii="Times New Roman" w:hAnsi="Times New Roman" w:cs="Times New Roman"/>
          <w:sz w:val="20"/>
          <w:szCs w:val="20"/>
        </w:rPr>
        <w:t>Sifu</w:t>
      </w:r>
      <w:r w:rsidRPr="007F0543">
        <w:rPr>
          <w:rFonts w:ascii="Times New Roman" w:hAnsi="Times New Roman" w:cs="Times New Roman"/>
          <w:sz w:val="20"/>
          <w:szCs w:val="20"/>
        </w:rPr>
        <w:t>entes</w:t>
      </w:r>
      <w:proofErr w:type="spellEnd"/>
      <w:r w:rsidRPr="007F0543">
        <w:rPr>
          <w:rFonts w:ascii="Times New Roman" w:hAnsi="Times New Roman" w:cs="Times New Roman"/>
          <w:sz w:val="20"/>
          <w:szCs w:val="20"/>
        </w:rPr>
        <w:t xml:space="preserve">, L., Hasan, O., Ritchey, M., ... &amp; </w:t>
      </w:r>
      <w:proofErr w:type="spellStart"/>
      <w:r w:rsidRPr="007F0543">
        <w:rPr>
          <w:rFonts w:ascii="Times New Roman" w:hAnsi="Times New Roman" w:cs="Times New Roman"/>
          <w:sz w:val="20"/>
          <w:szCs w:val="20"/>
        </w:rPr>
        <w:t>Wynia</w:t>
      </w:r>
      <w:proofErr w:type="spellEnd"/>
      <w:r w:rsidRPr="007F0543">
        <w:rPr>
          <w:rFonts w:ascii="Times New Roman" w:hAnsi="Times New Roman" w:cs="Times New Roman"/>
          <w:sz w:val="20"/>
          <w:szCs w:val="20"/>
        </w:rPr>
        <w:t xml:space="preserve">, M. (2016). Hypertension control cascade: a framework to improve hypertension awareness, treatment, and control. </w:t>
      </w:r>
      <w:r w:rsidRPr="007F0543">
        <w:rPr>
          <w:rFonts w:ascii="Times New Roman" w:hAnsi="Times New Roman" w:cs="Times New Roman"/>
          <w:i/>
          <w:iCs/>
          <w:sz w:val="20"/>
          <w:szCs w:val="20"/>
        </w:rPr>
        <w:t>The Journal of Clinical Hypertension, 18</w:t>
      </w:r>
      <w:r w:rsidRPr="007F0543">
        <w:rPr>
          <w:rFonts w:ascii="Times New Roman" w:hAnsi="Times New Roman" w:cs="Times New Roman"/>
          <w:sz w:val="20"/>
          <w:szCs w:val="20"/>
        </w:rPr>
        <w:t>(3), 232–239.</w:t>
      </w:r>
    </w:p>
    <w:p w14:paraId="3DFBC3DC" w14:textId="77777777" w:rsidR="000D144F" w:rsidRPr="007F0543" w:rsidRDefault="008A3565" w:rsidP="000D144F">
      <w:pPr>
        <w:jc w:val="both"/>
        <w:rPr>
          <w:rFonts w:ascii="Times New Roman" w:hAnsi="Times New Roman" w:cs="Times New Roman"/>
          <w:sz w:val="20"/>
          <w:szCs w:val="20"/>
        </w:rPr>
      </w:pPr>
      <w:proofErr w:type="spellStart"/>
      <w:r w:rsidRPr="007F0543">
        <w:rPr>
          <w:rFonts w:ascii="Times New Roman" w:hAnsi="Times New Roman" w:cs="Times New Roman"/>
          <w:sz w:val="20"/>
          <w:szCs w:val="20"/>
        </w:rPr>
        <w:t>Yuyun</w:t>
      </w:r>
      <w:proofErr w:type="spellEnd"/>
      <w:r w:rsidRPr="007F0543">
        <w:rPr>
          <w:rFonts w:ascii="Times New Roman" w:hAnsi="Times New Roman" w:cs="Times New Roman"/>
          <w:sz w:val="20"/>
          <w:szCs w:val="20"/>
        </w:rPr>
        <w:t xml:space="preserve">, M. F., </w:t>
      </w:r>
      <w:proofErr w:type="spellStart"/>
      <w:r w:rsidRPr="007F0543">
        <w:rPr>
          <w:rFonts w:ascii="Times New Roman" w:hAnsi="Times New Roman" w:cs="Times New Roman"/>
          <w:sz w:val="20"/>
          <w:szCs w:val="20"/>
        </w:rPr>
        <w:t>Sliwa</w:t>
      </w:r>
      <w:proofErr w:type="spellEnd"/>
      <w:r w:rsidRPr="007F0543">
        <w:rPr>
          <w:rFonts w:ascii="Times New Roman" w:hAnsi="Times New Roman" w:cs="Times New Roman"/>
          <w:sz w:val="20"/>
          <w:szCs w:val="20"/>
        </w:rPr>
        <w:t xml:space="preserve">, K., </w:t>
      </w:r>
      <w:proofErr w:type="spellStart"/>
      <w:r w:rsidRPr="007F0543">
        <w:rPr>
          <w:rFonts w:ascii="Times New Roman" w:hAnsi="Times New Roman" w:cs="Times New Roman"/>
          <w:sz w:val="20"/>
          <w:szCs w:val="20"/>
        </w:rPr>
        <w:t>Kengne</w:t>
      </w:r>
      <w:proofErr w:type="spellEnd"/>
      <w:r w:rsidRPr="007F0543">
        <w:rPr>
          <w:rFonts w:ascii="Times New Roman" w:hAnsi="Times New Roman" w:cs="Times New Roman"/>
          <w:sz w:val="20"/>
          <w:szCs w:val="20"/>
        </w:rPr>
        <w:t xml:space="preserve">, A. P., </w:t>
      </w:r>
      <w:proofErr w:type="spellStart"/>
      <w:r w:rsidRPr="007F0543">
        <w:rPr>
          <w:rFonts w:ascii="Times New Roman" w:hAnsi="Times New Roman" w:cs="Times New Roman"/>
          <w:sz w:val="20"/>
          <w:szCs w:val="20"/>
        </w:rPr>
        <w:t>Mo</w:t>
      </w:r>
      <w:r w:rsidRPr="007F0543">
        <w:rPr>
          <w:rFonts w:ascii="Times New Roman" w:hAnsi="Times New Roman" w:cs="Times New Roman"/>
          <w:sz w:val="20"/>
          <w:szCs w:val="20"/>
        </w:rPr>
        <w:t>cumbi</w:t>
      </w:r>
      <w:proofErr w:type="spellEnd"/>
      <w:r w:rsidRPr="007F0543">
        <w:rPr>
          <w:rFonts w:ascii="Times New Roman" w:hAnsi="Times New Roman" w:cs="Times New Roman"/>
          <w:sz w:val="20"/>
          <w:szCs w:val="20"/>
        </w:rPr>
        <w:t xml:space="preserve">, A. O., &amp; </w:t>
      </w:r>
      <w:proofErr w:type="spellStart"/>
      <w:r w:rsidRPr="007F0543">
        <w:rPr>
          <w:rFonts w:ascii="Times New Roman" w:hAnsi="Times New Roman" w:cs="Times New Roman"/>
          <w:sz w:val="20"/>
          <w:szCs w:val="20"/>
        </w:rPr>
        <w:t>Bukhman</w:t>
      </w:r>
      <w:proofErr w:type="spellEnd"/>
      <w:r w:rsidRPr="007F0543">
        <w:rPr>
          <w:rFonts w:ascii="Times New Roman" w:hAnsi="Times New Roman" w:cs="Times New Roman"/>
          <w:sz w:val="20"/>
          <w:szCs w:val="20"/>
        </w:rPr>
        <w:t xml:space="preserve">, G. (2020). Cardiovascular diseases in sub-Saharan Africa compared to high-income countries: an epidemiological perspective. </w:t>
      </w:r>
      <w:r w:rsidRPr="007F0543">
        <w:rPr>
          <w:rFonts w:ascii="Times New Roman" w:hAnsi="Times New Roman" w:cs="Times New Roman"/>
          <w:i/>
          <w:iCs/>
          <w:sz w:val="20"/>
          <w:szCs w:val="20"/>
        </w:rPr>
        <w:t>Global Heart, 15</w:t>
      </w:r>
      <w:r w:rsidRPr="007F0543">
        <w:rPr>
          <w:rFonts w:ascii="Times New Roman" w:hAnsi="Times New Roman" w:cs="Times New Roman"/>
          <w:sz w:val="20"/>
          <w:szCs w:val="20"/>
        </w:rPr>
        <w:t>(1), 15*.</w:t>
      </w:r>
    </w:p>
    <w:p w14:paraId="7E959786" w14:textId="77777777" w:rsidR="000D144F" w:rsidRPr="007F0543" w:rsidRDefault="000D144F" w:rsidP="000D144F">
      <w:pPr>
        <w:rPr>
          <w:rFonts w:ascii="Times New Roman" w:hAnsi="Times New Roman" w:cs="Times New Roman"/>
        </w:rPr>
      </w:pPr>
    </w:p>
    <w:p w14:paraId="2353FBFD" w14:textId="77777777" w:rsidR="00CC220F" w:rsidRPr="00AB5C38" w:rsidRDefault="00CC220F" w:rsidP="00AB5C38">
      <w:pPr>
        <w:jc w:val="both"/>
        <w:rPr>
          <w:rFonts w:ascii="Times New Roman" w:hAnsi="Times New Roman" w:cs="Times New Roman"/>
          <w:sz w:val="20"/>
          <w:szCs w:val="20"/>
        </w:rPr>
      </w:pPr>
    </w:p>
    <w:sectPr w:rsidR="00CC220F" w:rsidRPr="00AB5C3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00D0A" w14:textId="77777777" w:rsidR="008A3565" w:rsidRDefault="008A3565" w:rsidP="00DD05A6">
      <w:pPr>
        <w:spacing w:after="0" w:line="240" w:lineRule="auto"/>
      </w:pPr>
      <w:r>
        <w:separator/>
      </w:r>
    </w:p>
  </w:endnote>
  <w:endnote w:type="continuationSeparator" w:id="0">
    <w:p w14:paraId="412B98AB" w14:textId="77777777" w:rsidR="008A3565" w:rsidRDefault="008A3565" w:rsidP="00DD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F3C23" w14:textId="77777777" w:rsidR="00F0615E" w:rsidRDefault="00F061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408596"/>
      <w:docPartObj>
        <w:docPartGallery w:val="Page Numbers (Bottom of Page)"/>
        <w:docPartUnique/>
      </w:docPartObj>
    </w:sdtPr>
    <w:sdtEndPr>
      <w:rPr>
        <w:noProof/>
      </w:rPr>
    </w:sdtEndPr>
    <w:sdtContent>
      <w:p w14:paraId="5135BF47" w14:textId="61323B5E" w:rsidR="00DD05A6" w:rsidRDefault="00DD05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74AE6A" w14:textId="77777777" w:rsidR="00DD05A6" w:rsidRDefault="00DD0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AEE6E" w14:textId="77777777" w:rsidR="00F0615E" w:rsidRDefault="00F06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DDA3F" w14:textId="77777777" w:rsidR="008A3565" w:rsidRDefault="008A3565" w:rsidP="00DD05A6">
      <w:pPr>
        <w:spacing w:after="0" w:line="240" w:lineRule="auto"/>
      </w:pPr>
      <w:r>
        <w:separator/>
      </w:r>
    </w:p>
  </w:footnote>
  <w:footnote w:type="continuationSeparator" w:id="0">
    <w:p w14:paraId="6B0A2F29" w14:textId="77777777" w:rsidR="008A3565" w:rsidRDefault="008A3565" w:rsidP="00DD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E69F" w14:textId="15AFD5FB" w:rsidR="00F0615E" w:rsidRDefault="00F0615E">
    <w:pPr>
      <w:pStyle w:val="Header"/>
    </w:pPr>
    <w:r>
      <w:rPr>
        <w:noProof/>
      </w:rPr>
      <w:pict w14:anchorId="25C51B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162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47C0C" w14:textId="2978856C" w:rsidR="00F0615E" w:rsidRDefault="00F0615E">
    <w:pPr>
      <w:pStyle w:val="Header"/>
    </w:pPr>
    <w:r>
      <w:rPr>
        <w:noProof/>
      </w:rPr>
      <w:pict w14:anchorId="1C955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162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E2CC" w14:textId="71EE8486" w:rsidR="00F0615E" w:rsidRDefault="00F0615E">
    <w:pPr>
      <w:pStyle w:val="Header"/>
    </w:pPr>
    <w:r>
      <w:rPr>
        <w:noProof/>
      </w:rPr>
      <w:pict w14:anchorId="7BBBE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162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38"/>
    <w:rsid w:val="00010423"/>
    <w:rsid w:val="00037914"/>
    <w:rsid w:val="000572E0"/>
    <w:rsid w:val="000D144F"/>
    <w:rsid w:val="00117CC1"/>
    <w:rsid w:val="001653A8"/>
    <w:rsid w:val="001B083B"/>
    <w:rsid w:val="001D7961"/>
    <w:rsid w:val="002673F1"/>
    <w:rsid w:val="00300D77"/>
    <w:rsid w:val="00303ACF"/>
    <w:rsid w:val="00312F9C"/>
    <w:rsid w:val="003154D0"/>
    <w:rsid w:val="00322668"/>
    <w:rsid w:val="0035210E"/>
    <w:rsid w:val="00361473"/>
    <w:rsid w:val="003B4358"/>
    <w:rsid w:val="00444363"/>
    <w:rsid w:val="0045199E"/>
    <w:rsid w:val="004A1DEA"/>
    <w:rsid w:val="004E4FF4"/>
    <w:rsid w:val="00546C80"/>
    <w:rsid w:val="0063064E"/>
    <w:rsid w:val="006854A4"/>
    <w:rsid w:val="006B7061"/>
    <w:rsid w:val="00706215"/>
    <w:rsid w:val="00715B60"/>
    <w:rsid w:val="00726440"/>
    <w:rsid w:val="007943EB"/>
    <w:rsid w:val="00797704"/>
    <w:rsid w:val="007A0F73"/>
    <w:rsid w:val="007A5B4E"/>
    <w:rsid w:val="007A762A"/>
    <w:rsid w:val="007F0543"/>
    <w:rsid w:val="007F6EC3"/>
    <w:rsid w:val="008A0B56"/>
    <w:rsid w:val="008A3565"/>
    <w:rsid w:val="008B51A9"/>
    <w:rsid w:val="008D375B"/>
    <w:rsid w:val="008F70F5"/>
    <w:rsid w:val="00964A8E"/>
    <w:rsid w:val="00997531"/>
    <w:rsid w:val="00A07FC5"/>
    <w:rsid w:val="00A6276D"/>
    <w:rsid w:val="00A62B9C"/>
    <w:rsid w:val="00AB5C38"/>
    <w:rsid w:val="00AF48E7"/>
    <w:rsid w:val="00B47141"/>
    <w:rsid w:val="00BC5BB6"/>
    <w:rsid w:val="00BF62BB"/>
    <w:rsid w:val="00BF65A7"/>
    <w:rsid w:val="00C016D6"/>
    <w:rsid w:val="00C21318"/>
    <w:rsid w:val="00C236A9"/>
    <w:rsid w:val="00C252B5"/>
    <w:rsid w:val="00CC220F"/>
    <w:rsid w:val="00CE2D9C"/>
    <w:rsid w:val="00D25B63"/>
    <w:rsid w:val="00DC3E1C"/>
    <w:rsid w:val="00DD05A6"/>
    <w:rsid w:val="00DD6928"/>
    <w:rsid w:val="00E004A5"/>
    <w:rsid w:val="00E04FF5"/>
    <w:rsid w:val="00E11B7D"/>
    <w:rsid w:val="00E63B6D"/>
    <w:rsid w:val="00EA438D"/>
    <w:rsid w:val="00F0615E"/>
    <w:rsid w:val="00F16B11"/>
    <w:rsid w:val="00F40420"/>
    <w:rsid w:val="00F565EA"/>
    <w:rsid w:val="00F73B00"/>
    <w:rsid w:val="00F83BC9"/>
    <w:rsid w:val="00F94519"/>
    <w:rsid w:val="00FA1B3C"/>
    <w:rsid w:val="00FC338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D23824"/>
  <w15:chartTrackingRefBased/>
  <w15:docId w15:val="{43A2A702-9E89-4433-ACDE-F3CC1047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C38"/>
    <w:rPr>
      <w:lang w:val="en-GB"/>
    </w:rPr>
  </w:style>
  <w:style w:type="paragraph" w:styleId="Heading1">
    <w:name w:val="heading 1"/>
    <w:basedOn w:val="Normal"/>
    <w:next w:val="Normal"/>
    <w:link w:val="Heading1Char"/>
    <w:uiPriority w:val="9"/>
    <w:qFormat/>
    <w:rsid w:val="00AB5C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5C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5C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5C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5C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5C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5C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5C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5C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C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5C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5C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5C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5C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5C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5C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5C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5C38"/>
    <w:rPr>
      <w:rFonts w:eastAsiaTheme="majorEastAsia" w:cstheme="majorBidi"/>
      <w:color w:val="272727" w:themeColor="text1" w:themeTint="D8"/>
    </w:rPr>
  </w:style>
  <w:style w:type="paragraph" w:styleId="Title">
    <w:name w:val="Title"/>
    <w:basedOn w:val="Normal"/>
    <w:next w:val="Normal"/>
    <w:link w:val="TitleChar"/>
    <w:uiPriority w:val="10"/>
    <w:qFormat/>
    <w:rsid w:val="00AB5C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C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5C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5C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5C38"/>
    <w:pPr>
      <w:spacing w:before="160"/>
      <w:jc w:val="center"/>
    </w:pPr>
    <w:rPr>
      <w:i/>
      <w:iCs/>
      <w:color w:val="404040" w:themeColor="text1" w:themeTint="BF"/>
    </w:rPr>
  </w:style>
  <w:style w:type="character" w:customStyle="1" w:styleId="QuoteChar">
    <w:name w:val="Quote Char"/>
    <w:basedOn w:val="DefaultParagraphFont"/>
    <w:link w:val="Quote"/>
    <w:uiPriority w:val="29"/>
    <w:rsid w:val="00AB5C38"/>
    <w:rPr>
      <w:i/>
      <w:iCs/>
      <w:color w:val="404040" w:themeColor="text1" w:themeTint="BF"/>
    </w:rPr>
  </w:style>
  <w:style w:type="paragraph" w:styleId="ListParagraph">
    <w:name w:val="List Paragraph"/>
    <w:basedOn w:val="Normal"/>
    <w:uiPriority w:val="34"/>
    <w:qFormat/>
    <w:rsid w:val="00AB5C38"/>
    <w:pPr>
      <w:ind w:left="720"/>
      <w:contextualSpacing/>
    </w:pPr>
  </w:style>
  <w:style w:type="character" w:styleId="IntenseEmphasis">
    <w:name w:val="Intense Emphasis"/>
    <w:basedOn w:val="DefaultParagraphFont"/>
    <w:uiPriority w:val="21"/>
    <w:qFormat/>
    <w:rsid w:val="00AB5C38"/>
    <w:rPr>
      <w:i/>
      <w:iCs/>
      <w:color w:val="2F5496" w:themeColor="accent1" w:themeShade="BF"/>
    </w:rPr>
  </w:style>
  <w:style w:type="paragraph" w:styleId="IntenseQuote">
    <w:name w:val="Intense Quote"/>
    <w:basedOn w:val="Normal"/>
    <w:next w:val="Normal"/>
    <w:link w:val="IntenseQuoteChar"/>
    <w:uiPriority w:val="30"/>
    <w:qFormat/>
    <w:rsid w:val="00AB5C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5C38"/>
    <w:rPr>
      <w:i/>
      <w:iCs/>
      <w:color w:val="2F5496" w:themeColor="accent1" w:themeShade="BF"/>
    </w:rPr>
  </w:style>
  <w:style w:type="character" w:styleId="IntenseReference">
    <w:name w:val="Intense Reference"/>
    <w:basedOn w:val="DefaultParagraphFont"/>
    <w:uiPriority w:val="32"/>
    <w:qFormat/>
    <w:rsid w:val="00AB5C38"/>
    <w:rPr>
      <w:b/>
      <w:bCs/>
      <w:smallCaps/>
      <w:color w:val="2F5496" w:themeColor="accent1" w:themeShade="BF"/>
      <w:spacing w:val="5"/>
    </w:rPr>
  </w:style>
  <w:style w:type="paragraph" w:customStyle="1" w:styleId="TableCaption">
    <w:name w:val="Table Caption"/>
    <w:basedOn w:val="Normal"/>
    <w:qFormat/>
    <w:rsid w:val="00AB5C38"/>
    <w:pPr>
      <w:spacing w:after="0" w:line="240" w:lineRule="auto"/>
      <w:jc w:val="center"/>
    </w:pPr>
    <w:rPr>
      <w:rFonts w:eastAsiaTheme="minorEastAsia"/>
      <w:b/>
      <w:i/>
      <w:kern w:val="0"/>
      <w:sz w:val="24"/>
      <w:szCs w:val="24"/>
      <w14:ligatures w14:val="none"/>
    </w:rPr>
  </w:style>
  <w:style w:type="character" w:styleId="Hyperlink">
    <w:name w:val="Hyperlink"/>
    <w:basedOn w:val="DefaultParagraphFont"/>
    <w:uiPriority w:val="99"/>
    <w:unhideWhenUsed/>
    <w:rsid w:val="000D144F"/>
    <w:rPr>
      <w:color w:val="0563C1" w:themeColor="hyperlink"/>
      <w:u w:val="single"/>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Header">
    <w:name w:val="header"/>
    <w:basedOn w:val="Normal"/>
    <w:link w:val="HeaderChar"/>
    <w:uiPriority w:val="99"/>
    <w:unhideWhenUsed/>
    <w:rsid w:val="00DD0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5A6"/>
    <w:rPr>
      <w:lang w:val="en-GB"/>
    </w:rPr>
  </w:style>
  <w:style w:type="paragraph" w:styleId="Footer">
    <w:name w:val="footer"/>
    <w:basedOn w:val="Normal"/>
    <w:link w:val="FooterChar"/>
    <w:uiPriority w:val="99"/>
    <w:unhideWhenUsed/>
    <w:rsid w:val="00DD0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5A6"/>
    <w:rPr>
      <w:lang w:val="en-GB"/>
    </w:rPr>
  </w:style>
  <w:style w:type="character" w:styleId="PlaceholderText">
    <w:name w:val="Placeholder Text"/>
    <w:basedOn w:val="DefaultParagraphFont"/>
    <w:uiPriority w:val="99"/>
    <w:semiHidden/>
    <w:rsid w:val="00312F9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17</Pages>
  <Words>7405</Words>
  <Characters>42210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Ayiah-Mensah</dc:creator>
  <cp:lastModifiedBy>SDI 1084</cp:lastModifiedBy>
  <cp:revision>25</cp:revision>
  <cp:lastPrinted>2025-09-19T10:16:00Z</cp:lastPrinted>
  <dcterms:created xsi:type="dcterms:W3CDTF">2025-09-15T08:48:00Z</dcterms:created>
  <dcterms:modified xsi:type="dcterms:W3CDTF">2025-11-19T10:36:00Z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2025-09-15T09:50:54Z</vt:filetime>
  </property>
</Properties>
</file>