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CB90E" w14:textId="77777777" w:rsidR="00754C9A" w:rsidRDefault="00754C9A" w:rsidP="00441B6F">
      <w:pPr>
        <w:pStyle w:val="Title"/>
        <w:spacing w:after="0"/>
        <w:jc w:val="both"/>
        <w:rPr>
          <w:rFonts w:ascii="Arial" w:hAnsi="Arial" w:cs="Arial"/>
        </w:rPr>
      </w:pPr>
      <w:bookmarkStart w:id="0" w:name="_GoBack"/>
      <w:bookmarkEnd w:id="0"/>
    </w:p>
    <w:p w14:paraId="133B77FF" w14:textId="77777777" w:rsidR="00A86305" w:rsidRPr="00A86305" w:rsidRDefault="00A86305" w:rsidP="00A86305">
      <w:pPr>
        <w:spacing w:before="1"/>
        <w:ind w:right="31" w:hanging="3"/>
        <w:jc w:val="right"/>
        <w:rPr>
          <w:rFonts w:ascii="Arial" w:hAnsi="Arial" w:cs="Arial"/>
          <w:b/>
          <w:sz w:val="24"/>
          <w:szCs w:val="24"/>
        </w:rPr>
      </w:pPr>
      <w:r w:rsidRPr="00A86305">
        <w:rPr>
          <w:rFonts w:ascii="Arial" w:hAnsi="Arial" w:cs="Arial"/>
          <w:b/>
          <w:sz w:val="24"/>
          <w:szCs w:val="24"/>
        </w:rPr>
        <w:t>CORRELATION BETWEEN VITAMIN D SERUM AND DELAYED BONE AGE WITH SERUM FERRITIN LEVEL IN CHILDREN WITH BETA THALASSEMIA</w:t>
      </w:r>
    </w:p>
    <w:p w14:paraId="35207843" w14:textId="5E179B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B269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2584B3" w14:textId="77777777" w:rsidTr="001E44FE">
        <w:tc>
          <w:tcPr>
            <w:tcW w:w="9576" w:type="dxa"/>
            <w:shd w:val="clear" w:color="auto" w:fill="F2F2F2"/>
          </w:tcPr>
          <w:p w14:paraId="3E072296" w14:textId="2184F9A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11590" w:rsidRPr="00E11590">
              <w:rPr>
                <w:rFonts w:ascii="Arial" w:hAnsi="Arial" w:cs="Arial"/>
              </w:rPr>
              <w:t>To determine the correlation between vitamin D serum and delayed bone age with serum ferritin level in children with beta thalassemia</w:t>
            </w:r>
            <w:r w:rsidRPr="00BA1B01">
              <w:rPr>
                <w:rFonts w:ascii="Arial" w:eastAsia="Calibri" w:hAnsi="Arial" w:cs="Arial"/>
                <w:szCs w:val="22"/>
              </w:rPr>
              <w:t>.</w:t>
            </w:r>
          </w:p>
          <w:p w14:paraId="32C6B72D" w14:textId="07F2B00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02952" w:rsidRPr="00E11590">
              <w:rPr>
                <w:rFonts w:ascii="Arial" w:hAnsi="Arial" w:cs="Arial"/>
              </w:rPr>
              <w:t>A cross-sectional study</w:t>
            </w:r>
            <w:r w:rsidRPr="00BA1B01">
              <w:rPr>
                <w:rFonts w:ascii="Arial" w:eastAsia="Calibri" w:hAnsi="Arial" w:cs="Arial"/>
                <w:szCs w:val="22"/>
              </w:rPr>
              <w:t>.</w:t>
            </w:r>
            <w:r w:rsidR="00102952">
              <w:rPr>
                <w:rFonts w:ascii="Arial" w:eastAsia="Calibri" w:hAnsi="Arial" w:cs="Arial"/>
                <w:szCs w:val="22"/>
              </w:rPr>
              <w:t xml:space="preserve"> </w:t>
            </w:r>
          </w:p>
          <w:p w14:paraId="0C6DF54B" w14:textId="0ECBF60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A3215">
              <w:rPr>
                <w:rFonts w:ascii="Arial" w:eastAsia="Calibri" w:hAnsi="Arial" w:cs="Arial"/>
                <w:szCs w:val="22"/>
              </w:rPr>
              <w:t>Pediatric Hematology and Oncology</w:t>
            </w:r>
            <w:r w:rsidR="00C60711">
              <w:rPr>
                <w:rFonts w:ascii="Arial" w:eastAsia="Calibri" w:hAnsi="Arial" w:cs="Arial"/>
                <w:szCs w:val="22"/>
              </w:rPr>
              <w:t xml:space="preserve"> outpatient clinic and </w:t>
            </w:r>
            <w:r w:rsidR="00653953">
              <w:rPr>
                <w:rFonts w:ascii="Arial" w:eastAsia="Calibri" w:hAnsi="Arial" w:cs="Arial"/>
                <w:szCs w:val="22"/>
              </w:rPr>
              <w:t xml:space="preserve">inpatient </w:t>
            </w:r>
            <w:r w:rsidR="00C60711">
              <w:rPr>
                <w:rFonts w:ascii="Arial" w:eastAsia="Calibri" w:hAnsi="Arial" w:cs="Arial"/>
                <w:szCs w:val="22"/>
              </w:rPr>
              <w:t xml:space="preserve">ward, </w:t>
            </w:r>
            <w:r w:rsidR="00102952" w:rsidRPr="00E11590">
              <w:rPr>
                <w:rFonts w:ascii="Arial" w:hAnsi="Arial" w:cs="Arial"/>
              </w:rPr>
              <w:t xml:space="preserve">Ulin </w:t>
            </w:r>
            <w:r w:rsidR="00653953">
              <w:rPr>
                <w:rFonts w:ascii="Arial" w:hAnsi="Arial" w:cs="Arial"/>
              </w:rPr>
              <w:t xml:space="preserve">General </w:t>
            </w:r>
            <w:r w:rsidR="00102952" w:rsidRPr="00E11590">
              <w:rPr>
                <w:rFonts w:ascii="Arial" w:hAnsi="Arial" w:cs="Arial"/>
              </w:rPr>
              <w:t>Hospital</w:t>
            </w:r>
            <w:r w:rsidR="00A51C71">
              <w:rPr>
                <w:rFonts w:ascii="Arial" w:hAnsi="Arial" w:cs="Arial"/>
              </w:rPr>
              <w:t xml:space="preserve">, </w:t>
            </w:r>
            <w:r w:rsidR="00102952" w:rsidRPr="00E11590">
              <w:rPr>
                <w:rFonts w:ascii="Arial" w:hAnsi="Arial" w:cs="Arial"/>
              </w:rPr>
              <w:t>Banjarmasin</w:t>
            </w:r>
            <w:r w:rsidRPr="00BA1B01">
              <w:rPr>
                <w:rFonts w:ascii="Arial" w:eastAsia="Calibri" w:hAnsi="Arial" w:cs="Arial"/>
                <w:szCs w:val="22"/>
              </w:rPr>
              <w:t xml:space="preserve">, </w:t>
            </w:r>
            <w:r w:rsidR="00A51C71">
              <w:rPr>
                <w:rFonts w:ascii="Arial" w:eastAsia="Calibri" w:hAnsi="Arial" w:cs="Arial"/>
                <w:szCs w:val="22"/>
              </w:rPr>
              <w:t xml:space="preserve">South Kalimantan, Indonesia, </w:t>
            </w:r>
            <w:r w:rsidRPr="00BA1B01">
              <w:rPr>
                <w:rFonts w:ascii="Arial" w:eastAsia="Calibri" w:hAnsi="Arial" w:cs="Arial"/>
                <w:szCs w:val="22"/>
              </w:rPr>
              <w:t xml:space="preserve">between </w:t>
            </w:r>
            <w:r w:rsidR="00A51C71">
              <w:rPr>
                <w:rFonts w:ascii="Arial" w:eastAsia="Calibri" w:hAnsi="Arial" w:cs="Arial"/>
                <w:szCs w:val="22"/>
              </w:rPr>
              <w:t xml:space="preserve">January </w:t>
            </w:r>
            <w:r w:rsidRPr="00BA1B01">
              <w:rPr>
                <w:rFonts w:ascii="Arial" w:eastAsia="Calibri" w:hAnsi="Arial" w:cs="Arial"/>
                <w:szCs w:val="22"/>
              </w:rPr>
              <w:t>20</w:t>
            </w:r>
            <w:r w:rsidR="00A51C71">
              <w:rPr>
                <w:rFonts w:ascii="Arial" w:eastAsia="Calibri" w:hAnsi="Arial" w:cs="Arial"/>
                <w:szCs w:val="22"/>
              </w:rPr>
              <w:t>24</w:t>
            </w:r>
            <w:r w:rsidRPr="00BA1B01">
              <w:rPr>
                <w:rFonts w:ascii="Arial" w:eastAsia="Calibri" w:hAnsi="Arial" w:cs="Arial"/>
                <w:szCs w:val="22"/>
              </w:rPr>
              <w:t xml:space="preserve"> and </w:t>
            </w:r>
            <w:r w:rsidR="00A51C71">
              <w:rPr>
                <w:rFonts w:ascii="Arial" w:eastAsia="Calibri" w:hAnsi="Arial" w:cs="Arial"/>
                <w:szCs w:val="22"/>
              </w:rPr>
              <w:t xml:space="preserve">March </w:t>
            </w:r>
            <w:r w:rsidRPr="00BA1B01">
              <w:rPr>
                <w:rFonts w:ascii="Arial" w:eastAsia="Calibri" w:hAnsi="Arial" w:cs="Arial"/>
                <w:szCs w:val="22"/>
              </w:rPr>
              <w:t>20</w:t>
            </w:r>
            <w:r w:rsidR="00A51C71">
              <w:rPr>
                <w:rFonts w:ascii="Arial" w:eastAsia="Calibri" w:hAnsi="Arial" w:cs="Arial"/>
                <w:szCs w:val="22"/>
              </w:rPr>
              <w:t>24</w:t>
            </w:r>
            <w:r w:rsidRPr="00BA1B01">
              <w:rPr>
                <w:rFonts w:ascii="Arial" w:eastAsia="Calibri" w:hAnsi="Arial" w:cs="Arial"/>
                <w:szCs w:val="22"/>
              </w:rPr>
              <w:t>.</w:t>
            </w:r>
          </w:p>
          <w:p w14:paraId="7167FDB5" w14:textId="0FFFDE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We included </w:t>
            </w:r>
            <w:r w:rsidR="00A51C71">
              <w:rPr>
                <w:rFonts w:ascii="Arial" w:eastAsia="Calibri" w:hAnsi="Arial" w:cs="Arial"/>
                <w:szCs w:val="22"/>
              </w:rPr>
              <w:t>55</w:t>
            </w:r>
            <w:r w:rsidRPr="00BA1B01">
              <w:rPr>
                <w:rFonts w:ascii="Arial" w:eastAsia="Calibri" w:hAnsi="Arial" w:cs="Arial"/>
                <w:szCs w:val="22"/>
              </w:rPr>
              <w:t xml:space="preserve"> patients </w:t>
            </w:r>
            <w:r w:rsidRPr="00BA1B01">
              <w:rPr>
                <w:rFonts w:ascii="Arial" w:eastAsia="Calibri" w:hAnsi="Arial" w:cs="Arial"/>
                <w:bCs/>
                <w:szCs w:val="22"/>
              </w:rPr>
              <w:t>(</w:t>
            </w:r>
            <w:r w:rsidR="00A51C71">
              <w:rPr>
                <w:rFonts w:ascii="Arial" w:eastAsia="Calibri" w:hAnsi="Arial" w:cs="Arial"/>
                <w:bCs/>
                <w:szCs w:val="22"/>
              </w:rPr>
              <w:t>34</w:t>
            </w:r>
            <w:r w:rsidRPr="00BA1B01">
              <w:rPr>
                <w:rFonts w:ascii="Arial" w:eastAsia="Calibri" w:hAnsi="Arial" w:cs="Arial"/>
                <w:bCs/>
                <w:szCs w:val="22"/>
              </w:rPr>
              <w:t xml:space="preserve"> </w:t>
            </w:r>
            <w:r w:rsidR="00A51C71">
              <w:rPr>
                <w:rFonts w:ascii="Arial" w:eastAsia="Calibri" w:hAnsi="Arial" w:cs="Arial"/>
                <w:szCs w:val="22"/>
              </w:rPr>
              <w:t>male</w:t>
            </w:r>
            <w:r w:rsidRPr="00BA1B01">
              <w:rPr>
                <w:rFonts w:ascii="Arial" w:eastAsia="Calibri" w:hAnsi="Arial" w:cs="Arial"/>
                <w:szCs w:val="22"/>
              </w:rPr>
              <w:t>, 2</w:t>
            </w:r>
            <w:r w:rsidR="00A51C71">
              <w:rPr>
                <w:rFonts w:ascii="Arial" w:eastAsia="Calibri" w:hAnsi="Arial" w:cs="Arial"/>
                <w:szCs w:val="22"/>
              </w:rPr>
              <w:t>1</w:t>
            </w:r>
            <w:r w:rsidRPr="00BA1B01">
              <w:rPr>
                <w:rFonts w:ascii="Arial" w:eastAsia="Calibri" w:hAnsi="Arial" w:cs="Arial"/>
                <w:szCs w:val="22"/>
              </w:rPr>
              <w:t xml:space="preserve"> </w:t>
            </w:r>
            <w:r w:rsidR="00A51C71">
              <w:rPr>
                <w:rFonts w:ascii="Arial" w:eastAsia="Calibri" w:hAnsi="Arial" w:cs="Arial"/>
                <w:szCs w:val="22"/>
              </w:rPr>
              <w:t>female</w:t>
            </w:r>
            <w:r w:rsidRPr="00BA1B01">
              <w:rPr>
                <w:rFonts w:ascii="Arial" w:eastAsia="Calibri" w:hAnsi="Arial" w:cs="Arial"/>
                <w:szCs w:val="22"/>
              </w:rPr>
              <w:t xml:space="preserve">; age range </w:t>
            </w:r>
            <w:r w:rsidR="00A51C71">
              <w:rPr>
                <w:rFonts w:ascii="Arial" w:eastAsia="Calibri" w:hAnsi="Arial" w:cs="Arial"/>
                <w:szCs w:val="22"/>
              </w:rPr>
              <w:t>2</w:t>
            </w:r>
            <w:r w:rsidRPr="00BA1B01">
              <w:rPr>
                <w:rFonts w:ascii="Arial" w:eastAsia="Calibri" w:hAnsi="Arial" w:cs="Arial"/>
                <w:szCs w:val="22"/>
              </w:rPr>
              <w:t>-</w:t>
            </w:r>
            <w:r w:rsidR="00A51C71">
              <w:rPr>
                <w:rFonts w:ascii="Arial" w:eastAsia="Calibri" w:hAnsi="Arial" w:cs="Arial"/>
                <w:szCs w:val="22"/>
              </w:rPr>
              <w:t>18</w:t>
            </w:r>
            <w:r w:rsidRPr="00BA1B01">
              <w:rPr>
                <w:rFonts w:ascii="Arial" w:eastAsia="Calibri" w:hAnsi="Arial" w:cs="Arial"/>
                <w:szCs w:val="22"/>
              </w:rPr>
              <w:t xml:space="preserve"> years) with </w:t>
            </w:r>
            <w:r w:rsidR="00A51C71" w:rsidRPr="00E11590">
              <w:rPr>
                <w:rFonts w:ascii="Arial" w:hAnsi="Arial" w:cs="Arial"/>
              </w:rPr>
              <w:t>beta thalassemia</w:t>
            </w:r>
            <w:r w:rsidRPr="00BA1B01">
              <w:rPr>
                <w:rFonts w:ascii="Arial" w:eastAsia="Calibri" w:hAnsi="Arial" w:cs="Arial"/>
                <w:szCs w:val="22"/>
              </w:rPr>
              <w:t xml:space="preserve">, </w:t>
            </w:r>
            <w:r w:rsidR="00A51C71" w:rsidRPr="00E11590">
              <w:rPr>
                <w:rFonts w:ascii="Arial" w:hAnsi="Arial" w:cs="Arial"/>
              </w:rPr>
              <w:t>who underwent outpatient and inpatient treatment. Ferritin serum, 25-OH vitamin D level, and bone age were measured on the day of treatment. Bivariate analysis used the Spearman correlation test, with results considered significant if p&lt;0.05</w:t>
            </w:r>
            <w:r w:rsidRPr="00BA1B01">
              <w:rPr>
                <w:rFonts w:ascii="Arial" w:eastAsia="Calibri" w:hAnsi="Arial" w:cs="Arial"/>
                <w:szCs w:val="22"/>
              </w:rPr>
              <w:t>.</w:t>
            </w:r>
          </w:p>
          <w:p w14:paraId="3D7D0330" w14:textId="51DBA68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51C71" w:rsidRPr="00BA1B01">
              <w:rPr>
                <w:rFonts w:ascii="Arial" w:eastAsia="Calibri" w:hAnsi="Arial" w:cs="Arial"/>
                <w:szCs w:val="22"/>
              </w:rPr>
              <w:t xml:space="preserve">Out of </w:t>
            </w:r>
            <w:r w:rsidR="00A51C71">
              <w:rPr>
                <w:rFonts w:ascii="Arial" w:eastAsia="Calibri" w:hAnsi="Arial" w:cs="Arial"/>
                <w:szCs w:val="22"/>
              </w:rPr>
              <w:t>55</w:t>
            </w:r>
            <w:r w:rsidR="00A51C71" w:rsidRPr="00BA1B01">
              <w:rPr>
                <w:rFonts w:ascii="Arial" w:eastAsia="Calibri" w:hAnsi="Arial" w:cs="Arial"/>
                <w:szCs w:val="22"/>
              </w:rPr>
              <w:t xml:space="preserve"> patients</w:t>
            </w:r>
            <w:r w:rsidR="00A51C71">
              <w:rPr>
                <w:rFonts w:ascii="Arial" w:eastAsia="Calibri" w:hAnsi="Arial" w:cs="Arial"/>
                <w:szCs w:val="22"/>
              </w:rPr>
              <w:t>,</w:t>
            </w:r>
            <w:r w:rsidR="00A51C71" w:rsidRPr="00E11590">
              <w:rPr>
                <w:rFonts w:ascii="Arial" w:hAnsi="Arial" w:cs="Arial"/>
              </w:rPr>
              <w:t xml:space="preserve"> </w:t>
            </w:r>
            <w:r w:rsidR="00A51C71">
              <w:rPr>
                <w:rFonts w:ascii="Arial" w:hAnsi="Arial" w:cs="Arial"/>
              </w:rPr>
              <w:t>50 patients (</w:t>
            </w:r>
            <w:r w:rsidR="00A51C71" w:rsidRPr="00E11590">
              <w:rPr>
                <w:rFonts w:ascii="Arial" w:hAnsi="Arial" w:cs="Arial"/>
              </w:rPr>
              <w:t>90,9%</w:t>
            </w:r>
            <w:r w:rsidR="00A51C71">
              <w:rPr>
                <w:rFonts w:ascii="Arial" w:hAnsi="Arial" w:cs="Arial"/>
              </w:rPr>
              <w:t>)</w:t>
            </w:r>
            <w:r w:rsidR="00A51C71" w:rsidRPr="00E11590">
              <w:rPr>
                <w:rFonts w:ascii="Arial" w:hAnsi="Arial" w:cs="Arial"/>
              </w:rPr>
              <w:t xml:space="preserve"> of patients experienced vitamin D insufficiency/deficiency and </w:t>
            </w:r>
            <w:r w:rsidR="00A51C71">
              <w:rPr>
                <w:rFonts w:ascii="Arial" w:hAnsi="Arial" w:cs="Arial"/>
              </w:rPr>
              <w:t>15 patients (</w:t>
            </w:r>
            <w:r w:rsidR="00A51C71" w:rsidRPr="00E11590">
              <w:rPr>
                <w:rFonts w:ascii="Arial" w:hAnsi="Arial" w:cs="Arial"/>
              </w:rPr>
              <w:t>27,3%</w:t>
            </w:r>
            <w:r w:rsidR="00A51C71">
              <w:rPr>
                <w:rFonts w:ascii="Arial" w:hAnsi="Arial" w:cs="Arial"/>
              </w:rPr>
              <w:t>)</w:t>
            </w:r>
            <w:r w:rsidR="00A51C71" w:rsidRPr="00E11590">
              <w:rPr>
                <w:rFonts w:ascii="Arial" w:hAnsi="Arial" w:cs="Arial"/>
              </w:rPr>
              <w:t xml:space="preserve"> experienced delayed bone age. There was very weak and not significant correlation between serum ferritin level and serum vitamin D 25-OH level (r= -0,12; p=0,38) also between serum ferritin level and delayed bone age (r= 0,09; p=0,51)</w:t>
            </w:r>
            <w:r w:rsidRPr="00BA1B01">
              <w:rPr>
                <w:rFonts w:ascii="Arial" w:eastAsia="Calibri" w:hAnsi="Arial" w:cs="Arial"/>
                <w:szCs w:val="22"/>
              </w:rPr>
              <w:t>.</w:t>
            </w:r>
          </w:p>
          <w:p w14:paraId="7FF01AC8" w14:textId="6E903598"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1C71">
              <w:rPr>
                <w:rFonts w:ascii="Arial" w:eastAsia="Calibri" w:hAnsi="Arial" w:cs="Arial"/>
                <w:szCs w:val="22"/>
              </w:rPr>
              <w:t>T</w:t>
            </w:r>
            <w:r w:rsidR="00A51C71" w:rsidRPr="00E11590">
              <w:rPr>
                <w:rFonts w:ascii="Arial" w:hAnsi="Arial" w:cs="Arial"/>
              </w:rPr>
              <w:t xml:space="preserve">here is no correlation between serum ferritin level and vitamin D level </w:t>
            </w:r>
            <w:r w:rsidR="00D16699">
              <w:rPr>
                <w:rFonts w:ascii="Arial" w:hAnsi="Arial" w:cs="Arial"/>
              </w:rPr>
              <w:t>n</w:t>
            </w:r>
            <w:r w:rsidR="00A51C71" w:rsidRPr="00E11590">
              <w:rPr>
                <w:rFonts w:ascii="Arial" w:hAnsi="Arial" w:cs="Arial"/>
              </w:rPr>
              <w:t>or delayed bone age in children with beta thalassemia</w:t>
            </w:r>
            <w:r w:rsidRPr="00BA1B01">
              <w:rPr>
                <w:rFonts w:ascii="Arial" w:eastAsia="Calibri" w:hAnsi="Arial" w:cs="Arial"/>
                <w:szCs w:val="22"/>
              </w:rPr>
              <w:t>.</w:t>
            </w:r>
          </w:p>
          <w:p w14:paraId="39405C66" w14:textId="2445C227" w:rsidR="00505F06" w:rsidRPr="003D4D17" w:rsidRDefault="003D4D17" w:rsidP="00441B6F">
            <w:pPr>
              <w:pStyle w:val="Body"/>
              <w:spacing w:after="0"/>
              <w:rPr>
                <w:rFonts w:ascii="Arial" w:eastAsia="Calibri" w:hAnsi="Arial" w:cs="Arial"/>
                <w:b/>
                <w:szCs w:val="22"/>
              </w:rPr>
            </w:pPr>
            <w:r w:rsidRPr="00E11590">
              <w:rPr>
                <w:rFonts w:ascii="Arial" w:hAnsi="Arial" w:cs="Arial"/>
                <w:b/>
                <w:i/>
                <w:iCs/>
              </w:rPr>
              <w:t>Keywords:</w:t>
            </w:r>
            <w:r w:rsidRPr="00E11590">
              <w:rPr>
                <w:rFonts w:ascii="Arial" w:hAnsi="Arial" w:cs="Arial"/>
                <w:b/>
                <w:i/>
                <w:iCs/>
                <w:spacing w:val="-2"/>
              </w:rPr>
              <w:t xml:space="preserve"> </w:t>
            </w:r>
            <w:proofErr w:type="spellStart"/>
            <w:r w:rsidRPr="00E11590">
              <w:rPr>
                <w:rFonts w:ascii="Arial" w:hAnsi="Arial" w:cs="Arial"/>
                <w:b/>
                <w:i/>
                <w:iCs/>
              </w:rPr>
              <w:t>feritin</w:t>
            </w:r>
            <w:proofErr w:type="spellEnd"/>
            <w:r w:rsidRPr="00E11590">
              <w:rPr>
                <w:rFonts w:ascii="Arial" w:hAnsi="Arial" w:cs="Arial"/>
                <w:b/>
                <w:i/>
                <w:iCs/>
              </w:rPr>
              <w:t>,</w:t>
            </w:r>
            <w:r w:rsidRPr="00E11590">
              <w:rPr>
                <w:rFonts w:ascii="Arial" w:hAnsi="Arial" w:cs="Arial"/>
                <w:b/>
                <w:i/>
                <w:iCs/>
                <w:spacing w:val="-2"/>
              </w:rPr>
              <w:t xml:space="preserve"> vitamin D, </w:t>
            </w:r>
            <w:r w:rsidRPr="00E11590">
              <w:rPr>
                <w:rFonts w:ascii="Arial" w:hAnsi="Arial" w:cs="Arial"/>
                <w:b/>
                <w:i/>
                <w:iCs/>
              </w:rPr>
              <w:t>bone age,</w:t>
            </w:r>
            <w:r w:rsidRPr="00E11590">
              <w:rPr>
                <w:rFonts w:ascii="Arial" w:hAnsi="Arial" w:cs="Arial"/>
                <w:b/>
                <w:i/>
                <w:iCs/>
                <w:spacing w:val="-2"/>
              </w:rPr>
              <w:t xml:space="preserve"> </w:t>
            </w:r>
            <w:r w:rsidRPr="00E11590">
              <w:rPr>
                <w:rFonts w:ascii="Arial" w:hAnsi="Arial" w:cs="Arial"/>
                <w:b/>
                <w:i/>
                <w:iCs/>
              </w:rPr>
              <w:t>thalassemia</w:t>
            </w:r>
            <w:r>
              <w:rPr>
                <w:rFonts w:ascii="Arial" w:hAnsi="Arial" w:cs="Arial"/>
                <w:b/>
                <w:i/>
                <w:iCs/>
              </w:rPr>
              <w:t>, children</w:t>
            </w:r>
          </w:p>
        </w:tc>
      </w:tr>
    </w:tbl>
    <w:p w14:paraId="5D163976" w14:textId="77777777" w:rsidR="0024282C" w:rsidRDefault="0024282C" w:rsidP="00441B6F">
      <w:pPr>
        <w:pStyle w:val="Body"/>
        <w:spacing w:after="0"/>
        <w:rPr>
          <w:rFonts w:ascii="Arial" w:hAnsi="Arial" w:cs="Arial"/>
          <w:i/>
          <w:sz w:val="18"/>
        </w:rPr>
      </w:pPr>
    </w:p>
    <w:p w14:paraId="38A74640" w14:textId="77777777" w:rsidR="00505F06" w:rsidRPr="00A24E7E" w:rsidRDefault="00505F06" w:rsidP="00441B6F">
      <w:pPr>
        <w:pStyle w:val="Body"/>
        <w:spacing w:after="0"/>
        <w:rPr>
          <w:rFonts w:ascii="Arial" w:hAnsi="Arial" w:cs="Arial"/>
          <w:i/>
        </w:rPr>
      </w:pPr>
    </w:p>
    <w:p w14:paraId="043ECBB0" w14:textId="6C193E0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18C885" w14:textId="77777777" w:rsidR="00790ADA" w:rsidRPr="00FB3A86" w:rsidRDefault="00790ADA" w:rsidP="00441B6F">
      <w:pPr>
        <w:pStyle w:val="AbstHead"/>
        <w:spacing w:after="0"/>
        <w:jc w:val="both"/>
        <w:rPr>
          <w:rFonts w:ascii="Arial" w:hAnsi="Arial" w:cs="Arial"/>
        </w:rPr>
      </w:pPr>
    </w:p>
    <w:p w14:paraId="3EEA9378" w14:textId="09296703" w:rsidR="00452EDB" w:rsidRDefault="00171582" w:rsidP="00171582">
      <w:pPr>
        <w:spacing w:after="160"/>
        <w:jc w:val="both"/>
        <w:rPr>
          <w:rFonts w:ascii="Arial" w:hAnsi="Arial" w:cs="Arial"/>
          <w:lang w:val="en"/>
        </w:rPr>
      </w:pPr>
      <w:r w:rsidRPr="00E44072">
        <w:rPr>
          <w:rFonts w:ascii="Arial" w:hAnsi="Arial" w:cs="Arial"/>
          <w:lang w:val="en"/>
        </w:rPr>
        <w:t>Beta thalassemia is the most common genetic disorder worldwide. The highest carrier frequencies of the beta thalassemia gene are reported in the Maldives (18%), Cyprus (14%), Sardinia (10.3%), and Southeast Asia (3-5%)</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Origa","given":"Raffaella","non-dropping-particle":"","parse-names":false,"suffix":""},{"dropping-particle":"","family":"Sheth","given":"Sujit","non-dropping-particle":"","parse-names":false,"suffix":""},{"dropping-particle":"","family":"Sollaino","given":"Maria","non-dropping-particle":"","parse-names":false,"suffix":""},{"dropping-particle":"","family":"Rivaella","given":"Stefano","non-dropping-particle":"","parse-names":false,"suffix":""}],"chapter-number":"Chapter 1","container-title":"Guidelines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24-43","publisher":"Thalassaemia International Federation","publisher-place":"Nicosia","title":"Genetic basis, pathophysiology, and diagnosis","type":"chapter"},"uris":["http://www.mendeley.com/documents/?uuid=2d222b94-e37c-47fe-90cc-40bfdbdb676b"]}],"mendeley":{"formattedCitation":"(Origa et al., 2025)","plainTextFormattedCitation":"(Origa et al., 2025)","previouslyFormattedCitation":"(Origa et al., 2025)"},"properties":{"noteIndex":0},"schema":"https://github.com/citation-style-language/schema/raw/master/csl-citation.json"}</w:instrText>
      </w:r>
      <w:r>
        <w:rPr>
          <w:rFonts w:ascii="Arial" w:hAnsi="Arial" w:cs="Arial"/>
          <w:lang w:val="en"/>
        </w:rPr>
        <w:fldChar w:fldCharType="separate"/>
      </w:r>
      <w:r w:rsidRPr="00171582">
        <w:rPr>
          <w:rFonts w:ascii="Arial" w:hAnsi="Arial" w:cs="Arial"/>
          <w:noProof/>
          <w:lang w:val="en"/>
        </w:rPr>
        <w:t>(Origa et al., 2025)</w:t>
      </w:r>
      <w:r>
        <w:rPr>
          <w:rFonts w:ascii="Arial" w:hAnsi="Arial" w:cs="Arial"/>
          <w:lang w:val="en"/>
        </w:rPr>
        <w:fldChar w:fldCharType="end"/>
      </w:r>
      <w:r w:rsidRPr="00E44072">
        <w:rPr>
          <w:rFonts w:ascii="Arial" w:hAnsi="Arial" w:cs="Arial"/>
          <w:lang w:val="en"/>
        </w:rPr>
        <w:t>. Indonesia is one of the countries in the global thalassemia belt, namely countries with a high frequency of the thalassemia gene. The prevalence of Thalassemia trait carriers in Indonesia is on average 3-10%</w:t>
      </w:r>
      <w:r>
        <w:rPr>
          <w:rFonts w:ascii="Arial" w:hAnsi="Arial" w:cs="Arial"/>
          <w:lang w:val="en"/>
        </w:rPr>
        <w:t xml:space="preserve"> </w:t>
      </w:r>
      <w:r>
        <w:rPr>
          <w:rFonts w:ascii="Arial" w:hAnsi="Arial" w:cs="Arial"/>
          <w:lang w:val="en"/>
        </w:rPr>
        <w:fldChar w:fldCharType="begin" w:fldLock="1"/>
      </w:r>
      <w:r w:rsidR="00452EDB">
        <w:rPr>
          <w:rFonts w:ascii="Arial" w:hAnsi="Arial" w:cs="Arial"/>
          <w:lang w:val="en"/>
        </w:rPr>
        <w:instrText>ADDIN CSL_CITATION {"citationItems":[{"id":"ITEM-1","itemData":{"ISBN":"9786237144410","abstract":"Predicting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approach.","author":[{"dropping-particle":"","family":"Rujito","given":"Lantip","non-dropping-particle":"","parse-names":false,"suffix":""}],"id":"ITEM-1","issued":{"date-parts":[["2019"]]},"number-of-pages":"1-90","publisher":"Unsoed press","publisher-place":"Purwokerto","title":"Talasemia : Genetik Dasar dan Pengelolaan Terkini","type":"book"},"uris":["http://www.mendeley.com/documents/?uuid=d0aec7bf-28ad-4280-9b11-d26b8d1d1217"]}],"mendeley":{"formattedCitation":"(Rujito, 2019)","plainTextFormattedCitation":"(Rujito, 2019)","previouslyFormattedCitation":"(Rujito, 2019)"},"properties":{"noteIndex":0},"schema":"https://github.com/citation-style-language/schema/raw/master/csl-citation.json"}</w:instrText>
      </w:r>
      <w:r>
        <w:rPr>
          <w:rFonts w:ascii="Arial" w:hAnsi="Arial" w:cs="Arial"/>
          <w:lang w:val="en"/>
        </w:rPr>
        <w:fldChar w:fldCharType="separate"/>
      </w:r>
      <w:r w:rsidRPr="00171582">
        <w:rPr>
          <w:rFonts w:ascii="Arial" w:hAnsi="Arial" w:cs="Arial"/>
          <w:noProof/>
          <w:lang w:val="en"/>
        </w:rPr>
        <w:t>(Rujito, 2019)</w:t>
      </w:r>
      <w:r>
        <w:rPr>
          <w:rFonts w:ascii="Arial" w:hAnsi="Arial" w:cs="Arial"/>
          <w:lang w:val="en"/>
        </w:rPr>
        <w:fldChar w:fldCharType="end"/>
      </w:r>
      <w:r w:rsidRPr="00E44072">
        <w:rPr>
          <w:rFonts w:ascii="Arial" w:hAnsi="Arial" w:cs="Arial"/>
          <w:lang w:val="en"/>
        </w:rPr>
        <w:t>. This disease is a disorder of hemoglobin synthesis, especially the β globin chain, due to mutations in the β globin gene, which is inherited in an autosomal recessive so that the production of the beta globin chain is reduced or not formed at all</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{"citationItems":[{"id":"ITEM-1","itemData":{"ISBN":"9781441980731","ISSN":"19961073","PMID":"25246403","author":[{"dropping-particle":"","family":"Kementerian Kesehatan Republik Indonesia","given":"","non-dropping-particle":"","parse-names":false,"suffix":""}],"id":"ITEM-1","issued":{"date-parts":[["2018"]]},"page":"h.4-6","publisher-place":"Jakarta","title":"Pedoman Nasional Pelayanan Kedokteran Tatalaksana Talasemia. Dalam: Keputusan Menteri Kesehatan Republik Indonesia Nomor HK.01.07/MENKES/1/2018","type":"patent"},"uris":["http://www.mendeley.com/documents/?uuid=6c886fe1-8c97-4fbb-9a64-c82b0ed7c56b"]}],"mendeley":{"formattedCitation":"(Kementerian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(Kementerian Kesehatan Republik Indonesia, 2018)</w:t>
      </w:r>
      <w:r w:rsidR="00452EDB">
        <w:rPr>
          <w:rFonts w:ascii="Arial" w:hAnsi="Arial" w:cs="Arial"/>
          <w:lang w:val="en"/>
        </w:rPr>
        <w:fldChar w:fldCharType="end"/>
      </w:r>
      <w:r w:rsidRPr="00E44072">
        <w:rPr>
          <w:rFonts w:ascii="Arial" w:hAnsi="Arial" w:cs="Arial"/>
          <w:lang w:val="en"/>
        </w:rPr>
        <w:t>. This causes severe anemia and requires red blood cell transfusions in the first few years of life</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(Wahidiyat and Permono, 2018)</w:t>
      </w:r>
      <w:r w:rsidR="00452EDB">
        <w:rPr>
          <w:rFonts w:ascii="Arial" w:hAnsi="Arial" w:cs="Arial"/>
          <w:lang w:val="en"/>
        </w:rPr>
        <w:fldChar w:fldCharType="end"/>
      </w:r>
      <w:r w:rsidRPr="00E44072">
        <w:rPr>
          <w:rFonts w:ascii="Arial" w:hAnsi="Arial" w:cs="Arial"/>
          <w:lang w:val="en"/>
        </w:rPr>
        <w:t>. High mortality and morbidity in thalassemia patients are a consequence of iron overload</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{"citationItems":[{"id":"ITEM-1","itemData":{"DOI":"10.30872/jsk.v4i3.580","ISSN":"2303-0267","abstract":"Thalassemia is a heterogeneous grouping of genetic disorders resulting from decreased synthesis of the alpha or beta chains of hemoglobin. Anemia and iron overload are the main causes of morbidity and mortality due to thalassemia disease. Iron chelation has improved the survival and quality of life of patients with thalassemia major. Deferasirox (DFX) was developed as monotherapy for the treatment of transfusion iron overload. Search data in this literature study using an electronic database, namely Science Direct, Pubmed with the keywords thalassemia, deferasirox and efficacy. The search results obtained 1015 articles and 5 articles that matched the inclusion and exclusion criteria. The total patients in this study were 410 people from 5 countries. The results of the review article found that deferasirox was effective in reducing iron in the body as seen from the LIC (Liver Iron Concentration), T2* heart and serum ferritin in patients with thalassemia major.","author":[{"dropping-particle":"","family":"Arfie","given":"Naksa Garnida","non-dropping-particle":"","parse-names":false,"suffix":""},{"dropping-particle":"","family":"Zulkarnaen","given":"Bambang Subakti","non-dropping-particle":"","parse-names":false,"suffix":""},{"dropping-particle":"","family":"Sudarmanto","given":"","non-dropping-particle":"","parse-names":false,"suffix":""}],"container-title":"Jurnal Sains dan Kesehatan","id":"ITEM-1","issued":{"date-parts":[["2022"]]},"page":"354-362","title":"Efektivitas Deferasirox pada Pasien Thalasemia Mayor: Artikel Review","type":"article-journal","volume":"4"},"uris":["http://www.mendeley.com/documents/?uuid=0a968e48-c005-4d63-9f2f-e71ffec39ad2"]}],"mendeley":{"formattedCitation":"(Arfie et al., 2022)","plainTextFormattedCitation":"(Arfie et al., 2022)","previouslyFormattedCitation":"(Arfie et al., 2022)"},"properties":{"noteIndex":0},"schema":"https://github.com/citation-style-language/schema/raw/master/csl-citation.json"}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(Arfie et al., 2022)</w:t>
      </w:r>
      <w:r w:rsidR="00452EDB">
        <w:rPr>
          <w:rFonts w:ascii="Arial" w:hAnsi="Arial" w:cs="Arial"/>
          <w:lang w:val="en"/>
        </w:rPr>
        <w:fldChar w:fldCharType="end"/>
      </w:r>
      <w:r w:rsidRPr="00E44072">
        <w:rPr>
          <w:rFonts w:ascii="Arial" w:hAnsi="Arial" w:cs="Arial"/>
          <w:lang w:val="en"/>
        </w:rPr>
        <w:t>. Iron overload due to blood transfusions can be monitored by examining serum ferritin and can be detoxified with iron chelation</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(Wahidiyat and Permono, 2018)</w:t>
      </w:r>
      <w:r w:rsidR="00452EDB">
        <w:rPr>
          <w:rFonts w:ascii="Arial" w:hAnsi="Arial" w:cs="Arial"/>
          <w:lang w:val="en"/>
        </w:rPr>
        <w:fldChar w:fldCharType="end"/>
      </w:r>
      <w:r w:rsidRPr="00E44072">
        <w:rPr>
          <w:rFonts w:ascii="Arial" w:hAnsi="Arial" w:cs="Arial"/>
          <w:lang w:val="en"/>
        </w:rPr>
        <w:t>. Administration of iron chelation with good compliance results in low serum ferritin levels</w:t>
      </w:r>
      <w:r w:rsidR="00452EDB">
        <w:rPr>
          <w:rFonts w:ascii="Arial" w:hAnsi="Arial" w:cs="Arial"/>
          <w:lang w:val="en"/>
        </w:rPr>
        <w:t xml:space="preserve"> </w:t>
      </w:r>
      <w:r w:rsidR="00452EDB">
        <w:rPr>
          <w:rFonts w:ascii="Arial" w:hAnsi="Arial" w:cs="Arial"/>
          <w:lang w:val="en"/>
        </w:rPr>
        <w:fldChar w:fldCharType="begin" w:fldLock="1"/>
      </w:r>
      <w:r w:rsidR="00EE0964">
        <w:rPr>
          <w:rFonts w:ascii="Arial" w:hAnsi="Arial" w:cs="Arial"/>
          <w:lang w:val="en"/>
        </w:rPr>
        <w:instrText>ADDIN CSL_CITATION {"citationItems":[{"id":"ITEM-1","itemData":{"DOI":"10.14238/sp24.1.2022.23-30","ISSN":"0854-7823","abstract":"Latar belakang. Jenis kelasi besi oral deferipron dan deferasiroks banyak digunakan penyandang talasemia untuk mencegah komplikasi hemosiderosis. Dalam penelitian yang berbeda, masing-masing terbukti efektif mengurangi komplikasi hemosiderosis akibat transfusi darah. Tingkat kepatuhan sangat memengaruhi keberhasilan terapi dan tingkat kepatuhan pengobatan dapat dipengaruhi regimen kelasi besi.Tujuan. Mengetahui hubungan jenis dan tingkat kepatuhan pengobatan kelasi oral terhadap kadar feritin serum pada penyandang talasemia beta mayor anak. Metode. Penelitian observasional analitik dengan rancang potong lintang, dilaksanakan Januari-Februari 2019. Subjek adalah penyandang talasemia beta mayor di Rumah Sakit Dr. Hasan Sadikin, secara consecutive sampling. Wawancara menggunakan kuesioner Morisky Medication Adherence Scale-8, pemeriksaan serum feritin. Uji statistik menggunakan uji korelasi rank Spearman, uji perbandingan Mann Whitney, Kruskal Wallis dengan kemaknaan nilai p&lt;0,05.Hasil. Terdapat 60 responden dengan kategori patuh sebanyak 38%, kategori tidak patuh sebanyak 62%. Kelompok dengan pemberian deferipron menghasilkan kadar feritin serum lebih rendah dibandingkan dengan kelompok deferasiroks (p&lt;0,007). Kelompok patuh menghasilkan kadar feritin serum lebih rendah dibandingkan kelompok tidak patuh (p&lt;0,001). Perbandingan feritin serum berdasarkan kombinasi jenis dan tingkat kepatuhan kelasi besi, didapatkan hasil kelompok deferipron-patuh memberikan nilai berbeda signifikan dibandingkan kelompok lainnya (p&lt;0,001).Kesimpulan. Sebagian besar penyandang talasemia beta mayor tidak patuh mengkonsumsi obat kelasi besi. Pemberian deferipron dengan kepatuhan baik, menghasilkan kadar feritin serum paling rendah.","author":[{"dropping-particle":"","family":"Triwardhani","given":"Erny Rachmawati","non-dropping-particle":"","parse-names":false,"suffix":""},{"dropping-particle":"","family":"Reniarti","given":"Lelani","non-dropping-particle":"","parse-names":false,"suffix":""},{"dropping-particle":"","family":"Setiabudiawan","given":"Budi","non-dropping-particle":"","parse-names":false,"suffix":""}],"container-title":"Sari Pediatri","id":"ITEM-1","issued":{"date-parts":[["2022"]]},"page":"23-30","title":"Hubungan Jenis dan Tingkat Kepatuhan Pengobatan Kelasi Besi Oral dengan Kadar Feritin Serum pada Penyandang Talasemia Beta Mayor Anak","type":"article-journal","volume":"24"},"uris":["http://www.mendeley.com/documents/?uuid=30853ea5-8237-46f4-a830-cc47d84f2fae"]}],"mendeley":{"formattedCitation":"(Triwardhani et al., 2022)","plainTextFormattedCitation":"(Triwardhani et al., 2022)","previouslyFormattedCitation":"(Triwardhani et al., 2022)"},"properties":{"noteIndex":0},"schema":"https://github.com/citation-style-language/schema/raw/master/csl-citation.json"}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(Triwardhani et al., 2022)</w:t>
      </w:r>
      <w:r w:rsidR="00452EDB">
        <w:rPr>
          <w:rFonts w:ascii="Arial" w:hAnsi="Arial" w:cs="Arial"/>
          <w:lang w:val="en"/>
        </w:rPr>
        <w:fldChar w:fldCharType="end"/>
      </w:r>
      <w:r w:rsidRPr="00E44072">
        <w:rPr>
          <w:rFonts w:ascii="Arial" w:hAnsi="Arial" w:cs="Arial"/>
          <w:lang w:val="en"/>
        </w:rPr>
        <w:t>.</w:t>
      </w:r>
      <w:r w:rsidR="00452EDB">
        <w:rPr>
          <w:rFonts w:ascii="Arial" w:hAnsi="Arial" w:cs="Arial"/>
          <w:lang w:val="en"/>
        </w:rPr>
        <w:t xml:space="preserve"> </w:t>
      </w:r>
    </w:p>
    <w:p w14:paraId="3BAC6770" w14:textId="5D2FDAAD" w:rsidR="00452EDB" w:rsidRDefault="00452EDB" w:rsidP="00171582">
      <w:pPr>
        <w:spacing w:after="160"/>
        <w:jc w:val="both"/>
        <w:rPr>
          <w:rFonts w:ascii="Arial" w:hAnsi="Arial" w:cs="Arial"/>
          <w:lang w:val="en"/>
        </w:rPr>
      </w:pPr>
      <w:r w:rsidRPr="00E44072">
        <w:rPr>
          <w:rFonts w:ascii="Arial" w:hAnsi="Arial" w:cs="Arial"/>
          <w:lang w:val="en"/>
        </w:rPr>
        <w:t xml:space="preserve">Several studies from various parts of the world show that children with beta thalassemia major tend to be deficient in vitamin D. A study in India found that 63.9% </w:t>
      </w:r>
      <w:r w:rsidR="002B022E">
        <w:rPr>
          <w:rFonts w:ascii="Arial" w:hAnsi="Arial" w:cs="Arial"/>
          <w:lang w:val="en"/>
        </w:rPr>
        <w:t xml:space="preserve">children with Beta Thalassemia Major </w:t>
      </w:r>
      <w:r w:rsidRPr="00E44072">
        <w:rPr>
          <w:rFonts w:ascii="Arial" w:hAnsi="Arial" w:cs="Arial"/>
          <w:lang w:val="en"/>
        </w:rPr>
        <w:t>had vitamin D deficiency</w:t>
      </w:r>
      <w:r w:rsidR="00EE0964">
        <w:rPr>
          <w:rFonts w:ascii="Arial" w:hAnsi="Arial" w:cs="Arial"/>
          <w:lang w:val="en"/>
        </w:rPr>
        <w:t xml:space="preserve"> </w:t>
      </w:r>
      <w:r w:rsidR="00EE0964">
        <w:rPr>
          <w:rFonts w:ascii="Arial" w:hAnsi="Arial" w:cs="Arial"/>
          <w:lang w:val="en"/>
        </w:rPr>
        <w:fldChar w:fldCharType="begin" w:fldLock="1"/>
      </w:r>
      <w:r w:rsidR="00720468">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Study","type":"article-journal","volume":"28"},"uris":["http://www.mendeley.com/documents/?uuid=fbc003f3-aeaa-4a2e-9e1e-3a8275f68530"]}],"mendeley":{"formattedCitation":"(Meshram et al., 2025)","plainTextFormattedCitation":"(Meshram et al., 2025)","previouslyFormattedCitation":"(Meshram et al., 2025)"},"properties":{"noteIndex":0},"schema":"https://github.com/citation-style-language/schema/raw/master/csl-citation.json"}</w:instrText>
      </w:r>
      <w:r w:rsidR="00EE0964">
        <w:rPr>
          <w:rFonts w:ascii="Arial" w:hAnsi="Arial" w:cs="Arial"/>
          <w:lang w:val="en"/>
        </w:rPr>
        <w:fldChar w:fldCharType="separate"/>
      </w:r>
      <w:r w:rsidR="00EE0964" w:rsidRPr="00EE0964">
        <w:rPr>
          <w:rFonts w:ascii="Arial" w:hAnsi="Arial" w:cs="Arial"/>
          <w:noProof/>
          <w:lang w:val="en"/>
        </w:rPr>
        <w:t>(Meshram et al., 2025)</w:t>
      </w:r>
      <w:r w:rsidR="00EE0964">
        <w:rPr>
          <w:rFonts w:ascii="Arial" w:hAnsi="Arial" w:cs="Arial"/>
          <w:lang w:val="en"/>
        </w:rPr>
        <w:fldChar w:fldCharType="end"/>
      </w:r>
      <w:r w:rsidRPr="00E44072">
        <w:rPr>
          <w:rFonts w:ascii="Arial" w:hAnsi="Arial" w:cs="Arial"/>
          <w:lang w:val="en"/>
        </w:rPr>
        <w:t>. A study from Egypt found that vitamin D insufficiency was 40% and vitamin D deficiency was 9% in pediatric patients with beta thalassemia major</w:t>
      </w:r>
      <w:r w:rsidR="00720468">
        <w:rPr>
          <w:rFonts w:ascii="Arial" w:hAnsi="Arial" w:cs="Arial"/>
          <w:lang w:val="en"/>
        </w:rPr>
        <w:t xml:space="preserve"> </w:t>
      </w:r>
      <w:r w:rsidR="00720468">
        <w:rPr>
          <w:rFonts w:ascii="Arial" w:hAnsi="Arial" w:cs="Arial"/>
          <w:lang w:val="en"/>
        </w:rPr>
        <w:fldChar w:fldCharType="begin" w:fldLock="1"/>
      </w:r>
      <w:r w:rsidR="00720468">
        <w:rPr>
          <w:rFonts w:ascii="Arial" w:hAnsi="Arial" w:cs="Arial"/>
          <w:lang w:val="en"/>
        </w:rPr>
        <w:instrText>ADDIN CSL_CITATION {"citationItems":[{"id":"ITEM-1","itemData":{"DOI":"10.1186/s43054-021-00066-y","author":[{"dropping-particle":"","family":"Abdelmotaleb","given":"Ghada Saad","non-dropping-particle":"","parse-names":false,"suffix":""},{"dropping-particle":"","family":"Behairy","given":"Ola Galal","non-dropping-particle":"","parse-names":false,"suffix":""},{"dropping-particle":"","family":"Azim","given":"Khalid Eid Abd","non-dropping-particle":"El","parse-names":false,"suffix":""},{"dropping-particle":"","family":"El-Hassib","given":"Dalia Mohamed Abd","non-dropping-particle":"","parse-names":false,"suffix":""},{"dropping-particle":"","family":"Hemeda","given":"Tasbeh Mohamed","non-dropping-particle":"","parse-names":false,"suffix":""}],"container-title":"Egyptian Pediatric Association Gazette","id":"ITEM-1","issued":{"date-parts":[["2021"]]},"page":"1-7","title":"Assessment of serum vitamin D levels in Egyptian children with beta-thalassemia major","type":"article-journal","volume":"69"},"uris":["http://www.mendeley.com/documents/?uuid=a58cc4ce-d784-484d-aed2-455c45b20052"]}],"mendeley":{"formattedCitation":"(Abdelmotaleb et al., 2021)","plainTextFormattedCitation":"(Abdelmotaleb et al., 2021)","previouslyFormattedCitation":"(Abdelmotaleb et al., 2021)"},"properties":{"noteIndex":0},"schema":"https://github.com/citation-style-language/schema/raw/master/csl-citation.json"}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(Abdelmotaleb et al., 2021)</w:t>
      </w:r>
      <w:r w:rsidR="00720468">
        <w:rPr>
          <w:rFonts w:ascii="Arial" w:hAnsi="Arial" w:cs="Arial"/>
          <w:lang w:val="en"/>
        </w:rPr>
        <w:fldChar w:fldCharType="end"/>
      </w:r>
      <w:r w:rsidRPr="00E44072">
        <w:rPr>
          <w:rFonts w:ascii="Arial" w:hAnsi="Arial" w:cs="Arial"/>
          <w:lang w:val="en"/>
        </w:rPr>
        <w:t>. The cause of vitamin D deficiency in thalassemia patients is not yet known for certain, but it is possible that vitamin D hydroxylation in the liver is disrupted when liver iron concentrations increase as a result of excess iron transfusion</w:t>
      </w:r>
      <w:r w:rsidR="00720468">
        <w:rPr>
          <w:rFonts w:ascii="Arial" w:hAnsi="Arial" w:cs="Arial"/>
          <w:lang w:val="en"/>
        </w:rPr>
        <w:t xml:space="preserve"> </w:t>
      </w:r>
      <w:r w:rsidR="00720468">
        <w:rPr>
          <w:rFonts w:ascii="Arial" w:hAnsi="Arial" w:cs="Arial"/>
          <w:lang w:val="en"/>
        </w:rPr>
        <w:fldChar w:fldCharType="begin" w:fldLock="1"/>
      </w:r>
      <w:r w:rsidR="00720468">
        <w:rPr>
          <w:rFonts w:ascii="Arial" w:hAnsi="Arial" w:cs="Arial"/>
          <w:lang w:val="en"/>
        </w:rPr>
        <w:instrText>ADDIN CSL_CITATION {"citationItems":[{"id":"ITEM-1","itemData":{"DOI":"10.18203/2349-3291.ijcp20202613","ISSN":"2349-3283","abstract":"Background: Transfusion dependent thalassemia patients are reported to have Vitamin D insufficiency/deficiency in many countries. Vitamin D hydroxylation occurs in the liver; whether liver iron overload interferes with this step has not been addressed till date. This study helps to establish an association between liver iron concentration (LIC) and heart iron concentration (MIC) with vitamin D levels and Bone Mass Density in these patients.Methods: A cross sectional study was done by including transfusion dependent Thalassemia patients (TM) if they had an assessment of Liver and cardiac iron done by T2*MRI and bone mineral density by DEXA. Clinical data regarding age, gender, type of iron chelation therapy and laboratory data of S. ferritin and Vitamin D was collected. Data was assessed using appropriate statistical methods.Results: Among 40 TM patients were taken and mean age was 17.6 years. Vitamin D deficiency was identified in 26(65%). 20 out of them had an LIC&gt;7mg/g DW and 6 had MIC&gt;1.65mg/g DW. There was a significant association between LIC&gt;7mg/g and vitamin D level&lt;20 ng/ml and a significant inverse correlation between LIC and vitamin D, suggesting that liver iron overload may indeed affect vitamin D metabolism. Osteopenia was present in 32.5% and osteoporosis was present in 27.5 % of all TM patients. Reduced Bone Mass Density was also found to be linked with iron over load.Conclusions: Regular monitoring of vitamin D levels and supplementation is required in patients with severe liver and heart iron load. More studies are needed to confirm these results.","author":[{"dropping-particle":"","family":"Verma","given":"Anjali","non-dropping-particle":"","parse-names":false,"suffix":""},{"dropping-particle":"","family":"Khanna","given":"Alok","non-dropping-particle":"","parse-names":false,"suffix":""},{"dropping-particle":"","family":"Jangra","given":"Babita","non-dropping-particle":"","parse-names":false,"suffix":""},{"dropping-particle":"","family":"Nanda","given":"Sanjiv","non-dropping-particle":"","parse-names":false,"suffix":""},{"dropping-particle":"","family":"Verma","given":"Surender","non-dropping-particle":"","parse-names":false,"suffix":""}],"container-title":"International Journal of Contemporary Pediatrics","id":"ITEM-1","issued":{"date-parts":[["2020"]]},"page":"1544-1548","title":"Association of vitamin D deficiency and bone mass with liver and heart iron overload in transfusion dependent thalassemia","type":"article-journal","volume":"7"},"uris":["http://www.mendeley.com/documents/?uuid=478ebcc5-c029-4349-83bf-08730739cdd9"]}],"mendeley":{"formattedCitation":"(Verma et al., 2020)","plainTextFormattedCitation":"(Verma et al., 2020)","previouslyFormattedCitation":"(Verma et al., 2020)"},"properties":{"noteIndex":0},"schema":"https://github.com/citation-style-language/schema/raw/master/csl-citation.json"}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(Verma et al., 2020)</w:t>
      </w:r>
      <w:r w:rsidR="00720468">
        <w:rPr>
          <w:rFonts w:ascii="Arial" w:hAnsi="Arial" w:cs="Arial"/>
          <w:lang w:val="en"/>
        </w:rPr>
        <w:fldChar w:fldCharType="end"/>
      </w:r>
      <w:r w:rsidRPr="00E44072">
        <w:rPr>
          <w:rFonts w:ascii="Arial" w:hAnsi="Arial" w:cs="Arial"/>
          <w:lang w:val="en"/>
        </w:rPr>
        <w:t xml:space="preserve">. Vitamin D deficiency causes abnormal levels of calcium, phosphorus, and bone metabolism. Decreased absorption of calcium and phosphorus in the </w:t>
      </w:r>
      <w:r w:rsidRPr="00E44072">
        <w:rPr>
          <w:rFonts w:ascii="Arial" w:hAnsi="Arial" w:cs="Arial"/>
          <w:lang w:val="en"/>
        </w:rPr>
        <w:lastRenderedPageBreak/>
        <w:t>intestine causes an increase in parathyroid hormone which mobilizes calcium from the bones and increases the secretion of phosphorus in the urine. Increased parathyroid hormone weakens bones and reduces Bone Mineral Density (BMD) due to osteopenia and osteoporosis, in addition to osteomalacia. In children, vitamin D deficiency causes growth retardation and bone deformities, rickets, and increases the risk of fractures</w:t>
      </w:r>
      <w:r w:rsidR="00720468">
        <w:rPr>
          <w:rFonts w:ascii="Arial" w:hAnsi="Arial" w:cs="Arial"/>
          <w:lang w:val="en"/>
        </w:rPr>
        <w:t xml:space="preserve"> </w:t>
      </w:r>
      <w:r w:rsidR="00720468">
        <w:rPr>
          <w:rFonts w:ascii="Arial" w:hAnsi="Arial" w:cs="Arial"/>
          <w:lang w:val="en"/>
        </w:rPr>
        <w:fldChar w:fldCharType="begin" w:fldLock="1"/>
      </w:r>
      <w:r w:rsidR="004D08EA">
        <w:rPr>
          <w:rFonts w:ascii="Arial" w:hAnsi="Arial" w:cs="Arial"/>
          <w:lang w:val="en"/>
        </w:rPr>
        <w:instrText>ADDIN CSL_CITATION {"citationItems":[{"id":"ITEM-1","itemData":{"author":[{"dropping-particle":"","family":"Yati","given":"Niken Prita","non-dropping-particle":"","parse-names":false,"suffix":""},{"dropping-particle":"","family":"Batubara","given":"Jose Rizal Latief","non-dropping-particle":"","parse-names":false,"suffix":""},{"dropping-particle":"","family":"Suryawan","given":"I Wayan Bikin","non-dropping-particle":"","parse-names":false,"suffix":""}],"id":"ITEM-1","issued":{"date-parts":[["2018"]]},"number-of-pages":"1-5","publisher":"Badan Penerbit IDAI","publisher-place":"Jakarta","title":"Panduan Praktik Klinis Ikatan Dokter Anak Indonesia Vitamin D","type":"book"},"uris":["http://www.mendeley.com/documents/?uuid=945e1e9d-fe8a-469d-acbc-1fde419bafb3"]}],"mendeley":{"formattedCitation":"(Yati et al., 2018)","plainTextFormattedCitation":"(Yati et al., 2018)","previouslyFormattedCitation":"(Yati et al., 2018)"},"properties":{"noteIndex":0},"schema":"https://github.com/citation-style-language/schema/raw/master/csl-citation.json"}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(Yati et al., 2018)</w:t>
      </w:r>
      <w:r w:rsidR="00720468">
        <w:rPr>
          <w:rFonts w:ascii="Arial" w:hAnsi="Arial" w:cs="Arial"/>
          <w:lang w:val="en"/>
        </w:rPr>
        <w:fldChar w:fldCharType="end"/>
      </w:r>
      <w:r w:rsidRPr="00E44072">
        <w:rPr>
          <w:rFonts w:ascii="Arial" w:hAnsi="Arial" w:cs="Arial"/>
          <w:lang w:val="en"/>
        </w:rPr>
        <w:t>.</w:t>
      </w:r>
    </w:p>
    <w:p w14:paraId="471A7575" w14:textId="010B479A" w:rsidR="004D08EA" w:rsidRDefault="004D08EA" w:rsidP="004D08EA">
      <w:pPr>
        <w:spacing w:after="160"/>
        <w:jc w:val="both"/>
        <w:rPr>
          <w:rFonts w:ascii="Arial" w:hAnsi="Arial" w:cs="Arial"/>
          <w:lang w:val="en"/>
        </w:rPr>
      </w:pPr>
      <w:r w:rsidRPr="006D27C6">
        <w:rPr>
          <w:rFonts w:ascii="Arial" w:hAnsi="Arial" w:cs="Arial"/>
          <w:lang w:val="en"/>
        </w:rPr>
        <w:t>Increased ferritin levels will form free radicals, namely oxyradicals. Oxyradicals cause damage to cellular lipids, nucleic acids, proteins and carbohydrates and cell organelles such as lysosomes, mitochondria and plasma membranes, thereby disrupting the function of these organelles, then cell death and organ damage will occur</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{"citationItems":[{"id":"ITEM-1","itemData":{"DOI":"10.1177/26348535221103560","ISSN":"26348535","abstract":"For years, arrhythmias have been well documented in the medical arena as a cardiovascular consequence of iron overload (IO). They are thought to be linked to the accumulation of iron in the myocardium. Iron is the earth's fourth most abundant element and the second most plentiful metal (after aluminium). When it comes to biology, iron fills two roles: it's necessary and it's poisonous. It is necessary as a trace iron element since it is found in hemoproteins such as haemo-globin, but it is poisonous in excess amounts of the ability to produce free radicals, which can harm the biological system. The high prevalence of cardiomyopathy in patients with hemosiderosis, particularly in cases of transfusional iron overload, strongly suggests that iron deposition in the heart plays a key role in the development of heart failure. Thalassemia major, which necessitates blood transfusion as a treatment, absorbs a large amount of iron in the patient's duodenum. Moreover, Iron Overload causes a threat to vital organs such as the liver and, initiates events of the pathologic progression involving apoptosis, fibrosis, and ultimately cardiac dysfunction. Furthermore, we discuss the iron overload issue as it relates to beta-thalassemia major patient blood transfusion treatment, as well as key individuals accountable for iron excess that ultimately leads to cardiomyopathy.","author":[{"dropping-particle":"","family":"Yadav","given":"Piyush Kumar","non-dropping-particle":"","parse-names":false,"suffix":""},{"dropping-particle":"","family":"Singh","given":"Ajay Kumar","non-dropping-particle":"","parse-names":false,"suffix":""}],"container-title":"Plasmatology","id":"ITEM-1","issued":{"date-parts":[["2022"]]},"page":"1-9","title":"A Review of Iron Overload in Beta-Thalassemia Major, and a Discussion on Alternative Potent Iron Chelation Targets","type":"article-journal","volume":"16"},"uris":["http://www.mendeley.com/documents/?uuid=f9123dcf-6ffc-46fb-8803-d23fe8d99fb0"]}],"mendeley":{"formattedCitation":"(Yadav and Singh, 2022)","plainTextFormattedCitation":"(Yadav and Singh, 2022)","previouslyFormattedCitation":"(Yadav and Singh, 2022)"},"properties":{"noteIndex":0},"schema":"https://github.com/citation-style-language/schema/raw/master/csl-citation.json"}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(Yadav and Singh, 2022)</w:t>
      </w:r>
      <w:r>
        <w:rPr>
          <w:rFonts w:ascii="Arial" w:hAnsi="Arial" w:cs="Arial"/>
          <w:lang w:val="en"/>
        </w:rPr>
        <w:fldChar w:fldCharType="end"/>
      </w:r>
      <w:r w:rsidRPr="006D27C6">
        <w:rPr>
          <w:rFonts w:ascii="Arial" w:hAnsi="Arial" w:cs="Arial"/>
          <w:lang w:val="en"/>
        </w:rPr>
        <w:t xml:space="preserve">. Damage to endocrine organs will cause growth hormone deficiency, hypogonadism, hypothyroidism, </w:t>
      </w:r>
      <w:r w:rsidR="005B5F49">
        <w:rPr>
          <w:rFonts w:ascii="Arial" w:hAnsi="Arial" w:cs="Arial"/>
          <w:lang w:val="en"/>
        </w:rPr>
        <w:t xml:space="preserve">and </w:t>
      </w:r>
      <w:r w:rsidRPr="006D27C6">
        <w:rPr>
          <w:rFonts w:ascii="Arial" w:hAnsi="Arial" w:cs="Arial"/>
          <w:lang w:val="en"/>
        </w:rPr>
        <w:t>hypoparathyroidism</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{"citationItems":[{"id":"ITEM-1","itemData":{"DOI":"10.18203/2320-6012.ijrms20212263","ISSN":"2320-6071","abstract":"Thalassemia is a heterogeneous group of genetic disorder with the defective synthesis of one or more globin chains. β-thalassemia is a global disease with high prevalence in Africa, Southeast Asia and Mediterranean countries. In Malaysia, the α and β-thalassemia are the commonest. In the articles that we reviewed, transfusion-dependent β-thalassemia is highly associated with complications related to thalassemia such as cardiovascular disease, endocrine disorders, skeletal deformities and others. Following advancements in β-thalassemia major treatment, cardiovascular disease remains the leading cause of mortality in β-thalassemia major patients. Thalassemia-associated cardiac pathology includes several conditions, such as myocardial dysfunction, arrhythmias and atrial fibrillation. Endocrine disorders, caused by iron deposition in the gland, resulting in impaired endocrine function. The commonest presentation is short stature followed by impaired puberty, abnormal thyroid function and diabetes mellitus. Moreover, skeletal complications remain a challenge. The most prevalent complications are malocclusion of the teeth, frontal bossing and chipmunk facies whilst osteoporosis, osteopenia and fracture are seen in a minority of the patient. Although comprehensive care has resulted in long-term survival and good quality of life, poor management will lead to complications that increase the treatment cost. However, genetic study (DNA analysis) examines the deletions and mutations in the α and β-globin-producing genes that help to correct diagnosis and improve management in thalassemia patients.","author":[{"dropping-particle":"","family":"Chiew","given":"Jia Ying","non-dropping-particle":"","parse-names":false,"suffix":""},{"dropping-particle":"","family":"Thiruchelvam","given":"Jeevitha","non-dropping-particle":"","parse-names":false,"suffix":""},{"dropping-particle":"","family":"Rahmat","given":"Mohd Azlan","non-dropping-particle":"Bin","parse-names":false,"suffix":""},{"dropping-particle":"","family":"William","given":"Stephanie Priscilla","non-dropping-particle":"","parse-names":false,"suffix":""},{"dropping-particle":"","family":"Shafien","given":"Zikril Iman","non-dropping-particle":"Bin","parse-names":false,"suffix":""},{"dropping-particle":"","family":"Banerjee","given":"Kishore Gopal","non-dropping-particle":"","parse-names":false,"suffix":""}],"container-title":"International Journal of Research in Medical Sciences","id":"ITEM-1","issued":{"date-parts":[["2021"]]},"page":"1846-1852","title":"The key complications of beta thalassemia major: a review and update","type":"article-journal","volume":"9"},"uris":["http://www.mendeley.com/documents/?uuid=274a2bd8-0702-47b4-8692-d36577795e0c"]}],"mendeley":{"formattedCitation":"(Chiew et al., 2021)","plainTextFormattedCitation":"(Chiew et al., 2021)","previouslyFormattedCitation":"(Chiew et al., 2021)"},"properties":{"noteIndex":0},"schema":"https://github.com/citation-style-language/schema/raw/master/csl-citation.json"}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(Chiew et al., 2021)</w:t>
      </w:r>
      <w:r>
        <w:rPr>
          <w:rFonts w:ascii="Arial" w:hAnsi="Arial" w:cs="Arial"/>
          <w:lang w:val="en"/>
        </w:rPr>
        <w:fldChar w:fldCharType="end"/>
      </w:r>
      <w:r w:rsidRPr="006D27C6">
        <w:rPr>
          <w:rFonts w:ascii="Arial" w:hAnsi="Arial" w:cs="Arial"/>
          <w:lang w:val="en"/>
        </w:rPr>
        <w:t>. These hormonal disorders then cause inhibition of osteoblast activity and increased osteoclast activity. This results in impaired osteoid maturity and growth failure</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{"citationItems":[{"id":"ITEM-1","itemData":{"DOI":"10.4274/jcrpe.galenos.2018.2018.0074","ISBN":"0000000299589","ISSN":"13085735","PMID":"29991466","abstract":"Due to increasing life expectancy in thalassemia major (TM), osteoporosis is emerging as a significant problem. Its aetiology is multifactorial, culminating in increased bone resorption and impaired remo delling. Hypogonadism and marrow expansion seem to play an important role, but iron overload, defe roxamine toxicity, a defective growth hormone-insulin-like growth factor-1 axis and multiple endocrinopathies may represent additional causes of bone damage. Many of these patients, though under appropriate treatment programs, do not achieve normal peak bone mass. The receptor activator of nuclear factor kappa-ß (RANK)/RANK ligand/osteoprotegerin and the Wnt/β-catenin systems work as major mediators of imbalanced bone turnover and bone loss. Additional genetic factors, such as collagen type 1 alpha 1 and vitamin D receptor gene polymorphisms, may exert some influence on the enhanced fracture risk observed in TM. To date, in spite of adequate hormone replacement, chelating therapy and acceptable haemoglobin levels, subjects with TM display impaired bone density and imbalanced bone turnover, thus the puzzle of the pathogenesis of TM-induced osteoporosis remains far from being solved.","author":[{"dropping-particle":"","family":"Gaudio","given":"Agostino","non-dropping-particle":"","parse-names":false,"suffix":""},{"dropping-particle":"","family":"Morabito","given":"Nancy","non-dropping-particle":"","parse-names":false,"suffix":""},{"dropping-particle":"","family":"Catalano","given":"Antonino","non-dropping-particle":"","parse-names":false,"suffix":""},{"dropping-particle":"","family":"Rapisarda","given":"Rosario","non-dropping-particle":"","parse-names":false,"suffix":""},{"dropping-particle":"","family":"Xourafa","given":"Anastasia","non-dropping-particle":"","parse-names":false,"suffix":""},{"dropping-particle":"","family":"Lasco","given":"Antonino","non-dropping-particle":"","parse-names":false,"suffix":""}],"container-title":"Journal of Clinical Research in Pediatric Endocrinology","id":"ITEM-1","issued":{"date-parts":[["2019"]]},"page":"110-117","title":"Pathogenesis of thalassemia major-associated osteoporosis: A review with insights from clinical experience","type":"article-journal","volume":"11"},"uris":["http://www.mendeley.com/documents/?uuid=b38a9d20-2f25-4c59-9485-421b53053d25"]}],"mendeley":{"formattedCitation":"(Gaudio et al., 2019)","plainTextFormattedCitation":"(Gaudio et al., 2019)","previouslyFormattedCitation":"(Gaudio et al., 2019)"},"properties":{"noteIndex":0},"schema":"https://github.com/citation-style-language/schema/raw/master/csl-citation.json"}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(Gaudio et al., 2019)</w:t>
      </w:r>
      <w:r>
        <w:rPr>
          <w:rFonts w:ascii="Arial" w:hAnsi="Arial" w:cs="Arial"/>
          <w:lang w:val="en"/>
        </w:rPr>
        <w:fldChar w:fldCharType="end"/>
      </w:r>
      <w:r w:rsidRPr="006D27C6">
        <w:rPr>
          <w:rFonts w:ascii="Arial" w:hAnsi="Arial" w:cs="Arial"/>
          <w:lang w:val="en"/>
        </w:rPr>
        <w:t>. The diagnosis of growth failure in children and adolescents can be confirmed by delayed bone age through bone age examination</w:t>
      </w:r>
      <w:r>
        <w:rPr>
          <w:rFonts w:ascii="Arial" w:hAnsi="Arial" w:cs="Arial"/>
          <w:lang w:val="en"/>
        </w:rPr>
        <w:t xml:space="preserve"> </w:t>
      </w:r>
      <w:r>
        <w:rPr>
          <w:rFonts w:ascii="Arial" w:hAnsi="Arial" w:cs="Arial"/>
          <w:lang w:val="en"/>
        </w:rPr>
        <w:fldChar w:fldCharType="begin" w:fldLock="1"/>
      </w:r>
      <w:r w:rsidR="00030D61">
        <w:rPr>
          <w:rFonts w:ascii="Arial" w:hAnsi="Arial" w:cs="Arial"/>
          <w:lang w:val="en"/>
        </w:rPr>
        <w:instrText>ADDIN CSL_CITATION {"citationItems":[{"id":"ITEM-1","itemData":{"author":[{"dropping-particle":"","family":"Fung","given":"Ellen B","non-dropping-particle":"","parse-names":false,"suffix":""},{"dropping-particle":"","family":"Angastiniotis","given":"Michael","non-dropping-particle":"","parse-names":false,"suffix":""}],"chapter-number":"Chapter 10","container-title":"Guidelines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304-320","publisher":"Thalassaemia International Federation","publisher-place":"Nicosia","title":"Nutrition","type":"chapter"},"uris":["http://www.mendeley.com/documents/?uuid=31395df4-827a-4011-bf45-0e5254829c28"]}],"mendeley":{"formattedCitation":"(Fung and Angastiniotis, 2025)","plainTextFormattedCitation":"(Fung and Angastiniotis, 2025)","previouslyFormattedCitation":"(Fung and Angastiniotis, 2025)"},"properties":{"noteIndex":0},"schema":"https://github.com/citation-style-language/schema/raw/master/csl-citation.json"}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(Fung and Angastiniotis, 2025)</w:t>
      </w:r>
      <w:r>
        <w:rPr>
          <w:rFonts w:ascii="Arial" w:hAnsi="Arial" w:cs="Arial"/>
          <w:lang w:val="en"/>
        </w:rPr>
        <w:fldChar w:fldCharType="end"/>
      </w:r>
      <w:r w:rsidRPr="006D27C6">
        <w:rPr>
          <w:rFonts w:ascii="Arial" w:hAnsi="Arial" w:cs="Arial"/>
          <w:lang w:val="en"/>
        </w:rPr>
        <w:t xml:space="preserve">. </w:t>
      </w:r>
    </w:p>
    <w:p w14:paraId="21CD554A" w14:textId="2BBA62CA" w:rsidR="004D08EA" w:rsidRPr="004D08EA" w:rsidRDefault="002409D6" w:rsidP="00171582">
      <w:pPr>
        <w:spacing w:after="160"/>
        <w:jc w:val="both"/>
        <w:rPr>
          <w:rFonts w:ascii="Arial" w:hAnsi="Arial" w:cs="Arial"/>
        </w:rPr>
      </w:pPr>
      <w:r w:rsidRPr="006D27C6">
        <w:rPr>
          <w:rFonts w:ascii="Arial" w:hAnsi="Arial" w:cs="Arial"/>
          <w:lang w:val="en"/>
        </w:rPr>
        <w:t>Previous studies showed that serum ferritin levels were significantly negatively correlated with vitamin D levels, but other studies did not find a significant correlation between serum ferritin and vitamin D in children with thalassemia major</w:t>
      </w:r>
      <w:r w:rsidR="00030D61">
        <w:rPr>
          <w:rFonts w:ascii="Arial" w:hAnsi="Arial" w:cs="Arial"/>
          <w:lang w:val="en"/>
        </w:rPr>
        <w:t xml:space="preserve"> </w:t>
      </w:r>
      <w:r w:rsidR="00030D61">
        <w:rPr>
          <w:rFonts w:ascii="Arial" w:hAnsi="Arial" w:cs="Arial"/>
          <w:lang w:val="en"/>
        </w:rPr>
        <w:fldChar w:fldCharType="begin" w:fldLock="1"/>
      </w:r>
      <w:r w:rsidR="00030D61">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Study","type":"article-journal","volume":"28"},"uris":["http://www.mendeley.com/documents/?uuid=fbc003f3-aeaa-4a2e-9e1e-3a8275f68530"]},{"id":"ITEM-2","itemData":{"DOI":"10.2147/JBM.S227012","ISSN":"11792736","abstract":"Introduction: Thalassemia is a hypochromic microcytic anemia, which is characterized by congenital disorders. In thalassemia patients, bone diseases are one of the causes of mortality. Our goal was to investigate the association between vitamin D deficiency and increased iron uptake by cardiac myocytes and hepatocytes. Materials and Methods: Forty patients with thalassemia major were studied in Amir Kabir Hospital, Arak, Iran. The information obtained through clinical examination. Serum ferritin level was determined by ELISA and T2*MRI performed for measuring iron content in the heart and the liver. Results: The average age of the patients was 23.8 ± 10.7 years. The mean T2*MRI values were 23.7 ± 7. The vitamin D3 level in 33 patients (82.5% cases) was less than 20 ng/dl, 2 patients (5%) in the range of 20–30 ng/dl, and the others had above 30 ng/dl. Correlation between vitamin D and age was 0.611. Correlation coefficient between heart and liver T2*MRI with ferritin level in patients was 0.437 and 0.335, respectively. Conclusion: Due to significant associations, the periodic measurement of vitamin D, as well as PTH, is recommended for patients with thalassemia major.","author":[{"dropping-particle":"","family":"Shaykhbaygloo","given":"Roya","non-dropping-particle":"","parse-names":false,"suffix":""},{"dropping-particle":"","family":"Moradabadi","given":"Alireza","non-dropping-particle":"","parse-names":false,"suffix":""},{"dropping-particle":"","family":"Taherahmadi","given":"Hassan","non-dropping-particle":"","parse-names":false,"suffix":""},{"dropping-particle":"","family":"Rafiei","given":"Mohammad","non-dropping-particle":"","parse-names":false,"suffix":""},{"dropping-particle":"","family":"Lotfi","given":"Fariborz","non-dropping-particle":"","parse-names":false,"suffix":""},{"dropping-particle":"","family":"Eghbali","given":"Aziz","non-dropping-particle":"","parse-names":false,"suffix":""}],"container-title":"Journal of Blood Medicine","id":"ITEM-2","issued":{"date-parts":[["2020"]]},"page":"83-87","title":"Correlation of cardiac and liver iron level with T2*MRI and vitamin D3 serum level in patients with thalassemia major","type":"article-journal","volume":"11"},"uris":["http://www.mendeley.com/documents/?uuid=1c758f5a-45f9-4271-99f9-03b57038a4c1"]}],"mendeley":{"formattedCitation":"(Meshram et al., 2025; Shaykhbaygloo et al., 2020)","plainTextFormattedCitation":"(Meshram et al., 2025; Shaykhbaygloo et al., 2020)","previouslyFormattedCitation":"(Meshram et al., 2025; Shaykhbaygloo et al., 2020)"},"properties":{"noteIndex":0},"schema":"https://github.com/citation-style-language/schema/raw/master/csl-citation.json"}</w:instrText>
      </w:r>
      <w:r w:rsidR="00030D61">
        <w:rPr>
          <w:rFonts w:ascii="Arial" w:hAnsi="Arial" w:cs="Arial"/>
          <w:lang w:val="en"/>
        </w:rPr>
        <w:fldChar w:fldCharType="separate"/>
      </w:r>
      <w:r w:rsidR="00030D61" w:rsidRPr="00030D61">
        <w:rPr>
          <w:rFonts w:ascii="Arial" w:hAnsi="Arial" w:cs="Arial"/>
          <w:noProof/>
          <w:lang w:val="en"/>
        </w:rPr>
        <w:t>(Meshram et al., 2025; Shaykhbaygloo et al., 2020)</w:t>
      </w:r>
      <w:r w:rsidR="00030D61">
        <w:rPr>
          <w:rFonts w:ascii="Arial" w:hAnsi="Arial" w:cs="Arial"/>
          <w:lang w:val="en"/>
        </w:rPr>
        <w:fldChar w:fldCharType="end"/>
      </w:r>
      <w:r w:rsidRPr="006D27C6">
        <w:rPr>
          <w:rFonts w:ascii="Arial" w:hAnsi="Arial" w:cs="Arial"/>
          <w:lang w:val="en"/>
        </w:rPr>
        <w:t>. Similarly, previous studies reported a strong positive correlation between serum ferritin levels and delayed bone age, but several other studies did not find a relationship between the two</w:t>
      </w:r>
      <w:r w:rsidR="00030D61">
        <w:rPr>
          <w:rFonts w:ascii="Arial" w:hAnsi="Arial" w:cs="Arial"/>
          <w:lang w:val="en"/>
        </w:rPr>
        <w:t xml:space="preserve"> </w:t>
      </w:r>
      <w:r w:rsidR="00030D61">
        <w:rPr>
          <w:rFonts w:ascii="Arial" w:hAnsi="Arial" w:cs="Arial"/>
          <w:lang w:val="en"/>
        </w:rPr>
        <w:fldChar w:fldCharType="begin" w:fldLock="1"/>
      </w:r>
      <w:r w:rsidR="00FA593A">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mayor","type":"article-journal","volume":"22"},"uris":["http://www.mendeley.com/documents/?uuid=ac1b7e80-bbba-4e63-afae-b1797abe6e92"]},{"id":"ITEM-2","itemData":{"DOI":"10.32883/hcj.v5i2.708","ISSN":"2685-5798","abstract":"Latar belakang. Gangguan endokrin merupakan komplikasi yang sering terjadi pada pasien thalassemia β mayor yang berefek pada kualitas hidupnya. Komplikasi ini terjadi karena penumpukan besi di dalam tubuh dan melibatkan organ seperti kelenjar endokrin sehingga pasien dapat mengalami hipotiroid, pubertas terlambat, perawakan pendek, gangguan insulin, usia tulang terlambat dan osteoporosis. Tujuan dari penelitian ini adalah untuk mengetahui kejadian endokrinopati pada pasien thalassemia β mayor di RSUP M Djamil Padang. Metode. Penelitian prospektif observasional terhadap pasien thalassemia β mayor yang di RSUP DR M Djamil pada bulan Januari – April 2018. Dilakukan pengumpulan data kadar feritin serum, tinggi badan, gula darah sewaktu, fungsi tiroid, status pubertas dan bone age. Data dianalisis secara univariat dan bivariat dengan menggunakan uji Chi square untuk mencari hubungan antara kadar feritin dengan perawakan pendek, status pubertas, usia tulang dan osteoporosis, dikatakan berhubungan apabila p value &lt; 0,05. Data dianalisis dengan menggunakan program SPSS. Hasil. Didapatkan 39 pasien thalassemia β Mayor, 3 orang menolak pemeriksaan, usia rata-rata 9,7 ± 3,9 tahun, 14 laki–laki (38,9%), 22 perempuan (61,1%), lama menderita thalasemia 5,6 ± 4,0 tahun. Perawakan pendek ditemukan pada 28 pasien (77,8%), tidak ada pasien yang menderita hiperglikemia. Dua orang (5,6%) mengalami hipotiroid, 4 dari 6 orang usia pubertas (66,67%) mengalami pubertas terlambat. Usia tulang retarded ditemukan pada 16 orang (44,4%) dan 3 orang (8,3%) mengalami osteoporosis. Tidak terdapat hubungan antara kadar feritin dengan perawakan pendek,status pubertas, usia tulang dan osteoporosis (p= 0,434 , p= 0,601 , p = 0,839 , p= 1.000). Kesimpulan. Gangguan endokrin terbanyak pada penelitian ini adalah perawakan pendek yaitu 28 pasien (77,8%). Tidak terdapat hubungan antara kadar feritin dengan perawakan pendek, status pubertas, usia tulang dan osteoporosis","author":[{"dropping-particle":"","family":"Ayudhia","given":"Shinta","non-dropping-particle":"","parse-names":false,"suffix":""},{"dropping-particle":"","family":"Rini","given":"Eka Agustia","non-dropping-particle":"","parse-names":false,"suffix":""}],"container-title":"Human Care Journal","id":"ITEM-2","issued":{"date-parts":[["2020"]]},"page":"554-9","title":"Gangguan Endokrin Pada Pasien Thalassemia Β Mayor Di Rsup M Djamil Padang","type":"article-journal","volume":"5"},"uris":["http://www.mendeley.com/documents/?uuid=f288c9e8-9e1b-444b-94aa-6e8a6ea04c8b"]}],"mendeley":{"formattedCitation":"(Ayudhia and Rini, 2020; Napitu et al., 2020)","plainTextFormattedCitation":"(Ayudhia and Rini, 2020; Napitu et al., 2020)","previouslyFormattedCitation":"(Ayudhia and Rini, 2020; Napitu et al., 2020)"},"properties":{"noteIndex":0},"schema":"https://github.com/citation-style-language/schema/raw/master/csl-citation.json"}</w:instrText>
      </w:r>
      <w:r w:rsidR="00030D61">
        <w:rPr>
          <w:rFonts w:ascii="Arial" w:hAnsi="Arial" w:cs="Arial"/>
          <w:lang w:val="en"/>
        </w:rPr>
        <w:fldChar w:fldCharType="separate"/>
      </w:r>
      <w:r w:rsidR="00030D61" w:rsidRPr="00030D61">
        <w:rPr>
          <w:rFonts w:ascii="Arial" w:hAnsi="Arial" w:cs="Arial"/>
          <w:noProof/>
          <w:lang w:val="en"/>
        </w:rPr>
        <w:t>(Ayudhia and Rini, 2020; Napitu et al., 2020)</w:t>
      </w:r>
      <w:r w:rsidR="00030D61">
        <w:rPr>
          <w:rFonts w:ascii="Arial" w:hAnsi="Arial" w:cs="Arial"/>
          <w:lang w:val="en"/>
        </w:rPr>
        <w:fldChar w:fldCharType="end"/>
      </w:r>
      <w:r w:rsidRPr="006D27C6">
        <w:rPr>
          <w:rFonts w:ascii="Arial" w:hAnsi="Arial" w:cs="Arial"/>
          <w:lang w:val="en"/>
        </w:rPr>
        <w:t xml:space="preserve">. Therefore, researchers are interested in knowing the </w:t>
      </w:r>
      <w:r w:rsidR="004F1DEB">
        <w:rPr>
          <w:rFonts w:ascii="Arial" w:hAnsi="Arial" w:cs="Arial"/>
          <w:lang w:val="en"/>
        </w:rPr>
        <w:t>correlation</w:t>
      </w:r>
      <w:r w:rsidRPr="006D27C6">
        <w:rPr>
          <w:rFonts w:ascii="Arial" w:hAnsi="Arial" w:cs="Arial"/>
          <w:lang w:val="en"/>
        </w:rPr>
        <w:t xml:space="preserve"> between serum ferritin levels and vitamin D levels and delayed bone age in children with beta thalassemia.</w:t>
      </w:r>
    </w:p>
    <w:p w14:paraId="66C6B9E4" w14:textId="7C524B7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0D64EF2" w14:textId="77777777" w:rsidR="00790ADA" w:rsidRPr="00FB3A86" w:rsidRDefault="00790ADA" w:rsidP="00441B6F">
      <w:pPr>
        <w:pStyle w:val="AbstHead"/>
        <w:spacing w:after="0"/>
        <w:jc w:val="both"/>
        <w:rPr>
          <w:rFonts w:ascii="Arial" w:hAnsi="Arial" w:cs="Arial"/>
        </w:rPr>
      </w:pPr>
    </w:p>
    <w:p w14:paraId="7B8A1F41" w14:textId="10E796AF" w:rsidR="00371992" w:rsidRPr="009F3E60" w:rsidRDefault="00371992" w:rsidP="00371992">
      <w:pPr>
        <w:spacing w:after="160"/>
        <w:jc w:val="both"/>
        <w:rPr>
          <w:rFonts w:ascii="Arial" w:hAnsi="Arial" w:cs="Arial"/>
        </w:rPr>
      </w:pPr>
      <w:r w:rsidRPr="009F3E60">
        <w:rPr>
          <w:rFonts w:ascii="Arial" w:hAnsi="Arial" w:cs="Arial"/>
          <w:lang w:val="en"/>
        </w:rPr>
        <w:t xml:space="preserve">This study is an observational cross-sectional design study in pediatric patients aged 2-18 years with a diagnosis of beta thalassemia. Baseline patient data were obtained through anamnesis, anthropometric examination, laboratory serum ferritin, vitamin D 25-OH and bone age on the day the patient was treated at the </w:t>
      </w:r>
      <w:r w:rsidR="004F1DEB">
        <w:rPr>
          <w:rFonts w:ascii="Arial" w:hAnsi="Arial" w:cs="Arial"/>
          <w:lang w:val="en"/>
        </w:rPr>
        <w:t xml:space="preserve">outpatient </w:t>
      </w:r>
      <w:r w:rsidRPr="009F3E60">
        <w:rPr>
          <w:rFonts w:ascii="Arial" w:hAnsi="Arial" w:cs="Arial"/>
          <w:lang w:val="en"/>
        </w:rPr>
        <w:t xml:space="preserve">clinic and inpatient ward of </w:t>
      </w:r>
      <w:r w:rsidR="004F1DEB">
        <w:rPr>
          <w:rFonts w:ascii="Arial" w:hAnsi="Arial" w:cs="Arial"/>
          <w:lang w:val="en"/>
        </w:rPr>
        <w:t xml:space="preserve">Pediatric </w:t>
      </w:r>
      <w:r w:rsidRPr="009F3E60">
        <w:rPr>
          <w:rFonts w:ascii="Arial" w:hAnsi="Arial" w:cs="Arial"/>
          <w:lang w:val="en"/>
        </w:rPr>
        <w:t xml:space="preserve">Hematology and Oncology Ulin </w:t>
      </w:r>
      <w:r w:rsidR="00653953">
        <w:rPr>
          <w:rFonts w:ascii="Arial" w:hAnsi="Arial" w:cs="Arial"/>
          <w:lang w:val="en"/>
        </w:rPr>
        <w:t xml:space="preserve">General </w:t>
      </w:r>
      <w:r w:rsidR="00653953" w:rsidRPr="009F3E60">
        <w:rPr>
          <w:rFonts w:ascii="Arial" w:hAnsi="Arial" w:cs="Arial"/>
          <w:lang w:val="en"/>
        </w:rPr>
        <w:t xml:space="preserve">Hospital </w:t>
      </w:r>
      <w:r w:rsidRPr="009F3E60">
        <w:rPr>
          <w:rFonts w:ascii="Arial" w:hAnsi="Arial" w:cs="Arial"/>
          <w:lang w:val="en"/>
        </w:rPr>
        <w:t>Banjarmasin</w:t>
      </w:r>
      <w:r w:rsidR="004F1DEB">
        <w:rPr>
          <w:rFonts w:ascii="Arial" w:hAnsi="Arial" w:cs="Arial"/>
          <w:lang w:val="en"/>
        </w:rPr>
        <w:t xml:space="preserve">, </w:t>
      </w:r>
      <w:r w:rsidRPr="009F3E60">
        <w:rPr>
          <w:rFonts w:ascii="Arial" w:hAnsi="Arial" w:cs="Arial"/>
          <w:lang w:val="en"/>
        </w:rPr>
        <w:t>from January 2024 to March 2024. Serum ferritin and vitamin D 25-OH examinations were performed at the Clinical Pathology Laboratory of Ulin</w:t>
      </w:r>
      <w:r w:rsidR="00C82DDB">
        <w:rPr>
          <w:rFonts w:ascii="Arial" w:hAnsi="Arial" w:cs="Arial"/>
          <w:lang w:val="en"/>
        </w:rPr>
        <w:t xml:space="preserve"> </w:t>
      </w:r>
      <w:r w:rsidR="00653953">
        <w:rPr>
          <w:rFonts w:ascii="Arial" w:hAnsi="Arial" w:cs="Arial"/>
          <w:lang w:val="en"/>
        </w:rPr>
        <w:t xml:space="preserve">General </w:t>
      </w:r>
      <w:r w:rsidR="00C82DDB">
        <w:rPr>
          <w:rFonts w:ascii="Arial" w:hAnsi="Arial" w:cs="Arial"/>
          <w:lang w:val="en"/>
        </w:rPr>
        <w:t>Hospital</w:t>
      </w:r>
      <w:r w:rsidRPr="009F3E60">
        <w:rPr>
          <w:rFonts w:ascii="Arial" w:hAnsi="Arial" w:cs="Arial"/>
          <w:lang w:val="en"/>
        </w:rPr>
        <w:t xml:space="preserve"> Banjarmasin using the CMIA (</w:t>
      </w:r>
      <w:proofErr w:type="spellStart"/>
      <w:r w:rsidRPr="009F3E60">
        <w:rPr>
          <w:rFonts w:ascii="Arial" w:hAnsi="Arial" w:cs="Arial"/>
          <w:lang w:val="en"/>
        </w:rPr>
        <w:t>Chemiluminescent</w:t>
      </w:r>
      <w:proofErr w:type="spellEnd"/>
      <w:r w:rsidRPr="009F3E60">
        <w:rPr>
          <w:rFonts w:ascii="Arial" w:hAnsi="Arial" w:cs="Arial"/>
          <w:lang w:val="en"/>
        </w:rPr>
        <w:t xml:space="preserve"> </w:t>
      </w:r>
      <w:proofErr w:type="spellStart"/>
      <w:r w:rsidRPr="009F3E60">
        <w:rPr>
          <w:rFonts w:ascii="Arial" w:hAnsi="Arial" w:cs="Arial"/>
          <w:lang w:val="en"/>
        </w:rPr>
        <w:t>Microparticle</w:t>
      </w:r>
      <w:proofErr w:type="spellEnd"/>
      <w:r w:rsidRPr="009F3E60">
        <w:rPr>
          <w:rFonts w:ascii="Arial" w:hAnsi="Arial" w:cs="Arial"/>
          <w:lang w:val="en"/>
        </w:rPr>
        <w:t xml:space="preserve"> </w:t>
      </w:r>
      <w:proofErr w:type="spellStart"/>
      <w:r w:rsidRPr="009F3E60">
        <w:rPr>
          <w:rFonts w:ascii="Arial" w:hAnsi="Arial" w:cs="Arial"/>
          <w:lang w:val="en"/>
        </w:rPr>
        <w:t>Immuno</w:t>
      </w:r>
      <w:proofErr w:type="spellEnd"/>
      <w:r w:rsidRPr="009F3E60">
        <w:rPr>
          <w:rFonts w:ascii="Arial" w:hAnsi="Arial" w:cs="Arial"/>
          <w:lang w:val="en"/>
        </w:rPr>
        <w:t xml:space="preserve"> Assay) method, while bone age was performed at the Radiology Unit of Ulin </w:t>
      </w:r>
      <w:r w:rsidR="00653953">
        <w:rPr>
          <w:rFonts w:ascii="Arial" w:hAnsi="Arial" w:cs="Arial"/>
          <w:lang w:val="en"/>
        </w:rPr>
        <w:t xml:space="preserve">General </w:t>
      </w:r>
      <w:r w:rsidR="00C82DDB" w:rsidRPr="009F3E60">
        <w:rPr>
          <w:rFonts w:ascii="Arial" w:hAnsi="Arial" w:cs="Arial"/>
          <w:lang w:val="en"/>
        </w:rPr>
        <w:t xml:space="preserve">Hospital </w:t>
      </w:r>
      <w:r w:rsidRPr="009F3E60">
        <w:rPr>
          <w:rFonts w:ascii="Arial" w:hAnsi="Arial" w:cs="Arial"/>
          <w:lang w:val="en"/>
        </w:rPr>
        <w:t>Banjarmasin</w:t>
      </w:r>
      <w:r>
        <w:rPr>
          <w:rFonts w:ascii="Arial" w:hAnsi="Arial" w:cs="Arial"/>
          <w:lang w:val="en"/>
        </w:rPr>
        <w:t xml:space="preserve">. </w:t>
      </w:r>
      <w:r w:rsidRPr="009F3E60">
        <w:rPr>
          <w:rFonts w:ascii="Arial" w:hAnsi="Arial" w:cs="Arial"/>
          <w:lang w:val="en"/>
        </w:rPr>
        <w:t>Inclusion criteria were children aged 2-18 years who had been diagnosed with beta thalassemia, complete patient medical records (containing information on age, gender, routine laboratory test results, weight, height, nutritional status, length of diagnosis, history of iron chelation, age of transfusion onset, transfusion frequency, and duration of packed red cell transfusions), and family willingness to participate in the study as indicated by completing the research informed consent form. Exclusion criteria were syndromic disorders (clinical Down syndrome, Turner syndrome, Russell-Silver syndrome, Klinefelter syndrome, Patau syndrome, or Edwards syndrome), suffering from other severe chronic diseases (leukemia, hemophilia, congenital heart defects or kidney disorders), receiving vitamin D supplementation in the last 3 months, or having received growth hormone therapy.</w:t>
      </w:r>
      <w:r w:rsidR="007200B1" w:rsidRPr="007200B1">
        <w:rPr>
          <w:rFonts w:ascii="Arial" w:hAnsi="Arial" w:cs="Arial"/>
          <w:lang w:val="en"/>
        </w:rPr>
        <w:t xml:space="preserve"> </w:t>
      </w:r>
      <w:r w:rsidR="007200B1" w:rsidRPr="009F3E60">
        <w:rPr>
          <w:rFonts w:ascii="Arial" w:hAnsi="Arial" w:cs="Arial"/>
          <w:lang w:val="en"/>
        </w:rPr>
        <w:t>Serum ferritin is classified into ferritin &lt;1000 ng/ml and ferritin ≥ 1000 ng/ml based on the initiation of iron chelation. Serum ferritin is also classified into ferritin ≤ 2500 ng/ml (mild-moderate) and ferritin &gt; 2500 ng/ml (severe) based on the classification of iron overload. Vitamin D insufficiency/deficiency is diagnosed when serum vitamin D 25-OH levels are &lt;30 ng/ml, and normal if ≥ 30 ng/ml. Delayed bone age is diagnosed when the difference between chronological age and bone age is &gt;24 months, and normal if ≤ 24 months.</w:t>
      </w:r>
    </w:p>
    <w:p w14:paraId="795F07C4" w14:textId="24AEAF52" w:rsidR="004364E2" w:rsidRPr="004364E2" w:rsidRDefault="0039735F" w:rsidP="004364E2">
      <w:pPr>
        <w:spacing w:after="160"/>
        <w:jc w:val="both"/>
        <w:rPr>
          <w:rFonts w:ascii="Arial" w:eastAsia="Arial" w:hAnsi="Arial" w:cs="Arial"/>
        </w:rPr>
      </w:pPr>
      <w:r w:rsidRPr="009F3E60">
        <w:rPr>
          <w:rFonts w:ascii="Arial" w:hAnsi="Arial" w:cs="Arial"/>
          <w:lang w:val="en"/>
        </w:rPr>
        <w:lastRenderedPageBreak/>
        <w:t xml:space="preserve">The collected data were entered into the SPSS® 23 software program. Univariate analysis was performed to present patient characteristics data and measurement results of independent and dependent variables. Categorical data will be displayed as frequencies and proportions, while continuous data will be presented in the form of mean ± standard deviation, or median (minimum value-maximum value). Bivariate analysis to determine the </w:t>
      </w:r>
      <w:r w:rsidR="00E50B76">
        <w:rPr>
          <w:rFonts w:ascii="Arial" w:hAnsi="Arial" w:cs="Arial"/>
          <w:lang w:val="en"/>
        </w:rPr>
        <w:t xml:space="preserve">correlation </w:t>
      </w:r>
      <w:r w:rsidRPr="009F3E60">
        <w:rPr>
          <w:rFonts w:ascii="Arial" w:hAnsi="Arial" w:cs="Arial"/>
          <w:lang w:val="en"/>
        </w:rPr>
        <w:t>between serum ferritin levels with vitamin D levels and delayed bone age (in a categorical scale) was performed using the Spearman correlation test. The significance of the test results if the p value &lt;0.05.</w:t>
      </w:r>
      <w:r w:rsidR="00E50B76">
        <w:rPr>
          <w:rFonts w:ascii="Arial" w:hAnsi="Arial" w:cs="Arial"/>
          <w:lang w:val="en"/>
        </w:rPr>
        <w:t xml:space="preserve"> </w:t>
      </w:r>
      <w:r w:rsidRPr="009F3E60">
        <w:rPr>
          <w:rFonts w:ascii="Arial" w:hAnsi="Arial" w:cs="Arial"/>
          <w:lang w:val="en"/>
        </w:rPr>
        <w:t>This study has obtained ethical eligibility from the Research Ethics Commission of Ulin General Hospital, Banjarmasin, South Kalimantan with the number:</w:t>
      </w:r>
      <w:r w:rsidR="00D114B2" w:rsidRPr="00D114B2">
        <w:rPr>
          <w:rFonts w:ascii="Arial" w:hAnsi="Arial" w:cs="Arial"/>
          <w:lang w:val="en"/>
        </w:rPr>
        <w:t xml:space="preserve"> </w:t>
      </w:r>
      <w:r w:rsidR="00D114B2" w:rsidRPr="00D114B2">
        <w:rPr>
          <w:rFonts w:ascii="Arial" w:eastAsia="Arial" w:hAnsi="Arial" w:cs="Arial"/>
        </w:rPr>
        <w:t>No.250/XI-Reg Riset/RSUDU/23</w:t>
      </w:r>
    </w:p>
    <w:p w14:paraId="351A6D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D686C1" w14:textId="77777777" w:rsidR="00790ADA" w:rsidRPr="00FB3A86" w:rsidRDefault="00790ADA" w:rsidP="00441B6F">
      <w:pPr>
        <w:pStyle w:val="Head1"/>
        <w:spacing w:after="0"/>
        <w:jc w:val="both"/>
        <w:rPr>
          <w:rFonts w:ascii="Arial" w:hAnsi="Arial" w:cs="Arial"/>
        </w:rPr>
      </w:pPr>
    </w:p>
    <w:p w14:paraId="0C9F4702" w14:textId="77777777" w:rsidR="00C1015E" w:rsidRDefault="00C1015E" w:rsidP="00C1015E">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C30A0F">
        <w:rPr>
          <w:rFonts w:ascii="Arial" w:hAnsi="Arial" w:cs="Arial"/>
          <w:b/>
          <w:sz w:val="22"/>
        </w:rPr>
        <w:t>Sub</w:t>
      </w:r>
      <w:r>
        <w:rPr>
          <w:rFonts w:ascii="Arial" w:hAnsi="Arial" w:cs="Arial"/>
          <w:b/>
          <w:sz w:val="22"/>
        </w:rPr>
        <w:t xml:space="preserve">ject Characteristics </w:t>
      </w:r>
    </w:p>
    <w:p w14:paraId="5573CDE6" w14:textId="77777777" w:rsidR="00C1015E" w:rsidRDefault="00C1015E" w:rsidP="00C1015E">
      <w:pPr>
        <w:pStyle w:val="Body"/>
        <w:spacing w:after="0"/>
        <w:rPr>
          <w:rFonts w:ascii="Arial" w:hAnsi="Arial" w:cs="Arial"/>
        </w:rPr>
      </w:pPr>
    </w:p>
    <w:p w14:paraId="5C7FBA8B" w14:textId="377E7AA3" w:rsidR="00790ADA" w:rsidRDefault="00A63353" w:rsidP="004364E2">
      <w:pPr>
        <w:spacing w:after="160"/>
        <w:jc w:val="both"/>
        <w:rPr>
          <w:rFonts w:ascii="Arial" w:hAnsi="Arial" w:cs="Arial"/>
        </w:rPr>
      </w:pPr>
      <w:r w:rsidRPr="008A67B7">
        <w:rPr>
          <w:rFonts w:ascii="Arial" w:hAnsi="Arial" w:cs="Arial"/>
          <w:lang w:val="en"/>
        </w:rPr>
        <w:t xml:space="preserve">Fifty-nine </w:t>
      </w:r>
      <w:r w:rsidRPr="00C7023C">
        <w:rPr>
          <w:rFonts w:ascii="Arial" w:hAnsi="Arial" w:cs="Arial"/>
          <w:lang w:val="en"/>
        </w:rPr>
        <w:t>beta thalassemia patients</w:t>
      </w:r>
      <w:r w:rsidRPr="008A67B7">
        <w:rPr>
          <w:rFonts w:ascii="Arial" w:hAnsi="Arial" w:cs="Arial"/>
          <w:lang w:val="en"/>
        </w:rPr>
        <w:t xml:space="preserve"> who met the inclusion and exclusion criteria were interviewed, and anthropometric measurements, laboratory tests, and bone age were performed. Four patients were excluded from the study due to the loss of one blood sample and the inability to obtain a definitive ferritin level of more than 2000 ng/ml for three blood samples, making them unanalyzable. The final sample size was 55 patients who met the criteria and were available for analysis. The characteristics of the sample in this study are shown in Table 1.</w:t>
      </w:r>
    </w:p>
    <w:p w14:paraId="2BC19284" w14:textId="36CF6496" w:rsidR="00863BD3" w:rsidRPr="00E34B0C" w:rsidRDefault="009500A6" w:rsidP="00E34B0C">
      <w:pPr>
        <w:tabs>
          <w:tab w:val="left" w:pos="1080"/>
        </w:tabs>
        <w:jc w:val="center"/>
        <w:rPr>
          <w:rFonts w:ascii="Arial" w:hAnsi="Arial"/>
          <w:b/>
        </w:rPr>
      </w:pPr>
      <w:r w:rsidRPr="00E34B0C">
        <w:rPr>
          <w:rFonts w:ascii="Arial" w:hAnsi="Arial"/>
          <w:b/>
        </w:rPr>
        <w:t>Table 1.</w:t>
      </w:r>
      <w:r w:rsidR="00E34B0C" w:rsidRPr="00E34B0C">
        <w:rPr>
          <w:rFonts w:ascii="Arial" w:hAnsi="Arial"/>
          <w:b/>
        </w:rPr>
        <w:t xml:space="preserve"> Subject </w:t>
      </w:r>
      <w:r w:rsidR="00714233">
        <w:rPr>
          <w:rFonts w:ascii="Arial" w:hAnsi="Arial"/>
          <w:b/>
        </w:rPr>
        <w:t>c</w:t>
      </w:r>
      <w:r w:rsidR="00E34B0C" w:rsidRPr="00E34B0C">
        <w:rPr>
          <w:rFonts w:ascii="Arial" w:hAnsi="Arial"/>
          <w:b/>
        </w:rPr>
        <w:t>haracter</w:t>
      </w:r>
      <w:r w:rsidR="00714233">
        <w:rPr>
          <w:rFonts w:ascii="Arial" w:hAnsi="Arial"/>
          <w:b/>
        </w:rPr>
        <w:t>i</w:t>
      </w:r>
      <w:r w:rsidR="00E34B0C" w:rsidRPr="00E34B0C">
        <w:rPr>
          <w:rFonts w:ascii="Arial" w:hAnsi="Arial"/>
          <w:b/>
        </w:rPr>
        <w:t>stics</w:t>
      </w:r>
    </w:p>
    <w:p w14:paraId="526DB19D" w14:textId="77777777" w:rsidR="00E34B0C" w:rsidRPr="0001521E" w:rsidRDefault="00E34B0C" w:rsidP="00E34B0C">
      <w:pPr>
        <w:contextualSpacing/>
        <w:jc w:val="both"/>
        <w:rPr>
          <w:rFonts w:ascii="Arial" w:hAnsi="Arial" w:cs="Arial"/>
          <w:b/>
          <w:noProof/>
          <w:color w:val="000000"/>
        </w:rPr>
      </w:pPr>
    </w:p>
    <w:tbl>
      <w:tblPr>
        <w:tblStyle w:val="TableGrid"/>
        <w:tblW w:w="793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53"/>
        <w:gridCol w:w="3685"/>
      </w:tblGrid>
      <w:tr w:rsidR="00E34B0C" w:rsidRPr="00E34B0C" w14:paraId="754E0DB6" w14:textId="77777777" w:rsidTr="006D2BA5">
        <w:tc>
          <w:tcPr>
            <w:tcW w:w="4253" w:type="dxa"/>
          </w:tcPr>
          <w:p w14:paraId="5543A2EF" w14:textId="77777777" w:rsidR="00E34B0C" w:rsidRPr="00E34B0C" w:rsidRDefault="00E34B0C" w:rsidP="006D2BA5">
            <w:pPr>
              <w:jc w:val="both"/>
              <w:rPr>
                <w:rFonts w:ascii="Arial" w:hAnsi="Arial" w:cs="Arial"/>
                <w:b/>
                <w:bCs/>
                <w:color w:val="000000" w:themeColor="text1"/>
                <w:sz w:val="20"/>
                <w:szCs w:val="20"/>
              </w:rPr>
            </w:pPr>
            <w:r w:rsidRPr="00E34B0C">
              <w:rPr>
                <w:rFonts w:ascii="Arial" w:hAnsi="Arial" w:cs="Arial"/>
                <w:b/>
                <w:bCs/>
                <w:color w:val="000000" w:themeColor="text1"/>
                <w:sz w:val="20"/>
                <w:szCs w:val="20"/>
              </w:rPr>
              <w:t>Variable</w:t>
            </w:r>
          </w:p>
        </w:tc>
        <w:tc>
          <w:tcPr>
            <w:tcW w:w="3685" w:type="dxa"/>
          </w:tcPr>
          <w:p w14:paraId="1ECE8EEE" w14:textId="77777777" w:rsidR="00E34B0C" w:rsidRPr="00E34B0C" w:rsidRDefault="00E34B0C" w:rsidP="006D2BA5">
            <w:pPr>
              <w:jc w:val="both"/>
              <w:rPr>
                <w:rFonts w:ascii="Arial" w:hAnsi="Arial" w:cs="Arial"/>
                <w:b/>
                <w:bCs/>
                <w:color w:val="000000" w:themeColor="text1"/>
                <w:sz w:val="20"/>
                <w:szCs w:val="20"/>
              </w:rPr>
            </w:pPr>
            <w:r w:rsidRPr="00E34B0C">
              <w:rPr>
                <w:rFonts w:ascii="Arial" w:hAnsi="Arial" w:cs="Arial"/>
                <w:b/>
                <w:bCs/>
                <w:color w:val="000000" w:themeColor="text1"/>
                <w:sz w:val="20"/>
                <w:szCs w:val="20"/>
              </w:rPr>
              <w:t xml:space="preserve">Result (n = 55) </w:t>
            </w:r>
          </w:p>
        </w:tc>
      </w:tr>
      <w:tr w:rsidR="00E34B0C" w:rsidRPr="00E34B0C" w14:paraId="5D792374" w14:textId="77777777" w:rsidTr="006D2BA5">
        <w:tc>
          <w:tcPr>
            <w:tcW w:w="4253" w:type="dxa"/>
          </w:tcPr>
          <w:p w14:paraId="4E70E35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Sex, n (%)</w:t>
            </w:r>
          </w:p>
          <w:p w14:paraId="5BCF8ED9"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Male</w:t>
            </w:r>
          </w:p>
          <w:p w14:paraId="44A804C8"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Female</w:t>
            </w:r>
          </w:p>
        </w:tc>
        <w:tc>
          <w:tcPr>
            <w:tcW w:w="3685" w:type="dxa"/>
          </w:tcPr>
          <w:p w14:paraId="7CCC4059" w14:textId="77777777" w:rsidR="00E34B0C" w:rsidRPr="00E34B0C" w:rsidRDefault="00E34B0C" w:rsidP="006D2BA5">
            <w:pPr>
              <w:jc w:val="both"/>
              <w:rPr>
                <w:rFonts w:ascii="Arial" w:hAnsi="Arial" w:cs="Arial"/>
                <w:color w:val="000000" w:themeColor="text1"/>
                <w:sz w:val="20"/>
                <w:szCs w:val="20"/>
              </w:rPr>
            </w:pPr>
          </w:p>
          <w:p w14:paraId="42CD926A" w14:textId="48488E3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34 (61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p w14:paraId="6376BE8D" w14:textId="495480FF"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21 (28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tc>
      </w:tr>
      <w:tr w:rsidR="00E34B0C" w:rsidRPr="00E34B0C" w14:paraId="3C628DFC" w14:textId="77777777" w:rsidTr="006D2BA5">
        <w:tc>
          <w:tcPr>
            <w:tcW w:w="4253" w:type="dxa"/>
          </w:tcPr>
          <w:p w14:paraId="0B51F92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Age (month)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62CF0E40" w14:textId="206FB8C0"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131</w:t>
            </w:r>
            <w:r w:rsidR="00D9171A">
              <w:rPr>
                <w:rFonts w:ascii="Arial" w:hAnsi="Arial" w:cs="Arial"/>
                <w:color w:val="000000" w:themeColor="text1"/>
                <w:sz w:val="20"/>
                <w:szCs w:val="20"/>
              </w:rPr>
              <w:t>.</w:t>
            </w:r>
            <w:r w:rsidRPr="00E34B0C">
              <w:rPr>
                <w:rFonts w:ascii="Arial" w:hAnsi="Arial" w:cs="Arial"/>
                <w:color w:val="000000" w:themeColor="text1"/>
                <w:sz w:val="20"/>
                <w:szCs w:val="20"/>
              </w:rPr>
              <w:t>71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51</w:t>
            </w:r>
            <w:r w:rsidR="00D9171A">
              <w:rPr>
                <w:rFonts w:ascii="Arial" w:hAnsi="Arial" w:cs="Arial"/>
                <w:color w:val="000000" w:themeColor="text1"/>
                <w:sz w:val="20"/>
                <w:szCs w:val="20"/>
              </w:rPr>
              <w:t>.</w:t>
            </w:r>
            <w:r w:rsidRPr="00E34B0C">
              <w:rPr>
                <w:rFonts w:ascii="Arial" w:hAnsi="Arial" w:cs="Arial"/>
                <w:color w:val="000000" w:themeColor="text1"/>
                <w:sz w:val="20"/>
                <w:szCs w:val="20"/>
              </w:rPr>
              <w:t>57</w:t>
            </w:r>
          </w:p>
        </w:tc>
      </w:tr>
      <w:tr w:rsidR="00E34B0C" w:rsidRPr="00E34B0C" w14:paraId="4BAA6EA5" w14:textId="77777777" w:rsidTr="006D2BA5">
        <w:tc>
          <w:tcPr>
            <w:tcW w:w="4253" w:type="dxa"/>
          </w:tcPr>
          <w:p w14:paraId="2BEDC322"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Age group, n (%)</w:t>
            </w:r>
          </w:p>
          <w:p w14:paraId="5B63A6DF"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&gt;24-60 months</w:t>
            </w:r>
          </w:p>
          <w:p w14:paraId="1905A9B5" w14:textId="77777777" w:rsidR="00E34B0C" w:rsidRPr="00E34B0C" w:rsidRDefault="00E34B0C" w:rsidP="006D2BA5">
            <w:pPr>
              <w:ind w:firstLine="340"/>
              <w:jc w:val="both"/>
              <w:rPr>
                <w:rFonts w:ascii="Arial" w:hAnsi="Arial" w:cs="Arial"/>
                <w:color w:val="000000" w:themeColor="text1"/>
                <w:sz w:val="20"/>
                <w:szCs w:val="20"/>
              </w:rPr>
            </w:pPr>
            <w:r w:rsidRPr="00E34B0C">
              <w:rPr>
                <w:rFonts w:ascii="Arial" w:hAnsi="Arial" w:cs="Arial"/>
                <w:color w:val="000000" w:themeColor="text1"/>
                <w:sz w:val="20"/>
                <w:szCs w:val="20"/>
              </w:rPr>
              <w:t>61-120 months</w:t>
            </w:r>
          </w:p>
          <w:p w14:paraId="094C3F6D" w14:textId="77777777" w:rsidR="00E34B0C" w:rsidRPr="00E34B0C" w:rsidRDefault="00E34B0C" w:rsidP="006D2BA5">
            <w:pPr>
              <w:ind w:firstLine="340"/>
              <w:jc w:val="both"/>
              <w:rPr>
                <w:rFonts w:ascii="Arial" w:hAnsi="Arial" w:cs="Arial"/>
                <w:color w:val="000000" w:themeColor="text1"/>
                <w:sz w:val="20"/>
                <w:szCs w:val="20"/>
              </w:rPr>
            </w:pPr>
            <w:r w:rsidRPr="00E34B0C">
              <w:rPr>
                <w:rFonts w:ascii="Arial" w:hAnsi="Arial" w:cs="Arial"/>
                <w:color w:val="000000" w:themeColor="text1"/>
                <w:sz w:val="20"/>
                <w:szCs w:val="20"/>
              </w:rPr>
              <w:t>121-216 months</w:t>
            </w:r>
          </w:p>
        </w:tc>
        <w:tc>
          <w:tcPr>
            <w:tcW w:w="3685" w:type="dxa"/>
          </w:tcPr>
          <w:p w14:paraId="4D29F4B1" w14:textId="77777777" w:rsidR="00E34B0C" w:rsidRPr="00E34B0C" w:rsidRDefault="00E34B0C" w:rsidP="006D2BA5">
            <w:pPr>
              <w:jc w:val="both"/>
              <w:rPr>
                <w:rFonts w:ascii="Arial" w:hAnsi="Arial" w:cs="Arial"/>
                <w:color w:val="000000" w:themeColor="text1"/>
                <w:sz w:val="20"/>
                <w:szCs w:val="20"/>
              </w:rPr>
            </w:pPr>
          </w:p>
          <w:p w14:paraId="5D9CF7B3" w14:textId="5EA2CD99"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 (7</w:t>
            </w:r>
            <w:r w:rsidR="00D9171A">
              <w:rPr>
                <w:rFonts w:ascii="Arial" w:hAnsi="Arial" w:cs="Arial"/>
                <w:color w:val="000000" w:themeColor="text1"/>
                <w:sz w:val="20"/>
                <w:szCs w:val="20"/>
              </w:rPr>
              <w:t>.</w:t>
            </w:r>
            <w:r w:rsidRPr="00E34B0C">
              <w:rPr>
                <w:rFonts w:ascii="Arial" w:hAnsi="Arial" w:cs="Arial"/>
                <w:color w:val="000000" w:themeColor="text1"/>
                <w:sz w:val="20"/>
                <w:szCs w:val="20"/>
              </w:rPr>
              <w:t>3)</w:t>
            </w:r>
          </w:p>
          <w:p w14:paraId="69D78037" w14:textId="3C75970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18 (32</w:t>
            </w:r>
            <w:r w:rsidR="00D9171A">
              <w:rPr>
                <w:rFonts w:ascii="Arial" w:hAnsi="Arial" w:cs="Arial"/>
                <w:color w:val="000000" w:themeColor="text1"/>
                <w:sz w:val="20"/>
                <w:szCs w:val="20"/>
              </w:rPr>
              <w:t>.</w:t>
            </w:r>
            <w:r w:rsidRPr="00E34B0C">
              <w:rPr>
                <w:rFonts w:ascii="Arial" w:hAnsi="Arial" w:cs="Arial"/>
                <w:color w:val="000000" w:themeColor="text1"/>
                <w:sz w:val="20"/>
                <w:szCs w:val="20"/>
              </w:rPr>
              <w:t>7)</w:t>
            </w:r>
          </w:p>
          <w:p w14:paraId="0B5EB74B"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tc>
      </w:tr>
      <w:tr w:rsidR="00E34B0C" w:rsidRPr="00E34B0C" w14:paraId="6AC5161E" w14:textId="77777777" w:rsidTr="006D2BA5">
        <w:tc>
          <w:tcPr>
            <w:tcW w:w="4253" w:type="dxa"/>
          </w:tcPr>
          <w:p w14:paraId="646384D5"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Body weight (kilograms), median (min-max)</w:t>
            </w:r>
          </w:p>
        </w:tc>
        <w:tc>
          <w:tcPr>
            <w:tcW w:w="3685" w:type="dxa"/>
          </w:tcPr>
          <w:p w14:paraId="58EBD7DD"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24 (10-55) </w:t>
            </w:r>
          </w:p>
        </w:tc>
      </w:tr>
      <w:tr w:rsidR="00E34B0C" w:rsidRPr="00E34B0C" w14:paraId="2A49E314" w14:textId="77777777" w:rsidTr="006D2BA5">
        <w:tc>
          <w:tcPr>
            <w:tcW w:w="4253" w:type="dxa"/>
          </w:tcPr>
          <w:p w14:paraId="25EE7F20"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Height (cm),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498FBCC6" w14:textId="623996AD"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126</w:t>
            </w:r>
            <w:r w:rsidR="00D9171A">
              <w:rPr>
                <w:rFonts w:ascii="Arial" w:hAnsi="Arial" w:cs="Arial"/>
                <w:color w:val="000000" w:themeColor="text1"/>
                <w:sz w:val="20"/>
                <w:szCs w:val="20"/>
              </w:rPr>
              <w:t>.</w:t>
            </w:r>
            <w:r w:rsidRPr="00E34B0C">
              <w:rPr>
                <w:rFonts w:ascii="Arial" w:hAnsi="Arial" w:cs="Arial"/>
                <w:color w:val="000000" w:themeColor="text1"/>
                <w:sz w:val="20"/>
                <w:szCs w:val="20"/>
              </w:rPr>
              <w:t>52</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18</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4584EA6D" w14:textId="77777777" w:rsidTr="006D2BA5">
        <w:tc>
          <w:tcPr>
            <w:tcW w:w="4253" w:type="dxa"/>
          </w:tcPr>
          <w:p w14:paraId="6F99465D"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W/A (n</w:t>
            </w:r>
            <w:proofErr w:type="gramStart"/>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w:t>
            </w:r>
          </w:p>
          <w:p w14:paraId="662D3E4A"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Severely underweight</w:t>
            </w:r>
          </w:p>
          <w:p w14:paraId="70BB9B49"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Underweight</w:t>
            </w:r>
          </w:p>
          <w:p w14:paraId="684129C4" w14:textId="77777777" w:rsidR="00E34B0C" w:rsidRPr="00E34B0C" w:rsidRDefault="00E34B0C" w:rsidP="006D2BA5">
            <w:pPr>
              <w:ind w:firstLine="316"/>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Normoweight</w:t>
            </w:r>
            <w:proofErr w:type="spellEnd"/>
          </w:p>
        </w:tc>
        <w:tc>
          <w:tcPr>
            <w:tcW w:w="3685" w:type="dxa"/>
          </w:tcPr>
          <w:p w14:paraId="26EC33EC" w14:textId="77777777" w:rsidR="00E34B0C" w:rsidRPr="00E34B0C" w:rsidRDefault="00E34B0C" w:rsidP="006D2BA5">
            <w:pPr>
              <w:jc w:val="both"/>
              <w:rPr>
                <w:rFonts w:ascii="Arial" w:hAnsi="Arial" w:cs="Arial"/>
                <w:color w:val="000000" w:themeColor="text1"/>
                <w:sz w:val="20"/>
                <w:szCs w:val="20"/>
              </w:rPr>
            </w:pPr>
          </w:p>
          <w:p w14:paraId="4E90B7E7" w14:textId="469BA55A"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 (1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p w14:paraId="20EC0A96"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p w14:paraId="1A5EE507" w14:textId="4F2EB37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21 (38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tc>
      </w:tr>
      <w:tr w:rsidR="00E34B0C" w:rsidRPr="00E34B0C" w14:paraId="778BB247" w14:textId="77777777" w:rsidTr="006D2BA5">
        <w:tc>
          <w:tcPr>
            <w:tcW w:w="4253" w:type="dxa"/>
          </w:tcPr>
          <w:p w14:paraId="172229D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H/A (n</w:t>
            </w:r>
            <w:proofErr w:type="gramStart"/>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w:t>
            </w:r>
          </w:p>
          <w:p w14:paraId="14AD146D"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Stunting</w:t>
            </w:r>
          </w:p>
          <w:p w14:paraId="4EF546DB"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Short stature</w:t>
            </w:r>
          </w:p>
          <w:p w14:paraId="32AC0E4F" w14:textId="77777777" w:rsidR="00E34B0C" w:rsidRPr="00E34B0C" w:rsidRDefault="00E34B0C" w:rsidP="006D2BA5">
            <w:pPr>
              <w:ind w:left="312"/>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Normoheight</w:t>
            </w:r>
            <w:proofErr w:type="spellEnd"/>
          </w:p>
        </w:tc>
        <w:tc>
          <w:tcPr>
            <w:tcW w:w="3685" w:type="dxa"/>
          </w:tcPr>
          <w:p w14:paraId="0DADC2DF" w14:textId="77777777" w:rsidR="00E34B0C" w:rsidRPr="00E34B0C" w:rsidRDefault="00E34B0C" w:rsidP="006D2BA5">
            <w:pPr>
              <w:jc w:val="both"/>
              <w:rPr>
                <w:rFonts w:ascii="Arial" w:hAnsi="Arial" w:cs="Arial"/>
                <w:color w:val="000000" w:themeColor="text1"/>
                <w:sz w:val="20"/>
                <w:szCs w:val="20"/>
              </w:rPr>
            </w:pPr>
          </w:p>
          <w:p w14:paraId="5E199424" w14:textId="161751C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 (5</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p w14:paraId="16550C96"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p w14:paraId="57D0925C" w14:textId="2C5579B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19 (34</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78E8E72A" w14:textId="77777777" w:rsidTr="006D2BA5">
        <w:tc>
          <w:tcPr>
            <w:tcW w:w="4253" w:type="dxa"/>
          </w:tcPr>
          <w:p w14:paraId="45434C59"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W/H (n</w:t>
            </w:r>
            <w:proofErr w:type="gramStart"/>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w:t>
            </w:r>
          </w:p>
          <w:p w14:paraId="41D4C43B"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Severe malnutrition</w:t>
            </w:r>
          </w:p>
          <w:p w14:paraId="1A78D35E"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Moderate malnutrition</w:t>
            </w:r>
          </w:p>
          <w:p w14:paraId="28517F03" w14:textId="77777777" w:rsidR="00E34B0C" w:rsidRPr="00E34B0C" w:rsidRDefault="00E34B0C" w:rsidP="006D2BA5">
            <w:pPr>
              <w:tabs>
                <w:tab w:val="left" w:pos="340"/>
              </w:tabs>
              <w:jc w:val="both"/>
              <w:rPr>
                <w:rFonts w:ascii="Arial" w:hAnsi="Arial" w:cs="Arial"/>
                <w:color w:val="000000" w:themeColor="text1"/>
                <w:sz w:val="20"/>
                <w:szCs w:val="20"/>
              </w:rPr>
            </w:pPr>
            <w:r w:rsidRPr="00E34B0C">
              <w:rPr>
                <w:rFonts w:ascii="Arial" w:hAnsi="Arial" w:cs="Arial"/>
                <w:i/>
                <w:iCs/>
                <w:color w:val="000000" w:themeColor="text1"/>
                <w:sz w:val="20"/>
                <w:szCs w:val="20"/>
              </w:rPr>
              <w:t xml:space="preserve">      </w:t>
            </w:r>
            <w:r w:rsidRPr="00E34B0C">
              <w:rPr>
                <w:rFonts w:ascii="Arial" w:hAnsi="Arial" w:cs="Arial"/>
                <w:color w:val="000000" w:themeColor="text1"/>
                <w:sz w:val="20"/>
                <w:szCs w:val="20"/>
              </w:rPr>
              <w:t>Well nourished</w:t>
            </w:r>
          </w:p>
        </w:tc>
        <w:tc>
          <w:tcPr>
            <w:tcW w:w="3685" w:type="dxa"/>
          </w:tcPr>
          <w:p w14:paraId="598262F7" w14:textId="77777777" w:rsidR="00E34B0C" w:rsidRPr="00E34B0C" w:rsidRDefault="00E34B0C" w:rsidP="006D2BA5">
            <w:pPr>
              <w:jc w:val="both"/>
              <w:rPr>
                <w:rFonts w:ascii="Arial" w:hAnsi="Arial" w:cs="Arial"/>
                <w:color w:val="000000" w:themeColor="text1"/>
                <w:sz w:val="20"/>
                <w:szCs w:val="20"/>
              </w:rPr>
            </w:pPr>
          </w:p>
          <w:p w14:paraId="7A1B858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0 (0)</w:t>
            </w:r>
          </w:p>
          <w:p w14:paraId="0CDD95A9" w14:textId="5A01FBB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19 (34</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p w14:paraId="2BC3282C" w14:textId="401FA64C"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36 (65</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4D98D21A" w14:textId="77777777" w:rsidTr="006D2BA5">
        <w:tc>
          <w:tcPr>
            <w:tcW w:w="4253" w:type="dxa"/>
          </w:tcPr>
          <w:p w14:paraId="19F92587"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Length of diagnosis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06217BD8" w14:textId="7AA93D1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76</w:t>
            </w:r>
            <w:r w:rsidR="00D9171A">
              <w:rPr>
                <w:rFonts w:ascii="Arial" w:hAnsi="Arial" w:cs="Arial"/>
                <w:color w:val="000000" w:themeColor="text1"/>
                <w:sz w:val="20"/>
                <w:szCs w:val="20"/>
              </w:rPr>
              <w:t>.</w:t>
            </w:r>
            <w:r w:rsidRPr="00E34B0C">
              <w:rPr>
                <w:rFonts w:ascii="Arial" w:hAnsi="Arial" w:cs="Arial"/>
                <w:color w:val="000000" w:themeColor="text1"/>
                <w:sz w:val="20"/>
                <w:szCs w:val="20"/>
              </w:rPr>
              <w:t>87</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49</w:t>
            </w:r>
            <w:r w:rsidR="00D9171A">
              <w:rPr>
                <w:rFonts w:ascii="Arial" w:hAnsi="Arial" w:cs="Arial"/>
                <w:color w:val="000000" w:themeColor="text1"/>
                <w:sz w:val="20"/>
                <w:szCs w:val="20"/>
              </w:rPr>
              <w:t>.</w:t>
            </w:r>
            <w:r w:rsidRPr="00E34B0C">
              <w:rPr>
                <w:rFonts w:ascii="Arial" w:hAnsi="Arial" w:cs="Arial"/>
                <w:color w:val="000000" w:themeColor="text1"/>
                <w:sz w:val="20"/>
                <w:szCs w:val="20"/>
              </w:rPr>
              <w:t>74</w:t>
            </w:r>
          </w:p>
        </w:tc>
      </w:tr>
      <w:tr w:rsidR="00E34B0C" w:rsidRPr="00E34B0C" w14:paraId="039FCEEA" w14:textId="77777777" w:rsidTr="006D2BA5">
        <w:tc>
          <w:tcPr>
            <w:tcW w:w="4253" w:type="dxa"/>
          </w:tcPr>
          <w:p w14:paraId="7AC117F8"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Age of </w:t>
            </w: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(months) median (min-max)</w:t>
            </w:r>
          </w:p>
        </w:tc>
        <w:tc>
          <w:tcPr>
            <w:tcW w:w="3685" w:type="dxa"/>
          </w:tcPr>
          <w:p w14:paraId="5CC16DD8"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42 (3-144)</w:t>
            </w:r>
          </w:p>
        </w:tc>
      </w:tr>
      <w:tr w:rsidR="00E34B0C" w:rsidRPr="00E34B0C" w14:paraId="126503A8" w14:textId="77777777" w:rsidTr="006D2BA5">
        <w:tc>
          <w:tcPr>
            <w:tcW w:w="4253" w:type="dxa"/>
          </w:tcPr>
          <w:p w14:paraId="24D19983" w14:textId="77777777" w:rsidR="00E34B0C" w:rsidRPr="00E34B0C" w:rsidRDefault="00E34B0C" w:rsidP="006D2BA5">
            <w:pPr>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duration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17FAFA67" w14:textId="5893B9D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85</w:t>
            </w:r>
            <w:r w:rsidR="00D9171A">
              <w:rPr>
                <w:rFonts w:ascii="Arial" w:hAnsi="Arial" w:cs="Arial"/>
                <w:color w:val="000000" w:themeColor="text1"/>
                <w:sz w:val="20"/>
                <w:szCs w:val="20"/>
              </w:rPr>
              <w:t>.</w:t>
            </w:r>
            <w:r w:rsidRPr="00E34B0C">
              <w:rPr>
                <w:rFonts w:ascii="Arial" w:hAnsi="Arial" w:cs="Arial"/>
                <w:color w:val="000000" w:themeColor="text1"/>
                <w:sz w:val="20"/>
                <w:szCs w:val="20"/>
              </w:rPr>
              <w:t>71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54</w:t>
            </w:r>
            <w:r w:rsidR="00D9171A">
              <w:rPr>
                <w:rFonts w:ascii="Arial" w:hAnsi="Arial" w:cs="Arial"/>
                <w:color w:val="000000" w:themeColor="text1"/>
                <w:sz w:val="20"/>
                <w:szCs w:val="20"/>
              </w:rPr>
              <w:t>.</w:t>
            </w:r>
            <w:r w:rsidRPr="00E34B0C">
              <w:rPr>
                <w:rFonts w:ascii="Arial" w:hAnsi="Arial" w:cs="Arial"/>
                <w:color w:val="000000" w:themeColor="text1"/>
                <w:sz w:val="20"/>
                <w:szCs w:val="20"/>
              </w:rPr>
              <w:t>97</w:t>
            </w:r>
          </w:p>
        </w:tc>
      </w:tr>
      <w:tr w:rsidR="00E34B0C" w:rsidRPr="00E34B0C" w14:paraId="665B010A" w14:textId="77777777" w:rsidTr="006D2BA5">
        <w:tc>
          <w:tcPr>
            <w:tcW w:w="4253" w:type="dxa"/>
          </w:tcPr>
          <w:p w14:paraId="484A0D63" w14:textId="77777777" w:rsidR="00E34B0C" w:rsidRPr="00E34B0C" w:rsidRDefault="00E34B0C" w:rsidP="006D2BA5">
            <w:pPr>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frequency (n</w:t>
            </w:r>
            <w:proofErr w:type="gramStart"/>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w:t>
            </w:r>
          </w:p>
          <w:p w14:paraId="5BF06222" w14:textId="77777777" w:rsidR="00E34B0C" w:rsidRPr="00E34B0C" w:rsidRDefault="00E34B0C" w:rsidP="006D2BA5">
            <w:pPr>
              <w:ind w:firstLine="200"/>
              <w:jc w:val="both"/>
              <w:rPr>
                <w:rFonts w:ascii="Arial" w:hAnsi="Arial" w:cs="Arial"/>
                <w:color w:val="000000" w:themeColor="text1"/>
                <w:sz w:val="20"/>
                <w:szCs w:val="20"/>
              </w:rPr>
            </w:pPr>
            <w:r w:rsidRPr="00E34B0C">
              <w:rPr>
                <w:rFonts w:ascii="Arial" w:hAnsi="Arial" w:cs="Arial"/>
                <w:color w:val="000000" w:themeColor="text1"/>
                <w:sz w:val="20"/>
                <w:szCs w:val="20"/>
              </w:rPr>
              <w:t>≤ 1 month / time</w:t>
            </w:r>
          </w:p>
          <w:p w14:paraId="2FF1A405" w14:textId="77777777" w:rsidR="00E34B0C" w:rsidRPr="00E34B0C" w:rsidRDefault="00E34B0C" w:rsidP="006D2BA5">
            <w:pPr>
              <w:pStyle w:val="ListParagraph"/>
              <w:spacing w:after="0" w:line="240" w:lineRule="auto"/>
              <w:ind w:left="200"/>
              <w:jc w:val="both"/>
              <w:rPr>
                <w:rFonts w:ascii="Arial" w:hAnsi="Arial" w:cs="Arial"/>
                <w:color w:val="000000" w:themeColor="text1"/>
                <w:sz w:val="20"/>
                <w:szCs w:val="20"/>
              </w:rPr>
            </w:pPr>
            <w:r w:rsidRPr="00E34B0C">
              <w:rPr>
                <w:rFonts w:ascii="Arial" w:hAnsi="Arial" w:cs="Arial"/>
                <w:color w:val="000000" w:themeColor="text1"/>
                <w:sz w:val="20"/>
                <w:szCs w:val="20"/>
              </w:rPr>
              <w:lastRenderedPageBreak/>
              <w:t>&gt; 1 month / time</w:t>
            </w:r>
          </w:p>
        </w:tc>
        <w:tc>
          <w:tcPr>
            <w:tcW w:w="3685" w:type="dxa"/>
          </w:tcPr>
          <w:p w14:paraId="642E1C58" w14:textId="77777777" w:rsidR="00E34B0C" w:rsidRPr="00E34B0C" w:rsidRDefault="00E34B0C" w:rsidP="006D2BA5">
            <w:pPr>
              <w:jc w:val="both"/>
              <w:rPr>
                <w:rFonts w:ascii="Arial" w:hAnsi="Arial" w:cs="Arial"/>
                <w:color w:val="000000" w:themeColor="text1"/>
                <w:sz w:val="20"/>
                <w:szCs w:val="20"/>
              </w:rPr>
            </w:pPr>
          </w:p>
          <w:p w14:paraId="58025594" w14:textId="459D602F"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35 (63</w:t>
            </w:r>
            <w:r w:rsidR="00D9171A">
              <w:rPr>
                <w:rFonts w:ascii="Arial" w:hAnsi="Arial" w:cs="Arial"/>
                <w:color w:val="000000" w:themeColor="text1"/>
                <w:sz w:val="20"/>
                <w:szCs w:val="20"/>
              </w:rPr>
              <w:t>.</w:t>
            </w:r>
            <w:r w:rsidRPr="00E34B0C">
              <w:rPr>
                <w:rFonts w:ascii="Arial" w:hAnsi="Arial" w:cs="Arial"/>
                <w:color w:val="000000" w:themeColor="text1"/>
                <w:sz w:val="20"/>
                <w:szCs w:val="20"/>
              </w:rPr>
              <w:t>6)</w:t>
            </w:r>
          </w:p>
          <w:p w14:paraId="6C99E109" w14:textId="5D225D2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lastRenderedPageBreak/>
              <w:t>20 (36</w:t>
            </w:r>
            <w:r w:rsidR="00D9171A">
              <w:rPr>
                <w:rFonts w:ascii="Arial" w:hAnsi="Arial" w:cs="Arial"/>
                <w:color w:val="000000" w:themeColor="text1"/>
                <w:sz w:val="20"/>
                <w:szCs w:val="20"/>
              </w:rPr>
              <w:t>.</w:t>
            </w:r>
            <w:r w:rsidRPr="00E34B0C">
              <w:rPr>
                <w:rFonts w:ascii="Arial" w:hAnsi="Arial" w:cs="Arial"/>
                <w:color w:val="000000" w:themeColor="text1"/>
                <w:sz w:val="20"/>
                <w:szCs w:val="20"/>
              </w:rPr>
              <w:t>4)</w:t>
            </w:r>
          </w:p>
        </w:tc>
      </w:tr>
      <w:tr w:rsidR="00E34B0C" w:rsidRPr="00E34B0C" w14:paraId="704303DC" w14:textId="77777777" w:rsidTr="006D2BA5">
        <w:tc>
          <w:tcPr>
            <w:tcW w:w="4253" w:type="dxa"/>
          </w:tcPr>
          <w:p w14:paraId="4C43D6B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lastRenderedPageBreak/>
              <w:t>Pre-</w:t>
            </w: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hemoglobin (g/</w:t>
            </w:r>
            <w:proofErr w:type="spellStart"/>
            <w:r w:rsidRPr="00E34B0C">
              <w:rPr>
                <w:rFonts w:ascii="Arial" w:hAnsi="Arial" w:cs="Arial"/>
                <w:color w:val="000000" w:themeColor="text1"/>
                <w:sz w:val="20"/>
                <w:szCs w:val="20"/>
              </w:rPr>
              <w:t>dL</w:t>
            </w:r>
            <w:proofErr w:type="spellEnd"/>
            <w:r w:rsidRPr="00E34B0C">
              <w:rPr>
                <w:rFonts w:ascii="Arial" w:hAnsi="Arial" w:cs="Arial"/>
                <w:color w:val="000000" w:themeColor="text1"/>
                <w:sz w:val="20"/>
                <w:szCs w:val="20"/>
              </w:rPr>
              <w:t xml:space="preserve">)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61901A04" w14:textId="72540850"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w:t>
            </w:r>
            <w:r w:rsidR="00D9171A">
              <w:rPr>
                <w:rFonts w:ascii="Arial" w:hAnsi="Arial" w:cs="Arial"/>
                <w:color w:val="000000" w:themeColor="text1"/>
                <w:sz w:val="20"/>
                <w:szCs w:val="20"/>
              </w:rPr>
              <w:t>.</w:t>
            </w:r>
            <w:r w:rsidRPr="00E34B0C">
              <w:rPr>
                <w:rFonts w:ascii="Arial" w:hAnsi="Arial" w:cs="Arial"/>
                <w:color w:val="000000" w:themeColor="text1"/>
                <w:sz w:val="20"/>
                <w:szCs w:val="20"/>
              </w:rPr>
              <w:t>51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1</w:t>
            </w:r>
            <w:r w:rsidR="00D9171A">
              <w:rPr>
                <w:rFonts w:ascii="Arial" w:hAnsi="Arial" w:cs="Arial"/>
                <w:color w:val="000000" w:themeColor="text1"/>
                <w:sz w:val="20"/>
                <w:szCs w:val="20"/>
              </w:rPr>
              <w:t>.</w:t>
            </w:r>
            <w:r w:rsidRPr="00E34B0C">
              <w:rPr>
                <w:rFonts w:ascii="Arial" w:hAnsi="Arial" w:cs="Arial"/>
                <w:color w:val="000000" w:themeColor="text1"/>
                <w:sz w:val="20"/>
                <w:szCs w:val="20"/>
              </w:rPr>
              <w:t>69</w:t>
            </w:r>
          </w:p>
        </w:tc>
      </w:tr>
      <w:tr w:rsidR="00E34B0C" w:rsidRPr="00E34B0C" w14:paraId="78D30E1C" w14:textId="77777777" w:rsidTr="006D2BA5">
        <w:tc>
          <w:tcPr>
            <w:tcW w:w="4253" w:type="dxa"/>
          </w:tcPr>
          <w:p w14:paraId="55F80B27"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Iron Chelation (n</w:t>
            </w:r>
            <w:proofErr w:type="gramStart"/>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w:t>
            </w:r>
          </w:p>
          <w:p w14:paraId="27D0B74E"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Deferiprone</w:t>
            </w:r>
          </w:p>
          <w:p w14:paraId="0D14E08A"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Deferasirox</w:t>
            </w:r>
          </w:p>
          <w:p w14:paraId="74F6C042"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Haven’t got iron chelation yet</w:t>
            </w:r>
          </w:p>
        </w:tc>
        <w:tc>
          <w:tcPr>
            <w:tcW w:w="3685" w:type="dxa"/>
          </w:tcPr>
          <w:p w14:paraId="393A91AC" w14:textId="77777777" w:rsidR="00E34B0C" w:rsidRPr="00E34B0C" w:rsidRDefault="00E34B0C" w:rsidP="006D2BA5">
            <w:pPr>
              <w:jc w:val="both"/>
              <w:rPr>
                <w:rFonts w:ascii="Arial" w:hAnsi="Arial" w:cs="Arial"/>
                <w:color w:val="000000" w:themeColor="text1"/>
                <w:sz w:val="20"/>
                <w:szCs w:val="20"/>
              </w:rPr>
            </w:pPr>
          </w:p>
          <w:p w14:paraId="16F34A54" w14:textId="6D1FC48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29 (52</w:t>
            </w:r>
            <w:r w:rsidR="00D9171A">
              <w:rPr>
                <w:rFonts w:ascii="Arial" w:hAnsi="Arial" w:cs="Arial"/>
                <w:color w:val="000000" w:themeColor="text1"/>
                <w:sz w:val="20"/>
                <w:szCs w:val="20"/>
              </w:rPr>
              <w:t>.</w:t>
            </w:r>
            <w:r w:rsidRPr="00E34B0C">
              <w:rPr>
                <w:rFonts w:ascii="Arial" w:hAnsi="Arial" w:cs="Arial"/>
                <w:color w:val="000000" w:themeColor="text1"/>
                <w:sz w:val="20"/>
                <w:szCs w:val="20"/>
              </w:rPr>
              <w:t>7)</w:t>
            </w:r>
          </w:p>
          <w:p w14:paraId="0E774000"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22 (40)</w:t>
            </w:r>
          </w:p>
          <w:p w14:paraId="0FDEFE6B" w14:textId="0E2FDA8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 (7</w:t>
            </w:r>
            <w:r w:rsidR="00D9171A">
              <w:rPr>
                <w:rFonts w:ascii="Arial" w:hAnsi="Arial" w:cs="Arial"/>
                <w:color w:val="000000" w:themeColor="text1"/>
                <w:sz w:val="20"/>
                <w:szCs w:val="20"/>
              </w:rPr>
              <w:t>.</w:t>
            </w:r>
            <w:r w:rsidRPr="00E34B0C">
              <w:rPr>
                <w:rFonts w:ascii="Arial" w:hAnsi="Arial" w:cs="Arial"/>
                <w:color w:val="000000" w:themeColor="text1"/>
                <w:sz w:val="20"/>
                <w:szCs w:val="20"/>
              </w:rPr>
              <w:t>3)</w:t>
            </w:r>
          </w:p>
        </w:tc>
      </w:tr>
      <w:tr w:rsidR="00E34B0C" w:rsidRPr="00E34B0C" w14:paraId="1F7C258B" w14:textId="77777777" w:rsidTr="006D2BA5">
        <w:trPr>
          <w:trHeight w:val="647"/>
        </w:trPr>
        <w:tc>
          <w:tcPr>
            <w:tcW w:w="4253" w:type="dxa"/>
          </w:tcPr>
          <w:p w14:paraId="53D12DB3" w14:textId="1B91FEE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Compliance of iron </w:t>
            </w:r>
            <w:proofErr w:type="gramStart"/>
            <w:r w:rsidRPr="00E34B0C">
              <w:rPr>
                <w:rFonts w:ascii="Arial" w:hAnsi="Arial" w:cs="Arial"/>
                <w:color w:val="000000" w:themeColor="text1"/>
                <w:sz w:val="20"/>
                <w:szCs w:val="20"/>
              </w:rPr>
              <w:t xml:space="preserve">chelator </w:t>
            </w:r>
            <w:r w:rsidR="0048137E">
              <w:rPr>
                <w:rFonts w:ascii="Arial" w:hAnsi="Arial" w:cs="Arial"/>
                <w:color w:val="000000" w:themeColor="text1"/>
                <w:sz w:val="20"/>
                <w:szCs w:val="20"/>
              </w:rPr>
              <w:t xml:space="preserve"> </w:t>
            </w:r>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n,%)</w:t>
            </w:r>
          </w:p>
          <w:p w14:paraId="1AD30AAA" w14:textId="4593986A"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r w:rsidR="0048137E">
              <w:rPr>
                <w:rFonts w:ascii="Arial" w:hAnsi="Arial" w:cs="Arial"/>
                <w:color w:val="000000" w:themeColor="text1"/>
                <w:sz w:val="20"/>
                <w:szCs w:val="20"/>
              </w:rPr>
              <w:t>Good</w:t>
            </w:r>
          </w:p>
          <w:p w14:paraId="2D4CDF0B" w14:textId="789CA23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r w:rsidR="0048137E">
              <w:rPr>
                <w:rFonts w:ascii="Arial" w:hAnsi="Arial" w:cs="Arial"/>
                <w:color w:val="000000" w:themeColor="text1"/>
                <w:sz w:val="20"/>
                <w:szCs w:val="20"/>
              </w:rPr>
              <w:t>Poor</w:t>
            </w:r>
          </w:p>
        </w:tc>
        <w:tc>
          <w:tcPr>
            <w:tcW w:w="3685" w:type="dxa"/>
          </w:tcPr>
          <w:p w14:paraId="6DF5F359" w14:textId="77777777" w:rsidR="0048137E" w:rsidRPr="00E34B0C" w:rsidRDefault="0048137E" w:rsidP="006D2BA5">
            <w:pPr>
              <w:jc w:val="both"/>
              <w:rPr>
                <w:rFonts w:ascii="Arial" w:hAnsi="Arial" w:cs="Arial"/>
                <w:color w:val="000000" w:themeColor="text1"/>
                <w:sz w:val="20"/>
                <w:szCs w:val="20"/>
              </w:rPr>
            </w:pPr>
          </w:p>
          <w:p w14:paraId="49EFD5EA" w14:textId="3975E0F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43 (78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p w14:paraId="10EE428F" w14:textId="40B549F6"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12 (21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tc>
      </w:tr>
      <w:tr w:rsidR="00E34B0C" w:rsidRPr="00E34B0C" w14:paraId="7FA5912A" w14:textId="77777777" w:rsidTr="006D2BA5">
        <w:trPr>
          <w:trHeight w:val="674"/>
        </w:trPr>
        <w:tc>
          <w:tcPr>
            <w:tcW w:w="4253" w:type="dxa"/>
          </w:tcPr>
          <w:p w14:paraId="78B904C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Iron chelation duration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p w14:paraId="6CFA65B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Deferiprone</w:t>
            </w:r>
          </w:p>
          <w:p w14:paraId="5D1C381A"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Deferasirox</w:t>
            </w:r>
          </w:p>
        </w:tc>
        <w:tc>
          <w:tcPr>
            <w:tcW w:w="3685" w:type="dxa"/>
          </w:tcPr>
          <w:p w14:paraId="1EA12094" w14:textId="3B6AAD8C"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68</w:t>
            </w:r>
            <w:r w:rsidR="00D9171A">
              <w:rPr>
                <w:rFonts w:ascii="Arial" w:hAnsi="Arial" w:cs="Arial"/>
                <w:color w:val="000000" w:themeColor="text1"/>
                <w:sz w:val="20"/>
                <w:szCs w:val="20"/>
              </w:rPr>
              <w:t>.</w:t>
            </w:r>
            <w:r w:rsidRPr="00E34B0C">
              <w:rPr>
                <w:rFonts w:ascii="Arial" w:hAnsi="Arial" w:cs="Arial"/>
                <w:color w:val="000000" w:themeColor="text1"/>
                <w:sz w:val="20"/>
                <w:szCs w:val="20"/>
              </w:rPr>
              <w:t>26</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47</w:t>
            </w:r>
            <w:r w:rsidR="00D9171A">
              <w:rPr>
                <w:rFonts w:ascii="Arial" w:hAnsi="Arial" w:cs="Arial"/>
                <w:color w:val="000000" w:themeColor="text1"/>
                <w:sz w:val="20"/>
                <w:szCs w:val="20"/>
              </w:rPr>
              <w:t>.</w:t>
            </w:r>
            <w:r w:rsidRPr="00E34B0C">
              <w:rPr>
                <w:rFonts w:ascii="Arial" w:hAnsi="Arial" w:cs="Arial"/>
                <w:color w:val="000000" w:themeColor="text1"/>
                <w:sz w:val="20"/>
                <w:szCs w:val="20"/>
              </w:rPr>
              <w:t>36</w:t>
            </w:r>
          </w:p>
          <w:p w14:paraId="266B8D28" w14:textId="63C9F1B4"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68</w:t>
            </w:r>
            <w:r w:rsidR="00D9171A">
              <w:rPr>
                <w:rFonts w:ascii="Arial" w:hAnsi="Arial" w:cs="Arial"/>
                <w:color w:val="000000" w:themeColor="text1"/>
                <w:sz w:val="20"/>
                <w:szCs w:val="20"/>
              </w:rPr>
              <w:t>.</w:t>
            </w:r>
            <w:r w:rsidRPr="00E34B0C">
              <w:rPr>
                <w:rFonts w:ascii="Arial" w:hAnsi="Arial" w:cs="Arial"/>
                <w:color w:val="000000" w:themeColor="text1"/>
                <w:sz w:val="20"/>
                <w:szCs w:val="20"/>
              </w:rPr>
              <w:t>60</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45</w:t>
            </w:r>
            <w:r w:rsidR="00D9171A">
              <w:rPr>
                <w:rFonts w:ascii="Arial" w:hAnsi="Arial" w:cs="Arial"/>
                <w:color w:val="000000" w:themeColor="text1"/>
                <w:sz w:val="20"/>
                <w:szCs w:val="20"/>
              </w:rPr>
              <w:t>.</w:t>
            </w:r>
            <w:r w:rsidRPr="00E34B0C">
              <w:rPr>
                <w:rFonts w:ascii="Arial" w:hAnsi="Arial" w:cs="Arial"/>
                <w:color w:val="000000" w:themeColor="text1"/>
                <w:sz w:val="20"/>
                <w:szCs w:val="20"/>
              </w:rPr>
              <w:t>33</w:t>
            </w:r>
          </w:p>
          <w:p w14:paraId="071304A3" w14:textId="729283A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80</w:t>
            </w:r>
            <w:r w:rsidR="00D9171A">
              <w:rPr>
                <w:rFonts w:ascii="Arial" w:hAnsi="Arial" w:cs="Arial"/>
                <w:color w:val="000000" w:themeColor="text1"/>
                <w:sz w:val="20"/>
                <w:szCs w:val="20"/>
              </w:rPr>
              <w:t>.</w:t>
            </w:r>
            <w:r w:rsidRPr="00E34B0C">
              <w:rPr>
                <w:rFonts w:ascii="Arial" w:hAnsi="Arial" w:cs="Arial"/>
                <w:color w:val="000000" w:themeColor="text1"/>
                <w:sz w:val="20"/>
                <w:szCs w:val="20"/>
              </w:rPr>
              <w:t>23</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44</w:t>
            </w:r>
            <w:r w:rsidR="00D9171A">
              <w:rPr>
                <w:rFonts w:ascii="Arial" w:hAnsi="Arial" w:cs="Arial"/>
                <w:color w:val="000000" w:themeColor="text1"/>
                <w:sz w:val="20"/>
                <w:szCs w:val="20"/>
              </w:rPr>
              <w:t>.</w:t>
            </w:r>
            <w:r w:rsidRPr="00E34B0C">
              <w:rPr>
                <w:rFonts w:ascii="Arial" w:hAnsi="Arial" w:cs="Arial"/>
                <w:color w:val="000000" w:themeColor="text1"/>
                <w:sz w:val="20"/>
                <w:szCs w:val="20"/>
              </w:rPr>
              <w:t>61</w:t>
            </w:r>
          </w:p>
        </w:tc>
      </w:tr>
    </w:tbl>
    <w:p w14:paraId="3941AB18" w14:textId="77777777" w:rsidR="00863BD3" w:rsidRPr="006A5E2F" w:rsidRDefault="00863BD3" w:rsidP="00E34B0C">
      <w:pPr>
        <w:pStyle w:val="BodyText3"/>
        <w:tabs>
          <w:tab w:val="left" w:pos="1080"/>
        </w:tabs>
        <w:spacing w:after="0"/>
        <w:jc w:val="both"/>
        <w:rPr>
          <w:rFonts w:ascii="Arial" w:hAnsi="Arial"/>
          <w:b/>
          <w:color w:val="EE0000"/>
          <w:sz w:val="20"/>
          <w:szCs w:val="20"/>
        </w:rPr>
      </w:pPr>
    </w:p>
    <w:p w14:paraId="400DF41E" w14:textId="7F5FB8D9" w:rsidR="00FA593A" w:rsidRPr="00C7023C" w:rsidRDefault="00FA593A" w:rsidP="00FA593A">
      <w:pPr>
        <w:spacing w:after="160"/>
        <w:jc w:val="both"/>
        <w:rPr>
          <w:rFonts w:ascii="Arial" w:hAnsi="Arial" w:cs="Arial"/>
        </w:rPr>
      </w:pPr>
      <w:r w:rsidRPr="00C7023C">
        <w:rPr>
          <w:rFonts w:ascii="Arial" w:hAnsi="Arial" w:cs="Arial"/>
          <w:lang w:val="en"/>
        </w:rPr>
        <w:t xml:space="preserve">The average age of the patients in this study was 131.71 + 51.57 months, with 61.8% of the patients </w:t>
      </w:r>
      <w:r>
        <w:rPr>
          <w:rFonts w:ascii="Arial" w:hAnsi="Arial" w:cs="Arial"/>
          <w:lang w:val="en"/>
        </w:rPr>
        <w:t xml:space="preserve">were </w:t>
      </w:r>
      <w:r w:rsidRPr="00C7023C">
        <w:rPr>
          <w:rFonts w:ascii="Arial" w:hAnsi="Arial" w:cs="Arial"/>
          <w:lang w:val="en"/>
        </w:rPr>
        <w:t xml:space="preserve">male. In contrast to this study, the average age of thalassemia patients in the study </w:t>
      </w:r>
      <w:r w:rsidR="00A4268F">
        <w:rPr>
          <w:rFonts w:ascii="Arial" w:hAnsi="Arial" w:cs="Arial"/>
          <w:lang w:val="en"/>
        </w:rPr>
        <w:t>at</w:t>
      </w:r>
      <w:r w:rsidRPr="00C7023C">
        <w:rPr>
          <w:rFonts w:ascii="Arial" w:hAnsi="Arial" w:cs="Arial"/>
          <w:lang w:val="en"/>
        </w:rPr>
        <w:t xml:space="preserve"> Pakistan was 8.87 ± 7.42 years and </w:t>
      </w:r>
      <w:r w:rsidR="00A4268F">
        <w:rPr>
          <w:rFonts w:ascii="Arial" w:hAnsi="Arial" w:cs="Arial"/>
          <w:lang w:val="en"/>
        </w:rPr>
        <w:t>at</w:t>
      </w:r>
      <w:r w:rsidRPr="00C7023C">
        <w:rPr>
          <w:rFonts w:ascii="Arial" w:hAnsi="Arial" w:cs="Arial"/>
          <w:lang w:val="en"/>
        </w:rPr>
        <w:t xml:space="preserve"> Turkey 12.26 ± 4.74 years</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major","type":"article-journal","volume":"43"},"uris":["http://www.mendeley.com/documents/?uuid=629ba9d9-7eff-4cff-bbbf-8f35be57020e"]},{"id":"ITEM-2","itemData":{"author":[{"dropping-particle":"","family":"Nisa","given":"Noor Un","non-dropping-particle":"","parse-names":false,"suffix":""},{"dropping-particle":"","family":"Ikram","given":"Farooq","non-dropping-particle":"","parse-names":false,"suffix":""},{"dropping-particle":"","family":"Tahir","given":"Muhammad","non-dropping-particle":"","parse-names":false,"suffix":""}],"container-title":"Pak Armed Forces Med J","id":"ITEM-2","issued":{"date-parts":[["2023"]]},"page":"1565-1568","title":"Anthopometry in Children with Tranfusion-Dependent Beta-Thalassemia Major","type":"article-journal","volume":"73"},"uris":["http://www.mendeley.com/documents/?uuid=ca2a069c-e5ba-4a5e-a421-b44923d2c63a"]}],"mendeley":{"formattedCitation":"(Bulgurcu et al., 2021; Nisa et al., 2023)","plainTextFormattedCitation":"(Bulgurcu et al., 2021; Nisa et al., 2023)","previouslyFormattedCitation":"(Bulgurcu et al., 2021; Nisa et al., 2023)"},"properties":{"noteIndex":0},"schema":"https://github.com/citation-style-language/schema/raw/master/csl-citation.json"}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(Bulgurcu et al., 2021; Nisa et al., 2023)</w:t>
      </w:r>
      <w:r>
        <w:rPr>
          <w:rFonts w:ascii="Arial" w:hAnsi="Arial" w:cs="Arial"/>
          <w:lang w:val="en"/>
        </w:rPr>
        <w:fldChar w:fldCharType="end"/>
      </w:r>
      <w:r w:rsidRPr="00C7023C">
        <w:rPr>
          <w:rFonts w:ascii="Arial" w:hAnsi="Arial" w:cs="Arial"/>
          <w:lang w:val="en"/>
        </w:rPr>
        <w:t xml:space="preserve">. The majority of children with thalassemia in various countries were male, </w:t>
      </w:r>
      <w:r>
        <w:rPr>
          <w:rFonts w:ascii="Arial" w:hAnsi="Arial" w:cs="Arial"/>
          <w:lang w:val="en"/>
        </w:rPr>
        <w:t xml:space="preserve">that were </w:t>
      </w:r>
      <w:r w:rsidRPr="00C7023C">
        <w:rPr>
          <w:rFonts w:ascii="Arial" w:hAnsi="Arial" w:cs="Arial"/>
          <w:lang w:val="en"/>
        </w:rPr>
        <w:t>59.4-62.8%</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major","type":"article-journal","volume":"43"},"uris":["http://www.mendeley.com/documents/?uuid=629ba9d9-7eff-4cff-bbbf-8f35be57020e"]},{"id":"ITEM-2","itemData":{"ISSN":"2515-8260","abstract":"Introduction: In India prevalence of thalassemia ranges between 3-18%, particularly in certain communities like sindhi, Lohanas, gouda, etc. Regular blood transfusion with chelation is the main treatment since most patients cannot afford bone marrow transplants. Growth failure is the major complication in children with transfusion-dependent thalassemia major (TM) children even after giving chelation. Aim &amp; objectives: To study anthropometric measurements in TM children. To study the correlation of growth failure with pretransfusion hemoglobin (PTHB) and serum ferritin levels. Material and methods: TM children on deferasirox for at least five years were included in the study. weight, height, and BMI were measured and z scores of less than 2 were taken as underweight, stunted, and thin respectively. Z-scores were correlated with pretransfusion hemoglobin and serum ferritin. children having pretransfusion hemoglobin between 9-10.5 gm/dl was taken as adequately transfused. Growth parameters were also compared between adequately and inadequately transfused children. Results: 36(56%) were Underweight (weight z score below 2),28(43%) children had stunting (Height z score below 2) and according to BMI 24(36%) (BMI z score below 2) children were classified as thin. All the stunted children were in the 6-8 age group. correlation for PTHB with height for age z-score was positive and significant (spearman's r=0.345, p=0.005), with weight for age z score was positive but insignificant and with BMI was negative and insignificant. Corelation of serum ferritin with height for age z score and weight for age z score was positive but insignificant and with BMI was negative and insignificant. Conclusion: Growth failure in children with thalassemia major requiring regular blood transfusions, in first decade is possibly due to inadequate transfusion rather than inadequate","author":[{"dropping-particle":"","family":"Harwalkar","given":"Veena S","non-dropping-particle":"","parse-names":false,"suffix":""},{"dropping-particle":"","family":"Kulkarni","given":"T P","non-dropping-particle":"","parse-names":false,"suffix":""},{"dropping-particle":"","family":"Patil","given":"M M","non-dropping-particle":"","parse-names":false,"suffix":""},{"dropping-particle":"","family":"Kalyanshettar","given":"S S","non-dropping-particle":"","parse-names":false,"suffix":""},{"dropping-particle":"","family":"Charki","given":"Siddu","non-dropping-particle":"","parse-names":false,"suffix":""},{"dropping-particle":"","family":"Bulagouda","given":"R S","non-dropping-particle":"","parse-names":false,"suffix":""}],"container-title":"European Journal of Molecular &amp; Clinical Medicine","id":"ITEM-2","issued":{"date-parts":[["2023"]]},"page":"193-198","title":"Anthropometry of transfusion-dependent thalassemia major children and its correlation with pretransfusion hemoglobin and serum ferritin: an observational study","type":"article-journal","volume":"10"},"uris":["http://www.mendeley.com/documents/?uuid=c1b63e1b-d966-4670-8bc4-de93bd76aee4"]}],"mendeley":{"formattedCitation":"(Bulgurcu et al., 2021; Harwalkar et al., 2023)","plainTextFormattedCitation":"(Bulgurcu et al., 2021; Harwalkar et al., 2023)","previouslyFormattedCitation":"(Bulgurcu et al., 2021; Harwalkar et al., 2023)"},"properties":{"noteIndex":0},"schema":"https://github.com/citation-style-language/schema/raw/master/csl-citation.json"}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(Bulgurcu et al., 2021; Harwalkar et al., 2023)</w:t>
      </w:r>
      <w:r>
        <w:rPr>
          <w:rFonts w:ascii="Arial" w:hAnsi="Arial" w:cs="Arial"/>
          <w:lang w:val="en"/>
        </w:rPr>
        <w:fldChar w:fldCharType="end"/>
      </w:r>
      <w:r w:rsidRPr="00C7023C">
        <w:rPr>
          <w:rFonts w:ascii="Arial" w:hAnsi="Arial" w:cs="Arial"/>
          <w:lang w:val="en"/>
        </w:rPr>
        <w:t>.</w:t>
      </w:r>
      <w:r>
        <w:rPr>
          <w:rFonts w:ascii="Arial" w:hAnsi="Arial" w:cs="Arial"/>
          <w:lang w:val="en"/>
        </w:rPr>
        <w:t xml:space="preserve"> </w:t>
      </w:r>
      <w:r w:rsidRPr="00C7023C">
        <w:rPr>
          <w:rFonts w:ascii="Arial" w:hAnsi="Arial" w:cs="Arial"/>
          <w:lang w:val="en"/>
        </w:rPr>
        <w:t xml:space="preserve">The age group &gt;24-60 months in this study was 4 patients (7.3%), the age group 61-120 months was 18 patients (32.7%), and the remaining 33 patients (60%) were in the age group 121-216 months. The distribution of the age groups is similar to the study in Bandung, </w:t>
      </w:r>
      <w:r>
        <w:rPr>
          <w:rFonts w:ascii="Arial" w:hAnsi="Arial" w:cs="Arial"/>
          <w:lang w:val="en"/>
        </w:rPr>
        <w:t xml:space="preserve">that </w:t>
      </w:r>
      <w:r w:rsidRPr="00C7023C">
        <w:rPr>
          <w:rFonts w:ascii="Arial" w:hAnsi="Arial" w:cs="Arial"/>
          <w:lang w:val="en"/>
        </w:rPr>
        <w:t>8% aged ≤ 60 months, 20% aged 61-120 months and the majority aged 121-216 months as much as 72%</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mayor","type":"article-journal","volume":"22"},"uris":["http://www.mendeley.com/documents/?uuid=ac1b7e80-bbba-4e63-afae-b1797abe6e92"]}],"mendeley":{"formattedCitation":"(Napitu et al., 2020)","plainTextFormattedCitation":"(Napitu et al., 2020)","previouslyFormattedCitation":"(Napitu et al., 2020)"},"properties":{"noteIndex":0},"schema":"https://github.com/citation-style-language/schema/raw/master/csl-citation.json"}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(Napitu et al., 2020)</w:t>
      </w:r>
      <w:r>
        <w:rPr>
          <w:rFonts w:ascii="Arial" w:hAnsi="Arial" w:cs="Arial"/>
          <w:lang w:val="en"/>
        </w:rPr>
        <w:fldChar w:fldCharType="end"/>
      </w:r>
      <w:r w:rsidRPr="00C7023C">
        <w:rPr>
          <w:rFonts w:ascii="Arial" w:hAnsi="Arial" w:cs="Arial"/>
          <w:lang w:val="en"/>
        </w:rPr>
        <w:t xml:space="preserve">. The median patient weight was 24 (10-55) kg, while the average height of patients in this study was 126.52 ± 18.5 cm. The anthropometric status in this study found short stature in 60% of patients, underweight in 60% of patients, moderate malnutrition in 34.5% of patients and </w:t>
      </w:r>
      <w:proofErr w:type="spellStart"/>
      <w:r w:rsidRPr="00C7023C">
        <w:rPr>
          <w:rFonts w:ascii="Arial" w:hAnsi="Arial" w:cs="Arial"/>
          <w:lang w:val="en"/>
        </w:rPr>
        <w:t>well nourished</w:t>
      </w:r>
      <w:proofErr w:type="spellEnd"/>
      <w:r w:rsidRPr="00C7023C">
        <w:rPr>
          <w:rFonts w:ascii="Arial" w:hAnsi="Arial" w:cs="Arial"/>
          <w:lang w:val="en"/>
        </w:rPr>
        <w:t xml:space="preserve"> in 65.5% of patients. The study in Palembang found </w:t>
      </w:r>
      <w:proofErr w:type="spellStart"/>
      <w:r w:rsidRPr="00C7023C">
        <w:rPr>
          <w:rFonts w:ascii="Arial" w:hAnsi="Arial" w:cs="Arial"/>
          <w:lang w:val="en"/>
        </w:rPr>
        <w:t>well nourished</w:t>
      </w:r>
      <w:proofErr w:type="spellEnd"/>
      <w:r w:rsidRPr="00C7023C">
        <w:rPr>
          <w:rFonts w:ascii="Arial" w:hAnsi="Arial" w:cs="Arial"/>
          <w:lang w:val="en"/>
        </w:rPr>
        <w:t xml:space="preserve"> in 71.3% of patients and short stature slightly higher, 77.4% of patients</w:t>
      </w:r>
      <w:r>
        <w:rPr>
          <w:rFonts w:ascii="Arial" w:hAnsi="Arial" w:cs="Arial"/>
          <w:lang w:val="en"/>
        </w:rPr>
        <w:t xml:space="preserve"> </w:t>
      </w:r>
      <w:r>
        <w:rPr>
          <w:rFonts w:ascii="Arial" w:hAnsi="Arial" w:cs="Arial"/>
          <w:lang w:val="en"/>
        </w:rPr>
        <w:fldChar w:fldCharType="begin" w:fldLock="1"/>
      </w:r>
      <w:r w:rsidR="00D5390B">
        <w:rPr>
          <w:rFonts w:ascii="Arial" w:hAnsi="Arial" w:cs="Arial"/>
          <w:lang w:val="en"/>
        </w:rPr>
        <w:instrText>ADDIN CSL_CITATION {"citationItems":[{"id":"ITEM-1","itemData":{"DOI":"10.14238/pi61.3.2021.125-32","ISSN":"2338476X","abstract":"Background Endocrine disorders in thalassemia major children occur due to iron overload and hemosiderosis in endocrine organs. Early detection is needed to prevent complications and improve the quality of life. An association between serum fer-ritin and endocrine disorders in thalassemia patients has been inconclusive to date. Objective To analyze for possible associations between serum ferritin and endocrine disorders (short stature, delayed puberty, delayed bone age, hypothyroidism, impaired glucose tolerance, and diabetes mellitus) and the incidence of each disorder in thalassemia major. Methods There were 115 thalassemia major patients aged 10-18 years involved in our cross-sectional study from June 2019-June 2020 in the Pediatrics Department, DR. M. Hosein Hospital, Palembang, South Sumatera. Anthropometry and socioeconomic status informations were collected from physical examination and interview. Ferritin, FT4, TSH, Hb and glucose levels measured by using standard methods for each item in the laboratory, mean while the skeletal age assessment was determined by using FELS method. Results This study included 83 (72.2%) girls and 32 (27.8%) boys. There were 89 (77.4%) subjects with short stature, 74 (64.4%) with delayed bone age, 30 (26.1%) with impaired glucose toler-ance, 25 (21.7%) with delayed puberty, 4 (3.5%) with diabetes mellitus (DM), and none with hypothyroidism. Bivariate and multivariate analyses revealed no associations between serum ferritin and short stature, delayed bone age, impaired glucose tolerance, delayed puberty, and DM. Conclusion There is a high prevalence of endocrine disorders in pediatric thalassemia patients, especially short stature and delayed bone age. However, there are no associations between serum ferritin and endocrine disorders in these patients. [Paediatr Indones. 2021;61:125-32;.","author":[{"dropping-particle":"","family":"Dewiyanti","given":"Evi","non-dropping-particle":"","parse-names":false,"suffix":""},{"dropping-particle":"","family":"Aditiawati","given":"","non-dropping-particle":"","parse-names":false,"suffix":""},{"dropping-particle":"","family":"Sari","given":"Dian Puspita","non-dropping-particle":"","parse-names":false,"suffix":""}],"container-title":"Paediatrica Indonesiana","id":"ITEM-1","issued":{"date-parts":[["2021"]]},"page":"125-132","title":"Serum ferritin levels and endocrine disorders in children with thalassemia major","type":"article-journal","volume":"61"},"uris":["http://www.mendeley.com/documents/?uuid=155b1f77-68bf-4ab9-932d-93af034e0af3"]}],"mendeley":{"formattedCitation":"(Dewiyanti et al., 2021)","plainTextFormattedCitation":"(Dewiyanti et al., 2021)","previouslyFormattedCitation":"(Dewiyanti et al., 2021)"},"properties":{"noteIndex":0},"schema":"https://github.com/citation-style-language/schema/raw/master/csl-citation.json"}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(Dewiyanti et al., 2021)</w:t>
      </w:r>
      <w:r>
        <w:rPr>
          <w:rFonts w:ascii="Arial" w:hAnsi="Arial" w:cs="Arial"/>
          <w:lang w:val="en"/>
        </w:rPr>
        <w:fldChar w:fldCharType="end"/>
      </w:r>
      <w:r w:rsidRPr="00C7023C">
        <w:rPr>
          <w:rFonts w:ascii="Arial" w:hAnsi="Arial" w:cs="Arial"/>
          <w:lang w:val="en"/>
        </w:rPr>
        <w:t>.</w:t>
      </w:r>
    </w:p>
    <w:p w14:paraId="08E1614F" w14:textId="0B960E02" w:rsidR="00A63353" w:rsidRPr="009A30A7" w:rsidRDefault="00A63353" w:rsidP="00A63353">
      <w:pPr>
        <w:spacing w:after="160"/>
        <w:jc w:val="both"/>
        <w:rPr>
          <w:rFonts w:ascii="Arial" w:hAnsi="Arial" w:cs="Arial"/>
        </w:rPr>
      </w:pPr>
      <w:r w:rsidRPr="009A30A7">
        <w:rPr>
          <w:rFonts w:ascii="Arial" w:hAnsi="Arial" w:cs="Arial"/>
          <w:lang w:val="en"/>
        </w:rPr>
        <w:t>Beta thalassemia is an inherited disorder</w:t>
      </w:r>
      <w:r w:rsidR="00CE34AB">
        <w:rPr>
          <w:rFonts w:ascii="Arial" w:hAnsi="Arial" w:cs="Arial"/>
          <w:lang w:val="en"/>
        </w:rPr>
        <w:t xml:space="preserve">, that </w:t>
      </w:r>
      <w:r w:rsidRPr="009A30A7">
        <w:rPr>
          <w:rFonts w:ascii="Arial" w:hAnsi="Arial" w:cs="Arial"/>
          <w:lang w:val="en"/>
        </w:rPr>
        <w:t>inherited in an autosomal recessive manner due to a genetic mutation that results in defective beta globin chain synthesis and an excess of free alpha globin chains. This results in hemolysis and ineffective erythropoiesis, which in turn leads to anemia</w:t>
      </w:r>
      <w:r w:rsidR="00D5390B">
        <w:rPr>
          <w:rFonts w:ascii="Arial" w:hAnsi="Arial" w:cs="Arial"/>
          <w:lang w:val="en"/>
        </w:rPr>
        <w:t xml:space="preserve"> </w:t>
      </w:r>
      <w:r w:rsidR="00D5390B">
        <w:rPr>
          <w:rFonts w:ascii="Arial" w:hAnsi="Arial" w:cs="Arial"/>
          <w:lang w:val="en"/>
        </w:rPr>
        <w:fldChar w:fldCharType="begin" w:fldLock="1"/>
      </w:r>
      <w:r w:rsidR="00D5390B">
        <w:rPr>
          <w:rFonts w:ascii="Arial" w:hAnsi="Arial" w:cs="Arial"/>
          <w:lang w:val="en"/>
        </w:rPr>
        <w:instrText>ADDIN CSL_CITATION {"citationItems":[{"id":"ITEM-1","itemData":{"author":[{"dropping-particle":"","family":"Cappellini","given":"Maria Domenica","non-dropping-particle":"","parse-names":false,"suffix":""},{"dropping-particle":"","family":"Farmakis","given":"Dimitrios","non-dropping-particle":"","parse-names":false,"suffix":""},{"dropping-particle":"","family":"Porter","given":"John","non-dropping-particle":"","parse-names":false,"suffix":""},{"dropping-particle":"","family":"Taher","given":"Ali","non-dropping-particle":"","parse-names":false,"suffix":""}],"container-title":"Thalassaemia International Federation","id":"ITEM-1","issued":{"date-parts":[["2021"]]},"number-of-pages":"1-351","title":"2021 Guidelines for the management of transfusion dependent (TDT)","type":"book"},"uris":["http://www.mendeley.com/documents/?uuid=1d293dfd-6a44-44c6-a134-a91af51a43d7"]}],"mendeley":{"formattedCitation":"(Cappellini et al., 2021)","plainTextFormattedCitation":"(Cappellini et al., 2021)","previouslyFormattedCitation":"(Cappellini et al., 2021)"},"properties":{"noteIndex":0},"schema":"https://github.com/citation-style-language/schema/raw/master/csl-citation.json"}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(Cappellini et al., 2021)</w:t>
      </w:r>
      <w:r w:rsidR="00D5390B">
        <w:rPr>
          <w:rFonts w:ascii="Arial" w:hAnsi="Arial" w:cs="Arial"/>
          <w:lang w:val="en"/>
        </w:rPr>
        <w:fldChar w:fldCharType="end"/>
      </w:r>
      <w:r w:rsidRPr="009A30A7">
        <w:rPr>
          <w:rFonts w:ascii="Arial" w:hAnsi="Arial" w:cs="Arial"/>
          <w:lang w:val="en"/>
        </w:rPr>
        <w:t>. Blood transfusions are performed to suppress extramedullary hematopoiesis so that children can grow and develop optimally, reduce complications of anemia, and prolong survival in thalassemia major. Iron overload due to blood transfusion can be monitored by examining serum ferritin</w:t>
      </w:r>
      <w:r w:rsidR="00D5390B">
        <w:rPr>
          <w:rFonts w:ascii="Arial" w:hAnsi="Arial" w:cs="Arial"/>
          <w:lang w:val="en"/>
        </w:rPr>
        <w:t xml:space="preserve"> </w:t>
      </w:r>
      <w:r w:rsidR="00D5390B">
        <w:rPr>
          <w:rFonts w:ascii="Arial" w:hAnsi="Arial" w:cs="Arial"/>
          <w:lang w:val="en"/>
        </w:rPr>
        <w:fldChar w:fldCharType="begin" w:fldLock="1"/>
      </w:r>
      <w:r w:rsidR="00D5390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(Wahidiyat and Permono, 2018)</w:t>
      </w:r>
      <w:r w:rsidR="00D5390B">
        <w:rPr>
          <w:rFonts w:ascii="Arial" w:hAnsi="Arial" w:cs="Arial"/>
          <w:lang w:val="en"/>
        </w:rPr>
        <w:fldChar w:fldCharType="end"/>
      </w:r>
      <w:r w:rsidRPr="009A30A7">
        <w:rPr>
          <w:rFonts w:ascii="Arial" w:hAnsi="Arial" w:cs="Arial"/>
          <w:lang w:val="en"/>
        </w:rPr>
        <w:t>. Serum ferritin classification based on iron overload includes mild (&lt;1000 ng/ml), moderate (1000-2500 ng/ml), severe (&gt;2500 ng/ml) and very severe (&gt;4000 ng/ml)</w:t>
      </w:r>
      <w:r w:rsidR="00CE34AB">
        <w:rPr>
          <w:rFonts w:ascii="Arial" w:hAnsi="Arial" w:cs="Arial"/>
          <w:lang w:val="en"/>
        </w:rPr>
        <w:t xml:space="preserve"> </w:t>
      </w:r>
      <w:r w:rsidR="00D5390B">
        <w:rPr>
          <w:rFonts w:ascii="Arial" w:hAnsi="Arial" w:cs="Arial"/>
          <w:lang w:val="en"/>
        </w:rPr>
        <w:fldChar w:fldCharType="begin" w:fldLock="1"/>
      </w:r>
      <w:r w:rsidR="00D5390B">
        <w:rPr>
          <w:rFonts w:ascii="Arial" w:hAnsi="Arial" w:cs="Arial"/>
          <w:lang w:val="en"/>
        </w:rPr>
        <w:instrText>ADDIN CSL_CITATION {"citationItems":[{"id":"ITEM-1","itemData":{"DOI":"10.1148/radiol.221856","ISSN":"15271315","PMID":"36809220","abstract":"Accumulation of excess iron in the body, or systemic iron overload, results from a variety of causes. The concentration of iron in the liver is linearly related to the total body iron stores and, for this reason, quantification of liver iron concentration (LIC) is widely regarded as the best surrogate to assess total body iron. Historically assessed using biopsy, there is a clear need for noninvasive quantitative imaging biomarkers of LIC. MRI is highly sensitive to the presence of tissue iron and has been increasingly adopted as a noninvasive alternative to biopsy for detection, severity grading, and treatment monitoring in patients with known or suspected iron overload. Multiple MRI strategies have been developed in the past 2 decades, based on both gradient-echo and spin-echo imaging, including signal intensity ratio and relaxometry strategies. However, there is a general lack of consensus regarding the appropriate use of these methods. The overall goal of this article is to summarize the current state of the art in the clinical use of MRI to quantify liver iron content and to assess the overall level of evidence of these various methods. Based on this summary, expert consensus panel recommendations on best practices for MRI-based quantification of liver iron are provided.","author":[{"dropping-particle":"","family":"Reeder","given":"Scott B.","non-dropping-particle":"","parse-names":false,"suffix":""},{"dropping-particle":"","family":"Yokoo","given":"Takeshi","non-dropping-particle":"","parse-names":false,"suffix":""},{"dropping-particle":"","family":"França","given":"Manuela","non-dropping-particle":"","parse-names":false,"suffix":""},{"dropping-particle":"","family":"Hernando","given":"Diego","non-dropping-particle":"","parse-names":false,"suffix":""},{"dropping-particle":"","family":"Alberich-Bayarri","given":"Ángel","non-dropping-particle":"","parse-names":false,"suffix":""},{"dropping-particle":"","family":"Alústiza","given":"José María","non-dropping-particle":"","parse-names":false,"suffix":""},{"dropping-particle":"","family":"Gandon","given":"Yves","non-dropping-particle":"","parse-names":false,"suffix":""},{"dropping-particle":"","family":"Henninger","given":"Benjamin","non-dropping-particle":"","parse-names":false,"suffix":""},{"dropping-particle":"","family":"Hillenbrand","given":"Claudia","non-dropping-particle":"","parse-names":false,"suffix":""},{"dropping-particle":"","family":"Jhaveri","given":"Kartik","non-dropping-particle":"","parse-names":false,"suffix":""},{"dropping-particle":"","family":"Karçaaltincaba","given":"Musturay","non-dropping-particle":"","parse-names":false,"suffix":""},{"dropping-particle":"","family":"Kühn","given":"Jens Peter","non-dropping-particle":"","parse-names":false,"suffix":""},{"dropping-particle":"","family":"Mojtahed","given":"Amirkasra","non-dropping-particle":"","parse-names":false,"suffix":""},{"dropping-particle":"","family":"Serai","given":"Suraj D.","non-dropping-particle":"","parse-names":false,"suffix":""},{"dropping-particle":"","family":"Ward","given":"Richard","non-dropping-particle":"","parse-names":false,"suffix":""},{"dropping-particle":"","family":"Wood","given":"John C.","non-dropping-particle":"","parse-names":false,"suffix":""},{"dropping-particle":"","family":"Yamamura","given":"Jin","non-dropping-particle":"","parse-names":false,"suffix":""},{"dropping-particle":"","family":"Martí-Bonmatí","given":"Luis","non-dropping-particle":"","parse-names":false,"suffix":""}],"container-title":"Radiology","id":"ITEM-1","issued":{"date-parts":[["2023"]]},"page":"1-10","title":"Quantification of Liver Iron Overload with MRI: Review and Guidelines from the ESGAR and SAR","type":"article-journal","volume":"307"},"uris":["http://www.mendeley.com/documents/?uuid=55bb4a0a-2f4e-45c0-810e-0ffe3e538a5e"]},{"id":"ITEM-2","itemData":{"auth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edition":"5th ed","id":"ITEM-2","issued":{"date-parts":[["2025"]]},"number-of-pages":"1-459","publisher-place":"Nicosia, Cyprus","title":"TIF guidelines for the management of tranfusion-dependent β-Thalassaemia","type":"book"},"uris":["http://www.mendeley.com/documents/?uuid=f3cd78b3-0888-44f3-948a-704c490a657a"]}],"mendeley":{"formattedCitation":"(Reeder et al., 2023; Taher et al., 2025)","plainTextFormattedCitation":"(Reeder et al., 2023; Taher et al., 2025)","previouslyFormattedCitation":"(Reeder et al., 2023; Taher et al., 2025)"},"properties":{"noteIndex":0},"schema":"https://github.com/citation-style-language/schema/raw/master/csl-citation.json"}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(Reeder et al., 2023; Taher et al., 2025)</w:t>
      </w:r>
      <w:r w:rsidR="00D5390B">
        <w:rPr>
          <w:rFonts w:ascii="Arial" w:hAnsi="Arial" w:cs="Arial"/>
          <w:lang w:val="en"/>
        </w:rPr>
        <w:fldChar w:fldCharType="end"/>
      </w:r>
      <w:r w:rsidRPr="009A30A7">
        <w:rPr>
          <w:rFonts w:ascii="Arial" w:hAnsi="Arial" w:cs="Arial"/>
          <w:lang w:val="en"/>
        </w:rPr>
        <w:t>. Indications for iron chelation in thalassemia are a Liver Iron Concentration (LIC) of at least 3000 ug/g dry liver weight, serum ferritin levels of &gt;1000 ng/mL, transferrin saturation of &gt;55%, or blood transfusions have been given 10-20 times or around 3-5 liters</w:t>
      </w:r>
      <w:r w:rsidR="00D5390B">
        <w:rPr>
          <w:rFonts w:ascii="Arial" w:hAnsi="Arial" w:cs="Arial"/>
          <w:lang w:val="en"/>
        </w:rPr>
        <w:t xml:space="preserve"> </w:t>
      </w:r>
      <w:r w:rsidR="00D5390B">
        <w:rPr>
          <w:rFonts w:ascii="Arial" w:hAnsi="Arial" w:cs="Arial"/>
          <w:lang w:val="en"/>
        </w:rPr>
        <w:fldChar w:fldCharType="begin" w:fldLock="1"/>
      </w:r>
      <w:r w:rsidR="00962EA3">
        <w:rPr>
          <w:rFonts w:ascii="Arial" w:hAnsi="Arial" w:cs="Arial"/>
          <w:lang w:val="en"/>
        </w:rPr>
        <w:instrText>ADDIN CSL_CITATION {"citationItems":[{"id":"ITEM-1","itemData":{"ISBN":"9781441980731","ISSN":"19961073","PMID":"25246403","author":[{"dropping-particle":"","family":"Kementerian Kesehatan Republik Indonesia","given":"","non-dropping-particle":"","parse-names":false,"suffix":""}],"id":"ITEM-1","issued":{"date-parts":[["2018"]]},"page":"h.4-6","publisher-place":"Jakarta","title":"Pedoman Nasional Pelayanan Kedokteran Tatalaksana Talasemia. Dalam: Keputusan Menteri Kesehatan Republik Indonesia Nomor HK.01.07/MENKES/1/2018","type":"patent"},"uris":["http://www.mendeley.com/documents/?uuid=6c886fe1-8c97-4fbb-9a64-c82b0ed7c56b"]}],"mendeley":{"formattedCitation":"(Kementerian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(Kementerian Kesehatan Republik Indonesia, 2018)</w:t>
      </w:r>
      <w:r w:rsidR="00D5390B">
        <w:rPr>
          <w:rFonts w:ascii="Arial" w:hAnsi="Arial" w:cs="Arial"/>
          <w:lang w:val="en"/>
        </w:rPr>
        <w:fldChar w:fldCharType="end"/>
      </w:r>
      <w:r w:rsidRPr="009A30A7">
        <w:rPr>
          <w:rFonts w:ascii="Arial" w:hAnsi="Arial" w:cs="Arial"/>
          <w:lang w:val="en"/>
        </w:rPr>
        <w:t>.</w:t>
      </w:r>
    </w:p>
    <w:p w14:paraId="1AE2EE17" w14:textId="3A9A5DC7" w:rsidR="00962EA3" w:rsidRPr="0059201A" w:rsidRDefault="00962EA3" w:rsidP="00962EA3">
      <w:pPr>
        <w:spacing w:after="160"/>
        <w:jc w:val="both"/>
        <w:rPr>
          <w:rFonts w:ascii="Arial" w:hAnsi="Arial" w:cs="Arial"/>
        </w:rPr>
      </w:pPr>
      <w:r w:rsidRPr="0059201A">
        <w:rPr>
          <w:rFonts w:ascii="Arial" w:hAnsi="Arial" w:cs="Arial"/>
          <w:lang w:val="en"/>
        </w:rPr>
        <w:t>The mean duration of diagnosis of patients in this study was 76.87 ± 49.74 months. The mean pre-transfusion hemoglobin of patients was 8.51 ± 1.69 g/dl with a median age of transfusion onset of 42 (3-144) months. Similar to this study, in Istanbul the mean pre-transfusion hemoglobin of patients was 8.64 ± 1.01 g/dl</w:t>
      </w:r>
      <w:r>
        <w:rPr>
          <w:rFonts w:ascii="Arial" w:hAnsi="Arial" w:cs="Arial"/>
          <w:lang w:val="en"/>
        </w:rPr>
        <w:t xml:space="preserve"> </w:t>
      </w:r>
      <w:r>
        <w:rPr>
          <w:rFonts w:ascii="Arial" w:hAnsi="Arial" w:cs="Arial"/>
          <w:lang w:val="en"/>
        </w:rPr>
        <w:fldChar w:fldCharType="begin" w:fldLock="1"/>
      </w:r>
      <w:r w:rsidR="00C1015E">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major","type":"article-journal","volume":"43"},"uris":["http://www.mendeley.com/documents/?uuid=629ba9d9-7eff-4cff-bbbf-8f35be57020e"]}],"mendeley":{"formattedCitation":"(Bulgurcu et al., 2021)","plainTextFormattedCitation":"(Bulgurcu et al., 2021)","previouslyFormattedCitation":"(Bulgurcu et al., 2021)"},"properties":{"noteIndex":0},"schema":"https://github.com/citation-style-language/schema/raw/master/csl-citation.json"}</w:instrText>
      </w:r>
      <w:r>
        <w:rPr>
          <w:rFonts w:ascii="Arial" w:hAnsi="Arial" w:cs="Arial"/>
          <w:lang w:val="en"/>
        </w:rPr>
        <w:fldChar w:fldCharType="separate"/>
      </w:r>
      <w:r w:rsidRPr="00962EA3">
        <w:rPr>
          <w:rFonts w:ascii="Arial" w:hAnsi="Arial" w:cs="Arial"/>
          <w:noProof/>
          <w:lang w:val="en"/>
        </w:rPr>
        <w:t>(Bulgurcu et al., 2021)</w:t>
      </w:r>
      <w:r>
        <w:rPr>
          <w:rFonts w:ascii="Arial" w:hAnsi="Arial" w:cs="Arial"/>
          <w:lang w:val="en"/>
        </w:rPr>
        <w:fldChar w:fldCharType="end"/>
      </w:r>
      <w:r w:rsidRPr="0059201A">
        <w:rPr>
          <w:rFonts w:ascii="Arial" w:hAnsi="Arial" w:cs="Arial"/>
          <w:lang w:val="en"/>
        </w:rPr>
        <w:t>.  A total of 35 patients (63.6%) in this study received routine transfusions once every month, while 20 patients (36.4%) received transfusions once every more than 1 month. The mean duration of transfusion was 85.71 ± 54.97 months. Similar to this study, 68.7% of patients received 12 transfusions per year in a study in India, while the remaining 28.1% and 3% received 18 and 24 transfusions per year</w:t>
      </w:r>
      <w:r>
        <w:rPr>
          <w:rFonts w:ascii="Arial" w:hAnsi="Arial" w:cs="Arial"/>
          <w:lang w:val="en"/>
        </w:rPr>
        <w:t xml:space="preserve"> </w:t>
      </w:r>
      <w:r w:rsidR="00C1015E">
        <w:rPr>
          <w:rFonts w:ascii="Arial" w:hAnsi="Arial" w:cs="Arial"/>
          <w:lang w:val="en"/>
        </w:rPr>
        <w:fldChar w:fldCharType="begin" w:fldLock="1"/>
      </w:r>
      <w:r w:rsidR="00C1015E">
        <w:rPr>
          <w:rFonts w:ascii="Arial" w:hAnsi="Arial" w:cs="Arial"/>
          <w:lang w:val="en"/>
        </w:rPr>
        <w:instrText>ADDIN CSL_CITATION {"citationItems":[{"id":"ITEM-1","itemData":{"ISSN":"2515-8260","abstract":"Introduction: In India prevalence of thalassemia ranges between 3-18%, particularly in certain communities like sindhi, Lohanas, gouda, etc. Regular blood transfusion with chelation is the main treatment since most patients cannot afford bone marrow transplants. Growth failure is the major complication in children with transfusion-dependent thalassemia major (TM) children even after giving chelation. Aim &amp; objectives: To study anthropometric measurements in TM children. To study the correlation of growth failure with pretransfusion hemoglobin (PTHB) and serum ferritin levels. Material and methods: TM children on deferasirox for at least five years were included in the study. weight, height, and BMI were measured and z scores of less than 2 were taken as underweight, stunted, and thin respectively. Z-scores were correlated with pretransfusion hemoglobin and serum ferritin. children having pretransfusion hemoglobin between 9-10.5 gm/dl was taken as adequately transfused. Growth parameters were also compared between adequately and inadequately transfused children. Results: 36(56%) were Underweight (weight z score below 2),28(43%) children had stunting (Height z score below 2) and according to BMI 24(36%) (BMI z score below 2) children were classified as thin. All the stunted children were in the 6-8 age group. correlation for PTHB with height for age z-score was positive and significant (spearman's r=0.345, p=0.005), with weight for age z score was positive but insignificant and with BMI was negative and insignificant. Corelation of serum ferritin with height for age z score and weight for age z score was positive but insignificant and with BMI was negative and insignificant. Conclusion: Growth failure in children with thalassemia major requiring regular blood transfusions, in first decade is possibly due to inadequate transfusion rather than inadequate","author":[{"dropping-particle":"","family":"Harwalkar","given":"Veena S","non-dropping-particle":"","parse-names":false,"suffix":""},{"dropping-particle":"","family":"Kulkarni","given":"T P","non-dropping-particle":"","parse-names":false,"suffix":""},{"dropping-particle":"","family":"Patil","given":"M M","non-dropping-particle":"","parse-names":false,"suffix":""},{"dropping-particle":"","family":"Kalyanshettar","given":"S S","non-dropping-particle":"","parse-names":false,"suffix":""},{"dropping-particle":"","family":"Charki","given":"Siddu","non-dropping-particle":"","parse-names":false,"suffix":""},{"dropping-particle":"","family":"Bulagouda","given":"R S","non-dropping-particle":"","parse-names":false,"suffix":""}],"container-title":"European Journal of Molecular &amp; Clinical Medicine","id":"ITEM-1","issued":{"date-parts":[["2023"]]},"page":"193-198","title":"Anthropometry of transfusion-dependent thalassemia major children and its correlation with pretransfusion hemoglobin and serum ferritin: an observational study","type":"article-journal","volume":"10"},"uris":["http://www.mendeley.com/documents/?uuid=c1b63e1b-d966-4670-8bc4-de93bd76aee4"]}],"mendeley":{"formattedCitation":"(Harwalkar et al., 2023)","plainTextFormattedCitation":"(Harwalkar et al., 2023)","previouslyFormattedCitation":"(Harwalkar et al., 2023)"},"properties":{"noteIndex":0},"schema":"https://github.com/citation-style-language/schema/raw/master/csl-citation.json"}</w:instrText>
      </w:r>
      <w:r w:rsidR="00C1015E">
        <w:rPr>
          <w:rFonts w:ascii="Arial" w:hAnsi="Arial" w:cs="Arial"/>
          <w:lang w:val="en"/>
        </w:rPr>
        <w:fldChar w:fldCharType="separate"/>
      </w:r>
      <w:r w:rsidR="00C1015E" w:rsidRPr="00C1015E">
        <w:rPr>
          <w:rFonts w:ascii="Arial" w:hAnsi="Arial" w:cs="Arial"/>
          <w:noProof/>
          <w:lang w:val="en"/>
        </w:rPr>
        <w:t>(Harwalkar et al., 2023)</w:t>
      </w:r>
      <w:r w:rsidR="00C1015E">
        <w:rPr>
          <w:rFonts w:ascii="Arial" w:hAnsi="Arial" w:cs="Arial"/>
          <w:lang w:val="en"/>
        </w:rPr>
        <w:fldChar w:fldCharType="end"/>
      </w:r>
      <w:r w:rsidRPr="0059201A">
        <w:rPr>
          <w:rFonts w:ascii="Arial" w:hAnsi="Arial" w:cs="Arial"/>
          <w:lang w:val="en"/>
        </w:rPr>
        <w:t xml:space="preserve">. Deferiprone and deferasirox were the iron chelators used by patients in this study, with 52.7% of patients using deferiprone and 40% using deferasirox. The mean duration of iron chelation in this study was 68.26 ± 47.36 months, </w:t>
      </w:r>
      <w:r w:rsidRPr="0059201A">
        <w:rPr>
          <w:rFonts w:ascii="Arial" w:hAnsi="Arial" w:cs="Arial"/>
          <w:lang w:val="en"/>
        </w:rPr>
        <w:lastRenderedPageBreak/>
        <w:t>with regular iron chelation use found in 78.2% of patients</w:t>
      </w:r>
      <w:r w:rsidR="00714233">
        <w:rPr>
          <w:rFonts w:ascii="Arial" w:hAnsi="Arial" w:cs="Arial"/>
          <w:lang w:val="en"/>
        </w:rPr>
        <w:t xml:space="preserve"> and</w:t>
      </w:r>
      <w:r w:rsidRPr="0059201A">
        <w:rPr>
          <w:rFonts w:ascii="Arial" w:hAnsi="Arial" w:cs="Arial"/>
          <w:lang w:val="en"/>
        </w:rPr>
        <w:t xml:space="preserve"> 7.3% of patients had not used iron chelation because their ferritin levels were &lt;1000 ng/ml. Slightly different from this study, deferiprone was used in 62.5% of patients and deferasirox in 37.5% of patients in a study of pediatric beta thalassemia in Kediri with an iron chelation compliance rate of 11.76%</w:t>
      </w:r>
      <w:r w:rsidR="00C1015E">
        <w:rPr>
          <w:rFonts w:ascii="Arial" w:hAnsi="Arial" w:cs="Arial"/>
          <w:lang w:val="en"/>
        </w:rPr>
        <w:t xml:space="preserve"> </w:t>
      </w:r>
      <w:r w:rsidR="00C1015E">
        <w:rPr>
          <w:rFonts w:ascii="Arial" w:hAnsi="Arial" w:cs="Arial"/>
          <w:lang w:val="en"/>
        </w:rPr>
        <w:fldChar w:fldCharType="begin" w:fldLock="1"/>
      </w:r>
      <w:r w:rsidR="00395C71">
        <w:rPr>
          <w:rFonts w:ascii="Arial" w:hAnsi="Arial" w:cs="Arial"/>
          <w:lang w:val="en"/>
        </w:rPr>
        <w:instrText>ADDIN CSL_CITATION {"citationItems":[{"id":"ITEM-1","itemData":{"DOI":"10.58344/ihj.v2i2.62","ISSN":"2963-3044","abstract":"Thalassemia is a condition in which hemoglobin undergoes hemolysis due to impaired synthesis of hemoglobin or globin chains. Growth failure is a common occurrence in patients with thalassemia. Iron overload due to repeated transfusions will cause disturbances in anthropometric status in children with thalassemia. Iron chelation therapy is needed to overcome iron overload in patients with beta-thalassemia major. The level of adherence affects the success of iron chelation therapy. This study aims to determine the relationship between the level of adherence to iron chelation treatment and anthropometric status in patients with thalassemia beta major at Kediri District General Hospital. This type of research is observational analytic with a cross-sectional design. This research was conducted at the SMF Pediatrics (IKA) RSUD Kediri Regency on 16 subjects with B-thalassemia major using a total sampling technique that met the inclusion criteria. The research instruments used in this study were the Morisky Medication Adherence Scale-8 questionnaire and an examination of anthropometric status. The research analysis used the Spearman correlation test. A p-value &lt;0.05 was considered significant. The results showed that there was a significant results between adherence to iron chelation consumption and height for age (p-value = 0.049 &gt; a 0.05), significant results between adherence to iron chelation consumption with weight for age (p-value = 0.036 &lt; a 0.05), and significant results with weight for height (p-value = 0.001 &lt; a 0.05). This study implies that adherence to iron chelation therapy is essential for thalassemia patients. This study shows that patients more adherent to iron chelation treatment have better anthropometric status.","author":[{"dropping-particle":"","family":"Dwi Kartika Sari","given":"Grafita","non-dropping-particle":"","parse-names":false,"suffix":""},{"dropping-particle":"","family":"Diyah Permatasari","given":"Trinita","non-dropping-particle":"","parse-names":false,"suffix":""},{"dropping-particle":"","family":"Ismail","given":"Chasan","non-dropping-particle":"","parse-names":false,"suffix":""}],"container-title":"Indonesian Health Journal","id":"ITEM-1","issued":{"date-parts":[["2023"]]},"page":"44-51","title":"Correlation Between Adherence Therapy of Iron Chelation Levels with Anthropometric Status in Major Beta-Thalassemia Patients","type":"article-journal","volume":"2"},"uris":["http://www.mendeley.com/documents/?uuid=781d4a6b-17fc-4060-ad53-1ca7c1b55c50"]}],"mendeley":{"formattedCitation":"(Dwi Kartika Sari et al., 2023)","plainTextFormattedCitation":"(Dwi Kartika Sari et al., 2023)","previouslyFormattedCitation":"(Dwi Kartika Sari et al., 2023)"},"properties":{"noteIndex":0},"schema":"https://github.com/citation-style-language/schema/raw/master/csl-citation.json"}</w:instrText>
      </w:r>
      <w:r w:rsidR="00C1015E">
        <w:rPr>
          <w:rFonts w:ascii="Arial" w:hAnsi="Arial" w:cs="Arial"/>
          <w:lang w:val="en"/>
        </w:rPr>
        <w:fldChar w:fldCharType="separate"/>
      </w:r>
      <w:r w:rsidR="00C1015E" w:rsidRPr="00C1015E">
        <w:rPr>
          <w:rFonts w:ascii="Arial" w:hAnsi="Arial" w:cs="Arial"/>
          <w:noProof/>
          <w:lang w:val="en"/>
        </w:rPr>
        <w:t>(Dwi Kartika Sari et al., 2023)</w:t>
      </w:r>
      <w:r w:rsidR="00C1015E">
        <w:rPr>
          <w:rFonts w:ascii="Arial" w:hAnsi="Arial" w:cs="Arial"/>
          <w:lang w:val="en"/>
        </w:rPr>
        <w:fldChar w:fldCharType="end"/>
      </w:r>
      <w:r w:rsidRPr="0059201A">
        <w:rPr>
          <w:rFonts w:ascii="Arial" w:hAnsi="Arial" w:cs="Arial"/>
          <w:lang w:val="en"/>
        </w:rPr>
        <w:t>.</w:t>
      </w:r>
    </w:p>
    <w:p w14:paraId="2AA8F12D" w14:textId="2AFCFFB0" w:rsidR="00C1015E" w:rsidRDefault="00C1015E" w:rsidP="00C1015E">
      <w:pPr>
        <w:spacing w:after="160"/>
        <w:jc w:val="both"/>
        <w:rPr>
          <w:rFonts w:ascii="Arial" w:hAnsi="Arial" w:cs="Arial"/>
          <w:b/>
          <w:bCs/>
          <w:sz w:val="22"/>
          <w:szCs w:val="22"/>
          <w:lang w:val="en"/>
        </w:rPr>
      </w:pPr>
      <w:r>
        <w:rPr>
          <w:rFonts w:ascii="Arial" w:hAnsi="Arial" w:cs="Arial"/>
          <w:b/>
          <w:bCs/>
          <w:sz w:val="22"/>
          <w:szCs w:val="22"/>
          <w:lang w:val="en"/>
        </w:rPr>
        <w:t xml:space="preserve">3.2 </w:t>
      </w:r>
      <w:r w:rsidRPr="00E96F80">
        <w:rPr>
          <w:rFonts w:ascii="Arial" w:hAnsi="Arial" w:cs="Arial"/>
          <w:b/>
          <w:bCs/>
          <w:sz w:val="22"/>
          <w:szCs w:val="22"/>
          <w:lang w:val="en"/>
        </w:rPr>
        <w:t xml:space="preserve">Serum </w:t>
      </w:r>
      <w:r w:rsidR="00714233">
        <w:rPr>
          <w:rFonts w:ascii="Arial" w:hAnsi="Arial" w:cs="Arial"/>
          <w:b/>
          <w:bCs/>
          <w:sz w:val="22"/>
          <w:szCs w:val="22"/>
          <w:lang w:val="en"/>
        </w:rPr>
        <w:t>F</w:t>
      </w:r>
      <w:r w:rsidRPr="00E96F80">
        <w:rPr>
          <w:rFonts w:ascii="Arial" w:hAnsi="Arial" w:cs="Arial"/>
          <w:b/>
          <w:bCs/>
          <w:sz w:val="22"/>
          <w:szCs w:val="22"/>
          <w:lang w:val="en"/>
        </w:rPr>
        <w:t xml:space="preserve">erritin </w:t>
      </w:r>
      <w:r w:rsidR="00714233">
        <w:rPr>
          <w:rFonts w:ascii="Arial" w:hAnsi="Arial" w:cs="Arial"/>
          <w:b/>
          <w:bCs/>
          <w:sz w:val="22"/>
          <w:szCs w:val="22"/>
          <w:lang w:val="en"/>
        </w:rPr>
        <w:t>L</w:t>
      </w:r>
      <w:r w:rsidRPr="00E96F80">
        <w:rPr>
          <w:rFonts w:ascii="Arial" w:hAnsi="Arial" w:cs="Arial"/>
          <w:b/>
          <w:bCs/>
          <w:sz w:val="22"/>
          <w:szCs w:val="22"/>
          <w:lang w:val="en"/>
        </w:rPr>
        <w:t xml:space="preserve">evels, 25-OH </w:t>
      </w:r>
      <w:r w:rsidR="00714233">
        <w:rPr>
          <w:rFonts w:ascii="Arial" w:hAnsi="Arial" w:cs="Arial"/>
          <w:b/>
          <w:bCs/>
          <w:sz w:val="22"/>
          <w:szCs w:val="22"/>
          <w:lang w:val="en"/>
        </w:rPr>
        <w:t>V</w:t>
      </w:r>
      <w:r w:rsidRPr="00E96F80">
        <w:rPr>
          <w:rFonts w:ascii="Arial" w:hAnsi="Arial" w:cs="Arial"/>
          <w:b/>
          <w:bCs/>
          <w:sz w:val="22"/>
          <w:szCs w:val="22"/>
          <w:lang w:val="en"/>
        </w:rPr>
        <w:t xml:space="preserve">itamin D, and </w:t>
      </w:r>
      <w:r w:rsidR="00714233">
        <w:rPr>
          <w:rFonts w:ascii="Arial" w:hAnsi="Arial" w:cs="Arial"/>
          <w:b/>
          <w:bCs/>
          <w:sz w:val="22"/>
          <w:szCs w:val="22"/>
          <w:lang w:val="en"/>
        </w:rPr>
        <w:t>B</w:t>
      </w:r>
      <w:r w:rsidRPr="00E96F80">
        <w:rPr>
          <w:rFonts w:ascii="Arial" w:hAnsi="Arial" w:cs="Arial"/>
          <w:b/>
          <w:bCs/>
          <w:sz w:val="22"/>
          <w:szCs w:val="22"/>
          <w:lang w:val="en"/>
        </w:rPr>
        <w:t xml:space="preserve">one </w:t>
      </w:r>
      <w:r w:rsidR="00714233">
        <w:rPr>
          <w:rFonts w:ascii="Arial" w:hAnsi="Arial" w:cs="Arial"/>
          <w:b/>
          <w:bCs/>
          <w:sz w:val="22"/>
          <w:szCs w:val="22"/>
          <w:lang w:val="en"/>
        </w:rPr>
        <w:t>A</w:t>
      </w:r>
      <w:r w:rsidRPr="00E96F80">
        <w:rPr>
          <w:rFonts w:ascii="Arial" w:hAnsi="Arial" w:cs="Arial"/>
          <w:b/>
          <w:bCs/>
          <w:sz w:val="22"/>
          <w:szCs w:val="22"/>
          <w:lang w:val="en"/>
        </w:rPr>
        <w:t xml:space="preserve">ge in </w:t>
      </w:r>
      <w:r w:rsidR="00714233">
        <w:rPr>
          <w:rFonts w:ascii="Arial" w:hAnsi="Arial" w:cs="Arial"/>
          <w:b/>
          <w:bCs/>
          <w:sz w:val="22"/>
          <w:szCs w:val="22"/>
          <w:lang w:val="en"/>
        </w:rPr>
        <w:t>C</w:t>
      </w:r>
      <w:r w:rsidRPr="00E96F80">
        <w:rPr>
          <w:rFonts w:ascii="Arial" w:hAnsi="Arial" w:cs="Arial"/>
          <w:b/>
          <w:bCs/>
          <w:sz w:val="22"/>
          <w:szCs w:val="22"/>
          <w:lang w:val="en"/>
        </w:rPr>
        <w:t xml:space="preserve">hildren with </w:t>
      </w:r>
      <w:r w:rsidR="00714233">
        <w:rPr>
          <w:rFonts w:ascii="Arial" w:hAnsi="Arial" w:cs="Arial"/>
          <w:b/>
          <w:bCs/>
          <w:sz w:val="22"/>
          <w:szCs w:val="22"/>
          <w:lang w:val="en"/>
        </w:rPr>
        <w:t>B</w:t>
      </w:r>
      <w:r w:rsidRPr="00E96F80">
        <w:rPr>
          <w:rFonts w:ascii="Arial" w:hAnsi="Arial" w:cs="Arial"/>
          <w:b/>
          <w:bCs/>
          <w:sz w:val="22"/>
          <w:szCs w:val="22"/>
          <w:lang w:val="en"/>
        </w:rPr>
        <w:t xml:space="preserve">eta </w:t>
      </w:r>
      <w:r w:rsidR="00714233">
        <w:rPr>
          <w:rFonts w:ascii="Arial" w:hAnsi="Arial" w:cs="Arial"/>
          <w:b/>
          <w:bCs/>
          <w:sz w:val="22"/>
          <w:szCs w:val="22"/>
          <w:lang w:val="en"/>
        </w:rPr>
        <w:t>T</w:t>
      </w:r>
      <w:r w:rsidRPr="00E96F80">
        <w:rPr>
          <w:rFonts w:ascii="Arial" w:hAnsi="Arial" w:cs="Arial"/>
          <w:b/>
          <w:bCs/>
          <w:sz w:val="22"/>
          <w:szCs w:val="22"/>
          <w:lang w:val="en"/>
        </w:rPr>
        <w:t>halassemia</w:t>
      </w:r>
    </w:p>
    <w:p w14:paraId="01198555" w14:textId="087987F0" w:rsidR="00D9171A" w:rsidRPr="001762B4" w:rsidRDefault="00D9171A" w:rsidP="00D9171A">
      <w:pPr>
        <w:spacing w:after="160"/>
        <w:jc w:val="both"/>
        <w:rPr>
          <w:rFonts w:ascii="Arial" w:hAnsi="Arial" w:cs="Arial"/>
        </w:rPr>
      </w:pPr>
      <w:r w:rsidRPr="001762B4">
        <w:rPr>
          <w:rFonts w:ascii="Arial" w:hAnsi="Arial" w:cs="Arial"/>
          <w:lang w:val="en"/>
        </w:rPr>
        <w:t>Serum ferritin, 25-OH vitamin D, and bone age were measured simultaneously in this study, when patients were admitted with complaints of pallor and were about to undergo a routine blood transfusion. The median serum ferritin was 5714</w:t>
      </w:r>
      <w:r w:rsidR="00714233">
        <w:rPr>
          <w:rFonts w:ascii="Arial" w:hAnsi="Arial" w:cs="Arial"/>
          <w:lang w:val="en"/>
        </w:rPr>
        <w:t>.</w:t>
      </w:r>
      <w:r w:rsidRPr="001762B4">
        <w:rPr>
          <w:rFonts w:ascii="Arial" w:hAnsi="Arial" w:cs="Arial"/>
          <w:lang w:val="en"/>
        </w:rPr>
        <w:t>69 ng/ml, with a minimum value of 153</w:t>
      </w:r>
      <w:r w:rsidR="00714233">
        <w:rPr>
          <w:rFonts w:ascii="Arial" w:hAnsi="Arial" w:cs="Arial"/>
          <w:lang w:val="en"/>
        </w:rPr>
        <w:t>.</w:t>
      </w:r>
      <w:r w:rsidRPr="001762B4">
        <w:rPr>
          <w:rFonts w:ascii="Arial" w:hAnsi="Arial" w:cs="Arial"/>
          <w:lang w:val="en"/>
        </w:rPr>
        <w:t>61 ng/ml and a maximum value of 30525</w:t>
      </w:r>
      <w:r w:rsidR="00714233">
        <w:rPr>
          <w:rFonts w:ascii="Arial" w:hAnsi="Arial" w:cs="Arial"/>
          <w:lang w:val="en"/>
        </w:rPr>
        <w:t>.</w:t>
      </w:r>
      <w:r w:rsidRPr="001762B4">
        <w:rPr>
          <w:rFonts w:ascii="Arial" w:hAnsi="Arial" w:cs="Arial"/>
          <w:lang w:val="en"/>
        </w:rPr>
        <w:t>04 ng/ml. The mean serum 25-OH vitamin D level was 22</w:t>
      </w:r>
      <w:r w:rsidR="00714233">
        <w:rPr>
          <w:rFonts w:ascii="Arial" w:hAnsi="Arial" w:cs="Arial"/>
          <w:lang w:val="en"/>
        </w:rPr>
        <w:t>.</w:t>
      </w:r>
      <w:r w:rsidRPr="001762B4">
        <w:rPr>
          <w:rFonts w:ascii="Arial" w:hAnsi="Arial" w:cs="Arial"/>
          <w:lang w:val="en"/>
        </w:rPr>
        <w:t>19 ± 7</w:t>
      </w:r>
      <w:r w:rsidR="00714233">
        <w:rPr>
          <w:rFonts w:ascii="Arial" w:hAnsi="Arial" w:cs="Arial"/>
          <w:lang w:val="en"/>
        </w:rPr>
        <w:t>.</w:t>
      </w:r>
      <w:r w:rsidRPr="001762B4">
        <w:rPr>
          <w:rFonts w:ascii="Arial" w:hAnsi="Arial" w:cs="Arial"/>
          <w:lang w:val="en"/>
        </w:rPr>
        <w:t>45 ng/ml, with a minimum value of 5</w:t>
      </w:r>
      <w:r w:rsidR="00714233">
        <w:rPr>
          <w:rFonts w:ascii="Arial" w:hAnsi="Arial" w:cs="Arial"/>
          <w:lang w:val="en"/>
        </w:rPr>
        <w:t>.</w:t>
      </w:r>
      <w:r w:rsidRPr="001762B4">
        <w:rPr>
          <w:rFonts w:ascii="Arial" w:hAnsi="Arial" w:cs="Arial"/>
          <w:lang w:val="en"/>
        </w:rPr>
        <w:t>90 ng/ml and a maximum value of 51</w:t>
      </w:r>
      <w:r w:rsidR="00714233">
        <w:rPr>
          <w:rFonts w:ascii="Arial" w:hAnsi="Arial" w:cs="Arial"/>
          <w:lang w:val="en"/>
        </w:rPr>
        <w:t>.</w:t>
      </w:r>
      <w:r w:rsidRPr="001762B4">
        <w:rPr>
          <w:rFonts w:ascii="Arial" w:hAnsi="Arial" w:cs="Arial"/>
          <w:lang w:val="en"/>
        </w:rPr>
        <w:t>80 ng/ml. The mean bone age was 114</w:t>
      </w:r>
      <w:r w:rsidR="00714233">
        <w:rPr>
          <w:rFonts w:ascii="Arial" w:hAnsi="Arial" w:cs="Arial"/>
          <w:lang w:val="en"/>
        </w:rPr>
        <w:t>.</w:t>
      </w:r>
      <w:r w:rsidRPr="001762B4">
        <w:rPr>
          <w:rFonts w:ascii="Arial" w:hAnsi="Arial" w:cs="Arial"/>
          <w:lang w:val="en"/>
        </w:rPr>
        <w:t>87 ± 53</w:t>
      </w:r>
      <w:r w:rsidR="00714233">
        <w:rPr>
          <w:rFonts w:ascii="Arial" w:hAnsi="Arial" w:cs="Arial"/>
          <w:lang w:val="en"/>
        </w:rPr>
        <w:t>.</w:t>
      </w:r>
      <w:r w:rsidRPr="001762B4">
        <w:rPr>
          <w:rFonts w:ascii="Arial" w:hAnsi="Arial" w:cs="Arial"/>
          <w:lang w:val="en"/>
        </w:rPr>
        <w:t>5 months, with 27</w:t>
      </w:r>
      <w:r w:rsidR="00714233">
        <w:rPr>
          <w:rFonts w:ascii="Arial" w:hAnsi="Arial" w:cs="Arial"/>
          <w:lang w:val="en"/>
        </w:rPr>
        <w:t>.</w:t>
      </w:r>
      <w:r w:rsidRPr="001762B4">
        <w:rPr>
          <w:rFonts w:ascii="Arial" w:hAnsi="Arial" w:cs="Arial"/>
          <w:lang w:val="en"/>
        </w:rPr>
        <w:t>3</w:t>
      </w:r>
      <w:r>
        <w:rPr>
          <w:rFonts w:ascii="Arial" w:hAnsi="Arial" w:cs="Arial"/>
          <w:lang w:val="en"/>
        </w:rPr>
        <w:t xml:space="preserve"> </w:t>
      </w:r>
      <w:r w:rsidRPr="001762B4">
        <w:rPr>
          <w:rFonts w:ascii="Arial" w:hAnsi="Arial" w:cs="Arial"/>
          <w:lang w:val="en"/>
        </w:rPr>
        <w:t>% of patients having delayed bone age. The distribution of ferritin, 25-OH vitamin D, and bone age levels by group can be seen in Table 2.</w:t>
      </w:r>
    </w:p>
    <w:p w14:paraId="4EDFAD8A" w14:textId="7F520DD3" w:rsidR="00D9171A" w:rsidRPr="00714233" w:rsidRDefault="00714233" w:rsidP="001B1C43">
      <w:pPr>
        <w:spacing w:after="160"/>
        <w:jc w:val="center"/>
        <w:rPr>
          <w:rFonts w:ascii="Arial" w:hAnsi="Arial" w:cs="Arial"/>
          <w:b/>
          <w:bCs/>
        </w:rPr>
      </w:pPr>
      <w:r w:rsidRPr="00E34B0C">
        <w:rPr>
          <w:rFonts w:ascii="Arial" w:hAnsi="Arial"/>
          <w:b/>
        </w:rPr>
        <w:t xml:space="preserve">Table </w:t>
      </w:r>
      <w:r>
        <w:rPr>
          <w:rFonts w:ascii="Arial" w:hAnsi="Arial"/>
          <w:b/>
        </w:rPr>
        <w:t>2</w:t>
      </w:r>
      <w:r w:rsidRPr="00E34B0C">
        <w:rPr>
          <w:rFonts w:ascii="Arial" w:hAnsi="Arial"/>
          <w:b/>
        </w:rPr>
        <w:t xml:space="preserve">. </w:t>
      </w:r>
      <w:r w:rsidRPr="002B21FC">
        <w:rPr>
          <w:rFonts w:ascii="Arial" w:hAnsi="Arial" w:cs="Arial"/>
          <w:b/>
          <w:bCs/>
          <w:lang w:val="en"/>
        </w:rPr>
        <w:t xml:space="preserve">Serum </w:t>
      </w:r>
      <w:r>
        <w:rPr>
          <w:rFonts w:ascii="Arial" w:hAnsi="Arial" w:cs="Arial"/>
          <w:b/>
          <w:bCs/>
          <w:lang w:val="en"/>
        </w:rPr>
        <w:t>f</w:t>
      </w:r>
      <w:r w:rsidRPr="002B21FC">
        <w:rPr>
          <w:rFonts w:ascii="Arial" w:hAnsi="Arial" w:cs="Arial"/>
          <w:b/>
          <w:bCs/>
          <w:lang w:val="en"/>
        </w:rPr>
        <w:t xml:space="preserve">erritin </w:t>
      </w:r>
      <w:r>
        <w:rPr>
          <w:rFonts w:ascii="Arial" w:hAnsi="Arial" w:cs="Arial"/>
          <w:b/>
          <w:bCs/>
          <w:lang w:val="en"/>
        </w:rPr>
        <w:t>l</w:t>
      </w:r>
      <w:r w:rsidRPr="002B21FC">
        <w:rPr>
          <w:rFonts w:ascii="Arial" w:hAnsi="Arial" w:cs="Arial"/>
          <w:b/>
          <w:bCs/>
          <w:lang w:val="en"/>
        </w:rPr>
        <w:t xml:space="preserve">evels, 25-OH </w:t>
      </w:r>
      <w:r>
        <w:rPr>
          <w:rFonts w:ascii="Arial" w:hAnsi="Arial" w:cs="Arial"/>
          <w:b/>
          <w:bCs/>
          <w:lang w:val="en"/>
        </w:rPr>
        <w:t>v</w:t>
      </w:r>
      <w:r w:rsidRPr="002B21FC">
        <w:rPr>
          <w:rFonts w:ascii="Arial" w:hAnsi="Arial" w:cs="Arial"/>
          <w:b/>
          <w:bCs/>
          <w:lang w:val="en"/>
        </w:rPr>
        <w:t xml:space="preserve">itamin D, and </w:t>
      </w:r>
      <w:r>
        <w:rPr>
          <w:rFonts w:ascii="Arial" w:hAnsi="Arial" w:cs="Arial"/>
          <w:b/>
          <w:bCs/>
          <w:lang w:val="en"/>
        </w:rPr>
        <w:t>b</w:t>
      </w:r>
      <w:r w:rsidRPr="002B21FC">
        <w:rPr>
          <w:rFonts w:ascii="Arial" w:hAnsi="Arial" w:cs="Arial"/>
          <w:b/>
          <w:bCs/>
          <w:lang w:val="en"/>
        </w:rPr>
        <w:t xml:space="preserve">one </w:t>
      </w:r>
      <w:r>
        <w:rPr>
          <w:rFonts w:ascii="Arial" w:hAnsi="Arial" w:cs="Arial"/>
          <w:b/>
          <w:bCs/>
          <w:lang w:val="en"/>
        </w:rPr>
        <w:t>a</w:t>
      </w:r>
      <w:r w:rsidRPr="002B21FC">
        <w:rPr>
          <w:rFonts w:ascii="Arial" w:hAnsi="Arial" w:cs="Arial"/>
          <w:b/>
          <w:bCs/>
          <w:lang w:val="en"/>
        </w:rPr>
        <w:t xml:space="preserve">ge in </w:t>
      </w:r>
      <w:r>
        <w:rPr>
          <w:rFonts w:ascii="Arial" w:hAnsi="Arial" w:cs="Arial"/>
          <w:b/>
          <w:bCs/>
          <w:lang w:val="en"/>
        </w:rPr>
        <w:t>c</w:t>
      </w:r>
      <w:r w:rsidRPr="002B21FC">
        <w:rPr>
          <w:rFonts w:ascii="Arial" w:hAnsi="Arial" w:cs="Arial"/>
          <w:b/>
          <w:bCs/>
          <w:lang w:val="en"/>
        </w:rPr>
        <w:t xml:space="preserve">hildren with </w:t>
      </w:r>
      <w:r>
        <w:rPr>
          <w:rFonts w:ascii="Arial" w:hAnsi="Arial" w:cs="Arial"/>
          <w:b/>
          <w:bCs/>
          <w:lang w:val="en"/>
        </w:rPr>
        <w:t>b</w:t>
      </w:r>
      <w:r w:rsidRPr="002B21FC">
        <w:rPr>
          <w:rFonts w:ascii="Arial" w:hAnsi="Arial" w:cs="Arial"/>
          <w:b/>
          <w:bCs/>
          <w:lang w:val="en"/>
        </w:rPr>
        <w:t xml:space="preserve">eta </w:t>
      </w:r>
      <w:r>
        <w:rPr>
          <w:rFonts w:ascii="Arial" w:hAnsi="Arial" w:cs="Arial"/>
          <w:b/>
          <w:bCs/>
          <w:lang w:val="en"/>
        </w:rPr>
        <w:t>t</w:t>
      </w:r>
      <w:r w:rsidRPr="002B21FC">
        <w:rPr>
          <w:rFonts w:ascii="Arial" w:hAnsi="Arial" w:cs="Arial"/>
          <w:b/>
          <w:bCs/>
          <w:lang w:val="en"/>
        </w:rPr>
        <w:t>halassemia</w:t>
      </w:r>
    </w:p>
    <w:tbl>
      <w:tblPr>
        <w:tblStyle w:val="TableGrid"/>
        <w:tblW w:w="793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53"/>
        <w:gridCol w:w="3685"/>
      </w:tblGrid>
      <w:tr w:rsidR="00D9171A" w:rsidRPr="0047787D" w14:paraId="7FDED054" w14:textId="77777777" w:rsidTr="006D2BA5">
        <w:tc>
          <w:tcPr>
            <w:tcW w:w="4253" w:type="dxa"/>
          </w:tcPr>
          <w:p w14:paraId="1ADDE16B" w14:textId="77777777" w:rsidR="00D9171A" w:rsidRPr="00FF3345" w:rsidRDefault="00D9171A" w:rsidP="006D2BA5">
            <w:pPr>
              <w:jc w:val="both"/>
              <w:rPr>
                <w:rFonts w:ascii="Arial" w:hAnsi="Arial" w:cs="Arial"/>
                <w:b/>
                <w:bCs/>
                <w:color w:val="000000" w:themeColor="text1"/>
                <w:sz w:val="20"/>
                <w:szCs w:val="20"/>
              </w:rPr>
            </w:pPr>
            <w:r w:rsidRPr="00FF3345">
              <w:rPr>
                <w:rFonts w:ascii="Arial" w:hAnsi="Arial" w:cs="Arial"/>
                <w:b/>
                <w:bCs/>
                <w:color w:val="000000" w:themeColor="text1"/>
                <w:sz w:val="20"/>
                <w:szCs w:val="20"/>
              </w:rPr>
              <w:t>Variable</w:t>
            </w:r>
          </w:p>
        </w:tc>
        <w:tc>
          <w:tcPr>
            <w:tcW w:w="3685" w:type="dxa"/>
          </w:tcPr>
          <w:p w14:paraId="4D1D80B0" w14:textId="77777777" w:rsidR="00D9171A" w:rsidRPr="00FF3345" w:rsidRDefault="00D9171A" w:rsidP="006D2BA5">
            <w:pPr>
              <w:jc w:val="both"/>
              <w:rPr>
                <w:rFonts w:ascii="Arial" w:hAnsi="Arial" w:cs="Arial"/>
                <w:b/>
                <w:bCs/>
                <w:color w:val="000000" w:themeColor="text1"/>
                <w:sz w:val="20"/>
                <w:szCs w:val="20"/>
              </w:rPr>
            </w:pPr>
            <w:r w:rsidRPr="00FF3345">
              <w:rPr>
                <w:rFonts w:ascii="Arial" w:hAnsi="Arial" w:cs="Arial"/>
                <w:b/>
                <w:bCs/>
                <w:color w:val="000000" w:themeColor="text1"/>
                <w:sz w:val="20"/>
                <w:szCs w:val="20"/>
              </w:rPr>
              <w:t xml:space="preserve">Result (n = 55) </w:t>
            </w:r>
          </w:p>
        </w:tc>
      </w:tr>
      <w:tr w:rsidR="00D9171A" w:rsidRPr="0047787D" w14:paraId="5EDE687D" w14:textId="77777777" w:rsidTr="006D2BA5">
        <w:tc>
          <w:tcPr>
            <w:tcW w:w="4253" w:type="dxa"/>
          </w:tcPr>
          <w:p w14:paraId="21EB120A"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Ferritin serum level (n</w:t>
            </w:r>
            <w:proofErr w:type="gramStart"/>
            <w:r w:rsidRPr="00FF3345">
              <w:rPr>
                <w:rFonts w:ascii="Arial" w:hAnsi="Arial" w:cs="Arial"/>
                <w:color w:val="000000" w:themeColor="text1"/>
                <w:sz w:val="20"/>
                <w:szCs w:val="20"/>
              </w:rPr>
              <w:t>,%</w:t>
            </w:r>
            <w:proofErr w:type="gramEnd"/>
            <w:r w:rsidRPr="00FF3345">
              <w:rPr>
                <w:rFonts w:ascii="Arial" w:hAnsi="Arial" w:cs="Arial"/>
                <w:color w:val="000000" w:themeColor="text1"/>
                <w:sz w:val="20"/>
                <w:szCs w:val="20"/>
              </w:rPr>
              <w:t>)</w:t>
            </w:r>
          </w:p>
          <w:p w14:paraId="521FD649"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&lt; 1000 ng/ml</w:t>
            </w:r>
          </w:p>
          <w:p w14:paraId="2A6C8164"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 1000 ng/ml</w:t>
            </w:r>
          </w:p>
        </w:tc>
        <w:tc>
          <w:tcPr>
            <w:tcW w:w="3685" w:type="dxa"/>
          </w:tcPr>
          <w:p w14:paraId="1FACAF20" w14:textId="77777777" w:rsidR="00D9171A" w:rsidRPr="00FF3345" w:rsidRDefault="00D9171A" w:rsidP="006D2BA5">
            <w:pPr>
              <w:jc w:val="both"/>
              <w:rPr>
                <w:rFonts w:ascii="Arial" w:hAnsi="Arial" w:cs="Arial"/>
                <w:color w:val="000000" w:themeColor="text1"/>
                <w:sz w:val="20"/>
                <w:szCs w:val="20"/>
              </w:rPr>
            </w:pPr>
          </w:p>
          <w:p w14:paraId="3EC71147"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 (9,1)</w:t>
            </w:r>
          </w:p>
          <w:p w14:paraId="75EEA289"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50 (90,9)</w:t>
            </w:r>
          </w:p>
        </w:tc>
      </w:tr>
      <w:tr w:rsidR="00D9171A" w:rsidRPr="0047787D" w14:paraId="1BB3A2BB" w14:textId="77777777" w:rsidTr="006D2BA5">
        <w:tc>
          <w:tcPr>
            <w:tcW w:w="4253" w:type="dxa"/>
          </w:tcPr>
          <w:p w14:paraId="155B7408"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Ferritin serum level (n</w:t>
            </w:r>
            <w:proofErr w:type="gramStart"/>
            <w:r w:rsidRPr="00FF3345">
              <w:rPr>
                <w:rFonts w:ascii="Arial" w:hAnsi="Arial" w:cs="Arial"/>
                <w:color w:val="000000" w:themeColor="text1"/>
                <w:sz w:val="20"/>
                <w:szCs w:val="20"/>
              </w:rPr>
              <w:t>,%</w:t>
            </w:r>
            <w:proofErr w:type="gramEnd"/>
            <w:r w:rsidRPr="00FF3345">
              <w:rPr>
                <w:rFonts w:ascii="Arial" w:hAnsi="Arial" w:cs="Arial"/>
                <w:color w:val="000000" w:themeColor="text1"/>
                <w:sz w:val="20"/>
                <w:szCs w:val="20"/>
              </w:rPr>
              <w:t>)</w:t>
            </w:r>
          </w:p>
          <w:p w14:paraId="707F0A9B"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 2500 ng/ml</w:t>
            </w:r>
          </w:p>
          <w:p w14:paraId="54C6C2E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&gt; 2500 ng/ml</w:t>
            </w:r>
          </w:p>
        </w:tc>
        <w:tc>
          <w:tcPr>
            <w:tcW w:w="3685" w:type="dxa"/>
          </w:tcPr>
          <w:p w14:paraId="682F4B90" w14:textId="77777777" w:rsidR="00D9171A" w:rsidRPr="00FF3345" w:rsidRDefault="00D9171A" w:rsidP="006D2BA5">
            <w:pPr>
              <w:jc w:val="both"/>
              <w:rPr>
                <w:rFonts w:ascii="Arial" w:hAnsi="Arial" w:cs="Arial"/>
                <w:color w:val="000000" w:themeColor="text1"/>
                <w:sz w:val="20"/>
                <w:szCs w:val="20"/>
              </w:rPr>
            </w:pPr>
          </w:p>
          <w:p w14:paraId="7972CFFD"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10 (18,2)</w:t>
            </w:r>
          </w:p>
          <w:p w14:paraId="44A226B4"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45 (81,8)</w:t>
            </w:r>
          </w:p>
        </w:tc>
      </w:tr>
      <w:tr w:rsidR="00D9171A" w:rsidRPr="0047787D" w14:paraId="7C271EB4" w14:textId="77777777" w:rsidTr="006D2BA5">
        <w:tc>
          <w:tcPr>
            <w:tcW w:w="4253" w:type="dxa"/>
          </w:tcPr>
          <w:p w14:paraId="5576A385"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Vitamin D 25-OH level (n</w:t>
            </w:r>
            <w:proofErr w:type="gramStart"/>
            <w:r w:rsidRPr="00FF3345">
              <w:rPr>
                <w:rFonts w:ascii="Arial" w:hAnsi="Arial" w:cs="Arial"/>
                <w:color w:val="000000" w:themeColor="text1"/>
                <w:sz w:val="20"/>
                <w:szCs w:val="20"/>
              </w:rPr>
              <w:t>,%</w:t>
            </w:r>
            <w:proofErr w:type="gramEnd"/>
            <w:r w:rsidRPr="00FF3345">
              <w:rPr>
                <w:rFonts w:ascii="Arial" w:hAnsi="Arial" w:cs="Arial"/>
                <w:color w:val="000000" w:themeColor="text1"/>
                <w:sz w:val="20"/>
                <w:szCs w:val="20"/>
              </w:rPr>
              <w:t>)</w:t>
            </w:r>
          </w:p>
          <w:p w14:paraId="436BF903"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&lt; 30 ng/ml</w:t>
            </w:r>
          </w:p>
          <w:p w14:paraId="203CBDCF"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 30 ng/ml</w:t>
            </w:r>
          </w:p>
        </w:tc>
        <w:tc>
          <w:tcPr>
            <w:tcW w:w="3685" w:type="dxa"/>
          </w:tcPr>
          <w:p w14:paraId="554A803F" w14:textId="77777777" w:rsidR="00D9171A" w:rsidRPr="00FF3345" w:rsidRDefault="00D9171A" w:rsidP="006D2BA5">
            <w:pPr>
              <w:jc w:val="both"/>
              <w:rPr>
                <w:rFonts w:ascii="Arial" w:hAnsi="Arial" w:cs="Arial"/>
                <w:color w:val="000000" w:themeColor="text1"/>
                <w:sz w:val="20"/>
                <w:szCs w:val="20"/>
              </w:rPr>
            </w:pPr>
          </w:p>
          <w:p w14:paraId="2626C6C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50 (90,9)</w:t>
            </w:r>
          </w:p>
          <w:p w14:paraId="38A3BA19"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 (9,1)</w:t>
            </w:r>
          </w:p>
        </w:tc>
      </w:tr>
      <w:tr w:rsidR="00D9171A" w:rsidRPr="0047787D" w14:paraId="5ED0AF34" w14:textId="77777777" w:rsidTr="006D2BA5">
        <w:tc>
          <w:tcPr>
            <w:tcW w:w="4253" w:type="dxa"/>
          </w:tcPr>
          <w:p w14:paraId="03D1E67E"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Bone age (n</w:t>
            </w:r>
            <w:proofErr w:type="gramStart"/>
            <w:r w:rsidRPr="00FF3345">
              <w:rPr>
                <w:rFonts w:ascii="Arial" w:hAnsi="Arial" w:cs="Arial"/>
                <w:color w:val="000000" w:themeColor="text1"/>
                <w:sz w:val="20"/>
                <w:szCs w:val="20"/>
              </w:rPr>
              <w:t>,%</w:t>
            </w:r>
            <w:proofErr w:type="gramEnd"/>
            <w:r w:rsidRPr="00FF3345">
              <w:rPr>
                <w:rFonts w:ascii="Arial" w:hAnsi="Arial" w:cs="Arial"/>
                <w:color w:val="000000" w:themeColor="text1"/>
                <w:sz w:val="20"/>
                <w:szCs w:val="20"/>
              </w:rPr>
              <w:t>)</w:t>
            </w:r>
          </w:p>
          <w:p w14:paraId="2684101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w:t>
            </w:r>
            <w:r>
              <w:rPr>
                <w:rFonts w:ascii="Arial" w:hAnsi="Arial" w:cs="Arial"/>
                <w:color w:val="000000" w:themeColor="text1"/>
                <w:sz w:val="20"/>
                <w:szCs w:val="20"/>
              </w:rPr>
              <w:t>D</w:t>
            </w:r>
            <w:r w:rsidRPr="00FF3345">
              <w:rPr>
                <w:rFonts w:ascii="Arial" w:hAnsi="Arial" w:cs="Arial"/>
                <w:color w:val="000000" w:themeColor="text1"/>
                <w:sz w:val="20"/>
                <w:szCs w:val="20"/>
              </w:rPr>
              <w:t>elayed</w:t>
            </w:r>
          </w:p>
          <w:p w14:paraId="33694108"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w:t>
            </w:r>
            <w:r>
              <w:rPr>
                <w:rFonts w:ascii="Arial" w:hAnsi="Arial" w:cs="Arial"/>
                <w:color w:val="000000" w:themeColor="text1"/>
                <w:sz w:val="20"/>
                <w:szCs w:val="20"/>
              </w:rPr>
              <w:t>Normal</w:t>
            </w:r>
          </w:p>
        </w:tc>
        <w:tc>
          <w:tcPr>
            <w:tcW w:w="3685" w:type="dxa"/>
          </w:tcPr>
          <w:p w14:paraId="67F0961D" w14:textId="77777777" w:rsidR="00D9171A" w:rsidRPr="00FF3345" w:rsidRDefault="00D9171A" w:rsidP="006D2BA5">
            <w:pPr>
              <w:jc w:val="both"/>
              <w:rPr>
                <w:rFonts w:ascii="Arial" w:hAnsi="Arial" w:cs="Arial"/>
                <w:color w:val="000000" w:themeColor="text1"/>
                <w:sz w:val="20"/>
                <w:szCs w:val="20"/>
              </w:rPr>
            </w:pPr>
          </w:p>
          <w:p w14:paraId="13BBB7F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15 (27,3)</w:t>
            </w:r>
          </w:p>
          <w:p w14:paraId="238C777D"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40 (72,7)</w:t>
            </w:r>
          </w:p>
        </w:tc>
      </w:tr>
    </w:tbl>
    <w:p w14:paraId="00585AC6" w14:textId="77777777" w:rsidR="00D9171A" w:rsidRDefault="00D9171A" w:rsidP="00441B6F">
      <w:pPr>
        <w:pStyle w:val="Body"/>
        <w:spacing w:after="0"/>
        <w:rPr>
          <w:rFonts w:ascii="Arial" w:hAnsi="Arial" w:cs="Arial"/>
          <w:color w:val="EE0000"/>
        </w:rPr>
      </w:pPr>
    </w:p>
    <w:p w14:paraId="5BEFE7D8" w14:textId="04EB82AA" w:rsidR="004C4E81" w:rsidRPr="008A0892" w:rsidRDefault="004C4E81" w:rsidP="004C4E81">
      <w:pPr>
        <w:spacing w:after="160"/>
        <w:jc w:val="both"/>
        <w:rPr>
          <w:rFonts w:ascii="Arial" w:hAnsi="Arial" w:cs="Arial"/>
          <w:b/>
          <w:bCs/>
          <w:sz w:val="22"/>
          <w:szCs w:val="22"/>
        </w:rPr>
      </w:pPr>
      <w:r w:rsidRPr="008A0892">
        <w:rPr>
          <w:rFonts w:ascii="Arial" w:hAnsi="Arial" w:cs="Arial"/>
          <w:b/>
          <w:bCs/>
          <w:sz w:val="22"/>
          <w:szCs w:val="22"/>
          <w:lang w:val="en"/>
        </w:rPr>
        <w:t>3.3 Correlation between Serum Ferritin Levels with Vitamin D Levels and Delayed Bone Age in Children with Beta Thalassemia</w:t>
      </w:r>
    </w:p>
    <w:p w14:paraId="15A13015" w14:textId="4E48672C" w:rsidR="001B1C43" w:rsidRPr="008A0892" w:rsidRDefault="001B1C43" w:rsidP="001B1C43">
      <w:pPr>
        <w:spacing w:after="160"/>
        <w:jc w:val="both"/>
        <w:rPr>
          <w:rFonts w:ascii="Arial" w:hAnsi="Arial" w:cs="Arial"/>
        </w:rPr>
      </w:pPr>
      <w:r w:rsidRPr="008A0892">
        <w:rPr>
          <w:rFonts w:ascii="Arial" w:hAnsi="Arial" w:cs="Arial"/>
          <w:lang w:val="en"/>
        </w:rPr>
        <w:t>The correlation between serum ferritin levels (categorical scale) based on the initiation of iron chelation with vitamin D levels (categorical scale) was -0.12 (</w:t>
      </w:r>
      <w:r w:rsidRPr="008A0892">
        <w:rPr>
          <w:rFonts w:ascii="Arial" w:hAnsi="Arial" w:cs="Arial"/>
          <w:i/>
          <w:iCs/>
          <w:lang w:val="en"/>
        </w:rPr>
        <w:t>p</w:t>
      </w:r>
      <w:r w:rsidRPr="008A0892">
        <w:rPr>
          <w:rFonts w:ascii="Arial" w:hAnsi="Arial" w:cs="Arial"/>
          <w:lang w:val="en"/>
        </w:rPr>
        <w:t xml:space="preserve"> = 0.38). The correlation between serum ferritin levels (categorical scale) based on the iron overload classification with vitamin D levels (categorical scale) was -0.015 (</w:t>
      </w:r>
      <w:r w:rsidRPr="008A0892">
        <w:rPr>
          <w:rFonts w:ascii="Arial" w:hAnsi="Arial" w:cs="Arial"/>
          <w:i/>
          <w:iCs/>
          <w:lang w:val="en"/>
        </w:rPr>
        <w:t>p</w:t>
      </w:r>
      <w:r w:rsidRPr="008A0892">
        <w:rPr>
          <w:rFonts w:ascii="Arial" w:hAnsi="Arial" w:cs="Arial"/>
          <w:lang w:val="en"/>
        </w:rPr>
        <w:t xml:space="preserve"> = 0.91). The correlation between serum ferritin levels (categorical scale) based on the initiation of iron chelation with delayed bone age (categorical scale) was 0.09 (</w:t>
      </w:r>
      <w:r w:rsidRPr="008A0892">
        <w:rPr>
          <w:rFonts w:ascii="Arial" w:hAnsi="Arial" w:cs="Arial"/>
          <w:i/>
          <w:iCs/>
          <w:lang w:val="en"/>
        </w:rPr>
        <w:t>p</w:t>
      </w:r>
      <w:r w:rsidRPr="008A0892">
        <w:rPr>
          <w:rFonts w:ascii="Arial" w:hAnsi="Arial" w:cs="Arial"/>
          <w:lang w:val="en"/>
        </w:rPr>
        <w:t xml:space="preserve"> = 0.51). The correlation between serum ferritin levels (categorical scale) based on the iron overload classification with delayed bone age (categorical scale) was 0.135 (</w:t>
      </w:r>
      <w:r w:rsidRPr="008A0892">
        <w:rPr>
          <w:rFonts w:ascii="Arial" w:hAnsi="Arial" w:cs="Arial"/>
          <w:i/>
          <w:iCs/>
          <w:lang w:val="en"/>
        </w:rPr>
        <w:t>p</w:t>
      </w:r>
      <w:r w:rsidRPr="008A0892">
        <w:rPr>
          <w:rFonts w:ascii="Arial" w:hAnsi="Arial" w:cs="Arial"/>
          <w:lang w:val="en"/>
        </w:rPr>
        <w:t xml:space="preserve"> = 0.32). (Table 3 and Table 4).</w:t>
      </w:r>
    </w:p>
    <w:p w14:paraId="4E21FD57" w14:textId="5D450271" w:rsidR="001B1C43" w:rsidRPr="001C62C0" w:rsidRDefault="001B1C43" w:rsidP="001B1C43">
      <w:pPr>
        <w:spacing w:after="160"/>
        <w:jc w:val="center"/>
        <w:rPr>
          <w:rFonts w:ascii="Arial" w:hAnsi="Arial" w:cs="Arial"/>
          <w:b/>
          <w:bCs/>
        </w:rPr>
      </w:pPr>
      <w:r w:rsidRPr="001C62C0">
        <w:rPr>
          <w:rFonts w:ascii="Arial" w:hAnsi="Arial" w:cs="Arial"/>
          <w:b/>
          <w:bCs/>
          <w:lang w:val="en"/>
        </w:rPr>
        <w:t xml:space="preserve">Table 3. </w:t>
      </w:r>
      <w:r w:rsidR="00A25A69">
        <w:rPr>
          <w:rFonts w:ascii="Arial" w:hAnsi="Arial" w:cs="Arial"/>
          <w:b/>
          <w:bCs/>
          <w:lang w:val="en"/>
        </w:rPr>
        <w:t xml:space="preserve">Correlation </w:t>
      </w:r>
      <w:r w:rsidRPr="001C62C0">
        <w:rPr>
          <w:rFonts w:ascii="Arial" w:hAnsi="Arial" w:cs="Arial"/>
          <w:b/>
          <w:bCs/>
          <w:lang w:val="en"/>
        </w:rPr>
        <w:t xml:space="preserve">between </w:t>
      </w:r>
      <w:r w:rsidR="005D55B7">
        <w:rPr>
          <w:rFonts w:ascii="Arial" w:hAnsi="Arial" w:cs="Arial"/>
          <w:b/>
          <w:bCs/>
          <w:lang w:val="en"/>
        </w:rPr>
        <w:t>s</w:t>
      </w:r>
      <w:r w:rsidRPr="001C62C0">
        <w:rPr>
          <w:rFonts w:ascii="Arial" w:hAnsi="Arial" w:cs="Arial"/>
          <w:b/>
          <w:bCs/>
          <w:lang w:val="en"/>
        </w:rPr>
        <w:t xml:space="preserve">erum </w:t>
      </w:r>
      <w:r w:rsidR="005D55B7">
        <w:rPr>
          <w:rFonts w:ascii="Arial" w:hAnsi="Arial" w:cs="Arial"/>
          <w:b/>
          <w:bCs/>
          <w:lang w:val="en"/>
        </w:rPr>
        <w:t>f</w:t>
      </w:r>
      <w:r w:rsidRPr="001C62C0">
        <w:rPr>
          <w:rFonts w:ascii="Arial" w:hAnsi="Arial" w:cs="Arial"/>
          <w:b/>
          <w:bCs/>
          <w:lang w:val="en"/>
        </w:rPr>
        <w:t xml:space="preserve">erritin </w:t>
      </w:r>
      <w:r w:rsidR="005D55B7">
        <w:rPr>
          <w:rFonts w:ascii="Arial" w:hAnsi="Arial" w:cs="Arial"/>
          <w:b/>
          <w:bCs/>
          <w:lang w:val="en"/>
        </w:rPr>
        <w:t>l</w:t>
      </w:r>
      <w:r w:rsidRPr="001C62C0">
        <w:rPr>
          <w:rFonts w:ascii="Arial" w:hAnsi="Arial" w:cs="Arial"/>
          <w:b/>
          <w:bCs/>
          <w:lang w:val="en"/>
        </w:rPr>
        <w:t xml:space="preserve">evels based on the initiation of iron chelation with </w:t>
      </w:r>
      <w:r w:rsidR="005D55B7">
        <w:rPr>
          <w:rFonts w:ascii="Arial" w:hAnsi="Arial" w:cs="Arial"/>
          <w:b/>
          <w:bCs/>
          <w:lang w:val="en"/>
        </w:rPr>
        <w:t>v</w:t>
      </w:r>
      <w:r w:rsidRPr="001C62C0">
        <w:rPr>
          <w:rFonts w:ascii="Arial" w:hAnsi="Arial" w:cs="Arial"/>
          <w:b/>
          <w:bCs/>
          <w:lang w:val="en"/>
        </w:rPr>
        <w:t xml:space="preserve">itamin D </w:t>
      </w:r>
      <w:r w:rsidR="005D55B7">
        <w:rPr>
          <w:rFonts w:ascii="Arial" w:hAnsi="Arial" w:cs="Arial"/>
          <w:b/>
          <w:bCs/>
          <w:lang w:val="en"/>
        </w:rPr>
        <w:t>l</w:t>
      </w:r>
      <w:r w:rsidRPr="001C62C0">
        <w:rPr>
          <w:rFonts w:ascii="Arial" w:hAnsi="Arial" w:cs="Arial"/>
          <w:b/>
          <w:bCs/>
          <w:lang w:val="en"/>
        </w:rPr>
        <w:t xml:space="preserve">evels and </w:t>
      </w:r>
      <w:r w:rsidR="005D55B7">
        <w:rPr>
          <w:rFonts w:ascii="Arial" w:hAnsi="Arial" w:cs="Arial"/>
          <w:b/>
          <w:bCs/>
          <w:lang w:val="en"/>
        </w:rPr>
        <w:t>d</w:t>
      </w:r>
      <w:r w:rsidRPr="001C62C0">
        <w:rPr>
          <w:rFonts w:ascii="Arial" w:hAnsi="Arial" w:cs="Arial"/>
          <w:b/>
          <w:bCs/>
          <w:lang w:val="en"/>
        </w:rPr>
        <w:t xml:space="preserve">elayed </w:t>
      </w:r>
      <w:r w:rsidR="005D55B7">
        <w:rPr>
          <w:rFonts w:ascii="Arial" w:hAnsi="Arial" w:cs="Arial"/>
          <w:b/>
          <w:bCs/>
          <w:lang w:val="en"/>
        </w:rPr>
        <w:t>b</w:t>
      </w:r>
      <w:r w:rsidRPr="001C62C0">
        <w:rPr>
          <w:rFonts w:ascii="Arial" w:hAnsi="Arial" w:cs="Arial"/>
          <w:b/>
          <w:bCs/>
          <w:lang w:val="en"/>
        </w:rPr>
        <w:t xml:space="preserve">one </w:t>
      </w:r>
      <w:r w:rsidR="005D55B7">
        <w:rPr>
          <w:rFonts w:ascii="Arial" w:hAnsi="Arial" w:cs="Arial"/>
          <w:b/>
          <w:bCs/>
          <w:lang w:val="en"/>
        </w:rPr>
        <w:t>a</w:t>
      </w:r>
      <w:r w:rsidRPr="001C62C0">
        <w:rPr>
          <w:rFonts w:ascii="Arial" w:hAnsi="Arial" w:cs="Arial"/>
          <w:b/>
          <w:bCs/>
          <w:lang w:val="en"/>
        </w:rPr>
        <w:t xml:space="preserve">ge in </w:t>
      </w:r>
      <w:r w:rsidR="005D55B7">
        <w:rPr>
          <w:rFonts w:ascii="Arial" w:hAnsi="Arial" w:cs="Arial"/>
          <w:b/>
          <w:bCs/>
          <w:lang w:val="en"/>
        </w:rPr>
        <w:t>c</w:t>
      </w:r>
      <w:r w:rsidRPr="001C62C0">
        <w:rPr>
          <w:rFonts w:ascii="Arial" w:hAnsi="Arial" w:cs="Arial"/>
          <w:b/>
          <w:bCs/>
          <w:lang w:val="en"/>
        </w:rPr>
        <w:t xml:space="preserve">hildren with </w:t>
      </w:r>
      <w:r w:rsidR="005D55B7">
        <w:rPr>
          <w:rFonts w:ascii="Arial" w:hAnsi="Arial" w:cs="Arial"/>
          <w:b/>
          <w:bCs/>
          <w:lang w:val="en"/>
        </w:rPr>
        <w:t>b</w:t>
      </w:r>
      <w:r w:rsidRPr="001C62C0">
        <w:rPr>
          <w:rFonts w:ascii="Arial" w:hAnsi="Arial" w:cs="Arial"/>
          <w:b/>
          <w:bCs/>
          <w:lang w:val="en"/>
        </w:rPr>
        <w:t xml:space="preserve">eta </w:t>
      </w:r>
      <w:r w:rsidR="005D55B7">
        <w:rPr>
          <w:rFonts w:ascii="Arial" w:hAnsi="Arial" w:cs="Arial"/>
          <w:b/>
          <w:bCs/>
          <w:lang w:val="en"/>
        </w:rPr>
        <w:t>t</w:t>
      </w:r>
      <w:r w:rsidRPr="001C62C0">
        <w:rPr>
          <w:rFonts w:ascii="Arial" w:hAnsi="Arial" w:cs="Arial"/>
          <w:b/>
          <w:bCs/>
          <w:lang w:val="en"/>
        </w:rPr>
        <w:t>halassemia</w:t>
      </w:r>
    </w:p>
    <w:tbl>
      <w:tblPr>
        <w:tblStyle w:val="TableGrid"/>
        <w:tblW w:w="837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85"/>
        <w:gridCol w:w="1440"/>
        <w:gridCol w:w="1080"/>
        <w:gridCol w:w="720"/>
        <w:gridCol w:w="810"/>
        <w:gridCol w:w="990"/>
        <w:gridCol w:w="995"/>
        <w:gridCol w:w="630"/>
        <w:gridCol w:w="720"/>
      </w:tblGrid>
      <w:tr w:rsidR="005D55B7" w:rsidRPr="00AD6D15" w14:paraId="221F1055" w14:textId="77777777" w:rsidTr="006D2BA5">
        <w:tc>
          <w:tcPr>
            <w:tcW w:w="985" w:type="dxa"/>
            <w:vMerge w:val="restart"/>
          </w:tcPr>
          <w:p w14:paraId="6DD9E662" w14:textId="77777777" w:rsidR="005D55B7" w:rsidRDefault="00A25A69" w:rsidP="006D2BA5">
            <w:pPr>
              <w:jc w:val="both"/>
              <w:rPr>
                <w:rFonts w:ascii="Arial" w:hAnsi="Arial" w:cs="Arial"/>
                <w:b/>
                <w:bCs/>
                <w:sz w:val="20"/>
                <w:szCs w:val="20"/>
              </w:rPr>
            </w:pPr>
            <w:r w:rsidRPr="00A25A69">
              <w:rPr>
                <w:rFonts w:ascii="Arial" w:hAnsi="Arial" w:cs="Arial"/>
                <w:b/>
                <w:bCs/>
                <w:sz w:val="20"/>
                <w:szCs w:val="20"/>
              </w:rPr>
              <w:t>Ferritin</w:t>
            </w:r>
          </w:p>
          <w:p w14:paraId="74FD2989" w14:textId="1680CEF1" w:rsidR="00D00209" w:rsidRPr="00A25A69" w:rsidRDefault="00D00209" w:rsidP="006D2BA5">
            <w:pPr>
              <w:jc w:val="both"/>
              <w:rPr>
                <w:rFonts w:ascii="Arial" w:hAnsi="Arial" w:cs="Arial"/>
                <w:b/>
                <w:bCs/>
                <w:sz w:val="20"/>
                <w:szCs w:val="20"/>
              </w:rPr>
            </w:pPr>
            <w:r>
              <w:rPr>
                <w:rFonts w:ascii="Arial" w:hAnsi="Arial" w:cs="Arial"/>
                <w:b/>
                <w:bCs/>
                <w:sz w:val="20"/>
                <w:szCs w:val="20"/>
              </w:rPr>
              <w:t>(ng/ml)</w:t>
            </w:r>
          </w:p>
        </w:tc>
        <w:tc>
          <w:tcPr>
            <w:tcW w:w="2520" w:type="dxa"/>
            <w:gridSpan w:val="2"/>
            <w:vAlign w:val="center"/>
          </w:tcPr>
          <w:p w14:paraId="2F2F7118"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Vitamin D levels</w:t>
            </w:r>
          </w:p>
        </w:tc>
        <w:tc>
          <w:tcPr>
            <w:tcW w:w="720" w:type="dxa"/>
            <w:vMerge w:val="restart"/>
          </w:tcPr>
          <w:p w14:paraId="4A12772A" w14:textId="77777777" w:rsidR="005D55B7" w:rsidRPr="00AD7FB4" w:rsidRDefault="005D55B7" w:rsidP="006D2BA5">
            <w:pPr>
              <w:jc w:val="center"/>
              <w:rPr>
                <w:rFonts w:ascii="Arial" w:hAnsi="Arial" w:cs="Arial"/>
                <w:b/>
                <w:bCs/>
                <w:sz w:val="20"/>
                <w:szCs w:val="20"/>
              </w:rPr>
            </w:pPr>
          </w:p>
          <w:p w14:paraId="4172711B"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r</w:t>
            </w:r>
          </w:p>
        </w:tc>
        <w:tc>
          <w:tcPr>
            <w:tcW w:w="810" w:type="dxa"/>
            <w:vMerge w:val="restart"/>
          </w:tcPr>
          <w:p w14:paraId="5E69F365" w14:textId="77777777" w:rsidR="005D55B7" w:rsidRPr="00AD7FB4" w:rsidRDefault="005D55B7" w:rsidP="006D2BA5">
            <w:pPr>
              <w:jc w:val="center"/>
              <w:rPr>
                <w:rFonts w:ascii="Arial" w:hAnsi="Arial" w:cs="Arial"/>
                <w:b/>
                <w:bCs/>
                <w:sz w:val="20"/>
                <w:szCs w:val="20"/>
              </w:rPr>
            </w:pPr>
          </w:p>
          <w:p w14:paraId="21AB5AAF" w14:textId="77777777" w:rsidR="005D55B7" w:rsidRPr="00556629" w:rsidRDefault="005D55B7" w:rsidP="006D2BA5">
            <w:pPr>
              <w:jc w:val="center"/>
              <w:rPr>
                <w:rFonts w:ascii="Arial" w:hAnsi="Arial" w:cs="Arial"/>
                <w:b/>
                <w:bCs/>
                <w:i/>
                <w:iCs/>
                <w:sz w:val="20"/>
                <w:szCs w:val="20"/>
              </w:rPr>
            </w:pPr>
            <w:r w:rsidRPr="00556629">
              <w:rPr>
                <w:rFonts w:ascii="Arial" w:hAnsi="Arial" w:cs="Arial"/>
                <w:b/>
                <w:bCs/>
                <w:i/>
                <w:iCs/>
                <w:sz w:val="20"/>
                <w:szCs w:val="20"/>
              </w:rPr>
              <w:t>P</w:t>
            </w:r>
          </w:p>
        </w:tc>
        <w:tc>
          <w:tcPr>
            <w:tcW w:w="1985" w:type="dxa"/>
            <w:gridSpan w:val="2"/>
            <w:vAlign w:val="center"/>
          </w:tcPr>
          <w:p w14:paraId="45C2C21E"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Bone age</w:t>
            </w:r>
          </w:p>
        </w:tc>
        <w:tc>
          <w:tcPr>
            <w:tcW w:w="630" w:type="dxa"/>
            <w:vMerge w:val="restart"/>
          </w:tcPr>
          <w:p w14:paraId="5B9DCADE" w14:textId="77777777" w:rsidR="005D55B7" w:rsidRPr="00AD7FB4" w:rsidRDefault="005D55B7" w:rsidP="006D2BA5">
            <w:pPr>
              <w:jc w:val="center"/>
              <w:rPr>
                <w:rFonts w:ascii="Arial" w:hAnsi="Arial" w:cs="Arial"/>
                <w:b/>
                <w:bCs/>
                <w:sz w:val="20"/>
                <w:szCs w:val="20"/>
              </w:rPr>
            </w:pPr>
          </w:p>
          <w:p w14:paraId="4F7C9BE9"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r</w:t>
            </w:r>
          </w:p>
        </w:tc>
        <w:tc>
          <w:tcPr>
            <w:tcW w:w="720" w:type="dxa"/>
            <w:vMerge w:val="restart"/>
          </w:tcPr>
          <w:p w14:paraId="7A761DBF" w14:textId="77777777" w:rsidR="005D55B7" w:rsidRPr="00AD7FB4" w:rsidRDefault="005D55B7" w:rsidP="006D2BA5">
            <w:pPr>
              <w:jc w:val="center"/>
              <w:rPr>
                <w:rFonts w:ascii="Arial" w:hAnsi="Arial" w:cs="Arial"/>
                <w:b/>
                <w:bCs/>
                <w:sz w:val="20"/>
                <w:szCs w:val="20"/>
              </w:rPr>
            </w:pPr>
          </w:p>
          <w:p w14:paraId="20601C01" w14:textId="77777777" w:rsidR="005D55B7" w:rsidRPr="00556629" w:rsidRDefault="005D55B7" w:rsidP="006D2BA5">
            <w:pPr>
              <w:jc w:val="center"/>
              <w:rPr>
                <w:rFonts w:ascii="Arial" w:hAnsi="Arial" w:cs="Arial"/>
                <w:b/>
                <w:bCs/>
                <w:i/>
                <w:iCs/>
                <w:sz w:val="20"/>
                <w:szCs w:val="20"/>
              </w:rPr>
            </w:pPr>
            <w:r w:rsidRPr="00556629">
              <w:rPr>
                <w:rFonts w:ascii="Arial" w:hAnsi="Arial" w:cs="Arial"/>
                <w:b/>
                <w:bCs/>
                <w:i/>
                <w:iCs/>
                <w:sz w:val="20"/>
                <w:szCs w:val="20"/>
              </w:rPr>
              <w:t>P</w:t>
            </w:r>
          </w:p>
        </w:tc>
      </w:tr>
      <w:tr w:rsidR="005D55B7" w:rsidRPr="00AD6D15" w14:paraId="2F0AB4DD" w14:textId="77777777" w:rsidTr="006D2BA5">
        <w:tc>
          <w:tcPr>
            <w:tcW w:w="985" w:type="dxa"/>
            <w:vMerge/>
            <w:tcBorders>
              <w:bottom w:val="single" w:sz="4" w:space="0" w:color="auto"/>
            </w:tcBorders>
          </w:tcPr>
          <w:p w14:paraId="1CC248AD" w14:textId="77777777" w:rsidR="005D55B7" w:rsidRPr="0001521E" w:rsidRDefault="005D55B7" w:rsidP="006D2BA5">
            <w:pPr>
              <w:jc w:val="both"/>
              <w:rPr>
                <w:rFonts w:ascii="Arial" w:hAnsi="Arial" w:cs="Arial"/>
                <w:sz w:val="18"/>
                <w:szCs w:val="18"/>
              </w:rPr>
            </w:pPr>
          </w:p>
        </w:tc>
        <w:tc>
          <w:tcPr>
            <w:tcW w:w="1440" w:type="dxa"/>
            <w:tcBorders>
              <w:bottom w:val="single" w:sz="4" w:space="0" w:color="auto"/>
            </w:tcBorders>
            <w:vAlign w:val="center"/>
          </w:tcPr>
          <w:p w14:paraId="646AC660" w14:textId="77777777" w:rsidR="005D55B7" w:rsidRPr="00AD7FB4" w:rsidRDefault="005D55B7" w:rsidP="006D2BA5">
            <w:pPr>
              <w:jc w:val="center"/>
              <w:rPr>
                <w:rFonts w:ascii="Arial" w:hAnsi="Arial" w:cs="Arial"/>
                <w:b/>
                <w:bCs/>
                <w:sz w:val="20"/>
                <w:szCs w:val="20"/>
              </w:rPr>
            </w:pPr>
            <w:r w:rsidRPr="0018446F">
              <w:rPr>
                <w:rFonts w:ascii="Arial" w:hAnsi="Arial" w:cs="Arial"/>
                <w:b/>
                <w:bCs/>
                <w:sz w:val="20"/>
                <w:szCs w:val="20"/>
                <w:lang w:val="en"/>
              </w:rPr>
              <w:t>Insufficiency/ Deficiency</w:t>
            </w:r>
          </w:p>
        </w:tc>
        <w:tc>
          <w:tcPr>
            <w:tcW w:w="1080" w:type="dxa"/>
            <w:tcBorders>
              <w:bottom w:val="single" w:sz="4" w:space="0" w:color="auto"/>
            </w:tcBorders>
            <w:vAlign w:val="center"/>
          </w:tcPr>
          <w:p w14:paraId="6F492D2F"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Normal</w:t>
            </w:r>
          </w:p>
        </w:tc>
        <w:tc>
          <w:tcPr>
            <w:tcW w:w="720" w:type="dxa"/>
            <w:vMerge/>
            <w:tcBorders>
              <w:bottom w:val="single" w:sz="4" w:space="0" w:color="auto"/>
            </w:tcBorders>
          </w:tcPr>
          <w:p w14:paraId="65575BE2" w14:textId="77777777" w:rsidR="005D55B7" w:rsidRPr="00AD7FB4" w:rsidRDefault="005D55B7" w:rsidP="006D2BA5">
            <w:pPr>
              <w:jc w:val="center"/>
              <w:rPr>
                <w:rFonts w:ascii="Arial" w:hAnsi="Arial" w:cs="Arial"/>
                <w:b/>
                <w:bCs/>
                <w:sz w:val="20"/>
                <w:szCs w:val="20"/>
              </w:rPr>
            </w:pPr>
          </w:p>
        </w:tc>
        <w:tc>
          <w:tcPr>
            <w:tcW w:w="810" w:type="dxa"/>
            <w:vMerge/>
            <w:tcBorders>
              <w:bottom w:val="single" w:sz="4" w:space="0" w:color="auto"/>
            </w:tcBorders>
          </w:tcPr>
          <w:p w14:paraId="636CD806" w14:textId="77777777" w:rsidR="005D55B7" w:rsidRPr="00AD7FB4" w:rsidRDefault="005D55B7" w:rsidP="006D2BA5">
            <w:pPr>
              <w:jc w:val="center"/>
              <w:rPr>
                <w:rFonts w:ascii="Arial" w:hAnsi="Arial" w:cs="Arial"/>
                <w:b/>
                <w:bCs/>
                <w:sz w:val="20"/>
                <w:szCs w:val="20"/>
              </w:rPr>
            </w:pPr>
          </w:p>
        </w:tc>
        <w:tc>
          <w:tcPr>
            <w:tcW w:w="990" w:type="dxa"/>
            <w:tcBorders>
              <w:bottom w:val="single" w:sz="4" w:space="0" w:color="auto"/>
            </w:tcBorders>
            <w:vAlign w:val="center"/>
          </w:tcPr>
          <w:p w14:paraId="61A83FBC"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Delayed</w:t>
            </w:r>
          </w:p>
        </w:tc>
        <w:tc>
          <w:tcPr>
            <w:tcW w:w="995" w:type="dxa"/>
            <w:tcBorders>
              <w:bottom w:val="single" w:sz="4" w:space="0" w:color="auto"/>
            </w:tcBorders>
            <w:vAlign w:val="center"/>
          </w:tcPr>
          <w:p w14:paraId="0EA1FC2C"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Normal</w:t>
            </w:r>
          </w:p>
        </w:tc>
        <w:tc>
          <w:tcPr>
            <w:tcW w:w="630" w:type="dxa"/>
            <w:vMerge/>
            <w:tcBorders>
              <w:bottom w:val="single" w:sz="4" w:space="0" w:color="auto"/>
            </w:tcBorders>
          </w:tcPr>
          <w:p w14:paraId="7753D489" w14:textId="77777777" w:rsidR="005D55B7" w:rsidRPr="0018446F" w:rsidRDefault="005D55B7" w:rsidP="006D2BA5">
            <w:pPr>
              <w:jc w:val="center"/>
              <w:rPr>
                <w:rFonts w:ascii="Arial" w:hAnsi="Arial" w:cs="Arial"/>
                <w:sz w:val="20"/>
                <w:szCs w:val="20"/>
              </w:rPr>
            </w:pPr>
          </w:p>
        </w:tc>
        <w:tc>
          <w:tcPr>
            <w:tcW w:w="720" w:type="dxa"/>
            <w:vMerge/>
            <w:tcBorders>
              <w:bottom w:val="single" w:sz="4" w:space="0" w:color="auto"/>
            </w:tcBorders>
          </w:tcPr>
          <w:p w14:paraId="660D8095" w14:textId="77777777" w:rsidR="005D55B7" w:rsidRPr="0018446F" w:rsidRDefault="005D55B7" w:rsidP="006D2BA5">
            <w:pPr>
              <w:jc w:val="center"/>
              <w:rPr>
                <w:rFonts w:ascii="Arial" w:hAnsi="Arial" w:cs="Arial"/>
                <w:sz w:val="20"/>
                <w:szCs w:val="20"/>
              </w:rPr>
            </w:pPr>
          </w:p>
        </w:tc>
      </w:tr>
      <w:tr w:rsidR="005D55B7" w:rsidRPr="00DA7327" w14:paraId="78275A52" w14:textId="77777777" w:rsidTr="00D00209">
        <w:trPr>
          <w:trHeight w:val="233"/>
        </w:trPr>
        <w:tc>
          <w:tcPr>
            <w:tcW w:w="985" w:type="dxa"/>
            <w:tcBorders>
              <w:bottom w:val="nil"/>
            </w:tcBorders>
          </w:tcPr>
          <w:p w14:paraId="48C948DE" w14:textId="668FB915" w:rsidR="005D55B7" w:rsidRPr="0018446F" w:rsidRDefault="005D55B7" w:rsidP="006D2BA5">
            <w:pPr>
              <w:jc w:val="both"/>
              <w:rPr>
                <w:rFonts w:ascii="Arial" w:hAnsi="Arial" w:cs="Arial"/>
                <w:sz w:val="20"/>
                <w:szCs w:val="20"/>
              </w:rPr>
            </w:pPr>
            <w:r w:rsidRPr="0018446F">
              <w:rPr>
                <w:rFonts w:ascii="Arial" w:hAnsi="Arial" w:cs="Arial"/>
                <w:sz w:val="20"/>
                <w:szCs w:val="20"/>
              </w:rPr>
              <w:t xml:space="preserve">&lt;1000 </w:t>
            </w:r>
          </w:p>
        </w:tc>
        <w:tc>
          <w:tcPr>
            <w:tcW w:w="1440" w:type="dxa"/>
            <w:tcBorders>
              <w:bottom w:val="nil"/>
            </w:tcBorders>
          </w:tcPr>
          <w:p w14:paraId="6CFD4A88"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w:t>
            </w:r>
          </w:p>
        </w:tc>
        <w:tc>
          <w:tcPr>
            <w:tcW w:w="1080" w:type="dxa"/>
            <w:tcBorders>
              <w:bottom w:val="nil"/>
            </w:tcBorders>
          </w:tcPr>
          <w:p w14:paraId="4C213419"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1</w:t>
            </w:r>
          </w:p>
        </w:tc>
        <w:tc>
          <w:tcPr>
            <w:tcW w:w="720" w:type="dxa"/>
            <w:vMerge w:val="restart"/>
            <w:tcBorders>
              <w:bottom w:val="nil"/>
            </w:tcBorders>
          </w:tcPr>
          <w:p w14:paraId="30D8841E"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-0.12</w:t>
            </w:r>
          </w:p>
        </w:tc>
        <w:tc>
          <w:tcPr>
            <w:tcW w:w="810" w:type="dxa"/>
            <w:vMerge w:val="restart"/>
            <w:tcBorders>
              <w:bottom w:val="nil"/>
            </w:tcBorders>
          </w:tcPr>
          <w:p w14:paraId="7D512EFD" w14:textId="65DF49DB" w:rsidR="005D55B7" w:rsidRPr="0018446F" w:rsidRDefault="005D55B7" w:rsidP="006D2BA5">
            <w:pPr>
              <w:jc w:val="center"/>
              <w:rPr>
                <w:rFonts w:ascii="Arial" w:hAnsi="Arial" w:cs="Arial"/>
                <w:sz w:val="20"/>
                <w:szCs w:val="20"/>
              </w:rPr>
            </w:pPr>
            <w:r w:rsidRPr="0018446F">
              <w:rPr>
                <w:rFonts w:ascii="Arial" w:hAnsi="Arial" w:cs="Arial"/>
                <w:sz w:val="20"/>
                <w:szCs w:val="20"/>
              </w:rPr>
              <w:t>0.38</w:t>
            </w:r>
          </w:p>
        </w:tc>
        <w:tc>
          <w:tcPr>
            <w:tcW w:w="990" w:type="dxa"/>
            <w:tcBorders>
              <w:bottom w:val="nil"/>
            </w:tcBorders>
          </w:tcPr>
          <w:p w14:paraId="2E8493A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2</w:t>
            </w:r>
          </w:p>
        </w:tc>
        <w:tc>
          <w:tcPr>
            <w:tcW w:w="995" w:type="dxa"/>
            <w:tcBorders>
              <w:bottom w:val="nil"/>
            </w:tcBorders>
          </w:tcPr>
          <w:p w14:paraId="2F221FC0"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3</w:t>
            </w:r>
          </w:p>
        </w:tc>
        <w:tc>
          <w:tcPr>
            <w:tcW w:w="630" w:type="dxa"/>
            <w:vMerge w:val="restart"/>
            <w:tcBorders>
              <w:bottom w:val="nil"/>
            </w:tcBorders>
          </w:tcPr>
          <w:p w14:paraId="4B28E2AA"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0.09</w:t>
            </w:r>
          </w:p>
        </w:tc>
        <w:tc>
          <w:tcPr>
            <w:tcW w:w="720" w:type="dxa"/>
            <w:vMerge w:val="restart"/>
            <w:tcBorders>
              <w:bottom w:val="nil"/>
            </w:tcBorders>
          </w:tcPr>
          <w:p w14:paraId="7A8C6C65" w14:textId="79F2777F" w:rsidR="005D55B7" w:rsidRPr="0018446F" w:rsidRDefault="005D55B7" w:rsidP="006D2BA5">
            <w:pPr>
              <w:jc w:val="center"/>
              <w:rPr>
                <w:rFonts w:ascii="Arial" w:hAnsi="Arial" w:cs="Arial"/>
                <w:sz w:val="20"/>
                <w:szCs w:val="20"/>
              </w:rPr>
            </w:pPr>
            <w:r w:rsidRPr="0018446F">
              <w:rPr>
                <w:rFonts w:ascii="Arial" w:hAnsi="Arial" w:cs="Arial"/>
                <w:sz w:val="20"/>
                <w:szCs w:val="20"/>
              </w:rPr>
              <w:t>0.51</w:t>
            </w:r>
          </w:p>
        </w:tc>
      </w:tr>
      <w:tr w:rsidR="005D55B7" w:rsidRPr="00DA7327" w14:paraId="4E598BEF" w14:textId="77777777" w:rsidTr="00D00209">
        <w:trPr>
          <w:trHeight w:val="270"/>
        </w:trPr>
        <w:tc>
          <w:tcPr>
            <w:tcW w:w="985" w:type="dxa"/>
            <w:tcBorders>
              <w:top w:val="nil"/>
            </w:tcBorders>
          </w:tcPr>
          <w:p w14:paraId="18C0F0E8" w14:textId="2B15779B" w:rsidR="005D55B7" w:rsidRPr="0018446F" w:rsidRDefault="005D55B7" w:rsidP="006D2BA5">
            <w:pPr>
              <w:jc w:val="both"/>
              <w:rPr>
                <w:rFonts w:ascii="Arial" w:hAnsi="Arial" w:cs="Arial"/>
                <w:sz w:val="20"/>
                <w:szCs w:val="20"/>
              </w:rPr>
            </w:pPr>
            <w:r w:rsidRPr="0018446F">
              <w:rPr>
                <w:rFonts w:ascii="Arial" w:hAnsi="Arial" w:cs="Arial"/>
                <w:sz w:val="20"/>
                <w:szCs w:val="20"/>
              </w:rPr>
              <w:lastRenderedPageBreak/>
              <w:t xml:space="preserve">≥1000 </w:t>
            </w:r>
          </w:p>
        </w:tc>
        <w:tc>
          <w:tcPr>
            <w:tcW w:w="1440" w:type="dxa"/>
            <w:tcBorders>
              <w:top w:val="nil"/>
            </w:tcBorders>
          </w:tcPr>
          <w:p w14:paraId="3CE6A429"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46</w:t>
            </w:r>
          </w:p>
        </w:tc>
        <w:tc>
          <w:tcPr>
            <w:tcW w:w="1080" w:type="dxa"/>
            <w:tcBorders>
              <w:top w:val="nil"/>
            </w:tcBorders>
          </w:tcPr>
          <w:p w14:paraId="7734955A"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w:t>
            </w:r>
          </w:p>
        </w:tc>
        <w:tc>
          <w:tcPr>
            <w:tcW w:w="720" w:type="dxa"/>
            <w:vMerge/>
            <w:tcBorders>
              <w:top w:val="nil"/>
            </w:tcBorders>
          </w:tcPr>
          <w:p w14:paraId="3752A371" w14:textId="77777777" w:rsidR="005D55B7" w:rsidRPr="0018446F" w:rsidRDefault="005D55B7" w:rsidP="006D2BA5">
            <w:pPr>
              <w:jc w:val="center"/>
              <w:rPr>
                <w:rFonts w:ascii="Arial" w:hAnsi="Arial" w:cs="Arial"/>
                <w:sz w:val="20"/>
                <w:szCs w:val="20"/>
              </w:rPr>
            </w:pPr>
          </w:p>
        </w:tc>
        <w:tc>
          <w:tcPr>
            <w:tcW w:w="810" w:type="dxa"/>
            <w:vMerge/>
            <w:tcBorders>
              <w:top w:val="nil"/>
            </w:tcBorders>
          </w:tcPr>
          <w:p w14:paraId="785508BA" w14:textId="77777777" w:rsidR="005D55B7" w:rsidRPr="0018446F" w:rsidRDefault="005D55B7" w:rsidP="006D2BA5">
            <w:pPr>
              <w:jc w:val="center"/>
              <w:rPr>
                <w:rFonts w:ascii="Arial" w:hAnsi="Arial" w:cs="Arial"/>
                <w:sz w:val="20"/>
                <w:szCs w:val="20"/>
              </w:rPr>
            </w:pPr>
          </w:p>
        </w:tc>
        <w:tc>
          <w:tcPr>
            <w:tcW w:w="990" w:type="dxa"/>
            <w:tcBorders>
              <w:top w:val="nil"/>
            </w:tcBorders>
          </w:tcPr>
          <w:p w14:paraId="713CD03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13</w:t>
            </w:r>
          </w:p>
        </w:tc>
        <w:tc>
          <w:tcPr>
            <w:tcW w:w="995" w:type="dxa"/>
            <w:tcBorders>
              <w:top w:val="nil"/>
            </w:tcBorders>
          </w:tcPr>
          <w:p w14:paraId="450D99F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37</w:t>
            </w:r>
          </w:p>
        </w:tc>
        <w:tc>
          <w:tcPr>
            <w:tcW w:w="630" w:type="dxa"/>
            <w:vMerge/>
            <w:tcBorders>
              <w:top w:val="nil"/>
            </w:tcBorders>
          </w:tcPr>
          <w:p w14:paraId="35D9530E" w14:textId="77777777" w:rsidR="005D55B7" w:rsidRPr="0018446F" w:rsidRDefault="005D55B7" w:rsidP="006D2BA5">
            <w:pPr>
              <w:jc w:val="center"/>
              <w:rPr>
                <w:rFonts w:ascii="Arial" w:hAnsi="Arial" w:cs="Arial"/>
                <w:sz w:val="20"/>
                <w:szCs w:val="20"/>
              </w:rPr>
            </w:pPr>
          </w:p>
        </w:tc>
        <w:tc>
          <w:tcPr>
            <w:tcW w:w="720" w:type="dxa"/>
            <w:vMerge/>
            <w:tcBorders>
              <w:top w:val="nil"/>
            </w:tcBorders>
          </w:tcPr>
          <w:p w14:paraId="6D541940" w14:textId="77777777" w:rsidR="005D55B7" w:rsidRPr="0018446F" w:rsidRDefault="005D55B7" w:rsidP="006D2BA5">
            <w:pPr>
              <w:jc w:val="center"/>
              <w:rPr>
                <w:rFonts w:ascii="Arial" w:hAnsi="Arial" w:cs="Arial"/>
                <w:sz w:val="20"/>
                <w:szCs w:val="20"/>
              </w:rPr>
            </w:pPr>
          </w:p>
        </w:tc>
      </w:tr>
    </w:tbl>
    <w:p w14:paraId="5F74E423" w14:textId="42B52515" w:rsidR="005D55B7" w:rsidRDefault="005D55B7" w:rsidP="005D55B7">
      <w:pPr>
        <w:pStyle w:val="Body"/>
        <w:spacing w:after="0"/>
        <w:jc w:val="center"/>
        <w:rPr>
          <w:rFonts w:ascii="Arial" w:hAnsi="Arial" w:cs="Arial"/>
        </w:rPr>
      </w:pPr>
      <w:r w:rsidRPr="005D55B7">
        <w:rPr>
          <w:rFonts w:ascii="Arial" w:hAnsi="Arial" w:cs="Arial"/>
        </w:rPr>
        <w:t>*Spearman test</w:t>
      </w:r>
    </w:p>
    <w:p w14:paraId="0E97882C" w14:textId="77777777" w:rsidR="005D55B7" w:rsidRDefault="005D55B7" w:rsidP="005D55B7">
      <w:pPr>
        <w:pStyle w:val="Body"/>
        <w:spacing w:after="0"/>
        <w:jc w:val="center"/>
        <w:rPr>
          <w:rFonts w:ascii="Arial" w:hAnsi="Arial" w:cs="Arial"/>
        </w:rPr>
      </w:pPr>
    </w:p>
    <w:p w14:paraId="39924205" w14:textId="77777777" w:rsidR="005D55B7" w:rsidRPr="00FF4301" w:rsidRDefault="005D55B7" w:rsidP="005D55B7">
      <w:pPr>
        <w:spacing w:after="160"/>
        <w:jc w:val="center"/>
        <w:rPr>
          <w:rFonts w:ascii="Arial" w:hAnsi="Arial" w:cs="Arial"/>
          <w:b/>
          <w:bCs/>
        </w:rPr>
      </w:pPr>
      <w:r w:rsidRPr="00FF4301">
        <w:rPr>
          <w:rFonts w:ascii="Arial" w:hAnsi="Arial" w:cs="Arial"/>
          <w:b/>
          <w:bCs/>
          <w:lang w:val="en"/>
        </w:rPr>
        <w:t xml:space="preserve">Table 4. </w:t>
      </w:r>
      <w:r>
        <w:rPr>
          <w:rFonts w:ascii="Arial" w:hAnsi="Arial" w:cs="Arial"/>
          <w:b/>
          <w:bCs/>
          <w:lang w:val="en"/>
        </w:rPr>
        <w:t xml:space="preserve">Correlation </w:t>
      </w:r>
      <w:r w:rsidRPr="00FF4301">
        <w:rPr>
          <w:rFonts w:ascii="Arial" w:hAnsi="Arial" w:cs="Arial"/>
          <w:b/>
          <w:bCs/>
          <w:lang w:val="en"/>
        </w:rPr>
        <w:t xml:space="preserve">between </w:t>
      </w:r>
      <w:r>
        <w:rPr>
          <w:rFonts w:ascii="Arial" w:hAnsi="Arial" w:cs="Arial"/>
          <w:b/>
          <w:bCs/>
          <w:lang w:val="en"/>
        </w:rPr>
        <w:t>s</w:t>
      </w:r>
      <w:r w:rsidRPr="00FF4301">
        <w:rPr>
          <w:rFonts w:ascii="Arial" w:hAnsi="Arial" w:cs="Arial"/>
          <w:b/>
          <w:bCs/>
          <w:lang w:val="en"/>
        </w:rPr>
        <w:t xml:space="preserve">erum </w:t>
      </w:r>
      <w:r>
        <w:rPr>
          <w:rFonts w:ascii="Arial" w:hAnsi="Arial" w:cs="Arial"/>
          <w:b/>
          <w:bCs/>
          <w:lang w:val="en"/>
        </w:rPr>
        <w:t>f</w:t>
      </w:r>
      <w:r w:rsidRPr="00FF4301">
        <w:rPr>
          <w:rFonts w:ascii="Arial" w:hAnsi="Arial" w:cs="Arial"/>
          <w:b/>
          <w:bCs/>
          <w:lang w:val="en"/>
        </w:rPr>
        <w:t xml:space="preserve">erritin </w:t>
      </w:r>
      <w:r>
        <w:rPr>
          <w:rFonts w:ascii="Arial" w:hAnsi="Arial" w:cs="Arial"/>
          <w:b/>
          <w:bCs/>
          <w:lang w:val="en"/>
        </w:rPr>
        <w:t>l</w:t>
      </w:r>
      <w:r w:rsidRPr="00FF4301">
        <w:rPr>
          <w:rFonts w:ascii="Arial" w:hAnsi="Arial" w:cs="Arial"/>
          <w:b/>
          <w:bCs/>
          <w:lang w:val="en"/>
        </w:rPr>
        <w:t xml:space="preserve">evels </w:t>
      </w:r>
      <w:r>
        <w:rPr>
          <w:rFonts w:ascii="Arial" w:hAnsi="Arial" w:cs="Arial"/>
          <w:b/>
          <w:bCs/>
          <w:lang w:val="en"/>
        </w:rPr>
        <w:t>b</w:t>
      </w:r>
      <w:r w:rsidRPr="00FF4301">
        <w:rPr>
          <w:rFonts w:ascii="Arial" w:hAnsi="Arial" w:cs="Arial"/>
          <w:b/>
          <w:bCs/>
          <w:lang w:val="en"/>
        </w:rPr>
        <w:t xml:space="preserve">ased on </w:t>
      </w:r>
      <w:r>
        <w:rPr>
          <w:rFonts w:ascii="Arial" w:hAnsi="Arial" w:cs="Arial"/>
          <w:b/>
          <w:bCs/>
          <w:lang w:val="en"/>
        </w:rPr>
        <w:t>i</w:t>
      </w:r>
      <w:r w:rsidRPr="00FF4301">
        <w:rPr>
          <w:rFonts w:ascii="Arial" w:hAnsi="Arial" w:cs="Arial"/>
          <w:b/>
          <w:bCs/>
          <w:lang w:val="en"/>
        </w:rPr>
        <w:t xml:space="preserve">ron </w:t>
      </w:r>
      <w:r>
        <w:rPr>
          <w:rFonts w:ascii="Arial" w:hAnsi="Arial" w:cs="Arial"/>
          <w:b/>
          <w:bCs/>
          <w:lang w:val="en"/>
        </w:rPr>
        <w:t>o</w:t>
      </w:r>
      <w:r w:rsidRPr="00FF4301">
        <w:rPr>
          <w:rFonts w:ascii="Arial" w:hAnsi="Arial" w:cs="Arial"/>
          <w:b/>
          <w:bCs/>
          <w:lang w:val="en"/>
        </w:rPr>
        <w:t xml:space="preserve">verload </w:t>
      </w:r>
      <w:r>
        <w:rPr>
          <w:rFonts w:ascii="Arial" w:hAnsi="Arial" w:cs="Arial"/>
          <w:b/>
          <w:bCs/>
          <w:lang w:val="en"/>
        </w:rPr>
        <w:t>c</w:t>
      </w:r>
      <w:r w:rsidRPr="00FF4301">
        <w:rPr>
          <w:rFonts w:ascii="Arial" w:hAnsi="Arial" w:cs="Arial"/>
          <w:b/>
          <w:bCs/>
          <w:lang w:val="en"/>
        </w:rPr>
        <w:t xml:space="preserve">lassification with </w:t>
      </w:r>
      <w:r>
        <w:rPr>
          <w:rFonts w:ascii="Arial" w:hAnsi="Arial" w:cs="Arial"/>
          <w:b/>
          <w:bCs/>
          <w:lang w:val="en"/>
        </w:rPr>
        <w:t>v</w:t>
      </w:r>
      <w:r w:rsidRPr="00FF4301">
        <w:rPr>
          <w:rFonts w:ascii="Arial" w:hAnsi="Arial" w:cs="Arial"/>
          <w:b/>
          <w:bCs/>
          <w:lang w:val="en"/>
        </w:rPr>
        <w:t xml:space="preserve">itamin D </w:t>
      </w:r>
      <w:r>
        <w:rPr>
          <w:rFonts w:ascii="Arial" w:hAnsi="Arial" w:cs="Arial"/>
          <w:b/>
          <w:bCs/>
          <w:lang w:val="en"/>
        </w:rPr>
        <w:t>l</w:t>
      </w:r>
      <w:r w:rsidRPr="00FF4301">
        <w:rPr>
          <w:rFonts w:ascii="Arial" w:hAnsi="Arial" w:cs="Arial"/>
          <w:b/>
          <w:bCs/>
          <w:lang w:val="en"/>
        </w:rPr>
        <w:t xml:space="preserve">evels and </w:t>
      </w:r>
      <w:r>
        <w:rPr>
          <w:rFonts w:ascii="Arial" w:hAnsi="Arial" w:cs="Arial"/>
          <w:b/>
          <w:bCs/>
          <w:lang w:val="en"/>
        </w:rPr>
        <w:t>d</w:t>
      </w:r>
      <w:r w:rsidRPr="00FF4301">
        <w:rPr>
          <w:rFonts w:ascii="Arial" w:hAnsi="Arial" w:cs="Arial"/>
          <w:b/>
          <w:bCs/>
          <w:lang w:val="en"/>
        </w:rPr>
        <w:t xml:space="preserve">elayed </w:t>
      </w:r>
      <w:r>
        <w:rPr>
          <w:rFonts w:ascii="Arial" w:hAnsi="Arial" w:cs="Arial"/>
          <w:b/>
          <w:bCs/>
          <w:lang w:val="en"/>
        </w:rPr>
        <w:t>b</w:t>
      </w:r>
      <w:r w:rsidRPr="00FF4301">
        <w:rPr>
          <w:rFonts w:ascii="Arial" w:hAnsi="Arial" w:cs="Arial"/>
          <w:b/>
          <w:bCs/>
          <w:lang w:val="en"/>
        </w:rPr>
        <w:t xml:space="preserve">one </w:t>
      </w:r>
      <w:r>
        <w:rPr>
          <w:rFonts w:ascii="Arial" w:hAnsi="Arial" w:cs="Arial"/>
          <w:b/>
          <w:bCs/>
          <w:lang w:val="en"/>
        </w:rPr>
        <w:t>a</w:t>
      </w:r>
      <w:r w:rsidRPr="00FF4301">
        <w:rPr>
          <w:rFonts w:ascii="Arial" w:hAnsi="Arial" w:cs="Arial"/>
          <w:b/>
          <w:bCs/>
          <w:lang w:val="en"/>
        </w:rPr>
        <w:t xml:space="preserve">ge in </w:t>
      </w:r>
      <w:r>
        <w:rPr>
          <w:rFonts w:ascii="Arial" w:hAnsi="Arial" w:cs="Arial"/>
          <w:b/>
          <w:bCs/>
          <w:lang w:val="en"/>
        </w:rPr>
        <w:t>c</w:t>
      </w:r>
      <w:r w:rsidRPr="00FF4301">
        <w:rPr>
          <w:rFonts w:ascii="Arial" w:hAnsi="Arial" w:cs="Arial"/>
          <w:b/>
          <w:bCs/>
          <w:lang w:val="en"/>
        </w:rPr>
        <w:t xml:space="preserve">hildren with </w:t>
      </w:r>
      <w:r>
        <w:rPr>
          <w:rFonts w:ascii="Arial" w:hAnsi="Arial" w:cs="Arial"/>
          <w:b/>
          <w:bCs/>
          <w:lang w:val="en"/>
        </w:rPr>
        <w:t>b</w:t>
      </w:r>
      <w:r w:rsidRPr="00FF4301">
        <w:rPr>
          <w:rFonts w:ascii="Arial" w:hAnsi="Arial" w:cs="Arial"/>
          <w:b/>
          <w:bCs/>
          <w:lang w:val="en"/>
        </w:rPr>
        <w:t xml:space="preserve">eta </w:t>
      </w:r>
      <w:r>
        <w:rPr>
          <w:rFonts w:ascii="Arial" w:hAnsi="Arial" w:cs="Arial"/>
          <w:b/>
          <w:bCs/>
          <w:lang w:val="en"/>
        </w:rPr>
        <w:t>t</w:t>
      </w:r>
      <w:r w:rsidRPr="00FF4301">
        <w:rPr>
          <w:rFonts w:ascii="Arial" w:hAnsi="Arial" w:cs="Arial"/>
          <w:b/>
          <w:bCs/>
          <w:lang w:val="en"/>
        </w:rPr>
        <w:t>halassemia</w:t>
      </w:r>
    </w:p>
    <w:tbl>
      <w:tblPr>
        <w:tblStyle w:val="TableGrid"/>
        <w:tblW w:w="855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90"/>
        <w:gridCol w:w="1625"/>
        <w:gridCol w:w="990"/>
        <w:gridCol w:w="810"/>
        <w:gridCol w:w="720"/>
        <w:gridCol w:w="990"/>
        <w:gridCol w:w="990"/>
        <w:gridCol w:w="720"/>
        <w:gridCol w:w="720"/>
      </w:tblGrid>
      <w:tr w:rsidR="00A25A69" w:rsidRPr="00AD7FB4" w14:paraId="0B594543" w14:textId="77777777" w:rsidTr="00A25A69">
        <w:tc>
          <w:tcPr>
            <w:tcW w:w="990" w:type="dxa"/>
            <w:vMerge w:val="restart"/>
          </w:tcPr>
          <w:p w14:paraId="718637BB" w14:textId="77777777" w:rsidR="00A25A69" w:rsidRDefault="00A25A69" w:rsidP="006D2BA5">
            <w:pPr>
              <w:jc w:val="both"/>
              <w:rPr>
                <w:rFonts w:ascii="Arial" w:hAnsi="Arial" w:cs="Arial"/>
                <w:b/>
                <w:bCs/>
                <w:sz w:val="20"/>
                <w:szCs w:val="20"/>
              </w:rPr>
            </w:pPr>
            <w:r w:rsidRPr="00A25A69">
              <w:rPr>
                <w:rFonts w:ascii="Arial" w:hAnsi="Arial" w:cs="Arial"/>
                <w:b/>
                <w:bCs/>
                <w:sz w:val="20"/>
                <w:szCs w:val="20"/>
              </w:rPr>
              <w:t>Ferritin</w:t>
            </w:r>
          </w:p>
          <w:p w14:paraId="2FAE4AB2" w14:textId="5E80DF38" w:rsidR="00D00209" w:rsidRPr="00A25A69" w:rsidRDefault="00D00209" w:rsidP="006D2BA5">
            <w:pPr>
              <w:jc w:val="both"/>
              <w:rPr>
                <w:rFonts w:ascii="Arial" w:hAnsi="Arial" w:cs="Arial"/>
                <w:b/>
                <w:bCs/>
                <w:sz w:val="20"/>
                <w:szCs w:val="20"/>
              </w:rPr>
            </w:pPr>
            <w:r>
              <w:rPr>
                <w:rFonts w:ascii="Arial" w:hAnsi="Arial" w:cs="Arial"/>
                <w:b/>
                <w:bCs/>
                <w:sz w:val="20"/>
                <w:szCs w:val="20"/>
              </w:rPr>
              <w:t>(ng/ml)</w:t>
            </w:r>
          </w:p>
        </w:tc>
        <w:tc>
          <w:tcPr>
            <w:tcW w:w="2615" w:type="dxa"/>
            <w:gridSpan w:val="2"/>
            <w:vAlign w:val="center"/>
          </w:tcPr>
          <w:p w14:paraId="4C744B48"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Vitamin D levels</w:t>
            </w:r>
          </w:p>
        </w:tc>
        <w:tc>
          <w:tcPr>
            <w:tcW w:w="810" w:type="dxa"/>
          </w:tcPr>
          <w:p w14:paraId="2478E0F9" w14:textId="77777777" w:rsidR="00A25A69" w:rsidRPr="00AD7FB4" w:rsidRDefault="00A25A69" w:rsidP="006D2BA5">
            <w:pPr>
              <w:rPr>
                <w:rFonts w:ascii="Arial" w:hAnsi="Arial" w:cs="Arial"/>
                <w:b/>
                <w:bCs/>
                <w:sz w:val="20"/>
                <w:szCs w:val="20"/>
              </w:rPr>
            </w:pPr>
          </w:p>
          <w:p w14:paraId="4C5B85CD"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r</w:t>
            </w:r>
          </w:p>
        </w:tc>
        <w:tc>
          <w:tcPr>
            <w:tcW w:w="720" w:type="dxa"/>
          </w:tcPr>
          <w:p w14:paraId="6E28DF0A" w14:textId="77777777" w:rsidR="00A25A69" w:rsidRPr="00AD7FB4" w:rsidRDefault="00A25A69" w:rsidP="006D2BA5">
            <w:pPr>
              <w:rPr>
                <w:rFonts w:ascii="Arial" w:hAnsi="Arial" w:cs="Arial"/>
                <w:b/>
                <w:bCs/>
                <w:sz w:val="20"/>
                <w:szCs w:val="20"/>
              </w:rPr>
            </w:pPr>
          </w:p>
          <w:p w14:paraId="31016D1B" w14:textId="77777777" w:rsidR="00A25A69" w:rsidRPr="00556629" w:rsidRDefault="00A25A69" w:rsidP="006D2BA5">
            <w:pPr>
              <w:jc w:val="center"/>
              <w:rPr>
                <w:rFonts w:ascii="Arial" w:hAnsi="Arial" w:cs="Arial"/>
                <w:b/>
                <w:bCs/>
                <w:i/>
                <w:iCs/>
                <w:sz w:val="20"/>
                <w:szCs w:val="20"/>
              </w:rPr>
            </w:pPr>
            <w:r w:rsidRPr="00556629">
              <w:rPr>
                <w:rFonts w:ascii="Arial" w:hAnsi="Arial" w:cs="Arial"/>
                <w:b/>
                <w:bCs/>
                <w:i/>
                <w:iCs/>
                <w:sz w:val="20"/>
                <w:szCs w:val="20"/>
              </w:rPr>
              <w:t>P</w:t>
            </w:r>
          </w:p>
        </w:tc>
        <w:tc>
          <w:tcPr>
            <w:tcW w:w="1980" w:type="dxa"/>
            <w:gridSpan w:val="2"/>
            <w:vAlign w:val="center"/>
          </w:tcPr>
          <w:p w14:paraId="1EC382F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Bone age</w:t>
            </w:r>
          </w:p>
        </w:tc>
        <w:tc>
          <w:tcPr>
            <w:tcW w:w="720" w:type="dxa"/>
          </w:tcPr>
          <w:p w14:paraId="4D85307A" w14:textId="77777777" w:rsidR="00A25A69" w:rsidRPr="00AD7FB4" w:rsidRDefault="00A25A69" w:rsidP="006D2BA5">
            <w:pPr>
              <w:jc w:val="center"/>
              <w:rPr>
                <w:rFonts w:ascii="Arial" w:hAnsi="Arial" w:cs="Arial"/>
                <w:b/>
                <w:bCs/>
                <w:sz w:val="20"/>
                <w:szCs w:val="20"/>
              </w:rPr>
            </w:pPr>
          </w:p>
          <w:p w14:paraId="09A188D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r</w:t>
            </w:r>
          </w:p>
        </w:tc>
        <w:tc>
          <w:tcPr>
            <w:tcW w:w="720" w:type="dxa"/>
          </w:tcPr>
          <w:p w14:paraId="150C909B" w14:textId="77777777" w:rsidR="00A25A69" w:rsidRPr="00AD7FB4" w:rsidRDefault="00A25A69" w:rsidP="006D2BA5">
            <w:pPr>
              <w:jc w:val="center"/>
              <w:rPr>
                <w:rFonts w:ascii="Arial" w:hAnsi="Arial" w:cs="Arial"/>
                <w:b/>
                <w:bCs/>
                <w:sz w:val="20"/>
                <w:szCs w:val="20"/>
              </w:rPr>
            </w:pPr>
          </w:p>
          <w:p w14:paraId="1E1449A0" w14:textId="77777777" w:rsidR="00A25A69" w:rsidRPr="00556629" w:rsidRDefault="00A25A69" w:rsidP="006D2BA5">
            <w:pPr>
              <w:jc w:val="center"/>
              <w:rPr>
                <w:rFonts w:ascii="Arial" w:hAnsi="Arial" w:cs="Arial"/>
                <w:b/>
                <w:bCs/>
                <w:i/>
                <w:iCs/>
                <w:sz w:val="20"/>
                <w:szCs w:val="20"/>
              </w:rPr>
            </w:pPr>
            <w:r w:rsidRPr="00556629">
              <w:rPr>
                <w:rFonts w:ascii="Arial" w:hAnsi="Arial" w:cs="Arial"/>
                <w:b/>
                <w:bCs/>
                <w:i/>
                <w:iCs/>
                <w:sz w:val="20"/>
                <w:szCs w:val="20"/>
              </w:rPr>
              <w:t>P</w:t>
            </w:r>
          </w:p>
        </w:tc>
      </w:tr>
      <w:tr w:rsidR="00A25A69" w:rsidRPr="00AD7FB4" w14:paraId="0979F298" w14:textId="77777777" w:rsidTr="00A25A69">
        <w:tc>
          <w:tcPr>
            <w:tcW w:w="990" w:type="dxa"/>
            <w:vMerge/>
            <w:tcBorders>
              <w:bottom w:val="single" w:sz="4" w:space="0" w:color="auto"/>
            </w:tcBorders>
          </w:tcPr>
          <w:p w14:paraId="7AC2CF69" w14:textId="77777777" w:rsidR="00A25A69" w:rsidRPr="00AD7FB4" w:rsidRDefault="00A25A69" w:rsidP="006D2BA5">
            <w:pPr>
              <w:jc w:val="both"/>
              <w:rPr>
                <w:rFonts w:ascii="Arial" w:hAnsi="Arial" w:cs="Arial"/>
                <w:sz w:val="20"/>
                <w:szCs w:val="20"/>
              </w:rPr>
            </w:pPr>
          </w:p>
        </w:tc>
        <w:tc>
          <w:tcPr>
            <w:tcW w:w="1625" w:type="dxa"/>
            <w:tcBorders>
              <w:bottom w:val="single" w:sz="4" w:space="0" w:color="auto"/>
            </w:tcBorders>
            <w:vAlign w:val="center"/>
          </w:tcPr>
          <w:p w14:paraId="1E9BF891" w14:textId="77777777" w:rsidR="00A25A69" w:rsidRPr="00AD7FB4" w:rsidRDefault="00A25A69" w:rsidP="006D2BA5">
            <w:pPr>
              <w:jc w:val="center"/>
              <w:rPr>
                <w:rFonts w:ascii="Arial" w:hAnsi="Arial" w:cs="Arial"/>
                <w:b/>
                <w:bCs/>
                <w:sz w:val="20"/>
                <w:szCs w:val="20"/>
              </w:rPr>
            </w:pPr>
            <w:r w:rsidRPr="0018446F">
              <w:rPr>
                <w:rFonts w:ascii="Arial" w:hAnsi="Arial" w:cs="Arial"/>
                <w:b/>
                <w:bCs/>
                <w:sz w:val="20"/>
                <w:szCs w:val="20"/>
                <w:lang w:val="en"/>
              </w:rPr>
              <w:t>Insufficiency/ Deficiency</w:t>
            </w:r>
          </w:p>
        </w:tc>
        <w:tc>
          <w:tcPr>
            <w:tcW w:w="990" w:type="dxa"/>
            <w:tcBorders>
              <w:bottom w:val="single" w:sz="4" w:space="0" w:color="auto"/>
            </w:tcBorders>
            <w:vAlign w:val="center"/>
          </w:tcPr>
          <w:p w14:paraId="609B8B3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Normal</w:t>
            </w:r>
          </w:p>
        </w:tc>
        <w:tc>
          <w:tcPr>
            <w:tcW w:w="810" w:type="dxa"/>
            <w:tcBorders>
              <w:bottom w:val="single" w:sz="4" w:space="0" w:color="auto"/>
            </w:tcBorders>
          </w:tcPr>
          <w:p w14:paraId="4A39CF0C" w14:textId="77777777" w:rsidR="00A25A69" w:rsidRPr="00AD7FB4" w:rsidRDefault="00A25A69" w:rsidP="006D2BA5">
            <w:pPr>
              <w:jc w:val="center"/>
              <w:rPr>
                <w:rFonts w:ascii="Arial" w:hAnsi="Arial" w:cs="Arial"/>
                <w:b/>
                <w:bCs/>
                <w:sz w:val="20"/>
                <w:szCs w:val="20"/>
              </w:rPr>
            </w:pPr>
          </w:p>
        </w:tc>
        <w:tc>
          <w:tcPr>
            <w:tcW w:w="720" w:type="dxa"/>
            <w:tcBorders>
              <w:bottom w:val="single" w:sz="4" w:space="0" w:color="auto"/>
            </w:tcBorders>
          </w:tcPr>
          <w:p w14:paraId="26C8CD10" w14:textId="77777777" w:rsidR="00A25A69" w:rsidRPr="00AD7FB4" w:rsidRDefault="00A25A69" w:rsidP="006D2BA5">
            <w:pPr>
              <w:jc w:val="center"/>
              <w:rPr>
                <w:rFonts w:ascii="Arial" w:hAnsi="Arial" w:cs="Arial"/>
                <w:b/>
                <w:bCs/>
                <w:sz w:val="20"/>
                <w:szCs w:val="20"/>
              </w:rPr>
            </w:pPr>
          </w:p>
        </w:tc>
        <w:tc>
          <w:tcPr>
            <w:tcW w:w="990" w:type="dxa"/>
            <w:tcBorders>
              <w:bottom w:val="single" w:sz="4" w:space="0" w:color="auto"/>
            </w:tcBorders>
            <w:vAlign w:val="center"/>
          </w:tcPr>
          <w:p w14:paraId="006FA027"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Delayed</w:t>
            </w:r>
          </w:p>
        </w:tc>
        <w:tc>
          <w:tcPr>
            <w:tcW w:w="990" w:type="dxa"/>
            <w:tcBorders>
              <w:bottom w:val="single" w:sz="4" w:space="0" w:color="auto"/>
            </w:tcBorders>
            <w:vAlign w:val="center"/>
          </w:tcPr>
          <w:p w14:paraId="555FBAA1"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Normal</w:t>
            </w:r>
          </w:p>
        </w:tc>
        <w:tc>
          <w:tcPr>
            <w:tcW w:w="720" w:type="dxa"/>
            <w:tcBorders>
              <w:bottom w:val="single" w:sz="4" w:space="0" w:color="auto"/>
            </w:tcBorders>
          </w:tcPr>
          <w:p w14:paraId="548790C0" w14:textId="77777777" w:rsidR="00A25A69" w:rsidRPr="00AD7FB4" w:rsidRDefault="00A25A69" w:rsidP="006D2BA5">
            <w:pPr>
              <w:jc w:val="center"/>
              <w:rPr>
                <w:rFonts w:ascii="Arial" w:hAnsi="Arial" w:cs="Arial"/>
                <w:sz w:val="20"/>
                <w:szCs w:val="20"/>
              </w:rPr>
            </w:pPr>
          </w:p>
        </w:tc>
        <w:tc>
          <w:tcPr>
            <w:tcW w:w="720" w:type="dxa"/>
            <w:tcBorders>
              <w:bottom w:val="single" w:sz="4" w:space="0" w:color="auto"/>
            </w:tcBorders>
          </w:tcPr>
          <w:p w14:paraId="6FC8E805" w14:textId="77777777" w:rsidR="00A25A69" w:rsidRPr="00AD7FB4" w:rsidRDefault="00A25A69" w:rsidP="006D2BA5">
            <w:pPr>
              <w:jc w:val="center"/>
              <w:rPr>
                <w:rFonts w:ascii="Arial" w:hAnsi="Arial" w:cs="Arial"/>
                <w:sz w:val="20"/>
                <w:szCs w:val="20"/>
              </w:rPr>
            </w:pPr>
          </w:p>
        </w:tc>
      </w:tr>
      <w:tr w:rsidR="00A25A69" w:rsidRPr="00AD7FB4" w14:paraId="5490366B" w14:textId="77777777" w:rsidTr="00A25A69">
        <w:tc>
          <w:tcPr>
            <w:tcW w:w="990" w:type="dxa"/>
            <w:tcBorders>
              <w:bottom w:val="nil"/>
            </w:tcBorders>
          </w:tcPr>
          <w:p w14:paraId="265C5E8D" w14:textId="110044EF" w:rsidR="00A25A69" w:rsidRPr="00AD7FB4" w:rsidRDefault="00A25A69" w:rsidP="006D2BA5">
            <w:pPr>
              <w:jc w:val="both"/>
              <w:rPr>
                <w:rFonts w:ascii="Arial" w:hAnsi="Arial" w:cs="Arial"/>
                <w:sz w:val="20"/>
                <w:szCs w:val="20"/>
              </w:rPr>
            </w:pPr>
            <w:r w:rsidRPr="00AD7FB4">
              <w:rPr>
                <w:rFonts w:ascii="Arial" w:hAnsi="Arial" w:cs="Arial"/>
                <w:sz w:val="20"/>
                <w:szCs w:val="20"/>
              </w:rPr>
              <w:t>≤</w:t>
            </w:r>
            <w:r w:rsidR="00D00209">
              <w:rPr>
                <w:rFonts w:ascii="Arial" w:hAnsi="Arial" w:cs="Arial"/>
                <w:sz w:val="20"/>
                <w:szCs w:val="20"/>
              </w:rPr>
              <w:t xml:space="preserve"> </w:t>
            </w:r>
            <w:r w:rsidRPr="00AD7FB4">
              <w:rPr>
                <w:rFonts w:ascii="Arial" w:hAnsi="Arial" w:cs="Arial"/>
                <w:sz w:val="20"/>
                <w:szCs w:val="20"/>
              </w:rPr>
              <w:t xml:space="preserve">2500 </w:t>
            </w:r>
          </w:p>
        </w:tc>
        <w:tc>
          <w:tcPr>
            <w:tcW w:w="1625" w:type="dxa"/>
            <w:tcBorders>
              <w:bottom w:val="nil"/>
            </w:tcBorders>
          </w:tcPr>
          <w:p w14:paraId="40A41CF1"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9</w:t>
            </w:r>
          </w:p>
        </w:tc>
        <w:tc>
          <w:tcPr>
            <w:tcW w:w="990" w:type="dxa"/>
            <w:tcBorders>
              <w:bottom w:val="nil"/>
            </w:tcBorders>
          </w:tcPr>
          <w:p w14:paraId="72F71B9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1</w:t>
            </w:r>
          </w:p>
        </w:tc>
        <w:tc>
          <w:tcPr>
            <w:tcW w:w="810" w:type="dxa"/>
            <w:vMerge w:val="restart"/>
            <w:tcBorders>
              <w:bottom w:val="nil"/>
            </w:tcBorders>
          </w:tcPr>
          <w:p w14:paraId="0CEA9274"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-0.015</w:t>
            </w:r>
          </w:p>
        </w:tc>
        <w:tc>
          <w:tcPr>
            <w:tcW w:w="720" w:type="dxa"/>
            <w:vMerge w:val="restart"/>
            <w:tcBorders>
              <w:bottom w:val="nil"/>
            </w:tcBorders>
          </w:tcPr>
          <w:p w14:paraId="1E0125EA" w14:textId="5DDE723B" w:rsidR="00A25A69" w:rsidRPr="00AD7FB4" w:rsidRDefault="00A25A69" w:rsidP="006D2BA5">
            <w:pPr>
              <w:jc w:val="center"/>
              <w:rPr>
                <w:rFonts w:ascii="Arial" w:hAnsi="Arial" w:cs="Arial"/>
                <w:sz w:val="20"/>
                <w:szCs w:val="20"/>
              </w:rPr>
            </w:pPr>
            <w:r w:rsidRPr="00AD7FB4">
              <w:rPr>
                <w:rFonts w:ascii="Arial" w:hAnsi="Arial" w:cs="Arial"/>
                <w:sz w:val="20"/>
                <w:szCs w:val="20"/>
              </w:rPr>
              <w:t>0.91</w:t>
            </w:r>
          </w:p>
        </w:tc>
        <w:tc>
          <w:tcPr>
            <w:tcW w:w="990" w:type="dxa"/>
            <w:tcBorders>
              <w:bottom w:val="nil"/>
            </w:tcBorders>
          </w:tcPr>
          <w:p w14:paraId="2D183735"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w:t>
            </w:r>
          </w:p>
        </w:tc>
        <w:tc>
          <w:tcPr>
            <w:tcW w:w="990" w:type="dxa"/>
            <w:tcBorders>
              <w:bottom w:val="nil"/>
            </w:tcBorders>
          </w:tcPr>
          <w:p w14:paraId="150AC4BF"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6</w:t>
            </w:r>
          </w:p>
        </w:tc>
        <w:tc>
          <w:tcPr>
            <w:tcW w:w="720" w:type="dxa"/>
            <w:vMerge w:val="restart"/>
            <w:tcBorders>
              <w:bottom w:val="nil"/>
            </w:tcBorders>
          </w:tcPr>
          <w:p w14:paraId="592A9AB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0.135</w:t>
            </w:r>
          </w:p>
        </w:tc>
        <w:tc>
          <w:tcPr>
            <w:tcW w:w="720" w:type="dxa"/>
            <w:vMerge w:val="restart"/>
            <w:tcBorders>
              <w:bottom w:val="nil"/>
            </w:tcBorders>
          </w:tcPr>
          <w:p w14:paraId="527E5BAF" w14:textId="4221472D" w:rsidR="00A25A69" w:rsidRPr="00AD7FB4" w:rsidRDefault="00A25A69" w:rsidP="006D2BA5">
            <w:pPr>
              <w:jc w:val="center"/>
              <w:rPr>
                <w:rFonts w:ascii="Arial" w:hAnsi="Arial" w:cs="Arial"/>
                <w:sz w:val="20"/>
                <w:szCs w:val="20"/>
              </w:rPr>
            </w:pPr>
            <w:r w:rsidRPr="00AD7FB4">
              <w:rPr>
                <w:rFonts w:ascii="Arial" w:hAnsi="Arial" w:cs="Arial"/>
                <w:sz w:val="20"/>
                <w:szCs w:val="20"/>
              </w:rPr>
              <w:t>0.32</w:t>
            </w:r>
          </w:p>
        </w:tc>
      </w:tr>
      <w:tr w:rsidR="00A25A69" w:rsidRPr="00AD7FB4" w14:paraId="73E9DB06" w14:textId="77777777" w:rsidTr="00A25A69">
        <w:tc>
          <w:tcPr>
            <w:tcW w:w="990" w:type="dxa"/>
            <w:tcBorders>
              <w:top w:val="nil"/>
            </w:tcBorders>
          </w:tcPr>
          <w:p w14:paraId="3B848BA6" w14:textId="61925D93" w:rsidR="00A25A69" w:rsidRPr="00AD7FB4" w:rsidRDefault="00A25A69" w:rsidP="006D2BA5">
            <w:pPr>
              <w:jc w:val="both"/>
              <w:rPr>
                <w:rFonts w:ascii="Arial" w:hAnsi="Arial" w:cs="Arial"/>
                <w:sz w:val="20"/>
                <w:szCs w:val="20"/>
              </w:rPr>
            </w:pPr>
            <w:r w:rsidRPr="00AD7FB4">
              <w:rPr>
                <w:rFonts w:ascii="Arial" w:hAnsi="Arial" w:cs="Arial"/>
                <w:sz w:val="20"/>
                <w:szCs w:val="20"/>
              </w:rPr>
              <w:t xml:space="preserve">&gt; 2500 </w:t>
            </w:r>
          </w:p>
        </w:tc>
        <w:tc>
          <w:tcPr>
            <w:tcW w:w="1625" w:type="dxa"/>
            <w:tcBorders>
              <w:top w:val="nil"/>
            </w:tcBorders>
          </w:tcPr>
          <w:p w14:paraId="66EE44E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41</w:t>
            </w:r>
          </w:p>
        </w:tc>
        <w:tc>
          <w:tcPr>
            <w:tcW w:w="990" w:type="dxa"/>
            <w:tcBorders>
              <w:top w:val="nil"/>
            </w:tcBorders>
          </w:tcPr>
          <w:p w14:paraId="5DD65DCF"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w:t>
            </w:r>
          </w:p>
        </w:tc>
        <w:tc>
          <w:tcPr>
            <w:tcW w:w="810" w:type="dxa"/>
            <w:vMerge/>
            <w:tcBorders>
              <w:top w:val="nil"/>
            </w:tcBorders>
          </w:tcPr>
          <w:p w14:paraId="03D9ACC3" w14:textId="77777777" w:rsidR="00A25A69" w:rsidRPr="00AD7FB4" w:rsidRDefault="00A25A69" w:rsidP="006D2BA5">
            <w:pPr>
              <w:jc w:val="center"/>
              <w:rPr>
                <w:rFonts w:ascii="Arial" w:hAnsi="Arial" w:cs="Arial"/>
                <w:sz w:val="20"/>
                <w:szCs w:val="20"/>
              </w:rPr>
            </w:pPr>
          </w:p>
        </w:tc>
        <w:tc>
          <w:tcPr>
            <w:tcW w:w="720" w:type="dxa"/>
            <w:vMerge/>
            <w:tcBorders>
              <w:top w:val="nil"/>
            </w:tcBorders>
          </w:tcPr>
          <w:p w14:paraId="50C57128" w14:textId="77777777" w:rsidR="00A25A69" w:rsidRPr="00AD7FB4" w:rsidRDefault="00A25A69" w:rsidP="006D2BA5">
            <w:pPr>
              <w:jc w:val="center"/>
              <w:rPr>
                <w:rFonts w:ascii="Arial" w:hAnsi="Arial" w:cs="Arial"/>
                <w:sz w:val="20"/>
                <w:szCs w:val="20"/>
              </w:rPr>
            </w:pPr>
          </w:p>
        </w:tc>
        <w:tc>
          <w:tcPr>
            <w:tcW w:w="990" w:type="dxa"/>
            <w:tcBorders>
              <w:top w:val="nil"/>
            </w:tcBorders>
          </w:tcPr>
          <w:p w14:paraId="4192EDD6"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11</w:t>
            </w:r>
          </w:p>
        </w:tc>
        <w:tc>
          <w:tcPr>
            <w:tcW w:w="990" w:type="dxa"/>
            <w:tcBorders>
              <w:top w:val="nil"/>
            </w:tcBorders>
          </w:tcPr>
          <w:p w14:paraId="3CBB1092"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34</w:t>
            </w:r>
          </w:p>
        </w:tc>
        <w:tc>
          <w:tcPr>
            <w:tcW w:w="720" w:type="dxa"/>
            <w:vMerge/>
            <w:tcBorders>
              <w:top w:val="nil"/>
            </w:tcBorders>
          </w:tcPr>
          <w:p w14:paraId="6F77851B" w14:textId="77777777" w:rsidR="00A25A69" w:rsidRPr="00AD7FB4" w:rsidRDefault="00A25A69" w:rsidP="006D2BA5">
            <w:pPr>
              <w:jc w:val="center"/>
              <w:rPr>
                <w:rFonts w:ascii="Arial" w:hAnsi="Arial" w:cs="Arial"/>
                <w:sz w:val="20"/>
                <w:szCs w:val="20"/>
              </w:rPr>
            </w:pPr>
          </w:p>
        </w:tc>
        <w:tc>
          <w:tcPr>
            <w:tcW w:w="720" w:type="dxa"/>
            <w:vMerge/>
            <w:tcBorders>
              <w:top w:val="nil"/>
            </w:tcBorders>
          </w:tcPr>
          <w:p w14:paraId="573A555E" w14:textId="77777777" w:rsidR="00A25A69" w:rsidRPr="00AD7FB4" w:rsidRDefault="00A25A69" w:rsidP="006D2BA5">
            <w:pPr>
              <w:jc w:val="center"/>
              <w:rPr>
                <w:rFonts w:ascii="Arial" w:hAnsi="Arial" w:cs="Arial"/>
                <w:sz w:val="20"/>
                <w:szCs w:val="20"/>
              </w:rPr>
            </w:pPr>
          </w:p>
        </w:tc>
      </w:tr>
    </w:tbl>
    <w:p w14:paraId="57901B32" w14:textId="77777777" w:rsidR="00A25A69" w:rsidRDefault="00A25A69" w:rsidP="00A25A69">
      <w:pPr>
        <w:pStyle w:val="Body"/>
        <w:spacing w:after="0"/>
        <w:jc w:val="center"/>
        <w:rPr>
          <w:rFonts w:ascii="Arial" w:hAnsi="Arial" w:cs="Arial"/>
        </w:rPr>
      </w:pPr>
      <w:r w:rsidRPr="005D55B7">
        <w:rPr>
          <w:rFonts w:ascii="Arial" w:hAnsi="Arial" w:cs="Arial"/>
        </w:rPr>
        <w:t>*Spearman test</w:t>
      </w:r>
    </w:p>
    <w:p w14:paraId="3203CE36" w14:textId="77777777" w:rsidR="005D55B7" w:rsidRDefault="005D55B7" w:rsidP="00A25A69">
      <w:pPr>
        <w:pStyle w:val="Body"/>
        <w:spacing w:after="0"/>
        <w:rPr>
          <w:rFonts w:ascii="Arial" w:hAnsi="Arial" w:cs="Arial"/>
          <w:color w:val="EE0000"/>
        </w:rPr>
      </w:pPr>
    </w:p>
    <w:p w14:paraId="7DC5D6B5" w14:textId="5B7A6AD9" w:rsidR="00832D2D" w:rsidRPr="00832D2D" w:rsidRDefault="00832D2D" w:rsidP="00832D2D">
      <w:pPr>
        <w:spacing w:after="160"/>
        <w:jc w:val="both"/>
        <w:rPr>
          <w:rFonts w:ascii="Arial" w:hAnsi="Arial" w:cs="Arial"/>
        </w:rPr>
      </w:pPr>
      <w:r w:rsidRPr="00F1651F">
        <w:rPr>
          <w:rFonts w:ascii="Arial" w:hAnsi="Arial" w:cs="Arial"/>
          <w:lang w:val="en"/>
        </w:rPr>
        <w:t xml:space="preserve">Vitamin D deficiency is a common condition that occurs in children with beta thalassemia with a multifactorial etiology. Excess iron in the liver, skin, parathyroid, endocrine organs (pituitary) is studied as a cause of vitamin D deficiency in beta thalassemia patients which can be measured from serum 25(OH)D3. The interaction of ultraviolet B radiation from sunlight with 7-dehydrocholesterol in the skin converts 7-dehydrocholesterol to </w:t>
      </w:r>
      <w:proofErr w:type="spellStart"/>
      <w:r w:rsidRPr="00F1651F">
        <w:rPr>
          <w:rFonts w:ascii="Arial" w:hAnsi="Arial" w:cs="Arial"/>
          <w:lang w:val="en"/>
        </w:rPr>
        <w:t>previtamin</w:t>
      </w:r>
      <w:proofErr w:type="spellEnd"/>
      <w:r w:rsidRPr="00F1651F">
        <w:rPr>
          <w:rFonts w:ascii="Arial" w:hAnsi="Arial" w:cs="Arial"/>
          <w:lang w:val="en"/>
        </w:rPr>
        <w:t xml:space="preserve"> D3, which is quickly converted back to vitamin D3</w:t>
      </w:r>
      <w:r w:rsidR="00395C71">
        <w:rPr>
          <w:rFonts w:ascii="Arial" w:hAnsi="Arial" w:cs="Arial"/>
          <w:lang w:val="en"/>
        </w:rPr>
        <w:t xml:space="preserve"> </w:t>
      </w:r>
      <w:r w:rsidR="00395C71">
        <w:rPr>
          <w:rFonts w:ascii="Arial" w:hAnsi="Arial" w:cs="Arial"/>
          <w:lang w:val="en"/>
        </w:rPr>
        <w:fldChar w:fldCharType="begin" w:fldLock="1"/>
      </w:r>
      <w:r w:rsidR="00395C71">
        <w:rPr>
          <w:rFonts w:ascii="Arial" w:hAnsi="Arial" w:cs="Arial"/>
          <w:lang w:val="en"/>
        </w:rPr>
        <w:instrText>ADDIN CSL_CITATION {"citationItems":[{"id":"ITEM-1","itemData":{"author":[{"dropping-particle":"","family":"Yati","given":"Niken Prita","non-dropping-particle":"","parse-names":false,"suffix":""},{"dropping-particle":"","family":"Batubara","given":"Jose Rizal Latief","non-dropping-particle":"","parse-names":false,"suffix":""},{"dropping-particle":"","family":"Suryawan","given":"I Wayan Bikin","non-dropping-particle":"","parse-names":false,"suffix":""}],"id":"ITEM-1","issued":{"date-parts":[["2018"]]},"number-of-pages":"1-5","publisher":"Badan Penerbit IDAI","publisher-place":"Jakarta","title":"Panduan Praktik Klinis Ikatan Dokter Anak Indonesia Vitamin D","type":"book"},"uris":["http://www.mendeley.com/documents/?uuid=945e1e9d-fe8a-469d-acbc-1fde419bafb3"]}],"mendeley":{"formattedCitation":"(Yati et al., 2018)","plainTextFormattedCitation":"(Yati et al., 2018)","previouslyFormattedCitation":"(Yati et al., 2018)"},"properties":{"noteIndex":0},"schema":"https://github.com/citation-style-language/schema/raw/master/csl-citation.json"}</w:instrText>
      </w:r>
      <w:r w:rsidR="00395C71">
        <w:rPr>
          <w:rFonts w:ascii="Arial" w:hAnsi="Arial" w:cs="Arial"/>
          <w:lang w:val="en"/>
        </w:rPr>
        <w:fldChar w:fldCharType="separate"/>
      </w:r>
      <w:r w:rsidR="00395C71" w:rsidRPr="00395C71">
        <w:rPr>
          <w:rFonts w:ascii="Arial" w:hAnsi="Arial" w:cs="Arial"/>
          <w:noProof/>
          <w:lang w:val="en"/>
        </w:rPr>
        <w:t>(Yati et al., 2018)</w:t>
      </w:r>
      <w:r w:rsidR="00395C71">
        <w:rPr>
          <w:rFonts w:ascii="Arial" w:hAnsi="Arial" w:cs="Arial"/>
          <w:lang w:val="en"/>
        </w:rPr>
        <w:fldChar w:fldCharType="end"/>
      </w:r>
      <w:r>
        <w:rPr>
          <w:rFonts w:ascii="Arial" w:hAnsi="Arial" w:cs="Arial"/>
          <w:lang w:val="en"/>
        </w:rPr>
        <w:t>.</w:t>
      </w:r>
      <w:r w:rsidRPr="00F1651F">
        <w:rPr>
          <w:rFonts w:ascii="Arial" w:hAnsi="Arial" w:cs="Arial"/>
          <w:lang w:val="en"/>
        </w:rPr>
        <w:t xml:space="preserve"> Patients with beta thalassemia major suffer from hyperpigmentation caused by iron deposition in the skin and increased bilirubin levels due to hemolysis</w:t>
      </w:r>
      <w:r w:rsidR="00395C71">
        <w:rPr>
          <w:rFonts w:ascii="Arial" w:hAnsi="Arial" w:cs="Arial"/>
          <w:lang w:val="en"/>
        </w:rPr>
        <w:t xml:space="preserve"> </w:t>
      </w:r>
      <w:r w:rsidR="00395C71">
        <w:rPr>
          <w:rFonts w:ascii="Arial" w:hAnsi="Arial" w:cs="Arial"/>
          <w:lang w:val="en"/>
        </w:rPr>
        <w:fldChar w:fldCharType="begin" w:fldLock="1"/>
      </w:r>
      <w:r w:rsidR="00A6112A">
        <w:rPr>
          <w:rFonts w:ascii="Arial" w:hAnsi="Arial" w:cs="Arial"/>
          <w:lang w:val="en"/>
        </w:rPr>
        <w:instrText>ADDIN CSL_CITATION {"citationItems":[{"id":"ITEM-1","itemData":{"DOI":"10.1515/tjb-2018-0120","ISSN":"1303829X","abstract":"Background: Iron overloaded Beta Thalassemia major (β-TM) patients have a high risk of liver problems. In recent years studies revealed that Vitamin D level is decreased in chronic liver diseases. The present study was designed to find the association between the serum Vitamin D levels and the liver iron deposition in patients with β-TM. Materials and methods: A total of 101 patients with a diagnosis of β-TM were included into this study. The patients were divided into four groups according to liver T2</w:instrText>
      </w:r>
      <w:r w:rsidR="00A6112A">
        <w:rPr>
          <w:rFonts w:ascii="Cambria Math" w:hAnsi="Cambria Math" w:cs="Cambria Math"/>
          <w:lang w:val="en"/>
        </w:rPr>
        <w:instrText>∗</w:instrText>
      </w:r>
      <w:r w:rsidR="00A6112A">
        <w:rPr>
          <w:rFonts w:ascii="Arial" w:hAnsi="Arial" w:cs="Arial"/>
          <w:lang w:val="en"/>
        </w:rPr>
        <w:instrText>MRI scores (group 1: normal, group 2: Mild iron load, group 3: Moderate iron load and group 4: Severe iron load). Serum Vitamin D was measured by chemiluminescence immunoassay method. Results: The Vitamin D level was median 14 (4-91) ng/mL. There was a positive correlation between Vitamin D levels and liver T2</w:instrText>
      </w:r>
      <w:r w:rsidR="00A6112A">
        <w:rPr>
          <w:rFonts w:ascii="Cambria Math" w:hAnsi="Cambria Math" w:cs="Cambria Math"/>
          <w:lang w:val="en"/>
        </w:rPr>
        <w:instrText>∗</w:instrText>
      </w:r>
      <w:r w:rsidR="00A6112A">
        <w:rPr>
          <w:rFonts w:ascii="Arial" w:hAnsi="Arial" w:cs="Arial"/>
          <w:lang w:val="en"/>
        </w:rPr>
        <w:instrText>MRI scores (r = 0.31, p &lt; 0.05). There is a significant difference between groups 1 and 4 for Vitamin D level (p &lt; 0.05). Vitamin D deficiency (&lt;20 ng/mL) was observed 71% in group 1, 67% in group 2, 80% in group 3 and 100% in group 4. Conclusions: Vitamin D monitorization and supplementation should be routine in β-TM patients to prevent both skeletal and non-skeletal complications.","author":[{"dropping-particle":"","family":"Kurtoǧlu","given":"Ayşegül Uǧur","non-dropping-particle":"","parse-names":false,"suffix":""},{"dropping-particle":"","family":"Kurtoǧlu","given":"Erdal","non-dropping-particle":"","parse-names":false,"suffix":""},{"dropping-particle":"","family":"Koçtekin","given":"Belkis","non-dropping-particle":"","parse-names":false,"suffix":""},{"dropping-particle":"","family":"Uǧur","given":"Sevcan","non-dropping-particle":"","parse-names":false,"suffix":""},{"dropping-particle":"","family":"Bozkurt","given":"Selen","non-dropping-particle":"","parse-names":false,"suffix":""}],"container-title":"Turkish Journal of Biochemistry","id":"ITEM-1","issued":{"date-parts":[["2019"]]},"page":"594-598","title":"Association between serum Vitamin D level and liver MRI T2 star in patients with β-thalassemia major","type":"article-journal","volume":"44"},"uris":["http://www.mendeley.com/documents/?uuid=81acba80-a504-4394-91aa-944d21cc6054"]}],"mendeley":{"formattedCitation":"(Kurtoǧlu et al., 2019)","plainTextFormattedCitation":"(Kurtoǧlu et al., 2019)","previouslyFormattedCitation":"(Kurtoǧlu et al., 2019)"},"properties":{"noteIndex":0},"schema":"https://github.com/citation-style-language/schema/raw/master/csl-citation.json"}</w:instrText>
      </w:r>
      <w:r w:rsidR="00395C71">
        <w:rPr>
          <w:rFonts w:ascii="Arial" w:hAnsi="Arial" w:cs="Arial"/>
          <w:lang w:val="en"/>
        </w:rPr>
        <w:fldChar w:fldCharType="separate"/>
      </w:r>
      <w:r w:rsidR="00395C71" w:rsidRPr="00395C71">
        <w:rPr>
          <w:rFonts w:ascii="Arial" w:hAnsi="Arial" w:cs="Arial"/>
          <w:noProof/>
          <w:lang w:val="en"/>
        </w:rPr>
        <w:t>(Kurtoǧlu et al., 2019)</w:t>
      </w:r>
      <w:r w:rsidR="00395C71">
        <w:rPr>
          <w:rFonts w:ascii="Arial" w:hAnsi="Arial" w:cs="Arial"/>
          <w:lang w:val="en"/>
        </w:rPr>
        <w:fldChar w:fldCharType="end"/>
      </w:r>
      <w:r w:rsidRPr="00F1651F">
        <w:rPr>
          <w:rFonts w:ascii="Arial" w:hAnsi="Arial" w:cs="Arial"/>
          <w:lang w:val="en"/>
        </w:rPr>
        <w:t xml:space="preserve">. The study found that bilirubin levels were high in 87% of patients and 97% of patients had vitamin D deficiency. Researchers think that the reason for 97% of patients experiencing vitamin D deficiency is skin hyperpigmentation that causes insufficient synthesis of 7-dehydrocholesterol to become </w:t>
      </w:r>
      <w:proofErr w:type="spellStart"/>
      <w:r w:rsidRPr="00F1651F">
        <w:rPr>
          <w:rFonts w:ascii="Arial" w:hAnsi="Arial" w:cs="Arial"/>
          <w:lang w:val="en"/>
        </w:rPr>
        <w:t>previtamin</w:t>
      </w:r>
      <w:proofErr w:type="spellEnd"/>
      <w:r w:rsidRPr="00F1651F">
        <w:rPr>
          <w:rFonts w:ascii="Arial" w:hAnsi="Arial" w:cs="Arial"/>
          <w:lang w:val="en"/>
        </w:rPr>
        <w:t xml:space="preserve"> D3.</w:t>
      </w:r>
    </w:p>
    <w:p w14:paraId="023804BF" w14:textId="310D828A" w:rsidR="00395C71" w:rsidRPr="00F1651F" w:rsidRDefault="00395C71" w:rsidP="00395C71">
      <w:pPr>
        <w:spacing w:after="160"/>
        <w:jc w:val="both"/>
        <w:rPr>
          <w:rFonts w:ascii="Arial" w:hAnsi="Arial" w:cs="Arial"/>
        </w:rPr>
      </w:pPr>
      <w:r w:rsidRPr="00F1651F">
        <w:rPr>
          <w:rFonts w:ascii="Arial" w:hAnsi="Arial" w:cs="Arial"/>
          <w:lang w:val="en"/>
        </w:rPr>
        <w:t xml:space="preserve">The liver participates in vitamin D synthesis. Vitamin D3 is transported in circulation to the liver, where it is converted by the 25-hydroxylase enzymes (CYP2R1 and CYP27A1) to 25-hydroxyvitamin D3 (25-(OH)D3) or </w:t>
      </w:r>
      <w:proofErr w:type="spellStart"/>
      <w:r w:rsidRPr="00F1651F">
        <w:rPr>
          <w:rFonts w:ascii="Arial" w:hAnsi="Arial" w:cs="Arial"/>
          <w:lang w:val="en"/>
        </w:rPr>
        <w:t>calcidiol</w:t>
      </w:r>
      <w:proofErr w:type="spellEnd"/>
      <w:r w:rsidR="00A6112A">
        <w:rPr>
          <w:rFonts w:ascii="Arial" w:hAnsi="Arial" w:cs="Arial"/>
          <w:lang w:val="en"/>
        </w:rPr>
        <w:t xml:space="preserve"> </w:t>
      </w:r>
      <w:r w:rsidR="00A6112A">
        <w:rPr>
          <w:rFonts w:ascii="Arial" w:hAnsi="Arial" w:cs="Arial"/>
          <w:lang w:val="en"/>
        </w:rPr>
        <w:fldChar w:fldCharType="begin" w:fldLock="1"/>
      </w:r>
      <w:r w:rsidR="00EA7F5D">
        <w:rPr>
          <w:rFonts w:ascii="Arial" w:hAnsi="Arial" w:cs="Arial"/>
          <w:lang w:val="en"/>
        </w:rPr>
        <w:instrText>ADDIN CSL_CITATION {"citationItems":[{"id":"ITEM-1","itemData":{"author":[{"dropping-particle":"","family":"Dominguez","given":"Ligia J","non-dropping-particle":"","parse-names":false,"suffix":""},{"dropping-particle":"","family":"Farruggia","given":"Mario","non-dropping-particle":"","parse-names":false,"suffix":""},{"dropping-particle":"","family":"Veronese","given":"Nicola","non-dropping-particle":"","parse-names":false,"suffix":""},{"dropping-particle":"","family":"Barbagallo","given":"Mario","non-dropping-particle":"","parse-names":false,"suffix":""}],"container-title":"Metabolites","id":"ITEM-1","issued":{"date-parts":[["2021"]]},"page":"255","title":"Vitamin D Sources , Metabolism , and Deficiency : Available Compounds and Guidelines for Its Treatment","type":"article-journal","volume":"11"},"uris":["http://www.mendeley.com/documents/?uuid=acfae61b-4a54-4891-9324-de8b2479b065"]}],"mendeley":{"formattedCitation":"(Dominguez et al., 2021)","plainTextFormattedCitation":"(Dominguez et al., 2021)","previouslyFormattedCitation":"(Dominguez et al., 2021)"},"properties":{"noteIndex":0},"schema":"https://github.com/citation-style-language/schema/raw/master/csl-citation.json"}</w:instrText>
      </w:r>
      <w:r w:rsidR="00A6112A">
        <w:rPr>
          <w:rFonts w:ascii="Arial" w:hAnsi="Arial" w:cs="Arial"/>
          <w:lang w:val="en"/>
        </w:rPr>
        <w:fldChar w:fldCharType="separate"/>
      </w:r>
      <w:r w:rsidR="00A6112A" w:rsidRPr="00A6112A">
        <w:rPr>
          <w:rFonts w:ascii="Arial" w:hAnsi="Arial" w:cs="Arial"/>
          <w:noProof/>
          <w:lang w:val="en"/>
        </w:rPr>
        <w:t>(Dominguez et al., 2021)</w:t>
      </w:r>
      <w:r w:rsidR="00A6112A">
        <w:rPr>
          <w:rFonts w:ascii="Arial" w:hAnsi="Arial" w:cs="Arial"/>
          <w:lang w:val="en"/>
        </w:rPr>
        <w:fldChar w:fldCharType="end"/>
      </w:r>
      <w:r w:rsidRPr="00F1651F">
        <w:rPr>
          <w:rFonts w:ascii="Arial" w:hAnsi="Arial" w:cs="Arial"/>
          <w:lang w:val="en"/>
        </w:rPr>
        <w:t>.</w:t>
      </w:r>
      <w:r>
        <w:rPr>
          <w:rFonts w:ascii="Arial" w:hAnsi="Arial" w:cs="Arial"/>
          <w:lang w:val="en"/>
        </w:rPr>
        <w:t xml:space="preserve"> </w:t>
      </w:r>
      <w:r w:rsidRPr="00F1651F">
        <w:rPr>
          <w:rFonts w:ascii="Arial" w:hAnsi="Arial" w:cs="Arial"/>
          <w:lang w:val="en"/>
        </w:rPr>
        <w:t>The liver is the first organ affected by iron overload because it is the site of iron storage. Repeated blood transfusions in patients with Beta thalassemia major cause iron overload and deposition in the liver. Progressive iron accumulation causes functional and structural damage to hepatocytes through fibrosis. This supports the theory that impaired hepatic hydroxylation is associated with reduced 25-OHD levels in thalassemia patients. A multicenter observational study in Iran found the prevalence of vitamin D insufficiency (&lt;30 ng/ml) was 41.9 (95% CI 37.5-46.3). This study in Iran also found that risk factors for vitamin D insufficiency were moderate to severe liver siderosis (OR=2.31, 95% CI 1.38-3.89) and increased AST (OR=2.62, 95%CI 1.43-4.79)</w:t>
      </w:r>
      <w:r w:rsidR="00EA7F5D">
        <w:rPr>
          <w:rFonts w:ascii="Arial" w:hAnsi="Arial" w:cs="Arial"/>
          <w:lang w:val="en"/>
        </w:rPr>
        <w:t xml:space="preserve"> </w:t>
      </w:r>
      <w:r w:rsidR="00EA7F5D">
        <w:rPr>
          <w:rFonts w:ascii="Arial" w:hAnsi="Arial" w:cs="Arial"/>
          <w:lang w:val="en"/>
        </w:rPr>
        <w:fldChar w:fldCharType="begin" w:fldLock="1"/>
      </w:r>
      <w:r w:rsidR="00C941D6">
        <w:rPr>
          <w:rFonts w:ascii="Arial" w:hAnsi="Arial" w:cs="Arial"/>
          <w:lang w:val="en"/>
        </w:rPr>
        <w:instrText>ADDIN CSL_CITATION {"citationItems":[{"id":"ITEM-1","itemData":{"DOI":"10.1038/s41598-020-78230-4","ISBN":"0123456789","ISSN":"20452322","PMID":"33273639","abstract":"Numerous problematic disorders such as vitamin D (Vit-D) deficiency subsequent to large iron loading can be developed in patients with β-thalassemia. The study aimed to estimate Vit-D insufficiency and its risk factors in patients with β-thalassemia. In this multicenter and observational study, all β-thalassemia patients, who referred to 14 hospital-based thalassemia divisions or clinics in Mazandaran province, Iran were included in the study. The data belong to December 2015 until December 2019. The study population was made of transfusion dependent thalassemia (TDT) and non-transfusion-dependent thalassemia (NTDT) patients. Serum levels of 25-OHD3 have been measured by high performance liquid chromatography (HPLC) method as ng/mL. Demographic and clinical information along with some biological tests, as well as the results of T2*-weighted magnetic resonance imaging were analyzed. Of 1959 registered patients, 487 (24.9%) patients had Vit-D-related data. The prevalence of Vit-D insufficiency (&lt; 30 ng/mL) was 41.9, 95% CI 37.5–46.3. The adjusted risks of moderate to severe liver siderosis and raised AST (aspartate aminotransferase) for Vit-D insufficiency (&lt; 30 ng/mL) were 2.31, 95% CI 1.38–3.89 and 2.62, 95% CI 1.43–4.79, respectively. The receiver operating characteristic (ROC) curve analysis showed that the predictive accuracy of ferritin for Vit-D insufficiency status was 0.61, 95% CI 0.54–0.68 with a cutoff point of 1,078 ng/mL (P = 0.03, sensitivity 67%, specificity 49%, positive predictive value [PPV] 47% and negative predictive value [NPV] 68%). In spite of the national programs for treating Vit-D deficiency and our previous efforts for giving supplements to all patients, Vit-D insufficiency/deficiency is still common in our patients. Also, moderate to severe liver siderosis and raised AST were the independent risk factors for the Vit-D insufficiency.","author":[{"dropping-particle":"","family":"Khezri","given":"Hadi Darvishi","non-dropping-particle":"","parse-names":false,"suffix":""},{"dropping-particle":"","family":"Karami","given":"Hossein","non-dropping-particle":"","parse-names":false,"suffix":""},{"dropping-particle":"","family":"Naderisorki","given":"Mohammad","non-dropping-particle":"","parse-names":false,"suffix":""},{"dropping-particle":"","family":"Zahedi","given":"Mohammad","non-dropping-particle":"","parse-names":false,"suffix":""},{"dropping-particle":"","family":"Razavi","given":"Alireza","non-dropping-particle":"","parse-names":false,"suffix":""},{"dropping-particle":"","family":"Kosaryan","given":"Mehrnoush","non-dropping-particle":"","parse-names":false,"suffix":""},{"dropping-particle":"","family":"Aliasgharian","given":"Aily","non-dropping-particle":"","parse-names":false,"suffix":""}],"container-title":"Scientific Reports","id":"ITEM-1","issued":{"date-parts":[["2020"]]},"page":"1-8","title":"Moderate to severe liver siderosis and raised AST are independent risk factors for vitamin D insufficiency in β-thalassemia patients","type":"article-journal","volume":"10"},"uris":["http://www.mendeley.com/documents/?uuid=ec461e7d-8ba8-4e7f-8aa1-e142335ba5a8"]}],"mendeley":{"formattedCitation":"(Khezri et al., 2020)","plainTextFormattedCitation":"(Khezri et al., 2020)","previouslyFormattedCitation":"(Khezri et al., 2020)"},"properties":{"noteIndex":0},"schema":"https://github.com/citation-style-language/schema/raw/master/csl-citation.json"}</w:instrText>
      </w:r>
      <w:r w:rsidR="00EA7F5D">
        <w:rPr>
          <w:rFonts w:ascii="Arial" w:hAnsi="Arial" w:cs="Arial"/>
          <w:lang w:val="en"/>
        </w:rPr>
        <w:fldChar w:fldCharType="separate"/>
      </w:r>
      <w:r w:rsidR="00EA7F5D" w:rsidRPr="00EA7F5D">
        <w:rPr>
          <w:rFonts w:ascii="Arial" w:hAnsi="Arial" w:cs="Arial"/>
          <w:noProof/>
          <w:lang w:val="en"/>
        </w:rPr>
        <w:t>(Khezri et al., 2020)</w:t>
      </w:r>
      <w:r w:rsidR="00EA7F5D">
        <w:rPr>
          <w:rFonts w:ascii="Arial" w:hAnsi="Arial" w:cs="Arial"/>
          <w:lang w:val="en"/>
        </w:rPr>
        <w:fldChar w:fldCharType="end"/>
      </w:r>
      <w:r>
        <w:rPr>
          <w:rFonts w:ascii="Arial" w:hAnsi="Arial" w:cs="Arial"/>
          <w:lang w:val="en"/>
        </w:rPr>
        <w:t>.</w:t>
      </w:r>
    </w:p>
    <w:p w14:paraId="64BEC6C1" w14:textId="5DA64A39" w:rsidR="00EA7F5D" w:rsidRDefault="00EA7F5D" w:rsidP="00441B6F">
      <w:pPr>
        <w:pStyle w:val="Body"/>
        <w:spacing w:after="0"/>
        <w:rPr>
          <w:rFonts w:ascii="Arial" w:hAnsi="Arial" w:cs="Arial"/>
          <w:lang w:val="en"/>
        </w:rPr>
      </w:pPr>
      <w:r w:rsidRPr="007347FC">
        <w:rPr>
          <w:rFonts w:ascii="Arial" w:hAnsi="Arial" w:cs="Arial"/>
          <w:lang w:val="en"/>
        </w:rPr>
        <w:t>Excess iron and iron deposits in the parathyroid glands cause parathyroid chief cell dysfunction and reduced parathyroid hormone levels</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{"citationItems":[{"id":"ITEM-1","itemData":{"DOI":"10.1007/s12576-018-0600-1","ISBN":"1257601806","ISSN":"18806546","PMID":"29484538","abstract":"Osteoporosis and derangement of calcium homeostasis are common complications of thalassemia. Despite being an important process for bone and calcium metabolism, little is known about intestinal calcium transport in thalassemia. Recent reports of decreases in both intestinal calcium transport and bone mineral density in thalassemic patients and animal models suggested that defective calcium absorption might be a cause of thalassemic bone disorder. Herein, the possible mechanisms associated with intestinal calcium malabsorption in thalassemia are discussed. This includes alterations in the calcium transporters and hormonal controls of the transcellular and paracellular intestinal transport systems in thalassemia. In addition, the effects of iron overload on intestinal calcium absorption, and the reciprocal interaction between iron and calcium transport in thalassemia are elaborated. Understanding the mechanisms underlining calcium malabsorption in thalassemia would lead to development of therapeutic agents and mineral supplements that restore calcium absorption as well as prevent osteoporosis in thalassemic patients.","author":[{"dropping-particle":"","family":"Lertsuwan","given":"Kornkamon","non-dropping-particle":"","parse-names":false,"suffix":""},{"dropping-particle":"","family":"Wongdee","given":"Kannikar","non-dropping-particle":"","parse-names":false,"suffix":""},{"dropping-particle":"","family":"Teerapornpuntakit","given":"Jarinthorn","non-dropping-particle":"","parse-names":false,"suffix":""},{"dropping-particle":"","family":"Charoenphandhu","given":"Narattaphol","non-dropping-particle":"","parse-names":false,"suffix":""}],"container-title":"Journal of Physiological Sciences","id":"ITEM-1","issued":{"date-parts":[["2018"]]},"page":"221-232","title":"Intestinal calcium transport and its regulation in thalassemia: interaction between calcium and iron metabolism","type":"article-journal","volume":"68"},"uris":["http://www.mendeley.com/documents/?uuid=839651a1-dfc0-4e12-b5f1-26c69f957f98"]}],"mendeley":{"formattedCitation":"(Lertsuwan et al., 2018)","plainTextFormattedCitation":"(Lertsuwan et al., 2018)","previouslyFormattedCitation":"(Lertsuwan et al., 2018)"},"properties":{"noteIndex":0},"schema":"https://github.com/citation-style-language/schema/raw/master/csl-citation.json"}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(Lertsuwan et al., 2018)</w:t>
      </w:r>
      <w:r w:rsidR="00C941D6">
        <w:rPr>
          <w:rFonts w:ascii="Arial" w:hAnsi="Arial" w:cs="Arial"/>
          <w:lang w:val="en"/>
        </w:rPr>
        <w:fldChar w:fldCharType="end"/>
      </w:r>
      <w:r w:rsidRPr="007347FC">
        <w:rPr>
          <w:rFonts w:ascii="Arial" w:hAnsi="Arial" w:cs="Arial"/>
          <w:lang w:val="en"/>
        </w:rPr>
        <w:t>. Parathyroid hormone is a potent stimulant of 1,25 (OH)2 D3 production in the kidneys. To activate vitamin D, a second hydroxylation stage occurs in the kidneys via the enzyme 1-α hydroxylase (CYP27B1) which converts 25-hydroxyvitamin D3 to 1α, 25-dihydroxyvitamin D3 (1α, 25(OH)2 D3) or calcitriol, which is called the active form of vitamin D</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{"citationItems":[{"id":"ITEM-1","itemData":{"author":[{"dropping-particle":"","family":"Dominguez","given":"Ligia J","non-dropping-particle":"","parse-names":false,"suffix":""},{"dropping-particle":"","family":"Farruggia","given":"Mario","non-dropping-particle":"","parse-names":false,"suffix":""},{"dropping-particle":"","family":"Veronese","given":"Nicola","non-dropping-particle":"","parse-names":false,"suffix":""},{"dropping-particle":"","family":"Barbagallo","given":"Mario","non-dropping-particle":"","parse-names":false,"suffix":""}],"container-title":"Metabolites","id":"ITEM-1","issued":{"date-parts":[["2021"]]},"page":"255","title":"Vitamin D Sources , Metabolism , and Deficiency : Available Compounds and Guidelines for Its Treatment","type":"article-journal","volume":"11"},"uris":["http://www.mendeley.com/documents/?uuid=acfae61b-4a54-4891-9324-de8b2479b065"]}],"mendeley":{"formattedCitation":"(Dominguez et al., 2021)","plainTextFormattedCitation":"(Dominguez et al., 2021)","previouslyFormattedCitation":"(Dominguez et al., 2021)"},"properties":{"noteIndex":0},"schema":"https://github.com/citation-style-language/schema/raw/master/csl-citation.json"}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(Dominguez et al., 2021)</w:t>
      </w:r>
      <w:r w:rsidR="00C941D6">
        <w:rPr>
          <w:rFonts w:ascii="Arial" w:hAnsi="Arial" w:cs="Arial"/>
          <w:lang w:val="en"/>
        </w:rPr>
        <w:fldChar w:fldCharType="end"/>
      </w:r>
      <w:r w:rsidRPr="007347FC">
        <w:rPr>
          <w:rFonts w:ascii="Arial" w:hAnsi="Arial" w:cs="Arial"/>
          <w:lang w:val="en"/>
        </w:rPr>
        <w:t>. Decreased parathyroid hormone levels due to thalassemia cause lower serum 1,25 (OH)2 D3 levels and subsequently reduce intestinal calcium transporter expression and intercellular calcium absorption</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{"citationItems":[{"id":"ITEM-1","itemData":{"DOI":"10.1007/s12576-018-0600-1","ISBN":"1257601806","ISSN":"18806546","PMID":"29484538","abstract":"Osteoporosis and derangement of calcium homeostasis are common complications of thalassemia. Despite being an important process for bone and calcium metabolism, little is known about intestinal calcium transport in thalassemia. Recent reports of decreases in both intestinal calcium transport and bone mineral density in thalassemic patients and animal models suggested that defective calcium absorption might be a cause of thalassemic bone disorder. Herein, the possible mechanisms associated with intestinal calcium malabsorption in thalassemia are discussed. This includes alterations in the calcium transporters and hormonal controls of the transcellular and paracellular intestinal transport systems in thalassemia. In addition, the effects of iron overload on intestinal calcium absorption, and the reciprocal interaction between iron and calcium transport in thalassemia are elaborated. Understanding the mechanisms underlining calcium malabsorption in thalassemia would lead to development of therapeutic agents and mineral supplements that restore calcium absorption as well as prevent osteoporosis in thalassemic patients.","author":[{"dropping-particle":"","family":"Lertsuwan","given":"Kornkamon","non-dropping-particle":"","parse-names":false,"suffix":""},{"dropping-particle":"","family":"Wongdee","given":"Kannikar","non-dropping-particle":"","parse-names":false,"suffix":""},{"dropping-particle":"","family":"Teerapornpuntakit","given":"Jarinthorn","non-dropping-particle":"","parse-names":false,"suffix":""},{"dropping-particle":"","family":"Charoenphandhu","given":"Narattaphol","non-dropping-particle":"","parse-names":false,"suffix":""}],"container-title":"Journal of Physiological Sciences","id":"ITEM-1","issued":{"date-parts":[["2018"]]},"page":"221-232","title":"Intestinal calcium transport and its regulation in thalassemia: interaction between calcium and iron metabolism","type":"article-journal","volume":"68"},"uris":["http://www.mendeley.com/documents/?uuid=839651a1-dfc0-4e12-b5f1-26c69f957f98"]}],"mendeley":{"formattedCitation":"(Lertsuwan et al., 2018)","plainTextFormattedCitation":"(Lertsuwan et al., 2018)","previouslyFormattedCitation":"(Lertsuwan et al., 2018)"},"properties":{"noteIndex":0},"schema":"https://github.com/citation-style-language/schema/raw/master/csl-citation.json"}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(Lertsuwan et al., 2018)</w:t>
      </w:r>
      <w:r w:rsidR="00C941D6">
        <w:rPr>
          <w:rFonts w:ascii="Arial" w:hAnsi="Arial" w:cs="Arial"/>
          <w:lang w:val="en"/>
        </w:rPr>
        <w:fldChar w:fldCharType="end"/>
      </w:r>
      <w:r w:rsidRPr="007347FC">
        <w:rPr>
          <w:rFonts w:ascii="Arial" w:hAnsi="Arial" w:cs="Arial"/>
          <w:lang w:val="en"/>
        </w:rPr>
        <w:t>. In a study in Aceh with pediatric beta thalassemia major patients aged 2-18 years, it was found that 45% of subjects experienced vitamin D deficiency, 25% vitamin D insufficiency and 77.5% hypocalcemia. The study also found that 94.4% of subjects with vitamin D deficiency also experienced hypocalcemia (r=0.037, p=0.017), concluding that there was a significant relationship between vitamin D and serum calcium in children with beta thalassemia major</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{"citationItems":[{"id":"ITEM-1","itemData":{"author":[{"dropping-particle":"","family":"Fiska","given":"R R Rima Aulia","non-dropping-particle":"","parse-names":false,"suffix":""},{"dropping-particle":"","family":"Edward","given":"Eka Destianti","non-dropping-particle":"","parse-names":false,"suffix":""},{"dropping-particle":"","family":"Amna","given":"Eka Yunita","non-dropping-particle":"","parse-names":false,"suffix":""},{"dropping-particle":"","family":"Herdata","given":"Heru Noviat","non-dropping-particle":"","parse-names":false,"suffix":""},{"dropping-particle":"","family":"Sovira","given":"Nora","non-dropping-particle":"","parse-names":false,"suffix":""},{"dropping-particle":"","family":"Ismy","given":"Jufitriani","non-dropping-particle":"","parse-names":false,"suffix":""}],"container-title":"Aceh Nutrition Journal","id":"ITEM-1","issued":{"date-parts":[["2025"]]},"page":"638-649","title":"Vitamin D and calcium status in children with thalassemia beta major : A cross sectional study in Banda Aceh","type":"article-journal","volume":"10"},"uris":["http://www.mendeley.com/documents/?uuid=e74e55bd-52d7-47d0-9bf4-2e03e800dc6f"]}],"mendeley":{"formattedCitation":"(Fiska et al., 2025)","plainTextFormattedCitation":"(Fiska et al., 2025)","previouslyFormattedCitation":"(Fiska et al., 2025)"},"properties":{"noteIndex":0},"schema":"https://github.com/citation-style-language/schema/raw/master/csl-citation.json"}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(Fiska et al., 2025)</w:t>
      </w:r>
      <w:r w:rsidR="00C941D6">
        <w:rPr>
          <w:rFonts w:ascii="Arial" w:hAnsi="Arial" w:cs="Arial"/>
          <w:lang w:val="en"/>
        </w:rPr>
        <w:fldChar w:fldCharType="end"/>
      </w:r>
      <w:r w:rsidRPr="007347FC">
        <w:rPr>
          <w:rFonts w:ascii="Arial" w:hAnsi="Arial" w:cs="Arial"/>
          <w:lang w:val="en"/>
        </w:rPr>
        <w:t xml:space="preserve">. A cross-sectional study in </w:t>
      </w:r>
      <w:r w:rsidRPr="007347FC">
        <w:rPr>
          <w:rFonts w:ascii="Arial" w:hAnsi="Arial" w:cs="Arial"/>
          <w:lang w:val="en"/>
        </w:rPr>
        <w:lastRenderedPageBreak/>
        <w:t xml:space="preserve">India found a prevalence of vitamin D deficiency </w:t>
      </w:r>
      <w:r w:rsidR="001D3639">
        <w:rPr>
          <w:rFonts w:ascii="Arial" w:hAnsi="Arial" w:cs="Arial"/>
          <w:lang w:val="en"/>
        </w:rPr>
        <w:t>was</w:t>
      </w:r>
      <w:r w:rsidRPr="007347FC">
        <w:rPr>
          <w:rFonts w:ascii="Arial" w:hAnsi="Arial" w:cs="Arial"/>
          <w:lang w:val="en"/>
        </w:rPr>
        <w:t xml:space="preserve"> 63.9% and low parathyroid levels in 21.3% of pediatric beta thalassemia patients. The study also found a negative correlation between serum vitamin D and increasing age and increasing serum ferritin levels</w:t>
      </w:r>
      <w:r w:rsidR="00C941D6">
        <w:rPr>
          <w:rFonts w:ascii="Arial" w:hAnsi="Arial" w:cs="Arial"/>
          <w:lang w:val="en"/>
        </w:rPr>
        <w:t xml:space="preserve"> </w:t>
      </w:r>
      <w:r w:rsidR="00C941D6">
        <w:rPr>
          <w:rFonts w:ascii="Arial" w:hAnsi="Arial" w:cs="Arial"/>
          <w:lang w:val="en"/>
        </w:rPr>
        <w:fldChar w:fldCharType="begin" w:fldLock="1"/>
      </w:r>
      <w:r w:rsidR="009814F5">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Study","type":"article-journal","volume":"28"},"uris":["http://www.mendeley.com/documents/?uuid=fbc003f3-aeaa-4a2e-9e1e-3a8275f68530"]}],"mendeley":{"formattedCitation":"(Meshram et al., 2025)","plainTextFormattedCitation":"(Meshram et al., 2025)","previouslyFormattedCitation":"(Meshram et al., 2025)"},"properties":{"noteIndex":0},"schema":"https://github.com/citation-style-language/schema/raw/master/csl-citation.json"}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(Meshram et al., 2025)</w:t>
      </w:r>
      <w:r w:rsidR="00C941D6">
        <w:rPr>
          <w:rFonts w:ascii="Arial" w:hAnsi="Arial" w:cs="Arial"/>
          <w:lang w:val="en"/>
        </w:rPr>
        <w:fldChar w:fldCharType="end"/>
      </w:r>
      <w:r w:rsidRPr="007347FC">
        <w:rPr>
          <w:rFonts w:ascii="Arial" w:hAnsi="Arial" w:cs="Arial"/>
          <w:lang w:val="en"/>
        </w:rPr>
        <w:t>.</w:t>
      </w:r>
    </w:p>
    <w:p w14:paraId="0AF93471" w14:textId="77777777" w:rsidR="00EA7F5D" w:rsidRDefault="00EA7F5D" w:rsidP="00441B6F">
      <w:pPr>
        <w:pStyle w:val="Body"/>
        <w:spacing w:after="0"/>
        <w:rPr>
          <w:rFonts w:ascii="Arial" w:hAnsi="Arial" w:cs="Arial"/>
          <w:lang w:val="en"/>
        </w:rPr>
      </w:pPr>
    </w:p>
    <w:p w14:paraId="5E4DD03A" w14:textId="752785D5" w:rsidR="00575007" w:rsidRPr="00322EBD" w:rsidRDefault="00981C56" w:rsidP="00575007">
      <w:pPr>
        <w:spacing w:after="160"/>
        <w:jc w:val="both"/>
        <w:rPr>
          <w:rFonts w:ascii="Arial" w:hAnsi="Arial" w:cs="Arial"/>
        </w:rPr>
      </w:pPr>
      <w:r w:rsidRPr="00B3716E">
        <w:rPr>
          <w:rFonts w:ascii="Arial" w:hAnsi="Arial" w:cs="Arial"/>
          <w:lang w:val="en"/>
        </w:rPr>
        <w:t xml:space="preserve">In this study, 90.9% of patients had serum ferritin levels ≥ 1000 ng/ml, and 81.8% of patients were included in severe iron overload, namely having serum ferritin levels &gt;2500 ng/ml, with the median serum ferritin in this study </w:t>
      </w:r>
      <w:r w:rsidR="001D3639">
        <w:rPr>
          <w:rFonts w:ascii="Arial" w:hAnsi="Arial" w:cs="Arial"/>
          <w:lang w:val="en"/>
        </w:rPr>
        <w:t>was</w:t>
      </w:r>
      <w:r w:rsidRPr="00B3716E">
        <w:rPr>
          <w:rFonts w:ascii="Arial" w:hAnsi="Arial" w:cs="Arial"/>
          <w:lang w:val="en"/>
        </w:rPr>
        <w:t xml:space="preserve"> 5714.69 (153.61</w:t>
      </w:r>
      <w:r>
        <w:rPr>
          <w:rFonts w:ascii="Arial" w:hAnsi="Arial" w:cs="Arial"/>
          <w:lang w:val="en"/>
        </w:rPr>
        <w:t xml:space="preserve"> </w:t>
      </w:r>
      <w:r w:rsidRPr="00B3716E">
        <w:rPr>
          <w:rFonts w:ascii="Arial" w:hAnsi="Arial" w:cs="Arial"/>
          <w:lang w:val="en"/>
        </w:rPr>
        <w:t>-</w:t>
      </w:r>
      <w:r>
        <w:rPr>
          <w:rFonts w:ascii="Arial" w:hAnsi="Arial" w:cs="Arial"/>
          <w:lang w:val="en"/>
        </w:rPr>
        <w:t xml:space="preserve"> </w:t>
      </w:r>
      <w:r w:rsidRPr="00B3716E">
        <w:rPr>
          <w:rFonts w:ascii="Arial" w:hAnsi="Arial" w:cs="Arial"/>
          <w:lang w:val="en"/>
        </w:rPr>
        <w:t>30525.04) ng/ml. Vitamin D insufficiency and deficiency (25-OH vitamin D levels &lt;30 ng/ml) were found in 90.9% of patients</w:t>
      </w:r>
      <w:r w:rsidR="001D3639">
        <w:rPr>
          <w:rFonts w:ascii="Arial" w:hAnsi="Arial" w:cs="Arial"/>
          <w:lang w:val="en"/>
        </w:rPr>
        <w:t xml:space="preserve">. The </w:t>
      </w:r>
      <w:r w:rsidRPr="00B3716E">
        <w:rPr>
          <w:rFonts w:ascii="Arial" w:hAnsi="Arial" w:cs="Arial"/>
          <w:lang w:val="en"/>
        </w:rPr>
        <w:t xml:space="preserve">mean </w:t>
      </w:r>
      <w:r w:rsidR="001D3639">
        <w:rPr>
          <w:rFonts w:ascii="Arial" w:hAnsi="Arial" w:cs="Arial"/>
          <w:lang w:val="en"/>
        </w:rPr>
        <w:t xml:space="preserve">vitamin D level of this study was </w:t>
      </w:r>
      <w:r w:rsidRPr="00B3716E">
        <w:rPr>
          <w:rFonts w:ascii="Arial" w:hAnsi="Arial" w:cs="Arial"/>
          <w:lang w:val="en"/>
        </w:rPr>
        <w:t xml:space="preserve">22.19 ± 7.45 ng/ml. The </w:t>
      </w:r>
      <w:r w:rsidR="001D3639">
        <w:rPr>
          <w:rFonts w:ascii="Arial" w:hAnsi="Arial" w:cs="Arial"/>
          <w:lang w:val="en"/>
        </w:rPr>
        <w:t xml:space="preserve">correlation </w:t>
      </w:r>
      <w:r w:rsidRPr="00B3716E">
        <w:rPr>
          <w:rFonts w:ascii="Arial" w:hAnsi="Arial" w:cs="Arial"/>
          <w:lang w:val="en"/>
        </w:rPr>
        <w:t>between serum ferritin levels based on the initiation of iron chelation with serum 25-OH vitamin D levels was tested using the Spearman correlation test, which obtained a very weak negative correlation (r = -0.12) and was not statistically significant (</w:t>
      </w:r>
      <w:r w:rsidRPr="00B3716E">
        <w:rPr>
          <w:rFonts w:ascii="Arial" w:hAnsi="Arial" w:cs="Arial"/>
          <w:i/>
          <w:iCs/>
          <w:lang w:val="en"/>
        </w:rPr>
        <w:t>p</w:t>
      </w:r>
      <w:r w:rsidRPr="00B3716E">
        <w:rPr>
          <w:rFonts w:ascii="Arial" w:hAnsi="Arial" w:cs="Arial"/>
          <w:lang w:val="en"/>
        </w:rPr>
        <w:t xml:space="preserve"> = 0.38). This study also tested the </w:t>
      </w:r>
      <w:r w:rsidR="001D3639">
        <w:rPr>
          <w:rFonts w:ascii="Arial" w:hAnsi="Arial" w:cs="Arial"/>
          <w:lang w:val="en"/>
        </w:rPr>
        <w:t xml:space="preserve">correlation </w:t>
      </w:r>
      <w:r w:rsidRPr="00B3716E">
        <w:rPr>
          <w:rFonts w:ascii="Arial" w:hAnsi="Arial" w:cs="Arial"/>
          <w:lang w:val="en"/>
        </w:rPr>
        <w:t>between serum ferritin levels based on iron overload classification and serum 25-OH vitamin D levels using the Spearman correlation test</w:t>
      </w:r>
      <w:r w:rsidR="001D3639">
        <w:rPr>
          <w:rFonts w:ascii="Arial" w:hAnsi="Arial" w:cs="Arial"/>
          <w:lang w:val="en"/>
        </w:rPr>
        <w:t xml:space="preserve">, which also obtained </w:t>
      </w:r>
      <w:r w:rsidR="001D3639" w:rsidRPr="00B3716E">
        <w:rPr>
          <w:rFonts w:ascii="Arial" w:hAnsi="Arial" w:cs="Arial"/>
          <w:lang w:val="en"/>
        </w:rPr>
        <w:t xml:space="preserve">very weak </w:t>
      </w:r>
      <w:r w:rsidRPr="00B3716E">
        <w:rPr>
          <w:rFonts w:ascii="Arial" w:hAnsi="Arial" w:cs="Arial"/>
          <w:lang w:val="en"/>
        </w:rPr>
        <w:t>negative correlation (r = -0.015) and not statistically significant (</w:t>
      </w:r>
      <w:r w:rsidRPr="00B3716E">
        <w:rPr>
          <w:rFonts w:ascii="Arial" w:hAnsi="Arial" w:cs="Arial"/>
          <w:i/>
          <w:iCs/>
          <w:lang w:val="en"/>
        </w:rPr>
        <w:t>p</w:t>
      </w:r>
      <w:r w:rsidRPr="00B3716E">
        <w:rPr>
          <w:rFonts w:ascii="Arial" w:hAnsi="Arial" w:cs="Arial"/>
          <w:lang w:val="en"/>
        </w:rPr>
        <w:t xml:space="preserve"> = 0.91). Vitamin D insufficiency/deficiency in this study was more common in patients with ferritin &gt; 2500 ng/ml.</w:t>
      </w:r>
      <w:r w:rsidR="00924623">
        <w:rPr>
          <w:rFonts w:ascii="Arial" w:hAnsi="Arial" w:cs="Arial"/>
          <w:lang w:val="en"/>
        </w:rPr>
        <w:t xml:space="preserve"> </w:t>
      </w:r>
      <w:r w:rsidR="00924623" w:rsidRPr="00B3716E">
        <w:rPr>
          <w:rFonts w:ascii="Arial" w:hAnsi="Arial" w:cs="Arial"/>
          <w:lang w:val="en"/>
        </w:rPr>
        <w:t>Similar to this study, a study in Iraq found that 87.5% of beta thalassemia patients had vitamin D levels &lt;30 ng/ml, with a mean vitamin D level of 18.23 ng/ml. The mean vitamin D deficiency was found primarily in patients with higher serum ferritin, namely 19.91±11.0 ng/ml, and 17.16±7.6 ng/ml, in patients with serum ferritin &lt;1000 ng/dl and ferritin 1000-3000 ng/dl, respectively, but was not statistically significant (r = - 0.02, p = 0.7)</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DOI":"10.4103/ijh.ijh","author":[{"dropping-particle":"","family":"Al-Rubae","given":"Alaa","non-dropping-particle":"","parse-names":false,"suffix":""},{"dropping-particle":"","family":"Ansaf","given":"Ahmed","non-dropping-particle":"","parse-names":false,"suffix":""},{"dropping-particle":"","family":"Faraj","given":"Safa","non-dropping-particle":"","parse-names":false,"suffix":""}],"container-title":"Iraqi Journal of Hematology","id":"ITEM-1","issued":{"date-parts":[["2023"]]},"page":"141-5","title":"Evaluation of Vitamin D level in thalassemia patients : The experience of a single center","type":"article-journal","volume":"12"},"uris":["http://www.mendeley.com/documents/?uuid=73311e92-2e52-4103-8022-48e4f372f1cc"]}],"mendeley":{"formattedCitation":"(Al-Rubae et al., 2023)","plainTextFormattedCitation":"(Al-Rubae et al., 2023)","previouslyFormattedCitation":"(Al-Rubae et al., 2023)"},"properties":{"noteIndex":0},"schema":"https://github.com/citation-style-language/schema/raw/master/csl-citation.json"}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(Al-Rubae et al., 2023)</w:t>
      </w:r>
      <w:r w:rsidR="009814F5">
        <w:rPr>
          <w:rFonts w:ascii="Arial" w:hAnsi="Arial" w:cs="Arial"/>
          <w:lang w:val="en"/>
        </w:rPr>
        <w:fldChar w:fldCharType="end"/>
      </w:r>
      <w:r w:rsidR="00924623" w:rsidRPr="00B3716E">
        <w:rPr>
          <w:rFonts w:ascii="Arial" w:hAnsi="Arial" w:cs="Arial"/>
          <w:lang w:val="en"/>
        </w:rPr>
        <w:t>. A study in Iran also found no correlation between serum vitamin D3 and serum ferritin (r = -0.099; p = 0.553) in thalassemia major patients</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{"citationItems":[{"id":"ITEM-1","itemData":{"DOI":"10.2147/JBM.S227012","ISSN":"11792736","abstract":"Introduction: Thalassemia is a hypochromic microcytic anemia, which is characterized by congenital disorders. In thalassemia patients, bone diseases are one of the causes of mortality. Our goal was to investigate the association between vitamin D deficiency and increased iron uptake by cardiac myocytes and hepatocytes. Materials and Methods: Forty patients with thalassemia major were studied in Amir Kabir Hospital, Arak, Iran. The information obtained through clinical examination. Serum ferritin level was determined by ELISA and T2*MRI performed for measuring iron content in the heart and the liver. Results: The average age of the patients was 23.8 ± 10.7 years. The mean T2*MRI values were 23.7 ± 7. The vitamin D3 level in 33 patients (82.5% cases) was less than 20 ng/dl, 2 patients (5%) in the range of 20–30 ng/dl, and the others had above 30 ng/dl. Correlation between vitamin D and age was 0.611. Correlation coefficient between heart and liver T2*MRI with ferritin level in patients was 0.437 and 0.335, respectively. Conclusion: Due to significant associations, the periodic measurement of vitamin D, as well as PTH, is recommended for patients with thalassemia major.","author":[{"dropping-particle":"","family":"Shaykhbaygloo","given":"Roya","non-dropping-particle":"","parse-names":false,"suffix":""},{"dropping-particle":"","family":"Moradabadi","given":"Alireza","non-dropping-particle":"","parse-names":false,"suffix":""},{"dropping-particle":"","family":"Taherahmadi","given":"Hassan","non-dropping-particle":"","parse-names":false,"suffix":""},{"dropping-particle":"","family":"Rafiei","given":"Mohammad","non-dropping-particle":"","parse-names":false,"suffix":""},{"dropping-particle":"","family":"Lotfi","given":"Fariborz","non-dropping-particle":"","parse-names":false,"suffix":""},{"dropping-particle":"","family":"Eghbali","given":"Aziz","non-dropping-particle":"","parse-names":false,"suffix":""}],"container-title":"Journal of Blood Medicine","id":"ITEM-1","issued":{"date-parts":[["2020"]]},"page":"83-87","title":"Correlation of cardiac and liver iron level with T2*MRI and vitamin D3 serum level in patients with thalassemia major","type":"article-journal","volume":"11"},"uris":["http://www.mendeley.com/documents/?uuid=1c758f5a-45f9-4271-99f9-03b57038a4c1"]}],"mendeley":{"formattedCitation":"(Shaykhbaygloo et al., 2020)","plainTextFormattedCitation":"(Shaykhbaygloo et al., 2020)","previouslyFormattedCitation":"(Shaykhbaygloo et al., 2020)"},"properties":{"noteIndex":0},"schema":"https://github.com/citation-style-language/schema/raw/master/csl-citation.json"}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(Shaykhbaygloo et al., 2020)</w:t>
      </w:r>
      <w:r w:rsidR="009814F5">
        <w:rPr>
          <w:rFonts w:ascii="Arial" w:hAnsi="Arial" w:cs="Arial"/>
          <w:lang w:val="en"/>
        </w:rPr>
        <w:fldChar w:fldCharType="end"/>
      </w:r>
      <w:r w:rsidR="00924623" w:rsidRPr="00B3716E">
        <w:rPr>
          <w:rFonts w:ascii="Arial" w:hAnsi="Arial" w:cs="Arial"/>
          <w:lang w:val="en"/>
        </w:rPr>
        <w:t>. Serum ferritin levels in TDT patients are higher than in healthy individuals due to routine transfusions. Intracellular iron is stored in the form of ferritin. These higher ferritin levels are associated with iron accumulation in the liver, heart, and endocrine tissues of patients with TDT. Ferritin plays a crucial role in iron homeostasis and is used to identify iron overload in patients with TDT and the need to initiate iron chelation</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auth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edition":"5th ed","id":"ITEM-1","issued":{"date-parts":[["2025"]]},"number-of-pages":"1-459","publisher-place":"Nicosia, Cyprus","title":"TIF guidelines for the management of tranfusion-dependent β-Thalassaemia","type":"book"},"uris":["http://www.mendeley.com/documents/?uuid=f3cd78b3-0888-44f3-948a-704c490a657a"]}],"mendeley":{"formattedCitation":"(Taher et al., 2025)","plainTextFormattedCitation":"(Taher et al., 2025)","previouslyFormattedCitation":"(Taher et al., 2025)"},"properties":{"noteIndex":0},"schema":"https://github.com/citation-style-language/schema/raw/master/csl-citation.json"}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(Taher et al., 2025)</w:t>
      </w:r>
      <w:r w:rsidR="009814F5">
        <w:rPr>
          <w:rFonts w:ascii="Arial" w:hAnsi="Arial" w:cs="Arial"/>
          <w:lang w:val="en"/>
        </w:rPr>
        <w:fldChar w:fldCharType="end"/>
      </w:r>
      <w:r w:rsidR="00924623" w:rsidRPr="00B3716E">
        <w:rPr>
          <w:rFonts w:ascii="Arial" w:hAnsi="Arial" w:cs="Arial"/>
          <w:lang w:val="en"/>
        </w:rPr>
        <w:t>. Elevated ferritin is also associated with biomarkers of cell damage, oxidative stress, the presence of disease processes, and the severity of chronic disease processes</w:t>
      </w:r>
      <w:r w:rsidR="009814F5">
        <w:rPr>
          <w:rFonts w:ascii="Arial" w:hAnsi="Arial" w:cs="Arial"/>
          <w:lang w:val="en"/>
        </w:rPr>
        <w:t xml:space="preserve"> </w:t>
      </w:r>
      <w:r w:rsidR="009814F5">
        <w:rPr>
          <w:rFonts w:ascii="Arial" w:hAnsi="Arial" w:cs="Arial"/>
          <w:lang w:val="en"/>
        </w:rPr>
        <w:fldChar w:fldCharType="begin" w:fldLock="1"/>
      </w:r>
      <w:r w:rsidR="008B01BC">
        <w:rPr>
          <w:rFonts w:ascii="Arial" w:hAnsi="Arial" w:cs="Arial"/>
          <w:lang w:val="en"/>
        </w:rPr>
        <w:instrText>ADDIN CSL_CITATION {"citationItems":[{"id":"ITEM-1","itemData":{"DOI":"10.1093/mtomcs/mfab030","ISSN":"1756591X","PMID":"34048587","abstract":"This report provides perspectives concerning dual roles of serum ferritin as a measure of both iron status and inflammation. We suggest benefits of a lower range of serum ferritin as has occurred for total serum cholesterol and fasting blood glucose levels. Observations during a prospective randomized study using phlebotomy in patients with peripheral arterial disease offered unique insights into dual roles of serum ferritin both as an iron status marker and acute phase reactant. Robust positive associations between serum ferritin, interleukin 6 [IL-6], tissue necrosis factor-Alpha, and high sensitivity C-reactive protein were discovered. Elevated serum ferritin and IL-6 levels associated with increased mortality and with reduced mortality at ferritin levels &lt;100 ng mL?1. Epidemiologic studies demonstrate similar outcomes. Extremely elevated ferritin and IL-6 levels also occur in individuals with high mortality due to SARS-CoV-2 infection. Disordered iron metabolism reflected by a high range of serum ferritin level signals disease severity and outcomes. Based upon experimental and epidemiologic data, we suggest testing the hypotheses that optimal ferritin levels for cardiovascularmortality reduction range from 20 to 100 ng mL?1 with % transferrin levels from20 to 50%, to ensure adequate iron status and that ferritin levels above 194 ng mL?1 associate with all-cause mortality in population cohorts.","author":[{"dropping-particle":"","family":"Depalma","given":"Ralph G.","non-dropping-particle":"","parse-names":false,"suffix":""},{"dropping-particle":"","family":"Hayes","given":"Virginia W.","non-dropping-particle":"","parse-names":false,"suffix":""},{"dropping-particle":"","family":"O'Leary","given":"Timothy J.","non-dropping-particle":"","parse-names":false,"suffix":""}],"container-title":"Metallomics","id":"ITEM-1","issued":{"date-parts":[["2021"]]},"page":"1-10","title":"Optimal serum ferritin level range: Iron status measure and inflammatory biomarker","type":"article-journal","volume":"13"},"uris":["http://www.mendeley.com/documents/?uuid=571c964e-4fdc-40e7-b0c1-52530c0bbfd3"]}],"mendeley":{"formattedCitation":"(Depalma et al., 2021)","plainTextFormattedCitation":"(Depalma et al., 2021)","previouslyFormattedCitation":"(Depalma et al., 2021)"},"properties":{"noteIndex":0},"schema":"https://github.com/citation-style-language/schema/raw/master/csl-citation.json"}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(Depalma et al., 2021)</w:t>
      </w:r>
      <w:r w:rsidR="009814F5">
        <w:rPr>
          <w:rFonts w:ascii="Arial" w:hAnsi="Arial" w:cs="Arial"/>
          <w:lang w:val="en"/>
        </w:rPr>
        <w:fldChar w:fldCharType="end"/>
      </w:r>
      <w:r w:rsidR="00924623" w:rsidRPr="00B3716E">
        <w:rPr>
          <w:rFonts w:ascii="Arial" w:hAnsi="Arial" w:cs="Arial"/>
          <w:lang w:val="en"/>
        </w:rPr>
        <w:t>.</w:t>
      </w:r>
      <w:r w:rsidR="00575007">
        <w:rPr>
          <w:rFonts w:ascii="Arial" w:hAnsi="Arial" w:cs="Arial"/>
          <w:lang w:val="en"/>
        </w:rPr>
        <w:t xml:space="preserve"> </w:t>
      </w:r>
      <w:r w:rsidR="00575007" w:rsidRPr="00322EBD">
        <w:rPr>
          <w:rFonts w:ascii="Arial" w:hAnsi="Arial" w:cs="Arial"/>
          <w:lang w:val="en"/>
        </w:rPr>
        <w:t>While in normal children, elevated ferritin is associated with biomarkers of cell damage, children with TDT already exhibit high serum ferritin levels. In this study, the median serum ferritin level at diagnosis was 912 ng/ml, with a minimum value of 82 ng/ml and a maximum value of 20,000 ng/ml. Furthermore, numerous studies worldwide have shown high rates of vitamin D deficiency and insufficiency in the pediatric population, with rates ranging from 40% to 75%, even in developed countries</w:t>
      </w:r>
      <w:r w:rsidR="008B01BC">
        <w:rPr>
          <w:rFonts w:ascii="Arial" w:hAnsi="Arial" w:cs="Arial"/>
          <w:lang w:val="en"/>
        </w:rPr>
        <w:t xml:space="preserve"> </w:t>
      </w:r>
      <w:r w:rsidR="008B01BC">
        <w:rPr>
          <w:rFonts w:ascii="Arial" w:hAnsi="Arial" w:cs="Arial"/>
          <w:lang w:val="en"/>
        </w:rPr>
        <w:fldChar w:fldCharType="begin" w:fldLock="1"/>
      </w:r>
      <w:r w:rsidR="000C242E">
        <w:rPr>
          <w:rFonts w:ascii="Arial" w:hAnsi="Arial" w:cs="Arial"/>
          <w:lang w:val="en"/>
        </w:rPr>
        <w:instrText>ADDIN CSL_CITATION {"citationItems":[{"id":"ITEM-1","itemData":{"DOI":"10.3389/fmed.2023.1107855","ISSN":"2296858X","abstract":"In recent years vitamin D has been in the spotlight of many researchers for its possible role in various disorders, including autoimmune and infectious diseases. Even if vitamin D deficiency remains a major public health problem, its symptomatic manifestations are less and less common in clinical practice, and pediatric age represents a “gray area” where vitamin D supplementation is often administered in the absence of an effective evaluation of its status. Moreover, a poor knowledge about different definitions of “deficiency,” “insufficiency,” and similar terms is spread among clinicians, while guidelines are not univocal, especially after the first year of life. The aim of this brief opinion paper is to sum up recent evidence about vitamin D status and its supplementation in pediatrics, in order to better clarify a common definition of its deficiency. The aim of this opinion article is to raise awareness on this topic among clinicians and encourage a discussion on the real need for routine 25-hydroxycholecalciferol serum evaluation and its supplementation.","author":[{"dropping-particle":"","family":"Corsello","given":"Antonio","non-dropping-particle":"","parse-names":false,"suffix":""},{"dropping-particle":"","family":"Spolidoro","given":"Giulia C.I.","non-dropping-particle":"","parse-names":false,"suffix":""},{"dropping-particle":"","family":"Milani","given":"Gregorio P.","non-dropping-particle":"","parse-names":false,"suffix":""},{"dropping-particle":"","family":"Agostoni","given":"Carlo","non-dropping-particle":"","parse-names":false,"suffix":""}],"container-title":"Frontiers in Medicine","id":"ITEM-1","issued":{"date-parts":[["2023"]]},"page":"1-9","title":"Vitamin D in pediatric age: Current evidence, recommendations, and misunderstandings","type":"article-journal","volume":"10"},"uris":["http://www.mendeley.com/documents/?uuid=8681f713-53a4-4c75-b7f2-2957869797f0"]}],"mendeley":{"formattedCitation":"(Corsello et al., 2023)","plainTextFormattedCitation":"(Corsello et al., 2023)","previouslyFormattedCitation":"(Corsello et al., 2023)"},"properties":{"noteIndex":0},"schema":"https://github.com/citation-style-language/schema/raw/master/csl-citation.json"}</w:instrText>
      </w:r>
      <w:r w:rsidR="008B01BC">
        <w:rPr>
          <w:rFonts w:ascii="Arial" w:hAnsi="Arial" w:cs="Arial"/>
          <w:lang w:val="en"/>
        </w:rPr>
        <w:fldChar w:fldCharType="separate"/>
      </w:r>
      <w:r w:rsidR="008B01BC" w:rsidRPr="008B01BC">
        <w:rPr>
          <w:rFonts w:ascii="Arial" w:hAnsi="Arial" w:cs="Arial"/>
          <w:noProof/>
          <w:lang w:val="en"/>
        </w:rPr>
        <w:t>(Corsello et al., 2023)</w:t>
      </w:r>
      <w:r w:rsidR="008B01BC">
        <w:rPr>
          <w:rFonts w:ascii="Arial" w:hAnsi="Arial" w:cs="Arial"/>
          <w:lang w:val="en"/>
        </w:rPr>
        <w:fldChar w:fldCharType="end"/>
      </w:r>
      <w:r w:rsidR="00575007" w:rsidRPr="00322EBD">
        <w:rPr>
          <w:rFonts w:ascii="Arial" w:hAnsi="Arial" w:cs="Arial"/>
          <w:lang w:val="en"/>
        </w:rPr>
        <w:t>. This explains the lack of correlation between serum ferritin levels and serum vitamin D levels. Furthermore, diet, sun exposure, genetic variants of the vitamin D receptor, and nutritional status are confounding factors not controlled for in this study.</w:t>
      </w:r>
    </w:p>
    <w:p w14:paraId="24B41ED6" w14:textId="3AF8991B" w:rsidR="000C242E" w:rsidRPr="00322EBD" w:rsidRDefault="000C242E" w:rsidP="000C242E">
      <w:pPr>
        <w:spacing w:after="160"/>
        <w:jc w:val="both"/>
        <w:rPr>
          <w:rFonts w:ascii="Arial" w:hAnsi="Arial" w:cs="Arial"/>
        </w:rPr>
      </w:pPr>
      <w:r w:rsidRPr="00322EBD">
        <w:rPr>
          <w:rFonts w:ascii="Arial" w:hAnsi="Arial" w:cs="Arial"/>
          <w:lang w:val="en"/>
        </w:rPr>
        <w:t>In addition to vitamin D deficiency, children with beta thalassemia also experience growth retardation. Growth retardation in thalassemia occurs in three phases depending on age. Chronic hypoxia caused by persistently low hemoglobin levels (anemia), ineffective erythropoiesis, and nutritional deficiencies (zinc and folic acid) are the primary contributors to growth retardation in early childhood, which constitutes the first phase</w:t>
      </w:r>
      <w:r>
        <w:rPr>
          <w:rFonts w:ascii="Arial" w:hAnsi="Arial" w:cs="Arial"/>
          <w:lang w:val="en"/>
        </w:rPr>
        <w:t xml:space="preserve"> </w:t>
      </w:r>
      <w:r>
        <w:rPr>
          <w:rFonts w:ascii="Arial" w:hAnsi="Arial" w:cs="Arial"/>
          <w:lang w:val="en"/>
        </w:rPr>
        <w:fldChar w:fldCharType="begin" w:fldLock="1"/>
      </w:r>
      <w:r w:rsidR="00294D6D">
        <w:rPr>
          <w:rFonts w:ascii="Arial" w:hAnsi="Arial" w:cs="Arial"/>
          <w:lang w:val="en"/>
        </w:rPr>
        <w:instrText>ADDIN CSL_CITATION {"citationItems":[{"id":"ITEM-1","itemData":{"author":[{"dropping-particle":"","family":"Cappellini","given":"Maria Domenica","non-dropping-particle":"","parse-names":false,"suffix":""},{"dropping-particle":"","family":"Farmakis","given":"Dimitrios","non-dropping-particle":"","parse-names":false,"suffix":""},{"dropping-particle":"","family":"Porter","given":"John","non-dropping-particle":"","parse-names":false,"suffix":""},{"dropping-particle":"","family":"Taher","given":"Ali","non-dropping-particle":"","parse-names":false,"suffix":""}],"container-title":"Thalassaemia International Federation","id":"ITEM-1","issued":{"date-parts":[["2021"]]},"number-of-pages":"1-351","title":"2021 Guidelines for the management of transfusion dependent (TDT)","type":"book"},"uris":["http://www.mendeley.com/documents/?uuid=1d293dfd-6a44-44c6-a134-a91af51a43d7"]}],"mendeley":{"formattedCitation":"(Cappellini et al., 2021)","plainTextFormattedCitation":"(Cappellini et al., 2021)","previouslyFormattedCitation":"(Cappellini et al., 2021)"},"properties":{"noteIndex":0},"schema":"https://github.com/citation-style-language/schema/raw/master/csl-citation.json"}</w:instrText>
      </w:r>
      <w:r>
        <w:rPr>
          <w:rFonts w:ascii="Arial" w:hAnsi="Arial" w:cs="Arial"/>
          <w:lang w:val="en"/>
        </w:rPr>
        <w:fldChar w:fldCharType="separate"/>
      </w:r>
      <w:r w:rsidRPr="000C242E">
        <w:rPr>
          <w:rFonts w:ascii="Arial" w:hAnsi="Arial" w:cs="Arial"/>
          <w:noProof/>
          <w:lang w:val="en"/>
        </w:rPr>
        <w:t>(Cappellini et al., 2021)</w:t>
      </w:r>
      <w:r>
        <w:rPr>
          <w:rFonts w:ascii="Arial" w:hAnsi="Arial" w:cs="Arial"/>
          <w:lang w:val="en"/>
        </w:rPr>
        <w:fldChar w:fldCharType="end"/>
      </w:r>
      <w:r w:rsidRPr="00322EBD">
        <w:rPr>
          <w:rFonts w:ascii="Arial" w:hAnsi="Arial" w:cs="Arial"/>
          <w:lang w:val="en"/>
        </w:rPr>
        <w:t>.</w:t>
      </w:r>
    </w:p>
    <w:p w14:paraId="581D1E60" w14:textId="15011B66" w:rsidR="00294D6D" w:rsidRDefault="00294D6D" w:rsidP="00294D6D">
      <w:pPr>
        <w:spacing w:after="160"/>
        <w:jc w:val="both"/>
        <w:rPr>
          <w:rFonts w:ascii="Arial" w:hAnsi="Arial" w:cs="Arial"/>
          <w:lang w:val="en"/>
        </w:rPr>
      </w:pPr>
      <w:r w:rsidRPr="00322EBD">
        <w:rPr>
          <w:rFonts w:ascii="Arial" w:hAnsi="Arial" w:cs="Arial"/>
          <w:lang w:val="en"/>
        </w:rPr>
        <w:t>Iron overload (which can be measured by serum ferritin) causes the formation of free radicals and increases the amount of iron in the heart, liver, and endocrine glands</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{"citationItems":[{"id":"ITEM-1","itemData":{"DOI":"10.18203/2320-6012.ijrms20212263","ISSN":"2320-6071","abstract":"Thalassemia is a heterogeneous group of genetic disorder with the defective synthesis of one or more globin chains. β-thalassemia is a global disease with high prevalence in Africa, Southeast Asia and Mediterranean countries. In Malaysia, the α and β-thalassemia are the commonest. In the articles that we reviewed, transfusion-dependent β-thalassemia is highly associated with complications related to thalassemia such as cardiovascular disease, endocrine disorders, skeletal deformities and others. Following advancements in β-thalassemia major treatment, cardiovascular disease remains the leading cause of mortality in β-thalassemia major patients. Thalassemia-associated cardiac pathology includes several conditions, such as myocardial dysfunction, arrhythmias and atrial fibrillation. Endocrine disorders, caused by iron deposition in the gland, resulting in impaired endocrine function. The commonest presentation is short stature followed by impaired puberty, abnormal thyroid function and diabetes mellitus. Moreover, skeletal complications remain a challenge. The most prevalent complications are malocclusion of the teeth, frontal bossing and chipmunk facies whilst osteoporosis, osteopenia and fracture are seen in a minority of the patient. Although comprehensive care has resulted in long-term survival and good quality of life, poor management will lead to complications that increase the treatment cost. However, genetic study (DNA analysis) examines the deletions and mutations in the α and β-globin-producing genes that help to correct diagnosis and improve management in thalassemia patients.","author":[{"dropping-particle":"","family":"Chiew","given":"Jia Ying","non-dropping-particle":"","parse-names":false,"suffix":""},{"dropping-particle":"","family":"Thiruchelvam","given":"Jeevitha","non-dropping-particle":"","parse-names":false,"suffix":""},{"dropping-particle":"","family":"Rahmat","given":"Mohd Azlan","non-dropping-particle":"Bin","parse-names":false,"suffix":""},{"dropping-particle":"","family":"William","given":"Stephanie Priscilla","non-dropping-particle":"","parse-names":false,"suffix":""},{"dropping-particle":"","family":"Shafien","given":"Zikril Iman","non-dropping-particle":"Bin","parse-names":false,"suffix":""},{"dropping-particle":"","family":"Banerjee","given":"Kishore Gopal","non-dropping-particle":"","parse-names":false,"suffix":""}],"container-title":"International Journal of Research in Medical Sciences","id":"ITEM-1","issued":{"date-parts":[["2021"]]},"page":"1846-1852","title":"The key complications of beta thalassemia major: a review and update","type":"article-journal","volume":"9"},"uris":["http://www.mendeley.com/documents/?uuid=274a2bd8-0702-47b4-8692-d36577795e0c"]}],"mendeley":{"formattedCitation":"(Chiew et al., 2021)","plainTextFormattedCitation":"(Chiew et al., 2021)","previouslyFormattedCitation":"(Chiew et al., 2021)"},"properties":{"noteIndex":0},"schema":"https://github.com/citation-style-language/schema/raw/master/csl-citation.json"}</w:instrText>
      </w:r>
      <w:r>
        <w:rPr>
          <w:rFonts w:ascii="Arial" w:hAnsi="Arial" w:cs="Arial"/>
          <w:lang w:val="en"/>
        </w:rPr>
        <w:fldChar w:fldCharType="separate"/>
      </w:r>
      <w:r w:rsidRPr="00294D6D">
        <w:rPr>
          <w:rFonts w:ascii="Arial" w:hAnsi="Arial" w:cs="Arial"/>
          <w:noProof/>
          <w:lang w:val="en"/>
        </w:rPr>
        <w:t>(Chiew et al., 2021)</w:t>
      </w:r>
      <w:r>
        <w:rPr>
          <w:rFonts w:ascii="Arial" w:hAnsi="Arial" w:cs="Arial"/>
          <w:lang w:val="en"/>
        </w:rPr>
        <w:fldChar w:fldCharType="end"/>
      </w:r>
      <w:r w:rsidRPr="00322EBD">
        <w:rPr>
          <w:rFonts w:ascii="Arial" w:hAnsi="Arial" w:cs="Arial"/>
          <w:lang w:val="en"/>
        </w:rPr>
        <w:t xml:space="preserve">. Endocrine glands are very sensitive to iron overload, causing pituitary dysfunction that affects the GH-IGF 1 axis and other endocrine complications (hypogonadism, hypothyroidism, growth hormone deficiency, hypoparathyroidism, impaired calcium homeostasis, reduced bone mineral quantity) resulting in delayed or absent pre-pubertal growth spurt. Endocrine gland </w:t>
      </w:r>
      <w:r w:rsidRPr="00322EBD">
        <w:rPr>
          <w:rFonts w:ascii="Arial" w:hAnsi="Arial" w:cs="Arial"/>
          <w:lang w:val="en"/>
        </w:rPr>
        <w:lastRenderedPageBreak/>
        <w:t>damage due to free iron and hemosiderosis is the fundamental etiology of growth retardation in thalassemia, especially in late childhood (second phase)</w:t>
      </w:r>
      <w:r>
        <w:rPr>
          <w:rFonts w:ascii="Arial" w:hAnsi="Arial" w:cs="Arial"/>
          <w:lang w:val="en"/>
        </w:rPr>
        <w:t xml:space="preserve"> </w:t>
      </w:r>
      <w:r>
        <w:rPr>
          <w:rFonts w:ascii="Arial" w:hAnsi="Arial" w:cs="Arial"/>
          <w:lang w:val="en"/>
        </w:rPr>
        <w:fldChar w:fldCharType="begin" w:fldLock="1"/>
      </w:r>
      <w:r w:rsidR="00E10850">
        <w:rPr>
          <w:rFonts w:ascii="Arial" w:hAnsi="Arial" w:cs="Arial"/>
          <w:lang w:val="en"/>
        </w:rPr>
        <w:instrText>ADDIN CSL_CITATION {"citationItems":[{"id":"ITEM-1","itemData":{"DOI":"10.23937/2469-5696/1410066","author":[{"dropping-particle":"","family":"Gomes","given":"Richmond R","non-dropping-particle":"","parse-names":false,"suffix":""}],"container-title":"International Journal of Blood Research and Disorders","id":"ITEM-1","issued":{"date-parts":[["2021"]]},"page":"1-6","title":"Hypogonadotropic Hypogonadism in a Female Patient with Thalassemia Major","type":"article-journal","volume":"8"},"uris":["http://www.mendeley.com/documents/?uuid=b40638ac-47c2-4e1a-83c6-6f29a8f24567"]}],"mendeley":{"formattedCitation":"(Gomes, 2021)","plainTextFormattedCitation":"(Gomes, 2021)","previouslyFormattedCitation":"(Gomes, 2021)"},"properties":{"noteIndex":0},"schema":"https://github.com/citation-style-language/schema/raw/master/csl-citation.json"}</w:instrText>
      </w:r>
      <w:r>
        <w:rPr>
          <w:rFonts w:ascii="Arial" w:hAnsi="Arial" w:cs="Arial"/>
          <w:lang w:val="en"/>
        </w:rPr>
        <w:fldChar w:fldCharType="separate"/>
      </w:r>
      <w:r w:rsidRPr="00294D6D">
        <w:rPr>
          <w:rFonts w:ascii="Arial" w:hAnsi="Arial" w:cs="Arial"/>
          <w:noProof/>
          <w:lang w:val="en"/>
        </w:rPr>
        <w:t>(Gomes, 2021)</w:t>
      </w:r>
      <w:r>
        <w:rPr>
          <w:rFonts w:ascii="Arial" w:hAnsi="Arial" w:cs="Arial"/>
          <w:lang w:val="en"/>
        </w:rPr>
        <w:fldChar w:fldCharType="end"/>
      </w:r>
      <w:r w:rsidRPr="00322EBD">
        <w:rPr>
          <w:rFonts w:ascii="Arial" w:hAnsi="Arial" w:cs="Arial"/>
          <w:lang w:val="en"/>
        </w:rPr>
        <w:t>.</w:t>
      </w:r>
    </w:p>
    <w:p w14:paraId="15111389" w14:textId="3B20DBFF" w:rsidR="00323DB3" w:rsidRPr="00322EBD" w:rsidRDefault="00323DB3" w:rsidP="00294D6D">
      <w:pPr>
        <w:spacing w:after="160"/>
        <w:jc w:val="both"/>
        <w:rPr>
          <w:rFonts w:ascii="Arial" w:hAnsi="Arial" w:cs="Arial"/>
        </w:rPr>
      </w:pPr>
      <w:r w:rsidRPr="00E474E4">
        <w:rPr>
          <w:rFonts w:ascii="Arial" w:hAnsi="Arial" w:cs="Arial"/>
          <w:lang w:val="en"/>
        </w:rPr>
        <w:t>Heavy iron accumulation in the pituitary that can be measured by MRI (pituitary R2) is a cause of secondary hypogonadism often called hypogonadal hypogonadism, the most common cause of hypogonadism in thalassemia major who reach puberty</w:t>
      </w:r>
      <w:r w:rsidR="00E10850">
        <w:rPr>
          <w:rFonts w:ascii="Arial" w:hAnsi="Arial" w:cs="Arial"/>
          <w:lang w:val="en"/>
        </w:rPr>
        <w:t xml:space="preserve"> </w:t>
      </w:r>
      <w:r w:rsidR="00E10850">
        <w:rPr>
          <w:rFonts w:ascii="Arial" w:hAnsi="Arial" w:cs="Arial"/>
          <w:lang w:val="en"/>
        </w:rPr>
        <w:fldChar w:fldCharType="begin" w:fldLock="1"/>
      </w:r>
      <w:r w:rsidR="00E10850">
        <w:rPr>
          <w:rFonts w:ascii="Arial" w:hAnsi="Arial" w:cs="Arial"/>
          <w:lang w:val="en"/>
        </w:rPr>
        <w:instrText>ADDIN CSL_CITATION {"citationItems":[{"id":"ITEM-1","itemData":{"DOI":"10.9734/jammr/2021/v33i630866","abstract":"Background: Thalassemia is a common genetic disorder associated with endocrine disorders. Iron deposition may start in the anterior pituitary gland, but clinical signs are usually not evident until puberty. Aim of the study was to evaluate pituitary iron overload in children with β thalassemia using MRI T2* and correlate MRI T2* and biochemical markers of iron overload with pituitary hormones. Patients and Methods: This study was carried out on 30 children with β-thalassemia major (19 females and 11 males ) with their age ranging from 10 - 18 years and mean age value of 12.8 ± 2.4 and 30 healthy children of matched age and sex as controls in the period from September 2018 to September 2019. For all patients the following were done: complete clinical evaluation including anthropometric data and Tanner staging, laboratory investigations including serum iron status, thyroid function, basal and growth hormone provocation test by clonidine, Follicle stimulating hormone (FSH) , Luteinizing hormone (LH) , and pituitary MRI T2*. Results: Weight, Z score of weight, height, Z score of height and Body mass index (BMI) were found significantly lower in patients compared with controls. Patients had delayed puberty compared with controls. Pituitary MRI T2* was found significantly lower in patients compared with controls (P=0.001). FSH, LH, and provocative growth hormone levels were found significantly lower in patients compared to controls (p &lt;0.001). Serum ferritin &amp; iron were found significantly higher in patients than controls (P&lt;0.001). Significant negative correlations were found between serum ferritin and Weight, Height, Z score of Weight, Z score of Height, BMI and pituitary hormones. Significant negative correlations were found between Pituitary MRI T2* and serum ferritin. Significant positive correlations were found between Pituitary MRI T2* and Weight, Height, Z score of Weight, Z score of Height and pituitary hormons. The pituitary T2* carried the sensitivity of 80% ,100% and 100% and specificity of 70% ,83.3% and 100% for predicting GH hormone abnormality, LH and FSH respecetively. Conclusions: There were a significant positive correlations between pituitary MRI T2*and anthropometric measurement and pituitary hormones of studied patients. There was a significant negative correlation between Pituitary T2* and serum ferritin. Pituitary iron overload can be detected by MRI T2* which is a diagnostic tool in detecting pituitary iron overload with subsequent ef…","author":[{"dropping-particle":"","family":"Morad","given":"Lamia M","non-dropping-particle":"","parse-names":false,"suffix":""},{"dropping-particle":"","family":"EL-Shanshory","given":"Mohamed R","non-dropping-particle":"","parse-names":false,"suffix":""},{"dropping-particle":"","family":"Hablas","given":"Nahed M","non-dropping-particle":"","parse-names":false,"suffix":""},{"dropping-particle":"","family":"El-Bendary","given":"Amal S","non-dropping-particle":"","parse-names":false,"suffix":""},{"dropping-particle":"","family":"El-Shafey","given":"Rasha A","non-dropping-particle":"","parse-names":false,"suffix":""},{"dropping-particle":"","family":"Hagag","given":"Adel A","non-dropping-particle":"","parse-names":false,"suffix":""}],"container-title":"Journal of Advances in Medicine and Medical Research","id":"ITEM-1","issued":{"date-parts":[["2021"]]},"page":"97-109","title":"Magnetic Resonance Imaging Versus Serum Iron Status as Diagnostic Tools for Pituitary Iron Overload in Children with Beta Thalassemia","type":"article-journal","volume":"33"},"uris":["http://www.mendeley.com/documents/?uuid=eaafbcb6-1538-469d-b39e-d994f1ef9710"]}],"mendeley":{"formattedCitation":"(Morad et al., 2021)","plainTextFormattedCitation":"(Morad et al., 2021)","previouslyFormattedCitation":"(Morad et al., 2021)"},"properties":{"noteIndex":0},"schema":"https://github.com/citation-style-language/schema/raw/master/csl-citation.json"}</w:instrText>
      </w:r>
      <w:r w:rsidR="00E10850">
        <w:rPr>
          <w:rFonts w:ascii="Arial" w:hAnsi="Arial" w:cs="Arial"/>
          <w:lang w:val="en"/>
        </w:rPr>
        <w:fldChar w:fldCharType="separate"/>
      </w:r>
      <w:r w:rsidR="00E10850" w:rsidRPr="00E10850">
        <w:rPr>
          <w:rFonts w:ascii="Arial" w:hAnsi="Arial" w:cs="Arial"/>
          <w:noProof/>
          <w:lang w:val="en"/>
        </w:rPr>
        <w:t>(Morad et al., 2021)</w:t>
      </w:r>
      <w:r w:rsidR="00E10850">
        <w:rPr>
          <w:rFonts w:ascii="Arial" w:hAnsi="Arial" w:cs="Arial"/>
          <w:lang w:val="en"/>
        </w:rPr>
        <w:fldChar w:fldCharType="end"/>
      </w:r>
      <w:r w:rsidRPr="00E474E4">
        <w:rPr>
          <w:rFonts w:ascii="Arial" w:hAnsi="Arial" w:cs="Arial"/>
          <w:lang w:val="en"/>
        </w:rPr>
        <w:t>. The consequences of hypogonadism include subnormal growth, osteoporosis, delayed puberty and infertility, some patients experience hypothyroidism and hypoparathyroidism. Delayed puberty is a contributing factor to growth failure in thalassemia adolescents who do not show a normal growth spurt, namely in thalassemia sufferers after the age of 10-11 years (third phase). Short stature in thalassemia is influenced by iron overload (disordered cartilage growth) and delayed puberty/hypogonadism</w:t>
      </w:r>
      <w:r w:rsidR="00E10850">
        <w:rPr>
          <w:rFonts w:ascii="Arial" w:hAnsi="Arial" w:cs="Arial"/>
          <w:lang w:val="en"/>
        </w:rPr>
        <w:t xml:space="preserve"> </w:t>
      </w:r>
      <w:r w:rsidR="00E10850">
        <w:rPr>
          <w:rFonts w:ascii="Arial" w:hAnsi="Arial" w:cs="Arial"/>
          <w:lang w:val="en"/>
        </w:rPr>
        <w:fldChar w:fldCharType="begin" w:fldLock="1"/>
      </w:r>
      <w:r w:rsidR="001D137D">
        <w:rPr>
          <w:rFonts w:ascii="Arial" w:hAnsi="Arial" w:cs="Arial"/>
          <w:lang w:val="en"/>
        </w:rPr>
        <w:instrText>ADDIN CSL_CITATION {"citationItems":[{"id":"ITEM-1","itemData":{"author":[{"dropping-particle":"","family":"Casale","given":"Maddalena","non-dropping-particle":"","parse-names":false,"suffix":""},{"dropping-particle":"","family":"Baldini","given":"Marina","non-dropping-particle":"","parse-names":false,"suffix":""},{"dropping-particle":"","family":"Giusti","given":"Andrea","non-dropping-particle":"","parse-names":false,"suffix":""},{"dropping-particle":"","family":"Grandone","given":"Anna","non-dropping-particle":"","parse-names":false,"suffix":""},{"dropping-particle":"","family":"Poggi","given":"Maurizio","non-dropping-particle":"","parse-names":false,"suffix":""}],"chapter-number":"Chapter 6","container-title":"Guidelines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172-225","publisher":"Thalassaemia International Federation","publisher-place":"Nicosia","title":"Growth abnormalities, endocrine, and bone disease","type":"chapter"},"uris":["http://www.mendeley.com/documents/?uuid=44a21b43-a103-44bd-a9f2-39cbca5ccef0"]}],"mendeley":{"formattedCitation":"(Casale et al., 2025)","plainTextFormattedCitation":"(Casale et al., 2025)","previouslyFormattedCitation":"(Casale et al., 2025)"},"properties":{"noteIndex":0},"schema":"https://github.com/citation-style-language/schema/raw/master/csl-citation.json"}</w:instrText>
      </w:r>
      <w:r w:rsidR="00E10850">
        <w:rPr>
          <w:rFonts w:ascii="Arial" w:hAnsi="Arial" w:cs="Arial"/>
          <w:lang w:val="en"/>
        </w:rPr>
        <w:fldChar w:fldCharType="separate"/>
      </w:r>
      <w:r w:rsidR="00E10850" w:rsidRPr="00E10850">
        <w:rPr>
          <w:rFonts w:ascii="Arial" w:hAnsi="Arial" w:cs="Arial"/>
          <w:noProof/>
          <w:lang w:val="en"/>
        </w:rPr>
        <w:t>(Casale et al., 2025)</w:t>
      </w:r>
      <w:r w:rsidR="00E10850">
        <w:rPr>
          <w:rFonts w:ascii="Arial" w:hAnsi="Arial" w:cs="Arial"/>
          <w:lang w:val="en"/>
        </w:rPr>
        <w:fldChar w:fldCharType="end"/>
      </w:r>
      <w:r>
        <w:rPr>
          <w:rFonts w:ascii="Arial" w:hAnsi="Arial" w:cs="Arial"/>
          <w:lang w:val="en"/>
        </w:rPr>
        <w:t>.</w:t>
      </w:r>
    </w:p>
    <w:p w14:paraId="72E9359D" w14:textId="08466296" w:rsidR="00922506" w:rsidRDefault="00922506" w:rsidP="00922506">
      <w:pPr>
        <w:spacing w:after="160"/>
        <w:jc w:val="both"/>
        <w:rPr>
          <w:rFonts w:ascii="Arial" w:hAnsi="Arial" w:cs="Arial"/>
          <w:lang w:val="en"/>
        </w:rPr>
      </w:pPr>
      <w:r w:rsidRPr="00E474E4">
        <w:rPr>
          <w:rFonts w:ascii="Arial" w:hAnsi="Arial" w:cs="Arial"/>
          <w:lang w:val="en"/>
        </w:rPr>
        <w:t>Bone age is the only indicator of biological maturity available from birth to adulthood that is more correlated with a child's growth and development compared to chronological age based on date of birth</w:t>
      </w:r>
      <w:r w:rsidR="001D137D">
        <w:rPr>
          <w:rFonts w:ascii="Arial" w:hAnsi="Arial" w:cs="Arial"/>
          <w:lang w:val="en"/>
        </w:rPr>
        <w:t xml:space="preserve"> </w:t>
      </w:r>
      <w:r w:rsidR="001D137D">
        <w:rPr>
          <w:rFonts w:ascii="Arial" w:hAnsi="Arial" w:cs="Arial"/>
          <w:lang w:val="en"/>
        </w:rPr>
        <w:fldChar w:fldCharType="begin" w:fldLock="1"/>
      </w:r>
      <w:r w:rsidR="00BD49D4">
        <w:rPr>
          <w:rFonts w:ascii="Arial" w:hAnsi="Arial" w:cs="Arial"/>
          <w:lang w:val="en"/>
        </w:rPr>
        <w:instrText>ADDIN CSL_CITATION {"citationItems":[{"id":"ITEM-1","itemData":{"DOI":"10.4274/jcrpe.galenos.2020.2020.0091","ISSN":"13085735","PMID":"33099993","abstract":"Bone age is one of biological indicators of maturity used in clinical practice and it is a very important parameter of a child’s assessment, especially in paediatric endocrinology. The most widely used method of bone age assessment is by performing a hand and wrist radiograph and its analysis with Greulich-Pyle or Tanner-Whitehouse atlases, although it has been about 60 years since they were published. Due to the progress in the area of Computer-Aided Diagnosis and application of artificial intelligence in medicine, lately, numerous programs for automatic bone age assessment have been created. Most of them have been verified in clinical studies in comparison to traditional methods, showing good precision while eliminating inter-and intra-rater variability and significantly reducing the time of assessment. Additionally, there are available methods for assessment of bone age which avoid X-ray exposure, using modalities such as ultrasound or magnetic resonance imaging.","author":[{"dropping-particle":"","family":"Prokop-Piotrkowska","given":"Monika","non-dropping-particle":"","parse-names":false,"suffix":""},{"dropping-particle":"","family":"Marszałek-Dziuba","given":"Kamila","non-dropping-particle":"","parse-names":false,"suffix":""},{"dropping-particle":"","family":"Moszczyńska","given":"Elżbieta","non-dropping-particle":"","parse-names":false,"suffix":""},{"dropping-particle":"","family":"Szalecki","given":"Mieczysław","non-dropping-particle":"","parse-names":false,"suffix":""},{"dropping-particle":"","family":"Jurkiewicz","given":"Elżbieta","non-dropping-particle":"","parse-names":false,"suffix":""}],"container-title":"Journal of Clinical Research in Pediatric Endocrinology","id":"ITEM-1","issued":{"date-parts":[["2021"]]},"page":"251-262","title":"Traditional and new methods of bone age assessment-an overview","type":"article-journal","volume":"13"},"uris":["http://www.mendeley.com/documents/?uuid=0ab00e0b-25b5-42e3-a71b-9bc49ceb4a22"]}],"mendeley":{"formattedCitation":"(Prokop-Piotrkowska et al., 2021)","plainTextFormattedCitation":"(Prokop-Piotrkowska et al., 2021)","previouslyFormattedCitation":"(Prokop-Piotrkowska et al., 2021)"},"properties":{"noteIndex":0},"schema":"https://github.com/citation-style-language/schema/raw/master/csl-citation.json"}</w:instrText>
      </w:r>
      <w:r w:rsidR="001D137D">
        <w:rPr>
          <w:rFonts w:ascii="Arial" w:hAnsi="Arial" w:cs="Arial"/>
          <w:lang w:val="en"/>
        </w:rPr>
        <w:fldChar w:fldCharType="separate"/>
      </w:r>
      <w:r w:rsidR="001D137D" w:rsidRPr="001D137D">
        <w:rPr>
          <w:rFonts w:ascii="Arial" w:hAnsi="Arial" w:cs="Arial"/>
          <w:noProof/>
          <w:lang w:val="en"/>
        </w:rPr>
        <w:t>(Prokop-Piotrkowska et al., 2021)</w:t>
      </w:r>
      <w:r w:rsidR="001D137D">
        <w:rPr>
          <w:rFonts w:ascii="Arial" w:hAnsi="Arial" w:cs="Arial"/>
          <w:lang w:val="en"/>
        </w:rPr>
        <w:fldChar w:fldCharType="end"/>
      </w:r>
      <w:r w:rsidRPr="00E474E4">
        <w:rPr>
          <w:rFonts w:ascii="Arial" w:hAnsi="Arial" w:cs="Arial"/>
          <w:lang w:val="en"/>
        </w:rPr>
        <w:t>. Growth retardation is one of the ways assessed by bone age, which describes bone maturity.</w:t>
      </w:r>
    </w:p>
    <w:p w14:paraId="5101E1E0" w14:textId="326C15CD" w:rsidR="008C494F" w:rsidRDefault="008C494F" w:rsidP="008C494F">
      <w:pPr>
        <w:spacing w:after="160"/>
        <w:jc w:val="both"/>
        <w:rPr>
          <w:rFonts w:ascii="Arial" w:hAnsi="Arial" w:cs="Arial"/>
          <w:lang w:val="en"/>
        </w:rPr>
      </w:pPr>
      <w:r w:rsidRPr="00E474E4">
        <w:rPr>
          <w:rFonts w:ascii="Arial" w:hAnsi="Arial" w:cs="Arial"/>
          <w:lang w:val="en"/>
        </w:rPr>
        <w:t>Several studies have found that increased serum ferritin in thalassemia correlates with delayed bone age, where the mean bone age in thalassemia patients was found to be significantly lower than the normal population. Shah et al.'s study found that age &gt;10 years (OR=7.7, p=0.001 95%CI) and ferritin &gt;2500 mcg/l (OR=1.9, p=0.1, 95%CI) were associated with a difference in bone age of &gt;36 months</w:t>
      </w:r>
      <w:r w:rsidR="00BD49D4">
        <w:rPr>
          <w:rFonts w:ascii="Arial" w:hAnsi="Arial" w:cs="Arial"/>
          <w:lang w:val="en"/>
        </w:rPr>
        <w:t xml:space="preserve"> </w:t>
      </w:r>
      <w:r w:rsidR="00BD49D4">
        <w:rPr>
          <w:rFonts w:ascii="Arial" w:hAnsi="Arial" w:cs="Arial"/>
          <w:lang w:val="en"/>
        </w:rPr>
        <w:fldChar w:fldCharType="begin" w:fldLock="1"/>
      </w:r>
      <w:r w:rsidR="00BD49D4">
        <w:rPr>
          <w:rFonts w:ascii="Arial" w:hAnsi="Arial" w:cs="Arial"/>
          <w:lang w:val="en"/>
        </w:rPr>
        <w:instrText>ADDIN CSL_CITATION {"citationItems":[{"id":"ITEM-1","itemData":{"DOI":"10.18535/ijmsci/v4i2.01","ISSN":"24549576","abstract":"Objectives: To study Vitamin D levels and bone age estimation in patients with thalassemia major and to correlate various factors associated with short stature, Vitamin D deficiency and bone age difference. Study Design: Prospective observational study Setting: Thalassemia clinic, Civil hospital, Ahmedabad Subjects and intervention: Total 84 patients with Beta-thalassemia major less than 12 years of age during 1 month period were included after taking informed consent. Study period: 15 October 2016 to 15 November 2016 Results: Out of 84 patients 34 patients had Vitamin D deficiency(&lt;20ng/ml), 34 patients had short stature and 24 patients with bone age &gt;36 months had age&gt;10 years. Vitamin D levels &lt;30ng/ml is associated with ferritin level &gt;2500(mcg/l)(OR=2.23 p=0.02 95%CI). Age&gt;10 year(OR=7.7 P=0.0001 95%CI) and ferritin &gt;2500mcg/l (OR=1.9 P=0.1 95%CI)are associated with bone age difference&gt;36 months. Increased S.ALP(OR=1.1 P=0.02 95%CI) and ferritin levels&gt;2500 mcg/l (OR:3.6 P=0.0056 95% CI )are associated with short stature. Conclusion: Vitamin D and calcium supplementation along with disciplined transfusion and chelation regimen can likely prevent or delay late complications like short stature, osteoporosis in thalassemia patients.","author":[{"dropping-particle":"","family":"Shah","given":"Bela","non-dropping-particle":"","parse-names":false,"suffix":""},{"dropping-particle":"","family":"Gosai","given":"Dhara","non-dropping-particle":"","parse-names":false,"suffix":""},{"dropping-particle":"","family":"Shah","given":"Hardik","non-dropping-particle":"","parse-names":false,"suffix":""}],"container-title":"International Journal Of Medical Science And Clinical Invention","id":"ITEM-1","issued":{"date-parts":[["2017"]]},"page":"2639-2641","title":"Study of vitamin D status and bone age in children with Thalassemia major","type":"article-journal","volume":"4"},"uris":["http://www.mendeley.com/documents/?uuid=e9a436f8-ea5c-46b6-9b2a-783834a7a536"]}],"mendeley":{"formattedCitation":"(Shah et al., 2017)","plainTextFormattedCitation":"(Shah et al., 2017)","previouslyFormattedCitation":"(Shah et al., 2017)"},"properties":{"noteIndex":0},"schema":"https://github.com/citation-style-language/schema/raw/master/csl-citation.json"}</w:instrText>
      </w:r>
      <w:r w:rsidR="00BD49D4">
        <w:rPr>
          <w:rFonts w:ascii="Arial" w:hAnsi="Arial" w:cs="Arial"/>
          <w:lang w:val="en"/>
        </w:rPr>
        <w:fldChar w:fldCharType="separate"/>
      </w:r>
      <w:r w:rsidR="00BD49D4" w:rsidRPr="00BD49D4">
        <w:rPr>
          <w:rFonts w:ascii="Arial" w:hAnsi="Arial" w:cs="Arial"/>
          <w:noProof/>
          <w:lang w:val="en"/>
        </w:rPr>
        <w:t>(Shah et al., 2017)</w:t>
      </w:r>
      <w:r w:rsidR="00BD49D4">
        <w:rPr>
          <w:rFonts w:ascii="Arial" w:hAnsi="Arial" w:cs="Arial"/>
          <w:lang w:val="en"/>
        </w:rPr>
        <w:fldChar w:fldCharType="end"/>
      </w:r>
      <w:r w:rsidRPr="00E474E4">
        <w:rPr>
          <w:rFonts w:ascii="Arial" w:hAnsi="Arial" w:cs="Arial"/>
          <w:lang w:val="en"/>
        </w:rPr>
        <w:t>. A study at Hasan Sadikin Hospital found a strong positive correlation between serum ferritin levels and delayed bone age (r=0.7; p&lt;0.001)</w:t>
      </w:r>
      <w:r w:rsidR="00BD49D4">
        <w:rPr>
          <w:rFonts w:ascii="Arial" w:hAnsi="Arial" w:cs="Arial"/>
          <w:lang w:val="en"/>
        </w:rPr>
        <w:t xml:space="preserve"> </w:t>
      </w:r>
      <w:r w:rsidR="00BD49D4">
        <w:rPr>
          <w:rFonts w:ascii="Arial" w:hAnsi="Arial" w:cs="Arial"/>
          <w:lang w:val="en"/>
        </w:rPr>
        <w:fldChar w:fldCharType="begin" w:fldLock="1"/>
      </w:r>
      <w:r w:rsidR="00E30BD3">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mayor","type":"article-journal","volume":"22"},"uris":["http://www.mendeley.com/documents/?uuid=ac1b7e80-bbba-4e63-afae-b1797abe6e92"]}],"mendeley":{"formattedCitation":"(Napitu et al., 2020)","plainTextFormattedCitation":"(Napitu et al., 2020)","previouslyFormattedCitation":"(Napitu et al., 2020)"},"properties":{"noteIndex":0},"schema":"https://github.com/citation-style-language/schema/raw/master/csl-citation.json"}</w:instrText>
      </w:r>
      <w:r w:rsidR="00BD49D4">
        <w:rPr>
          <w:rFonts w:ascii="Arial" w:hAnsi="Arial" w:cs="Arial"/>
          <w:lang w:val="en"/>
        </w:rPr>
        <w:fldChar w:fldCharType="separate"/>
      </w:r>
      <w:r w:rsidR="00BD49D4" w:rsidRPr="00BD49D4">
        <w:rPr>
          <w:rFonts w:ascii="Arial" w:hAnsi="Arial" w:cs="Arial"/>
          <w:noProof/>
          <w:lang w:val="en"/>
        </w:rPr>
        <w:t>(Napitu et al., 2020)</w:t>
      </w:r>
      <w:r w:rsidR="00BD49D4">
        <w:rPr>
          <w:rFonts w:ascii="Arial" w:hAnsi="Arial" w:cs="Arial"/>
          <w:lang w:val="en"/>
        </w:rPr>
        <w:fldChar w:fldCharType="end"/>
      </w:r>
      <w:r w:rsidRPr="00E474E4">
        <w:rPr>
          <w:rFonts w:ascii="Arial" w:hAnsi="Arial" w:cs="Arial"/>
          <w:lang w:val="en"/>
        </w:rPr>
        <w:t>. A cross-sectional study in Sahiwal found that the mean bone age of thalassemia patients (10.92±1.16) was significantly lower than that of non-thalassemia children (12.46±1.53) (p=0.0002). In t</w:t>
      </w:r>
      <w:r w:rsidR="00D609E6">
        <w:rPr>
          <w:rFonts w:ascii="Arial" w:hAnsi="Arial" w:cs="Arial"/>
          <w:lang w:val="en"/>
        </w:rPr>
        <w:t>hat</w:t>
      </w:r>
      <w:r w:rsidRPr="00E474E4">
        <w:rPr>
          <w:rFonts w:ascii="Arial" w:hAnsi="Arial" w:cs="Arial"/>
          <w:lang w:val="en"/>
        </w:rPr>
        <w:t xml:space="preserve"> study, it was found that although the level of compliance with iron chelation therapy and diet plans improved the health status of thalassemia patients, many thalassemia patients still experienced growth retardation as they got older, especially during puberty</w:t>
      </w:r>
      <w:r w:rsidR="00E30BD3">
        <w:rPr>
          <w:rFonts w:ascii="Arial" w:hAnsi="Arial" w:cs="Arial"/>
          <w:lang w:val="en"/>
        </w:rPr>
        <w:t xml:space="preserve"> </w:t>
      </w:r>
      <w:r w:rsidR="00E30BD3">
        <w:rPr>
          <w:rFonts w:ascii="Arial" w:hAnsi="Arial" w:cs="Arial"/>
          <w:lang w:val="en"/>
        </w:rPr>
        <w:fldChar w:fldCharType="begin" w:fldLock="1"/>
      </w:r>
      <w:r w:rsidR="003F39E2">
        <w:rPr>
          <w:rFonts w:ascii="Arial" w:hAnsi="Arial" w:cs="Arial"/>
          <w:lang w:val="en"/>
        </w:rPr>
        <w:instrText>ADDIN CSL_CITATION {"citationItems":[{"id":"ITEM-1","itemData":{"DOI":"10.29309/tpmj/2023.30.03.7056","ISSN":"18192718","PMID":"30838823","abstract":"Background: Thalassemia is inherited disorder characterized by haemolytic anaemia, due to complete absence or reduced β-globin chain synthesis, stimulating pathological bone marrow overstimulation and altered erythropoiesis. The change in bone mass ultimately results into miss interpretation of bone age once assed from x-ray radiograph. The aims compare skeletal age of thalassaemic children of 9-15 years with chronological age by x-ray wrist bones. Methods: This was cross sectional analytical study; the study was conducted in conjunction with Fatimid Hospital Peshawar Pakistan and Out Patients Department (OPD) of paediatrics for minor illness (other than Thalassemia) Khyber Teaching Hospital August 2014 to January 2015. A total 156 samples were selected convenient sampling to make comparison of bone age and chronological age between thalassaemic children (age 9-15years) and age sex matched normal control. A structure data collection check list was used to collect data X-ray findings (bone age). SPSS 20 was used for statistical analysis. Results: The results showed a total of 156 children with their mean age 11.9±2.2, male were 97 (62.2%) and females 59 (37.8%). Out of thalassaemic (n=76) majority 49 (62.8%) were male as compared to female 29 (37.2%). The mean chorological age among both of group were not significantly different (p=0.67). However, the bone age was significantly different from each other (p=0001). Pearson's correlation analysis revealed that was strong correlation between erupt teeth and bone age (r=0.462, p=0.0001). Conclusion: Skeletal age assessment was found to be suboptimal along with chronological age in children and adolescents suffering from thalassemia.","author":[{"dropping-particle":"","family":"Akhtar","given":"Muhammad Saleem","non-dropping-particle":"","parse-names":false,"suffix":""},{"dropping-particle":"","family":"Arooj","given":"Amna","non-dropping-particle":"","parse-names":false,"suffix":""},{"dropping-particle":"","family":"Batool","given":"Yasmeen","non-dropping-particle":"","parse-names":false,"suffix":""},{"dropping-particle":"","family":"Nafees","given":"Muhammad","non-dropping-particle":"","parse-names":false,"suffix":""}],"container-title":"The Professional Medical Journal","id":"ITEM-1","issued":{"date-parts":[["2023"]]},"page":"301-304","title":"A Comparison Of Skeletal Age Of Thalassaemic Patients Of 9-15 Years With Chronological Age By Radiography","type":"article-journal","volume":"30"},"uris":["http://www.mendeley.com/documents/?uuid=591a6a60-84d2-41be-8d18-424a3b6e4e00"]}],"mendeley":{"formattedCitation":"(Akhtar et al., 2023)","plainTextFormattedCitation":"(Akhtar et al., 2023)","previouslyFormattedCitation":"(Akhtar et al., 2023)"},"properties":{"noteIndex":0},"schema":"https://github.com/citation-style-language/schema/raw/master/csl-citation.json"}</w:instrText>
      </w:r>
      <w:r w:rsidR="00E30BD3">
        <w:rPr>
          <w:rFonts w:ascii="Arial" w:hAnsi="Arial" w:cs="Arial"/>
          <w:lang w:val="en"/>
        </w:rPr>
        <w:fldChar w:fldCharType="separate"/>
      </w:r>
      <w:r w:rsidR="00E30BD3" w:rsidRPr="00E30BD3">
        <w:rPr>
          <w:rFonts w:ascii="Arial" w:hAnsi="Arial" w:cs="Arial"/>
          <w:noProof/>
          <w:lang w:val="en"/>
        </w:rPr>
        <w:t>(Akhtar et al., 2023)</w:t>
      </w:r>
      <w:r w:rsidR="00E30BD3">
        <w:rPr>
          <w:rFonts w:ascii="Arial" w:hAnsi="Arial" w:cs="Arial"/>
          <w:lang w:val="en"/>
        </w:rPr>
        <w:fldChar w:fldCharType="end"/>
      </w:r>
      <w:r w:rsidRPr="00E474E4">
        <w:rPr>
          <w:rFonts w:ascii="Arial" w:hAnsi="Arial" w:cs="Arial"/>
          <w:lang w:val="en"/>
        </w:rPr>
        <w:t>.</w:t>
      </w:r>
    </w:p>
    <w:p w14:paraId="1165EEB6" w14:textId="080670FB" w:rsidR="002178E0" w:rsidRDefault="00712F56" w:rsidP="00712F56">
      <w:pPr>
        <w:spacing w:after="160"/>
        <w:jc w:val="both"/>
        <w:rPr>
          <w:rFonts w:ascii="Arial" w:hAnsi="Arial" w:cs="Arial"/>
          <w:lang w:val="en"/>
        </w:rPr>
      </w:pPr>
      <w:r w:rsidRPr="0069002A">
        <w:rPr>
          <w:rFonts w:ascii="Arial" w:hAnsi="Arial" w:cs="Arial"/>
          <w:lang w:val="en"/>
        </w:rPr>
        <w:t xml:space="preserve">This study found something different from other studies, </w:t>
      </w:r>
      <w:r w:rsidR="00D06A48">
        <w:rPr>
          <w:rFonts w:ascii="Arial" w:hAnsi="Arial" w:cs="Arial"/>
          <w:lang w:val="en"/>
        </w:rPr>
        <w:t xml:space="preserve">which is </w:t>
      </w:r>
      <w:r w:rsidRPr="0069002A">
        <w:rPr>
          <w:rFonts w:ascii="Arial" w:hAnsi="Arial" w:cs="Arial"/>
          <w:lang w:val="en"/>
        </w:rPr>
        <w:t>a very weak and not statistically significant correlation between serum ferritin and delayed bone age. The correlation between serum ferritin levels based on the start of iron chelation and delayed bone age in this study was 0.09, but not significant (</w:t>
      </w:r>
      <w:r w:rsidRPr="0069002A">
        <w:rPr>
          <w:rFonts w:ascii="Arial" w:hAnsi="Arial" w:cs="Arial"/>
          <w:i/>
          <w:iCs/>
          <w:lang w:val="en"/>
        </w:rPr>
        <w:t>p</w:t>
      </w:r>
      <w:r w:rsidRPr="0069002A">
        <w:rPr>
          <w:rFonts w:ascii="Arial" w:hAnsi="Arial" w:cs="Arial"/>
          <w:lang w:val="en"/>
        </w:rPr>
        <w:t xml:space="preserve"> = 0.512). This study also found a very weak correlation between serum ferritin levels based on iron overload classification and delayed bone age, but not statistically significant (r = 0.135, </w:t>
      </w:r>
      <w:r w:rsidRPr="0069002A">
        <w:rPr>
          <w:rFonts w:ascii="Arial" w:hAnsi="Arial" w:cs="Arial"/>
          <w:i/>
          <w:iCs/>
          <w:lang w:val="en"/>
        </w:rPr>
        <w:t>p</w:t>
      </w:r>
      <w:r w:rsidRPr="0069002A">
        <w:rPr>
          <w:rFonts w:ascii="Arial" w:hAnsi="Arial" w:cs="Arial"/>
          <w:lang w:val="en"/>
        </w:rPr>
        <w:t xml:space="preserve"> = 0.327). Similar to this study, a study at Dr. M. </w:t>
      </w:r>
      <w:proofErr w:type="spellStart"/>
      <w:r w:rsidRPr="0069002A">
        <w:rPr>
          <w:rFonts w:ascii="Arial" w:hAnsi="Arial" w:cs="Arial"/>
          <w:lang w:val="en"/>
        </w:rPr>
        <w:t>Djamil</w:t>
      </w:r>
      <w:proofErr w:type="spellEnd"/>
      <w:r w:rsidRPr="0069002A">
        <w:rPr>
          <w:rFonts w:ascii="Arial" w:hAnsi="Arial" w:cs="Arial"/>
          <w:lang w:val="en"/>
        </w:rPr>
        <w:t xml:space="preserve"> Padang General Hospital found no relationship between serum ferritin and delayed bone age (p = 0.839)</w:t>
      </w:r>
      <w:r w:rsidR="003F39E2">
        <w:rPr>
          <w:rFonts w:ascii="Arial" w:hAnsi="Arial" w:cs="Arial"/>
          <w:lang w:val="en"/>
        </w:rPr>
        <w:t xml:space="preserve"> </w:t>
      </w:r>
      <w:r w:rsidR="003F39E2">
        <w:rPr>
          <w:rFonts w:ascii="Arial" w:hAnsi="Arial" w:cs="Arial"/>
          <w:lang w:val="en"/>
        </w:rPr>
        <w:fldChar w:fldCharType="begin" w:fldLock="1"/>
      </w:r>
      <w:r w:rsidR="003F39E2">
        <w:rPr>
          <w:rFonts w:ascii="Arial" w:hAnsi="Arial" w:cs="Arial"/>
          <w:lang w:val="en"/>
        </w:rPr>
        <w:instrText>ADDIN CSL_CITATION {"citationItems":[{"id":"ITEM-1","itemData":{"DOI":"10.32883/hcj.v5i2.708","ISSN":"2685-5798","abstract":"Latar belakang. Gangguan endokrin merupakan komplikasi yang sering terjadi pada pasien thalassemia β mayor yang berefek pada kualitas hidupnya. Komplikasi ini terjadi karena penumpukan besi di dalam tubuh dan melibatkan organ seperti kelenjar endokrin sehingga pasien dapat mengalami hipotiroid, pubertas terlambat, perawakan pendek, gangguan insulin, usia tulang terlambat dan osteoporosis. Tujuan dari penelitian ini adalah untuk mengetahui kejadian endokrinopati pada pasien thalassemia β mayor di RSUP M Djamil Padang. Metode. Penelitian prospektif observasional terhadap pasien thalassemia β mayor yang di RSUP DR M Djamil pada bulan Januari – April 2018. Dilakukan pengumpulan data kadar feritin serum, tinggi badan, gula darah sewaktu, fungsi tiroid, status pubertas dan bone age. Data dianalisis secara univariat dan bivariat dengan menggunakan uji Chi square untuk mencari hubungan antara kadar feritin dengan perawakan pendek, status pubertas, usia tulang dan osteoporosis, dikatakan berhubungan apabila p value &lt; 0,05. Data dianalisis dengan menggunakan program SPSS. Hasil. Didapatkan 39 pasien thalassemia β Mayor, 3 orang menolak pemeriksaan, usia rata-rata 9,7 ± 3,9 tahun, 14 laki–laki (38,9%), 22 perempuan (61,1%), lama menderita thalasemia 5,6 ± 4,0 tahun. Perawakan pendek ditemukan pada 28 pasien (77,8%), tidak ada pasien yang menderita hiperglikemia. Dua orang (5,6%) mengalami hipotiroid, 4 dari 6 orang usia pubertas (66,67%) mengalami pubertas terlambat. Usia tulang retarded ditemukan pada 16 orang (44,4%) dan 3 orang (8,3%) mengalami osteoporosis. Tidak terdapat hubungan antara kadar feritin dengan perawakan pendek,status pubertas, usia tulang dan osteoporosis (p= 0,434 , p= 0,601 , p = 0,839 , p= 1.000). Kesimpulan. Gangguan endokrin terbanyak pada penelitian ini adalah perawakan pendek yaitu 28 pasien (77,8%). Tidak terdapat hubungan antara kadar feritin dengan perawakan pendek, status pubertas, usia tulang dan osteoporosis","author":[{"dropping-particle":"","family":"Ayudhia","given":"Shinta","non-dropping-particle":"","parse-names":false,"suffix":""},{"dropping-particle":"","family":"Rini","given":"Eka Agustia","non-dropping-particle":"","parse-names":false,"suffix":""}],"container-title":"Human Care Journal","id":"ITEM-1","issued":{"date-parts":[["2020"]]},"page":"554-9","title":"Gangguan Endokrin Pada Pasien Thalassemia Β Mayor Di Rsup M Djamil Padang","type":"article-journal","volume":"5"},"uris":["http://www.mendeley.com/documents/?uuid=f288c9e8-9e1b-444b-94aa-6e8a6ea04c8b"]}],"mendeley":{"formattedCitation":"(Ayudhia and Rini, 2020)","plainTextFormattedCitation":"(Ayudhia and Rini, 2020)","previouslyFormattedCitation":"(Ayudhia and Rini, 2020)"},"properties":{"noteIndex":0},"schema":"https://github.com/citation-style-language/schema/raw/master/csl-citation.json"}</w:instrText>
      </w:r>
      <w:r w:rsidR="003F39E2">
        <w:rPr>
          <w:rFonts w:ascii="Arial" w:hAnsi="Arial" w:cs="Arial"/>
          <w:lang w:val="en"/>
        </w:rPr>
        <w:fldChar w:fldCharType="separate"/>
      </w:r>
      <w:r w:rsidR="003F39E2" w:rsidRPr="003F39E2">
        <w:rPr>
          <w:rFonts w:ascii="Arial" w:hAnsi="Arial" w:cs="Arial"/>
          <w:noProof/>
          <w:lang w:val="en"/>
        </w:rPr>
        <w:t>(Ayudhia and Rini, 2020)</w:t>
      </w:r>
      <w:r w:rsidR="003F39E2">
        <w:rPr>
          <w:rFonts w:ascii="Arial" w:hAnsi="Arial" w:cs="Arial"/>
          <w:lang w:val="en"/>
        </w:rPr>
        <w:fldChar w:fldCharType="end"/>
      </w:r>
      <w:r w:rsidRPr="0069002A">
        <w:rPr>
          <w:rFonts w:ascii="Arial" w:hAnsi="Arial" w:cs="Arial"/>
          <w:lang w:val="en"/>
        </w:rPr>
        <w:t>.  Another study in Palembang also found no correlation between serum ferritin and bone age in children with thalassemia major</w:t>
      </w:r>
      <w:r w:rsidR="003F39E2">
        <w:rPr>
          <w:rFonts w:ascii="Arial" w:hAnsi="Arial" w:cs="Arial"/>
          <w:lang w:val="en"/>
        </w:rPr>
        <w:t xml:space="preserve"> </w:t>
      </w:r>
      <w:r w:rsidR="003F39E2">
        <w:rPr>
          <w:rFonts w:ascii="Arial" w:hAnsi="Arial" w:cs="Arial"/>
          <w:lang w:val="en"/>
        </w:rPr>
        <w:fldChar w:fldCharType="begin" w:fldLock="1"/>
      </w:r>
      <w:r w:rsidR="00F207EC">
        <w:rPr>
          <w:rFonts w:ascii="Arial" w:hAnsi="Arial" w:cs="Arial"/>
          <w:lang w:val="en"/>
        </w:rPr>
        <w:instrText>ADDIN CSL_CITATION {"citationItems":[{"id":"ITEM-1","itemData":{"DOI":"10.14238/pi61.3.2021.125-32","ISSN":"2338476X","abstract":"Background Endocrine disorders in thalassemia major children occur due to iron overload and hemosiderosis in endocrine organs. Early detection is needed to prevent complications and improve the quality of life. An association between serum fer-ritin and endocrine disorders in thalassemia patients has been inconclusive to date. Objective To analyze for possible associations between serum ferritin and endocrine disorders (short stature, delayed puberty, delayed bone age, hypothyroidism, impaired glucose tolerance, and diabetes mellitus) and the incidence of each disorder in thalassemia major. Methods There were 115 thalassemia major patients aged 10-18 years involved in our cross-sectional study from June 2019-June 2020 in the Pediatrics Department, DR. M. Hosein Hospital, Palembang, South Sumatera. Anthropometry and socioeconomic status informations were collected from physical examination and interview. Ferritin, FT4, TSH, Hb and glucose levels measured by using standard methods for each item in the laboratory, mean while the skeletal age assessment was determined by using FELS method. Results This study included 83 (72.2%) girls and 32 (27.8%) boys. There were 89 (77.4%) subjects with short stature, 74 (64.4%) with delayed bone age, 30 (26.1%) with impaired glucose toler-ance, 25 (21.7%) with delayed puberty, 4 (3.5%) with diabetes mellitus (DM), and none with hypothyroidism. Bivariate and multivariate analyses revealed no associations between serum ferritin and short stature, delayed bone age, impaired glucose tolerance, delayed puberty, and DM. Conclusion There is a high prevalence of endocrine disorders in pediatric thalassemia patients, especially short stature and delayed bone age. However, there are no associations between serum ferritin and endocrine disorders in these patients. [Paediatr Indones. 2021;61:125-32;.","author":[{"dropping-particle":"","family":"Dewiyanti","given":"Evi","non-dropping-particle":"","parse-names":false,"suffix":""},{"dropping-particle":"","family":"Aditiawati","given":"","non-dropping-particle":"","parse-names":false,"suffix":""},{"dropping-particle":"","family":"Sari","given":"Dian Puspita","non-dropping-particle":"","parse-names":false,"suffix":""}],"container-title":"Paediatrica Indonesiana","id":"ITEM-1","issued":{"date-parts":[["2021"]]},"page":"125-132","title":"Serum ferritin levels and endocrine disorders in children with thalassemia major","type":"article-journal","volume":"61"},"uris":["http://www.mendeley.com/documents/?uuid=155b1f77-68bf-4ab9-932d-93af034e0af3"]}],"mendeley":{"formattedCitation":"(Dewiyanti et al., 2021)","plainTextFormattedCitation":"(Dewiyanti et al., 2021)","previouslyFormattedCitation":"(Dewiyanti et al., 2021)"},"properties":{"noteIndex":0},"schema":"https://github.com/citation-style-language/schema/raw/master/csl-citation.json"}</w:instrText>
      </w:r>
      <w:r w:rsidR="003F39E2">
        <w:rPr>
          <w:rFonts w:ascii="Arial" w:hAnsi="Arial" w:cs="Arial"/>
          <w:lang w:val="en"/>
        </w:rPr>
        <w:fldChar w:fldCharType="separate"/>
      </w:r>
      <w:r w:rsidR="003F39E2" w:rsidRPr="003F39E2">
        <w:rPr>
          <w:rFonts w:ascii="Arial" w:hAnsi="Arial" w:cs="Arial"/>
          <w:noProof/>
          <w:lang w:val="en"/>
        </w:rPr>
        <w:t>(Dewiyanti et al., 2021)</w:t>
      </w:r>
      <w:r w:rsidR="003F39E2">
        <w:rPr>
          <w:rFonts w:ascii="Arial" w:hAnsi="Arial" w:cs="Arial"/>
          <w:lang w:val="en"/>
        </w:rPr>
        <w:fldChar w:fldCharType="end"/>
      </w:r>
      <w:r w:rsidRPr="0069002A">
        <w:rPr>
          <w:rFonts w:ascii="Arial" w:hAnsi="Arial" w:cs="Arial"/>
          <w:lang w:val="en"/>
        </w:rPr>
        <w:t>.</w:t>
      </w:r>
    </w:p>
    <w:p w14:paraId="716FB019" w14:textId="5CDDA6C8" w:rsidR="00284988" w:rsidRPr="008A0892" w:rsidRDefault="00284988" w:rsidP="00284988">
      <w:pPr>
        <w:spacing w:after="160"/>
        <w:jc w:val="both"/>
        <w:rPr>
          <w:rFonts w:ascii="Arial" w:hAnsi="Arial" w:cs="Arial"/>
          <w:b/>
          <w:bCs/>
          <w:sz w:val="22"/>
          <w:szCs w:val="22"/>
        </w:rPr>
      </w:pPr>
      <w:r w:rsidRPr="008A0892">
        <w:rPr>
          <w:rFonts w:ascii="Arial" w:hAnsi="Arial" w:cs="Arial"/>
          <w:b/>
          <w:bCs/>
          <w:sz w:val="22"/>
          <w:szCs w:val="22"/>
          <w:lang w:val="en"/>
        </w:rPr>
        <w:t>3.</w:t>
      </w:r>
      <w:r>
        <w:rPr>
          <w:rFonts w:ascii="Arial" w:hAnsi="Arial" w:cs="Arial"/>
          <w:b/>
          <w:bCs/>
          <w:sz w:val="22"/>
          <w:szCs w:val="22"/>
          <w:lang w:val="en"/>
        </w:rPr>
        <w:t>4</w:t>
      </w:r>
      <w:r w:rsidRPr="008A0892">
        <w:rPr>
          <w:rFonts w:ascii="Arial" w:hAnsi="Arial" w:cs="Arial"/>
          <w:b/>
          <w:bCs/>
          <w:sz w:val="22"/>
          <w:szCs w:val="22"/>
          <w:lang w:val="en"/>
        </w:rPr>
        <w:t xml:space="preserve"> </w:t>
      </w:r>
      <w:r>
        <w:rPr>
          <w:rFonts w:ascii="Arial" w:hAnsi="Arial" w:cs="Arial"/>
          <w:b/>
          <w:bCs/>
          <w:sz w:val="22"/>
          <w:szCs w:val="22"/>
          <w:lang w:val="en"/>
        </w:rPr>
        <w:t>Strength</w:t>
      </w:r>
      <w:r w:rsidR="00B974CE">
        <w:rPr>
          <w:rFonts w:ascii="Arial" w:hAnsi="Arial" w:cs="Arial"/>
          <w:b/>
          <w:bCs/>
          <w:sz w:val="22"/>
          <w:szCs w:val="22"/>
          <w:lang w:val="en"/>
        </w:rPr>
        <w:t>s</w:t>
      </w:r>
      <w:r>
        <w:rPr>
          <w:rFonts w:ascii="Arial" w:hAnsi="Arial" w:cs="Arial"/>
          <w:b/>
          <w:bCs/>
          <w:sz w:val="22"/>
          <w:szCs w:val="22"/>
          <w:lang w:val="en"/>
        </w:rPr>
        <w:t xml:space="preserve"> and limitation</w:t>
      </w:r>
      <w:r w:rsidR="00B974CE">
        <w:rPr>
          <w:rFonts w:ascii="Arial" w:hAnsi="Arial" w:cs="Arial"/>
          <w:b/>
          <w:bCs/>
          <w:sz w:val="22"/>
          <w:szCs w:val="22"/>
          <w:lang w:val="en"/>
        </w:rPr>
        <w:t>s</w:t>
      </w:r>
    </w:p>
    <w:p w14:paraId="057A85E2" w14:textId="552DB554" w:rsidR="00D06A48" w:rsidRDefault="007F457D" w:rsidP="00972428">
      <w:pPr>
        <w:spacing w:after="160"/>
        <w:jc w:val="both"/>
        <w:rPr>
          <w:rFonts w:ascii="Arial" w:hAnsi="Arial" w:cs="Arial"/>
          <w:lang w:val="en"/>
        </w:rPr>
      </w:pPr>
      <w:r w:rsidRPr="0069002A">
        <w:rPr>
          <w:rFonts w:ascii="Arial" w:hAnsi="Arial" w:cs="Arial"/>
          <w:lang w:val="en"/>
        </w:rPr>
        <w:t xml:space="preserve">The strength of this study is that it is the first study in Banjarmasin, South Kalimantan, to report vitamin D insufficiency/deficiency and delayed bone age in children with beta thalassemia aged 2-18 years. The absence of a relationship between serum ferritin levels and vitamin D levels and delayed bone age in children with beta thalassemia can be used as baseline data for further research. The </w:t>
      </w:r>
      <w:r w:rsidR="00D06A48">
        <w:rPr>
          <w:rFonts w:ascii="Arial" w:hAnsi="Arial" w:cs="Arial"/>
          <w:lang w:val="en"/>
        </w:rPr>
        <w:t xml:space="preserve">limitation </w:t>
      </w:r>
      <w:r w:rsidRPr="0069002A">
        <w:rPr>
          <w:rFonts w:ascii="Arial" w:hAnsi="Arial" w:cs="Arial"/>
          <w:lang w:val="en"/>
        </w:rPr>
        <w:t>of this study are the small sample size and the fact that it was conducted in only one hospital. Furthermore, this cross-sectional study did not assess the vitamin D component in the patient</w:t>
      </w:r>
      <w:r w:rsidR="00E354CD">
        <w:rPr>
          <w:rFonts w:ascii="Arial" w:hAnsi="Arial" w:cs="Arial"/>
          <w:lang w:val="en"/>
        </w:rPr>
        <w:t>’</w:t>
      </w:r>
      <w:r w:rsidRPr="0069002A">
        <w:rPr>
          <w:rFonts w:ascii="Arial" w:hAnsi="Arial" w:cs="Arial"/>
          <w:lang w:val="en"/>
        </w:rPr>
        <w:t xml:space="preserve">s food recall diets or the duration of daily sun exposure, which can affect vitamin D levels. This study also lacked baseline data on serum vitamin D levels when the patients were diagnosed with thalassemia. This study also did not use healthy child subjects as a comparison. </w:t>
      </w:r>
    </w:p>
    <w:p w14:paraId="4A1B269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EA4EA8B" w14:textId="77777777" w:rsidR="00790ADA" w:rsidRDefault="00790ADA" w:rsidP="00441B6F">
      <w:pPr>
        <w:pStyle w:val="ConcHead"/>
        <w:spacing w:after="0"/>
        <w:jc w:val="both"/>
        <w:rPr>
          <w:rFonts w:ascii="Arial" w:hAnsi="Arial" w:cs="Arial"/>
        </w:rPr>
      </w:pPr>
    </w:p>
    <w:p w14:paraId="5CB2A705" w14:textId="26CC6457" w:rsidR="00AF5165" w:rsidRPr="00972428" w:rsidRDefault="00E354CD" w:rsidP="007C7E3F">
      <w:pPr>
        <w:spacing w:after="160"/>
        <w:jc w:val="both"/>
        <w:rPr>
          <w:rFonts w:ascii="Arial" w:hAnsi="Arial" w:cs="Arial"/>
          <w:color w:val="EE0000"/>
          <w:lang w:val="en"/>
        </w:rPr>
      </w:pPr>
      <w:r>
        <w:rPr>
          <w:rFonts w:ascii="Arial" w:eastAsia="Calibri" w:hAnsi="Arial" w:cs="Arial"/>
          <w:szCs w:val="22"/>
        </w:rPr>
        <w:t>T</w:t>
      </w:r>
      <w:r w:rsidRPr="00E11590">
        <w:rPr>
          <w:rFonts w:ascii="Arial" w:hAnsi="Arial" w:cs="Arial"/>
        </w:rPr>
        <w:t xml:space="preserve">here is no correlation between serum ferritin level and vitamin D level </w:t>
      </w:r>
      <w:r>
        <w:rPr>
          <w:rFonts w:ascii="Arial" w:hAnsi="Arial" w:cs="Arial"/>
        </w:rPr>
        <w:t>n</w:t>
      </w:r>
      <w:r w:rsidRPr="00E11590">
        <w:rPr>
          <w:rFonts w:ascii="Arial" w:hAnsi="Arial" w:cs="Arial"/>
        </w:rPr>
        <w:t>or delayed bone age in children with beta thalassemia</w:t>
      </w:r>
      <w:r>
        <w:rPr>
          <w:rFonts w:ascii="Arial" w:hAnsi="Arial" w:cs="Arial"/>
          <w:lang w:val="en"/>
        </w:rPr>
        <w:t xml:space="preserve">. </w:t>
      </w:r>
    </w:p>
    <w:p w14:paraId="431292CA" w14:textId="77777777" w:rsidR="002B685A" w:rsidRDefault="002B685A" w:rsidP="00441B6F">
      <w:pPr>
        <w:pStyle w:val="ReferHead"/>
        <w:spacing w:after="0"/>
        <w:jc w:val="both"/>
        <w:rPr>
          <w:rFonts w:ascii="Arial" w:hAnsi="Arial" w:cs="Arial"/>
          <w:b w:val="0"/>
          <w:caps w:val="0"/>
          <w:sz w:val="20"/>
        </w:rPr>
      </w:pPr>
    </w:p>
    <w:p w14:paraId="3A962E78" w14:textId="36A1F0F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250D4A">
        <w:rPr>
          <w:rFonts w:ascii="Arial" w:hAnsi="Arial" w:cs="Arial"/>
          <w:bCs/>
        </w:rPr>
        <w:t>AND Ethical approval</w:t>
      </w:r>
    </w:p>
    <w:p w14:paraId="2E817854" w14:textId="77777777" w:rsidR="002B685A" w:rsidRPr="002B685A" w:rsidRDefault="002B685A" w:rsidP="00441B6F">
      <w:pPr>
        <w:pStyle w:val="ReferHead"/>
        <w:spacing w:after="0"/>
        <w:jc w:val="both"/>
        <w:rPr>
          <w:rFonts w:ascii="Arial" w:hAnsi="Arial" w:cs="Arial"/>
          <w:bCs/>
        </w:rPr>
      </w:pPr>
    </w:p>
    <w:p w14:paraId="5E3DA4A5" w14:textId="7ACE5FD3" w:rsidR="001A29D8" w:rsidRDefault="002D0813" w:rsidP="00441B6F">
      <w:pPr>
        <w:pStyle w:val="ReferHead"/>
        <w:spacing w:after="0"/>
        <w:jc w:val="both"/>
        <w:rPr>
          <w:rFonts w:ascii="Arial" w:hAnsi="Arial" w:cs="Arial"/>
          <w:b w:val="0"/>
          <w:caps w:val="0"/>
          <w:sz w:val="20"/>
        </w:rPr>
      </w:pPr>
      <w:r w:rsidRPr="002D0813">
        <w:rPr>
          <w:rFonts w:ascii="Arial" w:hAnsi="Arial" w:cs="Arial"/>
          <w:b w:val="0"/>
          <w:caps w:val="0"/>
          <w:sz w:val="20"/>
        </w:rPr>
        <w:t>This study was non</w:t>
      </w:r>
      <w:r w:rsidR="00BE3AFC">
        <w:rPr>
          <w:rFonts w:ascii="Arial" w:hAnsi="Arial" w:cs="Arial"/>
          <w:b w:val="0"/>
          <w:caps w:val="0"/>
          <w:sz w:val="20"/>
        </w:rPr>
        <w:t>-</w:t>
      </w:r>
      <w:r w:rsidRPr="002D0813">
        <w:rPr>
          <w:rFonts w:ascii="Arial" w:hAnsi="Arial" w:cs="Arial"/>
          <w:b w:val="0"/>
          <w:caps w:val="0"/>
          <w:sz w:val="20"/>
        </w:rPr>
        <w:t xml:space="preserve">invasive. The prior written permission of the institutional authority was taken. The written informed consent was obtained from the study participants and their parents after the purpose of this study was explained. Participants </w:t>
      </w:r>
      <w:r w:rsidR="00BE3AFC" w:rsidRPr="002D0813">
        <w:rPr>
          <w:rFonts w:ascii="Arial" w:hAnsi="Arial" w:cs="Arial"/>
          <w:b w:val="0"/>
          <w:caps w:val="0"/>
          <w:sz w:val="20"/>
        </w:rPr>
        <w:t>were</w:t>
      </w:r>
      <w:r w:rsidRPr="002D0813">
        <w:rPr>
          <w:rFonts w:ascii="Arial" w:hAnsi="Arial" w:cs="Arial"/>
          <w:b w:val="0"/>
          <w:caps w:val="0"/>
          <w:sz w:val="20"/>
        </w:rPr>
        <w:t xml:space="preserve"> informed that the data obtained from them would be kept confidential.</w:t>
      </w:r>
    </w:p>
    <w:p w14:paraId="426E14A6" w14:textId="77777777" w:rsidR="00860000" w:rsidRDefault="00860000" w:rsidP="00441B6F">
      <w:pPr>
        <w:pStyle w:val="ReferHead"/>
        <w:spacing w:after="0"/>
        <w:jc w:val="both"/>
        <w:rPr>
          <w:rFonts w:ascii="Arial" w:hAnsi="Arial" w:cs="Arial"/>
        </w:rPr>
      </w:pPr>
    </w:p>
    <w:p w14:paraId="5C95B994" w14:textId="484FB01C" w:rsidR="00D74CB0" w:rsidRPr="00591019" w:rsidRDefault="00B01FCD" w:rsidP="00591019">
      <w:pPr>
        <w:pStyle w:val="ReferHead"/>
        <w:spacing w:after="0"/>
        <w:jc w:val="both"/>
        <w:rPr>
          <w:rFonts w:ascii="Arial" w:hAnsi="Arial" w:cs="Arial"/>
        </w:rPr>
      </w:pPr>
      <w:r w:rsidRPr="00FB3A86">
        <w:rPr>
          <w:rFonts w:ascii="Arial" w:hAnsi="Arial" w:cs="Arial"/>
        </w:rPr>
        <w:t>References</w:t>
      </w:r>
    </w:p>
    <w:p w14:paraId="62795D6E" w14:textId="77777777" w:rsidR="00441B6F" w:rsidRDefault="00441B6F" w:rsidP="00441B6F">
      <w:pPr>
        <w:pStyle w:val="Body"/>
        <w:spacing w:after="0"/>
        <w:jc w:val="left"/>
      </w:pPr>
    </w:p>
    <w:p w14:paraId="71BADB87" w14:textId="37A72FF2" w:rsidR="00F207EC" w:rsidRPr="00F207EC" w:rsidRDefault="00720468" w:rsidP="00F207EC">
      <w:pPr>
        <w:widowControl w:val="0"/>
        <w:autoSpaceDE w:val="0"/>
        <w:autoSpaceDN w:val="0"/>
        <w:adjustRightInd w:val="0"/>
        <w:ind w:left="480" w:hanging="48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F207EC" w:rsidRPr="00F207EC">
        <w:rPr>
          <w:rFonts w:ascii="Arial" w:hAnsi="Arial" w:cs="Arial"/>
          <w:noProof/>
        </w:rPr>
        <w:t xml:space="preserve">Abdelmotaleb GS, Behairy OG, El Azim KEA, et al. (2021) Assessment of serum vitamin D levels in Egyptian children with beta-thalassemia major. </w:t>
      </w:r>
      <w:r w:rsidR="00F207EC" w:rsidRPr="00F207EC">
        <w:rPr>
          <w:rFonts w:ascii="Arial" w:hAnsi="Arial" w:cs="Arial"/>
          <w:i/>
          <w:iCs/>
          <w:noProof/>
        </w:rPr>
        <w:t>Egyptian Pediatric Association Gazette</w:t>
      </w:r>
      <w:r w:rsidR="00F207EC" w:rsidRPr="00F207EC">
        <w:rPr>
          <w:rFonts w:ascii="Arial" w:hAnsi="Arial" w:cs="Arial"/>
          <w:noProof/>
        </w:rPr>
        <w:t xml:space="preserve"> 69: 1–7. DOI: 10.1186/s43054-021-00066-y.</w:t>
      </w:r>
    </w:p>
    <w:p w14:paraId="2884B0EC"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Akhtar MS, Arooj A, Batool Y, et al. (2023) A Comparison Of Skeletal Age Of Thalassaemic Patients Of 9-15 Years With Chronological Age By Radiography. </w:t>
      </w:r>
      <w:r w:rsidRPr="00F207EC">
        <w:rPr>
          <w:rFonts w:ascii="Arial" w:hAnsi="Arial" w:cs="Arial"/>
          <w:i/>
          <w:iCs/>
          <w:noProof/>
        </w:rPr>
        <w:t>The Professional Medical Journal</w:t>
      </w:r>
      <w:r w:rsidRPr="00F207EC">
        <w:rPr>
          <w:rFonts w:ascii="Arial" w:hAnsi="Arial" w:cs="Arial"/>
          <w:noProof/>
        </w:rPr>
        <w:t xml:space="preserve"> 30: 301–304. DOI: 10.29309/tpmj/2023.30.03.7056.</w:t>
      </w:r>
    </w:p>
    <w:p w14:paraId="05841059"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Al-Rubae A, Ansaf A and Faraj S (2023) Evaluation of Vitamin D level in thalassemia patients : The experience of a single center. </w:t>
      </w:r>
      <w:r w:rsidRPr="00F207EC">
        <w:rPr>
          <w:rFonts w:ascii="Arial" w:hAnsi="Arial" w:cs="Arial"/>
          <w:i/>
          <w:iCs/>
          <w:noProof/>
        </w:rPr>
        <w:t>Iraqi Journal of Hematology</w:t>
      </w:r>
      <w:r w:rsidRPr="00F207EC">
        <w:rPr>
          <w:rFonts w:ascii="Arial" w:hAnsi="Arial" w:cs="Arial"/>
          <w:noProof/>
        </w:rPr>
        <w:t xml:space="preserve"> 12: 141–5. DOI: 10.4103/ijh.ijh.</w:t>
      </w:r>
    </w:p>
    <w:p w14:paraId="3673EC2B"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Arfie NG, Zulkarnaen BS and Sudarmanto (2022) Efektivitas Deferasirox pada Pasien Thalasemia Mayor: Artikel Review. </w:t>
      </w:r>
      <w:r w:rsidRPr="00F207EC">
        <w:rPr>
          <w:rFonts w:ascii="Arial" w:hAnsi="Arial" w:cs="Arial"/>
          <w:i/>
          <w:iCs/>
          <w:noProof/>
        </w:rPr>
        <w:t>Jurnal Sains dan Kesehatan</w:t>
      </w:r>
      <w:r w:rsidRPr="00F207EC">
        <w:rPr>
          <w:rFonts w:ascii="Arial" w:hAnsi="Arial" w:cs="Arial"/>
          <w:noProof/>
        </w:rPr>
        <w:t xml:space="preserve"> 4: 354–362. DOI: 10.30872/jsk.v4i3.580.</w:t>
      </w:r>
    </w:p>
    <w:p w14:paraId="1837EC30"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Ashraf S, Bedair E, Moustafa AN, et al. (2024) MRI changes of the pituitary gland and brain in thalassemia major : A comprehensive review of clinical implications. </w:t>
      </w:r>
      <w:r w:rsidRPr="00F207EC">
        <w:rPr>
          <w:rFonts w:ascii="Arial" w:hAnsi="Arial" w:cs="Arial"/>
          <w:i/>
          <w:iCs/>
          <w:noProof/>
        </w:rPr>
        <w:t>World Journal of Advanced Research and Reviews</w:t>
      </w:r>
      <w:r w:rsidRPr="00F207EC">
        <w:rPr>
          <w:rFonts w:ascii="Arial" w:hAnsi="Arial" w:cs="Arial"/>
          <w:noProof/>
        </w:rPr>
        <w:t xml:space="preserve"> 23: 1809–1817.</w:t>
      </w:r>
    </w:p>
    <w:p w14:paraId="346CBA9D"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Ayudhia S and Rini EA (2020) Gangguan Endokrin Pada Pasien Thalassemia Β Mayor Di Rsup M Djamil Padang. </w:t>
      </w:r>
      <w:r w:rsidRPr="00F207EC">
        <w:rPr>
          <w:rFonts w:ascii="Arial" w:hAnsi="Arial" w:cs="Arial"/>
          <w:i/>
          <w:iCs/>
          <w:noProof/>
        </w:rPr>
        <w:t>Human Care Journal</w:t>
      </w:r>
      <w:r w:rsidRPr="00F207EC">
        <w:rPr>
          <w:rFonts w:ascii="Arial" w:hAnsi="Arial" w:cs="Arial"/>
          <w:noProof/>
        </w:rPr>
        <w:t xml:space="preserve"> 5: 554–9. DOI: 10.32883/hcj.v5i2.708.</w:t>
      </w:r>
    </w:p>
    <w:p w14:paraId="4A3FF65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Bulgurcu SC, Ayhan AC, Emeksiz H, et al. (2021) Assessment of the nutritional status, bone mineralization and anthropometrics of children with thalassemia major. </w:t>
      </w:r>
      <w:r w:rsidRPr="00F207EC">
        <w:rPr>
          <w:rFonts w:ascii="Arial" w:hAnsi="Arial" w:cs="Arial"/>
          <w:i/>
          <w:iCs/>
          <w:noProof/>
        </w:rPr>
        <w:t>Hematol Transfus Cell Ther</w:t>
      </w:r>
      <w:r w:rsidRPr="00F207EC">
        <w:rPr>
          <w:rFonts w:ascii="Arial" w:hAnsi="Arial" w:cs="Arial"/>
          <w:noProof/>
        </w:rPr>
        <w:t xml:space="preserve"> 43: S23.</w:t>
      </w:r>
    </w:p>
    <w:p w14:paraId="12D9871A"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Cappellini MD, Farmakis D, Porter J, et al. (2021) </w:t>
      </w:r>
      <w:r w:rsidRPr="00F207EC">
        <w:rPr>
          <w:rFonts w:ascii="Arial" w:hAnsi="Arial" w:cs="Arial"/>
          <w:i/>
          <w:iCs/>
          <w:noProof/>
        </w:rPr>
        <w:t>2021 Guidelines for the Management of Transfusion Dependent (TDT)</w:t>
      </w:r>
      <w:r w:rsidRPr="00F207EC">
        <w:rPr>
          <w:rFonts w:ascii="Arial" w:hAnsi="Arial" w:cs="Arial"/>
          <w:noProof/>
        </w:rPr>
        <w:t>.</w:t>
      </w:r>
    </w:p>
    <w:p w14:paraId="3E20A5B8"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Casale M, Baldini M, Giusti A, et al. (2025) Growth abnormalities, endocrine, and bone disease. In: Taher A, Farmakis D, Porter J, et al. (eds) </w:t>
      </w:r>
      <w:r w:rsidRPr="00F207EC">
        <w:rPr>
          <w:rFonts w:ascii="Arial" w:hAnsi="Arial" w:cs="Arial"/>
          <w:i/>
          <w:iCs/>
          <w:noProof/>
        </w:rPr>
        <w:t>Guidelines for The Management of Tranfusion-Dependent B-Thalassaemia (TDT)</w:t>
      </w:r>
      <w:r w:rsidRPr="00F207EC">
        <w:rPr>
          <w:rFonts w:ascii="Arial" w:hAnsi="Arial" w:cs="Arial"/>
          <w:noProof/>
        </w:rPr>
        <w:t>. 5th ed. Nicosia: Thalassaemia International Federation, pp. 172–225.</w:t>
      </w:r>
    </w:p>
    <w:p w14:paraId="0582634E"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Chiew JY, Thiruchelvam J, Bin Rahmat MA, et al. (2021) The key complications of beta thalassemia major: a review and update. </w:t>
      </w:r>
      <w:r w:rsidRPr="00F207EC">
        <w:rPr>
          <w:rFonts w:ascii="Arial" w:hAnsi="Arial" w:cs="Arial"/>
          <w:i/>
          <w:iCs/>
          <w:noProof/>
        </w:rPr>
        <w:t>International Journal of Research in Medical Sciences</w:t>
      </w:r>
      <w:r w:rsidRPr="00F207EC">
        <w:rPr>
          <w:rFonts w:ascii="Arial" w:hAnsi="Arial" w:cs="Arial"/>
          <w:noProof/>
        </w:rPr>
        <w:t xml:space="preserve"> 9: 1846–1852. DOI: 10.18203/2320-6012.ijrms20212263.</w:t>
      </w:r>
    </w:p>
    <w:p w14:paraId="76286A8B"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Corsello A, Spolidoro GCI, Milani GP, et al. (2023) Vitamin D in pediatric age: Current evidence, recommendations, and misunderstandings. </w:t>
      </w:r>
      <w:r w:rsidRPr="00F207EC">
        <w:rPr>
          <w:rFonts w:ascii="Arial" w:hAnsi="Arial" w:cs="Arial"/>
          <w:i/>
          <w:iCs/>
          <w:noProof/>
        </w:rPr>
        <w:t>Frontiers in Medicine</w:t>
      </w:r>
      <w:r w:rsidRPr="00F207EC">
        <w:rPr>
          <w:rFonts w:ascii="Arial" w:hAnsi="Arial" w:cs="Arial"/>
          <w:noProof/>
        </w:rPr>
        <w:t xml:space="preserve"> 10: 1–9. DOI: 10.3389/fmed.2023.1107855.</w:t>
      </w:r>
    </w:p>
    <w:p w14:paraId="078C5414"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Depalma RG, Hayes VW and O’Leary TJ (2021) Optimal serum ferritin level range: Iron status measure and inflammatory biomarker. </w:t>
      </w:r>
      <w:r w:rsidRPr="00F207EC">
        <w:rPr>
          <w:rFonts w:ascii="Arial" w:hAnsi="Arial" w:cs="Arial"/>
          <w:i/>
          <w:iCs/>
          <w:noProof/>
        </w:rPr>
        <w:t>Metallomics</w:t>
      </w:r>
      <w:r w:rsidRPr="00F207EC">
        <w:rPr>
          <w:rFonts w:ascii="Arial" w:hAnsi="Arial" w:cs="Arial"/>
          <w:noProof/>
        </w:rPr>
        <w:t xml:space="preserve"> 13: 1–10. DOI: 10.1093/mtomcs/mfab030.</w:t>
      </w:r>
    </w:p>
    <w:p w14:paraId="2D82473A"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Dewiyanti E, Aditiawati and Sari DP (2021) Serum ferritin levels and endocrine disorders in children with thalassemia major. </w:t>
      </w:r>
      <w:r w:rsidRPr="00F207EC">
        <w:rPr>
          <w:rFonts w:ascii="Arial" w:hAnsi="Arial" w:cs="Arial"/>
          <w:i/>
          <w:iCs/>
          <w:noProof/>
        </w:rPr>
        <w:t>Paediatrica Indonesiana</w:t>
      </w:r>
      <w:r w:rsidRPr="00F207EC">
        <w:rPr>
          <w:rFonts w:ascii="Arial" w:hAnsi="Arial" w:cs="Arial"/>
          <w:noProof/>
        </w:rPr>
        <w:t xml:space="preserve"> 61: 125–132. DOI: 10.14238/pi61.3.2021.125-32.</w:t>
      </w:r>
    </w:p>
    <w:p w14:paraId="79F34C3E"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lastRenderedPageBreak/>
        <w:t xml:space="preserve">Dominguez LJ, Farruggia M, Veronese N, et al. (2021) Vitamin D Sources , Metabolism , and Deficiency : Available Compounds and Guidelines for Its Treatment. </w:t>
      </w:r>
      <w:r w:rsidRPr="00F207EC">
        <w:rPr>
          <w:rFonts w:ascii="Arial" w:hAnsi="Arial" w:cs="Arial"/>
          <w:i/>
          <w:iCs/>
          <w:noProof/>
        </w:rPr>
        <w:t>Metabolites</w:t>
      </w:r>
      <w:r w:rsidRPr="00F207EC">
        <w:rPr>
          <w:rFonts w:ascii="Arial" w:hAnsi="Arial" w:cs="Arial"/>
          <w:noProof/>
        </w:rPr>
        <w:t xml:space="preserve"> 11: 255.</w:t>
      </w:r>
    </w:p>
    <w:p w14:paraId="05C0CE01"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Dwi Kartika Sari G, Diyah Permatasari T and Ismail C (2023) Correlation Between Adherence Therapy of Iron Chelation Levels with Anthropometric Status in Major Beta-Thalassemia Patients. </w:t>
      </w:r>
      <w:r w:rsidRPr="00F207EC">
        <w:rPr>
          <w:rFonts w:ascii="Arial" w:hAnsi="Arial" w:cs="Arial"/>
          <w:i/>
          <w:iCs/>
          <w:noProof/>
        </w:rPr>
        <w:t>Indonesian Health Journal</w:t>
      </w:r>
      <w:r w:rsidRPr="00F207EC">
        <w:rPr>
          <w:rFonts w:ascii="Arial" w:hAnsi="Arial" w:cs="Arial"/>
          <w:noProof/>
        </w:rPr>
        <w:t xml:space="preserve"> 2: 44–51. DOI: 10.58344/ihj.v2i2.62.</w:t>
      </w:r>
    </w:p>
    <w:p w14:paraId="50ABA9FE"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Fiska RRRA, Edward ED, Amna EY, et al. (2025) Vitamin D and calcium status in children with thalassemia beta major : A cross sectional study in Banda Aceh. </w:t>
      </w:r>
      <w:r w:rsidRPr="00F207EC">
        <w:rPr>
          <w:rFonts w:ascii="Arial" w:hAnsi="Arial" w:cs="Arial"/>
          <w:i/>
          <w:iCs/>
          <w:noProof/>
        </w:rPr>
        <w:t>Aceh Nutrition Journal</w:t>
      </w:r>
      <w:r w:rsidRPr="00F207EC">
        <w:rPr>
          <w:rFonts w:ascii="Arial" w:hAnsi="Arial" w:cs="Arial"/>
          <w:noProof/>
        </w:rPr>
        <w:t xml:space="preserve"> 10: 638–649.</w:t>
      </w:r>
    </w:p>
    <w:p w14:paraId="64A566DD"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Fung EB and Angastiniotis M (2025) Nutrition. In: Taher A., Farmakis D, Porter J., et al. (eds) </w:t>
      </w:r>
      <w:r w:rsidRPr="00F207EC">
        <w:rPr>
          <w:rFonts w:ascii="Arial" w:hAnsi="Arial" w:cs="Arial"/>
          <w:i/>
          <w:iCs/>
          <w:noProof/>
        </w:rPr>
        <w:t>Guidelines for The Management of Tranfusion-Dependent B-Thalassaemia (TDT)</w:t>
      </w:r>
      <w:r w:rsidRPr="00F207EC">
        <w:rPr>
          <w:rFonts w:ascii="Arial" w:hAnsi="Arial" w:cs="Arial"/>
          <w:noProof/>
        </w:rPr>
        <w:t>. 5th Ed. Nicosia: Thalassaemia International Federation, pp. 304–320.</w:t>
      </w:r>
    </w:p>
    <w:p w14:paraId="38681436"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Gaudio A, Morabito N, Catalano A, et al. (2019) Pathogenesis of thalassemia major-associated osteoporosis: A review with insights from clinical experience. </w:t>
      </w:r>
      <w:r w:rsidRPr="00F207EC">
        <w:rPr>
          <w:rFonts w:ascii="Arial" w:hAnsi="Arial" w:cs="Arial"/>
          <w:i/>
          <w:iCs/>
          <w:noProof/>
        </w:rPr>
        <w:t>Journal of Clinical Research in Pediatric Endocrinology</w:t>
      </w:r>
      <w:r w:rsidRPr="00F207EC">
        <w:rPr>
          <w:rFonts w:ascii="Arial" w:hAnsi="Arial" w:cs="Arial"/>
          <w:noProof/>
        </w:rPr>
        <w:t xml:space="preserve"> 11: 110–117. DOI: 10.4274/jcrpe.galenos.2018.2018.0074.</w:t>
      </w:r>
    </w:p>
    <w:p w14:paraId="0BDC32FD"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Gomes RR (2021) Hypogonadotropic Hypogonadism in a Female Patient with Thalassemia Major. </w:t>
      </w:r>
      <w:r w:rsidRPr="00F207EC">
        <w:rPr>
          <w:rFonts w:ascii="Arial" w:hAnsi="Arial" w:cs="Arial"/>
          <w:i/>
          <w:iCs/>
          <w:noProof/>
        </w:rPr>
        <w:t>International Journal of Blood Research and Disorders</w:t>
      </w:r>
      <w:r w:rsidRPr="00F207EC">
        <w:rPr>
          <w:rFonts w:ascii="Arial" w:hAnsi="Arial" w:cs="Arial"/>
          <w:noProof/>
        </w:rPr>
        <w:t xml:space="preserve"> 8: 1–6. DOI: 10.23937/2469-5696/1410066.</w:t>
      </w:r>
    </w:p>
    <w:p w14:paraId="199CBF7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Harwalkar VS, Kulkarni TP, Patil MM, et al. (2023) Anthropometry of transfusion-dependent thalassemia major children and its correlation with pretransfusion hemoglobin and serum ferritin: an observational study. </w:t>
      </w:r>
      <w:r w:rsidRPr="00F207EC">
        <w:rPr>
          <w:rFonts w:ascii="Arial" w:hAnsi="Arial" w:cs="Arial"/>
          <w:i/>
          <w:iCs/>
          <w:noProof/>
        </w:rPr>
        <w:t>European Journal of Molecular &amp; Clinical Medicine</w:t>
      </w:r>
      <w:r w:rsidRPr="00F207EC">
        <w:rPr>
          <w:rFonts w:ascii="Arial" w:hAnsi="Arial" w:cs="Arial"/>
          <w:noProof/>
        </w:rPr>
        <w:t xml:space="preserve"> 10: 193–198.</w:t>
      </w:r>
    </w:p>
    <w:p w14:paraId="2D694059"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Kementerian Kesehatan Republik Indonesia (2018) Pedoman Nasional Pelayanan Kedokteran Tatalaksana Talasemia. Dalam: Keputusan Menteri Kesehatan Republik Indonesia Nomor HK.01.07/MENKES/1/2018. Jakarta. Available at: http://journals.sagepub.com/doi/10.1177/1120700020921110%0Ahttps://doi.org/10.1016/j.reuma.2018.06.001%0Ahttps://doi.org/10.1016/j.arth.2018.03.044%0Ahttps://reader.elsevier.com/reader/sd/pii/S1063458420300078?token=C039B8B13922A2079230DC9AF11A333E295FCD8.</w:t>
      </w:r>
    </w:p>
    <w:p w14:paraId="39D6583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Khezri HD, Karami H, Naderisorki M, et al. (2020) Moderate to severe liver siderosis and raised AST are independent risk factors for vitamin D insufficiency in β-thalassemia patients. </w:t>
      </w:r>
      <w:r w:rsidRPr="00F207EC">
        <w:rPr>
          <w:rFonts w:ascii="Arial" w:hAnsi="Arial" w:cs="Arial"/>
          <w:i/>
          <w:iCs/>
          <w:noProof/>
        </w:rPr>
        <w:t>Scientific Reports</w:t>
      </w:r>
      <w:r w:rsidRPr="00F207EC">
        <w:rPr>
          <w:rFonts w:ascii="Arial" w:hAnsi="Arial" w:cs="Arial"/>
          <w:noProof/>
        </w:rPr>
        <w:t xml:space="preserve"> 10: 1–8. DOI: 10.1038/s41598-020-78230-4.</w:t>
      </w:r>
    </w:p>
    <w:p w14:paraId="6F02430A"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Kurtoǧlu AU, Kurtoǧlu E, Koçtekin B, et al. (2019) Association between serum Vitamin D level and liver MRI T2 star in patients with β-thalassemia major. </w:t>
      </w:r>
      <w:r w:rsidRPr="00F207EC">
        <w:rPr>
          <w:rFonts w:ascii="Arial" w:hAnsi="Arial" w:cs="Arial"/>
          <w:i/>
          <w:iCs/>
          <w:noProof/>
        </w:rPr>
        <w:t>Turkish Journal of Biochemistry</w:t>
      </w:r>
      <w:r w:rsidRPr="00F207EC">
        <w:rPr>
          <w:rFonts w:ascii="Arial" w:hAnsi="Arial" w:cs="Arial"/>
          <w:noProof/>
        </w:rPr>
        <w:t xml:space="preserve"> 44: 594–598. DOI: 10.1515/tjb-2018-0120.</w:t>
      </w:r>
    </w:p>
    <w:p w14:paraId="44D2BE69"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Lertsuwan K, Wongdee K, Teerapornpuntakit J, et al. (2018) Intestinal calcium transport and its regulation in thalassemia: interaction between calcium and iron metabolism. </w:t>
      </w:r>
      <w:r w:rsidRPr="00F207EC">
        <w:rPr>
          <w:rFonts w:ascii="Arial" w:hAnsi="Arial" w:cs="Arial"/>
          <w:i/>
          <w:iCs/>
          <w:noProof/>
        </w:rPr>
        <w:t>Journal of Physiological Sciences</w:t>
      </w:r>
      <w:r w:rsidRPr="00F207EC">
        <w:rPr>
          <w:rFonts w:ascii="Arial" w:hAnsi="Arial" w:cs="Arial"/>
          <w:noProof/>
        </w:rPr>
        <w:t xml:space="preserve"> 68: 221–232. DOI: 10.1007/s12576-018-0600-1.</w:t>
      </w:r>
    </w:p>
    <w:p w14:paraId="63DF8BA6"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Meshram R, Salodkar M, Yesambare S, et al. (2025) Clinical Profile and Vitamin D Status in Beta Thalassemia Major Children at Tertiary Care Institute of Central India : A Cross-Sectional Study. </w:t>
      </w:r>
      <w:r w:rsidRPr="00F207EC">
        <w:rPr>
          <w:rFonts w:ascii="Arial" w:hAnsi="Arial" w:cs="Arial"/>
          <w:i/>
          <w:iCs/>
          <w:noProof/>
        </w:rPr>
        <w:t>Nigerian Journal of Clinical Practice</w:t>
      </w:r>
      <w:r w:rsidRPr="00F207EC">
        <w:rPr>
          <w:rFonts w:ascii="Arial" w:hAnsi="Arial" w:cs="Arial"/>
          <w:noProof/>
        </w:rPr>
        <w:t xml:space="preserve"> 28: 107–112. DOI: 10.4103/njcp.njcp.</w:t>
      </w:r>
    </w:p>
    <w:p w14:paraId="11FD406A"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Morad LM, EL-Shanshory MR, Hablas NM, et al. (2021) Magnetic Resonance Imaging Versus Serum Iron Status as Diagnostic Tools for Pituitary Iron Overload in Children with Beta Thalassemia. </w:t>
      </w:r>
      <w:r w:rsidRPr="00F207EC">
        <w:rPr>
          <w:rFonts w:ascii="Arial" w:hAnsi="Arial" w:cs="Arial"/>
          <w:i/>
          <w:iCs/>
          <w:noProof/>
        </w:rPr>
        <w:t>Journal of Advances in Medicine and Medical Research</w:t>
      </w:r>
      <w:r w:rsidRPr="00F207EC">
        <w:rPr>
          <w:rFonts w:ascii="Arial" w:hAnsi="Arial" w:cs="Arial"/>
          <w:noProof/>
        </w:rPr>
        <w:t xml:space="preserve"> 33: 97–109. DOI: 10.9734/jammr/2021/v33i630866.</w:t>
      </w:r>
    </w:p>
    <w:p w14:paraId="3B9CE59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Napitu KS, Idjradinata P and Yuniati T (2020) Peran kadar feritin serum dan vitamin D terhadap keterlambatan usia tulang pada anak penyandang talasemia beta mayor. </w:t>
      </w:r>
      <w:r w:rsidRPr="00F207EC">
        <w:rPr>
          <w:rFonts w:ascii="Arial" w:hAnsi="Arial" w:cs="Arial"/>
          <w:i/>
          <w:iCs/>
          <w:noProof/>
        </w:rPr>
        <w:t>Sari Pediatri</w:t>
      </w:r>
      <w:r w:rsidRPr="00F207EC">
        <w:rPr>
          <w:rFonts w:ascii="Arial" w:hAnsi="Arial" w:cs="Arial"/>
          <w:noProof/>
        </w:rPr>
        <w:t xml:space="preserve"> 22: 224–9. DOI: 10.14238/sp22.4.2020.224-9.</w:t>
      </w:r>
    </w:p>
    <w:p w14:paraId="0D1FDB53"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Nisa NU, Ikram F and Tahir M (2023) Anthopometry in Children with Tranfusion-Dependent Beta-Thalassemia Major. </w:t>
      </w:r>
      <w:r w:rsidRPr="00F207EC">
        <w:rPr>
          <w:rFonts w:ascii="Arial" w:hAnsi="Arial" w:cs="Arial"/>
          <w:i/>
          <w:iCs/>
          <w:noProof/>
        </w:rPr>
        <w:t>Pak Armed Forces Med J</w:t>
      </w:r>
      <w:r w:rsidRPr="00F207EC">
        <w:rPr>
          <w:rFonts w:ascii="Arial" w:hAnsi="Arial" w:cs="Arial"/>
          <w:noProof/>
        </w:rPr>
        <w:t xml:space="preserve"> 73: 1565–1568.</w:t>
      </w:r>
    </w:p>
    <w:p w14:paraId="1A2DA4FE"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Origa R, Sheth S, Sollaino M, et al. (2025) Genetic basis, pathophysiology, and diagnosis. </w:t>
      </w:r>
      <w:r w:rsidRPr="00F207EC">
        <w:rPr>
          <w:rFonts w:ascii="Arial" w:hAnsi="Arial" w:cs="Arial"/>
          <w:noProof/>
        </w:rPr>
        <w:lastRenderedPageBreak/>
        <w:t xml:space="preserve">In: Taher A., Farmakis D, Porter J., et al. (eds) </w:t>
      </w:r>
      <w:r w:rsidRPr="00F207EC">
        <w:rPr>
          <w:rFonts w:ascii="Arial" w:hAnsi="Arial" w:cs="Arial"/>
          <w:i/>
          <w:iCs/>
          <w:noProof/>
        </w:rPr>
        <w:t>Guidelines for The Management of Tranfusion-Dependent B-Thalassaemia (TDT)</w:t>
      </w:r>
      <w:r w:rsidRPr="00F207EC">
        <w:rPr>
          <w:rFonts w:ascii="Arial" w:hAnsi="Arial" w:cs="Arial"/>
          <w:noProof/>
        </w:rPr>
        <w:t>. 5th ed. Nicosia: Thalassaemia International Federation, pp. 24–43.</w:t>
      </w:r>
    </w:p>
    <w:p w14:paraId="641F73B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Prokop-Piotrkowska M, Marszałek-Dziuba K, Moszczyńska E, et al. (2021) Traditional and new methods of bone age assessment-an overview. </w:t>
      </w:r>
      <w:r w:rsidRPr="00F207EC">
        <w:rPr>
          <w:rFonts w:ascii="Arial" w:hAnsi="Arial" w:cs="Arial"/>
          <w:i/>
          <w:iCs/>
          <w:noProof/>
        </w:rPr>
        <w:t>Journal of Clinical Research in Pediatric Endocrinology</w:t>
      </w:r>
      <w:r w:rsidRPr="00F207EC">
        <w:rPr>
          <w:rFonts w:ascii="Arial" w:hAnsi="Arial" w:cs="Arial"/>
          <w:noProof/>
        </w:rPr>
        <w:t xml:space="preserve"> 13: 251–262. DOI: 10.4274/jcrpe.galenos.2020.2020.0091.</w:t>
      </w:r>
    </w:p>
    <w:p w14:paraId="25A6622F"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Reeder SB, Yokoo T, França M, et al. (2023) Quantification of Liver Iron Overload with MRI: Review and Guidelines from the ESGAR and SAR. </w:t>
      </w:r>
      <w:r w:rsidRPr="00F207EC">
        <w:rPr>
          <w:rFonts w:ascii="Arial" w:hAnsi="Arial" w:cs="Arial"/>
          <w:i/>
          <w:iCs/>
          <w:noProof/>
        </w:rPr>
        <w:t>Radiology</w:t>
      </w:r>
      <w:r w:rsidRPr="00F207EC">
        <w:rPr>
          <w:rFonts w:ascii="Arial" w:hAnsi="Arial" w:cs="Arial"/>
          <w:noProof/>
        </w:rPr>
        <w:t xml:space="preserve"> 307: 1–10. DOI: 10.1148/radiol.221856.</w:t>
      </w:r>
    </w:p>
    <w:p w14:paraId="7B117BD7"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Rujito L (2019) </w:t>
      </w:r>
      <w:r w:rsidRPr="00F207EC">
        <w:rPr>
          <w:rFonts w:ascii="Arial" w:hAnsi="Arial" w:cs="Arial"/>
          <w:i/>
          <w:iCs/>
          <w:noProof/>
        </w:rPr>
        <w:t>Talasemia : Genetik Dasar Dan Pengelolaan Terkini</w:t>
      </w:r>
      <w:r w:rsidRPr="00F207EC">
        <w:rPr>
          <w:rFonts w:ascii="Arial" w:hAnsi="Arial" w:cs="Arial"/>
          <w:noProof/>
        </w:rPr>
        <w:t>. Purwokerto: Unsoed press.</w:t>
      </w:r>
    </w:p>
    <w:p w14:paraId="68C8CDFB"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Shah B, Gosai D and Shah H (2017) Study of vitamin D status and bone age in children with Thalassemia major. </w:t>
      </w:r>
      <w:r w:rsidRPr="00F207EC">
        <w:rPr>
          <w:rFonts w:ascii="Arial" w:hAnsi="Arial" w:cs="Arial"/>
          <w:i/>
          <w:iCs/>
          <w:noProof/>
        </w:rPr>
        <w:t>International Journal Of Medical Science And Clinical Invention</w:t>
      </w:r>
      <w:r w:rsidRPr="00F207EC">
        <w:rPr>
          <w:rFonts w:ascii="Arial" w:hAnsi="Arial" w:cs="Arial"/>
          <w:noProof/>
        </w:rPr>
        <w:t xml:space="preserve"> 4: 2639–2641. DOI: 10.18535/ijmsci/v4i2.01.</w:t>
      </w:r>
    </w:p>
    <w:p w14:paraId="7A92FF28"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Shaykhbaygloo R, Moradabadi A, Taherahmadi H, et al. (2020) Correlation of cardiac and liver iron level with T2*MRI and vitamin D3 serum level in patients with thalassemia major. </w:t>
      </w:r>
      <w:r w:rsidRPr="00F207EC">
        <w:rPr>
          <w:rFonts w:ascii="Arial" w:hAnsi="Arial" w:cs="Arial"/>
          <w:i/>
          <w:iCs/>
          <w:noProof/>
        </w:rPr>
        <w:t>Journal of Blood Medicine</w:t>
      </w:r>
      <w:r w:rsidRPr="00F207EC">
        <w:rPr>
          <w:rFonts w:ascii="Arial" w:hAnsi="Arial" w:cs="Arial"/>
          <w:noProof/>
        </w:rPr>
        <w:t xml:space="preserve"> 11: 83–87. DOI: 10.2147/JBM.S227012.</w:t>
      </w:r>
    </w:p>
    <w:p w14:paraId="74538DBA"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Taher A, Farmakis D, Porter J, et al. (2025) </w:t>
      </w:r>
      <w:r w:rsidRPr="00F207EC">
        <w:rPr>
          <w:rFonts w:ascii="Arial" w:hAnsi="Arial" w:cs="Arial"/>
          <w:i/>
          <w:iCs/>
          <w:noProof/>
        </w:rPr>
        <w:t>TIF Guidelines for the Management of Tranfusion-Dependent β-Thalassaemia</w:t>
      </w:r>
      <w:r w:rsidRPr="00F207EC">
        <w:rPr>
          <w:rFonts w:ascii="Arial" w:hAnsi="Arial" w:cs="Arial"/>
          <w:noProof/>
        </w:rPr>
        <w:t>. 5th ed. Nicosia, Cyprus.</w:t>
      </w:r>
    </w:p>
    <w:p w14:paraId="4470FD80"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Triwardhani ER, Reniarti L and Setiabudiawan B (2022) Hubungan Jenis dan Tingkat Kepatuhan Pengobatan Kelasi Besi Oral dengan Kadar Feritin Serum pada Penyandang Talasemia Beta Mayor Anak. </w:t>
      </w:r>
      <w:r w:rsidRPr="00F207EC">
        <w:rPr>
          <w:rFonts w:ascii="Arial" w:hAnsi="Arial" w:cs="Arial"/>
          <w:i/>
          <w:iCs/>
          <w:noProof/>
        </w:rPr>
        <w:t>Sari Pediatri</w:t>
      </w:r>
      <w:r w:rsidRPr="00F207EC">
        <w:rPr>
          <w:rFonts w:ascii="Arial" w:hAnsi="Arial" w:cs="Arial"/>
          <w:noProof/>
        </w:rPr>
        <w:t xml:space="preserve"> 24: 23–30. DOI: 10.14238/sp24.1.2022.23-30.</w:t>
      </w:r>
    </w:p>
    <w:p w14:paraId="3DB9E4C0"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Verma A, Khanna A, Jangra B, et al. (2020) Association of vitamin D deficiency and bone mass with liver and heart iron overload in transfusion dependent thalassemia. </w:t>
      </w:r>
      <w:r w:rsidRPr="00F207EC">
        <w:rPr>
          <w:rFonts w:ascii="Arial" w:hAnsi="Arial" w:cs="Arial"/>
          <w:i/>
          <w:iCs/>
          <w:noProof/>
        </w:rPr>
        <w:t>International Journal of Contemporary Pediatrics</w:t>
      </w:r>
      <w:r w:rsidRPr="00F207EC">
        <w:rPr>
          <w:rFonts w:ascii="Arial" w:hAnsi="Arial" w:cs="Arial"/>
          <w:noProof/>
        </w:rPr>
        <w:t xml:space="preserve"> 7: 1544–1548. DOI: 10.18203/2349-3291.ijcp20202613.</w:t>
      </w:r>
    </w:p>
    <w:p w14:paraId="1F897E02"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Wahidiyat PA and Permono B (2018) Hemoglobin abnormal. In: Windiastuti E, Nency YM, Mulatsih S, et al. (eds) </w:t>
      </w:r>
      <w:r w:rsidRPr="00F207EC">
        <w:rPr>
          <w:rFonts w:ascii="Arial" w:hAnsi="Arial" w:cs="Arial"/>
          <w:i/>
          <w:iCs/>
          <w:noProof/>
        </w:rPr>
        <w:t>Buku Ajar Hemato-Onkologi Anak</w:t>
      </w:r>
      <w:r w:rsidRPr="00F207EC">
        <w:rPr>
          <w:rFonts w:ascii="Arial" w:hAnsi="Arial" w:cs="Arial"/>
          <w:noProof/>
        </w:rPr>
        <w:t>. Jakarta: Badan Penerbit IDAI, pp. 60–103.</w:t>
      </w:r>
    </w:p>
    <w:p w14:paraId="78B3C78C"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Yadav PK and Singh AK (2022) A Review of Iron Overload in Beta-Thalassemia Major, and a Discussion on Alternative Potent Iron Chelation Targets. </w:t>
      </w:r>
      <w:r w:rsidRPr="00F207EC">
        <w:rPr>
          <w:rFonts w:ascii="Arial" w:hAnsi="Arial" w:cs="Arial"/>
          <w:i/>
          <w:iCs/>
          <w:noProof/>
        </w:rPr>
        <w:t>Plasmatology</w:t>
      </w:r>
      <w:r w:rsidRPr="00F207EC">
        <w:rPr>
          <w:rFonts w:ascii="Arial" w:hAnsi="Arial" w:cs="Arial"/>
          <w:noProof/>
        </w:rPr>
        <w:t xml:space="preserve"> 16: 1–9. DOI: 10.1177/26348535221103560.</w:t>
      </w:r>
    </w:p>
    <w:p w14:paraId="23FB483D" w14:textId="77777777" w:rsidR="00F207EC" w:rsidRPr="00F207EC" w:rsidRDefault="00F207EC" w:rsidP="00F207EC">
      <w:pPr>
        <w:widowControl w:val="0"/>
        <w:autoSpaceDE w:val="0"/>
        <w:autoSpaceDN w:val="0"/>
        <w:adjustRightInd w:val="0"/>
        <w:ind w:left="480" w:hanging="480"/>
        <w:rPr>
          <w:rFonts w:ascii="Arial" w:hAnsi="Arial" w:cs="Arial"/>
          <w:noProof/>
        </w:rPr>
      </w:pPr>
      <w:r w:rsidRPr="00F207EC">
        <w:rPr>
          <w:rFonts w:ascii="Arial" w:hAnsi="Arial" w:cs="Arial"/>
          <w:noProof/>
        </w:rPr>
        <w:t xml:space="preserve">Yati NP, Batubara JRL and Suryawan IWB (2018) </w:t>
      </w:r>
      <w:r w:rsidRPr="00F207EC">
        <w:rPr>
          <w:rFonts w:ascii="Arial" w:hAnsi="Arial" w:cs="Arial"/>
          <w:i/>
          <w:iCs/>
          <w:noProof/>
        </w:rPr>
        <w:t>Panduan Praktik Klinis Ikatan Dokter Anak Indonesia Vitamin D</w:t>
      </w:r>
      <w:r w:rsidRPr="00F207EC">
        <w:rPr>
          <w:rFonts w:ascii="Arial" w:hAnsi="Arial" w:cs="Arial"/>
          <w:noProof/>
        </w:rPr>
        <w:t>. Jakarta: Badan Penerbit IDAI. Available at: https://www.nhs.uk/conditions/vitamins-and-minerals/vitamin-d/.</w:t>
      </w:r>
    </w:p>
    <w:p w14:paraId="0C6BF028" w14:textId="2DBEFCEA" w:rsidR="00790ADA" w:rsidRPr="00FB3A86" w:rsidRDefault="00720468" w:rsidP="004D1C46">
      <w:pPr>
        <w:pStyle w:val="Body"/>
        <w:spacing w:after="0"/>
        <w:jc w:val="left"/>
        <w:rPr>
          <w:rFonts w:ascii="Arial" w:hAnsi="Arial" w:cs="Arial"/>
        </w:rPr>
      </w:pPr>
      <w:r>
        <w:rPr>
          <w:rFonts w:ascii="Arial" w:hAnsi="Arial" w:cs="Arial"/>
        </w:rPr>
        <w:fldChar w:fldCharType="end"/>
      </w:r>
    </w:p>
    <w:p w14:paraId="23E8EA2D" w14:textId="27236935" w:rsidR="004D4277" w:rsidRPr="00FB3A86" w:rsidRDefault="004D4277" w:rsidP="00441B6F">
      <w:pPr>
        <w:pStyle w:val="Appendix"/>
        <w:spacing w:after="0"/>
        <w:jc w:val="both"/>
        <w:rPr>
          <w:rFonts w:ascii="Arial" w:hAnsi="Arial" w:cs="Arial"/>
          <w:b w:val="0"/>
        </w:rPr>
        <w:sectPr w:rsidR="004D4277" w:rsidRPr="00FB3A86" w:rsidSect="00BE0D4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396C8A4D" w14:textId="77777777" w:rsidR="00B01FCD" w:rsidRPr="00FB3A86" w:rsidRDefault="00B01FCD" w:rsidP="00441B6F">
      <w:pPr>
        <w:pStyle w:val="Appendix"/>
        <w:spacing w:after="0"/>
        <w:jc w:val="both"/>
        <w:rPr>
          <w:rFonts w:ascii="Arial" w:hAnsi="Arial" w:cs="Arial"/>
          <w:b w:val="0"/>
        </w:rPr>
      </w:pPr>
    </w:p>
    <w:sectPr w:rsidR="00B01FCD" w:rsidRPr="00FB3A86" w:rsidSect="00BE0D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8BDF6" w14:textId="77777777" w:rsidR="00722C85" w:rsidRDefault="00722C85" w:rsidP="00C37E61">
      <w:r>
        <w:separator/>
      </w:r>
    </w:p>
  </w:endnote>
  <w:endnote w:type="continuationSeparator" w:id="0">
    <w:p w14:paraId="06B315FF" w14:textId="77777777" w:rsidR="00722C85" w:rsidRDefault="00722C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A542" w14:textId="77777777" w:rsidR="00E51531" w:rsidRDefault="00E5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6C8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DC06" w14:textId="77777777" w:rsidR="00E51531" w:rsidRDefault="00E51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D785" w14:textId="77777777" w:rsidR="00722C85" w:rsidRDefault="00722C85" w:rsidP="00C37E61">
      <w:r>
        <w:separator/>
      </w:r>
    </w:p>
  </w:footnote>
  <w:footnote w:type="continuationSeparator" w:id="0">
    <w:p w14:paraId="0631642D" w14:textId="77777777" w:rsidR="00722C85" w:rsidRDefault="00722C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036B" w14:textId="39288629" w:rsidR="00E51531" w:rsidRDefault="00722C85">
    <w:pPr>
      <w:pStyle w:val="Header"/>
    </w:pPr>
    <w:r>
      <w:rPr>
        <w:noProof/>
      </w:rPr>
      <w:pict w14:anchorId="2644D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D12F" w14:textId="772F400D" w:rsidR="00E51531" w:rsidRDefault="00722C85">
    <w:pPr>
      <w:pStyle w:val="Header"/>
    </w:pPr>
    <w:r>
      <w:rPr>
        <w:noProof/>
      </w:rPr>
      <w:pict w14:anchorId="1E066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E7AD" w14:textId="2A118CD3" w:rsidR="00E51531" w:rsidRDefault="00722C85">
    <w:pPr>
      <w:pStyle w:val="Header"/>
    </w:pPr>
    <w:r>
      <w:rPr>
        <w:noProof/>
      </w:rPr>
      <w:pict w14:anchorId="49004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C6772"/>
    <w:multiLevelType w:val="hybridMultilevel"/>
    <w:tmpl w:val="9ED6F4BE"/>
    <w:lvl w:ilvl="0" w:tplc="5142B8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xNzQysTQ2NDe0MDdT0lEKTi0uzszPAykwrAUAtfaMqSwAAAA="/>
  </w:docVars>
  <w:rsids>
    <w:rsidRoot w:val="00AA6219"/>
    <w:rsid w:val="00000F8F"/>
    <w:rsid w:val="000013DC"/>
    <w:rsid w:val="00030174"/>
    <w:rsid w:val="00030D61"/>
    <w:rsid w:val="00034542"/>
    <w:rsid w:val="000356CD"/>
    <w:rsid w:val="0004579C"/>
    <w:rsid w:val="00053688"/>
    <w:rsid w:val="00096ABF"/>
    <w:rsid w:val="000A3215"/>
    <w:rsid w:val="000A34CA"/>
    <w:rsid w:val="000A47FA"/>
    <w:rsid w:val="000A65D3"/>
    <w:rsid w:val="000B1E33"/>
    <w:rsid w:val="000B3D4D"/>
    <w:rsid w:val="000C242E"/>
    <w:rsid w:val="000C50D1"/>
    <w:rsid w:val="000D689F"/>
    <w:rsid w:val="000D7C69"/>
    <w:rsid w:val="000E7B7B"/>
    <w:rsid w:val="000E7D62"/>
    <w:rsid w:val="00102952"/>
    <w:rsid w:val="00103357"/>
    <w:rsid w:val="00123C9F"/>
    <w:rsid w:val="00126190"/>
    <w:rsid w:val="001274C1"/>
    <w:rsid w:val="001309F2"/>
    <w:rsid w:val="00130F17"/>
    <w:rsid w:val="001320BF"/>
    <w:rsid w:val="00145277"/>
    <w:rsid w:val="00157F31"/>
    <w:rsid w:val="00163BC4"/>
    <w:rsid w:val="00171582"/>
    <w:rsid w:val="00191062"/>
    <w:rsid w:val="00192B72"/>
    <w:rsid w:val="00196BAB"/>
    <w:rsid w:val="00197087"/>
    <w:rsid w:val="001A29D8"/>
    <w:rsid w:val="001A5CAA"/>
    <w:rsid w:val="001B0427"/>
    <w:rsid w:val="001B1C43"/>
    <w:rsid w:val="001D137D"/>
    <w:rsid w:val="001D3639"/>
    <w:rsid w:val="001D3A51"/>
    <w:rsid w:val="001E10D2"/>
    <w:rsid w:val="001E25B4"/>
    <w:rsid w:val="001E402E"/>
    <w:rsid w:val="001E44FE"/>
    <w:rsid w:val="001F147D"/>
    <w:rsid w:val="00200595"/>
    <w:rsid w:val="00204835"/>
    <w:rsid w:val="002178E0"/>
    <w:rsid w:val="00231920"/>
    <w:rsid w:val="0023195C"/>
    <w:rsid w:val="00233E5D"/>
    <w:rsid w:val="00236603"/>
    <w:rsid w:val="002409D6"/>
    <w:rsid w:val="0024282C"/>
    <w:rsid w:val="002460DC"/>
    <w:rsid w:val="00250985"/>
    <w:rsid w:val="00250D4A"/>
    <w:rsid w:val="002556F6"/>
    <w:rsid w:val="0027409A"/>
    <w:rsid w:val="00283105"/>
    <w:rsid w:val="00284988"/>
    <w:rsid w:val="00284C4C"/>
    <w:rsid w:val="00287E68"/>
    <w:rsid w:val="00294D6D"/>
    <w:rsid w:val="00296529"/>
    <w:rsid w:val="002B022E"/>
    <w:rsid w:val="002B27FB"/>
    <w:rsid w:val="002B685A"/>
    <w:rsid w:val="002C57D2"/>
    <w:rsid w:val="002D0813"/>
    <w:rsid w:val="002E0D56"/>
    <w:rsid w:val="00310B75"/>
    <w:rsid w:val="00315186"/>
    <w:rsid w:val="00323DB3"/>
    <w:rsid w:val="0033343E"/>
    <w:rsid w:val="003512C2"/>
    <w:rsid w:val="00362A97"/>
    <w:rsid w:val="00366926"/>
    <w:rsid w:val="00366AB4"/>
    <w:rsid w:val="00371992"/>
    <w:rsid w:val="00371FB6"/>
    <w:rsid w:val="003763C1"/>
    <w:rsid w:val="00376BBE"/>
    <w:rsid w:val="00380D80"/>
    <w:rsid w:val="0039224F"/>
    <w:rsid w:val="00395C71"/>
    <w:rsid w:val="00396BE5"/>
    <w:rsid w:val="0039735F"/>
    <w:rsid w:val="003A0011"/>
    <w:rsid w:val="003A43A4"/>
    <w:rsid w:val="003A7E18"/>
    <w:rsid w:val="003C4C86"/>
    <w:rsid w:val="003C6258"/>
    <w:rsid w:val="003D4D17"/>
    <w:rsid w:val="003E2904"/>
    <w:rsid w:val="003F39E2"/>
    <w:rsid w:val="00401927"/>
    <w:rsid w:val="0041027F"/>
    <w:rsid w:val="00412475"/>
    <w:rsid w:val="00423789"/>
    <w:rsid w:val="004364E2"/>
    <w:rsid w:val="00440F43"/>
    <w:rsid w:val="00441B6F"/>
    <w:rsid w:val="00446221"/>
    <w:rsid w:val="00450E62"/>
    <w:rsid w:val="00452EDB"/>
    <w:rsid w:val="004539DB"/>
    <w:rsid w:val="00471A80"/>
    <w:rsid w:val="0048137E"/>
    <w:rsid w:val="004A28E3"/>
    <w:rsid w:val="004C4E81"/>
    <w:rsid w:val="004D08EA"/>
    <w:rsid w:val="004D1C46"/>
    <w:rsid w:val="004D305E"/>
    <w:rsid w:val="004D4277"/>
    <w:rsid w:val="004F1DEB"/>
    <w:rsid w:val="00502516"/>
    <w:rsid w:val="00505F06"/>
    <w:rsid w:val="00506828"/>
    <w:rsid w:val="00527C2E"/>
    <w:rsid w:val="0053056E"/>
    <w:rsid w:val="00554FDA"/>
    <w:rsid w:val="00556629"/>
    <w:rsid w:val="00575007"/>
    <w:rsid w:val="00591019"/>
    <w:rsid w:val="00594503"/>
    <w:rsid w:val="0059618C"/>
    <w:rsid w:val="005B5F49"/>
    <w:rsid w:val="005C784C"/>
    <w:rsid w:val="005D17F6"/>
    <w:rsid w:val="005D55B7"/>
    <w:rsid w:val="005E5539"/>
    <w:rsid w:val="005F1722"/>
    <w:rsid w:val="00602BF5"/>
    <w:rsid w:val="00617FDD"/>
    <w:rsid w:val="0062235D"/>
    <w:rsid w:val="006228A5"/>
    <w:rsid w:val="00633614"/>
    <w:rsid w:val="00633F68"/>
    <w:rsid w:val="00635E27"/>
    <w:rsid w:val="00636EB2"/>
    <w:rsid w:val="006375B8"/>
    <w:rsid w:val="00653953"/>
    <w:rsid w:val="0066510A"/>
    <w:rsid w:val="00673F9F"/>
    <w:rsid w:val="00684ACA"/>
    <w:rsid w:val="00686953"/>
    <w:rsid w:val="00687DEA"/>
    <w:rsid w:val="00687E67"/>
    <w:rsid w:val="006967F7"/>
    <w:rsid w:val="006A250C"/>
    <w:rsid w:val="006A5E2F"/>
    <w:rsid w:val="006B21D3"/>
    <w:rsid w:val="006B57D0"/>
    <w:rsid w:val="006D30FF"/>
    <w:rsid w:val="006D6940"/>
    <w:rsid w:val="006F11EC"/>
    <w:rsid w:val="006F63AF"/>
    <w:rsid w:val="0070082C"/>
    <w:rsid w:val="00712F56"/>
    <w:rsid w:val="00714233"/>
    <w:rsid w:val="007200B1"/>
    <w:rsid w:val="00720468"/>
    <w:rsid w:val="00722C85"/>
    <w:rsid w:val="007369E6"/>
    <w:rsid w:val="00746E59"/>
    <w:rsid w:val="00754C9A"/>
    <w:rsid w:val="0075599A"/>
    <w:rsid w:val="00761D52"/>
    <w:rsid w:val="0077749E"/>
    <w:rsid w:val="0078062B"/>
    <w:rsid w:val="00790ADA"/>
    <w:rsid w:val="007C7E3F"/>
    <w:rsid w:val="007D2288"/>
    <w:rsid w:val="007E088F"/>
    <w:rsid w:val="007F457D"/>
    <w:rsid w:val="007F7B32"/>
    <w:rsid w:val="00804BC2"/>
    <w:rsid w:val="0081431A"/>
    <w:rsid w:val="008273C4"/>
    <w:rsid w:val="0083216F"/>
    <w:rsid w:val="00832D2D"/>
    <w:rsid w:val="00860000"/>
    <w:rsid w:val="00863BD3"/>
    <w:rsid w:val="008641ED"/>
    <w:rsid w:val="00866D66"/>
    <w:rsid w:val="008671C6"/>
    <w:rsid w:val="00875803"/>
    <w:rsid w:val="008B01BC"/>
    <w:rsid w:val="008B1EAE"/>
    <w:rsid w:val="008B4539"/>
    <w:rsid w:val="008B459E"/>
    <w:rsid w:val="008C494F"/>
    <w:rsid w:val="008E13AE"/>
    <w:rsid w:val="008E1506"/>
    <w:rsid w:val="008E710C"/>
    <w:rsid w:val="008F69D6"/>
    <w:rsid w:val="00902823"/>
    <w:rsid w:val="00915CA6"/>
    <w:rsid w:val="00922506"/>
    <w:rsid w:val="00924623"/>
    <w:rsid w:val="00927834"/>
    <w:rsid w:val="009500A6"/>
    <w:rsid w:val="00957C18"/>
    <w:rsid w:val="00962EA3"/>
    <w:rsid w:val="009659BA"/>
    <w:rsid w:val="00972428"/>
    <w:rsid w:val="009814F5"/>
    <w:rsid w:val="00981C56"/>
    <w:rsid w:val="00983040"/>
    <w:rsid w:val="0099740B"/>
    <w:rsid w:val="009B3FB9"/>
    <w:rsid w:val="009C2465"/>
    <w:rsid w:val="009D35A0"/>
    <w:rsid w:val="009D7EB7"/>
    <w:rsid w:val="009E048A"/>
    <w:rsid w:val="009E08E9"/>
    <w:rsid w:val="009E3DB9"/>
    <w:rsid w:val="009E6E35"/>
    <w:rsid w:val="009F0EDA"/>
    <w:rsid w:val="009F227D"/>
    <w:rsid w:val="00A03B96"/>
    <w:rsid w:val="00A05B19"/>
    <w:rsid w:val="00A10355"/>
    <w:rsid w:val="00A1134E"/>
    <w:rsid w:val="00A24E7E"/>
    <w:rsid w:val="00A258C3"/>
    <w:rsid w:val="00A25A69"/>
    <w:rsid w:val="00A347C0"/>
    <w:rsid w:val="00A4268F"/>
    <w:rsid w:val="00A51431"/>
    <w:rsid w:val="00A51C71"/>
    <w:rsid w:val="00A539AD"/>
    <w:rsid w:val="00A6112A"/>
    <w:rsid w:val="00A63353"/>
    <w:rsid w:val="00A86305"/>
    <w:rsid w:val="00A94063"/>
    <w:rsid w:val="00AA6219"/>
    <w:rsid w:val="00AA74E0"/>
    <w:rsid w:val="00AB703F"/>
    <w:rsid w:val="00AC2C4B"/>
    <w:rsid w:val="00AC6BB8"/>
    <w:rsid w:val="00AE008F"/>
    <w:rsid w:val="00AF1127"/>
    <w:rsid w:val="00AF5165"/>
    <w:rsid w:val="00B01FCD"/>
    <w:rsid w:val="00B05FDC"/>
    <w:rsid w:val="00B1776C"/>
    <w:rsid w:val="00B4551A"/>
    <w:rsid w:val="00B52583"/>
    <w:rsid w:val="00B52896"/>
    <w:rsid w:val="00B85FF3"/>
    <w:rsid w:val="00B95236"/>
    <w:rsid w:val="00B96BD9"/>
    <w:rsid w:val="00B974CE"/>
    <w:rsid w:val="00BA15FB"/>
    <w:rsid w:val="00BA1B01"/>
    <w:rsid w:val="00BA2641"/>
    <w:rsid w:val="00BB2111"/>
    <w:rsid w:val="00BB37AA"/>
    <w:rsid w:val="00BC53A0"/>
    <w:rsid w:val="00BD49D4"/>
    <w:rsid w:val="00BE0D4F"/>
    <w:rsid w:val="00BE3AFC"/>
    <w:rsid w:val="00BE62AD"/>
    <w:rsid w:val="00BF121F"/>
    <w:rsid w:val="00BF1F80"/>
    <w:rsid w:val="00C021E8"/>
    <w:rsid w:val="00C1015E"/>
    <w:rsid w:val="00C166EF"/>
    <w:rsid w:val="00C17EB0"/>
    <w:rsid w:val="00C276F4"/>
    <w:rsid w:val="00C27F5F"/>
    <w:rsid w:val="00C30A0F"/>
    <w:rsid w:val="00C36444"/>
    <w:rsid w:val="00C37E61"/>
    <w:rsid w:val="00C41122"/>
    <w:rsid w:val="00C60711"/>
    <w:rsid w:val="00C6601F"/>
    <w:rsid w:val="00C70F1B"/>
    <w:rsid w:val="00C71A47"/>
    <w:rsid w:val="00C7464C"/>
    <w:rsid w:val="00C778D9"/>
    <w:rsid w:val="00C82DDB"/>
    <w:rsid w:val="00C85588"/>
    <w:rsid w:val="00C941D6"/>
    <w:rsid w:val="00CB55AD"/>
    <w:rsid w:val="00CC3DD3"/>
    <w:rsid w:val="00CD331E"/>
    <w:rsid w:val="00CD6755"/>
    <w:rsid w:val="00CD6856"/>
    <w:rsid w:val="00CE0089"/>
    <w:rsid w:val="00CE34AB"/>
    <w:rsid w:val="00CE793C"/>
    <w:rsid w:val="00CF193C"/>
    <w:rsid w:val="00D00209"/>
    <w:rsid w:val="00D06A48"/>
    <w:rsid w:val="00D114B2"/>
    <w:rsid w:val="00D16699"/>
    <w:rsid w:val="00D173F1"/>
    <w:rsid w:val="00D24980"/>
    <w:rsid w:val="00D332FC"/>
    <w:rsid w:val="00D5390B"/>
    <w:rsid w:val="00D609E6"/>
    <w:rsid w:val="00D74CB0"/>
    <w:rsid w:val="00D8295D"/>
    <w:rsid w:val="00D9171A"/>
    <w:rsid w:val="00DC2A65"/>
    <w:rsid w:val="00DE15F0"/>
    <w:rsid w:val="00DE5663"/>
    <w:rsid w:val="00DE78AA"/>
    <w:rsid w:val="00E03E73"/>
    <w:rsid w:val="00E053D0"/>
    <w:rsid w:val="00E10850"/>
    <w:rsid w:val="00E11590"/>
    <w:rsid w:val="00E15994"/>
    <w:rsid w:val="00E17F98"/>
    <w:rsid w:val="00E30BD3"/>
    <w:rsid w:val="00E3114E"/>
    <w:rsid w:val="00E31A70"/>
    <w:rsid w:val="00E34B0C"/>
    <w:rsid w:val="00E354CD"/>
    <w:rsid w:val="00E35B02"/>
    <w:rsid w:val="00E50B76"/>
    <w:rsid w:val="00E51531"/>
    <w:rsid w:val="00E6574E"/>
    <w:rsid w:val="00E66496"/>
    <w:rsid w:val="00E66B35"/>
    <w:rsid w:val="00E66E10"/>
    <w:rsid w:val="00E769F6"/>
    <w:rsid w:val="00E8407C"/>
    <w:rsid w:val="00E84F3C"/>
    <w:rsid w:val="00EA012C"/>
    <w:rsid w:val="00EA7F5D"/>
    <w:rsid w:val="00EB7E23"/>
    <w:rsid w:val="00EC6A55"/>
    <w:rsid w:val="00ED0288"/>
    <w:rsid w:val="00EE0964"/>
    <w:rsid w:val="00EE52CB"/>
    <w:rsid w:val="00EF581D"/>
    <w:rsid w:val="00EF7FD8"/>
    <w:rsid w:val="00F06F59"/>
    <w:rsid w:val="00F17988"/>
    <w:rsid w:val="00F207EC"/>
    <w:rsid w:val="00F469F0"/>
    <w:rsid w:val="00F53273"/>
    <w:rsid w:val="00F71C97"/>
    <w:rsid w:val="00F755E4"/>
    <w:rsid w:val="00F77D02"/>
    <w:rsid w:val="00F81657"/>
    <w:rsid w:val="00F908EA"/>
    <w:rsid w:val="00FA593A"/>
    <w:rsid w:val="00FB3A86"/>
    <w:rsid w:val="00FC2183"/>
    <w:rsid w:val="00FD099D"/>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CAF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8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A86305"/>
    <w:rPr>
      <w:rFonts w:ascii="Consolas" w:hAnsi="Consolas"/>
    </w:rPr>
  </w:style>
  <w:style w:type="character" w:customStyle="1" w:styleId="HTMLPreformattedChar">
    <w:name w:val="HTML Preformatted Char"/>
    <w:basedOn w:val="DefaultParagraphFont"/>
    <w:link w:val="HTMLPreformatted"/>
    <w:semiHidden/>
    <w:rsid w:val="00A86305"/>
    <w:rPr>
      <w:rFonts w:ascii="Consolas" w:hAnsi="Consolas"/>
    </w:rPr>
  </w:style>
  <w:style w:type="paragraph" w:styleId="BodyText">
    <w:name w:val="Body Text"/>
    <w:basedOn w:val="Normal"/>
    <w:link w:val="BodyTextChar"/>
    <w:semiHidden/>
    <w:unhideWhenUsed/>
    <w:rsid w:val="00E11590"/>
    <w:pPr>
      <w:spacing w:after="120"/>
    </w:pPr>
  </w:style>
  <w:style w:type="character" w:customStyle="1" w:styleId="BodyTextChar">
    <w:name w:val="Body Text Char"/>
    <w:basedOn w:val="DefaultParagraphFont"/>
    <w:link w:val="BodyText"/>
    <w:semiHidden/>
    <w:rsid w:val="00E11590"/>
    <w:rPr>
      <w:rFonts w:ascii="Helvetica" w:hAnsi="Helvetica"/>
    </w:rPr>
  </w:style>
  <w:style w:type="paragraph" w:styleId="ListParagraph">
    <w:name w:val="List Paragraph"/>
    <w:aliases w:val="1.2,Ket Tabel"/>
    <w:basedOn w:val="Normal"/>
    <w:link w:val="ListParagraphChar"/>
    <w:uiPriority w:val="34"/>
    <w:qFormat/>
    <w:rsid w:val="00E34B0C"/>
    <w:pPr>
      <w:spacing w:after="200" w:line="276" w:lineRule="auto"/>
      <w:ind w:left="720"/>
      <w:contextualSpacing/>
    </w:pPr>
    <w:rPr>
      <w:rFonts w:ascii="Calibri" w:eastAsia="Calibri" w:hAnsi="Calibri" w:cs="Calibri"/>
      <w:sz w:val="22"/>
      <w:szCs w:val="22"/>
      <w:lang w:val="id-ID"/>
    </w:rPr>
  </w:style>
  <w:style w:type="character" w:customStyle="1" w:styleId="ListParagraphChar">
    <w:name w:val="List Paragraph Char"/>
    <w:aliases w:val="1.2 Char,Ket Tabel Char"/>
    <w:link w:val="ListParagraph"/>
    <w:uiPriority w:val="34"/>
    <w:locked/>
    <w:rsid w:val="00E34B0C"/>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710C-6EA6-49E6-B1E4-B3981082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613</TotalTime>
  <Pages>11</Pages>
  <Words>25205</Words>
  <Characters>143670</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157</cp:revision>
  <cp:lastPrinted>2025-10-20T06:52:00Z</cp:lastPrinted>
  <dcterms:created xsi:type="dcterms:W3CDTF">2025-10-18T13:53:00Z</dcterms:created>
  <dcterms:modified xsi:type="dcterms:W3CDTF">2025-11-01T11:48:00Z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http://www.zotero.org/styles/sage-harvard</vt:lpwstr>
  </property>
  <property fmtid="{D5CDD505-2E9C-101B-9397-08002B2CF9AE}" pid="23" name="Mendeley Document_1">
    <vt:lpwstr>True</vt:lpwstr>
  </property>
  <property fmtid="{D5CDD505-2E9C-101B-9397-08002B2CF9AE}" pid="24" name="Mendeley Unique User Id_1">
    <vt:lpwstr>1192df2f-ded0-354d-baa3-b961e93b75ca</vt:lpwstr>
  </property>
</Properties>
</file>