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6D0EA" w14:textId="47E35821" w:rsidR="008E18C2" w:rsidRPr="008E18C2" w:rsidRDefault="008E18C2" w:rsidP="008E18C2">
      <w:pPr>
        <w:bidi w:val="0"/>
        <w:rPr>
          <w:rFonts w:asciiTheme="majorBidi" w:hAnsiTheme="majorBidi" w:cstheme="majorBidi"/>
          <w:b/>
          <w:bCs/>
          <w:sz w:val="24"/>
          <w:szCs w:val="24"/>
          <w:u w:val="single"/>
        </w:rPr>
      </w:pPr>
      <w:r w:rsidRPr="008E18C2">
        <w:rPr>
          <w:rFonts w:asciiTheme="majorBidi" w:hAnsiTheme="majorBidi" w:cstheme="majorBidi"/>
          <w:b/>
          <w:bCs/>
          <w:sz w:val="24"/>
          <w:szCs w:val="24"/>
          <w:u w:val="single"/>
        </w:rPr>
        <w:t>Short Research Article</w:t>
      </w:r>
    </w:p>
    <w:p w14:paraId="5627CD39" w14:textId="07C8CD40" w:rsidR="00FD1B2F" w:rsidRPr="00070C2D" w:rsidRDefault="00FD1B2F" w:rsidP="008E18C2">
      <w:pPr>
        <w:bidi w:val="0"/>
        <w:jc w:val="center"/>
        <w:rPr>
          <w:rFonts w:asciiTheme="majorBidi" w:hAnsiTheme="majorBidi" w:cstheme="majorBidi"/>
          <w:b/>
          <w:bCs/>
          <w:sz w:val="24"/>
          <w:szCs w:val="24"/>
        </w:rPr>
      </w:pPr>
      <w:r w:rsidRPr="00070C2D">
        <w:rPr>
          <w:rFonts w:asciiTheme="majorBidi" w:hAnsiTheme="majorBidi" w:cstheme="majorBidi"/>
          <w:b/>
          <w:bCs/>
          <w:sz w:val="24"/>
          <w:szCs w:val="24"/>
        </w:rPr>
        <w:t>From Prescription to Validation: An Evaluation of a Hybrid Translation</w:t>
      </w:r>
      <w:r w:rsidR="00E31EF2" w:rsidRPr="00070C2D">
        <w:rPr>
          <w:rFonts w:asciiTheme="majorBidi" w:hAnsiTheme="majorBidi" w:cstheme="majorBidi"/>
          <w:b/>
          <w:bCs/>
          <w:sz w:val="24"/>
          <w:szCs w:val="24"/>
        </w:rPr>
        <w:t>-</w:t>
      </w:r>
      <w:r w:rsidRPr="00070C2D">
        <w:rPr>
          <w:rFonts w:asciiTheme="majorBidi" w:hAnsiTheme="majorBidi" w:cstheme="majorBidi"/>
          <w:b/>
          <w:bCs/>
          <w:sz w:val="24"/>
          <w:szCs w:val="24"/>
        </w:rPr>
        <w:t>Transliteration Model for Technical Texts in Arabic</w:t>
      </w:r>
    </w:p>
    <w:p w14:paraId="3A4C43B9" w14:textId="0C0A41A9" w:rsidR="00FD1B2F" w:rsidRPr="00070C2D" w:rsidRDefault="00FD1B2F" w:rsidP="00FD1B2F">
      <w:pPr>
        <w:bidi w:val="0"/>
        <w:jc w:val="center"/>
        <w:rPr>
          <w:rFonts w:asciiTheme="majorBidi" w:hAnsiTheme="majorBidi" w:cstheme="majorBidi"/>
          <w:sz w:val="24"/>
          <w:szCs w:val="24"/>
        </w:rPr>
      </w:pPr>
    </w:p>
    <w:p w14:paraId="4A3515A7" w14:textId="77777777" w:rsidR="00FD1B2F" w:rsidRPr="00070C2D" w:rsidRDefault="00FD1B2F" w:rsidP="00FD1B2F">
      <w:pPr>
        <w:bidi w:val="0"/>
        <w:rPr>
          <w:rFonts w:asciiTheme="majorBidi" w:hAnsiTheme="majorBidi" w:cstheme="majorBidi"/>
          <w:sz w:val="24"/>
          <w:szCs w:val="24"/>
        </w:rPr>
      </w:pPr>
    </w:p>
    <w:p w14:paraId="10CC8F1E" w14:textId="77777777" w:rsidR="00FD1B2F" w:rsidRPr="00070C2D" w:rsidRDefault="00FD1B2F" w:rsidP="00FD1B2F">
      <w:pPr>
        <w:bidi w:val="0"/>
        <w:rPr>
          <w:rFonts w:asciiTheme="majorBidi" w:hAnsiTheme="majorBidi" w:cstheme="majorBidi"/>
          <w:sz w:val="24"/>
          <w:szCs w:val="24"/>
        </w:rPr>
      </w:pPr>
      <w:r w:rsidRPr="00070C2D">
        <w:rPr>
          <w:rFonts w:asciiTheme="majorBidi" w:hAnsiTheme="majorBidi" w:cstheme="majorBidi"/>
          <w:b/>
          <w:bCs/>
          <w:sz w:val="24"/>
          <w:szCs w:val="24"/>
        </w:rPr>
        <w:t xml:space="preserve">Abstract: </w:t>
      </w:r>
    </w:p>
    <w:p w14:paraId="2A15C8DC" w14:textId="6AAA89B9" w:rsidR="00FD1B2F" w:rsidRPr="00070C2D" w:rsidRDefault="00FD1B2F" w:rsidP="00E31EF2">
      <w:pPr>
        <w:bidi w:val="0"/>
        <w:jc w:val="both"/>
        <w:rPr>
          <w:rFonts w:asciiTheme="majorBidi" w:hAnsiTheme="majorBidi" w:cstheme="majorBidi"/>
          <w:sz w:val="24"/>
          <w:szCs w:val="24"/>
        </w:rPr>
      </w:pPr>
      <w:r w:rsidRPr="00070C2D">
        <w:rPr>
          <w:rFonts w:asciiTheme="majorBidi" w:hAnsiTheme="majorBidi" w:cstheme="majorBidi"/>
          <w:sz w:val="24"/>
          <w:szCs w:val="24"/>
        </w:rPr>
        <w:t>Previous scholarship has argued that the literal translation of technical terminology into Arabic often undermines intelligibility, accuracy, and usability, particularly in highly speciali</w:t>
      </w:r>
      <w:r w:rsidR="00FA473B" w:rsidRPr="00070C2D">
        <w:rPr>
          <w:rFonts w:asciiTheme="majorBidi" w:hAnsiTheme="majorBidi" w:cstheme="majorBidi"/>
          <w:sz w:val="24"/>
          <w:szCs w:val="24"/>
        </w:rPr>
        <w:t>s</w:t>
      </w:r>
      <w:r w:rsidRPr="00070C2D">
        <w:rPr>
          <w:rFonts w:asciiTheme="majorBidi" w:hAnsiTheme="majorBidi" w:cstheme="majorBidi"/>
          <w:sz w:val="24"/>
          <w:szCs w:val="24"/>
        </w:rPr>
        <w:t xml:space="preserve">ed domains such as information technology, engineering, and medicine. A hybrid translation–transliteration model was therefore proposed, advocating the transliteration (Arabicisation) of established technical terms while translating surrounding syntactic and discursive structures. While this model is theoretically grounded, its practical effectiveness has not been </w:t>
      </w:r>
      <w:r w:rsidR="00FA473B" w:rsidRPr="00070C2D">
        <w:rPr>
          <w:rFonts w:asciiTheme="majorBidi" w:hAnsiTheme="majorBidi" w:cstheme="majorBidi"/>
          <w:sz w:val="24"/>
          <w:szCs w:val="24"/>
        </w:rPr>
        <w:t xml:space="preserve">fully </w:t>
      </w:r>
      <w:r w:rsidRPr="00070C2D">
        <w:rPr>
          <w:rFonts w:asciiTheme="majorBidi" w:hAnsiTheme="majorBidi" w:cstheme="majorBidi"/>
          <w:sz w:val="24"/>
          <w:szCs w:val="24"/>
        </w:rPr>
        <w:t>examined in sufficient empirical depth.</w:t>
      </w:r>
      <w:r w:rsidR="00E31EF2" w:rsidRPr="00070C2D">
        <w:rPr>
          <w:rFonts w:asciiTheme="majorBidi" w:hAnsiTheme="majorBidi" w:cstheme="majorBidi"/>
          <w:sz w:val="24"/>
          <w:szCs w:val="24"/>
        </w:rPr>
        <w:t xml:space="preserve"> </w:t>
      </w:r>
      <w:r w:rsidRPr="00070C2D">
        <w:rPr>
          <w:rFonts w:asciiTheme="majorBidi" w:hAnsiTheme="majorBidi" w:cstheme="majorBidi"/>
          <w:sz w:val="24"/>
          <w:szCs w:val="24"/>
        </w:rPr>
        <w:t xml:space="preserve">The present study </w:t>
      </w:r>
      <w:r w:rsidR="00361E04" w:rsidRPr="00070C2D">
        <w:rPr>
          <w:rFonts w:asciiTheme="majorBidi" w:hAnsiTheme="majorBidi" w:cstheme="majorBidi"/>
          <w:sz w:val="24"/>
          <w:szCs w:val="24"/>
        </w:rPr>
        <w:t xml:space="preserve">endeavours to </w:t>
      </w:r>
      <w:r w:rsidRPr="00070C2D">
        <w:rPr>
          <w:rFonts w:asciiTheme="majorBidi" w:hAnsiTheme="majorBidi" w:cstheme="majorBidi"/>
          <w:sz w:val="24"/>
          <w:szCs w:val="24"/>
        </w:rPr>
        <w:t xml:space="preserve">extend earlier work by offering </w:t>
      </w:r>
      <w:r w:rsidR="002E15A7">
        <w:rPr>
          <w:rFonts w:asciiTheme="majorBidi" w:hAnsiTheme="majorBidi" w:cstheme="majorBidi"/>
          <w:sz w:val="24"/>
          <w:szCs w:val="24"/>
        </w:rPr>
        <w:t>an</w:t>
      </w:r>
      <w:r w:rsidRPr="00070C2D">
        <w:rPr>
          <w:rFonts w:asciiTheme="majorBidi" w:hAnsiTheme="majorBidi" w:cstheme="majorBidi"/>
          <w:sz w:val="24"/>
          <w:szCs w:val="24"/>
        </w:rPr>
        <w:t xml:space="preserve"> empirical evaluation of the hybrid model through textual analysis, reader-response data, and discipline-specific comparison. Drawing on responses from university instructors and </w:t>
      </w:r>
      <w:r w:rsidR="002E15A7">
        <w:rPr>
          <w:rFonts w:asciiTheme="majorBidi" w:hAnsiTheme="majorBidi" w:cstheme="majorBidi"/>
          <w:sz w:val="24"/>
          <w:szCs w:val="24"/>
        </w:rPr>
        <w:t>undergraduate</w:t>
      </w:r>
      <w:r w:rsidRPr="00070C2D">
        <w:rPr>
          <w:rFonts w:asciiTheme="majorBidi" w:hAnsiTheme="majorBidi" w:cstheme="majorBidi"/>
          <w:sz w:val="24"/>
          <w:szCs w:val="24"/>
        </w:rPr>
        <w:t xml:space="preserve"> students across three technical disciplines, the study investigates comprehension, perceived accuracy, terminological consistency, and cognitive processing effort. The findings demonstrate that the hybrid approach enhances clarity and reduces interpretive burden without compromising communicative precision or academic rigo</w:t>
      </w:r>
      <w:r w:rsidR="00361E04" w:rsidRPr="00070C2D">
        <w:rPr>
          <w:rFonts w:asciiTheme="majorBidi" w:hAnsiTheme="majorBidi" w:cstheme="majorBidi"/>
          <w:sz w:val="24"/>
          <w:szCs w:val="24"/>
        </w:rPr>
        <w:t>u</w:t>
      </w:r>
      <w:r w:rsidRPr="00070C2D">
        <w:rPr>
          <w:rFonts w:asciiTheme="majorBidi" w:hAnsiTheme="majorBidi" w:cstheme="majorBidi"/>
          <w:sz w:val="24"/>
          <w:szCs w:val="24"/>
        </w:rPr>
        <w:t>r. The paper concludes by proposing a refined, decision-based framework for technical translators and highlights implications for translator training, terminology planning, and Arabic knowledge dissemination.</w:t>
      </w:r>
    </w:p>
    <w:p w14:paraId="20C772B8" w14:textId="671F2015" w:rsidR="00FD1B2F" w:rsidRDefault="00FD1B2F" w:rsidP="00FD1B2F">
      <w:pPr>
        <w:bidi w:val="0"/>
        <w:rPr>
          <w:rFonts w:asciiTheme="majorBidi" w:hAnsiTheme="majorBidi" w:cstheme="majorBidi"/>
          <w:sz w:val="24"/>
          <w:szCs w:val="24"/>
        </w:rPr>
      </w:pPr>
      <w:r w:rsidRPr="00070C2D">
        <w:rPr>
          <w:rFonts w:asciiTheme="majorBidi" w:hAnsiTheme="majorBidi" w:cstheme="majorBidi"/>
          <w:b/>
          <w:bCs/>
          <w:sz w:val="24"/>
          <w:szCs w:val="24"/>
        </w:rPr>
        <w:t>Keywords:</w:t>
      </w:r>
      <w:r w:rsidRPr="00070C2D">
        <w:rPr>
          <w:rFonts w:asciiTheme="majorBidi" w:hAnsiTheme="majorBidi" w:cstheme="majorBidi"/>
          <w:sz w:val="24"/>
          <w:szCs w:val="24"/>
        </w:rPr>
        <w:t xml:space="preserve"> </w:t>
      </w:r>
      <w:r w:rsidR="00070C2D" w:rsidRPr="00070C2D">
        <w:rPr>
          <w:rFonts w:asciiTheme="majorBidi" w:hAnsiTheme="majorBidi" w:cstheme="majorBidi"/>
          <w:sz w:val="24"/>
          <w:szCs w:val="24"/>
        </w:rPr>
        <w:t>Arabicisation</w:t>
      </w:r>
      <w:r w:rsidR="00070C2D">
        <w:rPr>
          <w:rFonts w:asciiTheme="majorBidi" w:hAnsiTheme="majorBidi" w:cstheme="majorBidi"/>
          <w:sz w:val="24"/>
          <w:szCs w:val="24"/>
        </w:rPr>
        <w:t>, C</w:t>
      </w:r>
      <w:r w:rsidR="00070C2D" w:rsidRPr="00070C2D">
        <w:rPr>
          <w:rFonts w:asciiTheme="majorBidi" w:hAnsiTheme="majorBidi" w:cstheme="majorBidi"/>
          <w:sz w:val="24"/>
          <w:szCs w:val="24"/>
        </w:rPr>
        <w:t>ognitive load</w:t>
      </w:r>
      <w:r w:rsidR="00070C2D">
        <w:rPr>
          <w:rFonts w:asciiTheme="majorBidi" w:hAnsiTheme="majorBidi" w:cstheme="majorBidi"/>
          <w:sz w:val="24"/>
          <w:szCs w:val="24"/>
        </w:rPr>
        <w:t xml:space="preserve">, ESP, </w:t>
      </w:r>
      <w:r w:rsidR="00070C2D" w:rsidRPr="00070C2D">
        <w:rPr>
          <w:rFonts w:asciiTheme="majorBidi" w:hAnsiTheme="majorBidi" w:cstheme="majorBidi"/>
          <w:sz w:val="24"/>
          <w:szCs w:val="24"/>
        </w:rPr>
        <w:t>Technical translation</w:t>
      </w:r>
      <w:r w:rsidR="00070C2D">
        <w:rPr>
          <w:rFonts w:asciiTheme="majorBidi" w:hAnsiTheme="majorBidi" w:cstheme="majorBidi"/>
          <w:sz w:val="24"/>
          <w:szCs w:val="24"/>
        </w:rPr>
        <w:t>, T</w:t>
      </w:r>
      <w:r w:rsidR="00070C2D" w:rsidRPr="00070C2D">
        <w:rPr>
          <w:rFonts w:asciiTheme="majorBidi" w:hAnsiTheme="majorBidi" w:cstheme="majorBidi"/>
          <w:sz w:val="24"/>
          <w:szCs w:val="24"/>
        </w:rPr>
        <w:t>ransliteration</w:t>
      </w:r>
      <w:r w:rsidR="00070C2D">
        <w:rPr>
          <w:rFonts w:asciiTheme="majorBidi" w:hAnsiTheme="majorBidi" w:cstheme="majorBidi"/>
          <w:sz w:val="24"/>
          <w:szCs w:val="24"/>
        </w:rPr>
        <w:t>.</w:t>
      </w:r>
    </w:p>
    <w:p w14:paraId="22EC83DA" w14:textId="77777777" w:rsidR="00070C2D" w:rsidRPr="00070C2D" w:rsidRDefault="00070C2D" w:rsidP="00070C2D">
      <w:pPr>
        <w:bidi w:val="0"/>
        <w:rPr>
          <w:rFonts w:asciiTheme="majorBidi" w:hAnsiTheme="majorBidi" w:cstheme="majorBidi"/>
          <w:sz w:val="24"/>
          <w:szCs w:val="24"/>
        </w:rPr>
      </w:pPr>
    </w:p>
    <w:p w14:paraId="353D3651" w14:textId="77777777" w:rsidR="00FD1B2F" w:rsidRPr="00070C2D" w:rsidRDefault="00FD1B2F" w:rsidP="00FD1B2F">
      <w:pPr>
        <w:bidi w:val="0"/>
        <w:rPr>
          <w:rFonts w:asciiTheme="majorBidi" w:hAnsiTheme="majorBidi" w:cstheme="majorBidi"/>
          <w:sz w:val="24"/>
          <w:szCs w:val="24"/>
        </w:rPr>
      </w:pPr>
    </w:p>
    <w:p w14:paraId="7C3F89F9" w14:textId="77777777" w:rsidR="00FD1B2F" w:rsidRPr="00070C2D" w:rsidRDefault="00FD1B2F" w:rsidP="00FD1B2F">
      <w:pPr>
        <w:bidi w:val="0"/>
        <w:rPr>
          <w:rFonts w:asciiTheme="majorBidi" w:hAnsiTheme="majorBidi" w:cstheme="majorBidi"/>
          <w:sz w:val="24"/>
          <w:szCs w:val="24"/>
        </w:rPr>
      </w:pPr>
    </w:p>
    <w:p w14:paraId="23267131" w14:textId="77777777" w:rsidR="00FD1B2F" w:rsidRPr="00070C2D" w:rsidRDefault="00FD1B2F" w:rsidP="00FD1B2F">
      <w:pPr>
        <w:bidi w:val="0"/>
        <w:rPr>
          <w:rFonts w:asciiTheme="majorBidi" w:hAnsiTheme="majorBidi" w:cstheme="majorBidi"/>
          <w:sz w:val="24"/>
          <w:szCs w:val="24"/>
        </w:rPr>
      </w:pPr>
    </w:p>
    <w:p w14:paraId="3906DAA4" w14:textId="77777777" w:rsidR="00FD1B2F" w:rsidRPr="00070C2D" w:rsidRDefault="00FD1B2F" w:rsidP="00FD1B2F">
      <w:pPr>
        <w:bidi w:val="0"/>
        <w:rPr>
          <w:rFonts w:asciiTheme="majorBidi" w:hAnsiTheme="majorBidi" w:cstheme="majorBidi"/>
          <w:sz w:val="24"/>
          <w:szCs w:val="24"/>
        </w:rPr>
      </w:pPr>
    </w:p>
    <w:p w14:paraId="7FE64CAC" w14:textId="77777777" w:rsidR="00FD1B2F" w:rsidRPr="00070C2D" w:rsidRDefault="00FD1B2F" w:rsidP="00FD1B2F">
      <w:pPr>
        <w:bidi w:val="0"/>
        <w:rPr>
          <w:rFonts w:asciiTheme="majorBidi" w:hAnsiTheme="majorBidi" w:cstheme="majorBidi"/>
          <w:sz w:val="24"/>
          <w:szCs w:val="24"/>
        </w:rPr>
      </w:pPr>
    </w:p>
    <w:p w14:paraId="5D0248F7" w14:textId="77777777" w:rsidR="00FD1B2F" w:rsidRPr="00070C2D" w:rsidRDefault="00FD1B2F" w:rsidP="00FD1B2F">
      <w:pPr>
        <w:bidi w:val="0"/>
        <w:rPr>
          <w:rFonts w:asciiTheme="majorBidi" w:hAnsiTheme="majorBidi" w:cstheme="majorBidi"/>
          <w:sz w:val="24"/>
          <w:szCs w:val="24"/>
        </w:rPr>
      </w:pPr>
    </w:p>
    <w:p w14:paraId="53258B02" w14:textId="77777777" w:rsidR="00FD1B2F" w:rsidRPr="00070C2D" w:rsidRDefault="00FD1B2F" w:rsidP="00FD1B2F">
      <w:pPr>
        <w:bidi w:val="0"/>
        <w:rPr>
          <w:rFonts w:asciiTheme="majorBidi" w:hAnsiTheme="majorBidi" w:cstheme="majorBidi"/>
          <w:sz w:val="24"/>
          <w:szCs w:val="24"/>
        </w:rPr>
      </w:pPr>
    </w:p>
    <w:p w14:paraId="5E548357" w14:textId="2DA95B9B" w:rsidR="00E31EF2" w:rsidRDefault="00E31EF2" w:rsidP="00E31EF2">
      <w:pPr>
        <w:bidi w:val="0"/>
        <w:rPr>
          <w:rFonts w:asciiTheme="majorBidi" w:hAnsiTheme="majorBidi" w:cstheme="majorBidi"/>
          <w:sz w:val="24"/>
          <w:szCs w:val="24"/>
        </w:rPr>
      </w:pPr>
    </w:p>
    <w:p w14:paraId="552C1FED" w14:textId="18D1A00A" w:rsidR="00086707" w:rsidRDefault="00086707" w:rsidP="00086707">
      <w:pPr>
        <w:bidi w:val="0"/>
        <w:rPr>
          <w:rFonts w:asciiTheme="majorBidi" w:hAnsiTheme="majorBidi" w:cstheme="majorBidi"/>
          <w:sz w:val="24"/>
          <w:szCs w:val="24"/>
        </w:rPr>
      </w:pPr>
    </w:p>
    <w:p w14:paraId="3CF56A69" w14:textId="2E0022A0" w:rsidR="00086707" w:rsidRDefault="00086707" w:rsidP="00086707">
      <w:pPr>
        <w:bidi w:val="0"/>
        <w:rPr>
          <w:rFonts w:asciiTheme="majorBidi" w:hAnsiTheme="majorBidi" w:cstheme="majorBidi"/>
          <w:sz w:val="24"/>
          <w:szCs w:val="24"/>
        </w:rPr>
      </w:pPr>
    </w:p>
    <w:p w14:paraId="563D1DDA" w14:textId="77777777" w:rsidR="00086707" w:rsidRPr="00070C2D" w:rsidRDefault="00086707" w:rsidP="00086707">
      <w:pPr>
        <w:bidi w:val="0"/>
        <w:rPr>
          <w:rFonts w:asciiTheme="majorBidi" w:hAnsiTheme="majorBidi" w:cstheme="majorBidi"/>
          <w:sz w:val="24"/>
          <w:szCs w:val="24"/>
        </w:rPr>
      </w:pPr>
      <w:bookmarkStart w:id="0" w:name="_GoBack"/>
      <w:bookmarkEnd w:id="0"/>
    </w:p>
    <w:p w14:paraId="0079945D" w14:textId="77777777" w:rsidR="00E31EF2" w:rsidRPr="00070C2D" w:rsidRDefault="00E31EF2" w:rsidP="00E31EF2">
      <w:pPr>
        <w:bidi w:val="0"/>
        <w:rPr>
          <w:rFonts w:asciiTheme="majorBidi" w:hAnsiTheme="majorBidi" w:cstheme="majorBidi"/>
          <w:sz w:val="24"/>
          <w:szCs w:val="24"/>
        </w:rPr>
      </w:pPr>
    </w:p>
    <w:p w14:paraId="1AFA1342" w14:textId="34CE5AAD" w:rsidR="00FD1B2F" w:rsidRPr="00A93EC8" w:rsidRDefault="00A93EC8" w:rsidP="00A93EC8">
      <w:pPr>
        <w:bidi w:val="0"/>
        <w:rPr>
          <w:rFonts w:asciiTheme="majorBidi" w:hAnsiTheme="majorBidi" w:cstheme="majorBidi"/>
          <w:b/>
          <w:bCs/>
          <w:sz w:val="24"/>
          <w:szCs w:val="24"/>
        </w:rPr>
      </w:pPr>
      <w:r>
        <w:rPr>
          <w:rFonts w:asciiTheme="majorBidi" w:hAnsiTheme="majorBidi" w:cstheme="majorBidi"/>
          <w:b/>
          <w:bCs/>
          <w:sz w:val="24"/>
          <w:szCs w:val="24"/>
        </w:rPr>
        <w:t xml:space="preserve">1. </w:t>
      </w:r>
      <w:r w:rsidR="00FD1B2F" w:rsidRPr="00A93EC8">
        <w:rPr>
          <w:rFonts w:asciiTheme="majorBidi" w:hAnsiTheme="majorBidi" w:cstheme="majorBidi"/>
          <w:b/>
          <w:bCs/>
          <w:sz w:val="24"/>
          <w:szCs w:val="24"/>
        </w:rPr>
        <w:t>Introduction:</w:t>
      </w:r>
    </w:p>
    <w:p w14:paraId="5BCAE974" w14:textId="2B7DDD1A" w:rsidR="00D7036D" w:rsidRPr="00070C2D" w:rsidRDefault="00FD1B2F" w:rsidP="00CA3E8B">
      <w:pPr>
        <w:bidi w:val="0"/>
        <w:jc w:val="both"/>
        <w:rPr>
          <w:rFonts w:asciiTheme="majorBidi" w:hAnsiTheme="majorBidi" w:cstheme="majorBidi"/>
          <w:sz w:val="24"/>
          <w:szCs w:val="24"/>
        </w:rPr>
      </w:pPr>
      <w:r w:rsidRPr="00070C2D">
        <w:rPr>
          <w:rFonts w:asciiTheme="majorBidi" w:hAnsiTheme="majorBidi" w:cstheme="majorBidi"/>
          <w:sz w:val="24"/>
          <w:szCs w:val="24"/>
        </w:rPr>
        <w:t>The translation of technical and scientific knowledge into Arabic has long been driven by educational and developmental imperatives</w:t>
      </w:r>
      <w:r w:rsidR="00AD1E83">
        <w:rPr>
          <w:rFonts w:asciiTheme="majorBidi" w:hAnsiTheme="majorBidi" w:cstheme="majorBidi"/>
          <w:sz w:val="24"/>
          <w:szCs w:val="24"/>
        </w:rPr>
        <w:t xml:space="preserve"> (</w:t>
      </w:r>
      <w:r w:rsidR="00AD1E83" w:rsidRPr="00AD1E83">
        <w:rPr>
          <w:rFonts w:asciiTheme="majorBidi" w:hAnsiTheme="majorBidi" w:cstheme="majorBidi"/>
          <w:sz w:val="24"/>
          <w:szCs w:val="24"/>
        </w:rPr>
        <w:t>Abdul Jaleel &amp; Larkey, 2003)</w:t>
      </w:r>
      <w:r w:rsidRPr="00070C2D">
        <w:rPr>
          <w:rFonts w:asciiTheme="majorBidi" w:hAnsiTheme="majorBidi" w:cstheme="majorBidi"/>
          <w:sz w:val="24"/>
          <w:szCs w:val="24"/>
        </w:rPr>
        <w:t>. In recent decades, this effort has intensified due to globali</w:t>
      </w:r>
      <w:r w:rsidR="00CA3E8B" w:rsidRPr="00070C2D">
        <w:rPr>
          <w:rFonts w:asciiTheme="majorBidi" w:hAnsiTheme="majorBidi" w:cstheme="majorBidi"/>
          <w:sz w:val="24"/>
          <w:szCs w:val="24"/>
        </w:rPr>
        <w:t>s</w:t>
      </w:r>
      <w:r w:rsidRPr="00070C2D">
        <w:rPr>
          <w:rFonts w:asciiTheme="majorBidi" w:hAnsiTheme="majorBidi" w:cstheme="majorBidi"/>
          <w:sz w:val="24"/>
          <w:szCs w:val="24"/>
        </w:rPr>
        <w:t>ation, the expansion of higher education, and the growing demand for locali</w:t>
      </w:r>
      <w:r w:rsidR="00CA3E8B" w:rsidRPr="00070C2D">
        <w:rPr>
          <w:rFonts w:asciiTheme="majorBidi" w:hAnsiTheme="majorBidi" w:cstheme="majorBidi"/>
          <w:sz w:val="24"/>
          <w:szCs w:val="24"/>
        </w:rPr>
        <w:t>s</w:t>
      </w:r>
      <w:r w:rsidRPr="00070C2D">
        <w:rPr>
          <w:rFonts w:asciiTheme="majorBidi" w:hAnsiTheme="majorBidi" w:cstheme="majorBidi"/>
          <w:sz w:val="24"/>
          <w:szCs w:val="24"/>
        </w:rPr>
        <w:t xml:space="preserve">ed academic resources. </w:t>
      </w:r>
      <w:r w:rsidR="00CA3E8B" w:rsidRPr="00070C2D">
        <w:rPr>
          <w:rFonts w:asciiTheme="majorBidi" w:hAnsiTheme="majorBidi" w:cstheme="majorBidi"/>
          <w:sz w:val="24"/>
          <w:szCs w:val="24"/>
        </w:rPr>
        <w:t>I</w:t>
      </w:r>
      <w:r w:rsidRPr="00070C2D">
        <w:rPr>
          <w:rFonts w:asciiTheme="majorBidi" w:hAnsiTheme="majorBidi" w:cstheme="majorBidi"/>
          <w:sz w:val="24"/>
          <w:szCs w:val="24"/>
        </w:rPr>
        <w:t>nstitutions across the Arab world have invested heavily in translating textbooks, manuals, and research materials, particularly from English, which currently dominates scientific and technical production.</w:t>
      </w:r>
      <w:r w:rsidR="00CA3E8B" w:rsidRPr="00070C2D">
        <w:rPr>
          <w:rFonts w:asciiTheme="majorBidi" w:hAnsiTheme="majorBidi" w:cstheme="majorBidi"/>
          <w:sz w:val="24"/>
          <w:szCs w:val="24"/>
        </w:rPr>
        <w:t xml:space="preserve"> </w:t>
      </w:r>
      <w:r w:rsidRPr="00070C2D">
        <w:rPr>
          <w:rFonts w:asciiTheme="majorBidi" w:hAnsiTheme="majorBidi" w:cstheme="majorBidi"/>
          <w:sz w:val="24"/>
          <w:szCs w:val="24"/>
        </w:rPr>
        <w:t>While the quantity of translated material has increased, questions concerning translation quality and functional adequacy remain largely unresolved</w:t>
      </w:r>
      <w:r w:rsidR="00D708C3">
        <w:rPr>
          <w:rFonts w:asciiTheme="majorBidi" w:hAnsiTheme="majorBidi" w:cstheme="majorBidi"/>
          <w:sz w:val="24"/>
          <w:szCs w:val="24"/>
        </w:rPr>
        <w:t xml:space="preserve"> (</w:t>
      </w:r>
      <w:r w:rsidR="00D708C3" w:rsidRPr="00070C2D">
        <w:rPr>
          <w:rFonts w:asciiTheme="majorBidi" w:hAnsiTheme="majorBidi" w:cstheme="majorBidi"/>
          <w:sz w:val="24"/>
          <w:szCs w:val="24"/>
        </w:rPr>
        <w:t>Munday, 2016)</w:t>
      </w:r>
      <w:r w:rsidRPr="00070C2D">
        <w:rPr>
          <w:rFonts w:asciiTheme="majorBidi" w:hAnsiTheme="majorBidi" w:cstheme="majorBidi"/>
          <w:sz w:val="24"/>
          <w:szCs w:val="24"/>
        </w:rPr>
        <w:t xml:space="preserve">. </w:t>
      </w:r>
    </w:p>
    <w:p w14:paraId="7819F7DB" w14:textId="59D92F61" w:rsidR="00FD1B2F" w:rsidRPr="00070C2D" w:rsidRDefault="00FD1B2F" w:rsidP="00D708C3">
      <w:pPr>
        <w:bidi w:val="0"/>
        <w:jc w:val="both"/>
        <w:rPr>
          <w:rFonts w:asciiTheme="majorBidi" w:hAnsiTheme="majorBidi" w:cstheme="majorBidi"/>
          <w:sz w:val="24"/>
          <w:szCs w:val="24"/>
        </w:rPr>
      </w:pPr>
      <w:r w:rsidRPr="00070C2D">
        <w:rPr>
          <w:rFonts w:asciiTheme="majorBidi" w:hAnsiTheme="majorBidi" w:cstheme="majorBidi"/>
          <w:sz w:val="24"/>
          <w:szCs w:val="24"/>
        </w:rPr>
        <w:t>Among the most persistent challenges is the treatment of technical terminology. Translators are frequently faced with the dilemma of whether to translate a term literally, derive a new Arabic equivalent, or retain the original term through transliteration. In practice, these decisions are often made inconsistently and without reference to systematic criteria, resulting in texts that are linguistically correct but pragmatically ineffective.</w:t>
      </w:r>
      <w:r w:rsidR="00D7036D" w:rsidRPr="00070C2D">
        <w:rPr>
          <w:rFonts w:asciiTheme="majorBidi" w:hAnsiTheme="majorBidi" w:cstheme="majorBidi"/>
          <w:sz w:val="24"/>
          <w:szCs w:val="24"/>
        </w:rPr>
        <w:t xml:space="preserve"> </w:t>
      </w:r>
      <w:r w:rsidRPr="00070C2D">
        <w:rPr>
          <w:rFonts w:asciiTheme="majorBidi" w:hAnsiTheme="majorBidi" w:cstheme="majorBidi"/>
          <w:sz w:val="24"/>
          <w:szCs w:val="24"/>
        </w:rPr>
        <w:t>Earlier work argued that many technical terms function not as lexical items carrying semantic content, but as labels for special</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concepts. In such cases, attempting to render meaning through literal translation may obscure rather than clarify the concept. Transliteration, by contrast, preserves terminological stability and aligns Arabic technical discourse with international usage. However, critics of transliteration often regard it as excessive borrowing or as a threat to linguistic authenticity</w:t>
      </w:r>
      <w:r w:rsidR="00D708C3">
        <w:rPr>
          <w:rFonts w:asciiTheme="majorBidi" w:hAnsiTheme="majorBidi" w:cstheme="majorBidi"/>
          <w:sz w:val="24"/>
          <w:szCs w:val="24"/>
        </w:rPr>
        <w:t xml:space="preserve"> (</w:t>
      </w:r>
      <w:proofErr w:type="spellStart"/>
      <w:r w:rsidR="00D708C3" w:rsidRPr="00D708C3">
        <w:rPr>
          <w:rFonts w:asciiTheme="majorBidi" w:hAnsiTheme="majorBidi" w:cstheme="majorBidi"/>
          <w:sz w:val="24"/>
          <w:szCs w:val="24"/>
        </w:rPr>
        <w:t>Mammadzada</w:t>
      </w:r>
      <w:proofErr w:type="spellEnd"/>
      <w:r w:rsidR="00D708C3" w:rsidRPr="00D708C3">
        <w:rPr>
          <w:rFonts w:asciiTheme="majorBidi" w:hAnsiTheme="majorBidi" w:cstheme="majorBidi"/>
          <w:sz w:val="24"/>
          <w:szCs w:val="24"/>
        </w:rPr>
        <w:t>, 2023)</w:t>
      </w:r>
      <w:r w:rsidR="00D708C3">
        <w:rPr>
          <w:rFonts w:asciiTheme="majorBidi" w:hAnsiTheme="majorBidi" w:cstheme="majorBidi"/>
          <w:sz w:val="24"/>
          <w:szCs w:val="24"/>
        </w:rPr>
        <w:t xml:space="preserve">. </w:t>
      </w:r>
      <w:r w:rsidRPr="00070C2D">
        <w:rPr>
          <w:rFonts w:asciiTheme="majorBidi" w:hAnsiTheme="majorBidi" w:cstheme="majorBidi"/>
          <w:sz w:val="24"/>
          <w:szCs w:val="24"/>
        </w:rPr>
        <w:t>The present study examin</w:t>
      </w:r>
      <w:r w:rsidR="00D708C3">
        <w:rPr>
          <w:rFonts w:asciiTheme="majorBidi" w:hAnsiTheme="majorBidi" w:cstheme="majorBidi"/>
          <w:sz w:val="24"/>
          <w:szCs w:val="24"/>
        </w:rPr>
        <w:t>es</w:t>
      </w:r>
      <w:r w:rsidRPr="00070C2D">
        <w:rPr>
          <w:rFonts w:asciiTheme="majorBidi" w:hAnsiTheme="majorBidi" w:cstheme="majorBidi"/>
          <w:sz w:val="24"/>
          <w:szCs w:val="24"/>
        </w:rPr>
        <w:t xml:space="preserve"> whether a hybrid translation–transliteration model </w:t>
      </w:r>
      <w:r w:rsidR="00D7036D" w:rsidRPr="00070C2D">
        <w:rPr>
          <w:rFonts w:asciiTheme="majorBidi" w:hAnsiTheme="majorBidi" w:cstheme="majorBidi"/>
          <w:sz w:val="24"/>
          <w:szCs w:val="24"/>
        </w:rPr>
        <w:t>improves</w:t>
      </w:r>
      <w:r w:rsidRPr="00070C2D">
        <w:rPr>
          <w:rFonts w:asciiTheme="majorBidi" w:hAnsiTheme="majorBidi" w:cstheme="majorBidi"/>
          <w:sz w:val="24"/>
          <w:szCs w:val="24"/>
        </w:rPr>
        <w:t xml:space="preserve"> reader experience and comprehension. Rather than debating transliteration at the level of ideology, this paper evaluates it at the level of use, function, and reception.</w:t>
      </w:r>
    </w:p>
    <w:p w14:paraId="4BE7C1B2" w14:textId="77777777" w:rsidR="00361E04" w:rsidRPr="00070C2D" w:rsidRDefault="00361E04" w:rsidP="00FD1B2F">
      <w:pPr>
        <w:bidi w:val="0"/>
        <w:rPr>
          <w:rFonts w:asciiTheme="majorBidi" w:hAnsiTheme="majorBidi" w:cstheme="majorBidi"/>
          <w:b/>
          <w:bCs/>
          <w:sz w:val="24"/>
          <w:szCs w:val="24"/>
        </w:rPr>
      </w:pPr>
    </w:p>
    <w:p w14:paraId="0514EEBC" w14:textId="6FB95C38" w:rsidR="00FD1B2F" w:rsidRPr="00070C2D" w:rsidRDefault="00FD1B2F" w:rsidP="00361E04">
      <w:pPr>
        <w:bidi w:val="0"/>
        <w:rPr>
          <w:rFonts w:asciiTheme="majorBidi" w:hAnsiTheme="majorBidi" w:cstheme="majorBidi"/>
          <w:b/>
          <w:bCs/>
          <w:sz w:val="24"/>
          <w:szCs w:val="24"/>
        </w:rPr>
      </w:pPr>
      <w:r w:rsidRPr="00070C2D">
        <w:rPr>
          <w:rFonts w:asciiTheme="majorBidi" w:hAnsiTheme="majorBidi" w:cstheme="majorBidi"/>
          <w:b/>
          <w:bCs/>
          <w:sz w:val="24"/>
          <w:szCs w:val="24"/>
        </w:rPr>
        <w:t xml:space="preserve">2. </w:t>
      </w:r>
      <w:r w:rsidR="00361E04" w:rsidRPr="00070C2D">
        <w:rPr>
          <w:rFonts w:asciiTheme="majorBidi" w:hAnsiTheme="majorBidi" w:cstheme="majorBidi"/>
          <w:b/>
          <w:bCs/>
          <w:sz w:val="24"/>
          <w:szCs w:val="24"/>
        </w:rPr>
        <w:t>Theoretical Background</w:t>
      </w:r>
    </w:p>
    <w:p w14:paraId="0F1764FD" w14:textId="77777777"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2.1 Translation as a Functional Activity</w:t>
      </w:r>
    </w:p>
    <w:p w14:paraId="380A0B24" w14:textId="5B9CF765"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t>Modern translation theory has increasingly moved away from strict equivalence models toward functionalist and communicative approaches. From this perspective, translation is not merely the replacement of linguistic units, but a purpose-driven activity designed to meet the needs of specific audiences in specific contexts. The success of a translation is therefore measured by usability, intelligibility, and effectiveness rather than formal correspondence</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Al-Azami, Kenner, Ruby</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&amp; Gregory, 2010).</w:t>
      </w:r>
      <w:r w:rsidR="00D448FA">
        <w:rPr>
          <w:rFonts w:asciiTheme="majorBidi" w:hAnsiTheme="majorBidi" w:cstheme="majorBidi"/>
          <w:sz w:val="24"/>
          <w:szCs w:val="24"/>
        </w:rPr>
        <w:t xml:space="preserve"> </w:t>
      </w:r>
      <w:r w:rsidRPr="00070C2D">
        <w:rPr>
          <w:rFonts w:asciiTheme="majorBidi" w:hAnsiTheme="majorBidi" w:cstheme="majorBidi"/>
          <w:sz w:val="24"/>
          <w:szCs w:val="24"/>
        </w:rPr>
        <w:t>In technical translation, this functional orientation is especially critical. Technical texts are designed to convey precise information efficiently, often to readers who already possess partial domain knowledge. Any translation strategy that increases ambiguity, slows comprehension, or requires additional explanation undermines the primary function of the text.</w:t>
      </w:r>
    </w:p>
    <w:p w14:paraId="35388EFC" w14:textId="77777777" w:rsidR="00D448FA" w:rsidRDefault="00D448FA" w:rsidP="00FD1B2F">
      <w:pPr>
        <w:bidi w:val="0"/>
        <w:rPr>
          <w:rFonts w:asciiTheme="majorBidi" w:hAnsiTheme="majorBidi" w:cstheme="majorBidi"/>
          <w:b/>
          <w:bCs/>
          <w:sz w:val="24"/>
          <w:szCs w:val="24"/>
        </w:rPr>
      </w:pPr>
    </w:p>
    <w:p w14:paraId="745A31A0" w14:textId="2FCBB702" w:rsidR="00FD1B2F" w:rsidRPr="00070C2D" w:rsidRDefault="00FD1B2F" w:rsidP="00D448FA">
      <w:pPr>
        <w:bidi w:val="0"/>
        <w:rPr>
          <w:rFonts w:asciiTheme="majorBidi" w:hAnsiTheme="majorBidi" w:cstheme="majorBidi"/>
          <w:b/>
          <w:bCs/>
          <w:sz w:val="24"/>
          <w:szCs w:val="24"/>
        </w:rPr>
      </w:pPr>
      <w:r w:rsidRPr="00070C2D">
        <w:rPr>
          <w:rFonts w:asciiTheme="majorBidi" w:hAnsiTheme="majorBidi" w:cstheme="majorBidi"/>
          <w:b/>
          <w:bCs/>
          <w:sz w:val="24"/>
          <w:szCs w:val="24"/>
        </w:rPr>
        <w:t>2.2 Technical Terminology and Cognitive Processing</w:t>
      </w:r>
    </w:p>
    <w:p w14:paraId="749ED377" w14:textId="7A8BDFD5"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lastRenderedPageBreak/>
        <w:t>Research in cognitive linguistics and ESP (English for Specific Purposes) suggests that expert readers process technical terms differently from general vocabulary. For specialists, technical terms are often stored as unanalysed units, similar to proper names. When such terms are replaced with unfamiliar or artificially constructed equivalents, readers must expend additional cognitive effort to map the new form onto an existing concept.</w:t>
      </w:r>
      <w:r w:rsidR="00D448FA">
        <w:rPr>
          <w:rFonts w:asciiTheme="majorBidi" w:hAnsiTheme="majorBidi" w:cstheme="majorBidi"/>
          <w:sz w:val="24"/>
          <w:szCs w:val="24"/>
        </w:rPr>
        <w:t xml:space="preserve"> </w:t>
      </w:r>
      <w:r w:rsidRPr="00070C2D">
        <w:rPr>
          <w:rFonts w:asciiTheme="majorBidi" w:hAnsiTheme="majorBidi" w:cstheme="majorBidi"/>
          <w:sz w:val="24"/>
          <w:szCs w:val="24"/>
        </w:rPr>
        <w:t>This phenomenon helps explain why literal translations of technical terms are frequently perceived as awkward or confusing, even when they are linguistically accurate. Transliteration, by preserving phonological continuity with the source term, reduces this cognitive burden and facilitates rapid recognition.</w:t>
      </w:r>
    </w:p>
    <w:p w14:paraId="6D29947B" w14:textId="77777777" w:rsidR="00D7036D" w:rsidRPr="00070C2D" w:rsidRDefault="00D7036D" w:rsidP="00FD1B2F">
      <w:pPr>
        <w:bidi w:val="0"/>
        <w:rPr>
          <w:rFonts w:asciiTheme="majorBidi" w:hAnsiTheme="majorBidi" w:cstheme="majorBidi"/>
          <w:b/>
          <w:bCs/>
          <w:sz w:val="24"/>
          <w:szCs w:val="24"/>
        </w:rPr>
      </w:pPr>
    </w:p>
    <w:p w14:paraId="0C2367AE" w14:textId="27C289B4" w:rsidR="00FD1B2F" w:rsidRPr="00070C2D" w:rsidRDefault="00FD1B2F" w:rsidP="00D7036D">
      <w:pPr>
        <w:bidi w:val="0"/>
        <w:rPr>
          <w:rFonts w:asciiTheme="majorBidi" w:hAnsiTheme="majorBidi" w:cstheme="majorBidi"/>
          <w:b/>
          <w:bCs/>
          <w:sz w:val="24"/>
          <w:szCs w:val="24"/>
        </w:rPr>
      </w:pPr>
      <w:r w:rsidRPr="00070C2D">
        <w:rPr>
          <w:rFonts w:asciiTheme="majorBidi" w:hAnsiTheme="majorBidi" w:cstheme="majorBidi"/>
          <w:b/>
          <w:bCs/>
          <w:sz w:val="24"/>
          <w:szCs w:val="24"/>
        </w:rPr>
        <w:t>2.3 Arabicisation Revisited</w:t>
      </w:r>
    </w:p>
    <w:p w14:paraId="454D43F8" w14:textId="4267FECB"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t>Arabicisation has historically played a significant role in the development of Arabic scientific discourse, particularly during periods of intense knowledge transfer</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Al-Khatib</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&amp; Sabbah, 1999</w:t>
      </w:r>
      <w:r w:rsidR="004A6DD0" w:rsidRPr="00D448FA">
        <w:rPr>
          <w:rFonts w:asciiTheme="majorBidi" w:hAnsiTheme="majorBidi" w:cstheme="majorBidi"/>
          <w:sz w:val="24"/>
          <w:szCs w:val="24"/>
        </w:rPr>
        <w:t>).</w:t>
      </w:r>
      <w:r w:rsidR="004A6DD0" w:rsidRPr="00070C2D">
        <w:rPr>
          <w:rFonts w:asciiTheme="majorBidi" w:hAnsiTheme="majorBidi" w:cstheme="majorBidi"/>
          <w:sz w:val="24"/>
          <w:szCs w:val="24"/>
        </w:rPr>
        <w:t xml:space="preserve"> While</w:t>
      </w:r>
      <w:r w:rsidRPr="00070C2D">
        <w:rPr>
          <w:rFonts w:asciiTheme="majorBidi" w:hAnsiTheme="majorBidi" w:cstheme="majorBidi"/>
          <w:sz w:val="24"/>
          <w:szCs w:val="24"/>
        </w:rPr>
        <w:t xml:space="preserve"> earlier Arabicisation efforts often involved derivation and semantic expansion, contemporary technical fields evolve at a pace that makes systematic coinage increasingly impractical</w:t>
      </w:r>
      <w:r w:rsidR="00732DA3">
        <w:rPr>
          <w:rFonts w:asciiTheme="majorBidi" w:hAnsiTheme="majorBidi" w:cstheme="majorBidi"/>
          <w:sz w:val="24"/>
          <w:szCs w:val="24"/>
        </w:rPr>
        <w:t xml:space="preserve"> (</w:t>
      </w:r>
      <w:r w:rsidR="00732DA3" w:rsidRPr="00732DA3">
        <w:rPr>
          <w:rFonts w:asciiTheme="majorBidi" w:hAnsiTheme="majorBidi" w:cstheme="majorBidi"/>
          <w:sz w:val="24"/>
          <w:szCs w:val="24"/>
        </w:rPr>
        <w:t>Warschauer, El Said</w:t>
      </w:r>
      <w:r w:rsidR="00732DA3">
        <w:rPr>
          <w:rFonts w:asciiTheme="majorBidi" w:hAnsiTheme="majorBidi" w:cstheme="majorBidi"/>
          <w:sz w:val="24"/>
          <w:szCs w:val="24"/>
        </w:rPr>
        <w:t xml:space="preserve"> </w:t>
      </w:r>
      <w:r w:rsidR="00732DA3" w:rsidRPr="00732DA3">
        <w:rPr>
          <w:rFonts w:asciiTheme="majorBidi" w:hAnsiTheme="majorBidi" w:cstheme="majorBidi"/>
          <w:sz w:val="24"/>
          <w:szCs w:val="24"/>
        </w:rPr>
        <w:t>&amp; Zohry, 2007)</w:t>
      </w:r>
      <w:r w:rsidRPr="00070C2D">
        <w:rPr>
          <w:rFonts w:asciiTheme="majorBidi" w:hAnsiTheme="majorBidi" w:cstheme="majorBidi"/>
          <w:sz w:val="24"/>
          <w:szCs w:val="24"/>
        </w:rPr>
        <w:t>. Transliteration thus emerges not as linguistic negligence, but as an adaptive strategy suited to modern conditions of knowledge production.</w:t>
      </w:r>
    </w:p>
    <w:p w14:paraId="0EA4A2B1" w14:textId="77777777" w:rsidR="00D7036D" w:rsidRPr="00070C2D" w:rsidRDefault="00D7036D" w:rsidP="00FD1B2F">
      <w:pPr>
        <w:bidi w:val="0"/>
        <w:rPr>
          <w:rFonts w:asciiTheme="majorBidi" w:hAnsiTheme="majorBidi" w:cstheme="majorBidi"/>
          <w:b/>
          <w:bCs/>
          <w:sz w:val="24"/>
          <w:szCs w:val="24"/>
        </w:rPr>
      </w:pPr>
    </w:p>
    <w:p w14:paraId="5A8C6D62" w14:textId="6995E2E4" w:rsidR="00FD1B2F" w:rsidRPr="00070C2D" w:rsidRDefault="00070C2D" w:rsidP="00070C2D">
      <w:pPr>
        <w:bidi w:val="0"/>
        <w:rPr>
          <w:rFonts w:asciiTheme="majorBidi" w:hAnsiTheme="majorBidi" w:cstheme="majorBidi"/>
          <w:b/>
          <w:bCs/>
          <w:sz w:val="24"/>
          <w:szCs w:val="24"/>
        </w:rPr>
      </w:pPr>
      <w:r>
        <w:rPr>
          <w:rFonts w:asciiTheme="majorBidi" w:hAnsiTheme="majorBidi" w:cstheme="majorBidi"/>
          <w:b/>
          <w:bCs/>
          <w:sz w:val="24"/>
          <w:szCs w:val="24"/>
        </w:rPr>
        <w:t xml:space="preserve">3. </w:t>
      </w:r>
      <w:r w:rsidR="00D7036D" w:rsidRPr="00070C2D">
        <w:rPr>
          <w:rFonts w:asciiTheme="majorBidi" w:hAnsiTheme="majorBidi" w:cstheme="majorBidi"/>
          <w:b/>
          <w:bCs/>
          <w:sz w:val="24"/>
          <w:szCs w:val="24"/>
        </w:rPr>
        <w:t>Literature Review</w:t>
      </w:r>
    </w:p>
    <w:p w14:paraId="47FB8518" w14:textId="339DA562" w:rsidR="00FB6B41" w:rsidRPr="00070C2D" w:rsidRDefault="00FB6B41" w:rsidP="004A1BBA">
      <w:pPr>
        <w:pStyle w:val="NormalWeb"/>
        <w:jc w:val="both"/>
        <w:rPr>
          <w:lang w:val="en-GB"/>
        </w:rPr>
      </w:pPr>
      <w:r w:rsidRPr="00070C2D">
        <w:rPr>
          <w:lang w:val="en-GB"/>
        </w:rPr>
        <w:t>Research on technical translation into Arabic can be broadly grouped into three main strands: descriptive studies documenting translation strategies and challenges, normative and prescriptive discussions advocating particular techniques, and terminological or computational research focusing on transliteration and standard</w:t>
      </w:r>
      <w:r w:rsidR="00070C2D" w:rsidRPr="00070C2D">
        <w:rPr>
          <w:lang w:val="en-GB"/>
        </w:rPr>
        <w:t>is</w:t>
      </w:r>
      <w:r w:rsidRPr="00070C2D">
        <w:rPr>
          <w:lang w:val="en-GB"/>
        </w:rPr>
        <w:t>ation. Together, these strands have contributed valuable insights into the nature of technical translation, while also revealing persistent gaps</w:t>
      </w:r>
      <w:r w:rsidR="004A6DD0">
        <w:rPr>
          <w:lang w:val="en-GB"/>
        </w:rPr>
        <w:t xml:space="preserve">, </w:t>
      </w:r>
      <w:r w:rsidRPr="00070C2D">
        <w:rPr>
          <w:lang w:val="en-GB"/>
        </w:rPr>
        <w:t>particularly</w:t>
      </w:r>
      <w:r w:rsidR="004A6DD0">
        <w:rPr>
          <w:lang w:val="en-GB"/>
        </w:rPr>
        <w:t xml:space="preserve"> </w:t>
      </w:r>
      <w:r w:rsidRPr="00070C2D">
        <w:rPr>
          <w:lang w:val="en-GB"/>
        </w:rPr>
        <w:t>with regard to reader reception and empirical evaluation.</w:t>
      </w:r>
    </w:p>
    <w:p w14:paraId="172DCC54" w14:textId="4ED9A6BA" w:rsidR="00FB6B41" w:rsidRPr="00070C2D" w:rsidRDefault="00FB6B41" w:rsidP="004A1BBA">
      <w:pPr>
        <w:pStyle w:val="NormalWeb"/>
        <w:jc w:val="both"/>
        <w:rPr>
          <w:lang w:val="en-GB"/>
        </w:rPr>
      </w:pPr>
      <w:r w:rsidRPr="00070C2D">
        <w:rPr>
          <w:lang w:val="en-GB"/>
        </w:rPr>
        <w:t>The first strand consists of descriptive and analytical studies that examine how technical terms are translated in practice and identify recurrent difficulties in achieving equivalence. Classic works in translation studies emphas</w:t>
      </w:r>
      <w:r w:rsidR="00070C2D" w:rsidRPr="00070C2D">
        <w:rPr>
          <w:lang w:val="en-GB"/>
        </w:rPr>
        <w:t>is</w:t>
      </w:r>
      <w:r w:rsidRPr="00070C2D">
        <w:rPr>
          <w:lang w:val="en-GB"/>
        </w:rPr>
        <w:t>e that technical terms function primarily as labels for special</w:t>
      </w:r>
      <w:r w:rsidR="00070C2D" w:rsidRPr="00070C2D">
        <w:rPr>
          <w:lang w:val="en-GB"/>
        </w:rPr>
        <w:t>is</w:t>
      </w:r>
      <w:r w:rsidRPr="00070C2D">
        <w:rPr>
          <w:lang w:val="en-GB"/>
        </w:rPr>
        <w:t xml:space="preserve">ed concepts rather than as carriers of general lexical meaning (Newmark, 1988; </w:t>
      </w:r>
      <w:proofErr w:type="spellStart"/>
      <w:r w:rsidRPr="00070C2D">
        <w:rPr>
          <w:lang w:val="en-GB"/>
        </w:rPr>
        <w:t>Pinchuck</w:t>
      </w:r>
      <w:proofErr w:type="spellEnd"/>
      <w:r w:rsidRPr="00070C2D">
        <w:rPr>
          <w:lang w:val="en-GB"/>
        </w:rPr>
        <w:t xml:space="preserve">, 1977). From this perspective, literal translation often proves problematic, as it may obscure conceptual reference or introduce misleading semantic associations. Studies focusing on Arabic–English translation similarly highlight challenges arising from rapid technological development, terminological density, and the dominance of English as the primary source language for scientific knowledge (Dickins, Hervey, &amp; Higgins, 2017; </w:t>
      </w:r>
      <w:proofErr w:type="spellStart"/>
      <w:r w:rsidRPr="00070C2D">
        <w:rPr>
          <w:lang w:val="en-GB"/>
        </w:rPr>
        <w:t>Farghal</w:t>
      </w:r>
      <w:proofErr w:type="spellEnd"/>
      <w:r w:rsidRPr="00070C2D">
        <w:rPr>
          <w:lang w:val="en-GB"/>
        </w:rPr>
        <w:t xml:space="preserve"> &amp; </w:t>
      </w:r>
      <w:proofErr w:type="spellStart"/>
      <w:r w:rsidRPr="00070C2D">
        <w:rPr>
          <w:lang w:val="en-GB"/>
        </w:rPr>
        <w:t>Shunnaq</w:t>
      </w:r>
      <w:proofErr w:type="spellEnd"/>
      <w:r w:rsidRPr="00070C2D">
        <w:rPr>
          <w:lang w:val="en-GB"/>
        </w:rPr>
        <w:t>, 1999).</w:t>
      </w:r>
    </w:p>
    <w:p w14:paraId="5304677D" w14:textId="3C14BE25" w:rsidR="00FB6B41" w:rsidRPr="00070C2D" w:rsidRDefault="00FB6B41" w:rsidP="004A1BBA">
      <w:pPr>
        <w:pStyle w:val="NormalWeb"/>
        <w:jc w:val="both"/>
        <w:rPr>
          <w:lang w:val="en-GB"/>
        </w:rPr>
      </w:pPr>
      <w:r w:rsidRPr="00070C2D">
        <w:rPr>
          <w:lang w:val="en-GB"/>
        </w:rPr>
        <w:t>The second strand of literature is largely normative, advocating specific translation techniques based on functional or ideological considerations. Functionalist approaches argue that translation strategies should be determined by communicative purpose and target audience rather than formal equivalence alone (Nord, 1997; Pym, 2014). In the Arabic context, however, many prescriptive discussions emphas</w:t>
      </w:r>
      <w:r w:rsidR="00070C2D" w:rsidRPr="00070C2D">
        <w:rPr>
          <w:lang w:val="en-GB"/>
        </w:rPr>
        <w:t>is</w:t>
      </w:r>
      <w:r w:rsidRPr="00070C2D">
        <w:rPr>
          <w:lang w:val="en-GB"/>
        </w:rPr>
        <w:t>e Arab</w:t>
      </w:r>
      <w:r w:rsidR="00070C2D" w:rsidRPr="00070C2D">
        <w:rPr>
          <w:lang w:val="en-GB"/>
        </w:rPr>
        <w:t>is</w:t>
      </w:r>
      <w:r w:rsidRPr="00070C2D">
        <w:rPr>
          <w:lang w:val="en-GB"/>
        </w:rPr>
        <w:t xml:space="preserve">ation and </w:t>
      </w:r>
      <w:r w:rsidRPr="00070C2D">
        <w:rPr>
          <w:lang w:val="en-GB"/>
        </w:rPr>
        <w:lastRenderedPageBreak/>
        <w:t>derivational strategies as a means of preserving linguistic identity, sometimes at the expense of usability and acceptance among specialists (Al-</w:t>
      </w:r>
      <w:proofErr w:type="spellStart"/>
      <w:r w:rsidRPr="00070C2D">
        <w:rPr>
          <w:lang w:val="en-GB"/>
        </w:rPr>
        <w:t>Kasimi</w:t>
      </w:r>
      <w:proofErr w:type="spellEnd"/>
      <w:r w:rsidRPr="00070C2D">
        <w:rPr>
          <w:lang w:val="en-GB"/>
        </w:rPr>
        <w:t>, 1983). While such approaches aim to promote linguistic coherence, they often underestimate the extent to which professional communities rely on internationally recogn</w:t>
      </w:r>
      <w:r w:rsidR="00070C2D" w:rsidRPr="00070C2D">
        <w:rPr>
          <w:lang w:val="en-GB"/>
        </w:rPr>
        <w:t>is</w:t>
      </w:r>
      <w:r w:rsidRPr="00070C2D">
        <w:rPr>
          <w:lang w:val="en-GB"/>
        </w:rPr>
        <w:t>able terminology.</w:t>
      </w:r>
    </w:p>
    <w:p w14:paraId="6B03105B" w14:textId="2F0CC439" w:rsidR="00FB6B41" w:rsidRPr="00070C2D" w:rsidRDefault="00FB6B41" w:rsidP="004A1BBA">
      <w:pPr>
        <w:pStyle w:val="NormalWeb"/>
        <w:jc w:val="both"/>
        <w:rPr>
          <w:lang w:val="en-GB"/>
        </w:rPr>
      </w:pPr>
      <w:r w:rsidRPr="00070C2D">
        <w:rPr>
          <w:lang w:val="en-GB"/>
        </w:rPr>
        <w:t>A third strand focuses on terminology theory, standard</w:t>
      </w:r>
      <w:r w:rsidR="00070C2D" w:rsidRPr="00070C2D">
        <w:rPr>
          <w:lang w:val="en-GB"/>
        </w:rPr>
        <w:t>is</w:t>
      </w:r>
      <w:r w:rsidRPr="00070C2D">
        <w:rPr>
          <w:lang w:val="en-GB"/>
        </w:rPr>
        <w:t>ation, and transliteration from a terminological or computational perspective. Terminology scholars stress the importance of consistency, referential stability, and conceptual clarity in special</w:t>
      </w:r>
      <w:r w:rsidR="00070C2D" w:rsidRPr="00070C2D">
        <w:rPr>
          <w:lang w:val="en-GB"/>
        </w:rPr>
        <w:t>is</w:t>
      </w:r>
      <w:r w:rsidRPr="00070C2D">
        <w:rPr>
          <w:lang w:val="en-GB"/>
        </w:rPr>
        <w:t xml:space="preserve">ed communication (Sager, 1990). </w:t>
      </w:r>
      <w:proofErr w:type="spellStart"/>
      <w:r w:rsidRPr="00070C2D">
        <w:rPr>
          <w:lang w:val="en-GB"/>
        </w:rPr>
        <w:t>Sociocognitive</w:t>
      </w:r>
      <w:proofErr w:type="spellEnd"/>
      <w:r w:rsidRPr="00070C2D">
        <w:rPr>
          <w:lang w:val="en-GB"/>
        </w:rPr>
        <w:t xml:space="preserve"> approaches to terminology emphas</w:t>
      </w:r>
      <w:r w:rsidR="00070C2D" w:rsidRPr="00070C2D">
        <w:rPr>
          <w:lang w:val="en-GB"/>
        </w:rPr>
        <w:t>is</w:t>
      </w:r>
      <w:r w:rsidRPr="00070C2D">
        <w:rPr>
          <w:lang w:val="en-GB"/>
        </w:rPr>
        <w:t>e that term acceptance is shaped by actual usage within expert communities, not by top-down prescription alone (Temmerman, 2000). Despite these insights, much of this research remains detached from reader-centred evaluation.</w:t>
      </w:r>
    </w:p>
    <w:p w14:paraId="1F41EDB2" w14:textId="77777777" w:rsidR="00FB6B41" w:rsidRPr="00070C2D" w:rsidRDefault="00FB6B41" w:rsidP="004A1BBA">
      <w:pPr>
        <w:pStyle w:val="NormalWeb"/>
        <w:jc w:val="both"/>
        <w:rPr>
          <w:lang w:val="en-GB"/>
        </w:rPr>
      </w:pPr>
      <w:r w:rsidRPr="00070C2D">
        <w:rPr>
          <w:lang w:val="en-GB"/>
        </w:rPr>
        <w:t xml:space="preserve">Notably, empirical studies that focus on reader reception and cognitive processing remain relatively scarce. Much existing research evaluates translations primarily from linguistic, terminological, or theoretical standpoints, rather than from the perspective of end users who must interpret and apply technical texts (House, 2015; </w:t>
      </w:r>
      <w:proofErr w:type="spellStart"/>
      <w:r w:rsidRPr="00070C2D">
        <w:rPr>
          <w:lang w:val="en-GB"/>
        </w:rPr>
        <w:t>Göpferich</w:t>
      </w:r>
      <w:proofErr w:type="spellEnd"/>
      <w:r w:rsidRPr="00070C2D">
        <w:rPr>
          <w:lang w:val="en-GB"/>
        </w:rPr>
        <w:t>, 2009). This gap is particularly significant given that the ultimate goal of technical translation is effective communication rather than linguistic purity.</w:t>
      </w:r>
    </w:p>
    <w:p w14:paraId="3F487864" w14:textId="3464BE89" w:rsidR="00FB6B41" w:rsidRPr="00070C2D" w:rsidRDefault="00FB6B41" w:rsidP="004A1BBA">
      <w:pPr>
        <w:pStyle w:val="NormalWeb"/>
        <w:jc w:val="both"/>
        <w:rPr>
          <w:lang w:val="en-GB"/>
        </w:rPr>
      </w:pPr>
      <w:r w:rsidRPr="00070C2D">
        <w:rPr>
          <w:lang w:val="en-GB"/>
        </w:rPr>
        <w:t>The present study addresses this gap by foregrounding user experience and empirically comparing translation strategies within authentic disciplinary contexts. By examining reader comprehension, perceived clarity, and processing effort across literal and hybrid translation–transliteration models, the study contributes a user-centred, evidence-based perspective to the literature on technical translation into Arabic, complementing and extending existing theoretical and terminological research.</w:t>
      </w:r>
    </w:p>
    <w:p w14:paraId="2B04F06A" w14:textId="7777777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 Methodology</w:t>
      </w:r>
    </w:p>
    <w:p w14:paraId="7787E78C" w14:textId="7777777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4.1 Research Design</w:t>
      </w:r>
    </w:p>
    <w:p w14:paraId="33CAEC48" w14:textId="00002864"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The study adopts a mixed-methods research design that integrates quantitative and qualitative data to provide a comprehensive evaluation of translation strategies in technical texts. This approach enables triangulation between objective, measurable outcomes</w:t>
      </w:r>
      <w:r w:rsidR="00CC4969" w:rsidRPr="00070C2D">
        <w:rPr>
          <w:rFonts w:asciiTheme="majorBidi" w:hAnsiTheme="majorBidi" w:cstheme="majorBidi"/>
          <w:sz w:val="24"/>
          <w:szCs w:val="24"/>
        </w:rPr>
        <w:t xml:space="preserve">, </w:t>
      </w:r>
      <w:r w:rsidRPr="00002440">
        <w:rPr>
          <w:rFonts w:asciiTheme="majorBidi" w:hAnsiTheme="majorBidi" w:cstheme="majorBidi"/>
          <w:sz w:val="24"/>
          <w:szCs w:val="24"/>
        </w:rPr>
        <w:t>such as comprehension accuracy and response consistency</w:t>
      </w:r>
      <w:r w:rsidR="00CC4969" w:rsidRPr="00070C2D">
        <w:rPr>
          <w:rFonts w:asciiTheme="majorBidi" w:hAnsiTheme="majorBidi" w:cstheme="majorBidi"/>
          <w:sz w:val="24"/>
          <w:szCs w:val="24"/>
        </w:rPr>
        <w:t xml:space="preserve">, </w:t>
      </w:r>
      <w:r w:rsidRPr="00002440">
        <w:rPr>
          <w:rFonts w:asciiTheme="majorBidi" w:hAnsiTheme="majorBidi" w:cstheme="majorBidi"/>
          <w:sz w:val="24"/>
          <w:szCs w:val="24"/>
        </w:rPr>
        <w:t>and subjective reader perceptions, including clarity, naturalness, and overall preference. By combining these two strands of evidence, the design strengthens the validity of the findings and allows for a more nuanced interpretation of how transliteration functions in real reading contexts.</w:t>
      </w:r>
    </w:p>
    <w:p w14:paraId="659BB7CF" w14:textId="77777777" w:rsidR="00002440" w:rsidRPr="00070C2D" w:rsidRDefault="00002440" w:rsidP="00002440">
      <w:pPr>
        <w:bidi w:val="0"/>
        <w:jc w:val="both"/>
        <w:rPr>
          <w:rFonts w:asciiTheme="majorBidi" w:hAnsiTheme="majorBidi" w:cstheme="majorBidi"/>
          <w:b/>
          <w:bCs/>
          <w:sz w:val="24"/>
          <w:szCs w:val="24"/>
        </w:rPr>
      </w:pPr>
    </w:p>
    <w:p w14:paraId="0AD75AE7" w14:textId="741BB27F"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4.2 Corpus Selection</w:t>
      </w:r>
    </w:p>
    <w:p w14:paraId="02C7141B" w14:textId="0B5D44AB"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A small but carefully controlled corpus of Arabic technical texts was compiled from university-level textbooks and instructional materials commonly used in higher education. The corpus covers three disciplines with distinct terminological profiles and varying degrees of international</w:t>
      </w:r>
      <w:r w:rsidR="00CC4969" w:rsidRPr="00070C2D">
        <w:rPr>
          <w:rFonts w:asciiTheme="majorBidi" w:hAnsiTheme="majorBidi" w:cstheme="majorBidi"/>
          <w:sz w:val="24"/>
          <w:szCs w:val="24"/>
        </w:rPr>
        <w:t>is</w:t>
      </w:r>
      <w:r w:rsidRPr="00002440">
        <w:rPr>
          <w:rFonts w:asciiTheme="majorBidi" w:hAnsiTheme="majorBidi" w:cstheme="majorBidi"/>
          <w:sz w:val="24"/>
          <w:szCs w:val="24"/>
        </w:rPr>
        <w:t>ation:</w:t>
      </w:r>
    </w:p>
    <w:p w14:paraId="2A5B0E86"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t>Information Technology</w:t>
      </w:r>
    </w:p>
    <w:p w14:paraId="024905CD"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t>Engineering</w:t>
      </w:r>
    </w:p>
    <w:p w14:paraId="467028CB"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lastRenderedPageBreak/>
        <w:t>Medicine</w:t>
      </w:r>
    </w:p>
    <w:p w14:paraId="57D9CABD"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Each discipline was represented by two comparable texts addressing similar content and complexity. One text relied predominantly on literal translation into Arabic, while the other employed a hybrid translation–transliteration approach. Care was taken to control for text length, difficulty level, and informational density to ensure that observed differences in reader response could be attributed primarily to translation strategy rather than content variation.</w:t>
      </w:r>
    </w:p>
    <w:p w14:paraId="43BB0033" w14:textId="77777777" w:rsidR="00002440" w:rsidRPr="00070C2D" w:rsidRDefault="00002440" w:rsidP="00002440">
      <w:pPr>
        <w:bidi w:val="0"/>
        <w:jc w:val="both"/>
        <w:rPr>
          <w:rFonts w:asciiTheme="majorBidi" w:hAnsiTheme="majorBidi" w:cstheme="majorBidi"/>
          <w:b/>
          <w:bCs/>
          <w:sz w:val="24"/>
          <w:szCs w:val="24"/>
        </w:rPr>
      </w:pPr>
    </w:p>
    <w:p w14:paraId="5943A115" w14:textId="21E75BD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4.3 Participants</w:t>
      </w:r>
    </w:p>
    <w:p w14:paraId="1287761A"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The participant pool consisted of 42 individuals drawn from academic environments closely aligned with the selected disciplines. This group included:</w:t>
      </w:r>
    </w:p>
    <w:p w14:paraId="71CA8441" w14:textId="7573B3D9" w:rsidR="00002440" w:rsidRPr="00002440" w:rsidRDefault="00002440" w:rsidP="00002440">
      <w:pPr>
        <w:numPr>
          <w:ilvl w:val="0"/>
          <w:numId w:val="7"/>
        </w:numPr>
        <w:bidi w:val="0"/>
        <w:jc w:val="both"/>
        <w:rPr>
          <w:rFonts w:asciiTheme="majorBidi" w:hAnsiTheme="majorBidi" w:cstheme="majorBidi"/>
          <w:sz w:val="24"/>
          <w:szCs w:val="24"/>
        </w:rPr>
      </w:pPr>
      <w:r w:rsidRPr="00002440">
        <w:rPr>
          <w:rFonts w:asciiTheme="majorBidi" w:hAnsiTheme="majorBidi" w:cstheme="majorBidi"/>
          <w:sz w:val="24"/>
          <w:szCs w:val="24"/>
        </w:rPr>
        <w:t>8 faculty members with teaching and research experience</w:t>
      </w:r>
      <w:r w:rsidR="00CC4969" w:rsidRPr="00070C2D">
        <w:rPr>
          <w:rFonts w:asciiTheme="majorBidi" w:hAnsiTheme="majorBidi" w:cstheme="majorBidi"/>
          <w:sz w:val="24"/>
          <w:szCs w:val="24"/>
        </w:rPr>
        <w:t>.</w:t>
      </w:r>
    </w:p>
    <w:p w14:paraId="0140B664" w14:textId="72C772DB" w:rsidR="00002440" w:rsidRPr="00002440" w:rsidRDefault="00002440" w:rsidP="00002440">
      <w:pPr>
        <w:numPr>
          <w:ilvl w:val="0"/>
          <w:numId w:val="7"/>
        </w:numPr>
        <w:bidi w:val="0"/>
        <w:jc w:val="both"/>
        <w:rPr>
          <w:rFonts w:asciiTheme="majorBidi" w:hAnsiTheme="majorBidi" w:cstheme="majorBidi"/>
          <w:sz w:val="24"/>
          <w:szCs w:val="24"/>
        </w:rPr>
      </w:pPr>
      <w:r w:rsidRPr="00002440">
        <w:rPr>
          <w:rFonts w:asciiTheme="majorBidi" w:hAnsiTheme="majorBidi" w:cstheme="majorBidi"/>
          <w:sz w:val="24"/>
          <w:szCs w:val="24"/>
        </w:rPr>
        <w:t>34 senior undergraduate students nearing completion of their degree programs</w:t>
      </w:r>
      <w:r w:rsidR="00CC4969" w:rsidRPr="00070C2D">
        <w:rPr>
          <w:rFonts w:asciiTheme="majorBidi" w:hAnsiTheme="majorBidi" w:cstheme="majorBidi"/>
          <w:sz w:val="24"/>
          <w:szCs w:val="24"/>
        </w:rPr>
        <w:t>.</w:t>
      </w:r>
    </w:p>
    <w:p w14:paraId="2AA1C8B6"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All participants were bilingual in Arabic and English and actively engaged in their respective fields of study or instruction. Their disciplinary familiarity ensured informed evaluation of technical terminology, while variation in academic status allowed for comparison between expert and near-expert reader responses.</w:t>
      </w:r>
    </w:p>
    <w:p w14:paraId="3B6F52AA" w14:textId="77777777" w:rsidR="00002440" w:rsidRPr="00070C2D" w:rsidRDefault="00002440" w:rsidP="00002440">
      <w:pPr>
        <w:bidi w:val="0"/>
        <w:jc w:val="both"/>
        <w:rPr>
          <w:rFonts w:asciiTheme="majorBidi" w:hAnsiTheme="majorBidi" w:cstheme="majorBidi"/>
          <w:b/>
          <w:bCs/>
          <w:sz w:val="24"/>
          <w:szCs w:val="24"/>
        </w:rPr>
      </w:pPr>
    </w:p>
    <w:p w14:paraId="1B9DB24E" w14:textId="38C307B8"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4.4 Instruments</w:t>
      </w:r>
    </w:p>
    <w:p w14:paraId="0BCE248E"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Data were collected using a combination of complementary instruments designed to capture both performance and perception. These included:</w:t>
      </w:r>
    </w:p>
    <w:p w14:paraId="7E5D1EFB"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Comprehension tests embedded within the texts, focusing on key concepts and terminological understanding</w:t>
      </w:r>
    </w:p>
    <w:p w14:paraId="557A7F00"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Likert-scale questionnaires measuring perceived clarity, accuracy, naturalness, and cognitive effort</w:t>
      </w:r>
    </w:p>
    <w:p w14:paraId="57671650"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Open-ended response sections inviting participants to comment on terminology choices, readability, and overall translation quality</w:t>
      </w:r>
    </w:p>
    <w:p w14:paraId="28CFE9CF"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This multi-instrument approach enabled cross-validation of results and provided insight into both how well participants understood the texts and how they experienced the reading process.</w:t>
      </w:r>
    </w:p>
    <w:p w14:paraId="768FC04F" w14:textId="77777777" w:rsidR="00002440" w:rsidRPr="00070C2D" w:rsidRDefault="00002440" w:rsidP="00002440">
      <w:pPr>
        <w:bidi w:val="0"/>
        <w:jc w:val="both"/>
        <w:rPr>
          <w:rFonts w:asciiTheme="majorBidi" w:hAnsiTheme="majorBidi" w:cstheme="majorBidi"/>
          <w:b/>
          <w:bCs/>
          <w:sz w:val="24"/>
          <w:szCs w:val="24"/>
        </w:rPr>
      </w:pPr>
    </w:p>
    <w:p w14:paraId="4B496F82" w14:textId="18CFCA4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4.5 Data Analysis</w:t>
      </w:r>
    </w:p>
    <w:p w14:paraId="5B47A8BD"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 xml:space="preserve">Quantitative data were analysed descriptively, with mean scores and response patterns compared across translation strategies and disciplines. Qualitative responses were coded thematically to identify recurring evaluative patterns, attitudes toward transliteration, and reported sources of difficulty or ease. Particular attention was paid to discipline-specific variation and points of convergence between faculty and student </w:t>
      </w:r>
      <w:r w:rsidRPr="00002440">
        <w:rPr>
          <w:rFonts w:asciiTheme="majorBidi" w:hAnsiTheme="majorBidi" w:cstheme="majorBidi"/>
          <w:sz w:val="24"/>
          <w:szCs w:val="24"/>
        </w:rPr>
        <w:lastRenderedPageBreak/>
        <w:t>perspectives. Together, these analyses offered a balanced and empirically grounded assessment of the impact of hybrid translation–transliteration strategies on technical text comprehension.</w:t>
      </w:r>
    </w:p>
    <w:p w14:paraId="5619C83A" w14:textId="77777777" w:rsidR="00D7036D" w:rsidRPr="00070C2D" w:rsidRDefault="00D7036D" w:rsidP="00D7036D">
      <w:pPr>
        <w:bidi w:val="0"/>
        <w:rPr>
          <w:rFonts w:asciiTheme="majorBidi" w:hAnsiTheme="majorBidi" w:cstheme="majorBidi"/>
          <w:sz w:val="24"/>
          <w:szCs w:val="24"/>
        </w:rPr>
      </w:pPr>
    </w:p>
    <w:p w14:paraId="0D2B82CB" w14:textId="49C37151"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5. R</w:t>
      </w:r>
      <w:r w:rsidR="00687C0A" w:rsidRPr="00070C2D">
        <w:rPr>
          <w:rFonts w:asciiTheme="majorBidi" w:hAnsiTheme="majorBidi" w:cstheme="majorBidi"/>
          <w:b/>
          <w:bCs/>
          <w:sz w:val="24"/>
          <w:szCs w:val="24"/>
        </w:rPr>
        <w:t>esults</w:t>
      </w:r>
    </w:p>
    <w:p w14:paraId="0EAB378C" w14:textId="2C126748"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Across all disciplines examined, texts employing the hybrid translation–transliteration model consistently outperformed those relying exclusively on literal translation. Participants achieved higher comprehension scores, demonstrated greater accuracy in identifying and recalling key concepts, and reported significantly lower levels of processing effort. These outcomes indicate that the hybrid model reduces cognitive strain by allowing readers to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e technical terms as stable conceptual anchors rather than deciphering newly coined or semantically opaque Arabic renderings. Transliteration, in particular, was repeatedly described by participants as “natural,” “familiar,” and “closer to real practice,” reflecting its entrenched role in authentic technical and professional communication.</w:t>
      </w:r>
    </w:p>
    <w:p w14:paraId="597EA630" w14:textId="77777777"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Notably, resistance to transliteration proved minimal, even among participants who initially expressed strong attachment to Arabic linguistic heritage and a preference for linguistic purity. This finding suggests that, in technical contexts, functional considerations such as clarity, efficiency, and accuracy outweigh ideological or purist concerns when comprehension is at stake. Participants appeared willing to accept transliteration when it demonstrably facilitated understanding and aligned with their prior exposure to international terminology. This pragmatic orientation underscores the importance of viewing transliteration not as a threat to linguistic identity, but as a communicative tool that enables effective participation in global knowledge networks while preserving the core integrity of the Arabic language.</w:t>
      </w:r>
    </w:p>
    <w:p w14:paraId="65603102" w14:textId="77777777" w:rsidR="00070C2D" w:rsidRPr="00070C2D" w:rsidRDefault="00070C2D" w:rsidP="00070C2D">
      <w:pPr>
        <w:bidi w:val="0"/>
        <w:rPr>
          <w:rFonts w:asciiTheme="majorBidi" w:hAnsiTheme="majorBidi" w:cstheme="majorBidi"/>
          <w:sz w:val="24"/>
          <w:szCs w:val="24"/>
        </w:rPr>
      </w:pPr>
    </w:p>
    <w:p w14:paraId="06A93258" w14:textId="7B12F887"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6. D</w:t>
      </w:r>
      <w:r w:rsidR="00687C0A" w:rsidRPr="00070C2D">
        <w:rPr>
          <w:rFonts w:asciiTheme="majorBidi" w:hAnsiTheme="majorBidi" w:cstheme="majorBidi"/>
          <w:b/>
          <w:bCs/>
          <w:sz w:val="24"/>
          <w:szCs w:val="24"/>
        </w:rPr>
        <w:t>iscussion</w:t>
      </w:r>
    </w:p>
    <w:p w14:paraId="7A444E6A" w14:textId="7BB31E40"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The findings confirm that technical terms are best understood as referential markers rather than carriers of rich lexical meaning. In specialised discourse, such terms function primarily as fixed labels that point to well-defined concepts within a disciplinary framework. Transliteration preserves this referential function by maintaining a stable and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able form, allowing readers to map the term directly onto an established concept. In contrast, literal translation often disrupts this function by foregrounding surface semantics that may be irrelevant or misleading in technical contexts, thereby increasing cognitive load and risking conceptual misinterpretation. The hybrid model, which combines selective transliteration with informed translation, therefore aligns more closely with both documented cognitive processing patterns and established professional practice in technical communication.</w:t>
      </w:r>
    </w:p>
    <w:p w14:paraId="6F599B7A" w14:textId="08C55CA7" w:rsidR="00FD1B2F"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 xml:space="preserve">Furthermore, the results underscore the significant cost of terminological inconsistency. Participants reported confusion and frustration when multiple Arabic equivalents were used to represent the same English technical term across different texts or even within a single document. Such variation undermines reader confidence, impedes cumulative </w:t>
      </w:r>
      <w:r w:rsidRPr="00070C2D">
        <w:rPr>
          <w:rFonts w:asciiTheme="majorBidi" w:hAnsiTheme="majorBidi" w:cstheme="majorBidi"/>
          <w:sz w:val="24"/>
          <w:szCs w:val="24"/>
        </w:rPr>
        <w:lastRenderedPageBreak/>
        <w:t>knowledge building, and complicates cross-textual reference. This finding reinforces the need for terminological stability as a core principle of technical translation, achievable through consistent transliteration or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equivalents. By prioritising consistency and referential clarity, the hybrid model supports more efficient knowledge acquisition and fosters a coherent technical register within Arabic, benefiting both readers and practitioners alike.</w:t>
      </w:r>
    </w:p>
    <w:p w14:paraId="498CB26D" w14:textId="77777777" w:rsidR="00AA4438" w:rsidRPr="00070C2D" w:rsidRDefault="00AA4438" w:rsidP="00AA4438">
      <w:pPr>
        <w:bidi w:val="0"/>
        <w:rPr>
          <w:rFonts w:asciiTheme="majorBidi" w:hAnsiTheme="majorBidi" w:cstheme="majorBidi"/>
          <w:sz w:val="24"/>
          <w:szCs w:val="24"/>
        </w:rPr>
      </w:pPr>
    </w:p>
    <w:p w14:paraId="5BAE79C6" w14:textId="356D2D94"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7. A R</w:t>
      </w:r>
      <w:r w:rsidR="00687C0A" w:rsidRPr="00070C2D">
        <w:rPr>
          <w:rFonts w:asciiTheme="majorBidi" w:hAnsiTheme="majorBidi" w:cstheme="majorBidi"/>
          <w:b/>
          <w:bCs/>
          <w:sz w:val="24"/>
          <w:szCs w:val="24"/>
        </w:rPr>
        <w:t>efined Decision-based Framework</w:t>
      </w:r>
    </w:p>
    <w:p w14:paraId="3AFB938E" w14:textId="4B5E60F8"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Building on the empirical findings, the study proposes a refined decision-based framework that guides translators through a structured series of evaluative questions concerning term status, usage frequency, user familiarity, and the potential for ambiguity. Rather than treating transliteration as an intuitive or last-resort solution, this framework systemat</w:t>
      </w:r>
      <w:r w:rsidR="00CC4969" w:rsidRPr="00070C2D">
        <w:rPr>
          <w:rFonts w:asciiTheme="majorBidi" w:hAnsiTheme="majorBidi" w:cstheme="majorBidi"/>
          <w:sz w:val="24"/>
          <w:szCs w:val="24"/>
        </w:rPr>
        <w:t>is</w:t>
      </w:r>
      <w:r w:rsidRPr="00070C2D">
        <w:rPr>
          <w:rFonts w:asciiTheme="majorBidi" w:hAnsiTheme="majorBidi" w:cstheme="majorBidi"/>
          <w:sz w:val="24"/>
          <w:szCs w:val="24"/>
        </w:rPr>
        <w:t>es the decision-making process and anchors it in linguistic, cognitive, and communicative criteria. In doing so, it transforms transliteration from an ad hoc choice into a principled translational strategy.</w:t>
      </w:r>
    </w:p>
    <w:p w14:paraId="6058838E" w14:textId="6398F00E"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At the first level, the framework requires translators to assess the terminological status of the source item – whether it represents an internationally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term, a proprietary label, an emerging concept, or a culture-specific designation. Terms that are globally fixed or lack a stable Arabic equivalent are flagged as strong candidates for transliteration. The second level examines frequency and conventionality in Arabic usage, encouraging translators to consult corpora, glossaries, and disciplinary publications to determine whether a transliterated form has already gained acceptance among specialists.</w:t>
      </w:r>
    </w:p>
    <w:p w14:paraId="3EBBB7AD" w14:textId="77777777"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The framework further incorporates user-</w:t>
      </w:r>
      <w:proofErr w:type="spellStart"/>
      <w:r w:rsidRPr="00070C2D">
        <w:rPr>
          <w:rFonts w:asciiTheme="majorBidi" w:hAnsiTheme="majorBidi" w:cstheme="majorBidi"/>
          <w:sz w:val="24"/>
          <w:szCs w:val="24"/>
        </w:rPr>
        <w:t>centered</w:t>
      </w:r>
      <w:proofErr w:type="spellEnd"/>
      <w:r w:rsidRPr="00070C2D">
        <w:rPr>
          <w:rFonts w:asciiTheme="majorBidi" w:hAnsiTheme="majorBidi" w:cstheme="majorBidi"/>
          <w:sz w:val="24"/>
          <w:szCs w:val="24"/>
        </w:rPr>
        <w:t xml:space="preserve"> considerations, prompting translators to evaluate the target audience’s level of expertise and familiarity with the concept. For specialist readers, transliteration may facilitate precision and alignment with international discourse, while for semi-specialist or general audiences, transliteration may be paired with brief explanations or functional translations. This adaptive component ensures that terminological choices support comprehension without sacrificing accuracy.</w:t>
      </w:r>
    </w:p>
    <w:p w14:paraId="42824090" w14:textId="33B1A162"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Finally, the framework addresses semantic transparency and ambiguity, guiding translators to avoid literal translations that may introduce misleading associations or dilute technical meaning. Where full translation risks distortion, transliteration is priorit</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as a stabil</w:t>
      </w:r>
      <w:r w:rsidR="00CC4969" w:rsidRPr="00070C2D">
        <w:rPr>
          <w:rFonts w:asciiTheme="majorBidi" w:hAnsiTheme="majorBidi" w:cstheme="majorBidi"/>
          <w:sz w:val="24"/>
          <w:szCs w:val="24"/>
        </w:rPr>
        <w:t>is</w:t>
      </w:r>
      <w:r w:rsidRPr="00070C2D">
        <w:rPr>
          <w:rFonts w:asciiTheme="majorBidi" w:hAnsiTheme="majorBidi" w:cstheme="majorBidi"/>
          <w:sz w:val="24"/>
          <w:szCs w:val="24"/>
        </w:rPr>
        <w:t>ing strategy that preserves conceptual integrity. By integrating these evaluative stages into a coherent workflow, the framework promotes consistency, accountability, and transparency in technical translation practice, offering a practical tool that can be applied across domains and incorporated into translator training and professional guidelines.</w:t>
      </w:r>
    </w:p>
    <w:p w14:paraId="5F94FC3B" w14:textId="0C8EEA4D" w:rsidR="00FD1B2F" w:rsidRPr="00070C2D" w:rsidRDefault="00FD1B2F" w:rsidP="00FD1B2F">
      <w:pPr>
        <w:bidi w:val="0"/>
        <w:rPr>
          <w:rFonts w:asciiTheme="majorBidi" w:hAnsiTheme="majorBidi" w:cstheme="majorBidi"/>
          <w:sz w:val="24"/>
          <w:szCs w:val="24"/>
        </w:rPr>
      </w:pPr>
    </w:p>
    <w:p w14:paraId="719D547F" w14:textId="24624AEC"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8. C</w:t>
      </w:r>
      <w:r w:rsidR="00687C0A" w:rsidRPr="00070C2D">
        <w:rPr>
          <w:rFonts w:asciiTheme="majorBidi" w:hAnsiTheme="majorBidi" w:cstheme="majorBidi"/>
          <w:b/>
          <w:bCs/>
          <w:sz w:val="24"/>
          <w:szCs w:val="24"/>
        </w:rPr>
        <w:t xml:space="preserve">onclusion </w:t>
      </w:r>
    </w:p>
    <w:p w14:paraId="59A332B1" w14:textId="2521A041"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Th</w:t>
      </w:r>
      <w:r w:rsidR="00D448FA">
        <w:rPr>
          <w:rFonts w:asciiTheme="majorBidi" w:hAnsiTheme="majorBidi" w:cstheme="majorBidi"/>
          <w:sz w:val="24"/>
          <w:szCs w:val="24"/>
        </w:rPr>
        <w:t xml:space="preserve">e present </w:t>
      </w:r>
      <w:r w:rsidRPr="00070C2D">
        <w:rPr>
          <w:rFonts w:asciiTheme="majorBidi" w:hAnsiTheme="majorBidi" w:cstheme="majorBidi"/>
          <w:sz w:val="24"/>
          <w:szCs w:val="24"/>
        </w:rPr>
        <w:t xml:space="preserve">study provides empirical support for the hybrid translation–transliteration model and demonstrates its </w:t>
      </w:r>
      <w:r w:rsidR="00D448FA">
        <w:rPr>
          <w:rFonts w:asciiTheme="majorBidi" w:hAnsiTheme="majorBidi" w:cstheme="majorBidi"/>
          <w:sz w:val="24"/>
          <w:szCs w:val="24"/>
        </w:rPr>
        <w:t>advantage</w:t>
      </w:r>
      <w:r w:rsidRPr="00070C2D">
        <w:rPr>
          <w:rFonts w:asciiTheme="majorBidi" w:hAnsiTheme="majorBidi" w:cstheme="majorBidi"/>
          <w:sz w:val="24"/>
          <w:szCs w:val="24"/>
        </w:rPr>
        <w:t xml:space="preserve"> over indiscriminate literal translation in technical </w:t>
      </w:r>
      <w:r w:rsidRPr="00070C2D">
        <w:rPr>
          <w:rFonts w:asciiTheme="majorBidi" w:hAnsiTheme="majorBidi" w:cstheme="majorBidi"/>
          <w:sz w:val="24"/>
          <w:szCs w:val="24"/>
        </w:rPr>
        <w:lastRenderedPageBreak/>
        <w:t>contexts. The findings confirm that strategic transliteration is not a sign of linguistic insufficiency, but rather a principled and informed translation choice that responds to the cognitive, communicative, and terminological demands of special</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discourse. When applied selectively, transliteration enhances reader comprehension, preserves technical precision, and minim</w:t>
      </w:r>
      <w:r w:rsidR="00CC4969" w:rsidRPr="00070C2D">
        <w:rPr>
          <w:rFonts w:asciiTheme="majorBidi" w:hAnsiTheme="majorBidi" w:cstheme="majorBidi"/>
          <w:sz w:val="24"/>
          <w:szCs w:val="24"/>
        </w:rPr>
        <w:t>is</w:t>
      </w:r>
      <w:r w:rsidRPr="00070C2D">
        <w:rPr>
          <w:rFonts w:asciiTheme="majorBidi" w:hAnsiTheme="majorBidi" w:cstheme="majorBidi"/>
          <w:sz w:val="24"/>
          <w:szCs w:val="24"/>
        </w:rPr>
        <w:t>es semantic distortion, while simultaneously maintaining consistency with internationally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terminology.</w:t>
      </w:r>
    </w:p>
    <w:p w14:paraId="64DC9A06" w14:textId="7A46BD96"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Moreover, the study highlights the role of transliteration in aligning Arabic technical discourse with global knowledge systems. By facilitating terminological interoperability and easing access to international research and documentation, transliteration supports knowledge transfer and reduces barriers between Arabic-speaking specialists and the wider scientific community. The hybrid model thus contributes not only to textual clarity but also to the modern</w:t>
      </w:r>
      <w:r w:rsidR="00CC4969" w:rsidRPr="00070C2D">
        <w:rPr>
          <w:rFonts w:asciiTheme="majorBidi" w:hAnsiTheme="majorBidi" w:cstheme="majorBidi"/>
          <w:sz w:val="24"/>
          <w:szCs w:val="24"/>
        </w:rPr>
        <w:t>is</w:t>
      </w:r>
      <w:r w:rsidRPr="00070C2D">
        <w:rPr>
          <w:rFonts w:asciiTheme="majorBidi" w:hAnsiTheme="majorBidi" w:cstheme="majorBidi"/>
          <w:sz w:val="24"/>
          <w:szCs w:val="24"/>
        </w:rPr>
        <w:t>ation and sustainability of Arabic technical language in rapidly evolving fields.</w:t>
      </w:r>
    </w:p>
    <w:p w14:paraId="7E0DBD54" w14:textId="00538E32"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 xml:space="preserve">Based on these findings, the study recommends that translation and linguistics programs incorporate explicit training on terminology evaluation and decision-making, equipping </w:t>
      </w:r>
      <w:r w:rsidR="00CC4969" w:rsidRPr="00070C2D">
        <w:rPr>
          <w:rFonts w:asciiTheme="majorBidi" w:hAnsiTheme="majorBidi" w:cstheme="majorBidi"/>
          <w:sz w:val="24"/>
          <w:szCs w:val="24"/>
        </w:rPr>
        <w:t xml:space="preserve">future </w:t>
      </w:r>
      <w:r w:rsidRPr="00070C2D">
        <w:rPr>
          <w:rFonts w:asciiTheme="majorBidi" w:hAnsiTheme="majorBidi" w:cstheme="majorBidi"/>
          <w:sz w:val="24"/>
          <w:szCs w:val="24"/>
        </w:rPr>
        <w:t>translators with the analytical tools needed to balance translation, transliteration, and explanation where appropriate. In addition, academic and technical publishers are urged to adopt clearer, standardi</w:t>
      </w:r>
      <w:r w:rsidR="00CC4969" w:rsidRPr="00070C2D">
        <w:rPr>
          <w:rFonts w:asciiTheme="majorBidi" w:hAnsiTheme="majorBidi" w:cstheme="majorBidi"/>
          <w:sz w:val="24"/>
          <w:szCs w:val="24"/>
        </w:rPr>
        <w:t>s</w:t>
      </w:r>
      <w:r w:rsidRPr="00070C2D">
        <w:rPr>
          <w:rFonts w:asciiTheme="majorBidi" w:hAnsiTheme="majorBidi" w:cstheme="majorBidi"/>
          <w:sz w:val="24"/>
          <w:szCs w:val="24"/>
        </w:rPr>
        <w:t>ed guidelines that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e transliteration as a legitimate and often necessary strategy rather than an ad hoc or secondary solution.</w:t>
      </w:r>
    </w:p>
    <w:p w14:paraId="4AB09B61" w14:textId="4F330904" w:rsidR="00FD1B2F"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Future research may build on this work by includ</w:t>
      </w:r>
      <w:r w:rsidR="005D368B" w:rsidRPr="00070C2D">
        <w:rPr>
          <w:rFonts w:asciiTheme="majorBidi" w:hAnsiTheme="majorBidi" w:cstheme="majorBidi"/>
          <w:sz w:val="24"/>
          <w:szCs w:val="24"/>
        </w:rPr>
        <w:t>ing</w:t>
      </w:r>
      <w:r w:rsidRPr="00070C2D">
        <w:rPr>
          <w:rFonts w:asciiTheme="majorBidi" w:hAnsiTheme="majorBidi" w:cstheme="majorBidi"/>
          <w:sz w:val="24"/>
          <w:szCs w:val="24"/>
        </w:rPr>
        <w:t xml:space="preserve"> a wider range of technical domains, investigating reader responses across different proficiency and speciali</w:t>
      </w:r>
      <w:r w:rsidR="005D368B" w:rsidRPr="00070C2D">
        <w:rPr>
          <w:rFonts w:asciiTheme="majorBidi" w:hAnsiTheme="majorBidi" w:cstheme="majorBidi"/>
          <w:sz w:val="24"/>
          <w:szCs w:val="24"/>
        </w:rPr>
        <w:t>s</w:t>
      </w:r>
      <w:r w:rsidRPr="00070C2D">
        <w:rPr>
          <w:rFonts w:asciiTheme="majorBidi" w:hAnsiTheme="majorBidi" w:cstheme="majorBidi"/>
          <w:sz w:val="24"/>
          <w:szCs w:val="24"/>
        </w:rPr>
        <w:t>ation levels, and examining the long-term effects of transliteration on terminology acquisition, retention, and standardi</w:t>
      </w:r>
      <w:r w:rsidR="005D368B" w:rsidRPr="00070C2D">
        <w:rPr>
          <w:rFonts w:asciiTheme="majorBidi" w:hAnsiTheme="majorBidi" w:cstheme="majorBidi"/>
          <w:sz w:val="24"/>
          <w:szCs w:val="24"/>
        </w:rPr>
        <w:t>s</w:t>
      </w:r>
      <w:r w:rsidRPr="00070C2D">
        <w:rPr>
          <w:rFonts w:asciiTheme="majorBidi" w:hAnsiTheme="majorBidi" w:cstheme="majorBidi"/>
          <w:sz w:val="24"/>
          <w:szCs w:val="24"/>
        </w:rPr>
        <w:t>ation in Arabic. Such research would further refine best practices and contribute to a more systematic and evidence-based approach to technical translation.</w:t>
      </w:r>
    </w:p>
    <w:p w14:paraId="42B94F5F" w14:textId="77777777" w:rsidR="00D90555" w:rsidRDefault="00D90555" w:rsidP="00D90555">
      <w:pPr>
        <w:bidi w:val="0"/>
        <w:jc w:val="both"/>
        <w:rPr>
          <w:rFonts w:asciiTheme="majorBidi" w:hAnsiTheme="majorBidi" w:cstheme="majorBidi"/>
          <w:sz w:val="24"/>
          <w:szCs w:val="24"/>
        </w:rPr>
      </w:pPr>
    </w:p>
    <w:p w14:paraId="76D9CED2" w14:textId="77777777" w:rsidR="00D90555" w:rsidRPr="00D90555" w:rsidRDefault="00D90555" w:rsidP="00D90555">
      <w:pPr>
        <w:bidi w:val="0"/>
        <w:jc w:val="both"/>
        <w:rPr>
          <w:rFonts w:asciiTheme="majorBidi" w:hAnsiTheme="majorBidi" w:cstheme="majorBidi"/>
          <w:sz w:val="24"/>
          <w:szCs w:val="24"/>
        </w:rPr>
      </w:pPr>
      <w:r w:rsidRPr="00D90555">
        <w:rPr>
          <w:rFonts w:asciiTheme="majorBidi" w:hAnsiTheme="majorBidi" w:cstheme="majorBidi"/>
          <w:sz w:val="24"/>
          <w:szCs w:val="24"/>
        </w:rPr>
        <w:t>COMPETING INTERESTS DISCLAIMER:</w:t>
      </w:r>
    </w:p>
    <w:p w14:paraId="1BFEDF45" w14:textId="1CE0329F" w:rsidR="00D90555" w:rsidRPr="00070C2D" w:rsidRDefault="00D90555" w:rsidP="00D90555">
      <w:pPr>
        <w:bidi w:val="0"/>
        <w:jc w:val="both"/>
        <w:rPr>
          <w:rFonts w:asciiTheme="majorBidi" w:hAnsiTheme="majorBidi" w:cstheme="majorBidi"/>
          <w:sz w:val="24"/>
          <w:szCs w:val="24"/>
        </w:rPr>
      </w:pPr>
      <w:r w:rsidRPr="00D90555">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035D2F31" w14:textId="77777777" w:rsidR="00687C0A" w:rsidRPr="00070C2D" w:rsidRDefault="00687C0A" w:rsidP="00687C0A">
      <w:pPr>
        <w:bidi w:val="0"/>
        <w:rPr>
          <w:rFonts w:asciiTheme="majorBidi" w:hAnsiTheme="majorBidi" w:cstheme="majorBidi"/>
          <w:b/>
          <w:bCs/>
          <w:sz w:val="24"/>
          <w:szCs w:val="24"/>
        </w:rPr>
      </w:pPr>
    </w:p>
    <w:p w14:paraId="4B7A1999" w14:textId="77777777" w:rsidR="00D448FA" w:rsidRDefault="00D448FA" w:rsidP="00D448FA">
      <w:pPr>
        <w:bidi w:val="0"/>
        <w:rPr>
          <w:rFonts w:asciiTheme="majorBidi" w:hAnsiTheme="majorBidi" w:cstheme="majorBidi"/>
          <w:b/>
          <w:bCs/>
          <w:sz w:val="24"/>
          <w:szCs w:val="24"/>
        </w:rPr>
      </w:pPr>
    </w:p>
    <w:p w14:paraId="790DBC74" w14:textId="45D19D82" w:rsidR="00687C0A" w:rsidRPr="00070C2D" w:rsidRDefault="00687C0A" w:rsidP="00A23028">
      <w:pPr>
        <w:bidi w:val="0"/>
        <w:rPr>
          <w:rFonts w:asciiTheme="majorBidi" w:hAnsiTheme="majorBidi" w:cstheme="majorBidi"/>
          <w:b/>
          <w:bCs/>
          <w:sz w:val="24"/>
          <w:szCs w:val="24"/>
        </w:rPr>
      </w:pPr>
      <w:r w:rsidRPr="00070C2D">
        <w:rPr>
          <w:rFonts w:asciiTheme="majorBidi" w:hAnsiTheme="majorBidi" w:cstheme="majorBidi"/>
          <w:b/>
          <w:bCs/>
          <w:sz w:val="24"/>
          <w:szCs w:val="24"/>
        </w:rPr>
        <w:t>References</w:t>
      </w:r>
      <w:r w:rsidR="005D368B" w:rsidRPr="00070C2D">
        <w:rPr>
          <w:rFonts w:asciiTheme="majorBidi" w:hAnsiTheme="majorBidi" w:cstheme="majorBidi"/>
          <w:b/>
          <w:bCs/>
          <w:sz w:val="24"/>
          <w:szCs w:val="24"/>
        </w:rPr>
        <w:t>:</w:t>
      </w:r>
    </w:p>
    <w:p w14:paraId="4D1CEC1E" w14:textId="37E9E3DD"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Abdul Jaleel, N., &amp; Larkey, L. S. (2003). Statistical transliteration for English-Arabic cross language information retrieval. Proceedings of the Conference on Information and Knowledge Management, 139–146. </w:t>
      </w:r>
      <w:hyperlink r:id="rId7" w:history="1">
        <w:r w:rsidRPr="00465384">
          <w:rPr>
            <w:rStyle w:val="Hyperlink"/>
            <w:rFonts w:asciiTheme="majorBidi" w:hAnsiTheme="majorBidi" w:cstheme="majorBidi"/>
            <w:sz w:val="24"/>
            <w:szCs w:val="24"/>
          </w:rPr>
          <w:t>https://doi.org/10.1145/956863.956890</w:t>
        </w:r>
      </w:hyperlink>
    </w:p>
    <w:p w14:paraId="70BCD7B7" w14:textId="49AE9989"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Al-Azami, S., Kenner, C., Ruby, M., &amp; Gregory, E. (2010). Transliteration as a bridge to learning for bilingual children. International Journal of Bilingual </w:t>
      </w:r>
      <w:r w:rsidRPr="00465384">
        <w:rPr>
          <w:rFonts w:asciiTheme="majorBidi" w:hAnsiTheme="majorBidi" w:cstheme="majorBidi"/>
          <w:sz w:val="24"/>
          <w:szCs w:val="24"/>
        </w:rPr>
        <w:lastRenderedPageBreak/>
        <w:t xml:space="preserve">Education &amp; Bilingualism, 13(6), 683–700. </w:t>
      </w:r>
      <w:hyperlink r:id="rId8" w:history="1">
        <w:r w:rsidRPr="00465384">
          <w:rPr>
            <w:rStyle w:val="Hyperlink"/>
            <w:rFonts w:asciiTheme="majorBidi" w:hAnsiTheme="majorBidi" w:cstheme="majorBidi"/>
            <w:sz w:val="24"/>
            <w:szCs w:val="24"/>
          </w:rPr>
          <w:t>https://doi.org/10.1080/13670050903406335</w:t>
        </w:r>
      </w:hyperlink>
    </w:p>
    <w:p w14:paraId="73E5C62D" w14:textId="27513822"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Al-Khatib, M. A., &amp; Sabbah, E. H. (2008). Language choice in mobile text messages among Jordanian University students. Finnish Journal of Linguistics, 21, 37–65. </w:t>
      </w:r>
      <w:hyperlink r:id="rId9" w:history="1">
        <w:r w:rsidRPr="00465384">
          <w:rPr>
            <w:rStyle w:val="Hyperlink"/>
            <w:rFonts w:asciiTheme="majorBidi" w:hAnsiTheme="majorBidi" w:cstheme="majorBidi"/>
            <w:sz w:val="24"/>
            <w:szCs w:val="24"/>
          </w:rPr>
          <w:t>https://journal.fi/finjol/article/view/152913</w:t>
        </w:r>
      </w:hyperlink>
    </w:p>
    <w:p w14:paraId="6E4E1F66" w14:textId="07EB95FD" w:rsidR="00687C0A" w:rsidRPr="00465384" w:rsidRDefault="00886553"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Baker, C. (2006)</w:t>
      </w:r>
      <w:r w:rsidR="00A22EDE" w:rsidRPr="00465384">
        <w:rPr>
          <w:rFonts w:asciiTheme="majorBidi" w:hAnsiTheme="majorBidi" w:cstheme="majorBidi"/>
          <w:sz w:val="24"/>
          <w:szCs w:val="24"/>
        </w:rPr>
        <w:t>.</w:t>
      </w:r>
      <w:r w:rsidRPr="00465384">
        <w:rPr>
          <w:rFonts w:asciiTheme="majorBidi" w:hAnsiTheme="majorBidi" w:cstheme="majorBidi"/>
          <w:sz w:val="24"/>
          <w:szCs w:val="24"/>
        </w:rPr>
        <w:t xml:space="preserve"> </w:t>
      </w:r>
      <w:r w:rsidRPr="00465384">
        <w:rPr>
          <w:rFonts w:asciiTheme="majorBidi" w:hAnsiTheme="majorBidi" w:cstheme="majorBidi"/>
          <w:i/>
          <w:iCs/>
          <w:sz w:val="24"/>
          <w:szCs w:val="24"/>
        </w:rPr>
        <w:t>Foundations of Bilingual Education and Bilingualism</w:t>
      </w:r>
      <w:r w:rsidRPr="00465384">
        <w:rPr>
          <w:rFonts w:asciiTheme="majorBidi" w:hAnsiTheme="majorBidi" w:cstheme="majorBidi"/>
          <w:sz w:val="24"/>
          <w:szCs w:val="24"/>
        </w:rPr>
        <w:t>. Clevedon: Multilingual Matters.</w:t>
      </w:r>
    </w:p>
    <w:p w14:paraId="1E791964" w14:textId="353FC408"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Baker, M. (2018). In Other Words: A Coursebook on Translation (3rd ed.). Routledge. </w:t>
      </w:r>
      <w:hyperlink r:id="rId10" w:history="1">
        <w:r w:rsidRPr="00465384">
          <w:rPr>
            <w:rStyle w:val="Hyperlink"/>
            <w:rFonts w:asciiTheme="majorBidi" w:hAnsiTheme="majorBidi" w:cstheme="majorBidi"/>
            <w:sz w:val="24"/>
            <w:szCs w:val="24"/>
          </w:rPr>
          <w:t>https://doi.org/10.4324/9781315619187</w:t>
        </w:r>
      </w:hyperlink>
    </w:p>
    <w:p w14:paraId="649B06FF" w14:textId="2A7B4A86"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Bowker, L., &amp; Pearson, J. (2002). Working with specialized language: A practical guide to using corpora. Routledge. </w:t>
      </w:r>
      <w:hyperlink r:id="rId11" w:history="1">
        <w:r w:rsidRPr="00465384">
          <w:rPr>
            <w:rStyle w:val="Hyperlink"/>
            <w:rFonts w:asciiTheme="majorBidi" w:hAnsiTheme="majorBidi" w:cstheme="majorBidi"/>
            <w:sz w:val="24"/>
            <w:szCs w:val="24"/>
          </w:rPr>
          <w:t>https://www.routledge.com/Working-with-Specialized-Language-A-Practical-Guide-to-Using-Corpora/Bowker-Pearson/p/book/9780415236980</w:t>
        </w:r>
      </w:hyperlink>
    </w:p>
    <w:p w14:paraId="6550FBE4" w14:textId="0F37E0E7"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Crystal, D. (2003). English as a Global Language (2nd ed.). Cambridge University Press. </w:t>
      </w:r>
      <w:hyperlink r:id="rId12" w:history="1">
        <w:r w:rsidRPr="00465384">
          <w:rPr>
            <w:rStyle w:val="Hyperlink"/>
            <w:rFonts w:asciiTheme="majorBidi" w:hAnsiTheme="majorBidi" w:cstheme="majorBidi"/>
            <w:sz w:val="24"/>
            <w:szCs w:val="24"/>
          </w:rPr>
          <w:t>https://doi.org/10.1017/CBO9780511486999</w:t>
        </w:r>
      </w:hyperlink>
    </w:p>
    <w:p w14:paraId="27C2AC92" w14:textId="602D87C5"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Dickins, J., Hervey, S., &amp; Higgins, I. (2017). Thinking Arabic Translation: A Course in Translation Method (2nd ed.). Routledge. </w:t>
      </w:r>
      <w:hyperlink r:id="rId13" w:history="1">
        <w:r w:rsidRPr="00465384">
          <w:rPr>
            <w:rStyle w:val="Hyperlink"/>
            <w:rFonts w:asciiTheme="majorBidi" w:hAnsiTheme="majorBidi" w:cstheme="majorBidi"/>
            <w:sz w:val="24"/>
            <w:szCs w:val="24"/>
          </w:rPr>
          <w:t>https://doi.org/10.4324/9781315471570</w:t>
        </w:r>
      </w:hyperlink>
    </w:p>
    <w:p w14:paraId="66855E79" w14:textId="2B45971B" w:rsidR="00070C2D" w:rsidRPr="00465384" w:rsidRDefault="00070C2D"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Farghal</w:t>
      </w:r>
      <w:proofErr w:type="spellEnd"/>
      <w:r w:rsidRPr="00465384">
        <w:rPr>
          <w:rFonts w:asciiTheme="majorBidi" w:hAnsiTheme="majorBidi" w:cstheme="majorBidi"/>
          <w:sz w:val="24"/>
          <w:szCs w:val="24"/>
        </w:rPr>
        <w:t xml:space="preserve">, M., &amp; </w:t>
      </w:r>
      <w:proofErr w:type="spellStart"/>
      <w:r w:rsidRPr="00465384">
        <w:rPr>
          <w:rFonts w:asciiTheme="majorBidi" w:hAnsiTheme="majorBidi" w:cstheme="majorBidi"/>
          <w:sz w:val="24"/>
          <w:szCs w:val="24"/>
        </w:rPr>
        <w:t>Shunnaq</w:t>
      </w:r>
      <w:proofErr w:type="spellEnd"/>
      <w:r w:rsidRPr="00465384">
        <w:rPr>
          <w:rFonts w:asciiTheme="majorBidi" w:hAnsiTheme="majorBidi" w:cstheme="majorBidi"/>
          <w:sz w:val="24"/>
          <w:szCs w:val="24"/>
        </w:rPr>
        <w:t xml:space="preserve">, A. (1999). </w:t>
      </w:r>
      <w:r w:rsidRPr="00465384">
        <w:rPr>
          <w:rFonts w:asciiTheme="majorBidi" w:hAnsiTheme="majorBidi" w:cstheme="majorBidi"/>
          <w:i/>
          <w:iCs/>
          <w:sz w:val="24"/>
          <w:szCs w:val="24"/>
        </w:rPr>
        <w:t>Translation with Reference to English and Arabic: A Practical Guide</w:t>
      </w:r>
      <w:r w:rsidRPr="00465384">
        <w:rPr>
          <w:rFonts w:asciiTheme="majorBidi" w:hAnsiTheme="majorBidi" w:cstheme="majorBidi"/>
          <w:sz w:val="24"/>
          <w:szCs w:val="24"/>
        </w:rPr>
        <w:t xml:space="preserve">. Irbid: Dar Al-Hilal. </w:t>
      </w:r>
    </w:p>
    <w:p w14:paraId="555FC1F7" w14:textId="2AEBAA4D" w:rsidR="005C7EA5" w:rsidRPr="00465384" w:rsidRDefault="005C7EA5"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Göpferich</w:t>
      </w:r>
      <w:proofErr w:type="spellEnd"/>
      <w:r w:rsidRPr="00465384">
        <w:rPr>
          <w:rFonts w:asciiTheme="majorBidi" w:hAnsiTheme="majorBidi" w:cstheme="majorBidi"/>
          <w:sz w:val="24"/>
          <w:szCs w:val="24"/>
        </w:rPr>
        <w:t>, S. (2009). Towards a model of translation competence and its acquisition: The longitudinal study '</w:t>
      </w:r>
      <w:proofErr w:type="spellStart"/>
      <w:r w:rsidRPr="00465384">
        <w:rPr>
          <w:rFonts w:asciiTheme="majorBidi" w:hAnsiTheme="majorBidi" w:cstheme="majorBidi"/>
          <w:sz w:val="24"/>
          <w:szCs w:val="24"/>
        </w:rPr>
        <w:t>TransComp</w:t>
      </w:r>
      <w:proofErr w:type="spellEnd"/>
      <w:r w:rsidRPr="00465384">
        <w:rPr>
          <w:rFonts w:asciiTheme="majorBidi" w:hAnsiTheme="majorBidi" w:cstheme="majorBidi"/>
          <w:sz w:val="24"/>
          <w:szCs w:val="24"/>
        </w:rPr>
        <w:t xml:space="preserve">'. In S. </w:t>
      </w:r>
      <w:proofErr w:type="spellStart"/>
      <w:r w:rsidRPr="00465384">
        <w:rPr>
          <w:rFonts w:asciiTheme="majorBidi" w:hAnsiTheme="majorBidi" w:cstheme="majorBidi"/>
          <w:sz w:val="24"/>
          <w:szCs w:val="24"/>
        </w:rPr>
        <w:t>Göpferich</w:t>
      </w:r>
      <w:proofErr w:type="spellEnd"/>
      <w:r w:rsidRPr="00465384">
        <w:rPr>
          <w:rFonts w:asciiTheme="majorBidi" w:hAnsiTheme="majorBidi" w:cstheme="majorBidi"/>
          <w:sz w:val="24"/>
          <w:szCs w:val="24"/>
        </w:rPr>
        <w:t xml:space="preserve">, A. L. Jakobsen, &amp; I. M. Mees (Eds.), Behind the Mind: Methods, Models and Results in Translation Process Research (pp. 11-37). Copenhagen: </w:t>
      </w:r>
      <w:proofErr w:type="spellStart"/>
      <w:r w:rsidRPr="00465384">
        <w:rPr>
          <w:rFonts w:asciiTheme="majorBidi" w:hAnsiTheme="majorBidi" w:cstheme="majorBidi"/>
          <w:sz w:val="24"/>
          <w:szCs w:val="24"/>
        </w:rPr>
        <w:t>Samfundslitteratur</w:t>
      </w:r>
      <w:proofErr w:type="spellEnd"/>
      <w:r w:rsidRPr="00465384">
        <w:rPr>
          <w:rFonts w:asciiTheme="majorBidi" w:hAnsiTheme="majorBidi" w:cstheme="majorBidi"/>
          <w:sz w:val="24"/>
          <w:szCs w:val="24"/>
        </w:rPr>
        <w:t xml:space="preserve">. </w:t>
      </w:r>
      <w:hyperlink r:id="rId14" w:history="1">
        <w:r w:rsidRPr="00465384">
          <w:rPr>
            <w:rStyle w:val="Hyperlink"/>
            <w:rFonts w:asciiTheme="majorBidi" w:hAnsiTheme="majorBidi" w:cstheme="majorBidi"/>
            <w:sz w:val="24"/>
            <w:szCs w:val="24"/>
          </w:rPr>
          <w:t>https://doi.org/10.1075/btl.4</w:t>
        </w:r>
      </w:hyperlink>
    </w:p>
    <w:p w14:paraId="296E7233" w14:textId="3309FC51"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House, J. (2015). Translation Quality Assessment: Past and Present. Routledge. </w:t>
      </w:r>
      <w:hyperlink r:id="rId15" w:history="1">
        <w:r w:rsidRPr="00465384">
          <w:rPr>
            <w:rStyle w:val="Hyperlink"/>
            <w:rFonts w:asciiTheme="majorBidi" w:hAnsiTheme="majorBidi" w:cstheme="majorBidi"/>
            <w:sz w:val="24"/>
            <w:szCs w:val="24"/>
          </w:rPr>
          <w:t>https://doi.org/10.4324/9781315752839</w:t>
        </w:r>
      </w:hyperlink>
    </w:p>
    <w:p w14:paraId="32305F1B" w14:textId="6C5F5EDE" w:rsidR="005C7EA5" w:rsidRPr="00465384" w:rsidRDefault="005C7EA5"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Mammadzada</w:t>
      </w:r>
      <w:proofErr w:type="spellEnd"/>
      <w:r w:rsidRPr="00465384">
        <w:rPr>
          <w:rFonts w:asciiTheme="majorBidi" w:hAnsiTheme="majorBidi" w:cstheme="majorBidi"/>
          <w:sz w:val="24"/>
          <w:szCs w:val="24"/>
        </w:rPr>
        <w:t xml:space="preserve">, S. (2023). A review of existing transliteration approaches and methods. International Journal of Multilingualism, 20(3), 1052–1066. </w:t>
      </w:r>
      <w:hyperlink r:id="rId16" w:history="1">
        <w:r w:rsidRPr="00465384">
          <w:rPr>
            <w:rStyle w:val="Hyperlink"/>
            <w:rFonts w:asciiTheme="majorBidi" w:hAnsiTheme="majorBidi" w:cstheme="majorBidi"/>
            <w:sz w:val="24"/>
            <w:szCs w:val="24"/>
          </w:rPr>
          <w:t>https://doi.org/10.1080/14790718.2023.2179509</w:t>
        </w:r>
      </w:hyperlink>
    </w:p>
    <w:p w14:paraId="1C3C44C7" w14:textId="668FB56F"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Munday, J. (2016). Introducing Translation Studies: Theories and Applications (4th ed.). Routledge. </w:t>
      </w:r>
      <w:hyperlink r:id="rId17" w:history="1">
        <w:r w:rsidRPr="00465384">
          <w:rPr>
            <w:rStyle w:val="Hyperlink"/>
            <w:rFonts w:asciiTheme="majorBidi" w:hAnsiTheme="majorBidi" w:cstheme="majorBidi"/>
            <w:sz w:val="24"/>
            <w:szCs w:val="24"/>
          </w:rPr>
          <w:t>https://doi.org/10.4324/9781315691862</w:t>
        </w:r>
      </w:hyperlink>
    </w:p>
    <w:p w14:paraId="15B60A27" w14:textId="5D763E2E" w:rsidR="004A6DD0" w:rsidRPr="00465384" w:rsidRDefault="004A6DD0"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Newmark, P. (1988). </w:t>
      </w:r>
      <w:r w:rsidRPr="00465384">
        <w:rPr>
          <w:rFonts w:asciiTheme="majorBidi" w:hAnsiTheme="majorBidi" w:cstheme="majorBidi"/>
          <w:i/>
          <w:iCs/>
          <w:sz w:val="24"/>
          <w:szCs w:val="24"/>
        </w:rPr>
        <w:t>A Textbook of Translation</w:t>
      </w:r>
      <w:r w:rsidRPr="00465384">
        <w:rPr>
          <w:rFonts w:asciiTheme="majorBidi" w:hAnsiTheme="majorBidi" w:cstheme="majorBidi"/>
          <w:sz w:val="24"/>
          <w:szCs w:val="24"/>
        </w:rPr>
        <w:t>. New York: Prentice Hall.</w:t>
      </w:r>
    </w:p>
    <w:p w14:paraId="3374D068" w14:textId="2BBB8CB7"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Nord, C. (1997). Translating as a purposeful activity: Functionalist approaches explained. Routledge. </w:t>
      </w:r>
      <w:hyperlink r:id="rId18" w:history="1">
        <w:r w:rsidRPr="00465384">
          <w:rPr>
            <w:rStyle w:val="Hyperlink"/>
            <w:rFonts w:asciiTheme="majorBidi" w:hAnsiTheme="majorBidi" w:cstheme="majorBidi"/>
            <w:sz w:val="24"/>
            <w:szCs w:val="24"/>
          </w:rPr>
          <w:t>https://doi.org/10.4324/9781315760506</w:t>
        </w:r>
      </w:hyperlink>
    </w:p>
    <w:p w14:paraId="4952EEBA" w14:textId="3BD69DE9" w:rsidR="007303D4" w:rsidRPr="00465384" w:rsidRDefault="007303D4"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Pinchuck</w:t>
      </w:r>
      <w:proofErr w:type="spellEnd"/>
      <w:r w:rsidRPr="00465384">
        <w:rPr>
          <w:rFonts w:asciiTheme="majorBidi" w:hAnsiTheme="majorBidi" w:cstheme="majorBidi"/>
          <w:sz w:val="24"/>
          <w:szCs w:val="24"/>
        </w:rPr>
        <w:t xml:space="preserve">, I. (1977). </w:t>
      </w:r>
      <w:r w:rsidRPr="00465384">
        <w:rPr>
          <w:rFonts w:asciiTheme="majorBidi" w:hAnsiTheme="majorBidi" w:cstheme="majorBidi"/>
          <w:i/>
          <w:iCs/>
          <w:sz w:val="24"/>
          <w:szCs w:val="24"/>
        </w:rPr>
        <w:t>Scientific and technical translation</w:t>
      </w:r>
      <w:r w:rsidRPr="00465384">
        <w:rPr>
          <w:rFonts w:asciiTheme="majorBidi" w:hAnsiTheme="majorBidi" w:cstheme="majorBidi"/>
          <w:sz w:val="24"/>
          <w:szCs w:val="24"/>
        </w:rPr>
        <w:t xml:space="preserve">. </w:t>
      </w:r>
      <w:proofErr w:type="gramStart"/>
      <w:r w:rsidRPr="00465384">
        <w:rPr>
          <w:rFonts w:asciiTheme="majorBidi" w:hAnsiTheme="majorBidi" w:cstheme="majorBidi"/>
          <w:sz w:val="24"/>
          <w:szCs w:val="24"/>
        </w:rPr>
        <w:t>London :</w:t>
      </w:r>
      <w:proofErr w:type="gramEnd"/>
      <w:r w:rsidRPr="00465384">
        <w:rPr>
          <w:rFonts w:asciiTheme="majorBidi" w:hAnsiTheme="majorBidi" w:cstheme="majorBidi"/>
          <w:sz w:val="24"/>
          <w:szCs w:val="24"/>
        </w:rPr>
        <w:t xml:space="preserve"> A. Deutsch</w:t>
      </w:r>
    </w:p>
    <w:p w14:paraId="4FB3F71B" w14:textId="5E8D1310"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Pym, A. (2014). Exploring Translation Theories (2nd ed.). Routledge. </w:t>
      </w:r>
      <w:hyperlink r:id="rId19" w:history="1">
        <w:r w:rsidRPr="00465384">
          <w:rPr>
            <w:rStyle w:val="Hyperlink"/>
            <w:rFonts w:asciiTheme="majorBidi" w:hAnsiTheme="majorBidi" w:cstheme="majorBidi"/>
            <w:sz w:val="24"/>
            <w:szCs w:val="24"/>
          </w:rPr>
          <w:t>https://doi.org/10.4324/9781315857633</w:t>
        </w:r>
      </w:hyperlink>
    </w:p>
    <w:p w14:paraId="0EC39B86" w14:textId="2FC74BF2"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lastRenderedPageBreak/>
        <w:t xml:space="preserve">Sager, J. C. (1990). A practical course in terminology processing. John Benjamins Publishing. </w:t>
      </w:r>
      <w:hyperlink r:id="rId20" w:history="1">
        <w:r w:rsidRPr="00465384">
          <w:rPr>
            <w:rStyle w:val="Hyperlink"/>
            <w:rFonts w:asciiTheme="majorBidi" w:hAnsiTheme="majorBidi" w:cstheme="majorBidi"/>
            <w:sz w:val="24"/>
            <w:szCs w:val="24"/>
          </w:rPr>
          <w:t>https://doi.org/10.1075/z.44</w:t>
        </w:r>
      </w:hyperlink>
    </w:p>
    <w:p w14:paraId="1F781811" w14:textId="0BDCD999"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Temmerman, R. (2000). Towards New Ways of Terminology Description: The </w:t>
      </w:r>
      <w:proofErr w:type="spellStart"/>
      <w:r w:rsidRPr="00465384">
        <w:rPr>
          <w:rFonts w:asciiTheme="majorBidi" w:hAnsiTheme="majorBidi" w:cstheme="majorBidi"/>
          <w:sz w:val="24"/>
          <w:szCs w:val="24"/>
        </w:rPr>
        <w:t>Sociocognitive</w:t>
      </w:r>
      <w:proofErr w:type="spellEnd"/>
      <w:r w:rsidRPr="00465384">
        <w:rPr>
          <w:rFonts w:asciiTheme="majorBidi" w:hAnsiTheme="majorBidi" w:cstheme="majorBidi"/>
          <w:sz w:val="24"/>
          <w:szCs w:val="24"/>
        </w:rPr>
        <w:t xml:space="preserve"> Approach. John Benjamins. </w:t>
      </w:r>
      <w:hyperlink r:id="rId21" w:history="1">
        <w:r w:rsidRPr="00465384">
          <w:rPr>
            <w:rStyle w:val="Hyperlink"/>
            <w:rFonts w:asciiTheme="majorBidi" w:hAnsiTheme="majorBidi" w:cstheme="majorBidi"/>
            <w:sz w:val="24"/>
            <w:szCs w:val="24"/>
          </w:rPr>
          <w:t>https://doi.org/10.1075/tlrp.3</w:t>
        </w:r>
      </w:hyperlink>
    </w:p>
    <w:p w14:paraId="42536C94" w14:textId="29CD3505" w:rsidR="00732DA3"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Warschauer, M., El Said, G. R., &amp; Zohry, A. (2007). Language choice online: Globalization and identity in Egypt. In B. Danet &amp; S. C. Herring (Eds.), The multilingual internet: Language, culture, and communication online (pp. 303–318). https://doi.org/10.1093/acprof:oso/9780195304794.003.0013</w:t>
      </w:r>
    </w:p>
    <w:sectPr w:rsidR="00732DA3" w:rsidRPr="00465384" w:rsidSect="00F63B1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6F9F" w14:textId="77777777" w:rsidR="00B5218E" w:rsidRDefault="00B5218E" w:rsidP="00086707">
      <w:pPr>
        <w:spacing w:after="0" w:line="240" w:lineRule="auto"/>
      </w:pPr>
      <w:r>
        <w:separator/>
      </w:r>
    </w:p>
  </w:endnote>
  <w:endnote w:type="continuationSeparator" w:id="0">
    <w:p w14:paraId="52E7165B" w14:textId="77777777" w:rsidR="00B5218E" w:rsidRDefault="00B5218E" w:rsidP="0008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221C" w14:textId="77777777" w:rsidR="00086707" w:rsidRDefault="0008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DD9F" w14:textId="77777777" w:rsidR="00086707" w:rsidRDefault="0008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0F89" w14:textId="77777777" w:rsidR="00086707" w:rsidRDefault="0008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5C86A" w14:textId="77777777" w:rsidR="00B5218E" w:rsidRDefault="00B5218E" w:rsidP="00086707">
      <w:pPr>
        <w:spacing w:after="0" w:line="240" w:lineRule="auto"/>
      </w:pPr>
      <w:r>
        <w:separator/>
      </w:r>
    </w:p>
  </w:footnote>
  <w:footnote w:type="continuationSeparator" w:id="0">
    <w:p w14:paraId="535A1C89" w14:textId="77777777" w:rsidR="00B5218E" w:rsidRDefault="00B5218E" w:rsidP="0008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55F5" w14:textId="38697BDD" w:rsidR="00086707" w:rsidRDefault="00086707">
    <w:pPr>
      <w:pStyle w:val="Header"/>
    </w:pPr>
    <w:r>
      <w:rPr>
        <w:noProof/>
      </w:rPr>
      <w:pict w14:anchorId="14BD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87B0" w14:textId="4B68EE99" w:rsidR="00086707" w:rsidRDefault="00086707">
    <w:pPr>
      <w:pStyle w:val="Header"/>
    </w:pPr>
    <w:r>
      <w:rPr>
        <w:noProof/>
      </w:rPr>
      <w:pict w14:anchorId="7010B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40B4" w14:textId="1A3BA8F7" w:rsidR="00086707" w:rsidRDefault="00086707">
    <w:pPr>
      <w:pStyle w:val="Header"/>
    </w:pPr>
    <w:r>
      <w:rPr>
        <w:noProof/>
      </w:rPr>
      <w:pict w14:anchorId="7A048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76B8"/>
    <w:multiLevelType w:val="multilevel"/>
    <w:tmpl w:val="7F8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E1171"/>
    <w:multiLevelType w:val="multilevel"/>
    <w:tmpl w:val="83C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6385A"/>
    <w:multiLevelType w:val="multilevel"/>
    <w:tmpl w:val="0B4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47AEA"/>
    <w:multiLevelType w:val="multilevel"/>
    <w:tmpl w:val="91A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42B60"/>
    <w:multiLevelType w:val="multilevel"/>
    <w:tmpl w:val="6540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B14BB0"/>
    <w:multiLevelType w:val="hybridMultilevel"/>
    <w:tmpl w:val="0B4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17B7C"/>
    <w:multiLevelType w:val="hybridMultilevel"/>
    <w:tmpl w:val="20F0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E5780"/>
    <w:multiLevelType w:val="multilevel"/>
    <w:tmpl w:val="2B1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C04B4"/>
    <w:multiLevelType w:val="multilevel"/>
    <w:tmpl w:val="496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8"/>
  </w:num>
  <w:num w:numId="5">
    <w:abstractNumId w:val="5"/>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2F"/>
    <w:rsid w:val="00002440"/>
    <w:rsid w:val="00070C2D"/>
    <w:rsid w:val="00086707"/>
    <w:rsid w:val="00255E4F"/>
    <w:rsid w:val="0027770C"/>
    <w:rsid w:val="002A7EBA"/>
    <w:rsid w:val="002E15A7"/>
    <w:rsid w:val="00361E04"/>
    <w:rsid w:val="0038746A"/>
    <w:rsid w:val="003B1940"/>
    <w:rsid w:val="00465384"/>
    <w:rsid w:val="004A1BBA"/>
    <w:rsid w:val="004A6DD0"/>
    <w:rsid w:val="004C7FDB"/>
    <w:rsid w:val="005C7EA5"/>
    <w:rsid w:val="005D368B"/>
    <w:rsid w:val="00687C0A"/>
    <w:rsid w:val="006C2C3A"/>
    <w:rsid w:val="007303D4"/>
    <w:rsid w:val="00732DA3"/>
    <w:rsid w:val="00744EB5"/>
    <w:rsid w:val="00761C2D"/>
    <w:rsid w:val="00854877"/>
    <w:rsid w:val="00886553"/>
    <w:rsid w:val="00887669"/>
    <w:rsid w:val="008966A4"/>
    <w:rsid w:val="008D79D9"/>
    <w:rsid w:val="008E18C2"/>
    <w:rsid w:val="00A22EDE"/>
    <w:rsid w:val="00A23028"/>
    <w:rsid w:val="00A30BFD"/>
    <w:rsid w:val="00A81E7F"/>
    <w:rsid w:val="00A93EC8"/>
    <w:rsid w:val="00AA4438"/>
    <w:rsid w:val="00AD1E83"/>
    <w:rsid w:val="00B02152"/>
    <w:rsid w:val="00B5218E"/>
    <w:rsid w:val="00CA3E8B"/>
    <w:rsid w:val="00CC4969"/>
    <w:rsid w:val="00D448FA"/>
    <w:rsid w:val="00D662CD"/>
    <w:rsid w:val="00D7036D"/>
    <w:rsid w:val="00D708C3"/>
    <w:rsid w:val="00D90555"/>
    <w:rsid w:val="00DA46E4"/>
    <w:rsid w:val="00DF0A4A"/>
    <w:rsid w:val="00E31EF2"/>
    <w:rsid w:val="00F63B1A"/>
    <w:rsid w:val="00FA473B"/>
    <w:rsid w:val="00FB6B41"/>
    <w:rsid w:val="00FD1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34B5A"/>
  <w15:chartTrackingRefBased/>
  <w15:docId w15:val="{3B19442B-30A3-4F6E-AB7F-8AB8EE2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C3A"/>
    <w:pPr>
      <w:bidi/>
    </w:pPr>
    <w:rPr>
      <w:lang w:val="en-GB"/>
    </w:rPr>
  </w:style>
  <w:style w:type="paragraph" w:styleId="Heading1">
    <w:name w:val="heading 1"/>
    <w:basedOn w:val="Normal"/>
    <w:next w:val="Normal"/>
    <w:link w:val="Heading1Char"/>
    <w:uiPriority w:val="9"/>
    <w:qFormat/>
    <w:rsid w:val="00FD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D1B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D1B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D1B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D1B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D1B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D1B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D1B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D1B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D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1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D1B2F"/>
    <w:pPr>
      <w:spacing w:before="160"/>
      <w:jc w:val="center"/>
    </w:pPr>
    <w:rPr>
      <w:i/>
      <w:iCs/>
      <w:color w:val="404040" w:themeColor="text1" w:themeTint="BF"/>
    </w:rPr>
  </w:style>
  <w:style w:type="character" w:customStyle="1" w:styleId="QuoteChar">
    <w:name w:val="Quote Char"/>
    <w:basedOn w:val="DefaultParagraphFont"/>
    <w:link w:val="Quote"/>
    <w:uiPriority w:val="29"/>
    <w:rsid w:val="00FD1B2F"/>
    <w:rPr>
      <w:i/>
      <w:iCs/>
      <w:color w:val="404040" w:themeColor="text1" w:themeTint="BF"/>
      <w:lang w:val="en-GB"/>
    </w:rPr>
  </w:style>
  <w:style w:type="paragraph" w:styleId="ListParagraph">
    <w:name w:val="List Paragraph"/>
    <w:basedOn w:val="Normal"/>
    <w:uiPriority w:val="34"/>
    <w:qFormat/>
    <w:rsid w:val="00FD1B2F"/>
    <w:pPr>
      <w:ind w:left="720"/>
      <w:contextualSpacing/>
    </w:pPr>
  </w:style>
  <w:style w:type="character" w:styleId="IntenseEmphasis">
    <w:name w:val="Intense Emphasis"/>
    <w:basedOn w:val="DefaultParagraphFont"/>
    <w:uiPriority w:val="21"/>
    <w:qFormat/>
    <w:rsid w:val="00FD1B2F"/>
    <w:rPr>
      <w:i/>
      <w:iCs/>
      <w:color w:val="0F4761" w:themeColor="accent1" w:themeShade="BF"/>
    </w:rPr>
  </w:style>
  <w:style w:type="paragraph" w:styleId="IntenseQuote">
    <w:name w:val="Intense Quote"/>
    <w:basedOn w:val="Normal"/>
    <w:next w:val="Normal"/>
    <w:link w:val="IntenseQuoteChar"/>
    <w:uiPriority w:val="30"/>
    <w:qFormat/>
    <w:rsid w:val="00FD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2F"/>
    <w:rPr>
      <w:i/>
      <w:iCs/>
      <w:color w:val="0F4761" w:themeColor="accent1" w:themeShade="BF"/>
      <w:lang w:val="en-GB"/>
    </w:rPr>
  </w:style>
  <w:style w:type="character" w:styleId="IntenseReference">
    <w:name w:val="Intense Reference"/>
    <w:basedOn w:val="DefaultParagraphFont"/>
    <w:uiPriority w:val="32"/>
    <w:qFormat/>
    <w:rsid w:val="00FD1B2F"/>
    <w:rPr>
      <w:b/>
      <w:bCs/>
      <w:smallCaps/>
      <w:color w:val="0F4761" w:themeColor="accent1" w:themeShade="BF"/>
      <w:spacing w:val="5"/>
    </w:rPr>
  </w:style>
  <w:style w:type="character" w:styleId="Hyperlink">
    <w:name w:val="Hyperlink"/>
    <w:basedOn w:val="DefaultParagraphFont"/>
    <w:uiPriority w:val="99"/>
    <w:unhideWhenUsed/>
    <w:rsid w:val="00FD1B2F"/>
    <w:rPr>
      <w:color w:val="467886" w:themeColor="hyperlink"/>
      <w:u w:val="single"/>
    </w:rPr>
  </w:style>
  <w:style w:type="character" w:styleId="UnresolvedMention">
    <w:name w:val="Unresolved Mention"/>
    <w:basedOn w:val="DefaultParagraphFont"/>
    <w:uiPriority w:val="99"/>
    <w:semiHidden/>
    <w:unhideWhenUsed/>
    <w:rsid w:val="00FD1B2F"/>
    <w:rPr>
      <w:color w:val="605E5C"/>
      <w:shd w:val="clear" w:color="auto" w:fill="E1DFDD"/>
    </w:rPr>
  </w:style>
  <w:style w:type="paragraph" w:styleId="NormalWeb">
    <w:name w:val="Normal (Web)"/>
    <w:basedOn w:val="Normal"/>
    <w:uiPriority w:val="99"/>
    <w:semiHidden/>
    <w:unhideWhenUsed/>
    <w:rsid w:val="00FB6B41"/>
    <w:pPr>
      <w:bidi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8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707"/>
    <w:rPr>
      <w:lang w:val="en-GB"/>
    </w:rPr>
  </w:style>
  <w:style w:type="paragraph" w:styleId="Footer">
    <w:name w:val="footer"/>
    <w:basedOn w:val="Normal"/>
    <w:link w:val="FooterChar"/>
    <w:uiPriority w:val="99"/>
    <w:unhideWhenUsed/>
    <w:rsid w:val="0008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70050903406335" TargetMode="External"/><Relationship Id="rId13" Type="http://schemas.openxmlformats.org/officeDocument/2006/relationships/hyperlink" Target="https://doi.org/10.4324/9781315471570" TargetMode="External"/><Relationship Id="rId18" Type="http://schemas.openxmlformats.org/officeDocument/2006/relationships/hyperlink" Target="https://doi.org/10.4324/978131576050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75/tlrp.3" TargetMode="External"/><Relationship Id="rId7" Type="http://schemas.openxmlformats.org/officeDocument/2006/relationships/hyperlink" Target="https://doi.org/10.1145/956863.956890" TargetMode="External"/><Relationship Id="rId12" Type="http://schemas.openxmlformats.org/officeDocument/2006/relationships/hyperlink" Target="https://doi.org/10.1017/CBO9780511486999" TargetMode="External"/><Relationship Id="rId17" Type="http://schemas.openxmlformats.org/officeDocument/2006/relationships/hyperlink" Target="https://doi.org/10.4324/978131569186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80/14790718.2023.2179509" TargetMode="External"/><Relationship Id="rId20" Type="http://schemas.openxmlformats.org/officeDocument/2006/relationships/hyperlink" Target="https://doi.org/10.1075/z.4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Working-with-Specialized-Language-A-Practical-Guide-to-Using-Corpora/Bowker-Pearson/p/book/978041523698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324/978131575283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324/9781315619187" TargetMode="External"/><Relationship Id="rId19" Type="http://schemas.openxmlformats.org/officeDocument/2006/relationships/hyperlink" Target="https://doi.org/10.4324/9781315857633" TargetMode="External"/><Relationship Id="rId4" Type="http://schemas.openxmlformats.org/officeDocument/2006/relationships/webSettings" Target="webSettings.xml"/><Relationship Id="rId9" Type="http://schemas.openxmlformats.org/officeDocument/2006/relationships/hyperlink" Target="https://journal.fi/finjol/article/view/152913" TargetMode="External"/><Relationship Id="rId14" Type="http://schemas.openxmlformats.org/officeDocument/2006/relationships/hyperlink" Target="https://doi.org/10.1075/btl.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10</Pages>
  <Words>3798</Words>
  <Characters>21651</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SDI 1084</cp:lastModifiedBy>
  <cp:revision>22</cp:revision>
  <dcterms:created xsi:type="dcterms:W3CDTF">2025-12-13T12:23:00Z</dcterms:created>
  <dcterms:modified xsi:type="dcterms:W3CDTF">2025-12-15T12:13:00Z</dcterms:modified>
</cp:coreProperties>
</file>