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A97FE" w14:textId="77777777" w:rsidR="00163BC4" w:rsidRPr="00163BC4" w:rsidRDefault="00D66841" w:rsidP="00930571">
      <w:pPr>
        <w:pStyle w:val="Author"/>
        <w:spacing w:line="240" w:lineRule="auto"/>
        <w:jc w:val="left"/>
        <w:rPr>
          <w:rFonts w:ascii="Arial" w:hAnsi="Arial" w:cs="Arial"/>
          <w:bCs/>
          <w:iCs/>
          <w:kern w:val="28"/>
          <w:sz w:val="36"/>
        </w:rPr>
      </w:pPr>
      <w:r w:rsidRPr="00D66841">
        <w:rPr>
          <w:rFonts w:ascii="Arial" w:hAnsi="Arial" w:cs="Arial"/>
          <w:bCs/>
          <w:iCs/>
          <w:kern w:val="28"/>
          <w:sz w:val="36"/>
        </w:rPr>
        <w:t>Landscape-level Assessment of Food Plant Species of Hoolock Gibbons: Distribution and Utilization Patterns in the Marat Longri–Patradisa–Longnit Forest Complex, Assam, North</w:t>
      </w:r>
      <w:r>
        <w:rPr>
          <w:rFonts w:ascii="Arial" w:hAnsi="Arial" w:cs="Arial"/>
          <w:bCs/>
          <w:iCs/>
          <w:kern w:val="28"/>
          <w:sz w:val="36"/>
        </w:rPr>
        <w:t>-</w:t>
      </w:r>
      <w:r w:rsidRPr="00D66841">
        <w:rPr>
          <w:rFonts w:ascii="Arial" w:hAnsi="Arial" w:cs="Arial"/>
          <w:bCs/>
          <w:iCs/>
          <w:kern w:val="28"/>
          <w:sz w:val="36"/>
        </w:rPr>
        <w:t xml:space="preserve">east </w:t>
      </w:r>
      <w:r>
        <w:rPr>
          <w:rFonts w:ascii="Arial" w:hAnsi="Arial" w:cs="Arial"/>
          <w:bCs/>
          <w:iCs/>
          <w:kern w:val="28"/>
          <w:sz w:val="36"/>
        </w:rPr>
        <w:t>India</w:t>
      </w:r>
    </w:p>
    <w:p w14:paraId="57E5E541" w14:textId="77777777" w:rsidR="00A258C3" w:rsidRPr="00790ADA" w:rsidRDefault="004E0CE6" w:rsidP="004E0CE6">
      <w:pPr>
        <w:pStyle w:val="Author"/>
        <w:tabs>
          <w:tab w:val="left" w:pos="6822"/>
        </w:tabs>
        <w:spacing w:line="240" w:lineRule="auto"/>
        <w:jc w:val="both"/>
        <w:rPr>
          <w:rFonts w:ascii="Arial" w:hAnsi="Arial" w:cs="Arial"/>
          <w:sz w:val="36"/>
        </w:rPr>
      </w:pPr>
      <w:r>
        <w:rPr>
          <w:rFonts w:ascii="Arial" w:hAnsi="Arial" w:cs="Arial"/>
          <w:sz w:val="36"/>
        </w:rPr>
        <w:tab/>
      </w:r>
    </w:p>
    <w:p w14:paraId="23E8DBB8" w14:textId="77777777" w:rsidR="00790ADA" w:rsidRDefault="00790ADA" w:rsidP="00441B6F">
      <w:pPr>
        <w:pStyle w:val="Affiliation"/>
        <w:spacing w:after="0" w:line="240" w:lineRule="auto"/>
        <w:jc w:val="both"/>
        <w:rPr>
          <w:rFonts w:ascii="Arial" w:hAnsi="Arial" w:cs="Arial"/>
        </w:rPr>
      </w:pPr>
    </w:p>
    <w:p w14:paraId="3741DA57" w14:textId="77777777" w:rsidR="002C57D2" w:rsidRPr="00FB3A86" w:rsidRDefault="002C57D2" w:rsidP="00441B6F">
      <w:pPr>
        <w:pStyle w:val="Affiliation"/>
        <w:spacing w:after="0" w:line="240" w:lineRule="auto"/>
        <w:jc w:val="both"/>
        <w:rPr>
          <w:rFonts w:ascii="Arial" w:hAnsi="Arial" w:cs="Arial"/>
        </w:rPr>
      </w:pPr>
    </w:p>
    <w:p w14:paraId="746213CB" w14:textId="77777777" w:rsidR="00B01FCD" w:rsidRPr="00FB3A86" w:rsidRDefault="00503924" w:rsidP="00441B6F">
      <w:pPr>
        <w:pStyle w:val="Copyright"/>
        <w:spacing w:after="0" w:line="240" w:lineRule="auto"/>
        <w:jc w:val="both"/>
        <w:rPr>
          <w:rFonts w:ascii="Arial" w:hAnsi="Arial" w:cs="Arial"/>
        </w:rPr>
        <w:sectPr w:rsidR="00B01FCD" w:rsidRPr="00FB3A86" w:rsidSect="000133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D154BE" wp14:editId="1EACE853">
                <wp:extent cx="5303520" cy="0"/>
                <wp:effectExtent l="11430" t="12700" r="9525" b="1587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04BB3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I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MF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GEKiB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719E4AEE" w14:textId="77777777" w:rsidR="00930571" w:rsidRDefault="00930571" w:rsidP="00441B6F">
      <w:pPr>
        <w:pStyle w:val="AbstHead"/>
        <w:spacing w:after="0"/>
        <w:jc w:val="both"/>
        <w:rPr>
          <w:rFonts w:ascii="Arial" w:hAnsi="Arial" w:cs="Arial"/>
        </w:rPr>
      </w:pPr>
    </w:p>
    <w:p w14:paraId="60AD73C9"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0790C86" w14:textId="77777777" w:rsidTr="001E44FE">
        <w:tc>
          <w:tcPr>
            <w:tcW w:w="9576" w:type="dxa"/>
            <w:shd w:val="clear" w:color="auto" w:fill="F2F2F2"/>
          </w:tcPr>
          <w:p w14:paraId="793FD270" w14:textId="77777777" w:rsidR="00505F06" w:rsidRPr="00BA1B01" w:rsidRDefault="004E0CE6" w:rsidP="004B0370">
            <w:pPr>
              <w:pStyle w:val="Body"/>
              <w:spacing w:after="0"/>
              <w:rPr>
                <w:rFonts w:ascii="Arial" w:eastAsia="Calibri" w:hAnsi="Arial" w:cs="Arial"/>
                <w:szCs w:val="22"/>
              </w:rPr>
            </w:pPr>
            <w:r w:rsidRPr="004E0CE6">
              <w:rPr>
                <w:rFonts w:ascii="Arial" w:eastAsia="Calibri" w:hAnsi="Arial" w:cs="Arial"/>
                <w:szCs w:val="22"/>
              </w:rPr>
              <w:t>The Hoolock Gibbon (Hoolock hoolock) is the only ape species found in India and plays an important role in maintaining forest ecosystems, apart from being an indicator of forest health. Knowledge of its feeding ecology is imperative in formulating effective conservation strategies, particularly in fragmented habitats. Presently, this study deals with the seasonal feeding ecology of Hoolock Gibbons in the Marat Longri–Patradisa–Longnit Forest Complex, Karbi Anglong, Assam. A survey was conducted fro</w:t>
            </w:r>
            <w:r w:rsidR="004B0370">
              <w:rPr>
                <w:rFonts w:ascii="Arial" w:eastAsia="Calibri" w:hAnsi="Arial" w:cs="Arial"/>
                <w:szCs w:val="22"/>
              </w:rPr>
              <w:t>m September 2023 to August 2024</w:t>
            </w:r>
            <w:r w:rsidRPr="004E0CE6">
              <w:rPr>
                <w:rFonts w:ascii="Arial" w:eastAsia="Calibri" w:hAnsi="Arial" w:cs="Arial"/>
                <w:szCs w:val="22"/>
              </w:rPr>
              <w:t xml:space="preserve">. Data were collected through focal animal sampling methods. Altogether 34 food plant species from 17 families were recorded. Fruits were found as the most frequently consumed plant part (67.65%), followed by leaves (47.06%), seeds (17.65%), and flowers (17.65%), and a minimum use of bark (2.94%). Among vegetation types, semi-evergreen forests supported the highest proportion of food species (35.29%), followed by moist deciduous (29.41%), evergreen (17.65%), and deciduous (17.65%) types. The availability of food plants shows seasonal variation, with the greatest diversity of consumable species during winter (47.06%) and monsoon (44.12%), while only 2.94% were available year-round. Height distribution analysis showed a preference for mid- to upper-canopy trees between 21–28.9 m, with 38.24% of the species. The </w:t>
            </w:r>
            <w:proofErr w:type="spellStart"/>
            <w:r w:rsidRPr="004E0CE6">
              <w:rPr>
                <w:rFonts w:ascii="Arial" w:eastAsia="Calibri" w:hAnsi="Arial" w:cs="Arial"/>
                <w:szCs w:val="22"/>
              </w:rPr>
              <w:t>Anacardiaceae</w:t>
            </w:r>
            <w:proofErr w:type="spellEnd"/>
            <w:r w:rsidRPr="004E0CE6">
              <w:rPr>
                <w:rFonts w:ascii="Arial" w:eastAsia="Calibri" w:hAnsi="Arial" w:cs="Arial"/>
                <w:szCs w:val="22"/>
              </w:rPr>
              <w:t xml:space="preserve"> (14.71%) and </w:t>
            </w:r>
            <w:proofErr w:type="spellStart"/>
            <w:r w:rsidRPr="004E0CE6">
              <w:rPr>
                <w:rFonts w:ascii="Arial" w:eastAsia="Calibri" w:hAnsi="Arial" w:cs="Arial"/>
                <w:szCs w:val="22"/>
              </w:rPr>
              <w:t>Moraceae</w:t>
            </w:r>
            <w:proofErr w:type="spellEnd"/>
            <w:r w:rsidRPr="004E0CE6">
              <w:rPr>
                <w:rFonts w:ascii="Arial" w:eastAsia="Calibri" w:hAnsi="Arial" w:cs="Arial"/>
                <w:szCs w:val="22"/>
              </w:rPr>
              <w:t xml:space="preserve"> (11.76%) families were the most represented; emphasize their ecological importance in the diet of the gibbon. These results show that this species depends on diverse forest types as well as tall canopy trees and stress the urgent need for habitat protection, restoration, and preservation of key food plant species for the long-term survival of Hoolock Gibbons in Northeast India.</w:t>
            </w:r>
          </w:p>
        </w:tc>
      </w:tr>
    </w:tbl>
    <w:p w14:paraId="5EE231A4" w14:textId="77777777" w:rsidR="00636EB2" w:rsidRDefault="00636EB2" w:rsidP="00441B6F">
      <w:pPr>
        <w:pStyle w:val="Body"/>
        <w:spacing w:after="0"/>
        <w:rPr>
          <w:rFonts w:ascii="Arial" w:hAnsi="Arial" w:cs="Arial"/>
          <w:i/>
        </w:rPr>
      </w:pPr>
    </w:p>
    <w:p w14:paraId="26974CED" w14:textId="77777777" w:rsidR="00A24E7E" w:rsidRDefault="00A24E7E" w:rsidP="00441B6F">
      <w:pPr>
        <w:pStyle w:val="Body"/>
        <w:spacing w:after="0"/>
        <w:rPr>
          <w:rFonts w:ascii="Arial" w:hAnsi="Arial" w:cs="Arial"/>
          <w:i/>
        </w:rPr>
      </w:pPr>
      <w:r>
        <w:rPr>
          <w:rFonts w:ascii="Arial" w:hAnsi="Arial" w:cs="Arial"/>
          <w:i/>
        </w:rPr>
        <w:t xml:space="preserve">Keywords: </w:t>
      </w:r>
      <w:r w:rsidR="004E0CE6" w:rsidRPr="004E0CE6">
        <w:rPr>
          <w:rFonts w:ascii="Arial" w:hAnsi="Arial" w:cs="Arial"/>
          <w:i/>
        </w:rPr>
        <w:t>Hoolock Gibbon, feeding ecology, food plant species, Karbi Anglong, forest conservation, Northeast India</w:t>
      </w:r>
    </w:p>
    <w:p w14:paraId="156EEC9A" w14:textId="77777777" w:rsidR="00790ADA" w:rsidRDefault="00790ADA" w:rsidP="00441B6F">
      <w:pPr>
        <w:pStyle w:val="Body"/>
        <w:spacing w:after="0"/>
        <w:rPr>
          <w:rFonts w:ascii="Arial" w:hAnsi="Arial" w:cs="Arial"/>
          <w:i/>
        </w:rPr>
      </w:pPr>
    </w:p>
    <w:p w14:paraId="5B7794E1" w14:textId="77777777" w:rsidR="0024282C" w:rsidRDefault="0024282C" w:rsidP="00441B6F">
      <w:pPr>
        <w:pStyle w:val="Body"/>
        <w:spacing w:after="0"/>
        <w:rPr>
          <w:rFonts w:ascii="Arial" w:hAnsi="Arial" w:cs="Arial"/>
          <w:i/>
          <w:sz w:val="18"/>
        </w:rPr>
      </w:pPr>
    </w:p>
    <w:p w14:paraId="159759C7" w14:textId="77777777" w:rsidR="004E0CE6" w:rsidRDefault="004E0CE6" w:rsidP="00441B6F">
      <w:pPr>
        <w:pStyle w:val="Body"/>
        <w:spacing w:after="0"/>
        <w:rPr>
          <w:rFonts w:ascii="Arial" w:hAnsi="Arial" w:cs="Arial"/>
          <w:i/>
          <w:sz w:val="18"/>
        </w:rPr>
      </w:pPr>
    </w:p>
    <w:p w14:paraId="6A5BD931" w14:textId="77777777" w:rsidR="004E0CE6" w:rsidRDefault="004E0CE6" w:rsidP="00441B6F">
      <w:pPr>
        <w:pStyle w:val="Body"/>
        <w:spacing w:after="0"/>
        <w:rPr>
          <w:rFonts w:ascii="Arial" w:hAnsi="Arial" w:cs="Arial"/>
          <w:i/>
          <w:sz w:val="18"/>
        </w:rPr>
      </w:pPr>
    </w:p>
    <w:p w14:paraId="73FED530" w14:textId="77777777" w:rsidR="00930571" w:rsidRDefault="00930571" w:rsidP="00441B6F">
      <w:pPr>
        <w:pStyle w:val="Body"/>
        <w:spacing w:after="0"/>
        <w:rPr>
          <w:rFonts w:ascii="Arial" w:hAnsi="Arial" w:cs="Arial"/>
          <w:i/>
          <w:sz w:val="18"/>
        </w:rPr>
      </w:pPr>
    </w:p>
    <w:p w14:paraId="124581C9" w14:textId="77777777" w:rsidR="00930571" w:rsidRDefault="00930571" w:rsidP="00930571">
      <w:pPr>
        <w:pStyle w:val="Body"/>
        <w:spacing w:after="0"/>
        <w:ind w:left="180" w:hanging="180"/>
        <w:rPr>
          <w:rFonts w:ascii="Arial" w:hAnsi="Arial" w:cs="Arial"/>
          <w:i/>
          <w:sz w:val="18"/>
        </w:rPr>
      </w:pPr>
    </w:p>
    <w:p w14:paraId="0F90AC80" w14:textId="77777777" w:rsidR="00505F06" w:rsidRPr="00A24E7E" w:rsidRDefault="00505F06" w:rsidP="00441B6F">
      <w:pPr>
        <w:pStyle w:val="Body"/>
        <w:spacing w:after="0"/>
        <w:rPr>
          <w:rFonts w:ascii="Arial" w:hAnsi="Arial" w:cs="Arial"/>
          <w:i/>
        </w:rPr>
      </w:pPr>
    </w:p>
    <w:p w14:paraId="3C3671F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BF8EF7" w14:textId="77777777" w:rsidR="00790ADA" w:rsidRPr="00FB3A86" w:rsidRDefault="00790ADA" w:rsidP="00441B6F">
      <w:pPr>
        <w:pStyle w:val="AbstHead"/>
        <w:spacing w:after="0"/>
        <w:jc w:val="both"/>
        <w:rPr>
          <w:rFonts w:ascii="Arial" w:hAnsi="Arial" w:cs="Arial"/>
        </w:rPr>
      </w:pPr>
    </w:p>
    <w:p w14:paraId="42DC58F8" w14:textId="77777777" w:rsidR="004E0CE6" w:rsidRPr="004E0CE6" w:rsidRDefault="004E0CE6" w:rsidP="004E0CE6">
      <w:pPr>
        <w:pStyle w:val="Body"/>
        <w:rPr>
          <w:rFonts w:ascii="Arial" w:hAnsi="Arial" w:cs="Arial"/>
        </w:rPr>
      </w:pPr>
      <w:r w:rsidRPr="004E0CE6">
        <w:rPr>
          <w:rFonts w:ascii="Arial" w:hAnsi="Arial" w:cs="Arial"/>
        </w:rPr>
        <w:t>Feeding ecology is one of the prime areas of primate behavioral research, offering insights into the complex relationships among species, vegetation, and ecosystem dynamics. Knowledge garnered from primate dietary studies will provide immense insight into resource use, forest regeneration processes, and adaptive strategies in response to various ecological pressures. Such information is crucially important for conservation planning because dietary specialization and habitat fragmentation have often been a critical determinant of the long-term viability of primate populations (Chapman &amp; Chapman, 1990; Estrada et al., 2012).</w:t>
      </w:r>
    </w:p>
    <w:p w14:paraId="1A4E07A0" w14:textId="77777777" w:rsidR="004E0CE6" w:rsidRPr="004E0CE6" w:rsidRDefault="004E0CE6" w:rsidP="004E0CE6">
      <w:pPr>
        <w:pStyle w:val="Body"/>
        <w:rPr>
          <w:rFonts w:ascii="Arial" w:hAnsi="Arial" w:cs="Arial"/>
        </w:rPr>
      </w:pPr>
      <w:r w:rsidRPr="004E0CE6">
        <w:rPr>
          <w:rFonts w:ascii="Arial" w:hAnsi="Arial" w:cs="Arial"/>
        </w:rPr>
        <w:t xml:space="preserve">Among Asian primates, Hoolock Gibbons (Hoolock </w:t>
      </w:r>
      <w:proofErr w:type="spellStart"/>
      <w:r w:rsidRPr="004E0CE6">
        <w:rPr>
          <w:rFonts w:ascii="Arial" w:hAnsi="Arial" w:cs="Arial"/>
        </w:rPr>
        <w:t>hoolock</w:t>
      </w:r>
      <w:proofErr w:type="spellEnd"/>
      <w:r w:rsidRPr="004E0CE6">
        <w:rPr>
          <w:rFonts w:ascii="Arial" w:hAnsi="Arial" w:cs="Arial"/>
        </w:rPr>
        <w:t xml:space="preserve"> and Hoolock </w:t>
      </w:r>
      <w:proofErr w:type="spellStart"/>
      <w:r w:rsidRPr="004E0CE6">
        <w:rPr>
          <w:rFonts w:ascii="Arial" w:hAnsi="Arial" w:cs="Arial"/>
        </w:rPr>
        <w:t>leuconedys</w:t>
      </w:r>
      <w:proofErr w:type="spellEnd"/>
      <w:r w:rsidRPr="004E0CE6">
        <w:rPr>
          <w:rFonts w:ascii="Arial" w:hAnsi="Arial" w:cs="Arial"/>
        </w:rPr>
        <w:t xml:space="preserve">) of the lesser ape family feature as ecologically and behaviorally distinctive taxa inhabiting tropical to subtropical forests in South and Southeast Asia. Their </w:t>
      </w:r>
      <w:r w:rsidRPr="004E0CE6">
        <w:rPr>
          <w:rFonts w:ascii="Arial" w:hAnsi="Arial" w:cs="Arial"/>
        </w:rPr>
        <w:lastRenderedPageBreak/>
        <w:t>range stretches throughout India, Myanmar, China, and Bangladesh, where they can be found in various forest ecosystems that satisfy the ecological needs for their survival (Das et al., 2011). Socially, Hoolock Gibbons have persistent monogamous family groups with one adult pair and their offspring. The juveniles disperse when mature to establish a new territory, which maintains genetic diversity and prevents the risk of inbreeding (Gupta et al., 2005; Choudhury, 2022).</w:t>
      </w:r>
    </w:p>
    <w:p w14:paraId="3E873D52" w14:textId="77777777" w:rsidR="004E0CE6" w:rsidRPr="004E0CE6" w:rsidRDefault="004E0CE6" w:rsidP="004E0CE6">
      <w:pPr>
        <w:pStyle w:val="Body"/>
        <w:rPr>
          <w:rFonts w:ascii="Arial" w:hAnsi="Arial" w:cs="Arial"/>
        </w:rPr>
      </w:pPr>
      <w:r w:rsidRPr="004E0CE6">
        <w:rPr>
          <w:rFonts w:ascii="Arial" w:hAnsi="Arial" w:cs="Arial"/>
        </w:rPr>
        <w:t xml:space="preserve">Of the two recognized species, the Western Hoolock Gibbon (H. hoolock) has a wider distribution across Northeast India, Bangladesh, and Myanmar, but the Eastern Hoolock Gibbon (H. </w:t>
      </w:r>
      <w:proofErr w:type="spellStart"/>
      <w:r w:rsidRPr="004E0CE6">
        <w:rPr>
          <w:rFonts w:ascii="Arial" w:hAnsi="Arial" w:cs="Arial"/>
        </w:rPr>
        <w:t>leuconedys</w:t>
      </w:r>
      <w:proofErr w:type="spellEnd"/>
      <w:r w:rsidRPr="004E0CE6">
        <w:rPr>
          <w:rFonts w:ascii="Arial" w:hAnsi="Arial" w:cs="Arial"/>
        </w:rPr>
        <w:t xml:space="preserve">) has a more geographically limited distribution and is confined to Arunachal Pradesh, parts of Upper Assam, and forest tracts between the Chindwin and Salween rivers in Myanmar and China (Fan &amp; Ai, 2011). In India, populations of H. hoolock are recorded in several protected areas, including Bunning, Jiri </w:t>
      </w:r>
      <w:proofErr w:type="spellStart"/>
      <w:r w:rsidRPr="004E0CE6">
        <w:rPr>
          <w:rFonts w:ascii="Arial" w:hAnsi="Arial" w:cs="Arial"/>
        </w:rPr>
        <w:t>Makru</w:t>
      </w:r>
      <w:proofErr w:type="spellEnd"/>
      <w:r w:rsidRPr="004E0CE6">
        <w:rPr>
          <w:rFonts w:ascii="Arial" w:hAnsi="Arial" w:cs="Arial"/>
        </w:rPr>
        <w:t xml:space="preserve">, </w:t>
      </w:r>
      <w:proofErr w:type="spellStart"/>
      <w:r w:rsidRPr="004E0CE6">
        <w:rPr>
          <w:rFonts w:ascii="Arial" w:hAnsi="Arial" w:cs="Arial"/>
        </w:rPr>
        <w:t>Kailam</w:t>
      </w:r>
      <w:proofErr w:type="spellEnd"/>
      <w:r w:rsidRPr="004E0CE6">
        <w:rPr>
          <w:rFonts w:ascii="Arial" w:hAnsi="Arial" w:cs="Arial"/>
        </w:rPr>
        <w:t xml:space="preserve">, and </w:t>
      </w:r>
      <w:proofErr w:type="spellStart"/>
      <w:r w:rsidRPr="004E0CE6">
        <w:rPr>
          <w:rFonts w:ascii="Arial" w:hAnsi="Arial" w:cs="Arial"/>
        </w:rPr>
        <w:t>Yangoupo</w:t>
      </w:r>
      <w:proofErr w:type="spellEnd"/>
      <w:r w:rsidRPr="004E0CE6">
        <w:rPr>
          <w:rFonts w:ascii="Arial" w:hAnsi="Arial" w:cs="Arial"/>
        </w:rPr>
        <w:t xml:space="preserve"> Wildlife Sanctuaries (Choudhury, 2006). Currently, the species is listed as Endangered in the IUCN Red List (IUCN, 2023), mainly on account of accelerating habitat loss and fragmentation, coupled with hunting pressure over its range.</w:t>
      </w:r>
    </w:p>
    <w:p w14:paraId="65485578" w14:textId="77777777" w:rsidR="004E0CE6" w:rsidRPr="004E0CE6" w:rsidRDefault="004E0CE6" w:rsidP="004E0CE6">
      <w:pPr>
        <w:pStyle w:val="Body"/>
        <w:rPr>
          <w:rFonts w:ascii="Arial" w:hAnsi="Arial" w:cs="Arial"/>
        </w:rPr>
      </w:pPr>
      <w:r w:rsidRPr="004E0CE6">
        <w:rPr>
          <w:rFonts w:ascii="Arial" w:hAnsi="Arial" w:cs="Arial"/>
        </w:rPr>
        <w:t>The survival and distribution of Hoolock Gibbons are inextricably related to the abundance and variety of food resources, which in fragmented habitats are often considerably limited. In relation to their nutritional needs, gibbons occupy home ranges from 0.15 to 0.35 km², with daily movements ranging 1-2.5 km while foraging for fruits, leaves, flowers, and seeds (Gupta et al., 2005; Biswas et al., 2016). Anthropogenic impacts through shifting cultivation, logging, and settlement expansion have drastically reduced connectivity among forests, confining the populations to small, isolated forest patches (Borah et al., 2018). In such areas, gibbon persistence is influenced by behavioral adaptability and spatial availability of key food plant species (Onderdonk &amp; Chapman, 2000).</w:t>
      </w:r>
    </w:p>
    <w:p w14:paraId="2303BEE7" w14:textId="77777777" w:rsidR="004E0CE6" w:rsidRPr="004E0CE6" w:rsidRDefault="004E0CE6" w:rsidP="004E0CE6">
      <w:pPr>
        <w:pStyle w:val="Body"/>
        <w:rPr>
          <w:rFonts w:ascii="Arial" w:hAnsi="Arial" w:cs="Arial"/>
        </w:rPr>
      </w:pPr>
      <w:r w:rsidRPr="004E0CE6">
        <w:rPr>
          <w:rFonts w:ascii="Arial" w:hAnsi="Arial" w:cs="Arial"/>
        </w:rPr>
        <w:t>Though different aspects of general ecology, social organization, and habitat utilization by Hoolock Gibbons have been studied in Northeast India (Gupta et al., 2005; Chetry et al., 2021; Choudhury, 2022), detailed studies on the diversity, composition, and seasonal variation of food plant species in any specific forest complex are few. Moreover, many of these earlier studies emphasized broad classes of forest types without integrating detailed species-specific data on gibbon-feeding ecology. This hinders thorough analysis of how vegetation structure, phenological cycles, and forest stratification affect their dietary choices and habitat use.</w:t>
      </w:r>
    </w:p>
    <w:p w14:paraId="61BF6361" w14:textId="77777777" w:rsidR="00385303" w:rsidRDefault="004E0CE6" w:rsidP="004E0CE6">
      <w:pPr>
        <w:pStyle w:val="Body"/>
        <w:spacing w:after="0"/>
        <w:rPr>
          <w:rFonts w:ascii="Arial" w:hAnsi="Arial" w:cs="Arial"/>
        </w:rPr>
      </w:pPr>
      <w:r w:rsidRPr="004E0CE6">
        <w:rPr>
          <w:rFonts w:ascii="Arial" w:hAnsi="Arial" w:cs="Arial"/>
        </w:rPr>
        <w:t>The present study therefore seeks to examine the feeding ecology of the Western Hoolock Gibbon in the Marat Longri–Patradisa–Longnit Forest Complex of Karbi Anglong, Assam. The specific objectives are: Document the diversity and taxonomic composition of food plant species utilized by gibbons; Examine the seasonal variation in availability and use of different plant parts; and Assess vertical, height-wise, and habitat-wise distribution of food plants in different forest types. Such a study will add to the knowledge of feeding ecology in a fragmented landscape by integrating field-based ecological observations with quantitative analysis of the Western Hoolock Gibbon. The findings are expected to yield useful baseline information in support of future habitat management, restoration initiatives, and long-term conservation planning for this endangered primate species in Northeast India.</w:t>
      </w:r>
    </w:p>
    <w:p w14:paraId="06547AAD" w14:textId="77777777" w:rsidR="00385303" w:rsidRPr="00FB3A86" w:rsidRDefault="00385303" w:rsidP="004E0CE6">
      <w:pPr>
        <w:pStyle w:val="Body"/>
        <w:spacing w:after="0"/>
        <w:rPr>
          <w:rFonts w:ascii="Arial" w:hAnsi="Arial" w:cs="Arial"/>
        </w:rPr>
      </w:pPr>
    </w:p>
    <w:p w14:paraId="71F2EAAE"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F21F905" w14:textId="77777777" w:rsidR="00385303" w:rsidRPr="00385303" w:rsidRDefault="00241C0D" w:rsidP="00385303">
      <w:pPr>
        <w:spacing w:before="100" w:beforeAutospacing="1" w:after="100" w:afterAutospacing="1"/>
        <w:jc w:val="both"/>
        <w:outlineLvl w:val="2"/>
        <w:rPr>
          <w:rFonts w:ascii="Arial" w:hAnsi="Arial" w:cs="Arial"/>
          <w:b/>
          <w:bCs/>
        </w:rPr>
      </w:pPr>
      <w:r>
        <w:rPr>
          <w:rFonts w:ascii="Arial" w:hAnsi="Arial" w:cs="Arial"/>
          <w:b/>
          <w:bCs/>
        </w:rPr>
        <w:t>2.1</w:t>
      </w:r>
      <w:r w:rsidR="00385303" w:rsidRPr="00385303">
        <w:rPr>
          <w:rFonts w:ascii="Arial" w:hAnsi="Arial" w:cs="Arial"/>
          <w:b/>
          <w:bCs/>
        </w:rPr>
        <w:t>. Study Area</w:t>
      </w:r>
    </w:p>
    <w:p w14:paraId="255AE632"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 xml:space="preserve">The Marat Longri–Patradisa–Longnit Forest Complex is an ecologically significant region in Karbi Anglong, Assam, characterized by semi-evergreen and moist deciduous forests. The area supports rich floral and faunal diversity and sustains local communities who depend on forest resources for their livelihoods. The </w:t>
      </w:r>
      <w:r w:rsidRPr="00385303">
        <w:rPr>
          <w:rFonts w:ascii="Arial" w:eastAsia="Calibri" w:hAnsi="Arial" w:cs="Arial"/>
        </w:rPr>
        <w:t xml:space="preserve">complex is geographically situated between 93°08′E and 93°30′E longitude and 25°45′N and 26°10′N latitude, encompassing an area of 802 km². The complex includes seven significant forest divisions, comprising both Reserve Forests (R.F.) and District Council Reserve Forests (D.C.R.F.), namely </w:t>
      </w:r>
      <w:proofErr w:type="spellStart"/>
      <w:r w:rsidRPr="00385303">
        <w:rPr>
          <w:rFonts w:ascii="Arial" w:eastAsia="Calibri" w:hAnsi="Arial" w:cs="Arial"/>
        </w:rPr>
        <w:t>Miyungdisa</w:t>
      </w:r>
      <w:proofErr w:type="spellEnd"/>
      <w:r w:rsidRPr="00385303">
        <w:rPr>
          <w:rFonts w:ascii="Arial" w:eastAsia="Calibri" w:hAnsi="Arial" w:cs="Arial"/>
        </w:rPr>
        <w:t xml:space="preserve"> (D.C.R.F.), </w:t>
      </w:r>
      <w:proofErr w:type="spellStart"/>
      <w:r w:rsidRPr="00385303">
        <w:rPr>
          <w:rFonts w:ascii="Arial" w:eastAsia="Calibri" w:hAnsi="Arial" w:cs="Arial"/>
        </w:rPr>
        <w:t>Disama</w:t>
      </w:r>
      <w:proofErr w:type="spellEnd"/>
      <w:r w:rsidRPr="00385303">
        <w:rPr>
          <w:rFonts w:ascii="Arial" w:eastAsia="Calibri" w:hAnsi="Arial" w:cs="Arial"/>
        </w:rPr>
        <w:t xml:space="preserve"> (R.F.), Kaki (R.F.), </w:t>
      </w:r>
      <w:proofErr w:type="spellStart"/>
      <w:r w:rsidRPr="00385303">
        <w:rPr>
          <w:rFonts w:ascii="Arial" w:eastAsia="Calibri" w:hAnsi="Arial" w:cs="Arial"/>
        </w:rPr>
        <w:t>Englongkiri</w:t>
      </w:r>
      <w:proofErr w:type="spellEnd"/>
      <w:r w:rsidRPr="00385303">
        <w:rPr>
          <w:rFonts w:ascii="Arial" w:eastAsia="Calibri" w:hAnsi="Arial" w:cs="Arial"/>
        </w:rPr>
        <w:t xml:space="preserve"> (D.C.R.F.), </w:t>
      </w:r>
      <w:proofErr w:type="spellStart"/>
      <w:r w:rsidRPr="00385303">
        <w:rPr>
          <w:rFonts w:ascii="Arial" w:eastAsia="Calibri" w:hAnsi="Arial" w:cs="Arial"/>
        </w:rPr>
        <w:t>Patradisa</w:t>
      </w:r>
      <w:proofErr w:type="spellEnd"/>
      <w:r w:rsidRPr="00385303">
        <w:rPr>
          <w:rFonts w:ascii="Arial" w:eastAsia="Calibri" w:hAnsi="Arial" w:cs="Arial"/>
        </w:rPr>
        <w:t xml:space="preserve"> (R.F.), </w:t>
      </w:r>
      <w:proofErr w:type="spellStart"/>
      <w:r w:rsidRPr="00385303">
        <w:rPr>
          <w:rFonts w:ascii="Arial" w:eastAsia="Calibri" w:hAnsi="Arial" w:cs="Arial"/>
        </w:rPr>
        <w:t>Longnit</w:t>
      </w:r>
      <w:proofErr w:type="spellEnd"/>
      <w:r w:rsidRPr="00385303">
        <w:rPr>
          <w:rFonts w:ascii="Arial" w:eastAsia="Calibri" w:hAnsi="Arial" w:cs="Arial"/>
        </w:rPr>
        <w:t xml:space="preserve"> (R.F.), and </w:t>
      </w:r>
      <w:proofErr w:type="spellStart"/>
      <w:r w:rsidRPr="00385303">
        <w:rPr>
          <w:rFonts w:ascii="Arial" w:eastAsia="Calibri" w:hAnsi="Arial" w:cs="Arial"/>
        </w:rPr>
        <w:t>Khonbamun</w:t>
      </w:r>
      <w:proofErr w:type="spellEnd"/>
      <w:r w:rsidRPr="00385303">
        <w:rPr>
          <w:rFonts w:ascii="Arial" w:eastAsia="Calibri" w:hAnsi="Arial" w:cs="Arial"/>
        </w:rPr>
        <w:t xml:space="preserve"> (D.C.R.F.).</w:t>
      </w:r>
    </w:p>
    <w:p w14:paraId="2B3DDA8A" w14:textId="77777777" w:rsidR="00385303" w:rsidRPr="00385303" w:rsidRDefault="00385303" w:rsidP="00385303">
      <w:pPr>
        <w:spacing w:before="100" w:beforeAutospacing="1" w:after="100" w:afterAutospacing="1"/>
        <w:jc w:val="center"/>
        <w:rPr>
          <w:rFonts w:ascii="Arial" w:hAnsi="Arial" w:cs="Arial"/>
        </w:rPr>
      </w:pPr>
      <w:r w:rsidRPr="00385303">
        <w:rPr>
          <w:rFonts w:ascii="Arial" w:hAnsi="Arial" w:cs="Arial"/>
          <w:noProof/>
        </w:rPr>
        <w:lastRenderedPageBreak/>
        <w:drawing>
          <wp:inline distT="0" distB="0" distL="0" distR="0" wp14:anchorId="6A596FD2" wp14:editId="0423C9EC">
            <wp:extent cx="4864664" cy="3759200"/>
            <wp:effectExtent l="19050" t="1905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cation map.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75510" cy="3767581"/>
                    </a:xfrm>
                    <a:prstGeom prst="rect">
                      <a:avLst/>
                    </a:prstGeom>
                    <a:ln>
                      <a:solidFill>
                        <a:sysClr val="windowText" lastClr="000000">
                          <a:alpha val="98000"/>
                        </a:sysClr>
                      </a:solidFill>
                    </a:ln>
                  </pic:spPr>
                </pic:pic>
              </a:graphicData>
            </a:graphic>
          </wp:inline>
        </w:drawing>
      </w:r>
    </w:p>
    <w:p w14:paraId="7EF5B9D2" w14:textId="77777777" w:rsidR="00385303" w:rsidRPr="00385303" w:rsidRDefault="00385303" w:rsidP="00385303">
      <w:pPr>
        <w:spacing w:before="100" w:beforeAutospacing="1" w:after="100" w:afterAutospacing="1"/>
        <w:jc w:val="both"/>
        <w:rPr>
          <w:rFonts w:ascii="Arial" w:hAnsi="Arial" w:cs="Arial"/>
        </w:rPr>
      </w:pPr>
    </w:p>
    <w:p w14:paraId="33E69763" w14:textId="77777777" w:rsidR="00385303" w:rsidRPr="00385303" w:rsidRDefault="00385303" w:rsidP="00385303">
      <w:pPr>
        <w:spacing w:before="100" w:beforeAutospacing="1" w:after="100" w:afterAutospacing="1"/>
        <w:jc w:val="center"/>
        <w:rPr>
          <w:rFonts w:ascii="Arial" w:hAnsi="Arial" w:cs="Arial"/>
        </w:rPr>
      </w:pPr>
      <w:r w:rsidRPr="00385303">
        <w:rPr>
          <w:rFonts w:ascii="Arial" w:hAnsi="Arial" w:cs="Arial"/>
        </w:rPr>
        <w:t>Fig 1: Location Map of Study Area</w:t>
      </w:r>
    </w:p>
    <w:p w14:paraId="304A9299" w14:textId="77777777" w:rsidR="00385303" w:rsidRPr="00385303" w:rsidRDefault="00241C0D" w:rsidP="00385303">
      <w:pPr>
        <w:spacing w:before="100" w:beforeAutospacing="1" w:after="100" w:afterAutospacing="1"/>
        <w:jc w:val="both"/>
        <w:outlineLvl w:val="2"/>
        <w:rPr>
          <w:rFonts w:ascii="Arial" w:hAnsi="Arial" w:cs="Arial"/>
          <w:b/>
          <w:bCs/>
        </w:rPr>
      </w:pPr>
      <w:r>
        <w:rPr>
          <w:rFonts w:ascii="Arial" w:hAnsi="Arial" w:cs="Arial"/>
          <w:b/>
          <w:bCs/>
        </w:rPr>
        <w:t>2.2</w:t>
      </w:r>
      <w:r w:rsidR="00385303" w:rsidRPr="00385303">
        <w:rPr>
          <w:rFonts w:ascii="Arial" w:hAnsi="Arial" w:cs="Arial"/>
          <w:b/>
          <w:bCs/>
        </w:rPr>
        <w:t>. Data Collection</w:t>
      </w:r>
    </w:p>
    <w:p w14:paraId="37E6C50F" w14:textId="77777777" w:rsidR="00385303" w:rsidRPr="00385303" w:rsidRDefault="00385303" w:rsidP="00385303">
      <w:pPr>
        <w:spacing w:before="100" w:beforeAutospacing="1" w:after="100" w:afterAutospacing="1"/>
        <w:jc w:val="both"/>
        <w:outlineLvl w:val="3"/>
        <w:rPr>
          <w:rFonts w:ascii="Arial" w:hAnsi="Arial" w:cs="Arial"/>
          <w:b/>
          <w:bCs/>
        </w:rPr>
      </w:pPr>
      <w:r w:rsidRPr="00385303">
        <w:rPr>
          <w:rFonts w:ascii="Arial" w:hAnsi="Arial" w:cs="Arial"/>
          <w:b/>
          <w:bCs/>
        </w:rPr>
        <w:t>Data</w:t>
      </w:r>
    </w:p>
    <w:p w14:paraId="2B22A33F" w14:textId="77777777" w:rsidR="00385303" w:rsidRPr="00385303" w:rsidRDefault="00241C0D" w:rsidP="00385303">
      <w:pPr>
        <w:spacing w:before="100" w:beforeAutospacing="1" w:after="100" w:afterAutospacing="1"/>
        <w:jc w:val="both"/>
        <w:outlineLvl w:val="3"/>
        <w:rPr>
          <w:rFonts w:ascii="Arial" w:hAnsi="Arial" w:cs="Arial"/>
        </w:rPr>
      </w:pPr>
      <w:r w:rsidRPr="00241C0D">
        <w:rPr>
          <w:rFonts w:ascii="Arial" w:hAnsi="Arial" w:cs="Arial"/>
        </w:rPr>
        <w:t>A year-long survey (September 2023–August 2024) was conducted to capture temporal patterns in gibbon feeding behavior and plant resource availability.</w:t>
      </w:r>
      <w:r>
        <w:rPr>
          <w:rFonts w:ascii="Arial" w:hAnsi="Arial" w:cs="Arial"/>
        </w:rPr>
        <w:t xml:space="preserve"> </w:t>
      </w:r>
      <w:r w:rsidR="00385303" w:rsidRPr="00385303">
        <w:rPr>
          <w:rFonts w:ascii="Arial" w:hAnsi="Arial" w:cs="Arial"/>
        </w:rPr>
        <w:t xml:space="preserve">Direct feeding observations were carried out using focal animal </w:t>
      </w:r>
      <w:r w:rsidRPr="00385303">
        <w:rPr>
          <w:rFonts w:ascii="Arial" w:hAnsi="Arial" w:cs="Arial"/>
        </w:rPr>
        <w:t>sampling techniques</w:t>
      </w:r>
      <w:r w:rsidR="00385303" w:rsidRPr="00385303">
        <w:rPr>
          <w:rFonts w:ascii="Arial" w:hAnsi="Arial" w:cs="Arial"/>
        </w:rPr>
        <w:t xml:space="preserve"> as outlined by Altmann (1974). Observations were </w:t>
      </w:r>
      <w:r w:rsidR="004B0370" w:rsidRPr="00385303">
        <w:rPr>
          <w:rFonts w:ascii="Arial" w:hAnsi="Arial" w:cs="Arial"/>
        </w:rPr>
        <w:t xml:space="preserve">recorded </w:t>
      </w:r>
      <w:r w:rsidR="004B0370">
        <w:rPr>
          <w:rFonts w:ascii="Arial" w:hAnsi="Arial" w:cs="Arial"/>
        </w:rPr>
        <w:t>(</w:t>
      </w:r>
      <w:r w:rsidR="00385303" w:rsidRPr="00385303">
        <w:rPr>
          <w:rFonts w:ascii="Arial" w:hAnsi="Arial" w:cs="Arial"/>
        </w:rPr>
        <w:t>i) the plant species consumed, (ii) the specific plant part eaten (fruit, leaf, flower, seed, or bark), and (iii) the growth form of the plant (tree, shrub, climber, or herb).</w:t>
      </w:r>
    </w:p>
    <w:p w14:paraId="6ADD76B6" w14:textId="77777777" w:rsidR="00385303" w:rsidRPr="00385303" w:rsidRDefault="00385303" w:rsidP="00385303">
      <w:pPr>
        <w:spacing w:before="100" w:beforeAutospacing="1" w:after="100" w:afterAutospacing="1"/>
        <w:jc w:val="both"/>
        <w:outlineLvl w:val="3"/>
        <w:rPr>
          <w:rFonts w:ascii="Arial" w:hAnsi="Arial" w:cs="Arial"/>
        </w:rPr>
      </w:pPr>
      <w:r w:rsidRPr="00385303">
        <w:rPr>
          <w:rFonts w:ascii="Arial" w:hAnsi="Arial" w:cs="Arial"/>
        </w:rPr>
        <w:t>Whenever possible, plant specimens were photographed and collected for later identification. Taxonomic identification was carried out by expert of the Assam Forest Department. The vernacular names of the plants were also obtained from local field assistants, which were cross-checked during the identification process.</w:t>
      </w:r>
    </w:p>
    <w:p w14:paraId="4D200141" w14:textId="77777777" w:rsidR="00385303" w:rsidRPr="00385303" w:rsidRDefault="00385303" w:rsidP="00385303">
      <w:pPr>
        <w:spacing w:before="100" w:beforeAutospacing="1" w:after="100" w:afterAutospacing="1"/>
        <w:jc w:val="both"/>
        <w:outlineLvl w:val="3"/>
        <w:rPr>
          <w:rFonts w:ascii="Arial" w:hAnsi="Arial" w:cs="Arial"/>
          <w:b/>
          <w:bCs/>
        </w:rPr>
      </w:pPr>
      <w:r w:rsidRPr="00385303">
        <w:rPr>
          <w:rFonts w:ascii="Arial" w:hAnsi="Arial" w:cs="Arial"/>
          <w:b/>
          <w:bCs/>
        </w:rPr>
        <w:t>Seasonal Classification</w:t>
      </w:r>
    </w:p>
    <w:p w14:paraId="5FDCEC0F"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To examine temporal variations in diet, the dataset was divided into four seasonal categories:</w:t>
      </w:r>
    </w:p>
    <w:p w14:paraId="3958E64C" w14:textId="77777777" w:rsidR="00385303" w:rsidRPr="00385303" w:rsidRDefault="00385303" w:rsidP="00385303">
      <w:pPr>
        <w:numPr>
          <w:ilvl w:val="0"/>
          <w:numId w:val="31"/>
        </w:numPr>
        <w:spacing w:before="100" w:beforeAutospacing="1" w:after="100" w:afterAutospacing="1"/>
        <w:jc w:val="both"/>
        <w:rPr>
          <w:rFonts w:ascii="Arial" w:hAnsi="Arial" w:cs="Arial"/>
        </w:rPr>
      </w:pPr>
      <w:r w:rsidRPr="00385303">
        <w:rPr>
          <w:rFonts w:ascii="Arial" w:hAnsi="Arial" w:cs="Arial"/>
        </w:rPr>
        <w:t>Post-Monsoon: September–November</w:t>
      </w:r>
    </w:p>
    <w:p w14:paraId="2287CC33" w14:textId="77777777" w:rsidR="00385303" w:rsidRPr="00385303" w:rsidRDefault="00385303" w:rsidP="00385303">
      <w:pPr>
        <w:numPr>
          <w:ilvl w:val="0"/>
          <w:numId w:val="31"/>
        </w:numPr>
        <w:spacing w:before="100" w:beforeAutospacing="1" w:after="100" w:afterAutospacing="1"/>
        <w:jc w:val="both"/>
        <w:rPr>
          <w:rFonts w:ascii="Arial" w:hAnsi="Arial" w:cs="Arial"/>
        </w:rPr>
      </w:pPr>
      <w:r w:rsidRPr="00385303">
        <w:rPr>
          <w:rFonts w:ascii="Arial" w:hAnsi="Arial" w:cs="Arial"/>
        </w:rPr>
        <w:t>Winter: December–February</w:t>
      </w:r>
    </w:p>
    <w:p w14:paraId="4EB18B28" w14:textId="77777777" w:rsidR="00385303" w:rsidRPr="00385303" w:rsidRDefault="00385303" w:rsidP="00385303">
      <w:pPr>
        <w:numPr>
          <w:ilvl w:val="0"/>
          <w:numId w:val="31"/>
        </w:numPr>
        <w:spacing w:before="100" w:beforeAutospacing="1" w:after="100" w:afterAutospacing="1"/>
        <w:jc w:val="both"/>
        <w:rPr>
          <w:rFonts w:ascii="Arial" w:hAnsi="Arial" w:cs="Arial"/>
        </w:rPr>
      </w:pPr>
      <w:r w:rsidRPr="00385303">
        <w:rPr>
          <w:rFonts w:ascii="Arial" w:hAnsi="Arial" w:cs="Arial"/>
        </w:rPr>
        <w:t>Pre-Monsoon: March–May</w:t>
      </w:r>
    </w:p>
    <w:p w14:paraId="0C345414" w14:textId="77777777" w:rsidR="00385303" w:rsidRPr="00385303" w:rsidRDefault="00385303" w:rsidP="00385303">
      <w:pPr>
        <w:numPr>
          <w:ilvl w:val="0"/>
          <w:numId w:val="31"/>
        </w:numPr>
        <w:spacing w:before="100" w:beforeAutospacing="1" w:after="100" w:afterAutospacing="1"/>
        <w:jc w:val="both"/>
        <w:rPr>
          <w:rFonts w:ascii="Arial" w:hAnsi="Arial" w:cs="Arial"/>
        </w:rPr>
      </w:pPr>
      <w:r w:rsidRPr="00385303">
        <w:rPr>
          <w:rFonts w:ascii="Arial" w:hAnsi="Arial" w:cs="Arial"/>
        </w:rPr>
        <w:t>Monsoon: June–August</w:t>
      </w:r>
    </w:p>
    <w:p w14:paraId="4E8A2EE0"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For each season, the frequency of plant species and plant parts consumed was quantified.</w:t>
      </w:r>
    </w:p>
    <w:p w14:paraId="26351647" w14:textId="77777777" w:rsidR="00385303" w:rsidRPr="00385303" w:rsidRDefault="00385303" w:rsidP="00385303">
      <w:pPr>
        <w:spacing w:before="100" w:beforeAutospacing="1" w:after="100" w:afterAutospacing="1"/>
        <w:jc w:val="both"/>
        <w:outlineLvl w:val="2"/>
        <w:rPr>
          <w:rFonts w:ascii="Arial" w:hAnsi="Arial" w:cs="Arial"/>
          <w:b/>
          <w:bCs/>
        </w:rPr>
      </w:pPr>
      <w:r w:rsidRPr="00385303">
        <w:rPr>
          <w:rFonts w:ascii="Arial" w:hAnsi="Arial" w:cs="Arial"/>
          <w:b/>
          <w:bCs/>
        </w:rPr>
        <w:t>2.4. Data Analysis</w:t>
      </w:r>
    </w:p>
    <w:p w14:paraId="5DA45F88" w14:textId="77777777" w:rsidR="00385303" w:rsidRPr="00385303" w:rsidRDefault="00385303" w:rsidP="00385303">
      <w:pPr>
        <w:spacing w:before="100" w:beforeAutospacing="1" w:after="100" w:afterAutospacing="1"/>
        <w:jc w:val="both"/>
        <w:outlineLvl w:val="3"/>
        <w:rPr>
          <w:rFonts w:ascii="Arial" w:hAnsi="Arial" w:cs="Arial"/>
          <w:b/>
          <w:bCs/>
        </w:rPr>
      </w:pPr>
      <w:r w:rsidRPr="00385303">
        <w:rPr>
          <w:rFonts w:ascii="Arial" w:hAnsi="Arial" w:cs="Arial"/>
          <w:b/>
          <w:bCs/>
        </w:rPr>
        <w:lastRenderedPageBreak/>
        <w:t>Compilation and Categorization</w:t>
      </w:r>
    </w:p>
    <w:p w14:paraId="05F1D806"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All feeding observations were organized into a species-specific dataset. Species were categorized by vegetation type, plant family, growth form, height class, and seasonal availability.</w:t>
      </w:r>
    </w:p>
    <w:p w14:paraId="29F91C12" w14:textId="77777777" w:rsidR="00385303" w:rsidRPr="00385303" w:rsidRDefault="00385303" w:rsidP="00385303">
      <w:pPr>
        <w:spacing w:before="100" w:beforeAutospacing="1" w:after="100" w:afterAutospacing="1"/>
        <w:jc w:val="both"/>
        <w:outlineLvl w:val="3"/>
        <w:rPr>
          <w:rFonts w:ascii="Arial" w:hAnsi="Arial" w:cs="Arial"/>
          <w:b/>
          <w:bCs/>
        </w:rPr>
      </w:pPr>
      <w:r w:rsidRPr="00385303">
        <w:rPr>
          <w:rFonts w:ascii="Arial" w:hAnsi="Arial" w:cs="Arial"/>
          <w:b/>
          <w:bCs/>
        </w:rPr>
        <w:t>Relative Proportion Analysis</w:t>
      </w:r>
    </w:p>
    <w:p w14:paraId="54B6B9BA"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The relative contribution of vegetation types, plant families, height classes, and seasonal availability was quantified using the following formulas</w:t>
      </w:r>
    </w:p>
    <w:p w14:paraId="00FFF096" w14:textId="77777777" w:rsidR="00385303" w:rsidRPr="00385303" w:rsidRDefault="00385303" w:rsidP="00385303">
      <w:pPr>
        <w:spacing w:before="100" w:beforeAutospacing="1" w:after="100" w:afterAutospacing="1"/>
        <w:jc w:val="both"/>
        <w:rPr>
          <w:rFonts w:ascii="Arial" w:hAnsi="Arial" w:cs="Arial"/>
          <w:b/>
        </w:rPr>
      </w:pPr>
      <w:r w:rsidRPr="00385303">
        <w:rPr>
          <w:rFonts w:ascii="Arial" w:hAnsi="Arial" w:cs="Arial"/>
          <w:b/>
        </w:rPr>
        <w:t>Relative Proportion (RP) Analysis:</w:t>
      </w:r>
    </w:p>
    <w:p w14:paraId="75BD6010"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The relative proportion (RP) plants parts was calculated as</w:t>
      </w:r>
    </w:p>
    <w:p w14:paraId="7D1B4124" w14:textId="77777777" w:rsidR="00385303" w:rsidRPr="00385303" w:rsidRDefault="00385303" w:rsidP="00385303">
      <w:pPr>
        <w:spacing w:before="100" w:beforeAutospacing="1" w:after="100" w:afterAutospacing="1"/>
        <w:jc w:val="center"/>
        <w:rPr>
          <w:rFonts w:ascii="Arial" w:hAnsi="Arial" w:cs="Arial"/>
          <w:vertAlign w:val="subscript"/>
        </w:rPr>
      </w:pPr>
      <w:r w:rsidRPr="00385303">
        <w:rPr>
          <w:rFonts w:ascii="Arial" w:eastAsia="Calibri" w:hAnsi="Arial" w:cs="Arial"/>
        </w:rPr>
        <w:t xml:space="preserve">RP </w:t>
      </w:r>
      <w:r w:rsidRPr="00385303">
        <w:rPr>
          <w:rFonts w:ascii="Arial" w:eastAsia="Calibri" w:hAnsi="Arial" w:cs="Arial"/>
          <w:vertAlign w:val="subscript"/>
        </w:rPr>
        <w:t xml:space="preserve">Plant Part(%) = </w:t>
      </w:r>
      <m:oMath>
        <m:f>
          <m:fPr>
            <m:ctrlPr>
              <w:rPr>
                <w:rFonts w:ascii="Cambria Math" w:eastAsia="Calibri" w:hAnsi="Cambria Math" w:cs="Arial"/>
                <w:i/>
                <w:vertAlign w:val="subscript"/>
              </w:rPr>
            </m:ctrlPr>
          </m:fPr>
          <m:num>
            <m:r>
              <w:rPr>
                <w:rFonts w:ascii="Cambria Math" w:eastAsia="Calibri" w:hAnsi="Cambria Math" w:cs="Arial"/>
                <w:vertAlign w:val="subscript"/>
              </w:rPr>
              <m:t>Number of species in a given plants parts</m:t>
            </m:r>
          </m:num>
          <m:den>
            <m:r>
              <w:rPr>
                <w:rFonts w:ascii="Cambria Math" w:eastAsia="Calibri" w:hAnsi="Cambria Math" w:cs="Arial"/>
                <w:vertAlign w:val="subscript"/>
              </w:rPr>
              <m:t xml:space="preserve">Total Number of species recorded </m:t>
            </m:r>
          </m:den>
        </m:f>
        <m:r>
          <w:rPr>
            <w:rFonts w:ascii="Cambria Math" w:eastAsia="Calibri" w:hAnsi="Cambria Math" w:cs="Arial"/>
            <w:vertAlign w:val="subscript"/>
          </w:rPr>
          <m:t xml:space="preserve"> ×100</m:t>
        </m:r>
      </m:oMath>
      <w:r w:rsidRPr="00385303">
        <w:rPr>
          <w:rFonts w:ascii="Arial" w:hAnsi="Arial" w:cs="Arial"/>
          <w:vertAlign w:val="subscript"/>
        </w:rPr>
        <w:t>……………………………(1)</w:t>
      </w:r>
    </w:p>
    <w:p w14:paraId="199F0D13" w14:textId="77777777" w:rsidR="00385303" w:rsidRPr="00385303" w:rsidRDefault="00385303" w:rsidP="00385303">
      <w:pPr>
        <w:spacing w:before="100" w:beforeAutospacing="1" w:after="100" w:afterAutospacing="1"/>
        <w:jc w:val="both"/>
        <w:rPr>
          <w:rFonts w:ascii="Arial" w:hAnsi="Arial" w:cs="Arial"/>
          <w:b/>
        </w:rPr>
      </w:pPr>
    </w:p>
    <w:p w14:paraId="05C54349"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 xml:space="preserve">The </w:t>
      </w:r>
      <w:r w:rsidRPr="00385303">
        <w:rPr>
          <w:rFonts w:ascii="Arial" w:hAnsi="Arial" w:cs="Arial"/>
          <w:bCs/>
        </w:rPr>
        <w:t xml:space="preserve">relative proportion (RP) </w:t>
      </w:r>
      <w:r w:rsidRPr="00385303">
        <w:rPr>
          <w:rFonts w:ascii="Arial" w:eastAsia="Calibri" w:hAnsi="Arial" w:cs="Arial"/>
        </w:rPr>
        <w:t xml:space="preserve">of vegetation types </w:t>
      </w:r>
      <w:r w:rsidRPr="00385303">
        <w:rPr>
          <w:rFonts w:ascii="Arial" w:hAnsi="Arial" w:cs="Arial"/>
        </w:rPr>
        <w:t>was calculated as</w:t>
      </w:r>
      <w:r w:rsidRPr="00385303">
        <w:rPr>
          <w:rFonts w:ascii="Arial" w:eastAsia="Calibri" w:hAnsi="Arial" w:cs="Arial"/>
        </w:rPr>
        <w:t xml:space="preserve"> </w:t>
      </w:r>
    </w:p>
    <w:p w14:paraId="7BB2EF87" w14:textId="77777777" w:rsidR="00385303" w:rsidRPr="00385303" w:rsidRDefault="00385303" w:rsidP="00385303">
      <w:pPr>
        <w:spacing w:before="100" w:beforeAutospacing="1" w:after="100" w:afterAutospacing="1"/>
        <w:jc w:val="center"/>
        <w:rPr>
          <w:rFonts w:ascii="Arial" w:hAnsi="Arial" w:cs="Arial"/>
          <w:vertAlign w:val="subscript"/>
        </w:rPr>
      </w:pPr>
      <w:r w:rsidRPr="009748E7">
        <w:rPr>
          <w:rFonts w:ascii="Arial" w:eastAsia="Calibri" w:hAnsi="Arial" w:cs="Arial"/>
          <w:lang w:val="fr-FR"/>
        </w:rPr>
        <w:t xml:space="preserve">RP </w:t>
      </w:r>
      <w:proofErr w:type="spellStart"/>
      <w:r w:rsidRPr="009748E7">
        <w:rPr>
          <w:rFonts w:ascii="Arial" w:eastAsia="Calibri" w:hAnsi="Arial" w:cs="Arial"/>
          <w:vertAlign w:val="subscript"/>
          <w:lang w:val="fr-FR"/>
        </w:rPr>
        <w:t>Vegetation</w:t>
      </w:r>
      <w:proofErr w:type="spellEnd"/>
      <w:r w:rsidRPr="009748E7">
        <w:rPr>
          <w:rFonts w:ascii="Arial" w:eastAsia="Calibri" w:hAnsi="Arial" w:cs="Arial"/>
          <w:vertAlign w:val="subscript"/>
          <w:lang w:val="fr-FR"/>
        </w:rPr>
        <w:t xml:space="preserve"> types​(%) = </w:t>
      </w:r>
      <m:oMath>
        <m:f>
          <m:fPr>
            <m:ctrlPr>
              <w:rPr>
                <w:rFonts w:ascii="Cambria Math" w:eastAsia="Calibri" w:hAnsi="Cambria Math" w:cs="Arial"/>
                <w:i/>
                <w:vertAlign w:val="subscript"/>
              </w:rPr>
            </m:ctrlPr>
          </m:fPr>
          <m:num>
            <m:r>
              <w:rPr>
                <w:rFonts w:ascii="Cambria Math" w:eastAsia="Calibri" w:hAnsi="Cambria Math" w:cs="Arial"/>
                <w:vertAlign w:val="subscript"/>
              </w:rPr>
              <m:t>Number</m:t>
            </m:r>
            <m:r>
              <w:rPr>
                <w:rFonts w:ascii="Cambria Math" w:eastAsia="Calibri" w:hAnsi="Cambria Math" w:cs="Arial"/>
                <w:vertAlign w:val="subscript"/>
                <w:lang w:val="fr-FR"/>
              </w:rPr>
              <m:t> </m:t>
            </m:r>
            <m:r>
              <w:rPr>
                <w:rFonts w:ascii="Cambria Math" w:eastAsia="Calibri" w:hAnsi="Cambria Math" w:cs="Arial"/>
                <w:vertAlign w:val="subscript"/>
              </w:rPr>
              <m:t>of</m:t>
            </m:r>
            <m:r>
              <w:rPr>
                <w:rFonts w:ascii="Cambria Math" w:eastAsia="Calibri" w:hAnsi="Cambria Math" w:cs="Arial"/>
                <w:vertAlign w:val="subscript"/>
                <w:lang w:val="fr-FR"/>
              </w:rPr>
              <m:t> </m:t>
            </m:r>
            <m:r>
              <w:rPr>
                <w:rFonts w:ascii="Cambria Math" w:eastAsia="Calibri" w:hAnsi="Cambria Math" w:cs="Arial"/>
                <w:vertAlign w:val="subscript"/>
              </w:rPr>
              <m:t>species</m:t>
            </m:r>
            <m:r>
              <w:rPr>
                <w:rFonts w:ascii="Cambria Math" w:eastAsia="Calibri" w:hAnsi="Cambria Math" w:cs="Arial"/>
                <w:vertAlign w:val="subscript"/>
                <w:lang w:val="fr-FR"/>
              </w:rPr>
              <m:t> </m:t>
            </m:r>
            <m:r>
              <w:rPr>
                <w:rFonts w:ascii="Cambria Math" w:eastAsia="Calibri" w:hAnsi="Cambria Math" w:cs="Arial"/>
                <w:vertAlign w:val="subscript"/>
              </w:rPr>
              <m:t>in</m:t>
            </m:r>
            <m:r>
              <w:rPr>
                <w:rFonts w:ascii="Cambria Math" w:eastAsia="Calibri" w:hAnsi="Cambria Math" w:cs="Arial"/>
                <w:vertAlign w:val="subscript"/>
                <w:lang w:val="fr-FR"/>
              </w:rPr>
              <m:t> </m:t>
            </m:r>
            <m:r>
              <w:rPr>
                <w:rFonts w:ascii="Cambria Math" w:eastAsia="Calibri" w:hAnsi="Cambria Math" w:cs="Arial"/>
                <w:vertAlign w:val="subscript"/>
              </w:rPr>
              <m:t>a</m:t>
            </m:r>
            <m:r>
              <w:rPr>
                <w:rFonts w:ascii="Cambria Math" w:eastAsia="Calibri" w:hAnsi="Cambria Math" w:cs="Arial"/>
                <w:vertAlign w:val="subscript"/>
                <w:lang w:val="fr-FR"/>
              </w:rPr>
              <m:t> </m:t>
            </m:r>
            <m:r>
              <w:rPr>
                <w:rFonts w:ascii="Cambria Math" w:eastAsia="Calibri" w:hAnsi="Cambria Math" w:cs="Arial"/>
                <w:vertAlign w:val="subscript"/>
              </w:rPr>
              <m:t>given</m:t>
            </m:r>
            <m:r>
              <w:rPr>
                <w:rFonts w:ascii="Cambria Math" w:eastAsia="Calibri" w:hAnsi="Cambria Math" w:cs="Arial"/>
                <w:vertAlign w:val="subscript"/>
                <w:lang w:val="fr-FR"/>
              </w:rPr>
              <m:t> </m:t>
            </m:r>
            <m:r>
              <w:rPr>
                <w:rFonts w:ascii="Cambria Math" w:eastAsia="Calibri" w:hAnsi="Cambria Math" w:cs="Arial"/>
                <w:vertAlign w:val="subscript"/>
              </w:rPr>
              <m:t>vegetation</m:t>
            </m:r>
            <m:r>
              <w:rPr>
                <w:rFonts w:ascii="Cambria Math" w:eastAsia="Calibri" w:hAnsi="Cambria Math" w:cs="Arial"/>
                <w:vertAlign w:val="subscript"/>
                <w:lang w:val="fr-FR"/>
              </w:rPr>
              <m:t> </m:t>
            </m:r>
            <m:r>
              <w:rPr>
                <w:rFonts w:ascii="Cambria Math" w:eastAsia="Calibri" w:hAnsi="Cambria Math" w:cs="Arial"/>
                <w:vertAlign w:val="subscript"/>
              </w:rPr>
              <m:t>type</m:t>
            </m:r>
          </m:num>
          <m:den>
            <m:r>
              <w:rPr>
                <w:rFonts w:ascii="Cambria Math" w:eastAsia="Calibri" w:hAnsi="Cambria Math" w:cs="Arial"/>
                <w:vertAlign w:val="subscript"/>
              </w:rPr>
              <m:t>Total</m:t>
            </m:r>
            <m:r>
              <w:rPr>
                <w:rFonts w:ascii="Cambria Math" w:eastAsia="Calibri" w:hAnsi="Cambria Math" w:cs="Arial"/>
                <w:vertAlign w:val="subscript"/>
                <w:lang w:val="fr-FR"/>
              </w:rPr>
              <m:t xml:space="preserve"> </m:t>
            </m:r>
            <m:r>
              <w:rPr>
                <w:rFonts w:ascii="Cambria Math" w:eastAsia="Calibri" w:hAnsi="Cambria Math" w:cs="Arial"/>
                <w:vertAlign w:val="subscript"/>
              </w:rPr>
              <m:t>Number</m:t>
            </m:r>
            <m:r>
              <w:rPr>
                <w:rFonts w:ascii="Cambria Math" w:eastAsia="Calibri" w:hAnsi="Cambria Math" w:cs="Arial"/>
                <w:vertAlign w:val="subscript"/>
                <w:lang w:val="fr-FR"/>
              </w:rPr>
              <m:t xml:space="preserve"> </m:t>
            </m:r>
            <m:r>
              <w:rPr>
                <w:rFonts w:ascii="Cambria Math" w:eastAsia="Calibri" w:hAnsi="Cambria Math" w:cs="Arial"/>
                <w:vertAlign w:val="subscript"/>
              </w:rPr>
              <m:t>of</m:t>
            </m:r>
            <m:r>
              <w:rPr>
                <w:rFonts w:ascii="Cambria Math" w:eastAsia="Calibri" w:hAnsi="Cambria Math" w:cs="Arial"/>
                <w:vertAlign w:val="subscript"/>
                <w:lang w:val="fr-FR"/>
              </w:rPr>
              <m:t xml:space="preserve"> </m:t>
            </m:r>
            <m:r>
              <w:rPr>
                <w:rFonts w:ascii="Cambria Math" w:eastAsia="Calibri" w:hAnsi="Cambria Math" w:cs="Arial"/>
                <w:vertAlign w:val="subscript"/>
              </w:rPr>
              <m:t>species</m:t>
            </m:r>
            <m:r>
              <w:rPr>
                <w:rFonts w:ascii="Cambria Math" w:eastAsia="Calibri" w:hAnsi="Cambria Math" w:cs="Arial"/>
                <w:vertAlign w:val="subscript"/>
                <w:lang w:val="fr-FR"/>
              </w:rPr>
              <m:t xml:space="preserve"> </m:t>
            </m:r>
            <m:r>
              <w:rPr>
                <w:rFonts w:ascii="Cambria Math" w:eastAsia="Calibri" w:hAnsi="Cambria Math" w:cs="Arial"/>
                <w:vertAlign w:val="subscript"/>
              </w:rPr>
              <m:t>recorded</m:t>
            </m:r>
          </m:den>
        </m:f>
        <m:r>
          <w:rPr>
            <w:rFonts w:ascii="Cambria Math" w:eastAsia="Calibri" w:hAnsi="Cambria Math" w:cs="Arial"/>
            <w:vertAlign w:val="subscript"/>
            <w:lang w:val="fr-FR"/>
          </w:rPr>
          <m:t xml:space="preserve"> ×100</m:t>
        </m:r>
      </m:oMath>
      <w:r w:rsidRPr="009748E7">
        <w:rPr>
          <w:rFonts w:ascii="Arial" w:hAnsi="Arial" w:cs="Arial"/>
          <w:vertAlign w:val="subscript"/>
          <w:lang w:val="fr-FR"/>
        </w:rPr>
        <w:t xml:space="preserve">………………… </w:t>
      </w:r>
      <w:r w:rsidRPr="00385303">
        <w:rPr>
          <w:rFonts w:ascii="Arial" w:hAnsi="Arial" w:cs="Arial"/>
          <w:vertAlign w:val="subscript"/>
        </w:rPr>
        <w:t>(2)</w:t>
      </w:r>
    </w:p>
    <w:p w14:paraId="1A9C0E19"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Seasonal variation in species utilization was estimated as:</w:t>
      </w:r>
    </w:p>
    <w:p w14:paraId="6FD598E4" w14:textId="77777777" w:rsidR="00385303" w:rsidRPr="00385303" w:rsidRDefault="00385303" w:rsidP="00385303">
      <w:pPr>
        <w:spacing w:before="100" w:beforeAutospacing="1" w:after="100" w:afterAutospacing="1"/>
        <w:jc w:val="center"/>
        <w:rPr>
          <w:rFonts w:ascii="Arial" w:hAnsi="Arial" w:cs="Arial"/>
          <w:vertAlign w:val="subscript"/>
        </w:rPr>
      </w:pPr>
      <w:r w:rsidRPr="00385303">
        <w:rPr>
          <w:rFonts w:ascii="Arial" w:eastAsia="Calibri" w:hAnsi="Arial" w:cs="Arial"/>
        </w:rPr>
        <w:t xml:space="preserve">RP </w:t>
      </w:r>
      <w:r w:rsidRPr="00385303">
        <w:rPr>
          <w:rFonts w:ascii="Arial" w:eastAsia="Calibri" w:hAnsi="Arial" w:cs="Arial"/>
          <w:vertAlign w:val="subscript"/>
        </w:rPr>
        <w:t xml:space="preserve">Season​(%) = </w:t>
      </w:r>
      <m:oMath>
        <m:f>
          <m:fPr>
            <m:ctrlPr>
              <w:rPr>
                <w:rFonts w:ascii="Cambria Math" w:eastAsia="Calibri" w:hAnsi="Cambria Math" w:cs="Arial"/>
                <w:i/>
                <w:vertAlign w:val="subscript"/>
              </w:rPr>
            </m:ctrlPr>
          </m:fPr>
          <m:num>
            <m:r>
              <w:rPr>
                <w:rFonts w:ascii="Cambria Math" w:eastAsia="Calibri" w:hAnsi="Cambria Math" w:cs="Arial"/>
                <w:vertAlign w:val="subscript"/>
              </w:rPr>
              <m:t>Number of species available in a given season</m:t>
            </m:r>
          </m:num>
          <m:den>
            <m:r>
              <w:rPr>
                <w:rFonts w:ascii="Cambria Math" w:eastAsia="Calibri" w:hAnsi="Cambria Math" w:cs="Arial"/>
                <w:vertAlign w:val="subscript"/>
              </w:rPr>
              <m:t>Total Number of species recorded</m:t>
            </m:r>
          </m:den>
        </m:f>
        <m:r>
          <w:rPr>
            <w:rFonts w:ascii="Cambria Math" w:eastAsia="Calibri" w:hAnsi="Cambria Math" w:cs="Arial"/>
            <w:vertAlign w:val="subscript"/>
          </w:rPr>
          <m:t xml:space="preserve"> ×100</m:t>
        </m:r>
      </m:oMath>
      <w:r w:rsidRPr="00385303">
        <w:rPr>
          <w:rFonts w:ascii="Arial" w:hAnsi="Arial" w:cs="Arial"/>
          <w:vertAlign w:val="subscript"/>
        </w:rPr>
        <w:t>……………………… (3)</w:t>
      </w:r>
    </w:p>
    <w:p w14:paraId="70574B6D"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Species were further categorized by height range, with their proportional distribution calculated as:</w:t>
      </w:r>
    </w:p>
    <w:p w14:paraId="5FF58450" w14:textId="77777777" w:rsidR="00385303" w:rsidRPr="00385303" w:rsidRDefault="00385303" w:rsidP="00385303">
      <w:pPr>
        <w:spacing w:before="100" w:beforeAutospacing="1" w:after="100" w:afterAutospacing="1"/>
        <w:jc w:val="center"/>
        <w:rPr>
          <w:rFonts w:ascii="Arial" w:hAnsi="Arial" w:cs="Arial"/>
          <w:vertAlign w:val="subscript"/>
        </w:rPr>
      </w:pPr>
      <w:r w:rsidRPr="00385303">
        <w:rPr>
          <w:rFonts w:ascii="Arial" w:eastAsia="Calibri" w:hAnsi="Arial" w:cs="Arial"/>
        </w:rPr>
        <w:t xml:space="preserve">RP </w:t>
      </w:r>
      <w:r w:rsidRPr="00385303">
        <w:rPr>
          <w:rFonts w:ascii="Arial" w:eastAsia="Calibri" w:hAnsi="Arial" w:cs="Arial"/>
          <w:vertAlign w:val="subscript"/>
        </w:rPr>
        <w:t xml:space="preserve">Height range​(%) = </w:t>
      </w:r>
      <m:oMath>
        <m:f>
          <m:fPr>
            <m:ctrlPr>
              <w:rPr>
                <w:rFonts w:ascii="Cambria Math" w:eastAsia="Calibri" w:hAnsi="Cambria Math" w:cs="Arial"/>
                <w:i/>
                <w:vertAlign w:val="subscript"/>
              </w:rPr>
            </m:ctrlPr>
          </m:fPr>
          <m:num>
            <m:r>
              <w:rPr>
                <w:rFonts w:ascii="Cambria Math" w:eastAsia="Calibri" w:hAnsi="Cambria Math" w:cs="Arial"/>
                <w:vertAlign w:val="subscript"/>
              </w:rPr>
              <m:t>Number of species in a given height class</m:t>
            </m:r>
          </m:num>
          <m:den>
            <m:r>
              <w:rPr>
                <w:rFonts w:ascii="Cambria Math" w:eastAsia="Calibri" w:hAnsi="Cambria Math" w:cs="Arial"/>
                <w:vertAlign w:val="subscript"/>
              </w:rPr>
              <m:t>Total Number of species recorded</m:t>
            </m:r>
          </m:den>
        </m:f>
        <m:r>
          <w:rPr>
            <w:rFonts w:ascii="Cambria Math" w:eastAsia="Calibri" w:hAnsi="Cambria Math" w:cs="Arial"/>
            <w:vertAlign w:val="subscript"/>
          </w:rPr>
          <m:t xml:space="preserve"> ×100</m:t>
        </m:r>
      </m:oMath>
      <w:r w:rsidRPr="00385303">
        <w:rPr>
          <w:rFonts w:ascii="Arial" w:hAnsi="Arial" w:cs="Arial"/>
          <w:vertAlign w:val="subscript"/>
        </w:rPr>
        <w:t>…………………… (4)</w:t>
      </w:r>
    </w:p>
    <w:p w14:paraId="68E1EAAB" w14:textId="77777777" w:rsidR="00385303" w:rsidRPr="00385303" w:rsidRDefault="00385303" w:rsidP="00385303">
      <w:pPr>
        <w:spacing w:before="100" w:beforeAutospacing="1" w:after="100" w:afterAutospacing="1"/>
        <w:jc w:val="both"/>
        <w:rPr>
          <w:rFonts w:ascii="Arial" w:hAnsi="Arial" w:cs="Arial"/>
        </w:rPr>
      </w:pPr>
    </w:p>
    <w:p w14:paraId="3DF49AC2"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Finally, the taxonomic distribution of species was quantified as:</w:t>
      </w:r>
    </w:p>
    <w:p w14:paraId="6BE1C8E2" w14:textId="77777777" w:rsidR="00385303" w:rsidRPr="00385303" w:rsidRDefault="00385303" w:rsidP="00385303">
      <w:pPr>
        <w:spacing w:before="100" w:beforeAutospacing="1" w:after="100" w:afterAutospacing="1"/>
        <w:jc w:val="center"/>
        <w:rPr>
          <w:rFonts w:ascii="Arial" w:hAnsi="Arial" w:cs="Arial"/>
          <w:vertAlign w:val="subscript"/>
        </w:rPr>
      </w:pPr>
      <w:r w:rsidRPr="00385303">
        <w:rPr>
          <w:rFonts w:ascii="Arial" w:eastAsia="Calibri" w:hAnsi="Arial" w:cs="Arial"/>
        </w:rPr>
        <w:t xml:space="preserve">RP </w:t>
      </w:r>
      <w:r w:rsidRPr="00385303">
        <w:rPr>
          <w:rFonts w:ascii="Arial" w:eastAsia="Calibri" w:hAnsi="Arial" w:cs="Arial"/>
          <w:vertAlign w:val="subscript"/>
        </w:rPr>
        <w:t xml:space="preserve">family (%) = </w:t>
      </w:r>
      <m:oMath>
        <m:f>
          <m:fPr>
            <m:ctrlPr>
              <w:rPr>
                <w:rFonts w:ascii="Cambria Math" w:eastAsia="Calibri" w:hAnsi="Cambria Math" w:cs="Arial"/>
                <w:i/>
                <w:vertAlign w:val="subscript"/>
              </w:rPr>
            </m:ctrlPr>
          </m:fPr>
          <m:num>
            <m:r>
              <w:rPr>
                <w:rFonts w:ascii="Cambria Math" w:eastAsia="Calibri" w:hAnsi="Cambria Math" w:cs="Arial"/>
                <w:vertAlign w:val="subscript"/>
              </w:rPr>
              <m:t>Number of species in a given family</m:t>
            </m:r>
          </m:num>
          <m:den>
            <m:r>
              <w:rPr>
                <w:rFonts w:ascii="Cambria Math" w:eastAsia="Calibri" w:hAnsi="Cambria Math" w:cs="Arial"/>
                <w:vertAlign w:val="subscript"/>
              </w:rPr>
              <m:t xml:space="preserve">Total Number of species recorded </m:t>
            </m:r>
          </m:den>
        </m:f>
        <m:r>
          <w:rPr>
            <w:rFonts w:ascii="Cambria Math" w:eastAsia="Calibri" w:hAnsi="Cambria Math" w:cs="Arial"/>
            <w:vertAlign w:val="subscript"/>
          </w:rPr>
          <m:t xml:space="preserve"> ×100</m:t>
        </m:r>
      </m:oMath>
      <w:r w:rsidRPr="00385303">
        <w:rPr>
          <w:rFonts w:ascii="Arial" w:hAnsi="Arial" w:cs="Arial"/>
          <w:vertAlign w:val="subscript"/>
        </w:rPr>
        <w:t>……………………… (5)</w:t>
      </w:r>
    </w:p>
    <w:p w14:paraId="4FE48016" w14:textId="77777777" w:rsidR="00385303" w:rsidRPr="00385303" w:rsidRDefault="00385303" w:rsidP="00385303">
      <w:pPr>
        <w:spacing w:before="100" w:beforeAutospacing="1" w:after="100" w:afterAutospacing="1"/>
        <w:jc w:val="both"/>
        <w:rPr>
          <w:rFonts w:ascii="Arial" w:hAnsi="Arial" w:cs="Arial"/>
          <w:b/>
          <w:bCs/>
        </w:rPr>
      </w:pPr>
      <w:r w:rsidRPr="00385303">
        <w:rPr>
          <w:rFonts w:ascii="Arial" w:eastAsia="Calibri" w:hAnsi="Arial" w:cs="Arial"/>
          <w:b/>
        </w:rPr>
        <w:t>2.5. Visualization and Comparative Analysis</w:t>
      </w:r>
    </w:p>
    <w:p w14:paraId="0C129ABF" w14:textId="77777777" w:rsidR="00790ADA" w:rsidRPr="00385303" w:rsidRDefault="00385303" w:rsidP="00385303">
      <w:pPr>
        <w:spacing w:after="200"/>
        <w:jc w:val="both"/>
        <w:rPr>
          <w:rFonts w:ascii="Arial" w:eastAsia="Calibri" w:hAnsi="Arial" w:cs="Arial"/>
        </w:rPr>
      </w:pPr>
      <w:r w:rsidRPr="00385303">
        <w:rPr>
          <w:rFonts w:ascii="Arial" w:eastAsia="Calibri" w:hAnsi="Arial" w:cs="Arial"/>
        </w:rPr>
        <w:t>Quantitative analysis of data was performed using Microsoft Excel 2021. Graphical representations were then made to show the relative proportions of vegetation types, plant parts consumed seasonal feeding patterns, and family-wise distribution of food plants, using various graphical tools such as bar charts, pie charts, and line graphs. The results were also compared with previous studies conducted in Northeast India (Das et al., 2011; Chetry et al., 2021; Choudhury, 2006) to determine regional similarities or differences in the dietary ecology of Hoolock gibbons.</w:t>
      </w:r>
    </w:p>
    <w:p w14:paraId="40C74131" w14:textId="77777777" w:rsidR="00902823" w:rsidRPr="00385303" w:rsidRDefault="00000F8F" w:rsidP="00385303">
      <w:pPr>
        <w:pStyle w:val="Head1"/>
        <w:spacing w:after="0"/>
        <w:jc w:val="both"/>
        <w:rPr>
          <w:rFonts w:ascii="Arial" w:hAnsi="Arial" w:cs="Arial"/>
          <w:sz w:val="20"/>
        </w:rPr>
      </w:pPr>
      <w:r w:rsidRPr="00385303">
        <w:rPr>
          <w:rFonts w:ascii="Arial" w:hAnsi="Arial" w:cs="Arial"/>
          <w:sz w:val="20"/>
        </w:rPr>
        <w:t>3</w:t>
      </w:r>
      <w:r w:rsidR="00902823" w:rsidRPr="00385303">
        <w:rPr>
          <w:rFonts w:ascii="Arial" w:hAnsi="Arial" w:cs="Arial"/>
          <w:sz w:val="20"/>
        </w:rPr>
        <w:t xml:space="preserve">. </w:t>
      </w:r>
      <w:r w:rsidRPr="00385303">
        <w:rPr>
          <w:rFonts w:ascii="Arial" w:hAnsi="Arial" w:cs="Arial"/>
          <w:sz w:val="20"/>
        </w:rPr>
        <w:t xml:space="preserve">results </w:t>
      </w:r>
    </w:p>
    <w:p w14:paraId="371CCA4B" w14:textId="77777777" w:rsidR="00385303" w:rsidRPr="00385303" w:rsidRDefault="00385303" w:rsidP="00385303">
      <w:pPr>
        <w:pStyle w:val="Head1"/>
        <w:spacing w:after="0"/>
        <w:jc w:val="both"/>
        <w:rPr>
          <w:rFonts w:ascii="Arial" w:hAnsi="Arial" w:cs="Arial"/>
          <w:sz w:val="20"/>
        </w:rPr>
      </w:pPr>
    </w:p>
    <w:p w14:paraId="668982C0"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From September 2023 to August 2024, 34 plant species used by the Western Hoolock Gibbon (Hoolock hoolock) were recorded from the Marat Longri–Patradisa–Longnit Forest Complex. These belonged to 18 plant families and included many vegetation forms and canopy layers. Detailed information on the species consumed, including scientific name, the part of the plant consumed, vegetation type, height range, and season used, is outlined in Table 1.</w:t>
      </w:r>
    </w:p>
    <w:p w14:paraId="4469E1FB"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The column headed "Height (in meters)" in Table 1 indicates the average mature height of each plant species, not the actual feeding height for the particular feeding event recorded during the gibbon activity. Tree heights were estimated by </w:t>
      </w:r>
      <w:r w:rsidRPr="00385303">
        <w:rPr>
          <w:rFonts w:ascii="Arial" w:eastAsia="Calibri" w:hAnsi="Arial" w:cs="Arial"/>
        </w:rPr>
        <w:lastRenderedPageBreak/>
        <w:t>rangefinder-assisted triangulation for the large canopy trees while smaller trees had their heights estimated by visual calibration against reference poles and trunk diameter. Recordings in the table are thus representative of the species' general mature height as encountered within the study area.</w:t>
      </w:r>
    </w:p>
    <w:p w14:paraId="2D0F390B"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Table: 1. List of plant species consumed by the Hoolock Gibbon (Hoolock hoolock) in the Marat Longri–Patradisa–Longnit Forest Complex, Karbi Anglong, Assam, showing local and common names, scientific names, plant types, families, parts used, height range, vegetation types, and seasons of consumption (September 2023–August 2024).</w:t>
      </w:r>
    </w:p>
    <w:p w14:paraId="3C0C3330" w14:textId="77777777" w:rsidR="00385303" w:rsidRPr="00385303" w:rsidRDefault="00385303" w:rsidP="00385303">
      <w:pPr>
        <w:tabs>
          <w:tab w:val="left" w:pos="742"/>
        </w:tabs>
        <w:spacing w:after="200"/>
        <w:rPr>
          <w:rFonts w:ascii="Arial" w:eastAsia="Calibri" w:hAnsi="Arial" w:cs="Arial"/>
        </w:rPr>
      </w:pPr>
    </w:p>
    <w:tbl>
      <w:tblPr>
        <w:tblStyle w:val="LightShading-Accent1"/>
        <w:tblW w:w="8217" w:type="dxa"/>
        <w:tblLook w:val="04A0" w:firstRow="1" w:lastRow="0" w:firstColumn="1" w:lastColumn="0" w:noHBand="0" w:noVBand="1"/>
      </w:tblPr>
      <w:tblGrid>
        <w:gridCol w:w="430"/>
        <w:gridCol w:w="1115"/>
        <w:gridCol w:w="1177"/>
        <w:gridCol w:w="1755"/>
        <w:gridCol w:w="634"/>
        <w:gridCol w:w="1382"/>
        <w:gridCol w:w="894"/>
        <w:gridCol w:w="714"/>
        <w:gridCol w:w="1266"/>
        <w:gridCol w:w="1247"/>
      </w:tblGrid>
      <w:tr w:rsidR="00385303" w:rsidRPr="00385303" w14:paraId="5E3F52AB" w14:textId="77777777" w:rsidTr="00385303">
        <w:trPr>
          <w:cnfStyle w:val="100000000000" w:firstRow="1" w:lastRow="0"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B148A43" w14:textId="77777777" w:rsidR="00385303" w:rsidRPr="00385303" w:rsidRDefault="00385303" w:rsidP="00385303">
            <w:pPr>
              <w:tabs>
                <w:tab w:val="left" w:pos="742"/>
              </w:tabs>
              <w:jc w:val="center"/>
              <w:rPr>
                <w:rFonts w:ascii="Arial" w:eastAsia="Calibri" w:hAnsi="Arial" w:cs="Arial"/>
                <w:sz w:val="16"/>
                <w:szCs w:val="16"/>
              </w:rPr>
            </w:pPr>
            <w:proofErr w:type="spellStart"/>
            <w:r w:rsidRPr="00385303">
              <w:rPr>
                <w:rFonts w:ascii="Arial" w:eastAsia="Calibri" w:hAnsi="Arial" w:cs="Arial"/>
                <w:sz w:val="16"/>
                <w:szCs w:val="16"/>
              </w:rPr>
              <w:t>Sl</w:t>
            </w:r>
            <w:proofErr w:type="spellEnd"/>
            <w:r w:rsidRPr="00385303">
              <w:rPr>
                <w:rFonts w:ascii="Arial" w:eastAsia="Calibri" w:hAnsi="Arial" w:cs="Arial"/>
                <w:sz w:val="16"/>
                <w:szCs w:val="16"/>
              </w:rPr>
              <w:t xml:space="preserve"> No</w:t>
            </w:r>
          </w:p>
        </w:tc>
        <w:tc>
          <w:tcPr>
            <w:tcW w:w="813" w:type="dxa"/>
            <w:noWrap/>
            <w:hideMark/>
          </w:tcPr>
          <w:p w14:paraId="1E08ED4E"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Local Name (Assamese)</w:t>
            </w:r>
          </w:p>
        </w:tc>
        <w:tc>
          <w:tcPr>
            <w:tcW w:w="894" w:type="dxa"/>
            <w:noWrap/>
            <w:hideMark/>
          </w:tcPr>
          <w:p w14:paraId="57848F51"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English Common Name</w:t>
            </w:r>
          </w:p>
        </w:tc>
        <w:tc>
          <w:tcPr>
            <w:tcW w:w="1333" w:type="dxa"/>
            <w:noWrap/>
            <w:hideMark/>
          </w:tcPr>
          <w:p w14:paraId="137B094B"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Scientific Name</w:t>
            </w:r>
          </w:p>
        </w:tc>
        <w:tc>
          <w:tcPr>
            <w:tcW w:w="455" w:type="dxa"/>
            <w:noWrap/>
            <w:hideMark/>
          </w:tcPr>
          <w:p w14:paraId="7220472D"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Plant types</w:t>
            </w:r>
          </w:p>
        </w:tc>
        <w:tc>
          <w:tcPr>
            <w:tcW w:w="1049" w:type="dxa"/>
            <w:noWrap/>
            <w:hideMark/>
          </w:tcPr>
          <w:p w14:paraId="5B578DBF"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Family</w:t>
            </w:r>
          </w:p>
        </w:tc>
        <w:tc>
          <w:tcPr>
            <w:tcW w:w="894" w:type="dxa"/>
            <w:noWrap/>
            <w:hideMark/>
          </w:tcPr>
          <w:p w14:paraId="48E5B0BA"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Parts Use</w:t>
            </w:r>
          </w:p>
        </w:tc>
        <w:tc>
          <w:tcPr>
            <w:tcW w:w="516" w:type="dxa"/>
            <w:noWrap/>
            <w:hideMark/>
          </w:tcPr>
          <w:p w14:paraId="2EB9AF54"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Height (in Meter)</w:t>
            </w:r>
          </w:p>
        </w:tc>
        <w:tc>
          <w:tcPr>
            <w:tcW w:w="961" w:type="dxa"/>
            <w:noWrap/>
            <w:hideMark/>
          </w:tcPr>
          <w:p w14:paraId="2488089A"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Vegetation Type</w:t>
            </w:r>
          </w:p>
        </w:tc>
        <w:tc>
          <w:tcPr>
            <w:tcW w:w="982" w:type="dxa"/>
            <w:noWrap/>
            <w:hideMark/>
          </w:tcPr>
          <w:p w14:paraId="11BEC2AE" w14:textId="77777777" w:rsidR="00385303" w:rsidRPr="00385303" w:rsidRDefault="00385303" w:rsidP="00385303">
            <w:pPr>
              <w:tabs>
                <w:tab w:val="left" w:pos="742"/>
              </w:tabs>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Season of Consumption</w:t>
            </w:r>
          </w:p>
        </w:tc>
      </w:tr>
      <w:tr w:rsidR="00385303" w:rsidRPr="00385303" w14:paraId="08314526"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E535292"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w:t>
            </w:r>
          </w:p>
        </w:tc>
        <w:tc>
          <w:tcPr>
            <w:tcW w:w="813" w:type="dxa"/>
            <w:noWrap/>
            <w:hideMark/>
          </w:tcPr>
          <w:p w14:paraId="1D938CD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Am</w:t>
            </w:r>
          </w:p>
        </w:tc>
        <w:tc>
          <w:tcPr>
            <w:tcW w:w="894" w:type="dxa"/>
            <w:noWrap/>
            <w:hideMark/>
          </w:tcPr>
          <w:p w14:paraId="408E2FB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Mango</w:t>
            </w:r>
          </w:p>
        </w:tc>
        <w:tc>
          <w:tcPr>
            <w:tcW w:w="1333" w:type="dxa"/>
            <w:noWrap/>
            <w:hideMark/>
          </w:tcPr>
          <w:p w14:paraId="29C8D6F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Mangifera indica</w:t>
            </w:r>
          </w:p>
        </w:tc>
        <w:tc>
          <w:tcPr>
            <w:tcW w:w="455" w:type="dxa"/>
            <w:noWrap/>
            <w:hideMark/>
          </w:tcPr>
          <w:p w14:paraId="18EAD17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03737E8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00C8E96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36AE629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32</w:t>
            </w:r>
          </w:p>
        </w:tc>
        <w:tc>
          <w:tcPr>
            <w:tcW w:w="961" w:type="dxa"/>
            <w:noWrap/>
            <w:hideMark/>
          </w:tcPr>
          <w:p w14:paraId="5B091CB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079F5FF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Pre-Monsoon &amp; Monsoon; Leaves: Winter</w:t>
            </w:r>
          </w:p>
        </w:tc>
      </w:tr>
      <w:tr w:rsidR="00385303" w:rsidRPr="00385303" w14:paraId="659D162D"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536820B"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w:t>
            </w:r>
          </w:p>
        </w:tc>
        <w:tc>
          <w:tcPr>
            <w:tcW w:w="813" w:type="dxa"/>
            <w:noWrap/>
            <w:hideMark/>
          </w:tcPr>
          <w:p w14:paraId="7727C58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Amora</w:t>
            </w:r>
          </w:p>
        </w:tc>
        <w:tc>
          <w:tcPr>
            <w:tcW w:w="894" w:type="dxa"/>
            <w:noWrap/>
            <w:hideMark/>
          </w:tcPr>
          <w:p w14:paraId="4BD1843D"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hog plum</w:t>
            </w:r>
          </w:p>
        </w:tc>
        <w:tc>
          <w:tcPr>
            <w:tcW w:w="1333" w:type="dxa"/>
            <w:noWrap/>
            <w:hideMark/>
          </w:tcPr>
          <w:p w14:paraId="3FCAFAF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Spondisa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pinnata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linn.f</w:t>
            </w:r>
            <w:proofErr w:type="spellEnd"/>
            <w:r w:rsidRPr="00385303">
              <w:rPr>
                <w:rFonts w:ascii="Arial" w:eastAsia="Calibri" w:hAnsi="Arial" w:cs="Arial"/>
                <w:i/>
                <w:sz w:val="16"/>
                <w:szCs w:val="16"/>
              </w:rPr>
              <w:t>.)  Kurz.</w:t>
            </w:r>
          </w:p>
        </w:tc>
        <w:tc>
          <w:tcPr>
            <w:tcW w:w="455" w:type="dxa"/>
            <w:noWrap/>
            <w:hideMark/>
          </w:tcPr>
          <w:p w14:paraId="690BAC2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7FD831C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23F98DE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37C6D4F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15</w:t>
            </w:r>
          </w:p>
        </w:tc>
        <w:tc>
          <w:tcPr>
            <w:tcW w:w="961" w:type="dxa"/>
            <w:noWrap/>
            <w:hideMark/>
          </w:tcPr>
          <w:p w14:paraId="61E55BC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36FEBCC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 Leaves: Winter</w:t>
            </w:r>
          </w:p>
        </w:tc>
      </w:tr>
      <w:tr w:rsidR="00385303" w:rsidRPr="00385303" w14:paraId="141406C5"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5668AE2A"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w:t>
            </w:r>
          </w:p>
        </w:tc>
        <w:tc>
          <w:tcPr>
            <w:tcW w:w="813" w:type="dxa"/>
            <w:noWrap/>
            <w:hideMark/>
          </w:tcPr>
          <w:p w14:paraId="08EE57B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Amul </w:t>
            </w:r>
          </w:p>
        </w:tc>
        <w:tc>
          <w:tcPr>
            <w:tcW w:w="894" w:type="dxa"/>
            <w:noWrap/>
            <w:hideMark/>
          </w:tcPr>
          <w:p w14:paraId="3AA8459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Wild Nutmeg</w:t>
            </w:r>
          </w:p>
        </w:tc>
        <w:tc>
          <w:tcPr>
            <w:tcW w:w="1333" w:type="dxa"/>
            <w:noWrap/>
            <w:hideMark/>
          </w:tcPr>
          <w:p w14:paraId="6481EB6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Myristica kingii </w:t>
            </w:r>
          </w:p>
        </w:tc>
        <w:tc>
          <w:tcPr>
            <w:tcW w:w="455" w:type="dxa"/>
            <w:noWrap/>
            <w:hideMark/>
          </w:tcPr>
          <w:p w14:paraId="673171F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EEDE18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Myristicaceae</w:t>
            </w:r>
            <w:proofErr w:type="spellEnd"/>
          </w:p>
        </w:tc>
        <w:tc>
          <w:tcPr>
            <w:tcW w:w="894" w:type="dxa"/>
            <w:noWrap/>
            <w:hideMark/>
          </w:tcPr>
          <w:p w14:paraId="36F0E45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w:t>
            </w:r>
          </w:p>
        </w:tc>
        <w:tc>
          <w:tcPr>
            <w:tcW w:w="516" w:type="dxa"/>
            <w:noWrap/>
            <w:hideMark/>
          </w:tcPr>
          <w:p w14:paraId="527576C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25</w:t>
            </w:r>
          </w:p>
        </w:tc>
        <w:tc>
          <w:tcPr>
            <w:tcW w:w="961" w:type="dxa"/>
            <w:noWrap/>
            <w:hideMark/>
          </w:tcPr>
          <w:p w14:paraId="7F5BD7C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01722C2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Post-Monsoon</w:t>
            </w:r>
          </w:p>
        </w:tc>
      </w:tr>
      <w:tr w:rsidR="00385303" w:rsidRPr="00385303" w14:paraId="0E949160"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5F54750E"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4</w:t>
            </w:r>
          </w:p>
        </w:tc>
        <w:tc>
          <w:tcPr>
            <w:tcW w:w="813" w:type="dxa"/>
            <w:noWrap/>
            <w:hideMark/>
          </w:tcPr>
          <w:p w14:paraId="461B75F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Amlokhi</w:t>
            </w:r>
            <w:proofErr w:type="spellEnd"/>
          </w:p>
        </w:tc>
        <w:tc>
          <w:tcPr>
            <w:tcW w:w="894" w:type="dxa"/>
            <w:noWrap/>
            <w:hideMark/>
          </w:tcPr>
          <w:p w14:paraId="268A294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gooseberry</w:t>
            </w:r>
          </w:p>
        </w:tc>
        <w:tc>
          <w:tcPr>
            <w:tcW w:w="1333" w:type="dxa"/>
            <w:noWrap/>
            <w:hideMark/>
          </w:tcPr>
          <w:p w14:paraId="1D5D5AE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Emblica</w:t>
            </w:r>
            <w:proofErr w:type="spellEnd"/>
            <w:r w:rsidRPr="00385303">
              <w:rPr>
                <w:rFonts w:ascii="Arial" w:eastAsia="Calibri" w:hAnsi="Arial" w:cs="Arial"/>
                <w:i/>
                <w:sz w:val="16"/>
                <w:szCs w:val="16"/>
              </w:rPr>
              <w:t xml:space="preserve"> Officinalis (syn. Phyllanthus </w:t>
            </w:r>
            <w:proofErr w:type="spellStart"/>
            <w:r w:rsidRPr="00385303">
              <w:rPr>
                <w:rFonts w:ascii="Arial" w:eastAsia="Calibri" w:hAnsi="Arial" w:cs="Arial"/>
                <w:i/>
                <w:sz w:val="16"/>
                <w:szCs w:val="16"/>
              </w:rPr>
              <w:t>emblica</w:t>
            </w:r>
            <w:proofErr w:type="spellEnd"/>
            <w:r w:rsidRPr="00385303">
              <w:rPr>
                <w:rFonts w:ascii="Arial" w:eastAsia="Calibri" w:hAnsi="Arial" w:cs="Arial"/>
                <w:i/>
                <w:sz w:val="16"/>
                <w:szCs w:val="16"/>
              </w:rPr>
              <w:t>)</w:t>
            </w:r>
          </w:p>
        </w:tc>
        <w:tc>
          <w:tcPr>
            <w:tcW w:w="455" w:type="dxa"/>
            <w:noWrap/>
            <w:hideMark/>
          </w:tcPr>
          <w:p w14:paraId="217479C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0C6F98F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Phyllanthaceae</w:t>
            </w:r>
            <w:proofErr w:type="spellEnd"/>
          </w:p>
        </w:tc>
        <w:tc>
          <w:tcPr>
            <w:tcW w:w="894" w:type="dxa"/>
            <w:noWrap/>
            <w:hideMark/>
          </w:tcPr>
          <w:p w14:paraId="304AEF0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45C0B01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18</w:t>
            </w:r>
          </w:p>
        </w:tc>
        <w:tc>
          <w:tcPr>
            <w:tcW w:w="961" w:type="dxa"/>
            <w:noWrap/>
            <w:hideMark/>
          </w:tcPr>
          <w:p w14:paraId="0C30465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33062A6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Winter &amp; Post-Monsoon</w:t>
            </w:r>
          </w:p>
        </w:tc>
      </w:tr>
      <w:tr w:rsidR="00385303" w:rsidRPr="00385303" w14:paraId="61E76C65"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7499C3F3"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5</w:t>
            </w:r>
          </w:p>
        </w:tc>
        <w:tc>
          <w:tcPr>
            <w:tcW w:w="813" w:type="dxa"/>
            <w:noWrap/>
            <w:hideMark/>
          </w:tcPr>
          <w:p w14:paraId="49FF245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Bagori</w:t>
            </w:r>
            <w:proofErr w:type="spellEnd"/>
          </w:p>
        </w:tc>
        <w:tc>
          <w:tcPr>
            <w:tcW w:w="894" w:type="dxa"/>
            <w:noWrap/>
            <w:hideMark/>
          </w:tcPr>
          <w:p w14:paraId="5C21AFD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Plum</w:t>
            </w:r>
          </w:p>
        </w:tc>
        <w:tc>
          <w:tcPr>
            <w:tcW w:w="1333" w:type="dxa"/>
            <w:noWrap/>
            <w:hideMark/>
          </w:tcPr>
          <w:p w14:paraId="13629DB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Zizyphus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mauritiana</w:t>
            </w:r>
            <w:proofErr w:type="spellEnd"/>
            <w:r w:rsidRPr="00385303">
              <w:rPr>
                <w:rFonts w:ascii="Arial" w:eastAsia="Calibri" w:hAnsi="Arial" w:cs="Arial"/>
                <w:i/>
                <w:sz w:val="16"/>
                <w:szCs w:val="16"/>
              </w:rPr>
              <w:t xml:space="preserve"> (syn. Z. </w:t>
            </w:r>
            <w:proofErr w:type="spellStart"/>
            <w:r w:rsidRPr="00385303">
              <w:rPr>
                <w:rFonts w:ascii="Arial" w:eastAsia="Calibri" w:hAnsi="Arial" w:cs="Arial"/>
                <w:i/>
                <w:sz w:val="16"/>
                <w:szCs w:val="16"/>
              </w:rPr>
              <w:t>jajuba</w:t>
            </w:r>
            <w:proofErr w:type="spellEnd"/>
            <w:r w:rsidRPr="00385303">
              <w:rPr>
                <w:rFonts w:ascii="Arial" w:eastAsia="Calibri" w:hAnsi="Arial" w:cs="Arial"/>
                <w:i/>
                <w:sz w:val="16"/>
                <w:szCs w:val="16"/>
              </w:rPr>
              <w:t>)</w:t>
            </w:r>
          </w:p>
        </w:tc>
        <w:tc>
          <w:tcPr>
            <w:tcW w:w="455" w:type="dxa"/>
            <w:noWrap/>
            <w:hideMark/>
          </w:tcPr>
          <w:p w14:paraId="49498FE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6229EF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Rosaceae</w:t>
            </w:r>
          </w:p>
        </w:tc>
        <w:tc>
          <w:tcPr>
            <w:tcW w:w="894" w:type="dxa"/>
            <w:noWrap/>
            <w:hideMark/>
          </w:tcPr>
          <w:p w14:paraId="1939EC0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5E1FE6F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12</w:t>
            </w:r>
          </w:p>
        </w:tc>
        <w:tc>
          <w:tcPr>
            <w:tcW w:w="961" w:type="dxa"/>
            <w:noWrap/>
            <w:hideMark/>
          </w:tcPr>
          <w:p w14:paraId="08ED3EB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Dry/Deciduous</w:t>
            </w:r>
          </w:p>
        </w:tc>
        <w:tc>
          <w:tcPr>
            <w:tcW w:w="982" w:type="dxa"/>
            <w:noWrap/>
            <w:hideMark/>
          </w:tcPr>
          <w:p w14:paraId="108BE54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Winter</w:t>
            </w:r>
          </w:p>
        </w:tc>
      </w:tr>
      <w:tr w:rsidR="00385303" w:rsidRPr="00385303" w14:paraId="2F2E01AB"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063640DA"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6</w:t>
            </w:r>
          </w:p>
        </w:tc>
        <w:tc>
          <w:tcPr>
            <w:tcW w:w="813" w:type="dxa"/>
            <w:noWrap/>
            <w:hideMark/>
          </w:tcPr>
          <w:p w14:paraId="6A629CB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Bajou</w:t>
            </w:r>
            <w:proofErr w:type="spellEnd"/>
          </w:p>
        </w:tc>
        <w:tc>
          <w:tcPr>
            <w:tcW w:w="894" w:type="dxa"/>
            <w:noWrap/>
            <w:hideMark/>
          </w:tcPr>
          <w:p w14:paraId="6423418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Chirimpi</w:t>
            </w:r>
            <w:proofErr w:type="spellEnd"/>
            <w:r w:rsidRPr="00385303">
              <w:rPr>
                <w:rFonts w:ascii="Arial" w:eastAsia="Calibri" w:hAnsi="Arial" w:cs="Arial"/>
                <w:sz w:val="16"/>
                <w:szCs w:val="16"/>
              </w:rPr>
              <w:t xml:space="preserve">  </w:t>
            </w:r>
          </w:p>
        </w:tc>
        <w:tc>
          <w:tcPr>
            <w:tcW w:w="1333" w:type="dxa"/>
            <w:noWrap/>
            <w:hideMark/>
          </w:tcPr>
          <w:p w14:paraId="37955CC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Dillenia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petagyna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Roxb</w:t>
            </w:r>
            <w:proofErr w:type="spellEnd"/>
            <w:r w:rsidRPr="00385303">
              <w:rPr>
                <w:rFonts w:ascii="Arial" w:eastAsia="Calibri" w:hAnsi="Arial" w:cs="Arial"/>
                <w:i/>
                <w:sz w:val="16"/>
                <w:szCs w:val="16"/>
              </w:rPr>
              <w:t>.</w:t>
            </w:r>
          </w:p>
        </w:tc>
        <w:tc>
          <w:tcPr>
            <w:tcW w:w="455" w:type="dxa"/>
            <w:noWrap/>
            <w:hideMark/>
          </w:tcPr>
          <w:p w14:paraId="78148FA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47D92D8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Dilleniaceae</w:t>
            </w:r>
            <w:proofErr w:type="spellEnd"/>
          </w:p>
        </w:tc>
        <w:tc>
          <w:tcPr>
            <w:tcW w:w="894" w:type="dxa"/>
            <w:noWrap/>
            <w:hideMark/>
          </w:tcPr>
          <w:p w14:paraId="71B45EB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2FA3A2E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32</w:t>
            </w:r>
          </w:p>
        </w:tc>
        <w:tc>
          <w:tcPr>
            <w:tcW w:w="961" w:type="dxa"/>
            <w:noWrap/>
            <w:hideMark/>
          </w:tcPr>
          <w:p w14:paraId="33AD1F6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139AA80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Fruits: </w:t>
            </w:r>
            <w:proofErr w:type="gramStart"/>
            <w:r w:rsidRPr="00385303">
              <w:rPr>
                <w:rFonts w:ascii="Arial" w:eastAsia="Calibri" w:hAnsi="Arial" w:cs="Arial"/>
                <w:sz w:val="16"/>
                <w:szCs w:val="16"/>
              </w:rPr>
              <w:t>Monsoon  Post</w:t>
            </w:r>
            <w:proofErr w:type="gramEnd"/>
            <w:r w:rsidRPr="00385303">
              <w:rPr>
                <w:rFonts w:ascii="Arial" w:eastAsia="Calibri" w:hAnsi="Arial" w:cs="Arial"/>
                <w:sz w:val="16"/>
                <w:szCs w:val="16"/>
              </w:rPr>
              <w:t>-Monsoon; Leaves: Winter</w:t>
            </w:r>
          </w:p>
        </w:tc>
      </w:tr>
      <w:tr w:rsidR="00385303" w:rsidRPr="00385303" w14:paraId="07CC7695"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1302DC22"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7</w:t>
            </w:r>
          </w:p>
        </w:tc>
        <w:tc>
          <w:tcPr>
            <w:tcW w:w="813" w:type="dxa"/>
            <w:noWrap/>
            <w:hideMark/>
          </w:tcPr>
          <w:p w14:paraId="6FC3C41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Bhola</w:t>
            </w:r>
          </w:p>
        </w:tc>
        <w:tc>
          <w:tcPr>
            <w:tcW w:w="894" w:type="dxa"/>
            <w:noWrap/>
            <w:hideMark/>
          </w:tcPr>
          <w:p w14:paraId="44477C7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Marking Nut or </w:t>
            </w:r>
            <w:proofErr w:type="spellStart"/>
            <w:r w:rsidRPr="00385303">
              <w:rPr>
                <w:rFonts w:ascii="Arial" w:eastAsia="Calibri" w:hAnsi="Arial" w:cs="Arial"/>
                <w:sz w:val="16"/>
                <w:szCs w:val="16"/>
              </w:rPr>
              <w:t>Dhubi</w:t>
            </w:r>
            <w:proofErr w:type="spellEnd"/>
            <w:r w:rsidRPr="00385303">
              <w:rPr>
                <w:rFonts w:ascii="Arial" w:eastAsia="Calibri" w:hAnsi="Arial" w:cs="Arial"/>
                <w:sz w:val="16"/>
                <w:szCs w:val="16"/>
              </w:rPr>
              <w:t xml:space="preserve"> Nut</w:t>
            </w:r>
          </w:p>
        </w:tc>
        <w:tc>
          <w:tcPr>
            <w:tcW w:w="1333" w:type="dxa"/>
            <w:noWrap/>
            <w:hideMark/>
          </w:tcPr>
          <w:p w14:paraId="057F3C8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proofErr w:type="gramStart"/>
            <w:r w:rsidRPr="00385303">
              <w:rPr>
                <w:rFonts w:ascii="Arial" w:eastAsia="Calibri" w:hAnsi="Arial" w:cs="Arial"/>
                <w:i/>
                <w:sz w:val="16"/>
                <w:szCs w:val="16"/>
              </w:rPr>
              <w:t>Semacarpus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anacardium</w:t>
            </w:r>
            <w:proofErr w:type="spellEnd"/>
            <w:proofErr w:type="gramEnd"/>
          </w:p>
        </w:tc>
        <w:tc>
          <w:tcPr>
            <w:tcW w:w="455" w:type="dxa"/>
            <w:noWrap/>
            <w:hideMark/>
          </w:tcPr>
          <w:p w14:paraId="7D4293B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7E2A7B1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3EC0516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72FFE3F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25</w:t>
            </w:r>
          </w:p>
        </w:tc>
        <w:tc>
          <w:tcPr>
            <w:tcW w:w="961" w:type="dxa"/>
            <w:noWrap/>
            <w:hideMark/>
          </w:tcPr>
          <w:p w14:paraId="5DD944C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732FB1F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Late Monsoon &amp; Post-Monsoon</w:t>
            </w:r>
          </w:p>
        </w:tc>
      </w:tr>
      <w:tr w:rsidR="00385303" w:rsidRPr="00385303" w14:paraId="018A5986"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49EDD7D1"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8</w:t>
            </w:r>
          </w:p>
        </w:tc>
        <w:tc>
          <w:tcPr>
            <w:tcW w:w="813" w:type="dxa"/>
            <w:noWrap/>
            <w:hideMark/>
          </w:tcPr>
          <w:p w14:paraId="447D54C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Bhomora</w:t>
            </w:r>
            <w:proofErr w:type="spellEnd"/>
          </w:p>
        </w:tc>
        <w:tc>
          <w:tcPr>
            <w:tcW w:w="894" w:type="dxa"/>
            <w:noWrap/>
            <w:hideMark/>
          </w:tcPr>
          <w:p w14:paraId="172A26B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Beleric Myrobalan</w:t>
            </w:r>
          </w:p>
        </w:tc>
        <w:tc>
          <w:tcPr>
            <w:tcW w:w="1333" w:type="dxa"/>
            <w:noWrap/>
            <w:hideMark/>
          </w:tcPr>
          <w:p w14:paraId="471B2A5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Terminalia </w:t>
            </w:r>
            <w:proofErr w:type="spellStart"/>
            <w:r w:rsidRPr="00385303">
              <w:rPr>
                <w:rFonts w:ascii="Arial" w:eastAsia="Calibri" w:hAnsi="Arial" w:cs="Arial"/>
                <w:i/>
                <w:sz w:val="16"/>
                <w:szCs w:val="16"/>
              </w:rPr>
              <w:t>belerica</w:t>
            </w:r>
            <w:proofErr w:type="spellEnd"/>
          </w:p>
        </w:tc>
        <w:tc>
          <w:tcPr>
            <w:tcW w:w="455" w:type="dxa"/>
            <w:noWrap/>
            <w:hideMark/>
          </w:tcPr>
          <w:p w14:paraId="7833535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41142B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Combretaceae</w:t>
            </w:r>
            <w:proofErr w:type="spellEnd"/>
          </w:p>
        </w:tc>
        <w:tc>
          <w:tcPr>
            <w:tcW w:w="894" w:type="dxa"/>
            <w:noWrap/>
            <w:hideMark/>
          </w:tcPr>
          <w:p w14:paraId="0539481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01904E0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40</w:t>
            </w:r>
          </w:p>
        </w:tc>
        <w:tc>
          <w:tcPr>
            <w:tcW w:w="961" w:type="dxa"/>
            <w:noWrap/>
            <w:hideMark/>
          </w:tcPr>
          <w:p w14:paraId="180D9BE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5D22224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Winter &amp; Post-Monsoon</w:t>
            </w:r>
          </w:p>
        </w:tc>
      </w:tr>
      <w:tr w:rsidR="00385303" w:rsidRPr="00385303" w14:paraId="3A69FF2D"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3992360"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9</w:t>
            </w:r>
          </w:p>
        </w:tc>
        <w:tc>
          <w:tcPr>
            <w:tcW w:w="813" w:type="dxa"/>
            <w:noWrap/>
            <w:hideMark/>
          </w:tcPr>
          <w:p w14:paraId="14EEEE7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Bot </w:t>
            </w:r>
            <w:proofErr w:type="spellStart"/>
            <w:r w:rsidRPr="00385303">
              <w:rPr>
                <w:rFonts w:ascii="Arial" w:eastAsia="Calibri" w:hAnsi="Arial" w:cs="Arial"/>
                <w:sz w:val="16"/>
                <w:szCs w:val="16"/>
              </w:rPr>
              <w:t>Gos</w:t>
            </w:r>
            <w:proofErr w:type="spellEnd"/>
          </w:p>
        </w:tc>
        <w:tc>
          <w:tcPr>
            <w:tcW w:w="894" w:type="dxa"/>
            <w:noWrap/>
            <w:hideMark/>
          </w:tcPr>
          <w:p w14:paraId="2D3F59B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Indian </w:t>
            </w:r>
            <w:proofErr w:type="spellStart"/>
            <w:r w:rsidRPr="00385303">
              <w:rPr>
                <w:rFonts w:ascii="Arial" w:eastAsia="Calibri" w:hAnsi="Arial" w:cs="Arial"/>
                <w:sz w:val="16"/>
                <w:szCs w:val="16"/>
              </w:rPr>
              <w:t>banayan</w:t>
            </w:r>
            <w:proofErr w:type="spellEnd"/>
          </w:p>
        </w:tc>
        <w:tc>
          <w:tcPr>
            <w:tcW w:w="1333" w:type="dxa"/>
            <w:noWrap/>
            <w:hideMark/>
          </w:tcPr>
          <w:p w14:paraId="72614A5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Ficus benghalensis</w:t>
            </w:r>
          </w:p>
        </w:tc>
        <w:tc>
          <w:tcPr>
            <w:tcW w:w="455" w:type="dxa"/>
            <w:noWrap/>
            <w:hideMark/>
          </w:tcPr>
          <w:p w14:paraId="196E863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401F1B6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Moraceae</w:t>
            </w:r>
            <w:proofErr w:type="spellEnd"/>
          </w:p>
        </w:tc>
        <w:tc>
          <w:tcPr>
            <w:tcW w:w="894" w:type="dxa"/>
            <w:noWrap/>
            <w:hideMark/>
          </w:tcPr>
          <w:p w14:paraId="046C410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Fruits, leaves </w:t>
            </w:r>
          </w:p>
        </w:tc>
        <w:tc>
          <w:tcPr>
            <w:tcW w:w="516" w:type="dxa"/>
            <w:noWrap/>
            <w:hideMark/>
          </w:tcPr>
          <w:p w14:paraId="48084D6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38</w:t>
            </w:r>
          </w:p>
        </w:tc>
        <w:tc>
          <w:tcPr>
            <w:tcW w:w="961" w:type="dxa"/>
            <w:noWrap/>
            <w:hideMark/>
          </w:tcPr>
          <w:p w14:paraId="018DBB9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3563380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Fruits: Year-round; Leaves: Winter </w:t>
            </w:r>
          </w:p>
        </w:tc>
      </w:tr>
      <w:tr w:rsidR="00385303" w:rsidRPr="00385303" w14:paraId="537426AD"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0F6F25FC"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10</w:t>
            </w:r>
          </w:p>
        </w:tc>
        <w:tc>
          <w:tcPr>
            <w:tcW w:w="813" w:type="dxa"/>
            <w:noWrap/>
            <w:hideMark/>
          </w:tcPr>
          <w:p w14:paraId="3610F6B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Bon Am </w:t>
            </w:r>
          </w:p>
        </w:tc>
        <w:tc>
          <w:tcPr>
            <w:tcW w:w="894" w:type="dxa"/>
            <w:noWrap/>
            <w:hideMark/>
          </w:tcPr>
          <w:p w14:paraId="43D5668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Wild Mango</w:t>
            </w:r>
          </w:p>
        </w:tc>
        <w:tc>
          <w:tcPr>
            <w:tcW w:w="1333" w:type="dxa"/>
            <w:noWrap/>
            <w:hideMark/>
          </w:tcPr>
          <w:p w14:paraId="6CCA3A2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Mangifera sylvatica</w:t>
            </w:r>
          </w:p>
        </w:tc>
        <w:tc>
          <w:tcPr>
            <w:tcW w:w="455" w:type="dxa"/>
            <w:noWrap/>
            <w:hideMark/>
          </w:tcPr>
          <w:p w14:paraId="2525DB7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386109E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7DC6643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3EFFAF1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35</w:t>
            </w:r>
          </w:p>
        </w:tc>
        <w:tc>
          <w:tcPr>
            <w:tcW w:w="961" w:type="dxa"/>
            <w:noWrap/>
            <w:hideMark/>
          </w:tcPr>
          <w:p w14:paraId="71ED74E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3DAA907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3F9BF492"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29FC9CB5"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lastRenderedPageBreak/>
              <w:t>11</w:t>
            </w:r>
          </w:p>
        </w:tc>
        <w:tc>
          <w:tcPr>
            <w:tcW w:w="813" w:type="dxa"/>
            <w:noWrap/>
            <w:hideMark/>
          </w:tcPr>
          <w:p w14:paraId="5B1487C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Bon Lisu</w:t>
            </w:r>
          </w:p>
        </w:tc>
        <w:tc>
          <w:tcPr>
            <w:tcW w:w="894" w:type="dxa"/>
            <w:noWrap/>
            <w:hideMark/>
          </w:tcPr>
          <w:p w14:paraId="3DA97D5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gramStart"/>
            <w:r w:rsidRPr="00385303">
              <w:rPr>
                <w:rFonts w:ascii="Arial" w:eastAsia="Calibri" w:hAnsi="Arial" w:cs="Arial"/>
                <w:sz w:val="16"/>
                <w:szCs w:val="16"/>
              </w:rPr>
              <w:t>Longan  tree</w:t>
            </w:r>
            <w:proofErr w:type="gramEnd"/>
          </w:p>
        </w:tc>
        <w:tc>
          <w:tcPr>
            <w:tcW w:w="1333" w:type="dxa"/>
            <w:noWrap/>
            <w:hideMark/>
          </w:tcPr>
          <w:p w14:paraId="2A3B28B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Nephelium</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longana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Camb</w:t>
            </w:r>
            <w:proofErr w:type="spellEnd"/>
            <w:r w:rsidRPr="00385303">
              <w:rPr>
                <w:rFonts w:ascii="Arial" w:eastAsia="Calibri" w:hAnsi="Arial" w:cs="Arial"/>
                <w:i/>
                <w:sz w:val="16"/>
                <w:szCs w:val="16"/>
              </w:rPr>
              <w:t>.</w:t>
            </w:r>
          </w:p>
        </w:tc>
        <w:tc>
          <w:tcPr>
            <w:tcW w:w="455" w:type="dxa"/>
            <w:noWrap/>
            <w:hideMark/>
          </w:tcPr>
          <w:p w14:paraId="3A9686D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3BC0D2E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Soapberry family</w:t>
            </w:r>
          </w:p>
        </w:tc>
        <w:tc>
          <w:tcPr>
            <w:tcW w:w="894" w:type="dxa"/>
            <w:noWrap/>
            <w:hideMark/>
          </w:tcPr>
          <w:p w14:paraId="6F68DDF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2517F69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28</w:t>
            </w:r>
          </w:p>
        </w:tc>
        <w:tc>
          <w:tcPr>
            <w:tcW w:w="961" w:type="dxa"/>
            <w:noWrap/>
            <w:hideMark/>
          </w:tcPr>
          <w:p w14:paraId="235CD38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3B2CC55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w:t>
            </w:r>
          </w:p>
        </w:tc>
      </w:tr>
      <w:tr w:rsidR="00385303" w:rsidRPr="00385303" w14:paraId="3694AA5B"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5D026DF0"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12</w:t>
            </w:r>
          </w:p>
        </w:tc>
        <w:tc>
          <w:tcPr>
            <w:tcW w:w="813" w:type="dxa"/>
            <w:noWrap/>
            <w:hideMark/>
          </w:tcPr>
          <w:p w14:paraId="4140756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Bor</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Thekera</w:t>
            </w:r>
            <w:proofErr w:type="spellEnd"/>
          </w:p>
        </w:tc>
        <w:tc>
          <w:tcPr>
            <w:tcW w:w="894" w:type="dxa"/>
            <w:noWrap/>
            <w:hideMark/>
          </w:tcPr>
          <w:p w14:paraId="60E54C8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Malabar tamarind and </w:t>
            </w:r>
            <w:proofErr w:type="spellStart"/>
            <w:r w:rsidRPr="00385303">
              <w:rPr>
                <w:rFonts w:ascii="Arial" w:eastAsia="Calibri" w:hAnsi="Arial" w:cs="Arial"/>
                <w:sz w:val="16"/>
                <w:szCs w:val="16"/>
              </w:rPr>
              <w:t>Gambooge</w:t>
            </w:r>
            <w:proofErr w:type="spellEnd"/>
          </w:p>
        </w:tc>
        <w:tc>
          <w:tcPr>
            <w:tcW w:w="1333" w:type="dxa"/>
            <w:noWrap/>
            <w:hideMark/>
          </w:tcPr>
          <w:p w14:paraId="57B6D6C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Garcinia pedunculata</w:t>
            </w:r>
          </w:p>
        </w:tc>
        <w:tc>
          <w:tcPr>
            <w:tcW w:w="455" w:type="dxa"/>
            <w:noWrap/>
            <w:hideMark/>
          </w:tcPr>
          <w:p w14:paraId="1C59648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C738F8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Clusiaceae</w:t>
            </w:r>
            <w:proofErr w:type="spellEnd"/>
          </w:p>
        </w:tc>
        <w:tc>
          <w:tcPr>
            <w:tcW w:w="894" w:type="dxa"/>
            <w:noWrap/>
            <w:hideMark/>
          </w:tcPr>
          <w:p w14:paraId="6854FB4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1F382A6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28</w:t>
            </w:r>
          </w:p>
        </w:tc>
        <w:tc>
          <w:tcPr>
            <w:tcW w:w="961" w:type="dxa"/>
            <w:noWrap/>
            <w:hideMark/>
          </w:tcPr>
          <w:p w14:paraId="48BFB54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7D9ACC1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694F16F9"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005845CC"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13</w:t>
            </w:r>
          </w:p>
        </w:tc>
        <w:tc>
          <w:tcPr>
            <w:tcW w:w="813" w:type="dxa"/>
            <w:noWrap/>
            <w:hideMark/>
          </w:tcPr>
          <w:p w14:paraId="557A435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Cham </w:t>
            </w:r>
            <w:proofErr w:type="spellStart"/>
            <w:r w:rsidRPr="00385303">
              <w:rPr>
                <w:rFonts w:ascii="Arial" w:eastAsia="Calibri" w:hAnsi="Arial" w:cs="Arial"/>
                <w:sz w:val="16"/>
                <w:szCs w:val="16"/>
              </w:rPr>
              <w:t>Kothal</w:t>
            </w:r>
            <w:proofErr w:type="spellEnd"/>
          </w:p>
        </w:tc>
        <w:tc>
          <w:tcPr>
            <w:tcW w:w="894" w:type="dxa"/>
            <w:noWrap/>
            <w:hideMark/>
          </w:tcPr>
          <w:p w14:paraId="4E75CB6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Wild Jackfruit / Monkey Jack</w:t>
            </w:r>
          </w:p>
        </w:tc>
        <w:tc>
          <w:tcPr>
            <w:tcW w:w="1333" w:type="dxa"/>
            <w:noWrap/>
            <w:hideMark/>
          </w:tcPr>
          <w:p w14:paraId="1809072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Artocarpus Chama </w:t>
            </w:r>
          </w:p>
        </w:tc>
        <w:tc>
          <w:tcPr>
            <w:tcW w:w="455" w:type="dxa"/>
            <w:noWrap/>
            <w:hideMark/>
          </w:tcPr>
          <w:p w14:paraId="2D637F9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5D228E5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Moraceae</w:t>
            </w:r>
            <w:proofErr w:type="spellEnd"/>
          </w:p>
        </w:tc>
        <w:tc>
          <w:tcPr>
            <w:tcW w:w="894" w:type="dxa"/>
            <w:noWrap/>
            <w:hideMark/>
          </w:tcPr>
          <w:p w14:paraId="11BB41D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57D9FC0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42</w:t>
            </w:r>
          </w:p>
        </w:tc>
        <w:tc>
          <w:tcPr>
            <w:tcW w:w="961" w:type="dxa"/>
            <w:noWrap/>
            <w:hideMark/>
          </w:tcPr>
          <w:p w14:paraId="60A7268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077D346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2A6CAB4B"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1A312EF8"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14</w:t>
            </w:r>
          </w:p>
        </w:tc>
        <w:tc>
          <w:tcPr>
            <w:tcW w:w="813" w:type="dxa"/>
            <w:noWrap/>
            <w:hideMark/>
          </w:tcPr>
          <w:p w14:paraId="6BE391C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Dewa </w:t>
            </w:r>
            <w:proofErr w:type="spellStart"/>
            <w:r w:rsidRPr="00385303">
              <w:rPr>
                <w:rFonts w:ascii="Arial" w:eastAsia="Calibri" w:hAnsi="Arial" w:cs="Arial"/>
                <w:sz w:val="16"/>
                <w:szCs w:val="16"/>
              </w:rPr>
              <w:t>chali</w:t>
            </w:r>
            <w:proofErr w:type="spellEnd"/>
            <w:r w:rsidRPr="00385303">
              <w:rPr>
                <w:rFonts w:ascii="Arial" w:eastAsia="Calibri" w:hAnsi="Arial" w:cs="Arial"/>
                <w:sz w:val="16"/>
                <w:szCs w:val="16"/>
              </w:rPr>
              <w:t xml:space="preserve"> </w:t>
            </w:r>
          </w:p>
        </w:tc>
        <w:tc>
          <w:tcPr>
            <w:tcW w:w="894" w:type="dxa"/>
            <w:noWrap/>
            <w:hideMark/>
          </w:tcPr>
          <w:p w14:paraId="145C1CD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Monkey Jack / Wild Jack</w:t>
            </w:r>
          </w:p>
        </w:tc>
        <w:tc>
          <w:tcPr>
            <w:tcW w:w="1333" w:type="dxa"/>
            <w:noWrap/>
            <w:hideMark/>
          </w:tcPr>
          <w:p w14:paraId="2CCA474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Artocarpus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lakoocha</w:t>
            </w:r>
            <w:proofErr w:type="spellEnd"/>
            <w:r w:rsidRPr="00385303">
              <w:rPr>
                <w:rFonts w:ascii="Arial" w:eastAsia="Calibri" w:hAnsi="Arial" w:cs="Arial"/>
                <w:i/>
                <w:sz w:val="16"/>
                <w:szCs w:val="16"/>
              </w:rPr>
              <w:t xml:space="preserve"> </w:t>
            </w:r>
          </w:p>
        </w:tc>
        <w:tc>
          <w:tcPr>
            <w:tcW w:w="455" w:type="dxa"/>
            <w:noWrap/>
            <w:hideMark/>
          </w:tcPr>
          <w:p w14:paraId="671D685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E3829D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Moraceae</w:t>
            </w:r>
            <w:proofErr w:type="spellEnd"/>
          </w:p>
        </w:tc>
        <w:tc>
          <w:tcPr>
            <w:tcW w:w="894" w:type="dxa"/>
            <w:noWrap/>
            <w:hideMark/>
          </w:tcPr>
          <w:p w14:paraId="7BA925D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Bark, Fruits</w:t>
            </w:r>
          </w:p>
        </w:tc>
        <w:tc>
          <w:tcPr>
            <w:tcW w:w="516" w:type="dxa"/>
            <w:noWrap/>
            <w:hideMark/>
          </w:tcPr>
          <w:p w14:paraId="231CBC8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30</w:t>
            </w:r>
          </w:p>
        </w:tc>
        <w:tc>
          <w:tcPr>
            <w:tcW w:w="961" w:type="dxa"/>
            <w:noWrap/>
            <w:hideMark/>
          </w:tcPr>
          <w:p w14:paraId="2079A61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75E6984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Bark: Winter</w:t>
            </w:r>
          </w:p>
        </w:tc>
      </w:tr>
      <w:tr w:rsidR="00385303" w:rsidRPr="00385303" w14:paraId="34CE4B7B"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25F42B72"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15</w:t>
            </w:r>
          </w:p>
        </w:tc>
        <w:tc>
          <w:tcPr>
            <w:tcW w:w="813" w:type="dxa"/>
            <w:noWrap/>
            <w:hideMark/>
          </w:tcPr>
          <w:p w14:paraId="23338E0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Gamori</w:t>
            </w:r>
            <w:proofErr w:type="spellEnd"/>
          </w:p>
        </w:tc>
        <w:tc>
          <w:tcPr>
            <w:tcW w:w="894" w:type="dxa"/>
            <w:noWrap/>
            <w:hideMark/>
          </w:tcPr>
          <w:p w14:paraId="0BDC85A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Comb teak/ hill teak/ </w:t>
            </w:r>
            <w:proofErr w:type="spellStart"/>
            <w:r w:rsidRPr="00385303">
              <w:rPr>
                <w:rFonts w:ascii="Arial" w:eastAsia="Calibri" w:hAnsi="Arial" w:cs="Arial"/>
                <w:sz w:val="16"/>
                <w:szCs w:val="16"/>
              </w:rPr>
              <w:t>Gomhar</w:t>
            </w:r>
            <w:proofErr w:type="spellEnd"/>
          </w:p>
          <w:p w14:paraId="2600FD3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 </w:t>
            </w:r>
          </w:p>
        </w:tc>
        <w:tc>
          <w:tcPr>
            <w:tcW w:w="1333" w:type="dxa"/>
            <w:noWrap/>
            <w:hideMark/>
          </w:tcPr>
          <w:p w14:paraId="0EFFDA4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Gmelina </w:t>
            </w:r>
            <w:proofErr w:type="spellStart"/>
            <w:r w:rsidRPr="00385303">
              <w:rPr>
                <w:rFonts w:ascii="Arial" w:eastAsia="Calibri" w:hAnsi="Arial" w:cs="Arial"/>
                <w:i/>
                <w:sz w:val="16"/>
                <w:szCs w:val="16"/>
              </w:rPr>
              <w:t>arborea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Roxb</w:t>
            </w:r>
            <w:proofErr w:type="spellEnd"/>
            <w:r w:rsidRPr="00385303">
              <w:rPr>
                <w:rFonts w:ascii="Arial" w:eastAsia="Calibri" w:hAnsi="Arial" w:cs="Arial"/>
                <w:i/>
                <w:sz w:val="16"/>
                <w:szCs w:val="16"/>
              </w:rPr>
              <w:t>.</w:t>
            </w:r>
          </w:p>
        </w:tc>
        <w:tc>
          <w:tcPr>
            <w:tcW w:w="455" w:type="dxa"/>
            <w:noWrap/>
            <w:hideMark/>
          </w:tcPr>
          <w:p w14:paraId="086512A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8899A7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Verbenas</w:t>
            </w:r>
          </w:p>
        </w:tc>
        <w:tc>
          <w:tcPr>
            <w:tcW w:w="894" w:type="dxa"/>
            <w:noWrap/>
            <w:hideMark/>
          </w:tcPr>
          <w:p w14:paraId="41F77C2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Leaves</w:t>
            </w:r>
          </w:p>
        </w:tc>
        <w:tc>
          <w:tcPr>
            <w:tcW w:w="516" w:type="dxa"/>
            <w:noWrap/>
            <w:hideMark/>
          </w:tcPr>
          <w:p w14:paraId="4E61E0F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38</w:t>
            </w:r>
          </w:p>
        </w:tc>
        <w:tc>
          <w:tcPr>
            <w:tcW w:w="961" w:type="dxa"/>
            <w:noWrap/>
            <w:hideMark/>
          </w:tcPr>
          <w:p w14:paraId="1C0061E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55B8FCF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Pre-Monsoon; Leaves: Winter</w:t>
            </w:r>
          </w:p>
        </w:tc>
      </w:tr>
      <w:tr w:rsidR="00385303" w:rsidRPr="00385303" w14:paraId="55B28F4B"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93271CB"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16</w:t>
            </w:r>
          </w:p>
        </w:tc>
        <w:tc>
          <w:tcPr>
            <w:tcW w:w="813" w:type="dxa"/>
            <w:noWrap/>
            <w:hideMark/>
          </w:tcPr>
          <w:p w14:paraId="4F4456D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Hilikha</w:t>
            </w:r>
            <w:proofErr w:type="spellEnd"/>
          </w:p>
        </w:tc>
        <w:tc>
          <w:tcPr>
            <w:tcW w:w="894" w:type="dxa"/>
            <w:noWrap/>
            <w:hideMark/>
          </w:tcPr>
          <w:p w14:paraId="0BC4EEC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Black myrobalan</w:t>
            </w:r>
          </w:p>
        </w:tc>
        <w:tc>
          <w:tcPr>
            <w:tcW w:w="1333" w:type="dxa"/>
            <w:noWrap/>
            <w:hideMark/>
          </w:tcPr>
          <w:p w14:paraId="1D09B66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Terminalia </w:t>
            </w:r>
            <w:proofErr w:type="spellStart"/>
            <w:r w:rsidRPr="00385303">
              <w:rPr>
                <w:rFonts w:ascii="Arial" w:eastAsia="Calibri" w:hAnsi="Arial" w:cs="Arial"/>
                <w:i/>
                <w:sz w:val="16"/>
                <w:szCs w:val="16"/>
              </w:rPr>
              <w:t>chebula</w:t>
            </w:r>
            <w:proofErr w:type="spellEnd"/>
            <w:r w:rsidRPr="00385303">
              <w:rPr>
                <w:rFonts w:ascii="Arial" w:eastAsia="Calibri" w:hAnsi="Arial" w:cs="Arial"/>
                <w:i/>
                <w:sz w:val="16"/>
                <w:szCs w:val="16"/>
              </w:rPr>
              <w:t xml:space="preserve"> Retz.</w:t>
            </w:r>
          </w:p>
        </w:tc>
        <w:tc>
          <w:tcPr>
            <w:tcW w:w="455" w:type="dxa"/>
            <w:noWrap/>
            <w:hideMark/>
          </w:tcPr>
          <w:p w14:paraId="18A7E41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7BE6093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Combretaceae</w:t>
            </w:r>
            <w:proofErr w:type="spellEnd"/>
          </w:p>
        </w:tc>
        <w:tc>
          <w:tcPr>
            <w:tcW w:w="894" w:type="dxa"/>
            <w:noWrap/>
            <w:hideMark/>
          </w:tcPr>
          <w:p w14:paraId="42FB778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4425C1C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22</w:t>
            </w:r>
          </w:p>
        </w:tc>
        <w:tc>
          <w:tcPr>
            <w:tcW w:w="961" w:type="dxa"/>
            <w:noWrap/>
            <w:hideMark/>
          </w:tcPr>
          <w:p w14:paraId="77879E3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Moist Deciduous</w:t>
            </w:r>
          </w:p>
        </w:tc>
        <w:tc>
          <w:tcPr>
            <w:tcW w:w="982" w:type="dxa"/>
            <w:noWrap/>
            <w:hideMark/>
          </w:tcPr>
          <w:p w14:paraId="28CCD92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Winter &amp; Post-Monsoon</w:t>
            </w:r>
          </w:p>
        </w:tc>
      </w:tr>
      <w:tr w:rsidR="00385303" w:rsidRPr="00385303" w14:paraId="630FB9C0"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E3014F3"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17</w:t>
            </w:r>
          </w:p>
        </w:tc>
        <w:tc>
          <w:tcPr>
            <w:tcW w:w="813" w:type="dxa"/>
            <w:noWrap/>
            <w:hideMark/>
          </w:tcPr>
          <w:p w14:paraId="55A08CE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Jamu</w:t>
            </w:r>
          </w:p>
        </w:tc>
        <w:tc>
          <w:tcPr>
            <w:tcW w:w="894" w:type="dxa"/>
            <w:noWrap/>
            <w:hideMark/>
          </w:tcPr>
          <w:p w14:paraId="0B4AB04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Blackberry</w:t>
            </w:r>
          </w:p>
        </w:tc>
        <w:tc>
          <w:tcPr>
            <w:tcW w:w="1333" w:type="dxa"/>
            <w:noWrap/>
            <w:hideMark/>
          </w:tcPr>
          <w:p w14:paraId="4B5A0B6E" w14:textId="77777777" w:rsidR="00385303" w:rsidRPr="009748E7"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lang w:val="pt-BR"/>
              </w:rPr>
            </w:pPr>
            <w:r w:rsidRPr="009748E7">
              <w:rPr>
                <w:rFonts w:ascii="Arial" w:eastAsia="Calibri" w:hAnsi="Arial" w:cs="Arial"/>
                <w:i/>
                <w:sz w:val="16"/>
                <w:szCs w:val="16"/>
                <w:lang w:val="pt-BR"/>
              </w:rPr>
              <w:t>Syzygium cumini (syn. Eugenia jumbolana)</w:t>
            </w:r>
          </w:p>
        </w:tc>
        <w:tc>
          <w:tcPr>
            <w:tcW w:w="455" w:type="dxa"/>
            <w:noWrap/>
            <w:hideMark/>
          </w:tcPr>
          <w:p w14:paraId="5875612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A1D58C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Rosaceae</w:t>
            </w:r>
          </w:p>
        </w:tc>
        <w:tc>
          <w:tcPr>
            <w:tcW w:w="894" w:type="dxa"/>
            <w:noWrap/>
            <w:hideMark/>
          </w:tcPr>
          <w:p w14:paraId="42E4BAC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5BDEBD0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35</w:t>
            </w:r>
          </w:p>
        </w:tc>
        <w:tc>
          <w:tcPr>
            <w:tcW w:w="961" w:type="dxa"/>
            <w:noWrap/>
            <w:hideMark/>
          </w:tcPr>
          <w:p w14:paraId="0B07D4F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Semi-Evergreen </w:t>
            </w:r>
          </w:p>
        </w:tc>
        <w:tc>
          <w:tcPr>
            <w:tcW w:w="982" w:type="dxa"/>
            <w:noWrap/>
            <w:hideMark/>
          </w:tcPr>
          <w:p w14:paraId="4681225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7387C42C"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D55D988"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18</w:t>
            </w:r>
          </w:p>
        </w:tc>
        <w:tc>
          <w:tcPr>
            <w:tcW w:w="813" w:type="dxa"/>
            <w:noWrap/>
            <w:hideMark/>
          </w:tcPr>
          <w:p w14:paraId="11872DF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Jia </w:t>
            </w:r>
            <w:proofErr w:type="spellStart"/>
            <w:r w:rsidRPr="00385303">
              <w:rPr>
                <w:rFonts w:ascii="Arial" w:eastAsia="Calibri" w:hAnsi="Arial" w:cs="Arial"/>
                <w:sz w:val="16"/>
                <w:szCs w:val="16"/>
              </w:rPr>
              <w:t>Gos</w:t>
            </w:r>
            <w:proofErr w:type="spellEnd"/>
          </w:p>
        </w:tc>
        <w:tc>
          <w:tcPr>
            <w:tcW w:w="894" w:type="dxa"/>
            <w:noWrap/>
            <w:hideMark/>
          </w:tcPr>
          <w:p w14:paraId="09FC3F3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Ash Tree</w:t>
            </w:r>
          </w:p>
        </w:tc>
        <w:tc>
          <w:tcPr>
            <w:tcW w:w="1333" w:type="dxa"/>
            <w:noWrap/>
            <w:hideMark/>
          </w:tcPr>
          <w:p w14:paraId="2D1207EF" w14:textId="77777777" w:rsidR="00385303" w:rsidRPr="009748E7"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lang w:val="pt-BR"/>
              </w:rPr>
            </w:pPr>
            <w:r w:rsidRPr="009748E7">
              <w:rPr>
                <w:rFonts w:ascii="Arial" w:eastAsia="Calibri" w:hAnsi="Arial" w:cs="Arial"/>
                <w:i/>
                <w:sz w:val="16"/>
                <w:szCs w:val="16"/>
                <w:lang w:val="pt-BR"/>
              </w:rPr>
              <w:t>Lannea coromandelica (syn. L. grandis)</w:t>
            </w:r>
          </w:p>
        </w:tc>
        <w:tc>
          <w:tcPr>
            <w:tcW w:w="455" w:type="dxa"/>
            <w:noWrap/>
            <w:hideMark/>
          </w:tcPr>
          <w:p w14:paraId="27C7255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1DEFE8A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Anacardiaceae</w:t>
            </w:r>
            <w:proofErr w:type="spellEnd"/>
          </w:p>
        </w:tc>
        <w:tc>
          <w:tcPr>
            <w:tcW w:w="894" w:type="dxa"/>
            <w:noWrap/>
            <w:hideMark/>
          </w:tcPr>
          <w:p w14:paraId="17BC053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231FCBB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23</w:t>
            </w:r>
          </w:p>
        </w:tc>
        <w:tc>
          <w:tcPr>
            <w:tcW w:w="961" w:type="dxa"/>
            <w:noWrap/>
            <w:hideMark/>
          </w:tcPr>
          <w:p w14:paraId="15D71E0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78A881C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Leaves: Winter; Fruits: Summer/Pre-Monsoon</w:t>
            </w:r>
          </w:p>
        </w:tc>
      </w:tr>
      <w:tr w:rsidR="00385303" w:rsidRPr="00385303" w14:paraId="41A9F425"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A7DC931"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19</w:t>
            </w:r>
          </w:p>
        </w:tc>
        <w:tc>
          <w:tcPr>
            <w:tcW w:w="813" w:type="dxa"/>
            <w:noWrap/>
            <w:hideMark/>
          </w:tcPr>
          <w:p w14:paraId="069C245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Jari</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Gos</w:t>
            </w:r>
            <w:proofErr w:type="spellEnd"/>
          </w:p>
        </w:tc>
        <w:tc>
          <w:tcPr>
            <w:tcW w:w="894" w:type="dxa"/>
            <w:noWrap/>
            <w:hideMark/>
          </w:tcPr>
          <w:p w14:paraId="2F2BA2C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Benjamin’s fig</w:t>
            </w:r>
          </w:p>
        </w:tc>
        <w:tc>
          <w:tcPr>
            <w:tcW w:w="1333" w:type="dxa"/>
            <w:noWrap/>
            <w:hideMark/>
          </w:tcPr>
          <w:p w14:paraId="38119A5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Ficus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benjamina</w:t>
            </w:r>
            <w:proofErr w:type="spellEnd"/>
          </w:p>
        </w:tc>
        <w:tc>
          <w:tcPr>
            <w:tcW w:w="455" w:type="dxa"/>
            <w:noWrap/>
            <w:hideMark/>
          </w:tcPr>
          <w:p w14:paraId="1659FB5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150BA08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Moraceae</w:t>
            </w:r>
            <w:proofErr w:type="spellEnd"/>
          </w:p>
        </w:tc>
        <w:tc>
          <w:tcPr>
            <w:tcW w:w="894" w:type="dxa"/>
            <w:noWrap/>
            <w:hideMark/>
          </w:tcPr>
          <w:p w14:paraId="7A1B35A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gramStart"/>
            <w:r w:rsidRPr="00385303">
              <w:rPr>
                <w:rFonts w:ascii="Arial" w:eastAsia="Calibri" w:hAnsi="Arial" w:cs="Arial"/>
                <w:sz w:val="16"/>
                <w:szCs w:val="16"/>
              </w:rPr>
              <w:t>Leaves,  Fruits</w:t>
            </w:r>
            <w:proofErr w:type="gramEnd"/>
          </w:p>
        </w:tc>
        <w:tc>
          <w:tcPr>
            <w:tcW w:w="516" w:type="dxa"/>
            <w:noWrap/>
            <w:hideMark/>
          </w:tcPr>
          <w:p w14:paraId="00E6789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28</w:t>
            </w:r>
          </w:p>
        </w:tc>
        <w:tc>
          <w:tcPr>
            <w:tcW w:w="961" w:type="dxa"/>
            <w:noWrap/>
            <w:hideMark/>
          </w:tcPr>
          <w:p w14:paraId="24AC73B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06DF5AC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Leaves: Winter</w:t>
            </w:r>
          </w:p>
        </w:tc>
      </w:tr>
      <w:tr w:rsidR="00385303" w:rsidRPr="00385303" w14:paraId="1AAA6211"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00816F5"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20</w:t>
            </w:r>
          </w:p>
        </w:tc>
        <w:tc>
          <w:tcPr>
            <w:tcW w:w="813" w:type="dxa"/>
            <w:noWrap/>
            <w:hideMark/>
          </w:tcPr>
          <w:p w14:paraId="4165793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Khokon</w:t>
            </w:r>
            <w:proofErr w:type="spellEnd"/>
          </w:p>
        </w:tc>
        <w:tc>
          <w:tcPr>
            <w:tcW w:w="894" w:type="dxa"/>
            <w:noWrap/>
            <w:hideMark/>
          </w:tcPr>
          <w:p w14:paraId="6CE70B8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Duabanga</w:t>
            </w:r>
            <w:proofErr w:type="spellEnd"/>
            <w:r w:rsidRPr="00385303">
              <w:rPr>
                <w:rFonts w:ascii="Arial" w:eastAsia="Calibri" w:hAnsi="Arial" w:cs="Arial"/>
                <w:sz w:val="16"/>
                <w:szCs w:val="16"/>
              </w:rPr>
              <w:t xml:space="preserve"> grandiflora</w:t>
            </w:r>
          </w:p>
        </w:tc>
        <w:tc>
          <w:tcPr>
            <w:tcW w:w="1333" w:type="dxa"/>
            <w:noWrap/>
            <w:hideMark/>
          </w:tcPr>
          <w:p w14:paraId="76B1A21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Duabanga</w:t>
            </w:r>
            <w:proofErr w:type="spellEnd"/>
            <w:r w:rsidRPr="00385303">
              <w:rPr>
                <w:rFonts w:ascii="Arial" w:eastAsia="Calibri" w:hAnsi="Arial" w:cs="Arial"/>
                <w:i/>
                <w:sz w:val="16"/>
                <w:szCs w:val="16"/>
              </w:rPr>
              <w:t xml:space="preserve"> grandiflora (</w:t>
            </w:r>
            <w:proofErr w:type="spellStart"/>
            <w:r w:rsidRPr="00385303">
              <w:rPr>
                <w:rFonts w:ascii="Arial" w:eastAsia="Calibri" w:hAnsi="Arial" w:cs="Arial"/>
                <w:i/>
                <w:sz w:val="16"/>
                <w:szCs w:val="16"/>
              </w:rPr>
              <w:t>sy</w:t>
            </w:r>
            <w:proofErr w:type="spellEnd"/>
            <w:r w:rsidRPr="00385303">
              <w:rPr>
                <w:rFonts w:ascii="Arial" w:eastAsia="Calibri" w:hAnsi="Arial" w:cs="Arial"/>
                <w:i/>
                <w:sz w:val="16"/>
                <w:szCs w:val="16"/>
              </w:rPr>
              <w:t xml:space="preserve">. D. </w:t>
            </w:r>
            <w:proofErr w:type="spellStart"/>
            <w:r w:rsidRPr="00385303">
              <w:rPr>
                <w:rFonts w:ascii="Arial" w:eastAsia="Calibri" w:hAnsi="Arial" w:cs="Arial"/>
                <w:i/>
                <w:sz w:val="16"/>
                <w:szCs w:val="16"/>
              </w:rPr>
              <w:t>sonneratioides</w:t>
            </w:r>
            <w:proofErr w:type="spellEnd"/>
            <w:r w:rsidRPr="00385303">
              <w:rPr>
                <w:rFonts w:ascii="Arial" w:eastAsia="Calibri" w:hAnsi="Arial" w:cs="Arial"/>
                <w:i/>
                <w:sz w:val="16"/>
                <w:szCs w:val="16"/>
              </w:rPr>
              <w:t>)</w:t>
            </w:r>
          </w:p>
        </w:tc>
        <w:tc>
          <w:tcPr>
            <w:tcW w:w="455" w:type="dxa"/>
            <w:noWrap/>
            <w:hideMark/>
          </w:tcPr>
          <w:p w14:paraId="17A33B3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C23B37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Lythraceae</w:t>
            </w:r>
            <w:proofErr w:type="spellEnd"/>
          </w:p>
        </w:tc>
        <w:tc>
          <w:tcPr>
            <w:tcW w:w="894" w:type="dxa"/>
            <w:noWrap/>
            <w:hideMark/>
          </w:tcPr>
          <w:p w14:paraId="30A92AE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Leaves</w:t>
            </w:r>
          </w:p>
        </w:tc>
        <w:tc>
          <w:tcPr>
            <w:tcW w:w="516" w:type="dxa"/>
            <w:noWrap/>
            <w:hideMark/>
          </w:tcPr>
          <w:p w14:paraId="64DEF8BD"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26</w:t>
            </w:r>
          </w:p>
        </w:tc>
        <w:tc>
          <w:tcPr>
            <w:tcW w:w="961" w:type="dxa"/>
            <w:noWrap/>
            <w:hideMark/>
          </w:tcPr>
          <w:p w14:paraId="58F9664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72D619D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Leaves: Winter; Flowers: Pre-Monsoon</w:t>
            </w:r>
          </w:p>
        </w:tc>
      </w:tr>
      <w:tr w:rsidR="00385303" w:rsidRPr="00385303" w14:paraId="12F879DC"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1580DD8D"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21</w:t>
            </w:r>
          </w:p>
        </w:tc>
        <w:tc>
          <w:tcPr>
            <w:tcW w:w="813" w:type="dxa"/>
            <w:noWrap/>
            <w:hideMark/>
          </w:tcPr>
          <w:p w14:paraId="0BC0269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Kuji</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Thekera</w:t>
            </w:r>
            <w:proofErr w:type="spellEnd"/>
            <w:r w:rsidRPr="00385303">
              <w:rPr>
                <w:rFonts w:ascii="Arial" w:eastAsia="Calibri" w:hAnsi="Arial" w:cs="Arial"/>
                <w:sz w:val="16"/>
                <w:szCs w:val="16"/>
              </w:rPr>
              <w:t xml:space="preserve"> </w:t>
            </w:r>
          </w:p>
        </w:tc>
        <w:tc>
          <w:tcPr>
            <w:tcW w:w="894" w:type="dxa"/>
            <w:noWrap/>
            <w:hideMark/>
          </w:tcPr>
          <w:p w14:paraId="65963E4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Cowa</w:t>
            </w:r>
            <w:proofErr w:type="spellEnd"/>
            <w:r w:rsidRPr="00385303">
              <w:rPr>
                <w:rFonts w:ascii="Arial" w:eastAsia="Calibri" w:hAnsi="Arial" w:cs="Arial"/>
                <w:sz w:val="16"/>
                <w:szCs w:val="16"/>
              </w:rPr>
              <w:t xml:space="preserve"> fruit</w:t>
            </w:r>
          </w:p>
        </w:tc>
        <w:tc>
          <w:tcPr>
            <w:tcW w:w="1333" w:type="dxa"/>
            <w:noWrap/>
            <w:hideMark/>
          </w:tcPr>
          <w:p w14:paraId="4FE13E6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Garcinia </w:t>
            </w:r>
            <w:proofErr w:type="spellStart"/>
            <w:r w:rsidRPr="00385303">
              <w:rPr>
                <w:rFonts w:ascii="Arial" w:eastAsia="Calibri" w:hAnsi="Arial" w:cs="Arial"/>
                <w:i/>
                <w:sz w:val="16"/>
                <w:szCs w:val="16"/>
              </w:rPr>
              <w:t>cowa</w:t>
            </w:r>
            <w:proofErr w:type="spellEnd"/>
          </w:p>
        </w:tc>
        <w:tc>
          <w:tcPr>
            <w:tcW w:w="455" w:type="dxa"/>
            <w:noWrap/>
            <w:hideMark/>
          </w:tcPr>
          <w:p w14:paraId="0F23F03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70C3AFB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Clusiaceae</w:t>
            </w:r>
            <w:proofErr w:type="spellEnd"/>
          </w:p>
        </w:tc>
        <w:tc>
          <w:tcPr>
            <w:tcW w:w="894" w:type="dxa"/>
            <w:noWrap/>
            <w:hideMark/>
          </w:tcPr>
          <w:p w14:paraId="1E3A019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325BB12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20</w:t>
            </w:r>
          </w:p>
        </w:tc>
        <w:tc>
          <w:tcPr>
            <w:tcW w:w="961" w:type="dxa"/>
            <w:noWrap/>
            <w:hideMark/>
          </w:tcPr>
          <w:p w14:paraId="02A91BD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2C9CB5D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Leaves: Winter</w:t>
            </w:r>
          </w:p>
        </w:tc>
      </w:tr>
      <w:tr w:rsidR="00385303" w:rsidRPr="00385303" w14:paraId="71ADF4FB"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167B05B"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22</w:t>
            </w:r>
          </w:p>
        </w:tc>
        <w:tc>
          <w:tcPr>
            <w:tcW w:w="813" w:type="dxa"/>
            <w:noWrap/>
            <w:hideMark/>
          </w:tcPr>
          <w:p w14:paraId="61E57F2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Lali</w:t>
            </w:r>
          </w:p>
        </w:tc>
        <w:tc>
          <w:tcPr>
            <w:tcW w:w="894" w:type="dxa"/>
            <w:noWrap/>
            <w:hideMark/>
          </w:tcPr>
          <w:p w14:paraId="3C4CE5A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Amari</w:t>
            </w:r>
          </w:p>
        </w:tc>
        <w:tc>
          <w:tcPr>
            <w:tcW w:w="1333" w:type="dxa"/>
            <w:noWrap/>
            <w:hideMark/>
          </w:tcPr>
          <w:p w14:paraId="6D13C8C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Amoora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wallichii</w:t>
            </w:r>
            <w:proofErr w:type="spellEnd"/>
          </w:p>
        </w:tc>
        <w:tc>
          <w:tcPr>
            <w:tcW w:w="455" w:type="dxa"/>
            <w:noWrap/>
            <w:hideMark/>
          </w:tcPr>
          <w:p w14:paraId="2B0A7D9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4C80068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Meliaceae</w:t>
            </w:r>
            <w:proofErr w:type="spellEnd"/>
          </w:p>
        </w:tc>
        <w:tc>
          <w:tcPr>
            <w:tcW w:w="894" w:type="dxa"/>
            <w:noWrap/>
            <w:hideMark/>
          </w:tcPr>
          <w:p w14:paraId="6686731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4EFAB06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32</w:t>
            </w:r>
          </w:p>
        </w:tc>
        <w:tc>
          <w:tcPr>
            <w:tcW w:w="961" w:type="dxa"/>
            <w:noWrap/>
            <w:hideMark/>
          </w:tcPr>
          <w:p w14:paraId="024DE78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01B757B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w:t>
            </w:r>
          </w:p>
        </w:tc>
      </w:tr>
      <w:tr w:rsidR="00385303" w:rsidRPr="00385303" w14:paraId="2F080284"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99C33AC"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23</w:t>
            </w:r>
          </w:p>
        </w:tc>
        <w:tc>
          <w:tcPr>
            <w:tcW w:w="813" w:type="dxa"/>
            <w:noWrap/>
            <w:hideMark/>
          </w:tcPr>
          <w:p w14:paraId="38770E7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Leteku</w:t>
            </w:r>
            <w:proofErr w:type="spellEnd"/>
          </w:p>
        </w:tc>
        <w:tc>
          <w:tcPr>
            <w:tcW w:w="894" w:type="dxa"/>
            <w:noWrap/>
            <w:hideMark/>
          </w:tcPr>
          <w:p w14:paraId="4A7217C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Burmese grape</w:t>
            </w:r>
          </w:p>
        </w:tc>
        <w:tc>
          <w:tcPr>
            <w:tcW w:w="1333" w:type="dxa"/>
            <w:noWrap/>
            <w:hideMark/>
          </w:tcPr>
          <w:p w14:paraId="1606605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Baccaurea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ramiflora</w:t>
            </w:r>
            <w:proofErr w:type="spellEnd"/>
            <w:r w:rsidRPr="00385303">
              <w:rPr>
                <w:rFonts w:ascii="Arial" w:eastAsia="Calibri" w:hAnsi="Arial" w:cs="Arial"/>
                <w:i/>
                <w:sz w:val="16"/>
                <w:szCs w:val="16"/>
              </w:rPr>
              <w:t xml:space="preserve"> Linn.</w:t>
            </w:r>
          </w:p>
        </w:tc>
        <w:tc>
          <w:tcPr>
            <w:tcW w:w="455" w:type="dxa"/>
            <w:noWrap/>
            <w:hideMark/>
          </w:tcPr>
          <w:p w14:paraId="0DAAD4E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DB67FF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Baccaurea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ramiflora</w:t>
            </w:r>
            <w:proofErr w:type="spellEnd"/>
          </w:p>
        </w:tc>
        <w:tc>
          <w:tcPr>
            <w:tcW w:w="894" w:type="dxa"/>
            <w:noWrap/>
            <w:hideMark/>
          </w:tcPr>
          <w:p w14:paraId="0D578BE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729F1C3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15</w:t>
            </w:r>
          </w:p>
        </w:tc>
        <w:tc>
          <w:tcPr>
            <w:tcW w:w="961" w:type="dxa"/>
            <w:noWrap/>
            <w:hideMark/>
          </w:tcPr>
          <w:p w14:paraId="5D0A817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771656A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57C50F94"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1554982"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24</w:t>
            </w:r>
          </w:p>
        </w:tc>
        <w:tc>
          <w:tcPr>
            <w:tcW w:w="813" w:type="dxa"/>
            <w:noWrap/>
            <w:hideMark/>
          </w:tcPr>
          <w:p w14:paraId="1FF1EBF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Mahi </w:t>
            </w:r>
            <w:proofErr w:type="spellStart"/>
            <w:r w:rsidRPr="00385303">
              <w:rPr>
                <w:rFonts w:ascii="Arial" w:eastAsia="Calibri" w:hAnsi="Arial" w:cs="Arial"/>
                <w:sz w:val="16"/>
                <w:szCs w:val="16"/>
              </w:rPr>
              <w:t>Thekera</w:t>
            </w:r>
            <w:proofErr w:type="spellEnd"/>
            <w:r w:rsidRPr="00385303">
              <w:rPr>
                <w:rFonts w:ascii="Arial" w:eastAsia="Calibri" w:hAnsi="Arial" w:cs="Arial"/>
                <w:sz w:val="16"/>
                <w:szCs w:val="16"/>
              </w:rPr>
              <w:t xml:space="preserve"> </w:t>
            </w:r>
          </w:p>
        </w:tc>
        <w:tc>
          <w:tcPr>
            <w:tcW w:w="894" w:type="dxa"/>
            <w:noWrap/>
            <w:hideMark/>
          </w:tcPr>
          <w:p w14:paraId="1EF690F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Carallia</w:t>
            </w:r>
            <w:proofErr w:type="spellEnd"/>
          </w:p>
        </w:tc>
        <w:tc>
          <w:tcPr>
            <w:tcW w:w="1333" w:type="dxa"/>
            <w:noWrap/>
            <w:hideMark/>
          </w:tcPr>
          <w:p w14:paraId="74232D1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Carallia</w:t>
            </w:r>
            <w:proofErr w:type="spellEnd"/>
            <w:r w:rsidRPr="00385303">
              <w:rPr>
                <w:rFonts w:ascii="Arial" w:eastAsia="Calibri" w:hAnsi="Arial" w:cs="Arial"/>
                <w:i/>
                <w:sz w:val="16"/>
                <w:szCs w:val="16"/>
              </w:rPr>
              <w:t xml:space="preserve"> lucida</w:t>
            </w:r>
          </w:p>
        </w:tc>
        <w:tc>
          <w:tcPr>
            <w:tcW w:w="455" w:type="dxa"/>
            <w:noWrap/>
            <w:hideMark/>
          </w:tcPr>
          <w:p w14:paraId="0485A66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164D3ED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Rhizophoraceae</w:t>
            </w:r>
          </w:p>
        </w:tc>
        <w:tc>
          <w:tcPr>
            <w:tcW w:w="894" w:type="dxa"/>
            <w:noWrap/>
            <w:hideMark/>
          </w:tcPr>
          <w:p w14:paraId="2C70A94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w:t>
            </w:r>
          </w:p>
        </w:tc>
        <w:tc>
          <w:tcPr>
            <w:tcW w:w="516" w:type="dxa"/>
            <w:noWrap/>
            <w:hideMark/>
          </w:tcPr>
          <w:p w14:paraId="7919F2B5"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13</w:t>
            </w:r>
          </w:p>
        </w:tc>
        <w:tc>
          <w:tcPr>
            <w:tcW w:w="961" w:type="dxa"/>
            <w:noWrap/>
            <w:hideMark/>
          </w:tcPr>
          <w:p w14:paraId="7381109F"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3967A22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Post-Monsoon</w:t>
            </w:r>
          </w:p>
        </w:tc>
      </w:tr>
      <w:tr w:rsidR="00385303" w:rsidRPr="00385303" w14:paraId="21C19E82"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DF3974D"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lastRenderedPageBreak/>
              <w:t>25</w:t>
            </w:r>
          </w:p>
        </w:tc>
        <w:tc>
          <w:tcPr>
            <w:tcW w:w="813" w:type="dxa"/>
            <w:noWrap/>
            <w:hideMark/>
          </w:tcPr>
          <w:p w14:paraId="45004C7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Neem</w:t>
            </w:r>
          </w:p>
        </w:tc>
        <w:tc>
          <w:tcPr>
            <w:tcW w:w="894" w:type="dxa"/>
            <w:noWrap/>
            <w:hideMark/>
          </w:tcPr>
          <w:p w14:paraId="3781ABB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Neem</w:t>
            </w:r>
          </w:p>
        </w:tc>
        <w:tc>
          <w:tcPr>
            <w:tcW w:w="1333" w:type="dxa"/>
            <w:noWrap/>
            <w:hideMark/>
          </w:tcPr>
          <w:p w14:paraId="04A4B64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Azadirachta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indica</w:t>
            </w:r>
            <w:proofErr w:type="spellEnd"/>
          </w:p>
        </w:tc>
        <w:tc>
          <w:tcPr>
            <w:tcW w:w="455" w:type="dxa"/>
            <w:noWrap/>
            <w:hideMark/>
          </w:tcPr>
          <w:p w14:paraId="3DF1FA9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072663A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Mahogany</w:t>
            </w:r>
          </w:p>
        </w:tc>
        <w:tc>
          <w:tcPr>
            <w:tcW w:w="894" w:type="dxa"/>
            <w:noWrap/>
            <w:hideMark/>
          </w:tcPr>
          <w:p w14:paraId="66CA6C8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Leaves, Flowers </w:t>
            </w:r>
          </w:p>
        </w:tc>
        <w:tc>
          <w:tcPr>
            <w:tcW w:w="516" w:type="dxa"/>
            <w:noWrap/>
            <w:hideMark/>
          </w:tcPr>
          <w:p w14:paraId="7EB2C6A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24</w:t>
            </w:r>
          </w:p>
        </w:tc>
        <w:tc>
          <w:tcPr>
            <w:tcW w:w="961" w:type="dxa"/>
            <w:noWrap/>
            <w:hideMark/>
          </w:tcPr>
          <w:p w14:paraId="2B7C747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608D2497"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Leaves: Winter; Flowers: Pre-Monsoon</w:t>
            </w:r>
          </w:p>
        </w:tc>
      </w:tr>
      <w:tr w:rsidR="00385303" w:rsidRPr="00385303" w14:paraId="53834F05"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1BEA990D"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26</w:t>
            </w:r>
          </w:p>
        </w:tc>
        <w:tc>
          <w:tcPr>
            <w:tcW w:w="813" w:type="dxa"/>
            <w:noWrap/>
            <w:hideMark/>
          </w:tcPr>
          <w:p w14:paraId="11FE479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Ou</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tenga</w:t>
            </w:r>
            <w:proofErr w:type="spellEnd"/>
          </w:p>
        </w:tc>
        <w:tc>
          <w:tcPr>
            <w:tcW w:w="894" w:type="dxa"/>
            <w:noWrap/>
            <w:hideMark/>
          </w:tcPr>
          <w:p w14:paraId="630C2FD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Elephant fruit</w:t>
            </w:r>
          </w:p>
        </w:tc>
        <w:tc>
          <w:tcPr>
            <w:tcW w:w="1333" w:type="dxa"/>
            <w:noWrap/>
            <w:hideMark/>
          </w:tcPr>
          <w:p w14:paraId="6594EEE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Dillenia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indica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linn</w:t>
            </w:r>
            <w:proofErr w:type="spellEnd"/>
            <w:r w:rsidRPr="00385303">
              <w:rPr>
                <w:rFonts w:ascii="Arial" w:eastAsia="Calibri" w:hAnsi="Arial" w:cs="Arial"/>
                <w:i/>
                <w:sz w:val="16"/>
                <w:szCs w:val="16"/>
              </w:rPr>
              <w:t>.</w:t>
            </w:r>
          </w:p>
        </w:tc>
        <w:tc>
          <w:tcPr>
            <w:tcW w:w="455" w:type="dxa"/>
            <w:noWrap/>
            <w:hideMark/>
          </w:tcPr>
          <w:p w14:paraId="1D9CED0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83EF83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Dilleniaceae</w:t>
            </w:r>
            <w:proofErr w:type="spellEnd"/>
          </w:p>
        </w:tc>
        <w:tc>
          <w:tcPr>
            <w:tcW w:w="894" w:type="dxa"/>
            <w:noWrap/>
            <w:hideMark/>
          </w:tcPr>
          <w:p w14:paraId="12C556C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Leaves</w:t>
            </w:r>
          </w:p>
        </w:tc>
        <w:tc>
          <w:tcPr>
            <w:tcW w:w="516" w:type="dxa"/>
            <w:noWrap/>
            <w:hideMark/>
          </w:tcPr>
          <w:p w14:paraId="379F19B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23</w:t>
            </w:r>
          </w:p>
        </w:tc>
        <w:tc>
          <w:tcPr>
            <w:tcW w:w="961" w:type="dxa"/>
            <w:noWrap/>
            <w:hideMark/>
          </w:tcPr>
          <w:p w14:paraId="6DAA39E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367C242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 Leaves: Winter</w:t>
            </w:r>
          </w:p>
        </w:tc>
      </w:tr>
      <w:tr w:rsidR="00385303" w:rsidRPr="00385303" w14:paraId="202FF19E"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F7B59C4"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27</w:t>
            </w:r>
          </w:p>
        </w:tc>
        <w:tc>
          <w:tcPr>
            <w:tcW w:w="813" w:type="dxa"/>
            <w:noWrap/>
            <w:hideMark/>
          </w:tcPr>
          <w:p w14:paraId="6A2FA412"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Pahari Badam</w:t>
            </w:r>
          </w:p>
        </w:tc>
        <w:tc>
          <w:tcPr>
            <w:tcW w:w="894" w:type="dxa"/>
            <w:noWrap/>
            <w:hideMark/>
          </w:tcPr>
          <w:p w14:paraId="40B627B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Himalayan almonds</w:t>
            </w:r>
          </w:p>
        </w:tc>
        <w:tc>
          <w:tcPr>
            <w:tcW w:w="1333" w:type="dxa"/>
            <w:noWrap/>
            <w:hideMark/>
          </w:tcPr>
          <w:p w14:paraId="271EAE3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Terminalia </w:t>
            </w:r>
            <w:proofErr w:type="spellStart"/>
            <w:r w:rsidRPr="00385303">
              <w:rPr>
                <w:rFonts w:ascii="Arial" w:eastAsia="Calibri" w:hAnsi="Arial" w:cs="Arial"/>
                <w:i/>
                <w:sz w:val="16"/>
                <w:szCs w:val="16"/>
              </w:rPr>
              <w:t>catappa</w:t>
            </w:r>
            <w:proofErr w:type="spellEnd"/>
          </w:p>
        </w:tc>
        <w:tc>
          <w:tcPr>
            <w:tcW w:w="455" w:type="dxa"/>
            <w:noWrap/>
            <w:hideMark/>
          </w:tcPr>
          <w:p w14:paraId="5F0F1F5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6231595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Combretaceae</w:t>
            </w:r>
            <w:proofErr w:type="spellEnd"/>
          </w:p>
        </w:tc>
        <w:tc>
          <w:tcPr>
            <w:tcW w:w="894" w:type="dxa"/>
            <w:noWrap/>
            <w:hideMark/>
          </w:tcPr>
          <w:p w14:paraId="1A3E370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Seeds</w:t>
            </w:r>
          </w:p>
        </w:tc>
        <w:tc>
          <w:tcPr>
            <w:tcW w:w="516" w:type="dxa"/>
            <w:noWrap/>
            <w:hideMark/>
          </w:tcPr>
          <w:p w14:paraId="5FD2C7A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28</w:t>
            </w:r>
          </w:p>
        </w:tc>
        <w:tc>
          <w:tcPr>
            <w:tcW w:w="961" w:type="dxa"/>
            <w:noWrap/>
            <w:hideMark/>
          </w:tcPr>
          <w:p w14:paraId="344190DB"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525EF6D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Fruits/Seeds: Pre-Monsoon</w:t>
            </w:r>
          </w:p>
        </w:tc>
      </w:tr>
      <w:tr w:rsidR="00385303" w:rsidRPr="00385303" w14:paraId="6574A1C8"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6A5502A1"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28</w:t>
            </w:r>
          </w:p>
        </w:tc>
        <w:tc>
          <w:tcPr>
            <w:tcW w:w="813" w:type="dxa"/>
            <w:noWrap/>
            <w:hideMark/>
          </w:tcPr>
          <w:p w14:paraId="5A52B83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Panial</w:t>
            </w:r>
            <w:proofErr w:type="spellEnd"/>
          </w:p>
        </w:tc>
        <w:tc>
          <w:tcPr>
            <w:tcW w:w="894" w:type="dxa"/>
            <w:noWrap/>
            <w:hideMark/>
          </w:tcPr>
          <w:p w14:paraId="3272457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Coffee Plum</w:t>
            </w:r>
          </w:p>
        </w:tc>
        <w:tc>
          <w:tcPr>
            <w:tcW w:w="1333" w:type="dxa"/>
            <w:noWrap/>
            <w:hideMark/>
          </w:tcPr>
          <w:p w14:paraId="64DFA92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Flacourtiacataphracta</w:t>
            </w:r>
            <w:proofErr w:type="spellEnd"/>
            <w:r w:rsidRPr="00385303">
              <w:rPr>
                <w:rFonts w:ascii="Arial" w:eastAsia="Calibri" w:hAnsi="Arial" w:cs="Arial"/>
                <w:i/>
                <w:sz w:val="16"/>
                <w:szCs w:val="16"/>
              </w:rPr>
              <w:t xml:space="preserve"> (syn. F. </w:t>
            </w:r>
            <w:proofErr w:type="spellStart"/>
            <w:r w:rsidRPr="00385303">
              <w:rPr>
                <w:rFonts w:ascii="Arial" w:eastAsia="Calibri" w:hAnsi="Arial" w:cs="Arial"/>
                <w:i/>
                <w:sz w:val="16"/>
                <w:szCs w:val="16"/>
              </w:rPr>
              <w:t>jangomas</w:t>
            </w:r>
            <w:proofErr w:type="spellEnd"/>
            <w:r w:rsidRPr="00385303">
              <w:rPr>
                <w:rFonts w:ascii="Arial" w:eastAsia="Calibri" w:hAnsi="Arial" w:cs="Arial"/>
                <w:i/>
                <w:sz w:val="16"/>
                <w:szCs w:val="16"/>
              </w:rPr>
              <w:t>)</w:t>
            </w:r>
          </w:p>
        </w:tc>
        <w:tc>
          <w:tcPr>
            <w:tcW w:w="455" w:type="dxa"/>
            <w:noWrap/>
            <w:hideMark/>
          </w:tcPr>
          <w:p w14:paraId="7368ABC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11931278"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Meliaceae</w:t>
            </w:r>
            <w:proofErr w:type="spellEnd"/>
          </w:p>
        </w:tc>
        <w:tc>
          <w:tcPr>
            <w:tcW w:w="894" w:type="dxa"/>
            <w:noWrap/>
            <w:hideMark/>
          </w:tcPr>
          <w:p w14:paraId="52382DF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w:t>
            </w:r>
          </w:p>
        </w:tc>
        <w:tc>
          <w:tcPr>
            <w:tcW w:w="516" w:type="dxa"/>
            <w:noWrap/>
            <w:hideMark/>
          </w:tcPr>
          <w:p w14:paraId="5048CC5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15</w:t>
            </w:r>
          </w:p>
        </w:tc>
        <w:tc>
          <w:tcPr>
            <w:tcW w:w="961" w:type="dxa"/>
            <w:noWrap/>
            <w:hideMark/>
          </w:tcPr>
          <w:p w14:paraId="13D46E3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57940AF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Fruits: Monsoon &amp; Post-Monsoon</w:t>
            </w:r>
          </w:p>
        </w:tc>
      </w:tr>
      <w:tr w:rsidR="00385303" w:rsidRPr="00385303" w14:paraId="158FC4C7"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466F5484"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29</w:t>
            </w:r>
          </w:p>
        </w:tc>
        <w:tc>
          <w:tcPr>
            <w:tcW w:w="813" w:type="dxa"/>
            <w:noWrap/>
            <w:hideMark/>
          </w:tcPr>
          <w:p w14:paraId="380A242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Rupohi</w:t>
            </w:r>
            <w:proofErr w:type="spellEnd"/>
            <w:r w:rsidRPr="00385303">
              <w:rPr>
                <w:rFonts w:ascii="Arial" w:eastAsia="Calibri" w:hAnsi="Arial" w:cs="Arial"/>
                <w:sz w:val="16"/>
                <w:szCs w:val="16"/>
              </w:rPr>
              <w:t xml:space="preserve"> </w:t>
            </w:r>
            <w:proofErr w:type="spellStart"/>
            <w:r w:rsidRPr="00385303">
              <w:rPr>
                <w:rFonts w:ascii="Arial" w:eastAsia="Calibri" w:hAnsi="Arial" w:cs="Arial"/>
                <w:sz w:val="16"/>
                <w:szCs w:val="16"/>
              </w:rPr>
              <w:t>Thekera</w:t>
            </w:r>
            <w:proofErr w:type="spellEnd"/>
          </w:p>
        </w:tc>
        <w:tc>
          <w:tcPr>
            <w:tcW w:w="894" w:type="dxa"/>
            <w:noWrap/>
            <w:hideMark/>
          </w:tcPr>
          <w:p w14:paraId="7819714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Indian Garcinia / Sour Garcinia</w:t>
            </w:r>
          </w:p>
        </w:tc>
        <w:tc>
          <w:tcPr>
            <w:tcW w:w="1333" w:type="dxa"/>
            <w:noWrap/>
            <w:hideMark/>
          </w:tcPr>
          <w:p w14:paraId="031AFEA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Garcinia </w:t>
            </w:r>
            <w:proofErr w:type="spellStart"/>
            <w:r w:rsidRPr="00385303">
              <w:rPr>
                <w:rFonts w:ascii="Arial" w:eastAsia="Calibri" w:hAnsi="Arial" w:cs="Arial"/>
                <w:i/>
                <w:sz w:val="16"/>
                <w:szCs w:val="16"/>
              </w:rPr>
              <w:t>lanceafolia</w:t>
            </w:r>
            <w:proofErr w:type="spellEnd"/>
          </w:p>
        </w:tc>
        <w:tc>
          <w:tcPr>
            <w:tcW w:w="455" w:type="dxa"/>
            <w:noWrap/>
            <w:hideMark/>
          </w:tcPr>
          <w:p w14:paraId="3DA8AC2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0AE2343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Clusiaceae</w:t>
            </w:r>
            <w:proofErr w:type="spellEnd"/>
          </w:p>
        </w:tc>
        <w:tc>
          <w:tcPr>
            <w:tcW w:w="894" w:type="dxa"/>
            <w:noWrap/>
            <w:hideMark/>
          </w:tcPr>
          <w:p w14:paraId="22F8C6E4"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Leaves</w:t>
            </w:r>
          </w:p>
        </w:tc>
        <w:tc>
          <w:tcPr>
            <w:tcW w:w="516" w:type="dxa"/>
            <w:noWrap/>
            <w:hideMark/>
          </w:tcPr>
          <w:p w14:paraId="3CF2EE2C"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16</w:t>
            </w:r>
          </w:p>
        </w:tc>
        <w:tc>
          <w:tcPr>
            <w:tcW w:w="961" w:type="dxa"/>
            <w:noWrap/>
            <w:hideMark/>
          </w:tcPr>
          <w:p w14:paraId="4EA7E38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19D182B3"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Monsoon &amp; Post-Monsoon; Leaves: Winter</w:t>
            </w:r>
          </w:p>
        </w:tc>
      </w:tr>
      <w:tr w:rsidR="00385303" w:rsidRPr="00385303" w14:paraId="0C32801A"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477CBF2A"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30</w:t>
            </w:r>
          </w:p>
        </w:tc>
        <w:tc>
          <w:tcPr>
            <w:tcW w:w="813" w:type="dxa"/>
            <w:noWrap/>
            <w:hideMark/>
          </w:tcPr>
          <w:p w14:paraId="17BE82E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Sal </w:t>
            </w:r>
            <w:proofErr w:type="spellStart"/>
            <w:r w:rsidRPr="00385303">
              <w:rPr>
                <w:rFonts w:ascii="Arial" w:eastAsia="Calibri" w:hAnsi="Arial" w:cs="Arial"/>
                <w:sz w:val="16"/>
                <w:szCs w:val="16"/>
              </w:rPr>
              <w:t>magora</w:t>
            </w:r>
            <w:proofErr w:type="spellEnd"/>
          </w:p>
        </w:tc>
        <w:tc>
          <w:tcPr>
            <w:tcW w:w="894" w:type="dxa"/>
            <w:noWrap/>
            <w:hideMark/>
          </w:tcPr>
          <w:p w14:paraId="02B1A1A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Chaulmogora</w:t>
            </w:r>
            <w:proofErr w:type="spellEnd"/>
          </w:p>
        </w:tc>
        <w:tc>
          <w:tcPr>
            <w:tcW w:w="1333" w:type="dxa"/>
            <w:noWrap/>
            <w:hideMark/>
          </w:tcPr>
          <w:p w14:paraId="7394530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Hydnocarpus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lauritolia</w:t>
            </w:r>
            <w:proofErr w:type="spellEnd"/>
          </w:p>
        </w:tc>
        <w:tc>
          <w:tcPr>
            <w:tcW w:w="455" w:type="dxa"/>
            <w:noWrap/>
            <w:hideMark/>
          </w:tcPr>
          <w:p w14:paraId="1C42CE1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49E984A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Hydrocurpus</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lauritolia</w:t>
            </w:r>
            <w:proofErr w:type="spellEnd"/>
            <w:r w:rsidRPr="00385303">
              <w:rPr>
                <w:rFonts w:ascii="Arial" w:eastAsia="Calibri" w:hAnsi="Arial" w:cs="Arial"/>
                <w:i/>
                <w:sz w:val="16"/>
                <w:szCs w:val="16"/>
              </w:rPr>
              <w:t xml:space="preserve"> </w:t>
            </w:r>
          </w:p>
        </w:tc>
        <w:tc>
          <w:tcPr>
            <w:tcW w:w="894" w:type="dxa"/>
            <w:noWrap/>
            <w:hideMark/>
          </w:tcPr>
          <w:p w14:paraId="1E92BFE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Seeds, </w:t>
            </w:r>
          </w:p>
        </w:tc>
        <w:tc>
          <w:tcPr>
            <w:tcW w:w="516" w:type="dxa"/>
            <w:noWrap/>
            <w:hideMark/>
          </w:tcPr>
          <w:p w14:paraId="7ED8D476"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25</w:t>
            </w:r>
          </w:p>
        </w:tc>
        <w:tc>
          <w:tcPr>
            <w:tcW w:w="961" w:type="dxa"/>
            <w:noWrap/>
            <w:hideMark/>
          </w:tcPr>
          <w:p w14:paraId="5F5BA103"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Evergreen</w:t>
            </w:r>
          </w:p>
        </w:tc>
        <w:tc>
          <w:tcPr>
            <w:tcW w:w="982" w:type="dxa"/>
            <w:noWrap/>
            <w:hideMark/>
          </w:tcPr>
          <w:p w14:paraId="593CCA8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Post-Monsoon</w:t>
            </w:r>
          </w:p>
        </w:tc>
      </w:tr>
      <w:tr w:rsidR="00385303" w:rsidRPr="00385303" w14:paraId="2DC37A0A"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08691DDF"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31</w:t>
            </w:r>
          </w:p>
        </w:tc>
        <w:tc>
          <w:tcPr>
            <w:tcW w:w="813" w:type="dxa"/>
            <w:noWrap/>
            <w:hideMark/>
          </w:tcPr>
          <w:p w14:paraId="43AB9ED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Sida</w:t>
            </w:r>
          </w:p>
        </w:tc>
        <w:tc>
          <w:tcPr>
            <w:tcW w:w="894" w:type="dxa"/>
            <w:noWrap/>
            <w:hideMark/>
          </w:tcPr>
          <w:p w14:paraId="29FAA6F5"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Small flowered Crape Myrtle</w:t>
            </w:r>
          </w:p>
        </w:tc>
        <w:tc>
          <w:tcPr>
            <w:tcW w:w="1333" w:type="dxa"/>
            <w:noWrap/>
            <w:hideMark/>
          </w:tcPr>
          <w:p w14:paraId="0FE3C59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Lagersthemia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parviflora</w:t>
            </w:r>
            <w:proofErr w:type="spellEnd"/>
          </w:p>
        </w:tc>
        <w:tc>
          <w:tcPr>
            <w:tcW w:w="455" w:type="dxa"/>
            <w:noWrap/>
            <w:hideMark/>
          </w:tcPr>
          <w:p w14:paraId="302021B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5BBA975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Lythraceae</w:t>
            </w:r>
            <w:proofErr w:type="spellEnd"/>
            <w:r w:rsidRPr="00385303">
              <w:rPr>
                <w:rFonts w:ascii="Arial" w:eastAsia="Calibri" w:hAnsi="Arial" w:cs="Arial"/>
                <w:i/>
                <w:sz w:val="16"/>
                <w:szCs w:val="16"/>
              </w:rPr>
              <w:t xml:space="preserve"> (Crape Myrtle family)</w:t>
            </w:r>
          </w:p>
        </w:tc>
        <w:tc>
          <w:tcPr>
            <w:tcW w:w="894" w:type="dxa"/>
            <w:noWrap/>
            <w:hideMark/>
          </w:tcPr>
          <w:p w14:paraId="204BC17D"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gramStart"/>
            <w:r w:rsidRPr="00385303">
              <w:rPr>
                <w:rFonts w:ascii="Arial" w:eastAsia="Calibri" w:hAnsi="Arial" w:cs="Arial"/>
                <w:sz w:val="16"/>
                <w:szCs w:val="16"/>
              </w:rPr>
              <w:t>Leaves,  Flowers</w:t>
            </w:r>
            <w:proofErr w:type="gramEnd"/>
          </w:p>
        </w:tc>
        <w:tc>
          <w:tcPr>
            <w:tcW w:w="516" w:type="dxa"/>
            <w:noWrap/>
            <w:hideMark/>
          </w:tcPr>
          <w:p w14:paraId="154AA1B1"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32</w:t>
            </w:r>
          </w:p>
        </w:tc>
        <w:tc>
          <w:tcPr>
            <w:tcW w:w="961" w:type="dxa"/>
            <w:noWrap/>
            <w:hideMark/>
          </w:tcPr>
          <w:p w14:paraId="6B29CF8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3E0A574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Pre-Monsoon; Leaves: Winter</w:t>
            </w:r>
          </w:p>
        </w:tc>
      </w:tr>
      <w:tr w:rsidR="00385303" w:rsidRPr="00385303" w14:paraId="3ABCC0D5"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3F2DA866"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32</w:t>
            </w:r>
          </w:p>
        </w:tc>
        <w:tc>
          <w:tcPr>
            <w:tcW w:w="813" w:type="dxa"/>
            <w:noWrap/>
            <w:hideMark/>
          </w:tcPr>
          <w:p w14:paraId="55A237EE"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spellStart"/>
            <w:r w:rsidRPr="00385303">
              <w:rPr>
                <w:rFonts w:ascii="Arial" w:eastAsia="Calibri" w:hAnsi="Arial" w:cs="Arial"/>
                <w:sz w:val="16"/>
                <w:szCs w:val="16"/>
              </w:rPr>
              <w:t>Simolu</w:t>
            </w:r>
            <w:proofErr w:type="spellEnd"/>
          </w:p>
        </w:tc>
        <w:tc>
          <w:tcPr>
            <w:tcW w:w="894" w:type="dxa"/>
            <w:noWrap/>
            <w:hideMark/>
          </w:tcPr>
          <w:p w14:paraId="4B488E5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Golden</w:t>
            </w:r>
          </w:p>
          <w:p w14:paraId="398A44A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Shower </w:t>
            </w:r>
          </w:p>
        </w:tc>
        <w:tc>
          <w:tcPr>
            <w:tcW w:w="1333" w:type="dxa"/>
            <w:noWrap/>
            <w:hideMark/>
          </w:tcPr>
          <w:p w14:paraId="08787D5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Bombax ceiba</w:t>
            </w:r>
          </w:p>
        </w:tc>
        <w:tc>
          <w:tcPr>
            <w:tcW w:w="455" w:type="dxa"/>
            <w:noWrap/>
            <w:hideMark/>
          </w:tcPr>
          <w:p w14:paraId="116DD8DD"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3E2550BB"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Legumes</w:t>
            </w:r>
          </w:p>
        </w:tc>
        <w:tc>
          <w:tcPr>
            <w:tcW w:w="894" w:type="dxa"/>
            <w:noWrap/>
            <w:hideMark/>
          </w:tcPr>
          <w:p w14:paraId="3896E37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gramStart"/>
            <w:r w:rsidRPr="00385303">
              <w:rPr>
                <w:rFonts w:ascii="Arial" w:eastAsia="Calibri" w:hAnsi="Arial" w:cs="Arial"/>
                <w:sz w:val="16"/>
                <w:szCs w:val="16"/>
              </w:rPr>
              <w:t>Flower,  Leaves</w:t>
            </w:r>
            <w:proofErr w:type="gramEnd"/>
          </w:p>
        </w:tc>
        <w:tc>
          <w:tcPr>
            <w:tcW w:w="516" w:type="dxa"/>
            <w:noWrap/>
            <w:hideMark/>
          </w:tcPr>
          <w:p w14:paraId="0FA1E5D0"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26</w:t>
            </w:r>
          </w:p>
        </w:tc>
        <w:tc>
          <w:tcPr>
            <w:tcW w:w="961" w:type="dxa"/>
            <w:noWrap/>
            <w:hideMark/>
          </w:tcPr>
          <w:p w14:paraId="50FA2744"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27C1393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Pre-Monsoon; Leaves: Winter</w:t>
            </w:r>
          </w:p>
        </w:tc>
      </w:tr>
      <w:tr w:rsidR="00385303" w:rsidRPr="00385303" w14:paraId="5710F6BC" w14:textId="77777777" w:rsidTr="00385303">
        <w:trPr>
          <w:cnfStyle w:val="000000100000" w:firstRow="0" w:lastRow="0" w:firstColumn="0" w:lastColumn="0" w:oddVBand="0" w:evenVBand="0" w:oddHBand="1"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763E7AA6"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33</w:t>
            </w:r>
          </w:p>
        </w:tc>
        <w:tc>
          <w:tcPr>
            <w:tcW w:w="813" w:type="dxa"/>
            <w:noWrap/>
            <w:hideMark/>
          </w:tcPr>
          <w:p w14:paraId="55F43940"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 xml:space="preserve">Tin </w:t>
            </w:r>
            <w:proofErr w:type="spellStart"/>
            <w:r w:rsidRPr="00385303">
              <w:rPr>
                <w:rFonts w:ascii="Arial" w:eastAsia="Calibri" w:hAnsi="Arial" w:cs="Arial"/>
                <w:sz w:val="16"/>
                <w:szCs w:val="16"/>
              </w:rPr>
              <w:t>Pati</w:t>
            </w:r>
            <w:proofErr w:type="spellEnd"/>
            <w:r w:rsidRPr="00385303">
              <w:rPr>
                <w:rFonts w:ascii="Arial" w:eastAsia="Calibri" w:hAnsi="Arial" w:cs="Arial"/>
                <w:sz w:val="16"/>
                <w:szCs w:val="16"/>
              </w:rPr>
              <w:t xml:space="preserve">/ Pas </w:t>
            </w:r>
            <w:proofErr w:type="spellStart"/>
            <w:r w:rsidRPr="00385303">
              <w:rPr>
                <w:rFonts w:ascii="Arial" w:eastAsia="Calibri" w:hAnsi="Arial" w:cs="Arial"/>
                <w:sz w:val="16"/>
                <w:szCs w:val="16"/>
              </w:rPr>
              <w:t>pati</w:t>
            </w:r>
            <w:proofErr w:type="spellEnd"/>
          </w:p>
        </w:tc>
        <w:tc>
          <w:tcPr>
            <w:tcW w:w="894" w:type="dxa"/>
            <w:noWrap/>
            <w:hideMark/>
          </w:tcPr>
          <w:p w14:paraId="15452B56"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Five-Leaf Chaste</w:t>
            </w:r>
          </w:p>
        </w:tc>
        <w:tc>
          <w:tcPr>
            <w:tcW w:w="1333" w:type="dxa"/>
            <w:noWrap/>
            <w:hideMark/>
          </w:tcPr>
          <w:p w14:paraId="199C48FA"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r w:rsidRPr="00385303">
              <w:rPr>
                <w:rFonts w:ascii="Arial" w:eastAsia="Calibri" w:hAnsi="Arial" w:cs="Arial"/>
                <w:i/>
                <w:sz w:val="16"/>
                <w:szCs w:val="16"/>
              </w:rPr>
              <w:t xml:space="preserve">Vitex </w:t>
            </w:r>
            <w:proofErr w:type="spellStart"/>
            <w:r w:rsidRPr="00385303">
              <w:rPr>
                <w:rFonts w:ascii="Arial" w:eastAsia="Calibri" w:hAnsi="Arial" w:cs="Arial"/>
                <w:i/>
                <w:sz w:val="16"/>
                <w:szCs w:val="16"/>
              </w:rPr>
              <w:t>quinata</w:t>
            </w:r>
            <w:proofErr w:type="spellEnd"/>
          </w:p>
        </w:tc>
        <w:tc>
          <w:tcPr>
            <w:tcW w:w="455" w:type="dxa"/>
            <w:noWrap/>
            <w:hideMark/>
          </w:tcPr>
          <w:p w14:paraId="1BA86448"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261BE03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Lamiaceae</w:t>
            </w:r>
            <w:proofErr w:type="spellEnd"/>
          </w:p>
        </w:tc>
        <w:tc>
          <w:tcPr>
            <w:tcW w:w="894" w:type="dxa"/>
            <w:noWrap/>
            <w:hideMark/>
          </w:tcPr>
          <w:p w14:paraId="16768C4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proofErr w:type="gramStart"/>
            <w:r w:rsidRPr="00385303">
              <w:rPr>
                <w:rFonts w:ascii="Arial" w:eastAsia="Calibri" w:hAnsi="Arial" w:cs="Arial"/>
                <w:sz w:val="16"/>
                <w:szCs w:val="16"/>
              </w:rPr>
              <w:t>Flower,  Leaves</w:t>
            </w:r>
            <w:proofErr w:type="gramEnd"/>
          </w:p>
        </w:tc>
        <w:tc>
          <w:tcPr>
            <w:tcW w:w="516" w:type="dxa"/>
            <w:noWrap/>
            <w:hideMark/>
          </w:tcPr>
          <w:p w14:paraId="5CF167BF"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14</w:t>
            </w:r>
          </w:p>
        </w:tc>
        <w:tc>
          <w:tcPr>
            <w:tcW w:w="961" w:type="dxa"/>
            <w:noWrap/>
            <w:hideMark/>
          </w:tcPr>
          <w:p w14:paraId="3425FB4E"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Deciduous</w:t>
            </w:r>
          </w:p>
        </w:tc>
        <w:tc>
          <w:tcPr>
            <w:tcW w:w="982" w:type="dxa"/>
            <w:noWrap/>
            <w:hideMark/>
          </w:tcPr>
          <w:p w14:paraId="3026AEE9" w14:textId="77777777" w:rsidR="00385303" w:rsidRPr="00385303" w:rsidRDefault="00385303" w:rsidP="00385303">
            <w:pPr>
              <w:tabs>
                <w:tab w:val="left" w:pos="742"/>
              </w:tabs>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Flowers: Pre-Monsoon; Leaves: Winter</w:t>
            </w:r>
          </w:p>
        </w:tc>
      </w:tr>
      <w:tr w:rsidR="00385303" w:rsidRPr="00385303" w14:paraId="106A7652" w14:textId="77777777" w:rsidTr="00385303">
        <w:trPr>
          <w:trHeight w:val="952"/>
        </w:trPr>
        <w:tc>
          <w:tcPr>
            <w:cnfStyle w:val="001000000000" w:firstRow="0" w:lastRow="0" w:firstColumn="1" w:lastColumn="0" w:oddVBand="0" w:evenVBand="0" w:oddHBand="0" w:evenHBand="0" w:firstRowFirstColumn="0" w:firstRowLastColumn="0" w:lastRowFirstColumn="0" w:lastRowLastColumn="0"/>
            <w:tcW w:w="320" w:type="dxa"/>
            <w:noWrap/>
            <w:hideMark/>
          </w:tcPr>
          <w:p w14:paraId="40D67F2F" w14:textId="77777777" w:rsidR="00385303" w:rsidRPr="00385303" w:rsidRDefault="00385303" w:rsidP="00385303">
            <w:pPr>
              <w:tabs>
                <w:tab w:val="left" w:pos="742"/>
              </w:tabs>
              <w:rPr>
                <w:rFonts w:ascii="Arial" w:eastAsia="Calibri" w:hAnsi="Arial" w:cs="Arial"/>
                <w:b w:val="0"/>
                <w:sz w:val="16"/>
                <w:szCs w:val="16"/>
              </w:rPr>
            </w:pPr>
            <w:r w:rsidRPr="00385303">
              <w:rPr>
                <w:rFonts w:ascii="Arial" w:eastAsia="Calibri" w:hAnsi="Arial" w:cs="Arial"/>
                <w:b w:val="0"/>
                <w:sz w:val="16"/>
                <w:szCs w:val="16"/>
              </w:rPr>
              <w:t>34</w:t>
            </w:r>
          </w:p>
        </w:tc>
        <w:tc>
          <w:tcPr>
            <w:tcW w:w="813" w:type="dxa"/>
            <w:noWrap/>
            <w:hideMark/>
          </w:tcPr>
          <w:p w14:paraId="7FDA15B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Udal</w:t>
            </w:r>
          </w:p>
        </w:tc>
        <w:tc>
          <w:tcPr>
            <w:tcW w:w="894" w:type="dxa"/>
            <w:noWrap/>
            <w:hideMark/>
          </w:tcPr>
          <w:p w14:paraId="6C7F55E2"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Elephant rope tree and Hairy sterculia</w:t>
            </w:r>
          </w:p>
        </w:tc>
        <w:tc>
          <w:tcPr>
            <w:tcW w:w="1333" w:type="dxa"/>
            <w:noWrap/>
            <w:hideMark/>
          </w:tcPr>
          <w:p w14:paraId="6C0EA1A1"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Sterculia</w:t>
            </w:r>
            <w:proofErr w:type="spellEnd"/>
            <w:r w:rsidRPr="00385303">
              <w:rPr>
                <w:rFonts w:ascii="Arial" w:eastAsia="Calibri" w:hAnsi="Arial" w:cs="Arial"/>
                <w:i/>
                <w:sz w:val="16"/>
                <w:szCs w:val="16"/>
              </w:rPr>
              <w:t xml:space="preserve"> </w:t>
            </w:r>
            <w:proofErr w:type="spellStart"/>
            <w:r w:rsidRPr="00385303">
              <w:rPr>
                <w:rFonts w:ascii="Arial" w:eastAsia="Calibri" w:hAnsi="Arial" w:cs="Arial"/>
                <w:i/>
                <w:sz w:val="16"/>
                <w:szCs w:val="16"/>
              </w:rPr>
              <w:t>villosa</w:t>
            </w:r>
            <w:proofErr w:type="spellEnd"/>
          </w:p>
        </w:tc>
        <w:tc>
          <w:tcPr>
            <w:tcW w:w="455" w:type="dxa"/>
            <w:noWrap/>
            <w:hideMark/>
          </w:tcPr>
          <w:p w14:paraId="085B984D"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Tree</w:t>
            </w:r>
          </w:p>
        </w:tc>
        <w:tc>
          <w:tcPr>
            <w:tcW w:w="1049" w:type="dxa"/>
            <w:noWrap/>
            <w:hideMark/>
          </w:tcPr>
          <w:p w14:paraId="3CEE6A5C"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i/>
                <w:sz w:val="16"/>
                <w:szCs w:val="16"/>
              </w:rPr>
            </w:pPr>
            <w:proofErr w:type="spellStart"/>
            <w:r w:rsidRPr="00385303">
              <w:rPr>
                <w:rFonts w:ascii="Arial" w:eastAsia="Calibri" w:hAnsi="Arial" w:cs="Arial"/>
                <w:i/>
                <w:sz w:val="16"/>
                <w:szCs w:val="16"/>
              </w:rPr>
              <w:t>Malvaceae</w:t>
            </w:r>
            <w:proofErr w:type="spellEnd"/>
          </w:p>
        </w:tc>
        <w:tc>
          <w:tcPr>
            <w:tcW w:w="894" w:type="dxa"/>
            <w:noWrap/>
            <w:hideMark/>
          </w:tcPr>
          <w:p w14:paraId="2173219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proofErr w:type="gramStart"/>
            <w:r w:rsidRPr="00385303">
              <w:rPr>
                <w:rFonts w:ascii="Arial" w:eastAsia="Calibri" w:hAnsi="Arial" w:cs="Arial"/>
                <w:sz w:val="16"/>
                <w:szCs w:val="16"/>
              </w:rPr>
              <w:t>Seeds,  Leaves</w:t>
            </w:r>
            <w:proofErr w:type="gramEnd"/>
          </w:p>
        </w:tc>
        <w:tc>
          <w:tcPr>
            <w:tcW w:w="516" w:type="dxa"/>
            <w:noWrap/>
            <w:hideMark/>
          </w:tcPr>
          <w:p w14:paraId="58DC7359"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23</w:t>
            </w:r>
          </w:p>
        </w:tc>
        <w:tc>
          <w:tcPr>
            <w:tcW w:w="961" w:type="dxa"/>
            <w:noWrap/>
            <w:hideMark/>
          </w:tcPr>
          <w:p w14:paraId="1C4200D7"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Semi-Evergreen</w:t>
            </w:r>
          </w:p>
        </w:tc>
        <w:tc>
          <w:tcPr>
            <w:tcW w:w="982" w:type="dxa"/>
            <w:noWrap/>
            <w:hideMark/>
          </w:tcPr>
          <w:p w14:paraId="2B26F3FA" w14:textId="77777777" w:rsidR="00385303" w:rsidRPr="00385303" w:rsidRDefault="00385303" w:rsidP="00385303">
            <w:pPr>
              <w:tabs>
                <w:tab w:val="left" w:pos="742"/>
              </w:tabs>
              <w:cnfStyle w:val="000000000000" w:firstRow="0" w:lastRow="0" w:firstColumn="0" w:lastColumn="0" w:oddVBand="0" w:evenVBand="0" w:oddHBand="0" w:evenHBand="0" w:firstRowFirstColumn="0" w:firstRowLastColumn="0" w:lastRowFirstColumn="0" w:lastRowLastColumn="0"/>
              <w:rPr>
                <w:rFonts w:ascii="Arial" w:eastAsia="Calibri" w:hAnsi="Arial" w:cs="Arial"/>
                <w:sz w:val="16"/>
                <w:szCs w:val="16"/>
              </w:rPr>
            </w:pPr>
            <w:r w:rsidRPr="00385303">
              <w:rPr>
                <w:rFonts w:ascii="Arial" w:eastAsia="Calibri" w:hAnsi="Arial" w:cs="Arial"/>
                <w:sz w:val="16"/>
                <w:szCs w:val="16"/>
              </w:rPr>
              <w:t>Seeds: Post-Monsoon; Leaves: Winter</w:t>
            </w:r>
          </w:p>
        </w:tc>
      </w:tr>
    </w:tbl>
    <w:p w14:paraId="5F49D99D" w14:textId="77777777" w:rsidR="00385303" w:rsidRPr="00385303" w:rsidRDefault="00385303" w:rsidP="00385303">
      <w:pPr>
        <w:spacing w:after="200"/>
        <w:jc w:val="right"/>
        <w:rPr>
          <w:rFonts w:ascii="Arial" w:eastAsia="Calibri" w:hAnsi="Arial" w:cs="Arial"/>
        </w:rPr>
      </w:pPr>
      <w:r w:rsidRPr="00385303">
        <w:rPr>
          <w:rFonts w:ascii="Arial" w:eastAsia="Calibri" w:hAnsi="Arial" w:cs="Arial"/>
        </w:rPr>
        <w:t>Source: Field Survey 2023-24</w:t>
      </w:r>
    </w:p>
    <w:p w14:paraId="2F2E5439"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Table 2: Plant parts utilized of different species, showing species count and percentage contribution to the gibbon diet.</w:t>
      </w:r>
    </w:p>
    <w:tbl>
      <w:tblPr>
        <w:tblStyle w:val="TableGrid1"/>
        <w:tblW w:w="5845" w:type="dxa"/>
        <w:jc w:val="center"/>
        <w:tblLook w:val="04A0" w:firstRow="1" w:lastRow="0" w:firstColumn="1" w:lastColumn="0" w:noHBand="0" w:noVBand="1"/>
      </w:tblPr>
      <w:tblGrid>
        <w:gridCol w:w="1602"/>
        <w:gridCol w:w="2219"/>
        <w:gridCol w:w="2024"/>
      </w:tblGrid>
      <w:tr w:rsidR="00385303" w:rsidRPr="00385303" w14:paraId="65302304" w14:textId="77777777" w:rsidTr="00385303">
        <w:trPr>
          <w:trHeight w:val="577"/>
          <w:jc w:val="center"/>
        </w:trPr>
        <w:tc>
          <w:tcPr>
            <w:tcW w:w="0" w:type="auto"/>
            <w:hideMark/>
          </w:tcPr>
          <w:p w14:paraId="1F61CFAC"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Plant Part</w:t>
            </w:r>
          </w:p>
        </w:tc>
        <w:tc>
          <w:tcPr>
            <w:tcW w:w="0" w:type="auto"/>
            <w:hideMark/>
          </w:tcPr>
          <w:p w14:paraId="0668BF7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Species Count</w:t>
            </w:r>
          </w:p>
        </w:tc>
        <w:tc>
          <w:tcPr>
            <w:tcW w:w="0" w:type="auto"/>
            <w:hideMark/>
          </w:tcPr>
          <w:p w14:paraId="7B862B1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of Species</w:t>
            </w:r>
          </w:p>
        </w:tc>
      </w:tr>
      <w:tr w:rsidR="00385303" w:rsidRPr="00385303" w14:paraId="7D674969" w14:textId="77777777" w:rsidTr="00385303">
        <w:trPr>
          <w:trHeight w:val="552"/>
          <w:jc w:val="center"/>
        </w:trPr>
        <w:tc>
          <w:tcPr>
            <w:tcW w:w="0" w:type="auto"/>
            <w:hideMark/>
          </w:tcPr>
          <w:p w14:paraId="02BC2E7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Fruits</w:t>
            </w:r>
          </w:p>
        </w:tc>
        <w:tc>
          <w:tcPr>
            <w:tcW w:w="0" w:type="auto"/>
            <w:hideMark/>
          </w:tcPr>
          <w:p w14:paraId="085049A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23</w:t>
            </w:r>
          </w:p>
        </w:tc>
        <w:tc>
          <w:tcPr>
            <w:tcW w:w="0" w:type="auto"/>
            <w:hideMark/>
          </w:tcPr>
          <w:p w14:paraId="0B274AA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67.65%</w:t>
            </w:r>
          </w:p>
        </w:tc>
      </w:tr>
      <w:tr w:rsidR="00385303" w:rsidRPr="00385303" w14:paraId="467AE09C" w14:textId="77777777" w:rsidTr="00385303">
        <w:trPr>
          <w:trHeight w:val="577"/>
          <w:jc w:val="center"/>
        </w:trPr>
        <w:tc>
          <w:tcPr>
            <w:tcW w:w="0" w:type="auto"/>
            <w:hideMark/>
          </w:tcPr>
          <w:p w14:paraId="7E783BE7"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Leaves</w:t>
            </w:r>
          </w:p>
        </w:tc>
        <w:tc>
          <w:tcPr>
            <w:tcW w:w="0" w:type="auto"/>
            <w:hideMark/>
          </w:tcPr>
          <w:p w14:paraId="659F027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16</w:t>
            </w:r>
          </w:p>
        </w:tc>
        <w:tc>
          <w:tcPr>
            <w:tcW w:w="0" w:type="auto"/>
            <w:hideMark/>
          </w:tcPr>
          <w:p w14:paraId="202F026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47.06%</w:t>
            </w:r>
          </w:p>
        </w:tc>
      </w:tr>
      <w:tr w:rsidR="00385303" w:rsidRPr="00385303" w14:paraId="5B08ECFD" w14:textId="77777777" w:rsidTr="00385303">
        <w:trPr>
          <w:trHeight w:val="577"/>
          <w:jc w:val="center"/>
        </w:trPr>
        <w:tc>
          <w:tcPr>
            <w:tcW w:w="0" w:type="auto"/>
            <w:hideMark/>
          </w:tcPr>
          <w:p w14:paraId="7307A24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Seeds</w:t>
            </w:r>
          </w:p>
        </w:tc>
        <w:tc>
          <w:tcPr>
            <w:tcW w:w="0" w:type="auto"/>
            <w:hideMark/>
          </w:tcPr>
          <w:p w14:paraId="06EA57D1"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w:t>
            </w:r>
          </w:p>
        </w:tc>
        <w:tc>
          <w:tcPr>
            <w:tcW w:w="0" w:type="auto"/>
            <w:hideMark/>
          </w:tcPr>
          <w:p w14:paraId="6737998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17.65%</w:t>
            </w:r>
          </w:p>
        </w:tc>
      </w:tr>
      <w:tr w:rsidR="00385303" w:rsidRPr="00385303" w14:paraId="6DE91877" w14:textId="77777777" w:rsidTr="00385303">
        <w:trPr>
          <w:trHeight w:val="577"/>
          <w:jc w:val="center"/>
        </w:trPr>
        <w:tc>
          <w:tcPr>
            <w:tcW w:w="0" w:type="auto"/>
            <w:hideMark/>
          </w:tcPr>
          <w:p w14:paraId="00787AC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Flowers</w:t>
            </w:r>
          </w:p>
        </w:tc>
        <w:tc>
          <w:tcPr>
            <w:tcW w:w="0" w:type="auto"/>
            <w:hideMark/>
          </w:tcPr>
          <w:p w14:paraId="290C02F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w:t>
            </w:r>
          </w:p>
        </w:tc>
        <w:tc>
          <w:tcPr>
            <w:tcW w:w="0" w:type="auto"/>
            <w:hideMark/>
          </w:tcPr>
          <w:p w14:paraId="4CDA4DD7"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17.65%</w:t>
            </w:r>
          </w:p>
        </w:tc>
      </w:tr>
      <w:tr w:rsidR="00385303" w:rsidRPr="00385303" w14:paraId="10FF4E46" w14:textId="77777777" w:rsidTr="00385303">
        <w:trPr>
          <w:trHeight w:val="602"/>
          <w:jc w:val="center"/>
        </w:trPr>
        <w:tc>
          <w:tcPr>
            <w:tcW w:w="0" w:type="auto"/>
            <w:hideMark/>
          </w:tcPr>
          <w:p w14:paraId="225C903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lastRenderedPageBreak/>
              <w:t>Bark</w:t>
            </w:r>
          </w:p>
        </w:tc>
        <w:tc>
          <w:tcPr>
            <w:tcW w:w="0" w:type="auto"/>
            <w:hideMark/>
          </w:tcPr>
          <w:p w14:paraId="5415083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45E8D9F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bl>
    <w:p w14:paraId="2D6A8FF9" w14:textId="77777777" w:rsidR="00385303" w:rsidRPr="00385303" w:rsidRDefault="00385303" w:rsidP="00385303">
      <w:pPr>
        <w:spacing w:after="200"/>
        <w:jc w:val="both"/>
        <w:rPr>
          <w:rFonts w:ascii="Arial" w:eastAsia="Calibri" w:hAnsi="Arial" w:cs="Arial"/>
        </w:rPr>
      </w:pPr>
    </w:p>
    <w:p w14:paraId="6C22144D" w14:textId="77777777" w:rsidR="00385303" w:rsidRPr="00385303" w:rsidRDefault="00385303" w:rsidP="00385303">
      <w:pPr>
        <w:spacing w:before="100" w:beforeAutospacing="1" w:after="100" w:afterAutospacing="1"/>
        <w:jc w:val="both"/>
        <w:rPr>
          <w:rFonts w:ascii="Arial" w:hAnsi="Arial" w:cs="Arial"/>
        </w:rPr>
      </w:pPr>
      <w:r w:rsidRPr="00385303">
        <w:rPr>
          <w:rFonts w:ascii="Arial" w:hAnsi="Arial" w:cs="Arial"/>
        </w:rPr>
        <w:t xml:space="preserve">The analysis of plant parts utilized by different species revealed clear variation in their contribution to the dietary spectrum of gibbons (Table 2). Among the 34 documented plant species, </w:t>
      </w:r>
      <w:r w:rsidRPr="00385303">
        <w:rPr>
          <w:rFonts w:ascii="Arial" w:hAnsi="Arial" w:cs="Arial"/>
          <w:bCs/>
        </w:rPr>
        <w:t>fruits</w:t>
      </w:r>
      <w:r w:rsidRPr="00385303">
        <w:rPr>
          <w:rFonts w:ascii="Arial" w:hAnsi="Arial" w:cs="Arial"/>
        </w:rPr>
        <w:t xml:space="preserve"> constituted the most frequently represented category, with </w:t>
      </w:r>
      <w:r w:rsidRPr="00385303">
        <w:rPr>
          <w:rFonts w:ascii="Arial" w:hAnsi="Arial" w:cs="Arial"/>
          <w:bCs/>
        </w:rPr>
        <w:t>23 species (67.65%)</w:t>
      </w:r>
      <w:r w:rsidRPr="00385303">
        <w:rPr>
          <w:rFonts w:ascii="Arial" w:hAnsi="Arial" w:cs="Arial"/>
        </w:rPr>
        <w:t xml:space="preserve"> contributing fruit resources. This highlights the gibbon’s strong frugivorous tendency, consistent with their ecological role as important seed dispersers in tropical forests. </w:t>
      </w:r>
      <w:r w:rsidRPr="00385303">
        <w:rPr>
          <w:rFonts w:ascii="Arial" w:hAnsi="Arial" w:cs="Arial"/>
          <w:bCs/>
        </w:rPr>
        <w:t>Leaves</w:t>
      </w:r>
      <w:r w:rsidRPr="00385303">
        <w:rPr>
          <w:rFonts w:ascii="Arial" w:hAnsi="Arial" w:cs="Arial"/>
        </w:rPr>
        <w:t xml:space="preserve"> were the second most represented category, utilized from </w:t>
      </w:r>
      <w:r w:rsidRPr="00385303">
        <w:rPr>
          <w:rFonts w:ascii="Arial" w:hAnsi="Arial" w:cs="Arial"/>
          <w:bCs/>
        </w:rPr>
        <w:t>16 species (47.06%)</w:t>
      </w:r>
      <w:r w:rsidRPr="00385303">
        <w:rPr>
          <w:rFonts w:ascii="Arial" w:hAnsi="Arial" w:cs="Arial"/>
        </w:rPr>
        <w:t xml:space="preserve">. The high proportion of leaf consumption indicates their role as supplementary food resources, particularly during seasons when fruit availability declines. </w:t>
      </w:r>
      <w:r w:rsidRPr="00385303">
        <w:rPr>
          <w:rFonts w:ascii="Arial" w:hAnsi="Arial" w:cs="Arial"/>
          <w:bCs/>
        </w:rPr>
        <w:t>Seeds and flowers</w:t>
      </w:r>
      <w:r w:rsidRPr="00385303">
        <w:rPr>
          <w:rFonts w:ascii="Arial" w:hAnsi="Arial" w:cs="Arial"/>
        </w:rPr>
        <w:t xml:space="preserve"> were obtained from </w:t>
      </w:r>
      <w:r w:rsidRPr="00385303">
        <w:rPr>
          <w:rFonts w:ascii="Arial" w:hAnsi="Arial" w:cs="Arial"/>
          <w:bCs/>
        </w:rPr>
        <w:t>6 species each (17.65%)</w:t>
      </w:r>
      <w:r w:rsidRPr="00385303">
        <w:rPr>
          <w:rFonts w:ascii="Arial" w:hAnsi="Arial" w:cs="Arial"/>
        </w:rPr>
        <w:t xml:space="preserve">, reflecting a moderate but significant contribution to the diet. </w:t>
      </w:r>
      <w:r w:rsidRPr="00385303">
        <w:rPr>
          <w:rFonts w:ascii="Arial" w:hAnsi="Arial" w:cs="Arial"/>
          <w:bCs/>
        </w:rPr>
        <w:t>Bark</w:t>
      </w:r>
      <w:r w:rsidRPr="00385303">
        <w:rPr>
          <w:rFonts w:ascii="Arial" w:hAnsi="Arial" w:cs="Arial"/>
        </w:rPr>
        <w:t xml:space="preserve"> was the least represented category, used from only </w:t>
      </w:r>
      <w:r w:rsidRPr="00385303">
        <w:rPr>
          <w:rFonts w:ascii="Arial" w:hAnsi="Arial" w:cs="Arial"/>
          <w:bCs/>
        </w:rPr>
        <w:t>1 species (2.94%)</w:t>
      </w:r>
      <w:r w:rsidRPr="00385303">
        <w:rPr>
          <w:rFonts w:ascii="Arial" w:hAnsi="Arial" w:cs="Arial"/>
        </w:rPr>
        <w:t>, suggesting it is consumed rarely and possibly only during periods of food scarcity or for specific medicinal/nutritional needs.</w:t>
      </w:r>
    </w:p>
    <w:p w14:paraId="7271CDCC"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Table 3: Distribution of food plants species across different vegetation types, showing species count and percentage contribution to the total.</w:t>
      </w:r>
    </w:p>
    <w:tbl>
      <w:tblPr>
        <w:tblStyle w:val="TableGrid1"/>
        <w:tblW w:w="5828" w:type="dxa"/>
        <w:jc w:val="center"/>
        <w:tblLook w:val="04A0" w:firstRow="1" w:lastRow="0" w:firstColumn="1" w:lastColumn="0" w:noHBand="0" w:noVBand="1"/>
      </w:tblPr>
      <w:tblGrid>
        <w:gridCol w:w="2282"/>
        <w:gridCol w:w="2042"/>
        <w:gridCol w:w="1504"/>
      </w:tblGrid>
      <w:tr w:rsidR="00385303" w:rsidRPr="00385303" w14:paraId="410C91E3" w14:textId="77777777" w:rsidTr="00385303">
        <w:trPr>
          <w:trHeight w:val="789"/>
          <w:jc w:val="center"/>
        </w:trPr>
        <w:tc>
          <w:tcPr>
            <w:tcW w:w="0" w:type="auto"/>
            <w:hideMark/>
          </w:tcPr>
          <w:p w14:paraId="12F106D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Vegetation Type</w:t>
            </w:r>
          </w:p>
        </w:tc>
        <w:tc>
          <w:tcPr>
            <w:tcW w:w="0" w:type="auto"/>
            <w:hideMark/>
          </w:tcPr>
          <w:p w14:paraId="439F559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Species Count</w:t>
            </w:r>
          </w:p>
        </w:tc>
        <w:tc>
          <w:tcPr>
            <w:tcW w:w="0" w:type="auto"/>
            <w:hideMark/>
          </w:tcPr>
          <w:p w14:paraId="52A28D1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of Total</w:t>
            </w:r>
          </w:p>
        </w:tc>
      </w:tr>
      <w:tr w:rsidR="00385303" w:rsidRPr="00385303" w14:paraId="259C03E3" w14:textId="77777777" w:rsidTr="00385303">
        <w:trPr>
          <w:trHeight w:val="825"/>
          <w:jc w:val="center"/>
        </w:trPr>
        <w:tc>
          <w:tcPr>
            <w:tcW w:w="0" w:type="auto"/>
            <w:hideMark/>
          </w:tcPr>
          <w:p w14:paraId="1A45911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Semi-Evergreen</w:t>
            </w:r>
          </w:p>
        </w:tc>
        <w:tc>
          <w:tcPr>
            <w:tcW w:w="0" w:type="auto"/>
            <w:hideMark/>
          </w:tcPr>
          <w:p w14:paraId="79DB570C"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12</w:t>
            </w:r>
          </w:p>
        </w:tc>
        <w:tc>
          <w:tcPr>
            <w:tcW w:w="0" w:type="auto"/>
            <w:hideMark/>
          </w:tcPr>
          <w:p w14:paraId="6EA75CB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35.29%</w:t>
            </w:r>
          </w:p>
        </w:tc>
      </w:tr>
      <w:tr w:rsidR="00385303" w:rsidRPr="00385303" w14:paraId="40EC6E91" w14:textId="77777777" w:rsidTr="00385303">
        <w:trPr>
          <w:trHeight w:val="825"/>
          <w:jc w:val="center"/>
        </w:trPr>
        <w:tc>
          <w:tcPr>
            <w:tcW w:w="0" w:type="auto"/>
            <w:hideMark/>
          </w:tcPr>
          <w:p w14:paraId="6D4DF29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Moist Deciduous</w:t>
            </w:r>
          </w:p>
        </w:tc>
        <w:tc>
          <w:tcPr>
            <w:tcW w:w="0" w:type="auto"/>
            <w:hideMark/>
          </w:tcPr>
          <w:p w14:paraId="626107A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10</w:t>
            </w:r>
          </w:p>
        </w:tc>
        <w:tc>
          <w:tcPr>
            <w:tcW w:w="0" w:type="auto"/>
            <w:hideMark/>
          </w:tcPr>
          <w:p w14:paraId="3F6FD93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29.41%</w:t>
            </w:r>
          </w:p>
        </w:tc>
      </w:tr>
      <w:tr w:rsidR="00385303" w:rsidRPr="00385303" w14:paraId="07A09364" w14:textId="77777777" w:rsidTr="00385303">
        <w:trPr>
          <w:trHeight w:val="825"/>
          <w:jc w:val="center"/>
        </w:trPr>
        <w:tc>
          <w:tcPr>
            <w:tcW w:w="0" w:type="auto"/>
            <w:hideMark/>
          </w:tcPr>
          <w:p w14:paraId="495A7FE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Evergreen</w:t>
            </w:r>
          </w:p>
        </w:tc>
        <w:tc>
          <w:tcPr>
            <w:tcW w:w="0" w:type="auto"/>
            <w:hideMark/>
          </w:tcPr>
          <w:p w14:paraId="2FE88DF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w:t>
            </w:r>
          </w:p>
        </w:tc>
        <w:tc>
          <w:tcPr>
            <w:tcW w:w="0" w:type="auto"/>
            <w:hideMark/>
          </w:tcPr>
          <w:p w14:paraId="079C060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17.65%</w:t>
            </w:r>
          </w:p>
        </w:tc>
      </w:tr>
      <w:tr w:rsidR="00385303" w:rsidRPr="00385303" w14:paraId="126A5B28" w14:textId="77777777" w:rsidTr="00385303">
        <w:trPr>
          <w:trHeight w:val="861"/>
          <w:jc w:val="center"/>
        </w:trPr>
        <w:tc>
          <w:tcPr>
            <w:tcW w:w="0" w:type="auto"/>
            <w:hideMark/>
          </w:tcPr>
          <w:p w14:paraId="36430A11"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Deciduous</w:t>
            </w:r>
          </w:p>
        </w:tc>
        <w:tc>
          <w:tcPr>
            <w:tcW w:w="0" w:type="auto"/>
            <w:hideMark/>
          </w:tcPr>
          <w:p w14:paraId="44E6047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6</w:t>
            </w:r>
          </w:p>
        </w:tc>
        <w:tc>
          <w:tcPr>
            <w:tcW w:w="0" w:type="auto"/>
            <w:hideMark/>
          </w:tcPr>
          <w:p w14:paraId="4747393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17.65%</w:t>
            </w:r>
          </w:p>
        </w:tc>
      </w:tr>
    </w:tbl>
    <w:p w14:paraId="1537CA27" w14:textId="77777777" w:rsidR="00385303" w:rsidRPr="00385303" w:rsidRDefault="00385303" w:rsidP="00385303">
      <w:pPr>
        <w:spacing w:after="200"/>
        <w:jc w:val="both"/>
        <w:rPr>
          <w:rFonts w:ascii="Arial" w:eastAsia="Calibri" w:hAnsi="Arial" w:cs="Arial"/>
        </w:rPr>
      </w:pPr>
    </w:p>
    <w:p w14:paraId="1852EBA0"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Analysis of vegetation types revealed that gibbons utilize food plant species distributed across a range of forest types. Among the 34 recorded species, the semi-evergreen forest type contributed the highest proportion (Table 3, Figure 2), with 12 species (35.29%). This indicates that semi-evergreen forests provide the greatest diversity of food resources and likely play a central role in sustaining gibbon populations. The moist deciduous forest type accounted for 10 species (29.41%), suggesting that these forests also provide important dietary resources, particularly during fruiting seasons. Together, semi-evergreen and moist deciduous vegetation types contribute nearly two-thirds of the food plant species used by gibbons, highlighting their combined significance for the species’ survival. Evergreen forests provided 6 species (17.65%), reflecting their supplementary role in the dietary spectrum. Evergreen trees, being </w:t>
      </w:r>
      <w:proofErr w:type="spellStart"/>
      <w:r w:rsidRPr="00385303">
        <w:rPr>
          <w:rFonts w:ascii="Arial" w:eastAsia="Calibri" w:hAnsi="Arial" w:cs="Arial"/>
        </w:rPr>
        <w:t>phenologically</w:t>
      </w:r>
      <w:proofErr w:type="spellEnd"/>
      <w:r w:rsidRPr="00385303">
        <w:rPr>
          <w:rFonts w:ascii="Arial" w:eastAsia="Calibri" w:hAnsi="Arial" w:cs="Arial"/>
        </w:rPr>
        <w:t xml:space="preserve"> different, may serve as fallback resources during lean periods when fruiting in deciduous forests declines. Similarly, deciduous forests contributed 6 species (17.65%), indicating that while they harbor fewer fruiting species compared to semi-evergreen habitats, they still remain valuable seasonal food sources.</w:t>
      </w:r>
    </w:p>
    <w:p w14:paraId="4026081B" w14:textId="77777777" w:rsidR="00385303" w:rsidRPr="00385303" w:rsidRDefault="00385303" w:rsidP="00385303">
      <w:pPr>
        <w:spacing w:after="200"/>
        <w:jc w:val="center"/>
        <w:rPr>
          <w:rFonts w:ascii="Arial" w:eastAsia="Calibri" w:hAnsi="Arial" w:cs="Arial"/>
        </w:rPr>
      </w:pPr>
      <w:r w:rsidRPr="00385303">
        <w:rPr>
          <w:rFonts w:ascii="Arial" w:eastAsia="Calibri" w:hAnsi="Arial" w:cs="Arial"/>
          <w:noProof/>
        </w:rPr>
        <w:lastRenderedPageBreak/>
        <w:drawing>
          <wp:inline distT="0" distB="0" distL="0" distR="0" wp14:anchorId="6C061529" wp14:editId="4066A91A">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11C961"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Figure: 2 Distribution of food plant species across different vegetation types, showing both species count and percentage contribution to the total.</w:t>
      </w:r>
    </w:p>
    <w:p w14:paraId="5B675259" w14:textId="77777777" w:rsidR="00385303" w:rsidRPr="00385303" w:rsidRDefault="00385303" w:rsidP="00385303">
      <w:pPr>
        <w:spacing w:after="200"/>
        <w:jc w:val="both"/>
        <w:rPr>
          <w:rFonts w:ascii="Arial" w:eastAsia="Calibri" w:hAnsi="Arial" w:cs="Arial"/>
        </w:rPr>
      </w:pPr>
    </w:p>
    <w:p w14:paraId="25CEFE72"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Table 4: Seasonal consumption of food plants species showing species count and percentage contribution across different seasons.</w:t>
      </w:r>
    </w:p>
    <w:tbl>
      <w:tblPr>
        <w:tblStyle w:val="TableGrid1"/>
        <w:tblW w:w="6100" w:type="dxa"/>
        <w:jc w:val="center"/>
        <w:tblLook w:val="04A0" w:firstRow="1" w:lastRow="0" w:firstColumn="1" w:lastColumn="0" w:noHBand="0" w:noVBand="1"/>
      </w:tblPr>
      <w:tblGrid>
        <w:gridCol w:w="2724"/>
        <w:gridCol w:w="1356"/>
        <w:gridCol w:w="2020"/>
      </w:tblGrid>
      <w:tr w:rsidR="00385303" w:rsidRPr="00385303" w14:paraId="3A4634A7" w14:textId="77777777" w:rsidTr="00385303">
        <w:trPr>
          <w:trHeight w:val="661"/>
          <w:jc w:val="center"/>
        </w:trPr>
        <w:tc>
          <w:tcPr>
            <w:tcW w:w="0" w:type="auto"/>
            <w:hideMark/>
          </w:tcPr>
          <w:p w14:paraId="1104144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Season</w:t>
            </w:r>
          </w:p>
        </w:tc>
        <w:tc>
          <w:tcPr>
            <w:tcW w:w="0" w:type="auto"/>
            <w:hideMark/>
          </w:tcPr>
          <w:p w14:paraId="648B093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Count</w:t>
            </w:r>
          </w:p>
        </w:tc>
        <w:tc>
          <w:tcPr>
            <w:tcW w:w="0" w:type="auto"/>
            <w:hideMark/>
          </w:tcPr>
          <w:p w14:paraId="44EC5A0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of Total</w:t>
            </w:r>
          </w:p>
        </w:tc>
      </w:tr>
      <w:tr w:rsidR="00385303" w:rsidRPr="00385303" w14:paraId="124664A7" w14:textId="77777777" w:rsidTr="00385303">
        <w:trPr>
          <w:trHeight w:val="661"/>
          <w:jc w:val="center"/>
        </w:trPr>
        <w:tc>
          <w:tcPr>
            <w:tcW w:w="0" w:type="auto"/>
            <w:hideMark/>
          </w:tcPr>
          <w:p w14:paraId="325EC56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Winter</w:t>
            </w:r>
          </w:p>
        </w:tc>
        <w:tc>
          <w:tcPr>
            <w:tcW w:w="0" w:type="auto"/>
            <w:hideMark/>
          </w:tcPr>
          <w:p w14:paraId="78C7FF5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16</w:t>
            </w:r>
          </w:p>
        </w:tc>
        <w:tc>
          <w:tcPr>
            <w:tcW w:w="0" w:type="auto"/>
            <w:hideMark/>
          </w:tcPr>
          <w:p w14:paraId="2B9BC7A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47.06%</w:t>
            </w:r>
          </w:p>
        </w:tc>
      </w:tr>
      <w:tr w:rsidR="00385303" w:rsidRPr="00385303" w14:paraId="58B75CAA" w14:textId="77777777" w:rsidTr="00385303">
        <w:trPr>
          <w:trHeight w:val="661"/>
          <w:jc w:val="center"/>
        </w:trPr>
        <w:tc>
          <w:tcPr>
            <w:tcW w:w="0" w:type="auto"/>
            <w:hideMark/>
          </w:tcPr>
          <w:p w14:paraId="31900321"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xml:space="preserve">Monsoon </w:t>
            </w:r>
          </w:p>
        </w:tc>
        <w:tc>
          <w:tcPr>
            <w:tcW w:w="0" w:type="auto"/>
            <w:hideMark/>
          </w:tcPr>
          <w:p w14:paraId="7CD4E61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15</w:t>
            </w:r>
          </w:p>
        </w:tc>
        <w:tc>
          <w:tcPr>
            <w:tcW w:w="0" w:type="auto"/>
            <w:hideMark/>
          </w:tcPr>
          <w:p w14:paraId="0E8D2B0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44.12%</w:t>
            </w:r>
          </w:p>
        </w:tc>
      </w:tr>
      <w:tr w:rsidR="00385303" w:rsidRPr="00385303" w14:paraId="51E0247B" w14:textId="77777777" w:rsidTr="00385303">
        <w:trPr>
          <w:trHeight w:val="661"/>
          <w:jc w:val="center"/>
        </w:trPr>
        <w:tc>
          <w:tcPr>
            <w:tcW w:w="0" w:type="auto"/>
            <w:hideMark/>
          </w:tcPr>
          <w:p w14:paraId="0D6AD26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Post-Monsoon</w:t>
            </w:r>
          </w:p>
        </w:tc>
        <w:tc>
          <w:tcPr>
            <w:tcW w:w="0" w:type="auto"/>
            <w:hideMark/>
          </w:tcPr>
          <w:p w14:paraId="5616A1C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14</w:t>
            </w:r>
          </w:p>
        </w:tc>
        <w:tc>
          <w:tcPr>
            <w:tcW w:w="0" w:type="auto"/>
            <w:hideMark/>
          </w:tcPr>
          <w:p w14:paraId="3D49C38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41.18%</w:t>
            </w:r>
          </w:p>
        </w:tc>
      </w:tr>
      <w:tr w:rsidR="00385303" w:rsidRPr="00385303" w14:paraId="4AB0A7A8" w14:textId="77777777" w:rsidTr="00385303">
        <w:trPr>
          <w:trHeight w:val="661"/>
          <w:jc w:val="center"/>
        </w:trPr>
        <w:tc>
          <w:tcPr>
            <w:tcW w:w="0" w:type="auto"/>
            <w:hideMark/>
          </w:tcPr>
          <w:p w14:paraId="1EE4733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Pre-Monsoon</w:t>
            </w:r>
          </w:p>
        </w:tc>
        <w:tc>
          <w:tcPr>
            <w:tcW w:w="0" w:type="auto"/>
            <w:hideMark/>
          </w:tcPr>
          <w:p w14:paraId="3D254B2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9</w:t>
            </w:r>
          </w:p>
        </w:tc>
        <w:tc>
          <w:tcPr>
            <w:tcW w:w="0" w:type="auto"/>
            <w:hideMark/>
          </w:tcPr>
          <w:p w14:paraId="5AC174F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26.47%</w:t>
            </w:r>
          </w:p>
        </w:tc>
      </w:tr>
      <w:tr w:rsidR="00385303" w:rsidRPr="00385303" w14:paraId="6BC9A9F7" w14:textId="77777777" w:rsidTr="00385303">
        <w:trPr>
          <w:trHeight w:val="661"/>
          <w:jc w:val="center"/>
        </w:trPr>
        <w:tc>
          <w:tcPr>
            <w:tcW w:w="0" w:type="auto"/>
            <w:hideMark/>
          </w:tcPr>
          <w:p w14:paraId="761CAAE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Year-round</w:t>
            </w:r>
          </w:p>
        </w:tc>
        <w:tc>
          <w:tcPr>
            <w:tcW w:w="0" w:type="auto"/>
            <w:hideMark/>
          </w:tcPr>
          <w:p w14:paraId="44D535B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427A603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bl>
    <w:p w14:paraId="328A6B55" w14:textId="77777777" w:rsidR="00385303" w:rsidRPr="00385303" w:rsidRDefault="00385303" w:rsidP="00385303">
      <w:pPr>
        <w:spacing w:after="200"/>
        <w:jc w:val="both"/>
        <w:rPr>
          <w:rFonts w:ascii="Arial" w:eastAsia="Calibri" w:hAnsi="Arial" w:cs="Arial"/>
        </w:rPr>
      </w:pPr>
    </w:p>
    <w:p w14:paraId="03446670"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The seasonal consumption of food plants revealed marked variation in resource use across different periods of the year. The winter season contributed the highest proportion of food plant species, with 16 species (47.06%) consumed (Table 4). This indicates that winter provides a wide range of edible plant parts, particularly fruits and leaves, which form an important component of the gibbon diet. The monsoon season supported 15 species (44.12%), reflecting the abundance of fruits and flowers during this period. The post-monsoon season also contributed significantly, with 14 species (41.18%), suggesting that fruiting continues after the monsoon, thereby extending food availability. In contrast, the pre-monsoon season accounted for only 9 species (26.47%), making it the period of lowest food resource diversity. This seasonal scarcity underscores the importance of flowers, young leaves, and alternative food items during lean months. Only one species (2.94%) was consumed year-round, emphasizing the heavy seasonal dependency of gibbons on forest phenology.</w:t>
      </w:r>
    </w:p>
    <w:p w14:paraId="721A7FE5"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Table 5: Height-wise distribution of food plant species showing species count and percentage contribution across height ranges.</w:t>
      </w:r>
    </w:p>
    <w:p w14:paraId="7DA970A5" w14:textId="77777777" w:rsidR="00385303" w:rsidRPr="00385303" w:rsidRDefault="00385303" w:rsidP="00385303">
      <w:pPr>
        <w:spacing w:after="200"/>
        <w:jc w:val="both"/>
        <w:rPr>
          <w:rFonts w:ascii="Arial" w:eastAsia="Calibri" w:hAnsi="Arial" w:cs="Arial"/>
        </w:rPr>
      </w:pPr>
    </w:p>
    <w:tbl>
      <w:tblPr>
        <w:tblStyle w:val="LightGrid1"/>
        <w:tblW w:w="4987" w:type="dxa"/>
        <w:jc w:val="center"/>
        <w:tblLook w:val="04A0" w:firstRow="1" w:lastRow="0" w:firstColumn="1" w:lastColumn="0" w:noHBand="0" w:noVBand="1"/>
      </w:tblPr>
      <w:tblGrid>
        <w:gridCol w:w="2268"/>
        <w:gridCol w:w="962"/>
        <w:gridCol w:w="1757"/>
      </w:tblGrid>
      <w:tr w:rsidR="00385303" w:rsidRPr="00385303" w14:paraId="34017FD9" w14:textId="77777777" w:rsidTr="00385303">
        <w:trPr>
          <w:cnfStyle w:val="100000000000" w:firstRow="1" w:lastRow="0" w:firstColumn="0" w:lastColumn="0" w:oddVBand="0" w:evenVBand="0" w:oddHBand="0"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5375D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Height Range (m)</w:t>
            </w:r>
          </w:p>
        </w:tc>
        <w:tc>
          <w:tcPr>
            <w:tcW w:w="0" w:type="auto"/>
            <w:hideMark/>
          </w:tcPr>
          <w:p w14:paraId="64DC4B03" w14:textId="77777777" w:rsidR="00385303" w:rsidRPr="00385303" w:rsidRDefault="00385303" w:rsidP="003853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85303">
              <w:rPr>
                <w:rFonts w:ascii="Arial" w:hAnsi="Arial" w:cs="Arial"/>
                <w:sz w:val="20"/>
                <w:szCs w:val="20"/>
              </w:rPr>
              <w:t>Count</w:t>
            </w:r>
          </w:p>
        </w:tc>
        <w:tc>
          <w:tcPr>
            <w:tcW w:w="0" w:type="auto"/>
            <w:hideMark/>
          </w:tcPr>
          <w:p w14:paraId="72369BBC" w14:textId="77777777" w:rsidR="00385303" w:rsidRPr="00385303" w:rsidRDefault="00385303" w:rsidP="003853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85303">
              <w:rPr>
                <w:rFonts w:ascii="Arial" w:hAnsi="Arial" w:cs="Arial"/>
                <w:sz w:val="20"/>
                <w:szCs w:val="20"/>
              </w:rPr>
              <w:t>% of Species</w:t>
            </w:r>
          </w:p>
        </w:tc>
      </w:tr>
      <w:tr w:rsidR="00385303" w:rsidRPr="00385303" w14:paraId="61F7BDCD" w14:textId="77777777" w:rsidTr="00385303">
        <w:trPr>
          <w:cnfStyle w:val="000000100000" w:firstRow="0" w:lastRow="0" w:firstColumn="0" w:lastColumn="0" w:oddVBand="0" w:evenVBand="0" w:oddHBand="1" w:evenHBand="0"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9267B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5.0–12.9</w:t>
            </w:r>
          </w:p>
        </w:tc>
        <w:tc>
          <w:tcPr>
            <w:tcW w:w="0" w:type="auto"/>
            <w:hideMark/>
          </w:tcPr>
          <w:p w14:paraId="63A2E1E7"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1</w:t>
            </w:r>
          </w:p>
        </w:tc>
        <w:tc>
          <w:tcPr>
            <w:tcW w:w="0" w:type="auto"/>
            <w:hideMark/>
          </w:tcPr>
          <w:p w14:paraId="7AC13ABF"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2.94%</w:t>
            </w:r>
          </w:p>
        </w:tc>
      </w:tr>
      <w:tr w:rsidR="00385303" w:rsidRPr="00385303" w14:paraId="29678D45" w14:textId="77777777" w:rsidTr="00385303">
        <w:trPr>
          <w:cnfStyle w:val="000000010000" w:firstRow="0" w:lastRow="0" w:firstColumn="0" w:lastColumn="0" w:oddVBand="0" w:evenVBand="0" w:oddHBand="0" w:evenHBand="1"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394A9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13.0–20.9</w:t>
            </w:r>
          </w:p>
        </w:tc>
        <w:tc>
          <w:tcPr>
            <w:tcW w:w="0" w:type="auto"/>
            <w:hideMark/>
          </w:tcPr>
          <w:p w14:paraId="48EFA35A" w14:textId="77777777" w:rsidR="00385303" w:rsidRPr="00385303" w:rsidRDefault="00385303" w:rsidP="0038530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5303">
              <w:rPr>
                <w:rFonts w:ascii="Arial" w:hAnsi="Arial" w:cs="Arial"/>
                <w:sz w:val="20"/>
                <w:szCs w:val="20"/>
              </w:rPr>
              <w:t>6</w:t>
            </w:r>
          </w:p>
        </w:tc>
        <w:tc>
          <w:tcPr>
            <w:tcW w:w="0" w:type="auto"/>
            <w:hideMark/>
          </w:tcPr>
          <w:p w14:paraId="2C5A9088" w14:textId="77777777" w:rsidR="00385303" w:rsidRPr="00385303" w:rsidRDefault="00385303" w:rsidP="0038530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5303">
              <w:rPr>
                <w:rFonts w:ascii="Arial" w:hAnsi="Arial" w:cs="Arial"/>
                <w:sz w:val="20"/>
                <w:szCs w:val="20"/>
              </w:rPr>
              <w:t>17.65%</w:t>
            </w:r>
          </w:p>
        </w:tc>
      </w:tr>
      <w:tr w:rsidR="00385303" w:rsidRPr="00385303" w14:paraId="393A0D18" w14:textId="77777777" w:rsidTr="00385303">
        <w:trPr>
          <w:cnfStyle w:val="000000100000" w:firstRow="0" w:lastRow="0" w:firstColumn="0" w:lastColumn="0" w:oddVBand="0" w:evenVBand="0" w:oddHBand="1" w:evenHBand="0" w:firstRowFirstColumn="0" w:firstRowLastColumn="0" w:lastRowFirstColumn="0" w:lastRowLastColumn="0"/>
          <w:trHeight w:val="63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A35E1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21.0–28.9</w:t>
            </w:r>
          </w:p>
        </w:tc>
        <w:tc>
          <w:tcPr>
            <w:tcW w:w="0" w:type="auto"/>
            <w:hideMark/>
          </w:tcPr>
          <w:p w14:paraId="0A5C8F64"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13</w:t>
            </w:r>
          </w:p>
        </w:tc>
        <w:tc>
          <w:tcPr>
            <w:tcW w:w="0" w:type="auto"/>
            <w:hideMark/>
          </w:tcPr>
          <w:p w14:paraId="1BF5A14F"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38.24%</w:t>
            </w:r>
          </w:p>
        </w:tc>
      </w:tr>
      <w:tr w:rsidR="00385303" w:rsidRPr="00385303" w14:paraId="7159D296" w14:textId="77777777" w:rsidTr="00385303">
        <w:trPr>
          <w:cnfStyle w:val="000000010000" w:firstRow="0" w:lastRow="0" w:firstColumn="0" w:lastColumn="0" w:oddVBand="0" w:evenVBand="0" w:oddHBand="0" w:evenHBand="1"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1530C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29.0–36.9</w:t>
            </w:r>
          </w:p>
        </w:tc>
        <w:tc>
          <w:tcPr>
            <w:tcW w:w="0" w:type="auto"/>
            <w:hideMark/>
          </w:tcPr>
          <w:p w14:paraId="5EFE1591" w14:textId="77777777" w:rsidR="00385303" w:rsidRPr="00385303" w:rsidRDefault="00385303" w:rsidP="0038530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5303">
              <w:rPr>
                <w:rFonts w:ascii="Arial" w:hAnsi="Arial" w:cs="Arial"/>
                <w:sz w:val="20"/>
                <w:szCs w:val="20"/>
              </w:rPr>
              <w:t>7</w:t>
            </w:r>
          </w:p>
        </w:tc>
        <w:tc>
          <w:tcPr>
            <w:tcW w:w="0" w:type="auto"/>
            <w:hideMark/>
          </w:tcPr>
          <w:p w14:paraId="548E4780" w14:textId="77777777" w:rsidR="00385303" w:rsidRPr="00385303" w:rsidRDefault="00385303" w:rsidP="00385303">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5303">
              <w:rPr>
                <w:rFonts w:ascii="Arial" w:hAnsi="Arial" w:cs="Arial"/>
                <w:sz w:val="20"/>
                <w:szCs w:val="20"/>
              </w:rPr>
              <w:t>20.59%</w:t>
            </w:r>
          </w:p>
        </w:tc>
      </w:tr>
      <w:tr w:rsidR="00385303" w:rsidRPr="00385303" w14:paraId="4AC97009" w14:textId="77777777" w:rsidTr="00385303">
        <w:trPr>
          <w:cnfStyle w:val="000000100000" w:firstRow="0" w:lastRow="0" w:firstColumn="0" w:lastColumn="0" w:oddVBand="0" w:evenVBand="0" w:oddHBand="1" w:evenHBand="0" w:firstRowFirstColumn="0" w:firstRowLastColumn="0" w:lastRowFirstColumn="0" w:lastRowLastColumn="0"/>
          <w:trHeight w:val="66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F0C39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37.0–45.9</w:t>
            </w:r>
          </w:p>
        </w:tc>
        <w:tc>
          <w:tcPr>
            <w:tcW w:w="0" w:type="auto"/>
            <w:hideMark/>
          </w:tcPr>
          <w:p w14:paraId="388B9447"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7</w:t>
            </w:r>
          </w:p>
        </w:tc>
        <w:tc>
          <w:tcPr>
            <w:tcW w:w="0" w:type="auto"/>
            <w:hideMark/>
          </w:tcPr>
          <w:p w14:paraId="5DC43245" w14:textId="77777777" w:rsidR="00385303" w:rsidRPr="00385303" w:rsidRDefault="00385303" w:rsidP="0038530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5303">
              <w:rPr>
                <w:rFonts w:ascii="Arial" w:hAnsi="Arial" w:cs="Arial"/>
                <w:sz w:val="20"/>
                <w:szCs w:val="20"/>
              </w:rPr>
              <w:t>20.59%</w:t>
            </w:r>
          </w:p>
        </w:tc>
      </w:tr>
    </w:tbl>
    <w:p w14:paraId="2CDBE37C" w14:textId="77777777" w:rsidR="00385303" w:rsidRPr="00385303" w:rsidRDefault="00385303" w:rsidP="00385303">
      <w:pPr>
        <w:spacing w:after="200"/>
        <w:jc w:val="both"/>
        <w:rPr>
          <w:rFonts w:ascii="Arial" w:eastAsia="Calibri" w:hAnsi="Arial" w:cs="Arial"/>
        </w:rPr>
      </w:pPr>
    </w:p>
    <w:p w14:paraId="0AB2DA33"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The height-wise distribution of food plant species shows that gibbons utilize trees across a wide vertical range of the forest canopy, but with a clear preference for medium to tall trees. The majority of species, 13 species (38.24%), were in the 21.0–28.9 m height range, indicating that the mid-canopy is the most important stratum for food availability (Table 5, Figure 3). Tall trees in the 29.0–36.9 m and 37.0–45.9 m ranges contributed equally, with 7 species each (20.59%), highlighting the significance of upper-canopy resources. These taller trees likely provide large fruit crops and serve as critical feeding and resting sites, consistent with the arboreal adaptations of gibbons. In contrast, shorter trees in the 13.0–20.9 m range contributed only 6 species (17.65%), while the lowest height class, 5.0–12.9 m, was represented by just 1 species (2.94%). This pattern suggests that gibbons depend far less on understory and small trees for their diet, possibly due to limited fruiting potential and lower canopy connectivity.</w:t>
      </w:r>
    </w:p>
    <w:p w14:paraId="0A699B51" w14:textId="77777777" w:rsidR="00385303" w:rsidRPr="00385303" w:rsidRDefault="00385303" w:rsidP="00385303">
      <w:pPr>
        <w:spacing w:after="200"/>
        <w:jc w:val="center"/>
        <w:rPr>
          <w:rFonts w:ascii="Arial" w:eastAsia="Calibri" w:hAnsi="Arial" w:cs="Arial"/>
        </w:rPr>
      </w:pPr>
      <w:r w:rsidRPr="00385303">
        <w:rPr>
          <w:rFonts w:ascii="Arial" w:eastAsia="Calibri" w:hAnsi="Arial" w:cs="Arial"/>
          <w:noProof/>
        </w:rPr>
        <w:drawing>
          <wp:inline distT="0" distB="0" distL="0" distR="0" wp14:anchorId="3D7210CE" wp14:editId="5BFB77D1">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0781C2A" w14:textId="77777777" w:rsidR="00385303" w:rsidRPr="00385303" w:rsidRDefault="00385303" w:rsidP="00385303">
      <w:pPr>
        <w:spacing w:after="200"/>
        <w:rPr>
          <w:rFonts w:ascii="Arial" w:eastAsia="Calibri" w:hAnsi="Arial" w:cs="Arial"/>
        </w:rPr>
      </w:pPr>
      <w:r w:rsidRPr="00385303">
        <w:rPr>
          <w:rFonts w:ascii="Arial" w:eastAsia="Calibri" w:hAnsi="Arial" w:cs="Arial"/>
        </w:rPr>
        <w:t>Figure 3: Height-wise distribution of food plant species showing species count and percentage contribution across different height ranges.</w:t>
      </w:r>
    </w:p>
    <w:p w14:paraId="6ADD3166" w14:textId="77777777" w:rsidR="00385303" w:rsidRPr="00385303" w:rsidRDefault="00385303" w:rsidP="00385303">
      <w:pPr>
        <w:spacing w:after="200"/>
        <w:rPr>
          <w:rFonts w:ascii="Arial" w:eastAsia="Calibri" w:hAnsi="Arial" w:cs="Arial"/>
          <w:b/>
        </w:rPr>
      </w:pPr>
      <w:r w:rsidRPr="00385303">
        <w:rPr>
          <w:rFonts w:ascii="Arial" w:eastAsia="Calibri" w:hAnsi="Arial" w:cs="Arial"/>
        </w:rPr>
        <w:t>Table 6: Family-wise distribution of food plants species showing species count and percentage contribution to the total.</w:t>
      </w:r>
    </w:p>
    <w:tbl>
      <w:tblPr>
        <w:tblStyle w:val="TableGrid1"/>
        <w:tblW w:w="7463" w:type="dxa"/>
        <w:jc w:val="center"/>
        <w:tblLook w:val="04A0" w:firstRow="1" w:lastRow="0" w:firstColumn="1" w:lastColumn="0" w:noHBand="0" w:noVBand="1"/>
      </w:tblPr>
      <w:tblGrid>
        <w:gridCol w:w="2899"/>
        <w:gridCol w:w="2629"/>
        <w:gridCol w:w="1935"/>
      </w:tblGrid>
      <w:tr w:rsidR="00385303" w:rsidRPr="00385303" w14:paraId="6CC72010" w14:textId="77777777" w:rsidTr="00385303">
        <w:trPr>
          <w:trHeight w:val="274"/>
          <w:jc w:val="center"/>
        </w:trPr>
        <w:tc>
          <w:tcPr>
            <w:tcW w:w="0" w:type="auto"/>
            <w:hideMark/>
          </w:tcPr>
          <w:p w14:paraId="42BD147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Family</w:t>
            </w:r>
          </w:p>
        </w:tc>
        <w:tc>
          <w:tcPr>
            <w:tcW w:w="0" w:type="auto"/>
            <w:hideMark/>
          </w:tcPr>
          <w:p w14:paraId="6AC6B6D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Species Count</w:t>
            </w:r>
          </w:p>
        </w:tc>
        <w:tc>
          <w:tcPr>
            <w:tcW w:w="0" w:type="auto"/>
            <w:hideMark/>
          </w:tcPr>
          <w:p w14:paraId="6460B33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 of Total</w:t>
            </w:r>
          </w:p>
        </w:tc>
      </w:tr>
      <w:tr w:rsidR="00385303" w:rsidRPr="00385303" w14:paraId="3BBC6B7D" w14:textId="77777777" w:rsidTr="00385303">
        <w:trPr>
          <w:trHeight w:val="274"/>
          <w:jc w:val="center"/>
        </w:trPr>
        <w:tc>
          <w:tcPr>
            <w:tcW w:w="0" w:type="auto"/>
            <w:hideMark/>
          </w:tcPr>
          <w:p w14:paraId="2E25E7AC"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Anacardiaceae</w:t>
            </w:r>
            <w:proofErr w:type="spellEnd"/>
          </w:p>
        </w:tc>
        <w:tc>
          <w:tcPr>
            <w:tcW w:w="0" w:type="auto"/>
            <w:hideMark/>
          </w:tcPr>
          <w:p w14:paraId="7F356DA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w:t>
            </w:r>
          </w:p>
        </w:tc>
        <w:tc>
          <w:tcPr>
            <w:tcW w:w="0" w:type="auto"/>
            <w:hideMark/>
          </w:tcPr>
          <w:p w14:paraId="3FBC740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14.71%</w:t>
            </w:r>
          </w:p>
        </w:tc>
      </w:tr>
      <w:tr w:rsidR="00385303" w:rsidRPr="00385303" w14:paraId="488884EC" w14:textId="77777777" w:rsidTr="00385303">
        <w:trPr>
          <w:trHeight w:val="262"/>
          <w:jc w:val="center"/>
        </w:trPr>
        <w:tc>
          <w:tcPr>
            <w:tcW w:w="0" w:type="auto"/>
            <w:hideMark/>
          </w:tcPr>
          <w:p w14:paraId="46747BAB"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Moraceae</w:t>
            </w:r>
            <w:proofErr w:type="spellEnd"/>
          </w:p>
        </w:tc>
        <w:tc>
          <w:tcPr>
            <w:tcW w:w="0" w:type="auto"/>
            <w:hideMark/>
          </w:tcPr>
          <w:p w14:paraId="7DB9201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4</w:t>
            </w:r>
          </w:p>
        </w:tc>
        <w:tc>
          <w:tcPr>
            <w:tcW w:w="0" w:type="auto"/>
            <w:hideMark/>
          </w:tcPr>
          <w:p w14:paraId="4212064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11.76%</w:t>
            </w:r>
          </w:p>
        </w:tc>
      </w:tr>
      <w:tr w:rsidR="00385303" w:rsidRPr="00385303" w14:paraId="786D560A" w14:textId="77777777" w:rsidTr="00385303">
        <w:trPr>
          <w:trHeight w:val="274"/>
          <w:jc w:val="center"/>
        </w:trPr>
        <w:tc>
          <w:tcPr>
            <w:tcW w:w="0" w:type="auto"/>
            <w:hideMark/>
          </w:tcPr>
          <w:p w14:paraId="3860407B"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Combretaceae</w:t>
            </w:r>
            <w:proofErr w:type="spellEnd"/>
          </w:p>
        </w:tc>
        <w:tc>
          <w:tcPr>
            <w:tcW w:w="0" w:type="auto"/>
            <w:hideMark/>
          </w:tcPr>
          <w:p w14:paraId="5F9673F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3</w:t>
            </w:r>
          </w:p>
        </w:tc>
        <w:tc>
          <w:tcPr>
            <w:tcW w:w="0" w:type="auto"/>
            <w:hideMark/>
          </w:tcPr>
          <w:p w14:paraId="29ECB1C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8.82%</w:t>
            </w:r>
          </w:p>
        </w:tc>
      </w:tr>
      <w:tr w:rsidR="00385303" w:rsidRPr="00385303" w14:paraId="266866CB" w14:textId="77777777" w:rsidTr="00385303">
        <w:trPr>
          <w:trHeight w:val="274"/>
          <w:jc w:val="center"/>
        </w:trPr>
        <w:tc>
          <w:tcPr>
            <w:tcW w:w="0" w:type="auto"/>
            <w:hideMark/>
          </w:tcPr>
          <w:p w14:paraId="158ABEAA"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lastRenderedPageBreak/>
              <w:t>Clusiaceae</w:t>
            </w:r>
            <w:proofErr w:type="spellEnd"/>
          </w:p>
        </w:tc>
        <w:tc>
          <w:tcPr>
            <w:tcW w:w="0" w:type="auto"/>
            <w:hideMark/>
          </w:tcPr>
          <w:p w14:paraId="06C12B2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3</w:t>
            </w:r>
          </w:p>
        </w:tc>
        <w:tc>
          <w:tcPr>
            <w:tcW w:w="0" w:type="auto"/>
            <w:hideMark/>
          </w:tcPr>
          <w:p w14:paraId="3BA0E47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8.82%</w:t>
            </w:r>
          </w:p>
        </w:tc>
      </w:tr>
      <w:tr w:rsidR="00385303" w:rsidRPr="00385303" w14:paraId="4FBCB86C" w14:textId="77777777" w:rsidTr="00385303">
        <w:trPr>
          <w:trHeight w:val="262"/>
          <w:jc w:val="center"/>
        </w:trPr>
        <w:tc>
          <w:tcPr>
            <w:tcW w:w="0" w:type="auto"/>
            <w:hideMark/>
          </w:tcPr>
          <w:p w14:paraId="0E3C45E0"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Meliaceae</w:t>
            </w:r>
            <w:proofErr w:type="spellEnd"/>
          </w:p>
        </w:tc>
        <w:tc>
          <w:tcPr>
            <w:tcW w:w="0" w:type="auto"/>
            <w:hideMark/>
          </w:tcPr>
          <w:p w14:paraId="39516AD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037C39A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4B79B5EF" w14:textId="77777777" w:rsidTr="00385303">
        <w:trPr>
          <w:trHeight w:val="274"/>
          <w:jc w:val="center"/>
        </w:trPr>
        <w:tc>
          <w:tcPr>
            <w:tcW w:w="0" w:type="auto"/>
            <w:hideMark/>
          </w:tcPr>
          <w:p w14:paraId="15FBF1A3"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Phyllanthaceae</w:t>
            </w:r>
            <w:proofErr w:type="spellEnd"/>
          </w:p>
        </w:tc>
        <w:tc>
          <w:tcPr>
            <w:tcW w:w="0" w:type="auto"/>
            <w:hideMark/>
          </w:tcPr>
          <w:p w14:paraId="7D71AAF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0CB9B5A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505877B5" w14:textId="77777777" w:rsidTr="00385303">
        <w:trPr>
          <w:trHeight w:val="274"/>
          <w:jc w:val="center"/>
        </w:trPr>
        <w:tc>
          <w:tcPr>
            <w:tcW w:w="0" w:type="auto"/>
            <w:hideMark/>
          </w:tcPr>
          <w:p w14:paraId="17456080"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Malvaceae</w:t>
            </w:r>
            <w:proofErr w:type="spellEnd"/>
          </w:p>
        </w:tc>
        <w:tc>
          <w:tcPr>
            <w:tcW w:w="0" w:type="auto"/>
            <w:hideMark/>
          </w:tcPr>
          <w:p w14:paraId="5B93DDB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52ACF5A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0DBEB2AF" w14:textId="77777777" w:rsidTr="00385303">
        <w:trPr>
          <w:trHeight w:val="262"/>
          <w:jc w:val="center"/>
        </w:trPr>
        <w:tc>
          <w:tcPr>
            <w:tcW w:w="0" w:type="auto"/>
            <w:hideMark/>
          </w:tcPr>
          <w:p w14:paraId="6CF54081"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Dilleniaceae</w:t>
            </w:r>
            <w:proofErr w:type="spellEnd"/>
          </w:p>
        </w:tc>
        <w:tc>
          <w:tcPr>
            <w:tcW w:w="0" w:type="auto"/>
            <w:hideMark/>
          </w:tcPr>
          <w:p w14:paraId="17B8885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1D52D4E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006B0F8F" w14:textId="77777777" w:rsidTr="00385303">
        <w:trPr>
          <w:trHeight w:val="274"/>
          <w:jc w:val="center"/>
        </w:trPr>
        <w:tc>
          <w:tcPr>
            <w:tcW w:w="0" w:type="auto"/>
            <w:hideMark/>
          </w:tcPr>
          <w:p w14:paraId="67D9945A"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Lythraceae</w:t>
            </w:r>
            <w:proofErr w:type="spellEnd"/>
          </w:p>
        </w:tc>
        <w:tc>
          <w:tcPr>
            <w:tcW w:w="0" w:type="auto"/>
            <w:hideMark/>
          </w:tcPr>
          <w:p w14:paraId="211D240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w:t>
            </w:r>
          </w:p>
        </w:tc>
        <w:tc>
          <w:tcPr>
            <w:tcW w:w="0" w:type="auto"/>
            <w:hideMark/>
          </w:tcPr>
          <w:p w14:paraId="75FCDB0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5.88%</w:t>
            </w:r>
          </w:p>
        </w:tc>
      </w:tr>
      <w:tr w:rsidR="00385303" w:rsidRPr="00385303" w14:paraId="136B7F64" w14:textId="77777777" w:rsidTr="00385303">
        <w:trPr>
          <w:trHeight w:val="274"/>
          <w:jc w:val="center"/>
        </w:trPr>
        <w:tc>
          <w:tcPr>
            <w:tcW w:w="0" w:type="auto"/>
            <w:hideMark/>
          </w:tcPr>
          <w:p w14:paraId="26409207"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Achariaceae</w:t>
            </w:r>
            <w:proofErr w:type="spellEnd"/>
          </w:p>
        </w:tc>
        <w:tc>
          <w:tcPr>
            <w:tcW w:w="0" w:type="auto"/>
            <w:hideMark/>
          </w:tcPr>
          <w:p w14:paraId="162EEF69"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21A35E7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1DE57E10" w14:textId="77777777" w:rsidTr="00385303">
        <w:trPr>
          <w:trHeight w:val="262"/>
          <w:jc w:val="center"/>
        </w:trPr>
        <w:tc>
          <w:tcPr>
            <w:tcW w:w="0" w:type="auto"/>
            <w:hideMark/>
          </w:tcPr>
          <w:p w14:paraId="1E02E919" w14:textId="77777777" w:rsidR="00385303" w:rsidRPr="00385303" w:rsidRDefault="00385303" w:rsidP="00385303">
            <w:pPr>
              <w:jc w:val="center"/>
              <w:rPr>
                <w:rFonts w:ascii="Arial" w:hAnsi="Arial" w:cs="Arial"/>
                <w:i/>
                <w:sz w:val="20"/>
                <w:szCs w:val="20"/>
              </w:rPr>
            </w:pPr>
            <w:r w:rsidRPr="00385303">
              <w:rPr>
                <w:rFonts w:ascii="Arial" w:hAnsi="Arial" w:cs="Arial"/>
                <w:i/>
                <w:sz w:val="20"/>
                <w:szCs w:val="20"/>
              </w:rPr>
              <w:t>Salicaceae</w:t>
            </w:r>
          </w:p>
        </w:tc>
        <w:tc>
          <w:tcPr>
            <w:tcW w:w="0" w:type="auto"/>
            <w:hideMark/>
          </w:tcPr>
          <w:p w14:paraId="70B52408"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7034351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1C2E1230" w14:textId="77777777" w:rsidTr="00385303">
        <w:trPr>
          <w:trHeight w:val="274"/>
          <w:jc w:val="center"/>
        </w:trPr>
        <w:tc>
          <w:tcPr>
            <w:tcW w:w="0" w:type="auto"/>
            <w:hideMark/>
          </w:tcPr>
          <w:p w14:paraId="0821E30A" w14:textId="77777777" w:rsidR="00385303" w:rsidRPr="00385303" w:rsidRDefault="00385303" w:rsidP="00385303">
            <w:pPr>
              <w:jc w:val="center"/>
              <w:rPr>
                <w:rFonts w:ascii="Arial" w:hAnsi="Arial" w:cs="Arial"/>
                <w:i/>
                <w:sz w:val="20"/>
                <w:szCs w:val="20"/>
              </w:rPr>
            </w:pPr>
            <w:r w:rsidRPr="00385303">
              <w:rPr>
                <w:rFonts w:ascii="Arial" w:hAnsi="Arial" w:cs="Arial"/>
                <w:i/>
                <w:sz w:val="20"/>
                <w:szCs w:val="20"/>
              </w:rPr>
              <w:t>Rhizophoraceae</w:t>
            </w:r>
          </w:p>
        </w:tc>
        <w:tc>
          <w:tcPr>
            <w:tcW w:w="0" w:type="auto"/>
            <w:hideMark/>
          </w:tcPr>
          <w:p w14:paraId="170FA517"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4E3D2E82"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20AF1AB5" w14:textId="77777777" w:rsidTr="00385303">
        <w:trPr>
          <w:trHeight w:val="262"/>
          <w:jc w:val="center"/>
        </w:trPr>
        <w:tc>
          <w:tcPr>
            <w:tcW w:w="0" w:type="auto"/>
            <w:hideMark/>
          </w:tcPr>
          <w:p w14:paraId="2E7C7090" w14:textId="77777777" w:rsidR="00385303" w:rsidRPr="00385303" w:rsidRDefault="00385303" w:rsidP="00385303">
            <w:pPr>
              <w:jc w:val="center"/>
              <w:rPr>
                <w:rFonts w:ascii="Arial" w:hAnsi="Arial" w:cs="Arial"/>
                <w:i/>
                <w:sz w:val="20"/>
                <w:szCs w:val="20"/>
              </w:rPr>
            </w:pPr>
            <w:r w:rsidRPr="00385303">
              <w:rPr>
                <w:rFonts w:ascii="Arial" w:hAnsi="Arial" w:cs="Arial"/>
                <w:i/>
                <w:sz w:val="20"/>
                <w:szCs w:val="20"/>
              </w:rPr>
              <w:t>Verbenaceae</w:t>
            </w:r>
          </w:p>
        </w:tc>
        <w:tc>
          <w:tcPr>
            <w:tcW w:w="0" w:type="auto"/>
            <w:hideMark/>
          </w:tcPr>
          <w:p w14:paraId="76F715D5"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000D7E33"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5F6B5840" w14:textId="77777777" w:rsidTr="00385303">
        <w:trPr>
          <w:trHeight w:val="274"/>
          <w:jc w:val="center"/>
        </w:trPr>
        <w:tc>
          <w:tcPr>
            <w:tcW w:w="0" w:type="auto"/>
            <w:hideMark/>
          </w:tcPr>
          <w:p w14:paraId="78A063B9"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Myrtaceae</w:t>
            </w:r>
            <w:proofErr w:type="spellEnd"/>
          </w:p>
        </w:tc>
        <w:tc>
          <w:tcPr>
            <w:tcW w:w="0" w:type="auto"/>
            <w:hideMark/>
          </w:tcPr>
          <w:p w14:paraId="3C1EB31B"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00C9F93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4C1B243D" w14:textId="77777777" w:rsidTr="00385303">
        <w:trPr>
          <w:trHeight w:val="274"/>
          <w:jc w:val="center"/>
        </w:trPr>
        <w:tc>
          <w:tcPr>
            <w:tcW w:w="0" w:type="auto"/>
            <w:hideMark/>
          </w:tcPr>
          <w:p w14:paraId="342566D8"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Myristicaceae</w:t>
            </w:r>
            <w:proofErr w:type="spellEnd"/>
          </w:p>
        </w:tc>
        <w:tc>
          <w:tcPr>
            <w:tcW w:w="0" w:type="auto"/>
            <w:hideMark/>
          </w:tcPr>
          <w:p w14:paraId="19E73860"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566A6E6D"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2A80793C" w14:textId="77777777" w:rsidTr="00385303">
        <w:trPr>
          <w:trHeight w:val="274"/>
          <w:jc w:val="center"/>
        </w:trPr>
        <w:tc>
          <w:tcPr>
            <w:tcW w:w="0" w:type="auto"/>
            <w:hideMark/>
          </w:tcPr>
          <w:p w14:paraId="484A0D6E"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Sapindaceae</w:t>
            </w:r>
            <w:proofErr w:type="spellEnd"/>
          </w:p>
        </w:tc>
        <w:tc>
          <w:tcPr>
            <w:tcW w:w="0" w:type="auto"/>
            <w:hideMark/>
          </w:tcPr>
          <w:p w14:paraId="5BF2038F"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6E7F738A"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4421C34D" w14:textId="77777777" w:rsidTr="00385303">
        <w:trPr>
          <w:trHeight w:val="274"/>
          <w:jc w:val="center"/>
        </w:trPr>
        <w:tc>
          <w:tcPr>
            <w:tcW w:w="0" w:type="auto"/>
            <w:hideMark/>
          </w:tcPr>
          <w:p w14:paraId="1DB7AF44" w14:textId="77777777" w:rsidR="00385303" w:rsidRPr="00385303" w:rsidRDefault="00385303" w:rsidP="00385303">
            <w:pPr>
              <w:jc w:val="center"/>
              <w:rPr>
                <w:rFonts w:ascii="Arial" w:hAnsi="Arial" w:cs="Arial"/>
                <w:i/>
                <w:sz w:val="20"/>
                <w:szCs w:val="20"/>
              </w:rPr>
            </w:pPr>
            <w:r w:rsidRPr="00385303">
              <w:rPr>
                <w:rFonts w:ascii="Arial" w:hAnsi="Arial" w:cs="Arial"/>
                <w:i/>
                <w:sz w:val="20"/>
                <w:szCs w:val="20"/>
              </w:rPr>
              <w:t>Rosaceae</w:t>
            </w:r>
          </w:p>
        </w:tc>
        <w:tc>
          <w:tcPr>
            <w:tcW w:w="0" w:type="auto"/>
            <w:hideMark/>
          </w:tcPr>
          <w:p w14:paraId="2ACB8D9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5E036AB6"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r w:rsidR="00385303" w:rsidRPr="00385303" w14:paraId="7EA979FE" w14:textId="77777777" w:rsidTr="00385303">
        <w:trPr>
          <w:trHeight w:val="274"/>
          <w:jc w:val="center"/>
        </w:trPr>
        <w:tc>
          <w:tcPr>
            <w:tcW w:w="0" w:type="auto"/>
            <w:hideMark/>
          </w:tcPr>
          <w:p w14:paraId="5E4E2C20" w14:textId="77777777" w:rsidR="00385303" w:rsidRPr="00385303" w:rsidRDefault="00385303" w:rsidP="00385303">
            <w:pPr>
              <w:jc w:val="center"/>
              <w:rPr>
                <w:rFonts w:ascii="Arial" w:hAnsi="Arial" w:cs="Arial"/>
                <w:i/>
                <w:sz w:val="20"/>
                <w:szCs w:val="20"/>
              </w:rPr>
            </w:pPr>
            <w:proofErr w:type="spellStart"/>
            <w:r w:rsidRPr="00385303">
              <w:rPr>
                <w:rFonts w:ascii="Arial" w:hAnsi="Arial" w:cs="Arial"/>
                <w:i/>
                <w:sz w:val="20"/>
                <w:szCs w:val="20"/>
              </w:rPr>
              <w:t>Lamiaceae</w:t>
            </w:r>
            <w:proofErr w:type="spellEnd"/>
          </w:p>
        </w:tc>
        <w:tc>
          <w:tcPr>
            <w:tcW w:w="0" w:type="auto"/>
            <w:hideMark/>
          </w:tcPr>
          <w:p w14:paraId="77FFA894"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1</w:t>
            </w:r>
          </w:p>
        </w:tc>
        <w:tc>
          <w:tcPr>
            <w:tcW w:w="0" w:type="auto"/>
            <w:hideMark/>
          </w:tcPr>
          <w:p w14:paraId="25F3379E" w14:textId="77777777" w:rsidR="00385303" w:rsidRPr="00385303" w:rsidRDefault="00385303" w:rsidP="00385303">
            <w:pPr>
              <w:jc w:val="center"/>
              <w:rPr>
                <w:rFonts w:ascii="Arial" w:hAnsi="Arial" w:cs="Arial"/>
                <w:sz w:val="20"/>
                <w:szCs w:val="20"/>
              </w:rPr>
            </w:pPr>
            <w:r w:rsidRPr="00385303">
              <w:rPr>
                <w:rFonts w:ascii="Arial" w:hAnsi="Arial" w:cs="Arial"/>
                <w:sz w:val="20"/>
                <w:szCs w:val="20"/>
              </w:rPr>
              <w:t>2.94%</w:t>
            </w:r>
          </w:p>
        </w:tc>
      </w:tr>
    </w:tbl>
    <w:p w14:paraId="46B9FE0F" w14:textId="77777777" w:rsidR="00385303" w:rsidRPr="00385303" w:rsidRDefault="00385303" w:rsidP="00385303">
      <w:pPr>
        <w:spacing w:after="200"/>
        <w:rPr>
          <w:rFonts w:ascii="Arial" w:eastAsia="Calibri" w:hAnsi="Arial" w:cs="Arial"/>
        </w:rPr>
      </w:pPr>
    </w:p>
    <w:p w14:paraId="685457CB"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The food plant species recorded belong to 18 different families, reflecting the taxonomic diversity of resources utilized by gibbons. The family </w:t>
      </w:r>
      <w:proofErr w:type="spellStart"/>
      <w:r w:rsidRPr="00385303">
        <w:rPr>
          <w:rFonts w:ascii="Arial" w:eastAsia="Calibri" w:hAnsi="Arial" w:cs="Arial"/>
        </w:rPr>
        <w:t>Anacardiaceae</w:t>
      </w:r>
      <w:proofErr w:type="spellEnd"/>
      <w:r w:rsidRPr="00385303">
        <w:rPr>
          <w:rFonts w:ascii="Arial" w:eastAsia="Calibri" w:hAnsi="Arial" w:cs="Arial"/>
        </w:rPr>
        <w:t xml:space="preserve"> contributed the highest number, with 5 species (14.71%), emphasize its importance as a major provider of fruits and leaves in the gibbon diet (Table 6). Prominent genera such as Mangifera and Lannea fall within this family, both of which are significant fruit sources.</w:t>
      </w:r>
    </w:p>
    <w:p w14:paraId="06B8F87E" w14:textId="77777777" w:rsidR="00385303" w:rsidRPr="00385303" w:rsidRDefault="00385303" w:rsidP="00503924">
      <w:pPr>
        <w:spacing w:after="200"/>
        <w:jc w:val="both"/>
        <w:rPr>
          <w:rFonts w:ascii="Arial" w:eastAsia="Calibri" w:hAnsi="Arial" w:cs="Arial"/>
        </w:rPr>
      </w:pPr>
      <w:r w:rsidRPr="00385303">
        <w:rPr>
          <w:rFonts w:ascii="Arial" w:eastAsia="Calibri" w:hAnsi="Arial" w:cs="Arial"/>
        </w:rPr>
        <w:t xml:space="preserve">The second most represented family was </w:t>
      </w:r>
      <w:proofErr w:type="spellStart"/>
      <w:r w:rsidRPr="00385303">
        <w:rPr>
          <w:rFonts w:ascii="Arial" w:eastAsia="Calibri" w:hAnsi="Arial" w:cs="Arial"/>
        </w:rPr>
        <w:t>Moraceae</w:t>
      </w:r>
      <w:proofErr w:type="spellEnd"/>
      <w:r w:rsidRPr="00385303">
        <w:rPr>
          <w:rFonts w:ascii="Arial" w:eastAsia="Calibri" w:hAnsi="Arial" w:cs="Arial"/>
        </w:rPr>
        <w:t xml:space="preserve">, with 4 species (11.76%), highlighting the key role of Ficus species and related taxa. This is consistent with findings from other primate studies, where figs are recognized as keystone resources due to their asynchronous fruiting and year-round availability. Families such as </w:t>
      </w:r>
      <w:proofErr w:type="spellStart"/>
      <w:r w:rsidRPr="00385303">
        <w:rPr>
          <w:rFonts w:ascii="Arial" w:eastAsia="Calibri" w:hAnsi="Arial" w:cs="Arial"/>
        </w:rPr>
        <w:t>Combretaceae</w:t>
      </w:r>
      <w:proofErr w:type="spellEnd"/>
      <w:r w:rsidRPr="00385303">
        <w:rPr>
          <w:rFonts w:ascii="Arial" w:eastAsia="Calibri" w:hAnsi="Arial" w:cs="Arial"/>
        </w:rPr>
        <w:t xml:space="preserve"> and </w:t>
      </w:r>
      <w:proofErr w:type="spellStart"/>
      <w:r w:rsidRPr="00385303">
        <w:rPr>
          <w:rFonts w:ascii="Arial" w:eastAsia="Calibri" w:hAnsi="Arial" w:cs="Arial"/>
        </w:rPr>
        <w:t>Clusiaceae</w:t>
      </w:r>
      <w:proofErr w:type="spellEnd"/>
      <w:r w:rsidRPr="00385303">
        <w:rPr>
          <w:rFonts w:ascii="Arial" w:eastAsia="Calibri" w:hAnsi="Arial" w:cs="Arial"/>
        </w:rPr>
        <w:t xml:space="preserve"> each contributed 3 species (8.82%), suggesting their moderate but notable role in supplementing the gibbon’s food resources. Several other families, including </w:t>
      </w:r>
      <w:proofErr w:type="spellStart"/>
      <w:r w:rsidRPr="00385303">
        <w:rPr>
          <w:rFonts w:ascii="Arial" w:eastAsia="Calibri" w:hAnsi="Arial" w:cs="Arial"/>
        </w:rPr>
        <w:t>Meliaceae</w:t>
      </w:r>
      <w:proofErr w:type="spellEnd"/>
      <w:r w:rsidRPr="00385303">
        <w:rPr>
          <w:rFonts w:ascii="Arial" w:eastAsia="Calibri" w:hAnsi="Arial" w:cs="Arial"/>
        </w:rPr>
        <w:t xml:space="preserve">, </w:t>
      </w:r>
      <w:proofErr w:type="spellStart"/>
      <w:r w:rsidRPr="00385303">
        <w:rPr>
          <w:rFonts w:ascii="Arial" w:eastAsia="Calibri" w:hAnsi="Arial" w:cs="Arial"/>
        </w:rPr>
        <w:t>Phyllanthaceae</w:t>
      </w:r>
      <w:proofErr w:type="spellEnd"/>
      <w:r w:rsidRPr="00385303">
        <w:rPr>
          <w:rFonts w:ascii="Arial" w:eastAsia="Calibri" w:hAnsi="Arial" w:cs="Arial"/>
        </w:rPr>
        <w:t xml:space="preserve">, </w:t>
      </w:r>
      <w:proofErr w:type="spellStart"/>
      <w:r w:rsidRPr="00385303">
        <w:rPr>
          <w:rFonts w:ascii="Arial" w:eastAsia="Calibri" w:hAnsi="Arial" w:cs="Arial"/>
        </w:rPr>
        <w:t>Malvaceae</w:t>
      </w:r>
      <w:proofErr w:type="spellEnd"/>
      <w:r w:rsidRPr="00385303">
        <w:rPr>
          <w:rFonts w:ascii="Arial" w:eastAsia="Calibri" w:hAnsi="Arial" w:cs="Arial"/>
        </w:rPr>
        <w:t xml:space="preserve">, </w:t>
      </w:r>
      <w:proofErr w:type="spellStart"/>
      <w:r w:rsidRPr="00385303">
        <w:rPr>
          <w:rFonts w:ascii="Arial" w:eastAsia="Calibri" w:hAnsi="Arial" w:cs="Arial"/>
        </w:rPr>
        <w:t>Dilleniaceae</w:t>
      </w:r>
      <w:proofErr w:type="spellEnd"/>
      <w:r w:rsidRPr="00385303">
        <w:rPr>
          <w:rFonts w:ascii="Arial" w:eastAsia="Calibri" w:hAnsi="Arial" w:cs="Arial"/>
        </w:rPr>
        <w:t xml:space="preserve">, and </w:t>
      </w:r>
      <w:proofErr w:type="spellStart"/>
      <w:r w:rsidRPr="00385303">
        <w:rPr>
          <w:rFonts w:ascii="Arial" w:eastAsia="Calibri" w:hAnsi="Arial" w:cs="Arial"/>
        </w:rPr>
        <w:t>Lythraceae</w:t>
      </w:r>
      <w:proofErr w:type="spellEnd"/>
      <w:r w:rsidRPr="00385303">
        <w:rPr>
          <w:rFonts w:ascii="Arial" w:eastAsia="Calibri" w:hAnsi="Arial" w:cs="Arial"/>
        </w:rPr>
        <w:t>, each contributed 2 species (5.88%), demonstrating the breadth of dietary resources spread across multiple taxonomic groups. The remaining families were represented by a single species each (2.94%), reflecting their minor but supplementary role in the overall dietary composition. Despite their low representation, even these species can be critical during periods of seasonal scarcity, providing fallback resources when primary fruiting species are unavailable.</w:t>
      </w:r>
    </w:p>
    <w:p w14:paraId="0121A2EA" w14:textId="77777777" w:rsidR="00385303" w:rsidRPr="00385303" w:rsidRDefault="00385303" w:rsidP="00385303">
      <w:pPr>
        <w:pStyle w:val="Head1"/>
        <w:spacing w:after="0"/>
        <w:jc w:val="both"/>
        <w:rPr>
          <w:rFonts w:ascii="Arial" w:hAnsi="Arial" w:cs="Arial"/>
          <w:szCs w:val="22"/>
        </w:rPr>
      </w:pPr>
      <w:r w:rsidRPr="00385303">
        <w:rPr>
          <w:rFonts w:ascii="Arial" w:hAnsi="Arial" w:cs="Arial"/>
          <w:szCs w:val="22"/>
        </w:rPr>
        <w:t>4. Discussion</w:t>
      </w:r>
    </w:p>
    <w:p w14:paraId="027393C6" w14:textId="77777777" w:rsidR="00385303" w:rsidRDefault="00385303" w:rsidP="00385303">
      <w:pPr>
        <w:pStyle w:val="Head1"/>
        <w:spacing w:after="0"/>
        <w:jc w:val="both"/>
        <w:rPr>
          <w:rFonts w:ascii="Arial" w:hAnsi="Arial" w:cs="Arial"/>
          <w:sz w:val="20"/>
        </w:rPr>
      </w:pPr>
    </w:p>
    <w:p w14:paraId="26F8BF37"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The current study listed a total of 34 food plant species consumed by the Western Hoolock Gibbon (Hoolock hoolock) in the Marat Longri–Patradisa–Longnit Forest Complex, Assam. Dietary analysis showed that fruits were the primary component in the diet of the gibbon followed by leaves, seeds, flowers, and bark. This pattern confirms the generally frugivorous status of the species with considerable folivorous adaptability. Such food habits enable Hoolock gibbons to face the seasonal changes in fruit availability, a common behavior reported throughout their range (Islam, 1992; Borah, 2018; Deb et al., 2019; Neha, 2021).</w:t>
      </w:r>
    </w:p>
    <w:p w14:paraId="2FCC6D5E"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The recorded number of species of food plants in this study is within the intermediate range of previous records from Northeast India-22 species from Gibbon Wildlife Sanctuary by Islam (1992), 39 from </w:t>
      </w:r>
      <w:proofErr w:type="spellStart"/>
      <w:r w:rsidRPr="00385303">
        <w:rPr>
          <w:rFonts w:ascii="Arial" w:eastAsia="Calibri" w:hAnsi="Arial" w:cs="Arial"/>
        </w:rPr>
        <w:t>Hollongapar</w:t>
      </w:r>
      <w:proofErr w:type="spellEnd"/>
      <w:r w:rsidRPr="00385303">
        <w:rPr>
          <w:rFonts w:ascii="Arial" w:eastAsia="Calibri" w:hAnsi="Arial" w:cs="Arial"/>
        </w:rPr>
        <w:t xml:space="preserve"> Gibbon Sanctuary by Borah (2017), and 41 from Upper Assam by Neha (2021). This possibly indicates a moderately diverse flora and semi-fragmented condition of the Marat </w:t>
      </w:r>
      <w:proofErr w:type="spellStart"/>
      <w:r w:rsidRPr="00385303">
        <w:rPr>
          <w:rFonts w:ascii="Arial" w:eastAsia="Calibri" w:hAnsi="Arial" w:cs="Arial"/>
        </w:rPr>
        <w:t>Longri-Patradsia-Longnit</w:t>
      </w:r>
      <w:proofErr w:type="spellEnd"/>
      <w:r w:rsidRPr="00385303">
        <w:rPr>
          <w:rFonts w:ascii="Arial" w:eastAsia="Calibri" w:hAnsi="Arial" w:cs="Arial"/>
        </w:rPr>
        <w:t xml:space="preserve"> Forest Complex. The results indicate that though it retains reasonable ecological continuity, some structural constraints may adversely affect food diversity and abundance compared to larger continuous tracts of forests.</w:t>
      </w:r>
    </w:p>
    <w:p w14:paraId="508C8C2C"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There were also distinct seasonal variations in diet composition. Fruit intake was highest during the monsoon and post-monsoon seasons when fruiting peaks, while leaf intake increased during winter when fruit is less abundant. This adaptive feeding behavior corroborates previous reports by Borah 2018 and Deb et al. 2019, with gibbons adapting to changes in resource availability. Leaves and flowers were consumed as fallback foods during periods of scarcity, illustrating ecological resilience and behavioral adaptability by this species in the face of fluctuating tropical resource dynamics.</w:t>
      </w:r>
    </w:p>
    <w:p w14:paraId="3AEA4E16"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Habitat-wise, the semi-evergreen and moist deciduous forests supported the highest number of food plant species. Higher fruit tree density, vertical stratification, and complex canopy structures in these forest types support suitable </w:t>
      </w:r>
      <w:r w:rsidRPr="00385303">
        <w:rPr>
          <w:rFonts w:ascii="Arial" w:eastAsia="Calibri" w:hAnsi="Arial" w:cs="Arial"/>
        </w:rPr>
        <w:lastRenderedPageBreak/>
        <w:t>foraging opportunities. In concurrence with previous studies (Deb et al., 2019), gibbons preferred mid- to upper-canopy trees above 20 meters in height, which minimizes predation risks and increases access to fruiting crowns.</w:t>
      </w:r>
    </w:p>
    <w:p w14:paraId="49C278E9" w14:textId="77777777" w:rsidR="00385303" w:rsidRPr="00385303" w:rsidRDefault="00385303" w:rsidP="00385303">
      <w:pPr>
        <w:spacing w:after="200"/>
        <w:jc w:val="both"/>
        <w:rPr>
          <w:rFonts w:ascii="Arial" w:eastAsia="Calibri" w:hAnsi="Arial" w:cs="Arial"/>
        </w:rPr>
      </w:pPr>
      <w:r w:rsidRPr="00385303">
        <w:rPr>
          <w:rFonts w:ascii="Arial" w:eastAsia="Calibri" w:hAnsi="Arial" w:cs="Arial"/>
        </w:rPr>
        <w:t xml:space="preserve">The taxonomic breakdown revealed that the families </w:t>
      </w:r>
      <w:proofErr w:type="spellStart"/>
      <w:r w:rsidRPr="00385303">
        <w:rPr>
          <w:rFonts w:ascii="Arial" w:eastAsia="Calibri" w:hAnsi="Arial" w:cs="Arial"/>
        </w:rPr>
        <w:t>Moraceae</w:t>
      </w:r>
      <w:proofErr w:type="spellEnd"/>
      <w:r w:rsidRPr="00385303">
        <w:rPr>
          <w:rFonts w:ascii="Arial" w:eastAsia="Calibri" w:hAnsi="Arial" w:cs="Arial"/>
        </w:rPr>
        <w:t xml:space="preserve"> and </w:t>
      </w:r>
      <w:proofErr w:type="spellStart"/>
      <w:r w:rsidRPr="00385303">
        <w:rPr>
          <w:rFonts w:ascii="Arial" w:eastAsia="Calibri" w:hAnsi="Arial" w:cs="Arial"/>
        </w:rPr>
        <w:t>Anacardiaceae</w:t>
      </w:r>
      <w:proofErr w:type="spellEnd"/>
      <w:r w:rsidRPr="00385303">
        <w:rPr>
          <w:rFonts w:ascii="Arial" w:eastAsia="Calibri" w:hAnsi="Arial" w:cs="Arial"/>
        </w:rPr>
        <w:t xml:space="preserve"> were the dominant contributors to the gibbon diet. The year-round exploitation of </w:t>
      </w:r>
      <w:proofErr w:type="spellStart"/>
      <w:r w:rsidRPr="00385303">
        <w:rPr>
          <w:rFonts w:ascii="Arial" w:eastAsia="Calibri" w:hAnsi="Arial" w:cs="Arial"/>
        </w:rPr>
        <w:t>Ficus</w:t>
      </w:r>
      <w:proofErr w:type="spellEnd"/>
      <w:r w:rsidRPr="00385303">
        <w:rPr>
          <w:rFonts w:ascii="Arial" w:eastAsia="Calibri" w:hAnsi="Arial" w:cs="Arial"/>
        </w:rPr>
        <w:t xml:space="preserve"> species (</w:t>
      </w:r>
      <w:proofErr w:type="spellStart"/>
      <w:r w:rsidRPr="00385303">
        <w:rPr>
          <w:rFonts w:ascii="Arial" w:eastAsia="Calibri" w:hAnsi="Arial" w:cs="Arial"/>
        </w:rPr>
        <w:t>Moraceae</w:t>
      </w:r>
      <w:proofErr w:type="spellEnd"/>
      <w:r w:rsidRPr="00385303">
        <w:rPr>
          <w:rFonts w:ascii="Arial" w:eastAsia="Calibri" w:hAnsi="Arial" w:cs="Arial"/>
        </w:rPr>
        <w:t>) highlights their ecological importance as keystone resources, sustaining frugivorous primates during times of fruit scarcity, as has been echoed in similar studies (Islam, 1992; Neha, 2021). Similar findings of the same families being dominant in other studies suggest a stable and long-term ecological relationship between Hoolock gibbons and these fruit-bearing taxa, despite regional differences in vegetation composition. The feeding ecology of the Western Hoolock Gibbon in the Marat Longri–Patradisa–Longnit Forest Complex mirrors broader regional patterns, with strong frugivory, seasonal shifts in diet, and reliance on ecologically pivotal tree species. These feeding resources are, however, increasingly threatened by anthropogenic pressures such as shifting cultivation, selective logging, and progressive fragmentation of forests. Conservation strategies should thus be aimed at the protection and ecological restoration of the remaining semi-evergreen forest patches and the protection of the key food plant species, including Ficus, Mangifera, and Terminalia. Maintaining these critical resources will not only ensure the long-term survival of the populations of this endangered primate but also contribute toward the overall ecological health and resilience of the forest ecosystem.</w:t>
      </w:r>
    </w:p>
    <w:p w14:paraId="44A55118" w14:textId="77777777" w:rsidR="00790ADA" w:rsidRPr="00385303" w:rsidRDefault="00790ADA" w:rsidP="00385303">
      <w:pPr>
        <w:pStyle w:val="Head1"/>
        <w:spacing w:after="0"/>
        <w:jc w:val="both"/>
        <w:rPr>
          <w:rFonts w:ascii="Arial" w:hAnsi="Arial" w:cs="Arial"/>
          <w:sz w:val="20"/>
        </w:rPr>
      </w:pPr>
    </w:p>
    <w:p w14:paraId="1524E661" w14:textId="77777777" w:rsidR="00B01FCD" w:rsidRDefault="0050392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3A6D6DA" w14:textId="77777777" w:rsidR="00790ADA" w:rsidRPr="00FB3A86" w:rsidRDefault="00790ADA" w:rsidP="00441B6F">
      <w:pPr>
        <w:pStyle w:val="ConcHead"/>
        <w:spacing w:after="0"/>
        <w:jc w:val="both"/>
        <w:rPr>
          <w:rFonts w:ascii="Arial" w:hAnsi="Arial" w:cs="Arial"/>
        </w:rPr>
      </w:pPr>
    </w:p>
    <w:p w14:paraId="728D4B33" w14:textId="77777777" w:rsidR="00790ADA" w:rsidRDefault="00503924" w:rsidP="00441B6F">
      <w:pPr>
        <w:pStyle w:val="Body"/>
        <w:spacing w:after="0"/>
        <w:rPr>
          <w:rFonts w:ascii="Arial" w:hAnsi="Arial" w:cs="Arial"/>
        </w:rPr>
      </w:pPr>
      <w:r w:rsidRPr="00503924">
        <w:rPr>
          <w:rFonts w:ascii="Arial" w:hAnsi="Arial" w:cs="Arial"/>
        </w:rPr>
        <w:t xml:space="preserve">The current research reported 34 food plants species consumed by the Western Hoolock Gibbon in the Marat Longri–Patradisa–Longnit Forest Complex of Karbi Anglong, Assam. Fruits were the main food resource supplemented by leaves, seeds, flowers, and bark, with significant seasonal fluctuation mirroring oscillations between frugivory when fruit was plentiful and </w:t>
      </w:r>
      <w:proofErr w:type="spellStart"/>
      <w:r w:rsidRPr="00503924">
        <w:rPr>
          <w:rFonts w:ascii="Arial" w:hAnsi="Arial" w:cs="Arial"/>
        </w:rPr>
        <w:t>folivory</w:t>
      </w:r>
      <w:proofErr w:type="spellEnd"/>
      <w:r w:rsidRPr="00503924">
        <w:rPr>
          <w:rFonts w:ascii="Arial" w:hAnsi="Arial" w:cs="Arial"/>
        </w:rPr>
        <w:t xml:space="preserve"> during times of scarcity. This nutritional flexibility fits with previous research across the rest of Northeast India, supporting the ecological plasticity of the species. The dominance of tall canopy trees and dominance of families like </w:t>
      </w:r>
      <w:proofErr w:type="spellStart"/>
      <w:r w:rsidRPr="00503924">
        <w:rPr>
          <w:rFonts w:ascii="Arial" w:hAnsi="Arial" w:cs="Arial"/>
        </w:rPr>
        <w:t>Moraceae</w:t>
      </w:r>
      <w:proofErr w:type="spellEnd"/>
      <w:r w:rsidRPr="00503924">
        <w:rPr>
          <w:rFonts w:ascii="Arial" w:hAnsi="Arial" w:cs="Arial"/>
        </w:rPr>
        <w:t xml:space="preserve">, </w:t>
      </w:r>
      <w:proofErr w:type="spellStart"/>
      <w:r w:rsidRPr="00503924">
        <w:rPr>
          <w:rFonts w:ascii="Arial" w:hAnsi="Arial" w:cs="Arial"/>
        </w:rPr>
        <w:t>Anacardiaceae</w:t>
      </w:r>
      <w:proofErr w:type="spellEnd"/>
      <w:r w:rsidRPr="00503924">
        <w:rPr>
          <w:rFonts w:ascii="Arial" w:hAnsi="Arial" w:cs="Arial"/>
        </w:rPr>
        <w:t xml:space="preserve">, and </w:t>
      </w:r>
      <w:proofErr w:type="spellStart"/>
      <w:r w:rsidRPr="00503924">
        <w:rPr>
          <w:rFonts w:ascii="Arial" w:hAnsi="Arial" w:cs="Arial"/>
        </w:rPr>
        <w:t>Combretaceae</w:t>
      </w:r>
      <w:proofErr w:type="spellEnd"/>
      <w:r w:rsidRPr="00503924">
        <w:rPr>
          <w:rFonts w:ascii="Arial" w:hAnsi="Arial" w:cs="Arial"/>
        </w:rPr>
        <w:t xml:space="preserve"> highlight the role of keystone plant taxa and vegetation types in maintaining populations of gibbons. Comparative examination with earlier research points out regional diversity in species richness and high resemblance in dependence on figs and other keystone species, in addition to the adaptive tactic of seasonal change in resource use. The results show that the Marat Longri–Patradisa–Longnit Forest Complex still harbors a relatively diverse array of food plants, indicating that the habitat still possesses ecological integrity to ensure long-term survival of populations of gibbons. Nonetheless, continued threats in the form of habitat fragmentation, shifting cultivation, and logging threaten to compromise the availability of essential food resources. Conservation efforts must thus focus on the maintenance of semi-evergreen and moist deciduous forest remnants, preservation of keystone food plants, and relaxation of human-induced pressures. Future studies must combine long-term dietary monitoring and habitat quality evaluation to reinforce conservation planning and ensure the ongoing survival of this threatened primate in Karbi Anglong and elsewhere.</w:t>
      </w:r>
    </w:p>
    <w:p w14:paraId="318AD3D9" w14:textId="77777777" w:rsidR="00503924" w:rsidRPr="00FB3A86" w:rsidRDefault="00503924" w:rsidP="00441B6F">
      <w:pPr>
        <w:pStyle w:val="Body"/>
        <w:spacing w:after="0"/>
        <w:rPr>
          <w:rFonts w:ascii="Arial" w:hAnsi="Arial" w:cs="Arial"/>
        </w:rPr>
      </w:pPr>
    </w:p>
    <w:p w14:paraId="298F7FB4" w14:textId="77777777" w:rsidR="00860000" w:rsidRDefault="00860000" w:rsidP="00441B6F">
      <w:pPr>
        <w:pStyle w:val="ReferHead"/>
        <w:spacing w:after="0"/>
        <w:jc w:val="both"/>
        <w:rPr>
          <w:rFonts w:ascii="Arial" w:hAnsi="Arial" w:cs="Arial"/>
        </w:rPr>
      </w:pPr>
    </w:p>
    <w:p w14:paraId="0122D95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D74E64" w14:textId="77777777" w:rsidR="009748E7"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Altmann J. 1974. Observational study of behavior: Sampling methods. </w:t>
      </w:r>
      <w:proofErr w:type="spellStart"/>
      <w:r w:rsidRPr="009748E7">
        <w:rPr>
          <w:rFonts w:ascii="Arial" w:hAnsi="Arial" w:cs="Arial"/>
        </w:rPr>
        <w:t>Behaviour</w:t>
      </w:r>
      <w:proofErr w:type="spellEnd"/>
      <w:r w:rsidRPr="009748E7">
        <w:rPr>
          <w:rFonts w:ascii="Arial" w:hAnsi="Arial" w:cs="Arial"/>
        </w:rPr>
        <w:t xml:space="preserve"> 49(3–4):227–267. </w:t>
      </w:r>
      <w:hyperlink r:id="rId17" w:history="1">
        <w:r w:rsidR="009748E7" w:rsidRPr="00A41183">
          <w:rPr>
            <w:rStyle w:val="Hyperlink"/>
          </w:rPr>
          <w:t>https://doi.org/10.1163/156853974X00534</w:t>
        </w:r>
      </w:hyperlink>
      <w:r w:rsidR="009748E7">
        <w:t xml:space="preserve"> </w:t>
      </w:r>
      <w:bookmarkStart w:id="0" w:name="_GoBack"/>
      <w:bookmarkEnd w:id="0"/>
    </w:p>
    <w:p w14:paraId="20EAC668" w14:textId="72AE0A8A"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Bartlett TQ. 2007. The </w:t>
      </w:r>
      <w:proofErr w:type="spellStart"/>
      <w:r w:rsidRPr="009748E7">
        <w:rPr>
          <w:rFonts w:ascii="Arial" w:hAnsi="Arial" w:cs="Arial"/>
        </w:rPr>
        <w:t>Hylobatidae</w:t>
      </w:r>
      <w:proofErr w:type="spellEnd"/>
      <w:r w:rsidRPr="009748E7">
        <w:rPr>
          <w:rFonts w:ascii="Arial" w:hAnsi="Arial" w:cs="Arial"/>
        </w:rPr>
        <w:t xml:space="preserve">: Small apes of Asia. In: Campbell CJ, Fuentes A, MacKinnon KC, Panger M, Bearder SK, editors. </w:t>
      </w:r>
      <w:r w:rsidRPr="009748E7">
        <w:rPr>
          <w:rFonts w:ascii="Arial" w:hAnsi="Arial" w:cs="Arial"/>
          <w:i/>
          <w:iCs/>
        </w:rPr>
        <w:t>Primates in perspective</w:t>
      </w:r>
      <w:r w:rsidRPr="009748E7">
        <w:rPr>
          <w:rFonts w:ascii="Arial" w:hAnsi="Arial" w:cs="Arial"/>
        </w:rPr>
        <w:t>. Oxford: Oxford University Press. p. 274–290.</w:t>
      </w:r>
    </w:p>
    <w:p w14:paraId="69CA3FFC" w14:textId="4BF9B447"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Biswas J, Biswas J, Taro R, Das J, Rabha A. 2016. A conservation action plan for the Western Hoolock Gibbon (Hoolock hoolock) in </w:t>
      </w:r>
      <w:proofErr w:type="spellStart"/>
      <w:r w:rsidRPr="009748E7">
        <w:rPr>
          <w:rFonts w:ascii="Arial" w:hAnsi="Arial" w:cs="Arial"/>
        </w:rPr>
        <w:t>Karbi</w:t>
      </w:r>
      <w:proofErr w:type="spellEnd"/>
      <w:r w:rsidRPr="009748E7">
        <w:rPr>
          <w:rFonts w:ascii="Arial" w:hAnsi="Arial" w:cs="Arial"/>
        </w:rPr>
        <w:t xml:space="preserve"> </w:t>
      </w:r>
      <w:proofErr w:type="spellStart"/>
      <w:r w:rsidRPr="009748E7">
        <w:rPr>
          <w:rFonts w:ascii="Arial" w:hAnsi="Arial" w:cs="Arial"/>
        </w:rPr>
        <w:t>Anglong</w:t>
      </w:r>
      <w:proofErr w:type="spellEnd"/>
      <w:r w:rsidRPr="009748E7">
        <w:rPr>
          <w:rFonts w:ascii="Arial" w:hAnsi="Arial" w:cs="Arial"/>
        </w:rPr>
        <w:t>, Assam. Primate Research Centre NE India.</w:t>
      </w:r>
      <w:r w:rsidR="009748E7" w:rsidRPr="009748E7">
        <w:t xml:space="preserve"> </w:t>
      </w:r>
      <w:hyperlink r:id="rId18" w:history="1">
        <w:r w:rsidR="009748E7" w:rsidRPr="009748E7">
          <w:rPr>
            <w:rStyle w:val="Hyperlink"/>
            <w:rFonts w:ascii="Arial" w:hAnsi="Arial" w:cs="Arial"/>
          </w:rPr>
          <w:t>https://www.ptes.org/wp-content/uploads/2016/01/Hoolock-Gibbon-Action-Plan-2016.pdf</w:t>
        </w:r>
      </w:hyperlink>
      <w:r w:rsidR="009748E7" w:rsidRPr="009748E7">
        <w:rPr>
          <w:rFonts w:ascii="Arial" w:hAnsi="Arial" w:cs="Arial"/>
        </w:rPr>
        <w:t xml:space="preserve"> </w:t>
      </w:r>
    </w:p>
    <w:p w14:paraId="0F059196" w14:textId="677F29B5"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Borah M, Devi A, Kumar A. 2018. Diet and feeding ecology of the western hoolock gibbon (Hoolock hoolock) in a tropical forest fragment of Northeast India. Primates 59(1):31–44.</w:t>
      </w:r>
      <w:r w:rsidR="009748E7" w:rsidRPr="009748E7">
        <w:t xml:space="preserve"> </w:t>
      </w:r>
      <w:hyperlink r:id="rId19" w:history="1">
        <w:r w:rsidR="009748E7" w:rsidRPr="009748E7">
          <w:rPr>
            <w:rStyle w:val="Hyperlink"/>
            <w:rFonts w:ascii="Arial" w:hAnsi="Arial" w:cs="Arial"/>
          </w:rPr>
          <w:t>https://doi.org/10.1007/s10329-017-0627-6</w:t>
        </w:r>
      </w:hyperlink>
      <w:r w:rsidR="009748E7" w:rsidRPr="009748E7">
        <w:rPr>
          <w:rFonts w:ascii="Arial" w:hAnsi="Arial" w:cs="Arial"/>
        </w:rPr>
        <w:t xml:space="preserve"> </w:t>
      </w:r>
    </w:p>
    <w:p w14:paraId="63AED9FE" w14:textId="04EFEFDB"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Brockelman WY, Ali R. 1987. Methods of surveying and sampling forest primate populations. In: Marsh CW, Mittermeier RA, editors. </w:t>
      </w:r>
      <w:r w:rsidRPr="009748E7">
        <w:rPr>
          <w:rFonts w:ascii="Arial" w:hAnsi="Arial" w:cs="Arial"/>
          <w:i/>
          <w:iCs/>
        </w:rPr>
        <w:t>Primate conservation in the tropical rain forest</w:t>
      </w:r>
      <w:r w:rsidRPr="009748E7">
        <w:rPr>
          <w:rFonts w:ascii="Arial" w:hAnsi="Arial" w:cs="Arial"/>
        </w:rPr>
        <w:t>. New York: Alan R. Liss. p. 23–62.</w:t>
      </w:r>
      <w:r w:rsidR="009748E7" w:rsidRPr="009748E7">
        <w:t xml:space="preserve"> </w:t>
      </w:r>
      <w:hyperlink r:id="rId20" w:history="1">
        <w:r w:rsidR="009748E7" w:rsidRPr="009748E7">
          <w:rPr>
            <w:rStyle w:val="Hyperlink"/>
            <w:rFonts w:ascii="Arial" w:hAnsi="Arial" w:cs="Arial"/>
          </w:rPr>
          <w:t>https://www.researchgate.net/publication/285640000_Methods_of_surveying_and_sampling_forest_primate_populations</w:t>
        </w:r>
      </w:hyperlink>
      <w:r w:rsidR="009748E7" w:rsidRPr="009748E7">
        <w:rPr>
          <w:rFonts w:ascii="Arial" w:hAnsi="Arial" w:cs="Arial"/>
        </w:rPr>
        <w:t xml:space="preserve"> </w:t>
      </w:r>
    </w:p>
    <w:p w14:paraId="45EDCF72" w14:textId="7357814B"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lastRenderedPageBreak/>
        <w:t xml:space="preserve">Chetry D, Phukan M, Chetry S, Baruah B, Deka JR, Das AK, Bhattacharjee PC. 2021. The Eastern Hoolock Gibbon Hoolock </w:t>
      </w:r>
      <w:proofErr w:type="spellStart"/>
      <w:r w:rsidRPr="009748E7">
        <w:rPr>
          <w:rFonts w:ascii="Arial" w:hAnsi="Arial" w:cs="Arial"/>
        </w:rPr>
        <w:t>leuconedys</w:t>
      </w:r>
      <w:proofErr w:type="spellEnd"/>
      <w:r w:rsidRPr="009748E7">
        <w:rPr>
          <w:rFonts w:ascii="Arial" w:hAnsi="Arial" w:cs="Arial"/>
        </w:rPr>
        <w:t xml:space="preserve"> population in Assam, India, is on the verge of extinction. Primate Conservation 35:1–7.</w:t>
      </w:r>
      <w:r w:rsidR="009748E7" w:rsidRPr="009748E7">
        <w:t xml:space="preserve"> </w:t>
      </w:r>
      <w:hyperlink r:id="rId21" w:history="1">
        <w:r w:rsidR="009748E7" w:rsidRPr="009748E7">
          <w:rPr>
            <w:rStyle w:val="Hyperlink"/>
            <w:rFonts w:ascii="Arial" w:hAnsi="Arial" w:cs="Arial"/>
          </w:rPr>
          <w:t>https://doi.org/10.13140/RG.2.2.26187.52005</w:t>
        </w:r>
      </w:hyperlink>
      <w:r w:rsidR="009748E7" w:rsidRPr="009748E7">
        <w:rPr>
          <w:rFonts w:ascii="Arial" w:hAnsi="Arial" w:cs="Arial"/>
        </w:rPr>
        <w:t xml:space="preserve"> </w:t>
      </w:r>
    </w:p>
    <w:p w14:paraId="4F3C3103" w14:textId="14017D7D"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Choudhury A. 2006. The distribution and status of hoolock gibbon, Hoolock </w:t>
      </w:r>
      <w:proofErr w:type="spellStart"/>
      <w:r w:rsidRPr="009748E7">
        <w:rPr>
          <w:rFonts w:ascii="Arial" w:hAnsi="Arial" w:cs="Arial"/>
        </w:rPr>
        <w:t>hoolock</w:t>
      </w:r>
      <w:proofErr w:type="spellEnd"/>
      <w:r w:rsidRPr="009748E7">
        <w:rPr>
          <w:rFonts w:ascii="Arial" w:hAnsi="Arial" w:cs="Arial"/>
        </w:rPr>
        <w:t>, in Manipur, Meghalaya, Mizoram, and Nagaland in northeast India. Primate Conservation 20:79–87.</w:t>
      </w:r>
      <w:r w:rsidR="009748E7" w:rsidRPr="009748E7">
        <w:t xml:space="preserve"> </w:t>
      </w:r>
      <w:hyperlink r:id="rId22" w:history="1">
        <w:r w:rsidR="009748E7" w:rsidRPr="009748E7">
          <w:rPr>
            <w:rStyle w:val="Hyperlink"/>
            <w:rFonts w:ascii="Arial" w:hAnsi="Arial" w:cs="Arial"/>
          </w:rPr>
          <w:t>https://doi.org/10.1896/0898-6207.20.1.79</w:t>
        </w:r>
      </w:hyperlink>
      <w:r w:rsidR="009748E7" w:rsidRPr="009748E7">
        <w:rPr>
          <w:rFonts w:ascii="Arial" w:hAnsi="Arial" w:cs="Arial"/>
        </w:rPr>
        <w:t xml:space="preserve"> </w:t>
      </w:r>
    </w:p>
    <w:p w14:paraId="53312FCF" w14:textId="2582A987" w:rsidR="00503924" w:rsidRPr="009748E7" w:rsidRDefault="00503924" w:rsidP="009748E7">
      <w:pPr>
        <w:spacing w:before="100" w:beforeAutospacing="1" w:after="100" w:afterAutospacing="1"/>
        <w:jc w:val="both"/>
        <w:rPr>
          <w:rFonts w:ascii="Arial" w:hAnsi="Arial" w:cs="Arial"/>
          <w:lang w:val="pt-BR"/>
        </w:rPr>
      </w:pPr>
      <w:r w:rsidRPr="009748E7">
        <w:rPr>
          <w:rFonts w:ascii="Arial" w:hAnsi="Arial" w:cs="Arial"/>
        </w:rPr>
        <w:t xml:space="preserve">Choudhury AS, Choudhury P, </w:t>
      </w:r>
      <w:proofErr w:type="spellStart"/>
      <w:r w:rsidRPr="009748E7">
        <w:rPr>
          <w:rFonts w:ascii="Arial" w:hAnsi="Arial" w:cs="Arial"/>
        </w:rPr>
        <w:t>Gassah</w:t>
      </w:r>
      <w:proofErr w:type="spellEnd"/>
      <w:r w:rsidRPr="009748E7">
        <w:rPr>
          <w:rFonts w:ascii="Arial" w:hAnsi="Arial" w:cs="Arial"/>
        </w:rPr>
        <w:t xml:space="preserve"> R. 2022. Habitat suitability modeling for the endangered Bengal slow loris (Nycticebus bengalensis) in the Indo-Chinese subregion of India: a case study from southern Assam (India). </w:t>
      </w:r>
      <w:r w:rsidRPr="009748E7">
        <w:rPr>
          <w:rFonts w:ascii="Arial" w:hAnsi="Arial" w:cs="Arial"/>
          <w:lang w:val="pt-BR"/>
        </w:rPr>
        <w:t>Primates 63(2):173–184.</w:t>
      </w:r>
      <w:r w:rsidR="009748E7" w:rsidRPr="009748E7">
        <w:t xml:space="preserve"> </w:t>
      </w:r>
      <w:hyperlink r:id="rId23" w:history="1">
        <w:r w:rsidR="009748E7" w:rsidRPr="009748E7">
          <w:rPr>
            <w:rStyle w:val="Hyperlink"/>
            <w:rFonts w:ascii="Arial" w:hAnsi="Arial" w:cs="Arial"/>
            <w:lang w:val="pt-BR"/>
          </w:rPr>
          <w:t>https://doi.org/10.1007/s10329-021-00967-x</w:t>
        </w:r>
      </w:hyperlink>
      <w:r w:rsidR="009748E7" w:rsidRPr="009748E7">
        <w:rPr>
          <w:rFonts w:ascii="Arial" w:hAnsi="Arial" w:cs="Arial"/>
          <w:lang w:val="pt-BR"/>
        </w:rPr>
        <w:t xml:space="preserve"> </w:t>
      </w:r>
    </w:p>
    <w:p w14:paraId="2103EB5F" w14:textId="7F0B8C11"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lang w:val="pt-BR"/>
        </w:rPr>
        <w:t xml:space="preserve">Das J, Biswas J, Das N, Molur S, Bagley F. 2011. </w:t>
      </w:r>
      <w:r w:rsidRPr="009748E7">
        <w:rPr>
          <w:rFonts w:ascii="Arial" w:hAnsi="Arial" w:cs="Arial"/>
        </w:rPr>
        <w:t>Strategic plan for Western Hoolock Gibbons conservation in Assam, India. Gibbon Journal 6:30–33.</w:t>
      </w:r>
      <w:r w:rsidR="009748E7" w:rsidRPr="009748E7">
        <w:t xml:space="preserve"> </w:t>
      </w:r>
      <w:hyperlink r:id="rId24" w:history="1">
        <w:r w:rsidR="009748E7" w:rsidRPr="009748E7">
          <w:rPr>
            <w:rStyle w:val="Hyperlink"/>
            <w:rFonts w:ascii="Arial" w:hAnsi="Arial" w:cs="Arial"/>
          </w:rPr>
          <w:t>https://www.gibbonconservation.org/07_journal/journal.html</w:t>
        </w:r>
      </w:hyperlink>
      <w:r w:rsidR="009748E7" w:rsidRPr="009748E7">
        <w:rPr>
          <w:rFonts w:ascii="Arial" w:hAnsi="Arial" w:cs="Arial"/>
        </w:rPr>
        <w:t xml:space="preserve"> </w:t>
      </w:r>
    </w:p>
    <w:p w14:paraId="2E6966D1" w14:textId="2D255C15"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Deb M, Roychoudhury S, Bhattacharjee PC, Sharma I, Nautiyal S, Sláma P. 2019. Distribution of Western Hoolock Gibbons and nutritional status of food plants in Cachar District of Assam, India: Reaching out to local communities for conservation. Acta Universitatis </w:t>
      </w:r>
      <w:proofErr w:type="spellStart"/>
      <w:r w:rsidRPr="009748E7">
        <w:rPr>
          <w:rFonts w:ascii="Arial" w:hAnsi="Arial" w:cs="Arial"/>
        </w:rPr>
        <w:t>Agriculturae</w:t>
      </w:r>
      <w:proofErr w:type="spellEnd"/>
      <w:r w:rsidRPr="009748E7">
        <w:rPr>
          <w:rFonts w:ascii="Arial" w:hAnsi="Arial" w:cs="Arial"/>
        </w:rPr>
        <w:t xml:space="preserve"> et </w:t>
      </w:r>
      <w:proofErr w:type="spellStart"/>
      <w:r w:rsidRPr="009748E7">
        <w:rPr>
          <w:rFonts w:ascii="Arial" w:hAnsi="Arial" w:cs="Arial"/>
        </w:rPr>
        <w:t>Silviculturae</w:t>
      </w:r>
      <w:proofErr w:type="spellEnd"/>
      <w:r w:rsidRPr="009748E7">
        <w:rPr>
          <w:rFonts w:ascii="Arial" w:hAnsi="Arial" w:cs="Arial"/>
        </w:rPr>
        <w:t xml:space="preserve"> </w:t>
      </w:r>
      <w:proofErr w:type="spellStart"/>
      <w:r w:rsidRPr="009748E7">
        <w:rPr>
          <w:rFonts w:ascii="Arial" w:hAnsi="Arial" w:cs="Arial"/>
        </w:rPr>
        <w:t>Mendelianae</w:t>
      </w:r>
      <w:proofErr w:type="spellEnd"/>
      <w:r w:rsidRPr="009748E7">
        <w:rPr>
          <w:rFonts w:ascii="Arial" w:hAnsi="Arial" w:cs="Arial"/>
        </w:rPr>
        <w:t xml:space="preserve"> </w:t>
      </w:r>
      <w:proofErr w:type="spellStart"/>
      <w:r w:rsidRPr="009748E7">
        <w:rPr>
          <w:rFonts w:ascii="Arial" w:hAnsi="Arial" w:cs="Arial"/>
        </w:rPr>
        <w:t>Brunensis</w:t>
      </w:r>
      <w:proofErr w:type="spellEnd"/>
      <w:r w:rsidRPr="009748E7">
        <w:rPr>
          <w:rFonts w:ascii="Arial" w:hAnsi="Arial" w:cs="Arial"/>
        </w:rPr>
        <w:t xml:space="preserve"> 67(1):227–239.</w:t>
      </w:r>
      <w:r w:rsidR="009748E7" w:rsidRPr="009748E7">
        <w:t xml:space="preserve"> </w:t>
      </w:r>
      <w:hyperlink r:id="rId25" w:history="1">
        <w:r w:rsidR="009748E7" w:rsidRPr="009748E7">
          <w:rPr>
            <w:rStyle w:val="Hyperlink"/>
            <w:rFonts w:ascii="Arial" w:hAnsi="Arial" w:cs="Arial"/>
          </w:rPr>
          <w:t>https://doi.org/10.11118/actaun201967010025</w:t>
        </w:r>
      </w:hyperlink>
      <w:r w:rsidR="009748E7" w:rsidRPr="009748E7">
        <w:rPr>
          <w:rFonts w:ascii="Arial" w:hAnsi="Arial" w:cs="Arial"/>
        </w:rPr>
        <w:t xml:space="preserve"> </w:t>
      </w:r>
    </w:p>
    <w:p w14:paraId="1C9A2875" w14:textId="1B36577B" w:rsidR="00503924" w:rsidRPr="009748E7" w:rsidRDefault="00503924" w:rsidP="009748E7">
      <w:pPr>
        <w:spacing w:before="100" w:beforeAutospacing="1" w:after="100" w:afterAutospacing="1"/>
        <w:jc w:val="both"/>
        <w:rPr>
          <w:rFonts w:ascii="Arial" w:hAnsi="Arial" w:cs="Arial"/>
          <w:lang w:val="fr-FR"/>
        </w:rPr>
      </w:pPr>
      <w:r w:rsidRPr="009748E7">
        <w:rPr>
          <w:rFonts w:ascii="Arial" w:hAnsi="Arial" w:cs="Arial"/>
        </w:rPr>
        <w:t xml:space="preserve">Fan PF, Ai HS. 2011. Conservation status of the eastern hoolock gibbon (Hoolock </w:t>
      </w:r>
      <w:proofErr w:type="spellStart"/>
      <w:r w:rsidRPr="009748E7">
        <w:rPr>
          <w:rFonts w:ascii="Arial" w:hAnsi="Arial" w:cs="Arial"/>
        </w:rPr>
        <w:t>leuconedys</w:t>
      </w:r>
      <w:proofErr w:type="spellEnd"/>
      <w:r w:rsidRPr="009748E7">
        <w:rPr>
          <w:rFonts w:ascii="Arial" w:hAnsi="Arial" w:cs="Arial"/>
        </w:rPr>
        <w:t xml:space="preserve">) in China. </w:t>
      </w:r>
      <w:r w:rsidRPr="009748E7">
        <w:rPr>
          <w:rFonts w:ascii="Arial" w:hAnsi="Arial" w:cs="Arial"/>
          <w:lang w:val="fr-FR"/>
        </w:rPr>
        <w:t xml:space="preserve">Gibbon Journal </w:t>
      </w:r>
      <w:proofErr w:type="gramStart"/>
      <w:r w:rsidRPr="009748E7">
        <w:rPr>
          <w:rFonts w:ascii="Arial" w:hAnsi="Arial" w:cs="Arial"/>
          <w:lang w:val="fr-FR"/>
        </w:rPr>
        <w:t>6:</w:t>
      </w:r>
      <w:proofErr w:type="gramEnd"/>
      <w:r w:rsidRPr="009748E7">
        <w:rPr>
          <w:rFonts w:ascii="Arial" w:hAnsi="Arial" w:cs="Arial"/>
          <w:lang w:val="fr-FR"/>
        </w:rPr>
        <w:t>22–25.</w:t>
      </w:r>
      <w:r w:rsidR="009748E7" w:rsidRPr="009748E7">
        <w:rPr>
          <w:lang w:val="fr-FR"/>
        </w:rPr>
        <w:t xml:space="preserve"> </w:t>
      </w:r>
      <w:hyperlink r:id="rId26" w:history="1">
        <w:r w:rsidR="009748E7" w:rsidRPr="009748E7">
          <w:rPr>
            <w:rStyle w:val="Hyperlink"/>
            <w:rFonts w:ascii="Arial" w:hAnsi="Arial" w:cs="Arial"/>
            <w:lang w:val="fr-FR"/>
          </w:rPr>
          <w:t>http://www.gibbonconservation.org/07_journal/gibbon_journal_6/Fan_&amp;_Ai_Conservation_status_of_the_eastern_hoolock_gibbon.pdf</w:t>
        </w:r>
      </w:hyperlink>
      <w:r w:rsidR="009748E7" w:rsidRPr="009748E7">
        <w:rPr>
          <w:rFonts w:ascii="Arial" w:hAnsi="Arial" w:cs="Arial"/>
          <w:lang w:val="fr-FR"/>
        </w:rPr>
        <w:t xml:space="preserve"> </w:t>
      </w:r>
    </w:p>
    <w:p w14:paraId="610EE3BF" w14:textId="77777777"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lang w:val="fr-FR"/>
        </w:rPr>
        <w:t xml:space="preserve">Fan PF, Ni QY, Sun GZ, Huang B, Jiang XL. 2009. </w:t>
      </w:r>
      <w:r w:rsidRPr="009748E7">
        <w:rPr>
          <w:rFonts w:ascii="Arial" w:hAnsi="Arial" w:cs="Arial"/>
        </w:rPr>
        <w:t>Seasonal variation of diet and food availability in a group of Hainan gibbons (</w:t>
      </w:r>
      <w:proofErr w:type="spellStart"/>
      <w:r w:rsidRPr="009748E7">
        <w:rPr>
          <w:rFonts w:ascii="Arial" w:hAnsi="Arial" w:cs="Arial"/>
        </w:rPr>
        <w:t>Nomascus</w:t>
      </w:r>
      <w:proofErr w:type="spellEnd"/>
      <w:r w:rsidRPr="009748E7">
        <w:rPr>
          <w:rFonts w:ascii="Arial" w:hAnsi="Arial" w:cs="Arial"/>
        </w:rPr>
        <w:t xml:space="preserve"> </w:t>
      </w:r>
      <w:proofErr w:type="spellStart"/>
      <w:r w:rsidRPr="009748E7">
        <w:rPr>
          <w:rFonts w:ascii="Arial" w:hAnsi="Arial" w:cs="Arial"/>
        </w:rPr>
        <w:t>hainanus</w:t>
      </w:r>
      <w:proofErr w:type="spellEnd"/>
      <w:proofErr w:type="gramStart"/>
      <w:r w:rsidRPr="009748E7">
        <w:rPr>
          <w:rFonts w:ascii="Arial" w:hAnsi="Arial" w:cs="Arial"/>
        </w:rPr>
        <w:t>):</w:t>
      </w:r>
      <w:proofErr w:type="gramEnd"/>
      <w:r w:rsidRPr="009748E7">
        <w:rPr>
          <w:rFonts w:ascii="Arial" w:hAnsi="Arial" w:cs="Arial"/>
        </w:rPr>
        <w:t xml:space="preserve"> Implications for conservation. American Journal of Primatology 71(6):533–541.</w:t>
      </w:r>
    </w:p>
    <w:p w14:paraId="13440F06" w14:textId="1406DD87"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Gupta AK, Sharma AN. 2013. Feeding ecology and ranging pattern of Western Hoolock Gibbon (Hoolock hoolock) in West Garo Hills, Meghalaya, India. Journal of Threatened Taxa 5(11):4630–4637. </w:t>
      </w:r>
      <w:hyperlink r:id="rId27" w:history="1">
        <w:r w:rsidR="009748E7" w:rsidRPr="009748E7">
          <w:rPr>
            <w:rStyle w:val="Hyperlink"/>
            <w:rFonts w:ascii="Arial" w:hAnsi="Arial" w:cs="Arial"/>
          </w:rPr>
          <w:t>https://doi.org/10.11609/JoTT.o3440.4630-37</w:t>
        </w:r>
      </w:hyperlink>
      <w:r w:rsidR="009748E7" w:rsidRPr="009748E7">
        <w:rPr>
          <w:rFonts w:ascii="Arial" w:hAnsi="Arial" w:cs="Arial"/>
        </w:rPr>
        <w:t xml:space="preserve"> </w:t>
      </w:r>
    </w:p>
    <w:p w14:paraId="35011D97" w14:textId="03C5D86C"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Gupta AK, Sharma N, Dasgupta S, Chakraborty D, Hazarika R. 2005. Conservation of hoolock gibbon (</w:t>
      </w:r>
      <w:proofErr w:type="spellStart"/>
      <w:r w:rsidRPr="009748E7">
        <w:rPr>
          <w:rFonts w:ascii="Arial" w:hAnsi="Arial" w:cs="Arial"/>
        </w:rPr>
        <w:t>Bunopithecus</w:t>
      </w:r>
      <w:proofErr w:type="spellEnd"/>
      <w:r w:rsidRPr="009748E7">
        <w:rPr>
          <w:rFonts w:ascii="Arial" w:hAnsi="Arial" w:cs="Arial"/>
        </w:rPr>
        <w:t xml:space="preserve"> hoolock) in Northeast India. Dehradun: Wildlife Institute of India and United States Fish and Wildlife Service.</w:t>
      </w:r>
      <w:r w:rsidR="009748E7" w:rsidRPr="009748E7">
        <w:t xml:space="preserve"> </w:t>
      </w:r>
      <w:hyperlink r:id="rId28" w:history="1">
        <w:r w:rsidR="009748E7" w:rsidRPr="009748E7">
          <w:rPr>
            <w:rStyle w:val="Hyperlink"/>
            <w:rFonts w:ascii="Arial" w:hAnsi="Arial" w:cs="Arial"/>
          </w:rPr>
          <w:t>https://wii.gov.in/research_reports?id=10</w:t>
        </w:r>
      </w:hyperlink>
      <w:r w:rsidR="009748E7" w:rsidRPr="009748E7">
        <w:rPr>
          <w:rFonts w:ascii="Arial" w:hAnsi="Arial" w:cs="Arial"/>
        </w:rPr>
        <w:t xml:space="preserve"> </w:t>
      </w:r>
    </w:p>
    <w:p w14:paraId="06D8FD7B" w14:textId="5B73B03B"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Islam MA, </w:t>
      </w:r>
      <w:proofErr w:type="spellStart"/>
      <w:r w:rsidRPr="009748E7">
        <w:rPr>
          <w:rFonts w:ascii="Arial" w:hAnsi="Arial" w:cs="Arial"/>
        </w:rPr>
        <w:t>Feeroz</w:t>
      </w:r>
      <w:proofErr w:type="spellEnd"/>
      <w:r w:rsidRPr="009748E7">
        <w:rPr>
          <w:rFonts w:ascii="Arial" w:hAnsi="Arial" w:cs="Arial"/>
        </w:rPr>
        <w:t xml:space="preserve"> MM. 1992. Ecology of hoolock gibbon of Bangladesh. Primates 33(4):451–464.</w:t>
      </w:r>
      <w:r w:rsidR="009748E7" w:rsidRPr="009748E7">
        <w:t xml:space="preserve"> </w:t>
      </w:r>
      <w:hyperlink r:id="rId29" w:history="1">
        <w:r w:rsidR="009748E7" w:rsidRPr="009748E7">
          <w:rPr>
            <w:rStyle w:val="Hyperlink"/>
            <w:rFonts w:ascii="Arial" w:hAnsi="Arial" w:cs="Arial"/>
          </w:rPr>
          <w:t>https://doi.org/10.1007/BF02381149</w:t>
        </w:r>
      </w:hyperlink>
      <w:r w:rsidR="009748E7" w:rsidRPr="009748E7">
        <w:rPr>
          <w:rFonts w:ascii="Arial" w:hAnsi="Arial" w:cs="Arial"/>
        </w:rPr>
        <w:t xml:space="preserve"> </w:t>
      </w:r>
    </w:p>
    <w:p w14:paraId="4D810012" w14:textId="77777777"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Kumar RS, Solanki GS, Sharma BK. 2013. Feeding ecology and ranging pattern of the Hoolock Gibbon (Hoolock hoolock) in Arunachal Pradesh, India. Asian Primates Journal 3(1):20–31.</w:t>
      </w:r>
    </w:p>
    <w:p w14:paraId="68EC88B4" w14:textId="6981E663" w:rsidR="00503924" w:rsidRPr="009748E7" w:rsidRDefault="00503924" w:rsidP="009748E7">
      <w:pPr>
        <w:spacing w:before="100" w:beforeAutospacing="1" w:after="100" w:afterAutospacing="1"/>
        <w:jc w:val="both"/>
        <w:rPr>
          <w:rFonts w:ascii="Arial" w:hAnsi="Arial" w:cs="Arial"/>
        </w:rPr>
      </w:pPr>
      <w:proofErr w:type="spellStart"/>
      <w:r w:rsidRPr="009748E7">
        <w:rPr>
          <w:rFonts w:ascii="Arial" w:hAnsi="Arial" w:cs="Arial"/>
        </w:rPr>
        <w:t>Muoria</w:t>
      </w:r>
      <w:proofErr w:type="spellEnd"/>
      <w:r w:rsidRPr="009748E7">
        <w:rPr>
          <w:rFonts w:ascii="Arial" w:hAnsi="Arial" w:cs="Arial"/>
        </w:rPr>
        <w:t xml:space="preserve"> PK, </w:t>
      </w:r>
      <w:proofErr w:type="spellStart"/>
      <w:r w:rsidRPr="009748E7">
        <w:rPr>
          <w:rFonts w:ascii="Arial" w:hAnsi="Arial" w:cs="Arial"/>
        </w:rPr>
        <w:t>Karere</w:t>
      </w:r>
      <w:proofErr w:type="spellEnd"/>
      <w:r w:rsidRPr="009748E7">
        <w:rPr>
          <w:rFonts w:ascii="Arial" w:hAnsi="Arial" w:cs="Arial"/>
        </w:rPr>
        <w:t xml:space="preserve"> GM, Saj TL. 2003. Primate census and habitat evaluation in the Tana River Primate National Reserve, Kenya. African Journal of Ecology 41(2):157–163. </w:t>
      </w:r>
      <w:hyperlink r:id="rId30" w:history="1">
        <w:r w:rsidR="009748E7" w:rsidRPr="009748E7">
          <w:rPr>
            <w:rStyle w:val="Hyperlink"/>
            <w:rFonts w:ascii="Arial" w:hAnsi="Arial" w:cs="Arial"/>
          </w:rPr>
          <w:t>https://doi.org/10.1046/j.1365-2028.2003.00411.x</w:t>
        </w:r>
      </w:hyperlink>
      <w:r w:rsidR="009748E7" w:rsidRPr="009748E7">
        <w:rPr>
          <w:rFonts w:ascii="Arial" w:hAnsi="Arial" w:cs="Arial"/>
        </w:rPr>
        <w:t xml:space="preserve"> </w:t>
      </w:r>
    </w:p>
    <w:p w14:paraId="55455D3F" w14:textId="40898C27"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Neha SA, Khatun UH, Ul Hasan MA. 2021. Resource partitioning and niche overlap between hoolock gibbon (Hoolock hoolock) and other frugivorous vertebrates in a tropical semi-evergreen forest. Primates 62(2):331–342.</w:t>
      </w:r>
      <w:r w:rsidR="009748E7" w:rsidRPr="009748E7">
        <w:t xml:space="preserve"> </w:t>
      </w:r>
      <w:hyperlink r:id="rId31" w:history="1">
        <w:r w:rsidR="009748E7" w:rsidRPr="009748E7">
          <w:rPr>
            <w:rStyle w:val="Hyperlink"/>
            <w:rFonts w:ascii="Arial" w:hAnsi="Arial" w:cs="Arial"/>
          </w:rPr>
          <w:t>https://doi.org/10.1007/s10329-021-00888-9</w:t>
        </w:r>
      </w:hyperlink>
      <w:r w:rsidR="009748E7" w:rsidRPr="009748E7">
        <w:rPr>
          <w:rFonts w:ascii="Arial" w:hAnsi="Arial" w:cs="Arial"/>
        </w:rPr>
        <w:t xml:space="preserve"> </w:t>
      </w:r>
    </w:p>
    <w:p w14:paraId="61171D64" w14:textId="444C7768"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Newton-Fisher NE. 1999. The diet of chimpanzees in the </w:t>
      </w:r>
      <w:proofErr w:type="spellStart"/>
      <w:r w:rsidRPr="009748E7">
        <w:rPr>
          <w:rFonts w:ascii="Arial" w:hAnsi="Arial" w:cs="Arial"/>
        </w:rPr>
        <w:t>Budongo</w:t>
      </w:r>
      <w:proofErr w:type="spellEnd"/>
      <w:r w:rsidRPr="009748E7">
        <w:rPr>
          <w:rFonts w:ascii="Arial" w:hAnsi="Arial" w:cs="Arial"/>
        </w:rPr>
        <w:t xml:space="preserve"> Forest Reserve, Uganda. African Journal of Ecology 37(3):344–354.</w:t>
      </w:r>
      <w:r w:rsidR="009748E7" w:rsidRPr="009748E7">
        <w:t xml:space="preserve"> </w:t>
      </w:r>
      <w:hyperlink r:id="rId32" w:history="1">
        <w:r w:rsidR="009748E7" w:rsidRPr="009748E7">
          <w:rPr>
            <w:rStyle w:val="Hyperlink"/>
            <w:rFonts w:ascii="Arial" w:hAnsi="Arial" w:cs="Arial"/>
          </w:rPr>
          <w:t>https://doi.org/10.1046/j.1365-2028.1999.00186.x</w:t>
        </w:r>
      </w:hyperlink>
      <w:r w:rsidR="009748E7" w:rsidRPr="009748E7">
        <w:rPr>
          <w:rFonts w:ascii="Arial" w:hAnsi="Arial" w:cs="Arial"/>
        </w:rPr>
        <w:t xml:space="preserve"> </w:t>
      </w:r>
    </w:p>
    <w:p w14:paraId="4ECF678F" w14:textId="5B010F6A"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Onderdonk DA, Chapman CA. 2000. Coping with forest fragmentation: The primates of Kibale National Park, Uganda. International Journal of Primatology 21(4):587–611. </w:t>
      </w:r>
      <w:hyperlink r:id="rId33" w:history="1">
        <w:r w:rsidR="009748E7" w:rsidRPr="009748E7">
          <w:rPr>
            <w:rStyle w:val="Hyperlink"/>
            <w:rFonts w:ascii="Arial" w:hAnsi="Arial" w:cs="Arial"/>
          </w:rPr>
          <w:t>https://doi.org/10.1023/A:1005509119693</w:t>
        </w:r>
      </w:hyperlink>
      <w:r w:rsidR="009748E7" w:rsidRPr="009748E7">
        <w:rPr>
          <w:rFonts w:ascii="Arial" w:hAnsi="Arial" w:cs="Arial"/>
        </w:rPr>
        <w:t xml:space="preserve"> </w:t>
      </w:r>
    </w:p>
    <w:p w14:paraId="05C4B7D0" w14:textId="77777777" w:rsidR="00503924" w:rsidRPr="009748E7" w:rsidRDefault="00503924" w:rsidP="009748E7">
      <w:pPr>
        <w:spacing w:before="100" w:beforeAutospacing="1" w:after="100" w:afterAutospacing="1"/>
        <w:jc w:val="both"/>
        <w:rPr>
          <w:rFonts w:ascii="Arial" w:hAnsi="Arial" w:cs="Arial"/>
        </w:rPr>
      </w:pPr>
      <w:r w:rsidRPr="009748E7">
        <w:rPr>
          <w:rFonts w:ascii="Arial" w:hAnsi="Arial" w:cs="Arial"/>
        </w:rPr>
        <w:t xml:space="preserve">Sarma HK, Kumar A. 2020. Seasonal variation in diet and activity of Western Hoolock Gibbon (Hoolock hoolock) in fragmented forests of Assam, India. Primates 61(1):65–77. </w:t>
      </w:r>
    </w:p>
    <w:p w14:paraId="66CC5863" w14:textId="77777777" w:rsidR="00503924" w:rsidRPr="00503924" w:rsidRDefault="00503924" w:rsidP="00503924">
      <w:pPr>
        <w:spacing w:after="200" w:line="276" w:lineRule="auto"/>
        <w:jc w:val="both"/>
        <w:rPr>
          <w:rFonts w:ascii="Arial" w:eastAsia="Calibri" w:hAnsi="Arial" w:cs="Arial"/>
        </w:rPr>
      </w:pPr>
    </w:p>
    <w:p w14:paraId="4867C626" w14:textId="77777777" w:rsidR="00503924" w:rsidRPr="00503924" w:rsidRDefault="00503924" w:rsidP="00503924">
      <w:pPr>
        <w:spacing w:after="200" w:line="276" w:lineRule="auto"/>
        <w:jc w:val="both"/>
        <w:rPr>
          <w:rFonts w:ascii="Arial" w:eastAsia="Calibri" w:hAnsi="Arial" w:cs="Arial"/>
        </w:rPr>
      </w:pPr>
    </w:p>
    <w:p w14:paraId="50298721" w14:textId="77777777" w:rsidR="00503924" w:rsidRPr="00503924" w:rsidRDefault="00503924" w:rsidP="00503924">
      <w:pPr>
        <w:spacing w:after="200" w:line="276" w:lineRule="auto"/>
        <w:rPr>
          <w:rFonts w:ascii="Arial" w:eastAsia="Calibri" w:hAnsi="Arial" w:cs="Arial"/>
        </w:rPr>
      </w:pPr>
    </w:p>
    <w:p w14:paraId="6431E955" w14:textId="77777777" w:rsidR="00B01FCD" w:rsidRPr="00503924" w:rsidRDefault="00B01FCD" w:rsidP="00441B6F">
      <w:pPr>
        <w:pStyle w:val="Appendix"/>
        <w:spacing w:after="0"/>
        <w:jc w:val="both"/>
        <w:rPr>
          <w:rFonts w:ascii="Arial" w:hAnsi="Arial" w:cs="Arial"/>
          <w:b w:val="0"/>
          <w:sz w:val="20"/>
        </w:rPr>
      </w:pPr>
    </w:p>
    <w:sectPr w:rsidR="00B01FCD" w:rsidRPr="00503924" w:rsidSect="0001337B">
      <w:headerReference w:type="even" r:id="rId34"/>
      <w:headerReference w:type="default" r:id="rId35"/>
      <w:footerReference w:type="default" r:id="rId36"/>
      <w:headerReference w:type="first" r:id="rId37"/>
      <w:type w:val="continuous"/>
      <w:pgSz w:w="12240" w:h="15840"/>
      <w:pgMar w:top="720" w:right="720" w:bottom="72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51AF5" w14:textId="77777777" w:rsidR="00870EA5" w:rsidRDefault="00870EA5" w:rsidP="00C37E61">
      <w:r>
        <w:separator/>
      </w:r>
    </w:p>
  </w:endnote>
  <w:endnote w:type="continuationSeparator" w:id="0">
    <w:p w14:paraId="118F3BEF" w14:textId="77777777" w:rsidR="00870EA5" w:rsidRDefault="00870E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0680" w14:textId="77777777" w:rsidR="0001337B" w:rsidRDefault="00013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F79E" w14:textId="77777777" w:rsidR="0001337B" w:rsidRDefault="00013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8BBE1" w14:textId="0AA3BD1D" w:rsidR="004B0370" w:rsidRPr="0001337B" w:rsidRDefault="004B0370" w:rsidP="000133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F493" w14:textId="77777777" w:rsidR="004B0370" w:rsidRPr="00C37E61" w:rsidRDefault="004B037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88B47" w14:textId="77777777" w:rsidR="00870EA5" w:rsidRDefault="00870EA5" w:rsidP="00C37E61">
      <w:r>
        <w:separator/>
      </w:r>
    </w:p>
  </w:footnote>
  <w:footnote w:type="continuationSeparator" w:id="0">
    <w:p w14:paraId="7B6B89D4" w14:textId="77777777" w:rsidR="00870EA5" w:rsidRDefault="00870E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9EA3" w14:textId="567467E4" w:rsidR="0001337B" w:rsidRDefault="0001337B">
    <w:pPr>
      <w:pStyle w:val="Header"/>
    </w:pPr>
    <w:r>
      <w:rPr>
        <w:noProof/>
      </w:rPr>
      <w:pict w14:anchorId="78EDD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4" o:spid="_x0000_s2050" type="#_x0000_t136" style="position:absolute;margin-left:0;margin-top:0;width:672.65pt;height:75.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A4A99" w14:textId="13B45DF8" w:rsidR="0001337B" w:rsidRDefault="0001337B">
    <w:pPr>
      <w:pStyle w:val="Header"/>
    </w:pPr>
    <w:r>
      <w:rPr>
        <w:noProof/>
      </w:rPr>
      <w:pict w14:anchorId="5892D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5" o:spid="_x0000_s2051" type="#_x0000_t136" style="position:absolute;margin-left:0;margin-top:0;width:672.65pt;height:75.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FA6C9" w14:textId="5F088802" w:rsidR="004B0370" w:rsidRPr="00296529" w:rsidRDefault="0001337B" w:rsidP="00296529">
    <w:pPr>
      <w:ind w:left="2160"/>
      <w:jc w:val="center"/>
      <w:rPr>
        <w:rFonts w:ascii="Times New Roman" w:eastAsia="Calibri" w:hAnsi="Times New Roman"/>
        <w:i/>
        <w:sz w:val="18"/>
        <w:szCs w:val="22"/>
      </w:rPr>
    </w:pPr>
    <w:r>
      <w:rPr>
        <w:noProof/>
      </w:rPr>
      <w:pict w14:anchorId="4FFAA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3" o:spid="_x0000_s2049" type="#_x0000_t136" style="position:absolute;left:0;text-align:left;margin-left:0;margin-top:0;width:672.65pt;height:75.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F9E2D76" w14:textId="77777777" w:rsidR="004B0370" w:rsidRPr="00296529" w:rsidRDefault="004B037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42C36F" w14:textId="77777777" w:rsidR="004B0370" w:rsidRPr="00296529" w:rsidRDefault="004B037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5062AD" w14:textId="77777777" w:rsidR="004B0370" w:rsidRPr="00296529" w:rsidRDefault="004B037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E64929" w14:textId="77777777" w:rsidR="004B0370" w:rsidRDefault="004B037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917A38" w14:textId="77777777" w:rsidR="004B0370" w:rsidRDefault="004B037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0A8565" w14:textId="77777777" w:rsidR="004B0370" w:rsidRDefault="004B037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9B3F7" w14:textId="68C47746" w:rsidR="0001337B" w:rsidRDefault="0001337B">
    <w:pPr>
      <w:pStyle w:val="Header"/>
    </w:pPr>
    <w:r>
      <w:rPr>
        <w:noProof/>
      </w:rPr>
      <w:pict w14:anchorId="1485B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7" o:spid="_x0000_s2053" type="#_x0000_t136" style="position:absolute;margin-left:0;margin-top:0;width:672.65pt;height:75.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A3CC" w14:textId="4B40A917" w:rsidR="0001337B" w:rsidRDefault="0001337B">
    <w:pPr>
      <w:pStyle w:val="Header"/>
    </w:pPr>
    <w:r>
      <w:rPr>
        <w:noProof/>
      </w:rPr>
      <w:pict w14:anchorId="12A7D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8" o:spid="_x0000_s2054" type="#_x0000_t136" style="position:absolute;margin-left:0;margin-top:0;width:672.65pt;height:75.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CB520" w14:textId="718F067C" w:rsidR="0001337B" w:rsidRDefault="0001337B">
    <w:pPr>
      <w:pStyle w:val="Header"/>
    </w:pPr>
    <w:r>
      <w:rPr>
        <w:noProof/>
      </w:rPr>
      <w:pict w14:anchorId="697CB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831956" o:spid="_x0000_s2052" type="#_x0000_t136" style="position:absolute;margin-left:0;margin-top:0;width:672.65pt;height:75.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05808"/>
    <w:multiLevelType w:val="hybridMultilevel"/>
    <w:tmpl w:val="FE7C7C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D97FD0"/>
    <w:multiLevelType w:val="multilevel"/>
    <w:tmpl w:val="355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337B"/>
    <w:rsid w:val="00030174"/>
    <w:rsid w:val="0004579C"/>
    <w:rsid w:val="000A47FA"/>
    <w:rsid w:val="000A65D3"/>
    <w:rsid w:val="000B1E33"/>
    <w:rsid w:val="000D689F"/>
    <w:rsid w:val="000E148E"/>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1C0D"/>
    <w:rsid w:val="0024282C"/>
    <w:rsid w:val="00243ABA"/>
    <w:rsid w:val="002460DC"/>
    <w:rsid w:val="00250985"/>
    <w:rsid w:val="002556F6"/>
    <w:rsid w:val="00283105"/>
    <w:rsid w:val="00284C4C"/>
    <w:rsid w:val="00287E68"/>
    <w:rsid w:val="00296529"/>
    <w:rsid w:val="002B27FB"/>
    <w:rsid w:val="002B685A"/>
    <w:rsid w:val="002B6929"/>
    <w:rsid w:val="002C57D2"/>
    <w:rsid w:val="002E0D56"/>
    <w:rsid w:val="00315186"/>
    <w:rsid w:val="0033343E"/>
    <w:rsid w:val="003512C2"/>
    <w:rsid w:val="00371FB6"/>
    <w:rsid w:val="003763C1"/>
    <w:rsid w:val="00376BBE"/>
    <w:rsid w:val="00385303"/>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370"/>
    <w:rsid w:val="004D305E"/>
    <w:rsid w:val="004D4277"/>
    <w:rsid w:val="004E0CE6"/>
    <w:rsid w:val="00502516"/>
    <w:rsid w:val="00503924"/>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1CA9"/>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0D42"/>
    <w:rsid w:val="00860000"/>
    <w:rsid w:val="00863BD3"/>
    <w:rsid w:val="008641ED"/>
    <w:rsid w:val="00866D66"/>
    <w:rsid w:val="008671C6"/>
    <w:rsid w:val="00870EA5"/>
    <w:rsid w:val="00875803"/>
    <w:rsid w:val="008B459E"/>
    <w:rsid w:val="008E13AE"/>
    <w:rsid w:val="008E1506"/>
    <w:rsid w:val="008E710C"/>
    <w:rsid w:val="008F69D6"/>
    <w:rsid w:val="00902823"/>
    <w:rsid w:val="00915CA6"/>
    <w:rsid w:val="00927834"/>
    <w:rsid w:val="00930571"/>
    <w:rsid w:val="009500A6"/>
    <w:rsid w:val="00957C18"/>
    <w:rsid w:val="009659BA"/>
    <w:rsid w:val="009748E7"/>
    <w:rsid w:val="00983040"/>
    <w:rsid w:val="009B3FB9"/>
    <w:rsid w:val="009C2465"/>
    <w:rsid w:val="009D35A0"/>
    <w:rsid w:val="009D7EB7"/>
    <w:rsid w:val="009E048A"/>
    <w:rsid w:val="009E08E9"/>
    <w:rsid w:val="009E3DB9"/>
    <w:rsid w:val="009E6E35"/>
    <w:rsid w:val="009F0EDA"/>
    <w:rsid w:val="009F6106"/>
    <w:rsid w:val="00A00711"/>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0C86"/>
    <w:rsid w:val="00B52583"/>
    <w:rsid w:val="00B52896"/>
    <w:rsid w:val="00B95236"/>
    <w:rsid w:val="00B96BD9"/>
    <w:rsid w:val="00BA1B01"/>
    <w:rsid w:val="00BA2641"/>
    <w:rsid w:val="00BB2072"/>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6E44"/>
    <w:rsid w:val="00D173F1"/>
    <w:rsid w:val="00D6684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9F7D66"/>
  <w15:docId w15:val="{3AFE488F-9DBF-4E82-BB04-6EC5CE91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38530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385303"/>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3853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1">
    <w:name w:val="Light Shading Accent 1"/>
    <w:basedOn w:val="TableNormal"/>
    <w:uiPriority w:val="60"/>
    <w:rsid w:val="0038530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9748E7"/>
    <w:pPr>
      <w:ind w:left="720"/>
      <w:contextualSpacing/>
    </w:pPr>
  </w:style>
  <w:style w:type="character" w:styleId="UnresolvedMention">
    <w:name w:val="Unresolved Mention"/>
    <w:basedOn w:val="DefaultParagraphFont"/>
    <w:uiPriority w:val="99"/>
    <w:semiHidden/>
    <w:unhideWhenUsed/>
    <w:rsid w:val="0097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ptes.org/wp-content/uploads/2016/01/Hoolock-Gibbon-Action-Plan-2016.pdf" TargetMode="External"/><Relationship Id="rId26" Type="http://schemas.openxmlformats.org/officeDocument/2006/relationships/hyperlink" Target="http://www.gibbonconservation.org/07_journal/gibbon_journal_6/Fan_&amp;_Ai_Conservation_status_of_the_eastern_hoolock_gibbon.pdf" TargetMode="External"/><Relationship Id="rId39" Type="http://schemas.openxmlformats.org/officeDocument/2006/relationships/theme" Target="theme/theme1.xml"/><Relationship Id="rId21" Type="http://schemas.openxmlformats.org/officeDocument/2006/relationships/hyperlink" Target="https://doi.org/10.13140/RG.2.2.26187.52005"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63/156853974X00534" TargetMode="External"/><Relationship Id="rId25" Type="http://schemas.openxmlformats.org/officeDocument/2006/relationships/hyperlink" Target="https://doi.org/10.11118/actaun201967010025" TargetMode="External"/><Relationship Id="rId33" Type="http://schemas.openxmlformats.org/officeDocument/2006/relationships/hyperlink" Target="https://doi.org/10.1023/A:100550911969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www.researchgate.net/publication/285640000_Methods_of_surveying_and_sampling_forest_primate_populations" TargetMode="External"/><Relationship Id="rId29" Type="http://schemas.openxmlformats.org/officeDocument/2006/relationships/hyperlink" Target="https://doi.org/10.1007/BF023811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ibbonconservation.org/07_journal/journal.html" TargetMode="External"/><Relationship Id="rId32" Type="http://schemas.openxmlformats.org/officeDocument/2006/relationships/hyperlink" Target="https://doi.org/10.1046/j.1365-2028.1999.00186.x"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07/s10329-021-00967-x" TargetMode="External"/><Relationship Id="rId28" Type="http://schemas.openxmlformats.org/officeDocument/2006/relationships/hyperlink" Target="https://wii.gov.in/research_reports?id=10"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07/s10329-017-0627-6" TargetMode="External"/><Relationship Id="rId31" Type="http://schemas.openxmlformats.org/officeDocument/2006/relationships/hyperlink" Target="https://doi.org/10.1007/s10329-021-00888-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896/0898-6207.20.1.79" TargetMode="External"/><Relationship Id="rId27" Type="http://schemas.openxmlformats.org/officeDocument/2006/relationships/hyperlink" Target="https://doi.org/10.11609/JoTT.o3440.4630-37" TargetMode="External"/><Relationship Id="rId30" Type="http://schemas.openxmlformats.org/officeDocument/2006/relationships/hyperlink" Target="https://doi.org/10.1046/j.1365-2028.2003.00411.x"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mn-lt"/>
              </a:defRPr>
            </a:pPr>
            <a:r>
              <a:rPr lang="en-US" sz="1200" b="1" i="0" u="none" strike="noStrike" baseline="0">
                <a:latin typeface="+mn-lt"/>
                <a:cs typeface="Times New Roman" pitchFamily="18" charset="0"/>
              </a:rPr>
              <a:t>Distribution of Food Plant Species Across Vegetation Types</a:t>
            </a:r>
            <a:endParaRPr lang="en-US" sz="1200">
              <a:latin typeface="+mn-lt"/>
              <a:cs typeface="Times New Roman" pitchFamily="18" charset="0"/>
            </a:endParaRPr>
          </a:p>
        </c:rich>
      </c:tx>
      <c:overlay val="0"/>
    </c:title>
    <c:autoTitleDeleted val="0"/>
    <c:plotArea>
      <c:layout/>
      <c:pieChart>
        <c:varyColors val="1"/>
        <c:ser>
          <c:idx val="0"/>
          <c:order val="0"/>
          <c:tx>
            <c:strRef>
              <c:f>Sheet1!$G$33</c:f>
              <c:strCache>
                <c:ptCount val="1"/>
                <c:pt idx="0">
                  <c:v>% of Total</c:v>
                </c:pt>
              </c:strCache>
            </c:strRef>
          </c:tx>
          <c:dLbls>
            <c:spPr>
              <a:noFill/>
              <a:ln>
                <a:noFill/>
              </a:ln>
              <a:effectLst/>
            </c:spPr>
            <c:txPr>
              <a:bodyPr/>
              <a:lstStyle/>
              <a:p>
                <a:pPr>
                  <a:defRPr>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Sheet1!$F$34:$F$37</c:f>
              <c:strCache>
                <c:ptCount val="4"/>
                <c:pt idx="0">
                  <c:v>Semi-Evergreen</c:v>
                </c:pt>
                <c:pt idx="1">
                  <c:v>Moist Deciduous</c:v>
                </c:pt>
                <c:pt idx="2">
                  <c:v>Evergreen</c:v>
                </c:pt>
                <c:pt idx="3">
                  <c:v>Deciduous</c:v>
                </c:pt>
              </c:strCache>
            </c:strRef>
          </c:cat>
          <c:val>
            <c:numRef>
              <c:f>Sheet1!$G$34:$G$37</c:f>
              <c:numCache>
                <c:formatCode>0.00%</c:formatCode>
                <c:ptCount val="4"/>
                <c:pt idx="0">
                  <c:v>0.35289999999999999</c:v>
                </c:pt>
                <c:pt idx="1">
                  <c:v>0.29409999999999997</c:v>
                </c:pt>
                <c:pt idx="2">
                  <c:v>0.17649999999999999</c:v>
                </c:pt>
                <c:pt idx="3">
                  <c:v>0.17649999999999999</c:v>
                </c:pt>
              </c:numCache>
            </c:numRef>
          </c:val>
          <c:extLst>
            <c:ext xmlns:c16="http://schemas.microsoft.com/office/drawing/2014/chart" uri="{C3380CC4-5D6E-409C-BE32-E72D297353CC}">
              <c16:uniqueId val="{00000000-0083-49AA-8B83-D5566A73ED13}"/>
            </c:ext>
          </c:extLst>
        </c:ser>
        <c:dLbls>
          <c:showLegendKey val="0"/>
          <c:showVal val="0"/>
          <c:showCatName val="0"/>
          <c:showSerName val="0"/>
          <c:showPercent val="1"/>
          <c:showBubbleSize val="0"/>
          <c:showLeaderLines val="1"/>
        </c:dLbls>
        <c:firstSliceAng val="0"/>
      </c:pieChart>
    </c:plotArea>
    <c:legend>
      <c:legendPos val="r"/>
      <c:overlay val="0"/>
      <c:txPr>
        <a:bodyPr/>
        <a:lstStyle/>
        <a:p>
          <a:pPr>
            <a:defRPr>
              <a:latin typeface="+mn-lt"/>
              <a:cs typeface="Times New Roman" pitchFamily="18" charset="0"/>
            </a:defRPr>
          </a:pPr>
          <a:endParaRPr lang="en-US"/>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a:lstStyle/>
          <a:p>
            <a:pPr>
              <a:defRPr>
                <a:latin typeface="+mn-lt"/>
              </a:defRPr>
            </a:pPr>
            <a:r>
              <a:rPr lang="en-US" sz="1200" b="1" i="0" u="none" strike="noStrike" baseline="0">
                <a:effectLst/>
                <a:latin typeface="+mn-lt"/>
                <a:cs typeface="Times New Roman" pitchFamily="18" charset="0"/>
              </a:rPr>
              <a:t>Height-Wise Distribution of Food Plant Species </a:t>
            </a:r>
            <a:endParaRPr lang="en-US" sz="1200">
              <a:latin typeface="+mn-lt"/>
              <a:cs typeface="Times New Roman" pitchFamily="18" charset="0"/>
            </a:endParaRPr>
          </a:p>
        </c:rich>
      </c:tx>
      <c:overlay val="0"/>
    </c:title>
    <c:autoTitleDeleted val="0"/>
    <c:plotArea>
      <c:layout/>
      <c:lineChart>
        <c:grouping val="standard"/>
        <c:varyColors val="0"/>
        <c:ser>
          <c:idx val="0"/>
          <c:order val="0"/>
          <c:tx>
            <c:strRef>
              <c:f>Sheet1!$F$97</c:f>
              <c:strCache>
                <c:ptCount val="1"/>
                <c:pt idx="0">
                  <c:v>Count</c:v>
                </c:pt>
              </c:strCache>
            </c:strRef>
          </c:tx>
          <c:marker>
            <c:symbol val="none"/>
          </c:marker>
          <c:cat>
            <c:strRef>
              <c:f>Sheet1!$E$98:$E$102</c:f>
              <c:strCache>
                <c:ptCount val="5"/>
                <c:pt idx="0">
                  <c:v>5.0–12.9</c:v>
                </c:pt>
                <c:pt idx="1">
                  <c:v>13.0–20.9</c:v>
                </c:pt>
                <c:pt idx="2">
                  <c:v>21.0–28.9</c:v>
                </c:pt>
                <c:pt idx="3">
                  <c:v>29.0–36.9</c:v>
                </c:pt>
                <c:pt idx="4">
                  <c:v>37.0–45.9</c:v>
                </c:pt>
              </c:strCache>
            </c:strRef>
          </c:cat>
          <c:val>
            <c:numRef>
              <c:f>Sheet1!$F$98:$F$102</c:f>
              <c:numCache>
                <c:formatCode>General</c:formatCode>
                <c:ptCount val="5"/>
                <c:pt idx="0">
                  <c:v>1</c:v>
                </c:pt>
                <c:pt idx="1">
                  <c:v>6</c:v>
                </c:pt>
                <c:pt idx="2">
                  <c:v>13</c:v>
                </c:pt>
                <c:pt idx="3">
                  <c:v>7</c:v>
                </c:pt>
                <c:pt idx="4">
                  <c:v>7</c:v>
                </c:pt>
              </c:numCache>
            </c:numRef>
          </c:val>
          <c:smooth val="0"/>
          <c:extLst>
            <c:ext xmlns:c16="http://schemas.microsoft.com/office/drawing/2014/chart" uri="{C3380CC4-5D6E-409C-BE32-E72D297353CC}">
              <c16:uniqueId val="{00000000-433F-4C2F-B613-4BF1F3470BC5}"/>
            </c:ext>
          </c:extLst>
        </c:ser>
        <c:dLbls>
          <c:showLegendKey val="0"/>
          <c:showVal val="0"/>
          <c:showCatName val="0"/>
          <c:showSerName val="0"/>
          <c:showPercent val="0"/>
          <c:showBubbleSize val="0"/>
        </c:dLbls>
        <c:hiLowLines/>
        <c:smooth val="0"/>
        <c:axId val="138785152"/>
        <c:axId val="138787072"/>
      </c:lineChart>
      <c:catAx>
        <c:axId val="138785152"/>
        <c:scaling>
          <c:orientation val="minMax"/>
        </c:scaling>
        <c:delete val="0"/>
        <c:axPos val="b"/>
        <c:title>
          <c:tx>
            <c:rich>
              <a:bodyPr/>
              <a:lstStyle/>
              <a:p>
                <a:pPr>
                  <a:defRPr>
                    <a:latin typeface="+mn-lt"/>
                    <a:cs typeface="Times New Roman" pitchFamily="18" charset="0"/>
                  </a:defRPr>
                </a:pPr>
                <a:r>
                  <a:rPr lang="en-US">
                    <a:latin typeface="+mn-lt"/>
                    <a:cs typeface="Times New Roman" pitchFamily="18" charset="0"/>
                  </a:rPr>
                  <a:t>Height</a:t>
                </a:r>
                <a:r>
                  <a:rPr lang="en-US" baseline="0">
                    <a:latin typeface="+mn-lt"/>
                    <a:cs typeface="Times New Roman" pitchFamily="18" charset="0"/>
                  </a:rPr>
                  <a:t> Range</a:t>
                </a:r>
                <a:endParaRPr lang="en-US">
                  <a:latin typeface="+mn-lt"/>
                  <a:cs typeface="Times New Roman" pitchFamily="18" charset="0"/>
                </a:endParaRPr>
              </a:p>
            </c:rich>
          </c:tx>
          <c:overlay val="0"/>
        </c:title>
        <c:numFmt formatCode="General" sourceLinked="0"/>
        <c:majorTickMark val="none"/>
        <c:minorTickMark val="none"/>
        <c:tickLblPos val="nextTo"/>
        <c:txPr>
          <a:bodyPr/>
          <a:lstStyle/>
          <a:p>
            <a:pPr>
              <a:defRPr>
                <a:latin typeface="+mn-lt"/>
                <a:cs typeface="Times New Roman" pitchFamily="18" charset="0"/>
              </a:defRPr>
            </a:pPr>
            <a:endParaRPr lang="en-US"/>
          </a:p>
        </c:txPr>
        <c:crossAx val="138787072"/>
        <c:crosses val="autoZero"/>
        <c:auto val="1"/>
        <c:lblAlgn val="ctr"/>
        <c:lblOffset val="100"/>
        <c:noMultiLvlLbl val="0"/>
      </c:catAx>
      <c:valAx>
        <c:axId val="138787072"/>
        <c:scaling>
          <c:orientation val="minMax"/>
        </c:scaling>
        <c:delete val="0"/>
        <c:axPos val="l"/>
        <c:majorGridlines/>
        <c:title>
          <c:tx>
            <c:rich>
              <a:bodyPr/>
              <a:lstStyle/>
              <a:p>
                <a:pPr>
                  <a:defRPr>
                    <a:latin typeface="+mn-lt"/>
                    <a:cs typeface="Times New Roman" pitchFamily="18" charset="0"/>
                  </a:defRPr>
                </a:pPr>
                <a:r>
                  <a:rPr lang="en-US">
                    <a:latin typeface="+mn-lt"/>
                    <a:cs typeface="Times New Roman" pitchFamily="18" charset="0"/>
                  </a:rPr>
                  <a:t>Species</a:t>
                </a:r>
                <a:r>
                  <a:rPr lang="en-US" baseline="0">
                    <a:latin typeface="+mn-lt"/>
                    <a:cs typeface="Times New Roman" pitchFamily="18" charset="0"/>
                  </a:rPr>
                  <a:t> Count</a:t>
                </a:r>
                <a:endParaRPr lang="en-US">
                  <a:latin typeface="+mn-lt"/>
                  <a:cs typeface="Times New Roman" pitchFamily="18" charset="0"/>
                </a:endParaRPr>
              </a:p>
            </c:rich>
          </c:tx>
          <c:overlay val="0"/>
        </c:title>
        <c:numFmt formatCode="General" sourceLinked="1"/>
        <c:majorTickMark val="out"/>
        <c:minorTickMark val="none"/>
        <c:tickLblPos val="nextTo"/>
        <c:crossAx val="138785152"/>
        <c:crosses val="autoZero"/>
        <c:crossBetween val="between"/>
      </c:valAx>
    </c:plotArea>
    <c:legend>
      <c:legendPos val="r"/>
      <c:overlay val="0"/>
      <c:txPr>
        <a:bodyPr/>
        <a:lstStyle/>
        <a:p>
          <a:pPr>
            <a:defRPr>
              <a:latin typeface="+mn-lt"/>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1216B-9296-49B6-8E9C-B4D0F008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47</TotalTime>
  <Pages>14</Pages>
  <Words>5405</Words>
  <Characters>30809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36142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2025-11-06T15:22:00Z</cp:lastPrinted>
  <dcterms:created xsi:type="dcterms:W3CDTF">2025-11-06T15:17:00Z</dcterms:created>
  <dcterms:modified xsi:type="dcterms:W3CDTF">2025-11-29T12:16:00Z</dcterms:modified>
</cp:coreProperties>
</file>