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E66BB" w14:textId="77777777" w:rsidR="00C42002" w:rsidRDefault="00241527">
      <w:pPr>
        <w:spacing w:line="360" w:lineRule="auto"/>
        <w:jc w:val="center"/>
        <w:rPr>
          <w:rFonts w:ascii="Times New Roman" w:eastAsia="Times New Roman" w:hAnsi="Times New Roman" w:cs="Times New Roman"/>
          <w:b/>
          <w:bCs/>
          <w:sz w:val="36"/>
          <w:szCs w:val="36"/>
          <w:highlight w:val="white"/>
        </w:rPr>
      </w:pPr>
      <w:r>
        <w:rPr>
          <w:rFonts w:ascii="Times New Roman" w:eastAsia="Times New Roman" w:hAnsi="Times New Roman" w:cs="Times New Roman"/>
          <w:b/>
          <w:bCs/>
          <w:sz w:val="36"/>
          <w:szCs w:val="36"/>
          <w:highlight w:val="white"/>
        </w:rPr>
        <w:t xml:space="preserve"> Nutritional Integrity Under Modern Processing: A Review of Nutrient Changes Across Foods Treated with Novel Technologies</w:t>
      </w:r>
    </w:p>
    <w:p w14:paraId="21F7BDD2" w14:textId="77777777" w:rsidR="00C42002" w:rsidRDefault="00C42002">
      <w:pPr>
        <w:spacing w:line="360" w:lineRule="auto"/>
        <w:jc w:val="center"/>
        <w:rPr>
          <w:rFonts w:ascii="Times New Roman" w:eastAsia="Times New Roman" w:hAnsi="Times New Roman" w:cs="Times New Roman"/>
          <w:b/>
          <w:bCs/>
          <w:sz w:val="36"/>
          <w:szCs w:val="36"/>
          <w:highlight w:val="white"/>
        </w:rPr>
      </w:pPr>
    </w:p>
    <w:p w14:paraId="3839E95F" w14:textId="77777777" w:rsidR="00C42002" w:rsidRDefault="00C42002">
      <w:pPr>
        <w:spacing w:line="360" w:lineRule="auto"/>
        <w:jc w:val="center"/>
        <w:rPr>
          <w:rFonts w:ascii="Times New Roman" w:eastAsia="Times New Roman" w:hAnsi="Times New Roman" w:cs="Times New Roman"/>
          <w:b/>
          <w:bCs/>
          <w:sz w:val="36"/>
          <w:szCs w:val="36"/>
          <w:highlight w:val="white"/>
        </w:rPr>
      </w:pPr>
    </w:p>
    <w:p w14:paraId="765D3214" w14:textId="77777777" w:rsidR="00C42002" w:rsidRDefault="00241527">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Abstract</w:t>
      </w:r>
    </w:p>
    <w:p w14:paraId="70572053"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recent years, the increasing demand for minimally processed, nutrient-dense foods </w:t>
      </w:r>
      <w:proofErr w:type="gramStart"/>
      <w:r>
        <w:rPr>
          <w:rFonts w:ascii="Times New Roman" w:eastAsia="Times New Roman" w:hAnsi="Times New Roman" w:cs="Times New Roman"/>
          <w:sz w:val="24"/>
          <w:szCs w:val="24"/>
          <w:highlight w:val="white"/>
        </w:rPr>
        <w:t>has</w:t>
      </w:r>
      <w:proofErr w:type="gramEnd"/>
      <w:r>
        <w:rPr>
          <w:rFonts w:ascii="Times New Roman" w:eastAsia="Times New Roman" w:hAnsi="Times New Roman" w:cs="Times New Roman"/>
          <w:sz w:val="24"/>
          <w:szCs w:val="24"/>
          <w:highlight w:val="white"/>
        </w:rPr>
        <w:t xml:space="preserve"> spurred the development of non-thermal food processing technologies, such as High-Pressure Processing (HPP), Pulsed Electric Field (PEF), and Cold Plasma. These technologies offer a promising alternative to traditional thermal methods, which often degrade vital nutrients like vitamins and antioxidants. This scoping review aims to synthesize existing research on the impact of these novel processing techniques on nutrient retention in various food types. We assessed the retention of key nutrients—vitamins, antioxidants, proteins, and bioactive compounds—across different food matrices and compared these findings to those observed under conventional thermal processing. Results suggest that non-thermal methods effectively preserve or enhance nutrient integrity, particularly in fruits, vegetables, and juices, while minimizing microbial contamination. However, nutrient retention varied significantly depending on processing parameters and food types, with protein-rich foods such as meats and dairy showing more mixed outcomes. Despite the promising results, challenges such as high operational costs, scalability issues, and varying regulatory standards remain significant barriers to widespread adoption. Future research should focus on optimizing process parameters, addressing consumer perception challenges, and exploring the application of these technologies across diverse food matrices. If these hurdles are overcome, non-thermal processing could revolutionize the food industry by offering safer, healthier, and more sustainable food options.</w:t>
      </w:r>
    </w:p>
    <w:p w14:paraId="5980021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Non-thermal processing, High-Pressure Processing, Pulsed Electric Field, Cold Plasma, nutrient retention, food safety, food technology, antioxidants.</w:t>
      </w:r>
    </w:p>
    <w:p w14:paraId="5D1888BE" w14:textId="77777777" w:rsidR="00C42002" w:rsidRDefault="0024152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lastRenderedPageBreak/>
        <w:t>Introduction</w:t>
      </w:r>
    </w:p>
    <w:p w14:paraId="1142BE1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Over the past decades, as global diets shift ever more towards processed and convenient foods, ensuring that such foods remain safe and nutritionally valuable has become a major challenge. Traditional thermal methods of preservation — such as pasteurization, canning or UHT — have long safeguarded food safety and extended shelf life. However, these same methods frequently degrade key nutrients, especially heat‑sensitive vitamins and functional compounds, thereby undermining the nutritional quality of many processed foods (Jadhav, </w:t>
      </w:r>
      <w:proofErr w:type="spellStart"/>
      <w:r>
        <w:rPr>
          <w:rFonts w:ascii="Times New Roman" w:eastAsia="Times New Roman" w:hAnsi="Times New Roman" w:cs="Times New Roman"/>
          <w:sz w:val="24"/>
          <w:szCs w:val="24"/>
          <w:highlight w:val="white"/>
        </w:rPr>
        <w:t>Annapure</w:t>
      </w:r>
      <w:proofErr w:type="spellEnd"/>
      <w:r>
        <w:rPr>
          <w:rFonts w:ascii="Times New Roman" w:eastAsia="Times New Roman" w:hAnsi="Times New Roman" w:cs="Times New Roman"/>
          <w:sz w:val="24"/>
          <w:szCs w:val="24"/>
          <w:highlight w:val="white"/>
        </w:rPr>
        <w:t xml:space="preserve">, &amp; Deshmukh, 2021; </w:t>
      </w:r>
      <w:proofErr w:type="spellStart"/>
      <w:r>
        <w:rPr>
          <w:rFonts w:ascii="Times New Roman" w:eastAsia="Times New Roman" w:hAnsi="Times New Roman" w:cs="Times New Roman"/>
          <w:sz w:val="24"/>
          <w:szCs w:val="24"/>
          <w:highlight w:val="white"/>
        </w:rPr>
        <w:t>Moyo</w:t>
      </w:r>
      <w:proofErr w:type="spellEnd"/>
      <w:r>
        <w:rPr>
          <w:rFonts w:ascii="Times New Roman" w:eastAsia="Times New Roman" w:hAnsi="Times New Roman" w:cs="Times New Roman"/>
          <w:sz w:val="24"/>
          <w:szCs w:val="24"/>
          <w:highlight w:val="white"/>
        </w:rPr>
        <w:t>, 2024; Jose et al., 2025).</w:t>
      </w:r>
    </w:p>
    <w:p w14:paraId="48831C65"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response to these drawbacks, food science has witnessed the emergence and rapid development of non‑thermal and “novel” processing technologies, aiming to reconcile safety, shelf life, and nutritional integrity. Among these, High‑Pressure Processing (HPP), Pulsed Electric Field (PEF), Cold Plasma Processing (or Plasma), and related methods are gaining traction. HPP — sometimes called “</w:t>
      </w:r>
      <w:proofErr w:type="spellStart"/>
      <w:r>
        <w:rPr>
          <w:rFonts w:ascii="Times New Roman" w:eastAsia="Times New Roman" w:hAnsi="Times New Roman" w:cs="Times New Roman"/>
          <w:sz w:val="24"/>
          <w:szCs w:val="24"/>
          <w:highlight w:val="white"/>
        </w:rPr>
        <w:t>pascalization</w:t>
      </w:r>
      <w:proofErr w:type="spellEnd"/>
      <w:r>
        <w:rPr>
          <w:rFonts w:ascii="Times New Roman" w:eastAsia="Times New Roman" w:hAnsi="Times New Roman" w:cs="Times New Roman"/>
          <w:sz w:val="24"/>
          <w:szCs w:val="24"/>
          <w:highlight w:val="white"/>
        </w:rPr>
        <w:t xml:space="preserve">” — </w:t>
      </w:r>
      <w:proofErr w:type="gramStart"/>
      <w:r>
        <w:rPr>
          <w:rFonts w:ascii="Times New Roman" w:eastAsia="Times New Roman" w:hAnsi="Times New Roman" w:cs="Times New Roman"/>
          <w:sz w:val="24"/>
          <w:szCs w:val="24"/>
          <w:highlight w:val="white"/>
        </w:rPr>
        <w:t>subjects</w:t>
      </w:r>
      <w:proofErr w:type="gramEnd"/>
      <w:r>
        <w:rPr>
          <w:rFonts w:ascii="Times New Roman" w:eastAsia="Times New Roman" w:hAnsi="Times New Roman" w:cs="Times New Roman"/>
          <w:sz w:val="24"/>
          <w:szCs w:val="24"/>
          <w:highlight w:val="white"/>
        </w:rPr>
        <w:t xml:space="preserve"> foods to hydrostatic pressures (often 100–600 MPa or more), inactivating microorganisms and enzymes without the deleterious heat that destroys sensitive nutrients (Balakrishna, </w:t>
      </w:r>
      <w:proofErr w:type="spellStart"/>
      <w:r>
        <w:rPr>
          <w:rFonts w:ascii="Times New Roman" w:eastAsia="Times New Roman" w:hAnsi="Times New Roman" w:cs="Times New Roman"/>
          <w:sz w:val="24"/>
          <w:szCs w:val="24"/>
          <w:highlight w:val="white"/>
        </w:rPr>
        <w:t>Wazed</w:t>
      </w:r>
      <w:proofErr w:type="spellEnd"/>
      <w:r>
        <w:rPr>
          <w:rFonts w:ascii="Times New Roman" w:eastAsia="Times New Roman" w:hAnsi="Times New Roman" w:cs="Times New Roman"/>
          <w:sz w:val="24"/>
          <w:szCs w:val="24"/>
          <w:highlight w:val="white"/>
        </w:rPr>
        <w:t>, &amp; Farid, 2020; Pérez-</w:t>
      </w:r>
      <w:proofErr w:type="spellStart"/>
      <w:r>
        <w:rPr>
          <w:rFonts w:ascii="Times New Roman" w:eastAsia="Times New Roman" w:hAnsi="Times New Roman" w:cs="Times New Roman"/>
          <w:sz w:val="24"/>
          <w:szCs w:val="24"/>
          <w:highlight w:val="white"/>
        </w:rPr>
        <w:t>Lamela</w:t>
      </w:r>
      <w:proofErr w:type="spellEnd"/>
      <w:r>
        <w:rPr>
          <w:rFonts w:ascii="Times New Roman" w:eastAsia="Times New Roman" w:hAnsi="Times New Roman" w:cs="Times New Roman"/>
          <w:sz w:val="24"/>
          <w:szCs w:val="24"/>
          <w:highlight w:val="white"/>
        </w:rPr>
        <w:t xml:space="preserve">, Franco, &amp; </w:t>
      </w:r>
      <w:proofErr w:type="spellStart"/>
      <w:r>
        <w:rPr>
          <w:rFonts w:ascii="Times New Roman" w:eastAsia="Times New Roman" w:hAnsi="Times New Roman" w:cs="Times New Roman"/>
          <w:sz w:val="24"/>
          <w:szCs w:val="24"/>
          <w:highlight w:val="white"/>
        </w:rPr>
        <w:t>Falqué</w:t>
      </w:r>
      <w:proofErr w:type="spellEnd"/>
      <w:r>
        <w:rPr>
          <w:rFonts w:ascii="Times New Roman" w:eastAsia="Times New Roman" w:hAnsi="Times New Roman" w:cs="Times New Roman"/>
          <w:sz w:val="24"/>
          <w:szCs w:val="24"/>
          <w:highlight w:val="white"/>
        </w:rPr>
        <w:t>, 2021; Yan et al., 2021).</w:t>
      </w:r>
    </w:p>
    <w:p w14:paraId="68E536B1"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preservation of nutritional integrity is not merely a matter of retaining calorie values, but of safeguarding vitamins, antioxidants, proteins, bioactive compounds, and overall food quality that contribute to human health. Non‑thermal methods offer the promise of maintaining or even enhancing certain beneficial properties — such as antioxidant capacity, polyphenol content, and functional amino acids — while minimizing nutrient losses that are common in thermal processing (Pérez-</w:t>
      </w:r>
      <w:proofErr w:type="spellStart"/>
      <w:r>
        <w:rPr>
          <w:rFonts w:ascii="Times New Roman" w:eastAsia="Times New Roman" w:hAnsi="Times New Roman" w:cs="Times New Roman"/>
          <w:sz w:val="24"/>
          <w:szCs w:val="24"/>
          <w:highlight w:val="white"/>
        </w:rPr>
        <w:t>Lamela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Torrado-Agrasar</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Keyata</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Bikila</w:t>
      </w:r>
      <w:proofErr w:type="spellEnd"/>
      <w:r>
        <w:rPr>
          <w:rFonts w:ascii="Times New Roman" w:eastAsia="Times New Roman" w:hAnsi="Times New Roman" w:cs="Times New Roman"/>
          <w:sz w:val="24"/>
          <w:szCs w:val="24"/>
          <w:highlight w:val="white"/>
        </w:rPr>
        <w:t>, 2024). Especially for fresh produce, juices, dairy products, meats and other perishable items, retaining these compounds can make a significant difference in dietary quality and long-term health outcomes (</w:t>
      </w:r>
      <w:proofErr w:type="spellStart"/>
      <w:r>
        <w:rPr>
          <w:rFonts w:ascii="Times New Roman" w:eastAsia="Times New Roman" w:hAnsi="Times New Roman" w:cs="Times New Roman"/>
          <w:sz w:val="24"/>
          <w:szCs w:val="24"/>
          <w:highlight w:val="white"/>
        </w:rPr>
        <w:t>Trych</w:t>
      </w:r>
      <w:proofErr w:type="spellEnd"/>
      <w:r>
        <w:rPr>
          <w:rFonts w:ascii="Times New Roman" w:eastAsia="Times New Roman" w:hAnsi="Times New Roman" w:cs="Times New Roman"/>
          <w:sz w:val="24"/>
          <w:szCs w:val="24"/>
          <w:highlight w:val="white"/>
        </w:rPr>
        <w:t xml:space="preserve"> et al., 2020).</w:t>
      </w:r>
    </w:p>
    <w:p w14:paraId="3C7002A3"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Nevertheless, despite growing interest and industrial application, the literature on how exactly these novel processing methods affect nutrient composition remains diffuse and sometimes contradictory. Some studies report excellent retention of vitamins and antioxidants after HPP or plasma treatments (Gupta et al., 2025; Wei et al., 2025), while others note subtle changes in protein </w:t>
      </w:r>
      <w:r>
        <w:rPr>
          <w:rFonts w:ascii="Times New Roman" w:eastAsia="Times New Roman" w:hAnsi="Times New Roman" w:cs="Times New Roman"/>
          <w:sz w:val="24"/>
          <w:szCs w:val="24"/>
          <w:highlight w:val="white"/>
        </w:rPr>
        <w:lastRenderedPageBreak/>
        <w:t xml:space="preserve">structure, lipid oxidation, or bioactive compound stability depending on process parameters and food matrix (Ghazali, Saleem, &amp; Bashir, 2025; </w:t>
      </w:r>
      <w:proofErr w:type="spellStart"/>
      <w:r>
        <w:rPr>
          <w:rFonts w:ascii="Times New Roman" w:eastAsia="Times New Roman" w:hAnsi="Times New Roman" w:cs="Times New Roman"/>
          <w:sz w:val="24"/>
          <w:szCs w:val="24"/>
          <w:highlight w:val="white"/>
        </w:rPr>
        <w:t>Yousefi</w:t>
      </w:r>
      <w:proofErr w:type="spellEnd"/>
      <w:r>
        <w:rPr>
          <w:rFonts w:ascii="Times New Roman" w:eastAsia="Times New Roman" w:hAnsi="Times New Roman" w:cs="Times New Roman"/>
          <w:sz w:val="24"/>
          <w:szCs w:val="24"/>
          <w:highlight w:val="white"/>
        </w:rPr>
        <w:t xml:space="preserve"> &amp; Abbasi, 2022;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et al., 2025a;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et al., 2025b). Moreover, there remains a lack of comprehensive synthesis across different technologies (HPP, PEF, Plasma, etc.) and across diverse food types — a gap that limits our understanding of the trade‑offs and real-world nutritional implications for consumers.</w:t>
      </w:r>
    </w:p>
    <w:p w14:paraId="3021F4F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this scoping review aims to systematically map and synthesize existing research on nutrient changes in foods treated with HPP, PEF, Plasma, and other emerging processing techniques. Specifically, the objectives are to: (1) collate the available data on how these treatments affect key nutritional parameters (e.g., vitamins, antioxidants, proteins, lipids) across food categories; (2) compare nutrient retention or losses with those observed under conventional thermal processing; and (3) identify gaps in the literature — in terms of food types, nutrients studied, processing parameters, and long-term effects — to inform future research and applications in food technology and public health.</w:t>
      </w:r>
    </w:p>
    <w:p w14:paraId="21C07C95"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providing such a synthesis, this review sheds light on the potential of modern processing technologies to deliver “safe and healthy” — not just “safe and shelf‑stable” — food products. Understanding how processing impacts nutritional integrity can help guide industry practices, inform regulatory standards, and empower consumers to make healthier choices. In an era where processed food dominates global diets, these insights could contribute meaningfully to public health, dietary guidelines, and the future of sustainable food processing.</w:t>
      </w:r>
    </w:p>
    <w:p w14:paraId="70781E77" w14:textId="77777777" w:rsidR="00C42002" w:rsidRDefault="00C42002">
      <w:pPr>
        <w:spacing w:before="240" w:after="240" w:line="360" w:lineRule="auto"/>
        <w:jc w:val="both"/>
        <w:rPr>
          <w:rFonts w:ascii="Times New Roman" w:eastAsia="Times New Roman" w:hAnsi="Times New Roman" w:cs="Times New Roman"/>
          <w:sz w:val="24"/>
          <w:szCs w:val="24"/>
          <w:highlight w:val="white"/>
        </w:rPr>
      </w:pPr>
    </w:p>
    <w:p w14:paraId="4B35C03A" w14:textId="77777777" w:rsidR="00C42002" w:rsidRDefault="00C42002">
      <w:pPr>
        <w:spacing w:before="240" w:after="240" w:line="360" w:lineRule="auto"/>
        <w:jc w:val="both"/>
        <w:rPr>
          <w:rFonts w:ascii="Times New Roman" w:eastAsia="Times New Roman" w:hAnsi="Times New Roman" w:cs="Times New Roman"/>
          <w:sz w:val="24"/>
          <w:szCs w:val="24"/>
          <w:highlight w:val="white"/>
        </w:rPr>
      </w:pPr>
    </w:p>
    <w:p w14:paraId="681C5ACB" w14:textId="77777777" w:rsidR="00C42002" w:rsidRDefault="00241527">
      <w:pPr>
        <w:spacing w:before="240" w:after="240" w:line="360" w:lineRule="auto"/>
        <w:jc w:val="both"/>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Methodology</w:t>
      </w:r>
    </w:p>
    <w:p w14:paraId="22D402E7"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p w14:paraId="3A8013A3"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employed a scoping review design to systematically explore the literature on the effects of modern food processing technologies on nutrient composition. A scoping review is well-suited for summarizing the breadth of available research, mapping key concepts, and identifying knowledge gaps (Arksey &amp; O'Malley, 2005). By systematically synthesizing findings from studies </w:t>
      </w:r>
      <w:r>
        <w:rPr>
          <w:rFonts w:ascii="Times New Roman" w:eastAsia="Times New Roman" w:hAnsi="Times New Roman" w:cs="Times New Roman"/>
          <w:sz w:val="24"/>
          <w:szCs w:val="24"/>
          <w:highlight w:val="white"/>
        </w:rPr>
        <w:lastRenderedPageBreak/>
        <w:t>on various food processing techniques and nutrient retention, this review aims to provide a comprehensive overview of the current state of knowledge and highlight areas requiring further research.</w:t>
      </w:r>
    </w:p>
    <w:p w14:paraId="5E7E2523"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Information Sources and Search Strategy</w:t>
      </w:r>
    </w:p>
    <w:p w14:paraId="2863902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Literature included in this review was sourced from PubMed and searching of reference lists. The keywords related to food processing techniques, nutrient retention and loss, nutrient types, food types and matrix, health and metabolic outcomes, and technological parameters were used.</w:t>
      </w:r>
      <w:r>
        <w:rPr>
          <w:rFonts w:ascii="Times New Roman" w:eastAsia="Times New Roman" w:hAnsi="Times New Roman" w:cs="Times New Roman"/>
          <w:sz w:val="24"/>
          <w:szCs w:val="24"/>
          <w:highlight w:val="white"/>
        </w:rPr>
        <w:br/>
        <w:t>Boolean operators (AND, OR, NOT) were applied to combine and refine these search terms (</w:t>
      </w: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(Medical Subject Headings) terms as well as truncation were specifically used in PubMed for precise results (</w:t>
      </w:r>
      <w:proofErr w:type="spellStart"/>
      <w:r>
        <w:rPr>
          <w:rFonts w:ascii="Times New Roman" w:eastAsia="Times New Roman" w:hAnsi="Times New Roman" w:cs="Times New Roman"/>
          <w:sz w:val="24"/>
          <w:szCs w:val="24"/>
          <w:highlight w:val="white"/>
        </w:rPr>
        <w:t>DeMars</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Perruso</w:t>
      </w:r>
      <w:proofErr w:type="spellEnd"/>
      <w:r>
        <w:rPr>
          <w:rFonts w:ascii="Times New Roman" w:eastAsia="Times New Roman" w:hAnsi="Times New Roman" w:cs="Times New Roman"/>
          <w:sz w:val="24"/>
          <w:szCs w:val="24"/>
          <w:highlight w:val="white"/>
        </w:rPr>
        <w:t xml:space="preserve">, 2022; Atkinson &amp; Cipriani, 2018).  The compiled search strategy: </w:t>
      </w:r>
      <w:r>
        <w:rPr>
          <w:rFonts w:ascii="Times New Roman" w:eastAsia="Times New Roman" w:hAnsi="Times New Roman" w:cs="Times New Roman"/>
          <w:highlight w:val="white"/>
        </w:rPr>
        <w:t>(("High Pressure Processing"[Mesh] OR HPP[</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"Pulsed Electric Field"[Mesh] OR PEF[</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"Plasma Gases"[Mesh] OR "Cold Plasma"[</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"Non-Thermal Processing"[</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("Nutrients"[Mesh] OR "Vitamins"[Mesh] OR "Antioxidants"[Mesh] OR "Proteins"[Mesh] OR "Lipids"[Mesh] OR vitamin*[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antioxidant*[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protein*[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lipid*[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bioactive compound*[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mineral*[</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fatty acid*[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("Food"[Mesh] OR "Fruits"[Mesh] OR "Vegetables"[Mesh] OR "Dairy Products"[Mesh] OR "Meat"[Mesh] OR "Beverages"[Mesh] OR fruit*[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vegetable*[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dairy[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meat[</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juice*[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beverage*[</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seafood[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functional food*[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plant-based[</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AND ("Nutrient Retention"[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Loss"[</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Stability"[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"Nutrient Degradation"[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retention[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loss[</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stability[</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 OR degradation[</w:t>
      </w:r>
      <w:proofErr w:type="spellStart"/>
      <w:r>
        <w:rPr>
          <w:rFonts w:ascii="Times New Roman" w:eastAsia="Times New Roman" w:hAnsi="Times New Roman" w:cs="Times New Roman"/>
          <w:highlight w:val="white"/>
        </w:rPr>
        <w:t>tiab</w:t>
      </w:r>
      <w:proofErr w:type="spellEnd"/>
      <w:r>
        <w:rPr>
          <w:rFonts w:ascii="Times New Roman" w:eastAsia="Times New Roman" w:hAnsi="Times New Roman" w:cs="Times New Roman"/>
          <w:highlight w:val="white"/>
        </w:rPr>
        <w:t>]))</w:t>
      </w:r>
      <w:r>
        <w:rPr>
          <w:rFonts w:ascii="Times New Roman" w:eastAsia="Times New Roman" w:hAnsi="Times New Roman" w:cs="Times New Roman"/>
          <w:sz w:val="24"/>
          <w:szCs w:val="24"/>
          <w:highlight w:val="white"/>
        </w:rPr>
        <w:t xml:space="preserve"> </w:t>
      </w:r>
    </w:p>
    <w:p w14:paraId="0E9DD2E1"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Eligibility Criteria</w:t>
      </w:r>
    </w:p>
    <w:p w14:paraId="57AFC9B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ensure the inclusion of relevant and high-quality studies, we applied several eligibility criteria. Only peer-reviewed articles published between 2020 and 2025 were considered. Eligible studies included experimental studies that investigated food processing techniques or metabolic health outcomes related to nutrient composition. Exclusion criteria encompassed non-English articles, reviews and opinion-based pieces, and studies that did not provide full-text availability. This approach ensured that the review was based on high-quality, peer-reviewed evidence with robust methodologies.</w:t>
      </w:r>
    </w:p>
    <w:p w14:paraId="0DDB6D38" w14:textId="77777777" w:rsidR="00C42002" w:rsidRDefault="00241527">
      <w:pPr>
        <w:spacing w:before="240" w:after="240" w:line="360" w:lineRule="auto"/>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Study Selection </w:t>
      </w:r>
    </w:p>
    <w:p w14:paraId="35F9C61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After conducting the search and applying appropriate filters, the titles and abstracts of the retrieved studies were screened. Studies that met the inclusion criteria were retrieved in full for a detailed review. Two independent reviewers performed the screening to ensure consistency and minimization of bias. Disagreements between reviewers were resolved through consensus. Studies that met the eligibility criteria were included for data extraction. </w:t>
      </w:r>
    </w:p>
    <w:p w14:paraId="4A31953B"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initial search identified a total of 406 records across 317 from PubMed and 89 from reference lists. After removing 198 records based on application of appropriate filters, 208 records were screened during title and abstract screening. Following further assessment for eligibility, 32 reports were reviewed, ultimately leading to the inclusion of 15 studies in this scoping review. The exclusion of studies at this stage were primarily due to studies not focusing on food processing and some studies reviews. The PRISMA flow diagram detailing on the selection process for this study is shown in Figure 1.</w:t>
      </w:r>
    </w:p>
    <w:p w14:paraId="6B36E4B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47C7CB00" wp14:editId="56C38B0D">
            <wp:extent cx="5943600" cy="4229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229100"/>
                    </a:xfrm>
                    <a:prstGeom prst="rect">
                      <a:avLst/>
                    </a:prstGeom>
                    <a:ln/>
                  </pic:spPr>
                </pic:pic>
              </a:graphicData>
            </a:graphic>
          </wp:inline>
        </w:drawing>
      </w:r>
    </w:p>
    <w:p w14:paraId="33F0B94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lastRenderedPageBreak/>
        <w:t>Figure 1: Preferred Reporting Items for Systematic Reviews and Meta-Analysis (PRISMA) Flow Diagram</w:t>
      </w:r>
    </w:p>
    <w:p w14:paraId="350114F0"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 Extraction</w:t>
      </w:r>
    </w:p>
    <w:p w14:paraId="058D18D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Key information such as study design, processing techniques, nutrient types examined, and outcomes related to nutrient retention or degradation were systematically extracted. Emphasis was placed on the impact of specific processing methods on nutrient stability and the variation across different food matrices. </w:t>
      </w:r>
    </w:p>
    <w:p w14:paraId="10FF189F" w14:textId="77777777" w:rsidR="00C42002" w:rsidRDefault="00241527">
      <w:pPr>
        <w:spacing w:before="240" w:after="240" w:line="360"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6. Data Synthesis</w:t>
      </w:r>
    </w:p>
    <w:p w14:paraId="256052C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data synthesis was conducted through a narrative synthesis approach, which allowed for the organization of findings according to the identified themes. Major themes emerged related to nutrient retention patterns, such as the preservation of antioxidants and vitamins, the effects of specific processing technologies (e.g., HPP, PEF, Plasma) on protein structure, and the variation of these effects depending on the food matrix. The synthesis also explored the interplay between technological parameters, such as process temperature and time, and nutrient outcomes. This discussion contributed to a deeper understanding of the effectiveness of modern processing technologies in maintaining nutritional integrity.</w:t>
      </w:r>
    </w:p>
    <w:p w14:paraId="7B551713" w14:textId="77777777" w:rsidR="00C42002" w:rsidRDefault="00C42002">
      <w:pPr>
        <w:spacing w:before="240" w:after="240" w:line="360" w:lineRule="auto"/>
        <w:jc w:val="both"/>
        <w:rPr>
          <w:rFonts w:ascii="Times New Roman" w:eastAsia="Times New Roman" w:hAnsi="Times New Roman" w:cs="Times New Roman"/>
          <w:sz w:val="24"/>
          <w:szCs w:val="24"/>
          <w:highlight w:val="white"/>
        </w:rPr>
      </w:pPr>
    </w:p>
    <w:p w14:paraId="0A63323C" w14:textId="77777777" w:rsidR="00C42002" w:rsidRDefault="00241527">
      <w:pPr>
        <w:spacing w:before="240" w:after="240"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Results</w:t>
      </w:r>
    </w:p>
    <w:p w14:paraId="1A8AE4DE" w14:textId="77777777" w:rsidR="00C42002" w:rsidRDefault="00241527">
      <w:pPr>
        <w:spacing w:before="240" w:after="24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Characteristics</w:t>
      </w:r>
    </w:p>
    <w:p w14:paraId="5D7ACD8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study included 15 experimental studies examining various non-thermal processing techniques, primarily high-pressure processing (HPP), pulsed electric fields (PEF), and cold plasma (CP), to assess their impact on nutrient retention in different food matrices. The studies explored a range of nutrients, including antioxidants, bioactive compounds, phenolic compounds, amino acids, and vitamins, across various food products like olive oil, apple juice, meat, and fruit juices. The main findings consistently demonstrated that non-thermal methods such as PEF and cold plasma were effective in enhancing nutrient retention and improving functional properties, such as antioxidant </w:t>
      </w:r>
      <w:r>
        <w:rPr>
          <w:rFonts w:ascii="Times New Roman" w:eastAsia="Times New Roman" w:hAnsi="Times New Roman" w:cs="Times New Roman"/>
          <w:sz w:val="24"/>
          <w:szCs w:val="24"/>
          <w:highlight w:val="white"/>
        </w:rPr>
        <w:lastRenderedPageBreak/>
        <w:t>capacity and shelf life, without compromising food quality. These studies provide valuable insights into optimizing processing methods to preserve nutrient integrity and improve the nutritional value of food products. The breakdown of nutrients retention across publication technologies is shown in Figure 2.</w:t>
      </w:r>
    </w:p>
    <w:p w14:paraId="4B2C56D7" w14:textId="77777777" w:rsidR="00C42002" w:rsidRDefault="00241527">
      <w:pPr>
        <w:spacing w:before="240" w:after="240" w:line="360" w:lineRule="auto"/>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Characteristics of Included Studies</w:t>
      </w:r>
      <w:r>
        <w:rPr>
          <w:rFonts w:ascii="Times New Roman" w:eastAsia="Times New Roman" w:hAnsi="Times New Roman" w:cs="Times New Roman"/>
          <w:sz w:val="24"/>
          <w:szCs w:val="24"/>
          <w:highlight w:val="white"/>
        </w:rPr>
        <w:t xml:space="preserve"> </w:t>
      </w: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8"/>
        <w:gridCol w:w="1277"/>
        <w:gridCol w:w="1068"/>
        <w:gridCol w:w="1604"/>
        <w:gridCol w:w="3012"/>
        <w:gridCol w:w="1121"/>
      </w:tblGrid>
      <w:tr w:rsidR="00C42002" w14:paraId="5DB2DDDB" w14:textId="77777777">
        <w:tc>
          <w:tcPr>
            <w:tcW w:w="1277" w:type="dxa"/>
            <w:tcMar>
              <w:top w:w="100" w:type="dxa"/>
              <w:left w:w="100" w:type="dxa"/>
              <w:bottom w:w="100" w:type="dxa"/>
              <w:right w:w="100" w:type="dxa"/>
            </w:tcMar>
          </w:tcPr>
          <w:p w14:paraId="7F0C4DEB"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ID</w:t>
            </w:r>
          </w:p>
        </w:tc>
        <w:tc>
          <w:tcPr>
            <w:tcW w:w="1277" w:type="dxa"/>
            <w:tcMar>
              <w:top w:w="100" w:type="dxa"/>
              <w:left w:w="100" w:type="dxa"/>
              <w:bottom w:w="100" w:type="dxa"/>
              <w:right w:w="100" w:type="dxa"/>
            </w:tcMar>
          </w:tcPr>
          <w:p w14:paraId="16162C15" w14:textId="77777777" w:rsidR="00C42002" w:rsidRDefault="00241527">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Study Design</w:t>
            </w:r>
          </w:p>
        </w:tc>
        <w:tc>
          <w:tcPr>
            <w:tcW w:w="1068" w:type="dxa"/>
            <w:tcMar>
              <w:top w:w="100" w:type="dxa"/>
              <w:left w:w="100" w:type="dxa"/>
              <w:bottom w:w="100" w:type="dxa"/>
              <w:right w:w="100" w:type="dxa"/>
            </w:tcMar>
          </w:tcPr>
          <w:p w14:paraId="6BA5D0E8"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Processing Techniques</w:t>
            </w:r>
          </w:p>
        </w:tc>
        <w:tc>
          <w:tcPr>
            <w:tcW w:w="1603" w:type="dxa"/>
            <w:tcMar>
              <w:top w:w="100" w:type="dxa"/>
              <w:left w:w="100" w:type="dxa"/>
              <w:bottom w:w="100" w:type="dxa"/>
              <w:right w:w="100" w:type="dxa"/>
            </w:tcMar>
          </w:tcPr>
          <w:p w14:paraId="534C45B9"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Nutrient Types Examined</w:t>
            </w:r>
          </w:p>
        </w:tc>
        <w:tc>
          <w:tcPr>
            <w:tcW w:w="3011" w:type="dxa"/>
            <w:tcMar>
              <w:top w:w="100" w:type="dxa"/>
              <w:left w:w="100" w:type="dxa"/>
              <w:bottom w:w="100" w:type="dxa"/>
              <w:right w:w="100" w:type="dxa"/>
            </w:tcMar>
          </w:tcPr>
          <w:p w14:paraId="301BA459"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Main Findings/Conclusions</w:t>
            </w:r>
          </w:p>
        </w:tc>
        <w:tc>
          <w:tcPr>
            <w:tcW w:w="1121" w:type="dxa"/>
            <w:tcMar>
              <w:top w:w="100" w:type="dxa"/>
              <w:left w:w="100" w:type="dxa"/>
              <w:bottom w:w="100" w:type="dxa"/>
              <w:right w:w="100" w:type="dxa"/>
            </w:tcMar>
          </w:tcPr>
          <w:p w14:paraId="2F7CB184"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Journal Source</w:t>
            </w:r>
          </w:p>
        </w:tc>
      </w:tr>
      <w:tr w:rsidR="00C42002" w14:paraId="65F7C082" w14:textId="77777777">
        <w:tc>
          <w:tcPr>
            <w:tcW w:w="1277" w:type="dxa"/>
            <w:tcMar>
              <w:top w:w="100" w:type="dxa"/>
              <w:left w:w="100" w:type="dxa"/>
              <w:bottom w:w="100" w:type="dxa"/>
              <w:right w:w="100" w:type="dxa"/>
            </w:tcMar>
          </w:tcPr>
          <w:p w14:paraId="31F610A6"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Athanasiadis</w:t>
            </w:r>
            <w:proofErr w:type="spellEnd"/>
            <w:r>
              <w:rPr>
                <w:rFonts w:ascii="Times New Roman" w:eastAsia="Times New Roman" w:hAnsi="Times New Roman" w:cs="Times New Roman"/>
                <w:sz w:val="24"/>
                <w:szCs w:val="24"/>
                <w:highlight w:val="white"/>
              </w:rPr>
              <w:t xml:space="preserve"> et al. (2025)</w:t>
            </w:r>
          </w:p>
        </w:tc>
        <w:tc>
          <w:tcPr>
            <w:tcW w:w="1277" w:type="dxa"/>
            <w:tcMar>
              <w:top w:w="100" w:type="dxa"/>
              <w:left w:w="100" w:type="dxa"/>
              <w:bottom w:w="100" w:type="dxa"/>
              <w:right w:w="100" w:type="dxa"/>
            </w:tcMar>
          </w:tcPr>
          <w:p w14:paraId="47E96DF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12CAFB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3" w:type="dxa"/>
            <w:tcMar>
              <w:top w:w="100" w:type="dxa"/>
              <w:left w:w="100" w:type="dxa"/>
              <w:bottom w:w="100" w:type="dxa"/>
              <w:right w:w="100" w:type="dxa"/>
            </w:tcMar>
          </w:tcPr>
          <w:p w14:paraId="0A5ECE0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Bioactive Compounds</w:t>
            </w:r>
          </w:p>
        </w:tc>
        <w:tc>
          <w:tcPr>
            <w:tcW w:w="3011" w:type="dxa"/>
            <w:tcMar>
              <w:top w:w="100" w:type="dxa"/>
              <w:left w:w="100" w:type="dxa"/>
              <w:bottom w:w="100" w:type="dxa"/>
              <w:right w:w="100" w:type="dxa"/>
            </w:tcMar>
          </w:tcPr>
          <w:p w14:paraId="72130A1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optimization results in improved antioxidant content, confirming its potential for enhancing nutrient retention in olive oil.</w:t>
            </w:r>
          </w:p>
        </w:tc>
        <w:tc>
          <w:tcPr>
            <w:tcW w:w="1121" w:type="dxa"/>
            <w:tcMar>
              <w:top w:w="100" w:type="dxa"/>
              <w:left w:w="100" w:type="dxa"/>
              <w:bottom w:w="100" w:type="dxa"/>
              <w:right w:w="100" w:type="dxa"/>
            </w:tcMar>
          </w:tcPr>
          <w:p w14:paraId="5F76A72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Research International</w:t>
            </w:r>
          </w:p>
        </w:tc>
      </w:tr>
      <w:tr w:rsidR="00C42002" w14:paraId="1E3C00FC" w14:textId="77777777">
        <w:tc>
          <w:tcPr>
            <w:tcW w:w="1277" w:type="dxa"/>
            <w:tcMar>
              <w:top w:w="100" w:type="dxa"/>
              <w:left w:w="100" w:type="dxa"/>
              <w:bottom w:w="100" w:type="dxa"/>
              <w:right w:w="100" w:type="dxa"/>
            </w:tcMar>
          </w:tcPr>
          <w:p w14:paraId="6CA13BA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Khalid et al. (2025)</w:t>
            </w:r>
          </w:p>
        </w:tc>
        <w:tc>
          <w:tcPr>
            <w:tcW w:w="1277" w:type="dxa"/>
            <w:tcMar>
              <w:top w:w="100" w:type="dxa"/>
              <w:left w:w="100" w:type="dxa"/>
              <w:bottom w:w="100" w:type="dxa"/>
              <w:right w:w="100" w:type="dxa"/>
            </w:tcMar>
          </w:tcPr>
          <w:p w14:paraId="007A5C40"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7131A9F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Cold Plasma, Ultrasound-assisted extraction</w:t>
            </w:r>
          </w:p>
        </w:tc>
        <w:tc>
          <w:tcPr>
            <w:tcW w:w="1603" w:type="dxa"/>
            <w:tcMar>
              <w:top w:w="100" w:type="dxa"/>
              <w:left w:w="100" w:type="dxa"/>
              <w:bottom w:w="100" w:type="dxa"/>
              <w:right w:w="100" w:type="dxa"/>
            </w:tcMar>
          </w:tcPr>
          <w:p w14:paraId="1953253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Bioactive Compounds</w:t>
            </w:r>
          </w:p>
        </w:tc>
        <w:tc>
          <w:tcPr>
            <w:tcW w:w="3011" w:type="dxa"/>
            <w:tcMar>
              <w:top w:w="100" w:type="dxa"/>
              <w:left w:w="100" w:type="dxa"/>
              <w:bottom w:w="100" w:type="dxa"/>
              <w:right w:w="100" w:type="dxa"/>
            </w:tcMar>
          </w:tcPr>
          <w:p w14:paraId="25C8110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enhances bioactive compound retention, supporting its role in improving functional properties of plant proteins.</w:t>
            </w:r>
          </w:p>
        </w:tc>
        <w:tc>
          <w:tcPr>
            <w:tcW w:w="1121" w:type="dxa"/>
            <w:tcMar>
              <w:top w:w="100" w:type="dxa"/>
              <w:left w:w="100" w:type="dxa"/>
              <w:bottom w:w="100" w:type="dxa"/>
              <w:right w:w="100" w:type="dxa"/>
            </w:tcMar>
          </w:tcPr>
          <w:p w14:paraId="074286D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Chemistry</w:t>
            </w:r>
          </w:p>
        </w:tc>
      </w:tr>
      <w:tr w:rsidR="00C42002" w14:paraId="07DCA2C1" w14:textId="77777777">
        <w:tc>
          <w:tcPr>
            <w:tcW w:w="1277" w:type="dxa"/>
            <w:tcMar>
              <w:top w:w="100" w:type="dxa"/>
              <w:left w:w="100" w:type="dxa"/>
              <w:bottom w:w="100" w:type="dxa"/>
              <w:right w:w="100" w:type="dxa"/>
            </w:tcMar>
          </w:tcPr>
          <w:p w14:paraId="7EFE885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Rinaldi et al. (2024)</w:t>
            </w:r>
          </w:p>
        </w:tc>
        <w:tc>
          <w:tcPr>
            <w:tcW w:w="1277" w:type="dxa"/>
            <w:tcMar>
              <w:top w:w="100" w:type="dxa"/>
              <w:left w:w="100" w:type="dxa"/>
              <w:bottom w:w="100" w:type="dxa"/>
              <w:right w:w="100" w:type="dxa"/>
            </w:tcMar>
          </w:tcPr>
          <w:p w14:paraId="05C0F4F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5682FB6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w:t>
            </w:r>
            <w:r>
              <w:rPr>
                <w:rFonts w:ascii="Times New Roman" w:eastAsia="Times New Roman" w:hAnsi="Times New Roman" w:cs="Times New Roman"/>
                <w:sz w:val="24"/>
                <w:szCs w:val="24"/>
                <w:highlight w:val="white"/>
              </w:rPr>
              <w:lastRenderedPageBreak/>
              <w:t>Methods: HPP</w:t>
            </w:r>
          </w:p>
        </w:tc>
        <w:tc>
          <w:tcPr>
            <w:tcW w:w="1603" w:type="dxa"/>
            <w:tcMar>
              <w:top w:w="100" w:type="dxa"/>
              <w:left w:w="100" w:type="dxa"/>
              <w:bottom w:w="100" w:type="dxa"/>
              <w:right w:w="100" w:type="dxa"/>
            </w:tcMar>
          </w:tcPr>
          <w:p w14:paraId="79F37D6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Phenolic Compounds, Antioxidants</w:t>
            </w:r>
          </w:p>
        </w:tc>
        <w:tc>
          <w:tcPr>
            <w:tcW w:w="3011" w:type="dxa"/>
            <w:tcMar>
              <w:top w:w="100" w:type="dxa"/>
              <w:left w:w="100" w:type="dxa"/>
              <w:bottom w:w="100" w:type="dxa"/>
              <w:right w:w="100" w:type="dxa"/>
            </w:tcMar>
          </w:tcPr>
          <w:p w14:paraId="0D1FA4B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HPP enhanced antioxidant activity and preserved bioactive compounds, </w:t>
            </w:r>
            <w:r>
              <w:rPr>
                <w:rFonts w:ascii="Times New Roman" w:eastAsia="Times New Roman" w:hAnsi="Times New Roman" w:cs="Times New Roman"/>
                <w:sz w:val="24"/>
                <w:szCs w:val="24"/>
                <w:highlight w:val="white"/>
              </w:rPr>
              <w:lastRenderedPageBreak/>
              <w:t>improving the overall nutritional quality of apple juice.</w:t>
            </w:r>
          </w:p>
        </w:tc>
        <w:tc>
          <w:tcPr>
            <w:tcW w:w="1121" w:type="dxa"/>
            <w:tcMar>
              <w:top w:w="100" w:type="dxa"/>
              <w:left w:w="100" w:type="dxa"/>
              <w:bottom w:w="100" w:type="dxa"/>
              <w:right w:w="100" w:type="dxa"/>
            </w:tcMar>
          </w:tcPr>
          <w:p w14:paraId="11FF3D3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Foods</w:t>
            </w:r>
          </w:p>
        </w:tc>
      </w:tr>
      <w:tr w:rsidR="00C42002" w14:paraId="3B0A2721" w14:textId="77777777">
        <w:tc>
          <w:tcPr>
            <w:tcW w:w="1277" w:type="dxa"/>
            <w:tcMar>
              <w:top w:w="100" w:type="dxa"/>
              <w:left w:w="100" w:type="dxa"/>
              <w:bottom w:w="100" w:type="dxa"/>
              <w:right w:w="100" w:type="dxa"/>
            </w:tcMar>
          </w:tcPr>
          <w:p w14:paraId="365C80E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et al. (2025)</w:t>
            </w:r>
          </w:p>
        </w:tc>
        <w:tc>
          <w:tcPr>
            <w:tcW w:w="1277" w:type="dxa"/>
            <w:tcMar>
              <w:top w:w="100" w:type="dxa"/>
              <w:left w:w="100" w:type="dxa"/>
              <w:bottom w:w="100" w:type="dxa"/>
              <w:right w:w="100" w:type="dxa"/>
            </w:tcMar>
          </w:tcPr>
          <w:p w14:paraId="15CB1AD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BD208B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3" w:type="dxa"/>
            <w:tcMar>
              <w:top w:w="100" w:type="dxa"/>
              <w:left w:w="100" w:type="dxa"/>
              <w:bottom w:w="100" w:type="dxa"/>
              <w:right w:w="100" w:type="dxa"/>
            </w:tcMar>
          </w:tcPr>
          <w:p w14:paraId="33A5476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Free Amino Acids, Flavor Compounds</w:t>
            </w:r>
          </w:p>
        </w:tc>
        <w:tc>
          <w:tcPr>
            <w:tcW w:w="3011" w:type="dxa"/>
            <w:tcMar>
              <w:top w:w="100" w:type="dxa"/>
              <w:left w:w="100" w:type="dxa"/>
              <w:bottom w:w="100" w:type="dxa"/>
              <w:right w:w="100" w:type="dxa"/>
            </w:tcMar>
          </w:tcPr>
          <w:p w14:paraId="66B1C62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improved texture and flavor, with significant increases in free amino acids and aroma compounds, particularly umami.</w:t>
            </w:r>
          </w:p>
        </w:tc>
        <w:tc>
          <w:tcPr>
            <w:tcW w:w="1121" w:type="dxa"/>
            <w:tcMar>
              <w:top w:w="100" w:type="dxa"/>
              <w:left w:w="100" w:type="dxa"/>
              <w:bottom w:w="100" w:type="dxa"/>
              <w:right w:w="100" w:type="dxa"/>
            </w:tcMar>
          </w:tcPr>
          <w:p w14:paraId="4D0B06A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413C9987" w14:textId="77777777">
        <w:tc>
          <w:tcPr>
            <w:tcW w:w="1277" w:type="dxa"/>
            <w:tcMar>
              <w:top w:w="100" w:type="dxa"/>
              <w:left w:w="100" w:type="dxa"/>
              <w:bottom w:w="100" w:type="dxa"/>
              <w:right w:w="100" w:type="dxa"/>
            </w:tcMar>
          </w:tcPr>
          <w:p w14:paraId="0F8BF24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Liang et al. (2023)</w:t>
            </w:r>
          </w:p>
        </w:tc>
        <w:tc>
          <w:tcPr>
            <w:tcW w:w="1277" w:type="dxa"/>
            <w:tcMar>
              <w:top w:w="100" w:type="dxa"/>
              <w:left w:w="100" w:type="dxa"/>
              <w:bottom w:w="100" w:type="dxa"/>
              <w:right w:w="100" w:type="dxa"/>
            </w:tcMar>
          </w:tcPr>
          <w:p w14:paraId="06D99C9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558A1F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HPP</w:t>
            </w:r>
          </w:p>
        </w:tc>
        <w:tc>
          <w:tcPr>
            <w:tcW w:w="1603" w:type="dxa"/>
            <w:tcMar>
              <w:top w:w="100" w:type="dxa"/>
              <w:left w:w="100" w:type="dxa"/>
              <w:bottom w:w="100" w:type="dxa"/>
              <w:right w:w="100" w:type="dxa"/>
            </w:tcMar>
          </w:tcPr>
          <w:p w14:paraId="144B9160"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Immunoglobulins (IgA, IgG, IgM), Lactoferrin</w:t>
            </w:r>
          </w:p>
        </w:tc>
        <w:tc>
          <w:tcPr>
            <w:tcW w:w="3011" w:type="dxa"/>
            <w:tcMar>
              <w:top w:w="100" w:type="dxa"/>
              <w:left w:w="100" w:type="dxa"/>
              <w:bottom w:w="100" w:type="dxa"/>
              <w:right w:w="100" w:type="dxa"/>
            </w:tcMar>
          </w:tcPr>
          <w:p w14:paraId="3214CC4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proved to be a superior method for preserving bioactive proteins, offering a safer alternative to thermal pasteurization.</w:t>
            </w:r>
          </w:p>
        </w:tc>
        <w:tc>
          <w:tcPr>
            <w:tcW w:w="1121" w:type="dxa"/>
            <w:tcMar>
              <w:top w:w="100" w:type="dxa"/>
              <w:left w:w="100" w:type="dxa"/>
              <w:bottom w:w="100" w:type="dxa"/>
              <w:right w:w="100" w:type="dxa"/>
            </w:tcMar>
          </w:tcPr>
          <w:p w14:paraId="62ED35F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Dairy Science</w:t>
            </w:r>
          </w:p>
        </w:tc>
      </w:tr>
      <w:tr w:rsidR="00C42002" w14:paraId="17158467" w14:textId="77777777">
        <w:tc>
          <w:tcPr>
            <w:tcW w:w="1277" w:type="dxa"/>
            <w:tcMar>
              <w:top w:w="100" w:type="dxa"/>
              <w:left w:w="100" w:type="dxa"/>
              <w:bottom w:w="100" w:type="dxa"/>
              <w:right w:w="100" w:type="dxa"/>
            </w:tcMar>
          </w:tcPr>
          <w:p w14:paraId="4CDAA47D"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Yanclo</w:t>
            </w:r>
            <w:proofErr w:type="spellEnd"/>
            <w:r>
              <w:rPr>
                <w:rFonts w:ascii="Times New Roman" w:eastAsia="Times New Roman" w:hAnsi="Times New Roman" w:cs="Times New Roman"/>
                <w:sz w:val="24"/>
                <w:szCs w:val="24"/>
                <w:highlight w:val="white"/>
              </w:rPr>
              <w:t xml:space="preserve"> et al. (2024)</w:t>
            </w:r>
          </w:p>
        </w:tc>
        <w:tc>
          <w:tcPr>
            <w:tcW w:w="1277" w:type="dxa"/>
            <w:tcMar>
              <w:top w:w="100" w:type="dxa"/>
              <w:left w:w="100" w:type="dxa"/>
              <w:bottom w:w="100" w:type="dxa"/>
              <w:right w:w="100" w:type="dxa"/>
            </w:tcMar>
          </w:tcPr>
          <w:p w14:paraId="7AE51E1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42C0013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Cold Plasma (CP)</w:t>
            </w:r>
          </w:p>
        </w:tc>
        <w:tc>
          <w:tcPr>
            <w:tcW w:w="1603" w:type="dxa"/>
            <w:tcMar>
              <w:top w:w="100" w:type="dxa"/>
              <w:left w:w="100" w:type="dxa"/>
              <w:bottom w:w="100" w:type="dxa"/>
              <w:right w:w="100" w:type="dxa"/>
            </w:tcMar>
          </w:tcPr>
          <w:p w14:paraId="5AFA8E7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Antioxidants, Phenolics</w:t>
            </w:r>
          </w:p>
        </w:tc>
        <w:tc>
          <w:tcPr>
            <w:tcW w:w="3011" w:type="dxa"/>
            <w:tcMar>
              <w:top w:w="100" w:type="dxa"/>
              <w:left w:w="100" w:type="dxa"/>
              <w:bottom w:w="100" w:type="dxa"/>
              <w:right w:w="100" w:type="dxa"/>
            </w:tcMar>
          </w:tcPr>
          <w:p w14:paraId="59393B8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treatment improved the shelf life and quality of mango, enhancing antioxidant capacity while reducing microbial growth.</w:t>
            </w:r>
          </w:p>
        </w:tc>
        <w:tc>
          <w:tcPr>
            <w:tcW w:w="1121" w:type="dxa"/>
            <w:tcMar>
              <w:top w:w="100" w:type="dxa"/>
              <w:left w:w="100" w:type="dxa"/>
              <w:bottom w:w="100" w:type="dxa"/>
              <w:right w:w="100" w:type="dxa"/>
            </w:tcMar>
          </w:tcPr>
          <w:p w14:paraId="03ACCBDD"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Heliyon</w:t>
            </w:r>
            <w:proofErr w:type="spellEnd"/>
          </w:p>
        </w:tc>
      </w:tr>
      <w:tr w:rsidR="00C42002" w14:paraId="7E5399DE" w14:textId="77777777">
        <w:tc>
          <w:tcPr>
            <w:tcW w:w="1277" w:type="dxa"/>
            <w:tcMar>
              <w:top w:w="100" w:type="dxa"/>
              <w:left w:w="100" w:type="dxa"/>
              <w:bottom w:w="100" w:type="dxa"/>
              <w:right w:w="100" w:type="dxa"/>
            </w:tcMar>
          </w:tcPr>
          <w:p w14:paraId="2F850FDA"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tc>
        <w:tc>
          <w:tcPr>
            <w:tcW w:w="1277" w:type="dxa"/>
            <w:tcMar>
              <w:top w:w="100" w:type="dxa"/>
              <w:left w:w="100" w:type="dxa"/>
              <w:bottom w:w="100" w:type="dxa"/>
              <w:right w:w="100" w:type="dxa"/>
            </w:tcMar>
          </w:tcPr>
          <w:p w14:paraId="1EBDED0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773AB5F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PEF</w:t>
            </w:r>
          </w:p>
        </w:tc>
        <w:tc>
          <w:tcPr>
            <w:tcW w:w="1603" w:type="dxa"/>
            <w:tcMar>
              <w:top w:w="100" w:type="dxa"/>
              <w:left w:w="100" w:type="dxa"/>
              <w:bottom w:w="100" w:type="dxa"/>
              <w:right w:w="100" w:type="dxa"/>
            </w:tcMar>
          </w:tcPr>
          <w:p w14:paraId="2263230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Bioactive Compounds, Antioxidants</w:t>
            </w:r>
          </w:p>
        </w:tc>
        <w:tc>
          <w:tcPr>
            <w:tcW w:w="3011" w:type="dxa"/>
            <w:tcMar>
              <w:top w:w="100" w:type="dxa"/>
              <w:left w:w="100" w:type="dxa"/>
              <w:bottom w:w="100" w:type="dxa"/>
              <w:right w:w="100" w:type="dxa"/>
            </w:tcMar>
          </w:tcPr>
          <w:p w14:paraId="50430E1E"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enhanced impregnation efficiency but caused structural changes and some degradation in bioactive compounds</w:t>
            </w:r>
          </w:p>
        </w:tc>
        <w:tc>
          <w:tcPr>
            <w:tcW w:w="1121" w:type="dxa"/>
            <w:tcMar>
              <w:top w:w="100" w:type="dxa"/>
              <w:left w:w="100" w:type="dxa"/>
              <w:bottom w:w="100" w:type="dxa"/>
              <w:right w:w="100" w:type="dxa"/>
            </w:tcMar>
          </w:tcPr>
          <w:p w14:paraId="3781818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3FF19A6F" w14:textId="77777777">
        <w:tc>
          <w:tcPr>
            <w:tcW w:w="1277" w:type="dxa"/>
            <w:tcMar>
              <w:top w:w="100" w:type="dxa"/>
              <w:left w:w="100" w:type="dxa"/>
              <w:bottom w:w="100" w:type="dxa"/>
              <w:right w:w="100" w:type="dxa"/>
            </w:tcMar>
          </w:tcPr>
          <w:p w14:paraId="6842DAD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Pérez-Andrés et al. (2020)</w:t>
            </w:r>
          </w:p>
        </w:tc>
        <w:tc>
          <w:tcPr>
            <w:tcW w:w="1277" w:type="dxa"/>
            <w:tcMar>
              <w:top w:w="100" w:type="dxa"/>
              <w:left w:w="100" w:type="dxa"/>
              <w:bottom w:w="100" w:type="dxa"/>
              <w:right w:w="100" w:type="dxa"/>
            </w:tcMar>
          </w:tcPr>
          <w:p w14:paraId="67D1B02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7260EB9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Methods: Cold </w:t>
            </w:r>
            <w:r>
              <w:rPr>
                <w:rFonts w:ascii="Times New Roman" w:eastAsia="Times New Roman" w:hAnsi="Times New Roman" w:cs="Times New Roman"/>
                <w:sz w:val="24"/>
                <w:szCs w:val="24"/>
                <w:highlight w:val="white"/>
              </w:rPr>
              <w:lastRenderedPageBreak/>
              <w:t>Plasma (CP)</w:t>
            </w:r>
          </w:p>
        </w:tc>
        <w:tc>
          <w:tcPr>
            <w:tcW w:w="1603" w:type="dxa"/>
            <w:tcMar>
              <w:top w:w="100" w:type="dxa"/>
              <w:left w:w="100" w:type="dxa"/>
              <w:bottom w:w="100" w:type="dxa"/>
              <w:right w:w="100" w:type="dxa"/>
            </w:tcMar>
          </w:tcPr>
          <w:p w14:paraId="0B3BDF7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Cholesterol, Lipids</w:t>
            </w:r>
          </w:p>
        </w:tc>
        <w:tc>
          <w:tcPr>
            <w:tcW w:w="3011" w:type="dxa"/>
            <w:tcMar>
              <w:top w:w="100" w:type="dxa"/>
              <w:left w:w="100" w:type="dxa"/>
              <w:bottom w:w="100" w:type="dxa"/>
              <w:right w:w="100" w:type="dxa"/>
            </w:tcMar>
          </w:tcPr>
          <w:p w14:paraId="12F9CF8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CP accelerated lipid oxidation in meat but did not significantly affect </w:t>
            </w:r>
            <w:r>
              <w:rPr>
                <w:rFonts w:ascii="Times New Roman" w:eastAsia="Times New Roman" w:hAnsi="Times New Roman" w:cs="Times New Roman"/>
                <w:sz w:val="24"/>
                <w:szCs w:val="24"/>
                <w:highlight w:val="white"/>
              </w:rPr>
              <w:lastRenderedPageBreak/>
              <w:t>cholesterol or total lipid content.</w:t>
            </w:r>
          </w:p>
        </w:tc>
        <w:tc>
          <w:tcPr>
            <w:tcW w:w="1121" w:type="dxa"/>
            <w:tcMar>
              <w:top w:w="100" w:type="dxa"/>
              <w:left w:w="100" w:type="dxa"/>
              <w:bottom w:w="100" w:type="dxa"/>
              <w:right w:w="100" w:type="dxa"/>
            </w:tcMar>
          </w:tcPr>
          <w:p w14:paraId="149C017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Foods</w:t>
            </w:r>
          </w:p>
        </w:tc>
      </w:tr>
      <w:tr w:rsidR="00C42002" w14:paraId="7EC722C6" w14:textId="77777777">
        <w:tc>
          <w:tcPr>
            <w:tcW w:w="1277" w:type="dxa"/>
            <w:tcMar>
              <w:top w:w="100" w:type="dxa"/>
              <w:left w:w="100" w:type="dxa"/>
              <w:bottom w:w="100" w:type="dxa"/>
              <w:right w:w="100" w:type="dxa"/>
            </w:tcMar>
          </w:tcPr>
          <w:p w14:paraId="32BE6A7E"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tc>
        <w:tc>
          <w:tcPr>
            <w:tcW w:w="1277" w:type="dxa"/>
            <w:tcMar>
              <w:top w:w="100" w:type="dxa"/>
              <w:left w:w="100" w:type="dxa"/>
              <w:bottom w:w="100" w:type="dxa"/>
              <w:right w:w="100" w:type="dxa"/>
            </w:tcMar>
          </w:tcPr>
          <w:p w14:paraId="4E08394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C89C93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HHP, PEF</w:t>
            </w:r>
          </w:p>
        </w:tc>
        <w:tc>
          <w:tcPr>
            <w:tcW w:w="1603" w:type="dxa"/>
            <w:tcMar>
              <w:top w:w="100" w:type="dxa"/>
              <w:left w:w="100" w:type="dxa"/>
              <w:bottom w:w="100" w:type="dxa"/>
              <w:right w:w="100" w:type="dxa"/>
            </w:tcMar>
          </w:tcPr>
          <w:p w14:paraId="3CF8D87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 Phenolics, Antioxidants</w:t>
            </w:r>
          </w:p>
        </w:tc>
        <w:tc>
          <w:tcPr>
            <w:tcW w:w="3011" w:type="dxa"/>
            <w:tcMar>
              <w:top w:w="100" w:type="dxa"/>
              <w:left w:w="100" w:type="dxa"/>
              <w:bottom w:w="100" w:type="dxa"/>
              <w:right w:w="100" w:type="dxa"/>
            </w:tcMar>
          </w:tcPr>
          <w:p w14:paraId="3195EBE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HHP and PEF are effective non-thermal methods for improving microbial safety and phytochemical retention in juice processing.</w:t>
            </w:r>
          </w:p>
        </w:tc>
        <w:tc>
          <w:tcPr>
            <w:tcW w:w="1121" w:type="dxa"/>
            <w:tcMar>
              <w:top w:w="100" w:type="dxa"/>
              <w:left w:w="100" w:type="dxa"/>
              <w:bottom w:w="100" w:type="dxa"/>
              <w:right w:w="100" w:type="dxa"/>
            </w:tcMar>
          </w:tcPr>
          <w:p w14:paraId="5F87FB7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3154A047" w14:textId="77777777">
        <w:tc>
          <w:tcPr>
            <w:tcW w:w="1277" w:type="dxa"/>
            <w:tcMar>
              <w:top w:w="100" w:type="dxa"/>
              <w:left w:w="100" w:type="dxa"/>
              <w:bottom w:w="100" w:type="dxa"/>
              <w:right w:w="100" w:type="dxa"/>
            </w:tcMar>
          </w:tcPr>
          <w:p w14:paraId="388E139F"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Mandim</w:t>
            </w:r>
            <w:proofErr w:type="spellEnd"/>
            <w:r>
              <w:rPr>
                <w:rFonts w:ascii="Times New Roman" w:eastAsia="Times New Roman" w:hAnsi="Times New Roman" w:cs="Times New Roman"/>
                <w:sz w:val="24"/>
                <w:szCs w:val="24"/>
                <w:highlight w:val="white"/>
              </w:rPr>
              <w:t xml:space="preserve"> et al. (2024)</w:t>
            </w:r>
          </w:p>
        </w:tc>
        <w:tc>
          <w:tcPr>
            <w:tcW w:w="1277" w:type="dxa"/>
            <w:tcMar>
              <w:top w:w="100" w:type="dxa"/>
              <w:left w:w="100" w:type="dxa"/>
              <w:bottom w:w="100" w:type="dxa"/>
              <w:right w:w="100" w:type="dxa"/>
            </w:tcMar>
          </w:tcPr>
          <w:p w14:paraId="3D9380D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5EC1CBC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High-Pressure Processing (HPP)</w:t>
            </w:r>
          </w:p>
        </w:tc>
        <w:tc>
          <w:tcPr>
            <w:tcW w:w="1603" w:type="dxa"/>
            <w:tcMar>
              <w:top w:w="100" w:type="dxa"/>
              <w:left w:w="100" w:type="dxa"/>
              <w:bottom w:w="100" w:type="dxa"/>
              <w:right w:w="100" w:type="dxa"/>
            </w:tcMar>
          </w:tcPr>
          <w:p w14:paraId="4BB2B8A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Magnesium (Mg), Potassium (K), Calcium (Ca), Iron (Fe)</w:t>
            </w:r>
          </w:p>
        </w:tc>
        <w:tc>
          <w:tcPr>
            <w:tcW w:w="3011" w:type="dxa"/>
            <w:tcMar>
              <w:top w:w="100" w:type="dxa"/>
              <w:left w:w="100" w:type="dxa"/>
              <w:bottom w:w="100" w:type="dxa"/>
              <w:right w:w="100" w:type="dxa"/>
            </w:tcMar>
          </w:tcPr>
          <w:p w14:paraId="2262BD1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Macroalgae fortification with HPP treatment improved shelf life, quality, and nutritional value of sausages without adverse effects.</w:t>
            </w:r>
          </w:p>
        </w:tc>
        <w:tc>
          <w:tcPr>
            <w:tcW w:w="1121" w:type="dxa"/>
            <w:tcMar>
              <w:top w:w="100" w:type="dxa"/>
              <w:left w:w="100" w:type="dxa"/>
              <w:bottom w:w="100" w:type="dxa"/>
              <w:right w:w="100" w:type="dxa"/>
            </w:tcMar>
          </w:tcPr>
          <w:p w14:paraId="40FC7D0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Foods</w:t>
            </w:r>
          </w:p>
        </w:tc>
      </w:tr>
      <w:tr w:rsidR="00C42002" w14:paraId="4A6A9E6C" w14:textId="77777777">
        <w:tc>
          <w:tcPr>
            <w:tcW w:w="1277" w:type="dxa"/>
            <w:tcMar>
              <w:top w:w="100" w:type="dxa"/>
              <w:left w:w="100" w:type="dxa"/>
              <w:bottom w:w="100" w:type="dxa"/>
              <w:right w:w="100" w:type="dxa"/>
            </w:tcMar>
          </w:tcPr>
          <w:p w14:paraId="16958283" w14:textId="77777777" w:rsidR="00C42002" w:rsidRDefault="00241527">
            <w:pPr>
              <w:spacing w:line="36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highlight w:val="white"/>
              </w:rPr>
              <w:t>Razazian</w:t>
            </w:r>
            <w:proofErr w:type="spellEnd"/>
            <w:r>
              <w:rPr>
                <w:rFonts w:ascii="Times New Roman" w:eastAsia="Times New Roman" w:hAnsi="Times New Roman" w:cs="Times New Roman"/>
                <w:highlight w:val="white"/>
              </w:rPr>
              <w:t xml:space="preserve"> et al. (2025)</w:t>
            </w:r>
          </w:p>
        </w:tc>
        <w:tc>
          <w:tcPr>
            <w:tcW w:w="1277" w:type="dxa"/>
            <w:tcMar>
              <w:top w:w="100" w:type="dxa"/>
              <w:left w:w="100" w:type="dxa"/>
              <w:bottom w:w="100" w:type="dxa"/>
              <w:right w:w="100" w:type="dxa"/>
            </w:tcMar>
          </w:tcPr>
          <w:p w14:paraId="00BC9058" w14:textId="77777777" w:rsidR="00C42002" w:rsidRDefault="00241527">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Experimental study</w:t>
            </w:r>
          </w:p>
        </w:tc>
        <w:tc>
          <w:tcPr>
            <w:tcW w:w="1068" w:type="dxa"/>
            <w:tcMar>
              <w:top w:w="100" w:type="dxa"/>
              <w:left w:w="100" w:type="dxa"/>
              <w:bottom w:w="100" w:type="dxa"/>
              <w:right w:w="100" w:type="dxa"/>
            </w:tcMar>
          </w:tcPr>
          <w:p w14:paraId="5CFA2EA6"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Non-Thermal Methods: Cold Plasma</w:t>
            </w:r>
          </w:p>
        </w:tc>
        <w:tc>
          <w:tcPr>
            <w:tcW w:w="1603" w:type="dxa"/>
            <w:tcMar>
              <w:top w:w="100" w:type="dxa"/>
              <w:left w:w="100" w:type="dxa"/>
              <w:bottom w:w="100" w:type="dxa"/>
              <w:right w:w="100" w:type="dxa"/>
            </w:tcMar>
          </w:tcPr>
          <w:p w14:paraId="04DC765E"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Vitamin C, Total Phenolics, Flavonoids</w:t>
            </w:r>
          </w:p>
        </w:tc>
        <w:tc>
          <w:tcPr>
            <w:tcW w:w="3011" w:type="dxa"/>
            <w:tcMar>
              <w:top w:w="100" w:type="dxa"/>
              <w:left w:w="100" w:type="dxa"/>
              <w:bottom w:w="100" w:type="dxa"/>
              <w:right w:w="100" w:type="dxa"/>
            </w:tcMar>
          </w:tcPr>
          <w:p w14:paraId="18B5ADD9"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Cold plasma treatment enhanced antioxidant capacity and extended the shelf-life of lime fruits.</w:t>
            </w:r>
          </w:p>
        </w:tc>
        <w:tc>
          <w:tcPr>
            <w:tcW w:w="1121" w:type="dxa"/>
            <w:tcMar>
              <w:top w:w="100" w:type="dxa"/>
              <w:left w:w="100" w:type="dxa"/>
              <w:bottom w:w="100" w:type="dxa"/>
              <w:right w:w="100" w:type="dxa"/>
            </w:tcMar>
          </w:tcPr>
          <w:p w14:paraId="0CDB0C11" w14:textId="77777777" w:rsidR="00C42002" w:rsidRDefault="00241527">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highlight w:val="white"/>
              </w:rPr>
              <w:t>Food Science &amp; Nutrition</w:t>
            </w:r>
          </w:p>
        </w:tc>
      </w:tr>
      <w:tr w:rsidR="00C42002" w14:paraId="53BD27FF" w14:textId="77777777">
        <w:tc>
          <w:tcPr>
            <w:tcW w:w="1277" w:type="dxa"/>
            <w:tcMar>
              <w:top w:w="100" w:type="dxa"/>
              <w:left w:w="100" w:type="dxa"/>
              <w:bottom w:w="100" w:type="dxa"/>
              <w:right w:w="100" w:type="dxa"/>
            </w:tcMar>
          </w:tcPr>
          <w:p w14:paraId="774C828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Gao et al. (2022)</w:t>
            </w:r>
          </w:p>
        </w:tc>
        <w:tc>
          <w:tcPr>
            <w:tcW w:w="1277" w:type="dxa"/>
            <w:tcMar>
              <w:top w:w="100" w:type="dxa"/>
              <w:left w:w="100" w:type="dxa"/>
              <w:bottom w:w="100" w:type="dxa"/>
              <w:right w:w="100" w:type="dxa"/>
            </w:tcMar>
          </w:tcPr>
          <w:p w14:paraId="4D395BF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C89558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explore PEF and ultrasonic effects on bioactive compon</w:t>
            </w:r>
            <w:r>
              <w:rPr>
                <w:rFonts w:ascii="Times New Roman" w:eastAsia="Times New Roman" w:hAnsi="Times New Roman" w:cs="Times New Roman"/>
                <w:sz w:val="24"/>
                <w:szCs w:val="24"/>
                <w:highlight w:val="white"/>
              </w:rPr>
              <w:lastRenderedPageBreak/>
              <w:t>ents in tea polysaccharides.</w:t>
            </w:r>
          </w:p>
        </w:tc>
        <w:tc>
          <w:tcPr>
            <w:tcW w:w="1603" w:type="dxa"/>
            <w:tcMar>
              <w:top w:w="100" w:type="dxa"/>
              <w:left w:w="100" w:type="dxa"/>
              <w:bottom w:w="100" w:type="dxa"/>
              <w:right w:w="100" w:type="dxa"/>
            </w:tcMar>
          </w:tcPr>
          <w:p w14:paraId="2BA2736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Non-Thermal Methods: PEF, Ultrasound</w:t>
            </w:r>
          </w:p>
        </w:tc>
        <w:tc>
          <w:tcPr>
            <w:tcW w:w="3011" w:type="dxa"/>
            <w:tcMar>
              <w:top w:w="100" w:type="dxa"/>
              <w:left w:w="100" w:type="dxa"/>
              <w:bottom w:w="100" w:type="dxa"/>
              <w:right w:w="100" w:type="dxa"/>
            </w:tcMar>
          </w:tcPr>
          <w:p w14:paraId="123331E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and ultrasound preserved antioxidant activity in tea polysaccharides, with higher bioavailability.</w:t>
            </w:r>
          </w:p>
        </w:tc>
        <w:tc>
          <w:tcPr>
            <w:tcW w:w="1121" w:type="dxa"/>
            <w:tcMar>
              <w:top w:w="100" w:type="dxa"/>
              <w:left w:w="100" w:type="dxa"/>
              <w:bottom w:w="100" w:type="dxa"/>
              <w:right w:w="100" w:type="dxa"/>
            </w:tcMar>
          </w:tcPr>
          <w:p w14:paraId="510F51A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Food Science &amp; Technology</w:t>
            </w:r>
          </w:p>
        </w:tc>
      </w:tr>
      <w:tr w:rsidR="00C42002" w14:paraId="65DB5AD6" w14:textId="77777777">
        <w:tc>
          <w:tcPr>
            <w:tcW w:w="1277" w:type="dxa"/>
            <w:tcMar>
              <w:top w:w="100" w:type="dxa"/>
              <w:left w:w="100" w:type="dxa"/>
              <w:bottom w:w="100" w:type="dxa"/>
              <w:right w:w="100" w:type="dxa"/>
            </w:tcMar>
          </w:tcPr>
          <w:p w14:paraId="1AB44CC9"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c>
          <w:tcPr>
            <w:tcW w:w="1277" w:type="dxa"/>
            <w:tcMar>
              <w:top w:w="100" w:type="dxa"/>
              <w:left w:w="100" w:type="dxa"/>
              <w:bottom w:w="100" w:type="dxa"/>
              <w:right w:w="100" w:type="dxa"/>
            </w:tcMar>
          </w:tcPr>
          <w:p w14:paraId="11F28B1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20CFDE6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investigate the effect of HPP on blueberry juice's phenolic content and antioxidant activity.</w:t>
            </w:r>
          </w:p>
        </w:tc>
        <w:tc>
          <w:tcPr>
            <w:tcW w:w="1603" w:type="dxa"/>
            <w:tcMar>
              <w:top w:w="100" w:type="dxa"/>
              <w:left w:w="100" w:type="dxa"/>
              <w:bottom w:w="100" w:type="dxa"/>
              <w:right w:w="100" w:type="dxa"/>
            </w:tcMar>
          </w:tcPr>
          <w:p w14:paraId="619413D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HPP</w:t>
            </w:r>
          </w:p>
        </w:tc>
        <w:tc>
          <w:tcPr>
            <w:tcW w:w="3011" w:type="dxa"/>
            <w:tcMar>
              <w:top w:w="100" w:type="dxa"/>
              <w:left w:w="100" w:type="dxa"/>
              <w:bottom w:w="100" w:type="dxa"/>
              <w:right w:w="100" w:type="dxa"/>
            </w:tcMar>
          </w:tcPr>
          <w:p w14:paraId="08C9498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effectively preserved antioxidants and vitamins, maintaining nutrient integrity in blueberry juice.</w:t>
            </w:r>
          </w:p>
        </w:tc>
        <w:tc>
          <w:tcPr>
            <w:tcW w:w="1121" w:type="dxa"/>
            <w:tcMar>
              <w:top w:w="100" w:type="dxa"/>
              <w:left w:w="100" w:type="dxa"/>
              <w:bottom w:w="100" w:type="dxa"/>
              <w:right w:w="100" w:type="dxa"/>
            </w:tcMar>
          </w:tcPr>
          <w:p w14:paraId="2D16FC5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Control</w:t>
            </w:r>
          </w:p>
        </w:tc>
      </w:tr>
      <w:tr w:rsidR="00C42002" w14:paraId="457DBDE7" w14:textId="77777777">
        <w:tc>
          <w:tcPr>
            <w:tcW w:w="1277" w:type="dxa"/>
            <w:tcMar>
              <w:top w:w="100" w:type="dxa"/>
              <w:left w:w="100" w:type="dxa"/>
              <w:bottom w:w="100" w:type="dxa"/>
              <w:right w:w="100" w:type="dxa"/>
            </w:tcMar>
          </w:tcPr>
          <w:p w14:paraId="2B38BDA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Lai et al. (2022)</w:t>
            </w:r>
          </w:p>
        </w:tc>
        <w:tc>
          <w:tcPr>
            <w:tcW w:w="1277" w:type="dxa"/>
            <w:tcMar>
              <w:top w:w="100" w:type="dxa"/>
              <w:left w:w="100" w:type="dxa"/>
              <w:bottom w:w="100" w:type="dxa"/>
              <w:right w:w="100" w:type="dxa"/>
            </w:tcMar>
          </w:tcPr>
          <w:p w14:paraId="3AD0777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A835110"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evaluate HPP's effect on the microbiological safety and quality of </w:t>
            </w:r>
            <w:proofErr w:type="spellStart"/>
            <w:r>
              <w:rPr>
                <w:rFonts w:ascii="Times New Roman" w:eastAsia="Times New Roman" w:hAnsi="Times New Roman" w:cs="Times New Roman"/>
                <w:sz w:val="24"/>
                <w:szCs w:val="24"/>
                <w:highlight w:val="white"/>
              </w:rPr>
              <w:t>Shiikuw</w:t>
            </w:r>
            <w:r>
              <w:rPr>
                <w:rFonts w:ascii="Times New Roman" w:eastAsia="Times New Roman" w:hAnsi="Times New Roman" w:cs="Times New Roman"/>
                <w:sz w:val="24"/>
                <w:szCs w:val="24"/>
                <w:highlight w:val="white"/>
              </w:rPr>
              <w:lastRenderedPageBreak/>
              <w:t>asha</w:t>
            </w:r>
            <w:proofErr w:type="spellEnd"/>
            <w:r>
              <w:rPr>
                <w:rFonts w:ascii="Times New Roman" w:eastAsia="Times New Roman" w:hAnsi="Times New Roman" w:cs="Times New Roman"/>
                <w:sz w:val="24"/>
                <w:szCs w:val="24"/>
                <w:highlight w:val="white"/>
              </w:rPr>
              <w:t xml:space="preserve"> juice.</w:t>
            </w:r>
          </w:p>
        </w:tc>
        <w:tc>
          <w:tcPr>
            <w:tcW w:w="1603" w:type="dxa"/>
            <w:tcMar>
              <w:top w:w="100" w:type="dxa"/>
              <w:left w:w="100" w:type="dxa"/>
              <w:bottom w:w="100" w:type="dxa"/>
              <w:right w:w="100" w:type="dxa"/>
            </w:tcMar>
          </w:tcPr>
          <w:p w14:paraId="4AC9CE4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Non-Thermal Methods: HPP</w:t>
            </w:r>
          </w:p>
        </w:tc>
        <w:tc>
          <w:tcPr>
            <w:tcW w:w="3011" w:type="dxa"/>
            <w:tcMar>
              <w:top w:w="100" w:type="dxa"/>
              <w:left w:w="100" w:type="dxa"/>
              <w:bottom w:w="100" w:type="dxa"/>
              <w:right w:w="100" w:type="dxa"/>
            </w:tcMar>
          </w:tcPr>
          <w:p w14:paraId="3AFBFA4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HPP preserved the quality and bioactive compounds of </w:t>
            </w:r>
            <w:proofErr w:type="spellStart"/>
            <w:r>
              <w:rPr>
                <w:rFonts w:ascii="Times New Roman" w:eastAsia="Times New Roman" w:hAnsi="Times New Roman" w:cs="Times New Roman"/>
                <w:sz w:val="24"/>
                <w:szCs w:val="24"/>
                <w:highlight w:val="white"/>
              </w:rPr>
              <w:t>Shiikuwasha</w:t>
            </w:r>
            <w:proofErr w:type="spellEnd"/>
            <w:r>
              <w:rPr>
                <w:rFonts w:ascii="Times New Roman" w:eastAsia="Times New Roman" w:hAnsi="Times New Roman" w:cs="Times New Roman"/>
                <w:sz w:val="24"/>
                <w:szCs w:val="24"/>
                <w:highlight w:val="white"/>
              </w:rPr>
              <w:t xml:space="preserve"> juice while ensuring microbiological safety.</w:t>
            </w:r>
          </w:p>
        </w:tc>
        <w:tc>
          <w:tcPr>
            <w:tcW w:w="1121" w:type="dxa"/>
            <w:tcMar>
              <w:top w:w="100" w:type="dxa"/>
              <w:left w:w="100" w:type="dxa"/>
              <w:bottom w:w="100" w:type="dxa"/>
              <w:right w:w="100" w:type="dxa"/>
            </w:tcMar>
          </w:tcPr>
          <w:p w14:paraId="6FBD1FE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Science &amp; Technology</w:t>
            </w:r>
          </w:p>
        </w:tc>
      </w:tr>
      <w:tr w:rsidR="00C42002" w14:paraId="1BDB8C31" w14:textId="77777777">
        <w:tc>
          <w:tcPr>
            <w:tcW w:w="1277" w:type="dxa"/>
            <w:tcMar>
              <w:top w:w="100" w:type="dxa"/>
              <w:left w:w="100" w:type="dxa"/>
              <w:bottom w:w="100" w:type="dxa"/>
              <w:right w:w="100" w:type="dxa"/>
            </w:tcMar>
          </w:tcPr>
          <w:p w14:paraId="03EB30C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Peng et al. (2025)</w:t>
            </w:r>
          </w:p>
        </w:tc>
        <w:tc>
          <w:tcPr>
            <w:tcW w:w="1277" w:type="dxa"/>
            <w:tcMar>
              <w:top w:w="100" w:type="dxa"/>
              <w:left w:w="100" w:type="dxa"/>
              <w:bottom w:w="100" w:type="dxa"/>
              <w:right w:w="100" w:type="dxa"/>
            </w:tcMar>
          </w:tcPr>
          <w:p w14:paraId="70BBA87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 study</w:t>
            </w:r>
          </w:p>
        </w:tc>
        <w:tc>
          <w:tcPr>
            <w:tcW w:w="1068" w:type="dxa"/>
            <w:tcMar>
              <w:top w:w="100" w:type="dxa"/>
              <w:left w:w="100" w:type="dxa"/>
              <w:bottom w:w="100" w:type="dxa"/>
              <w:right w:w="100" w:type="dxa"/>
            </w:tcMar>
          </w:tcPr>
          <w:p w14:paraId="6A3B03C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evaluate the effects of high-pressure homogenization (HPH) on phenolic bioavailability in peach juice.</w:t>
            </w:r>
          </w:p>
        </w:tc>
        <w:tc>
          <w:tcPr>
            <w:tcW w:w="1603" w:type="dxa"/>
            <w:tcMar>
              <w:top w:w="100" w:type="dxa"/>
              <w:left w:w="100" w:type="dxa"/>
              <w:bottom w:w="100" w:type="dxa"/>
              <w:right w:w="100" w:type="dxa"/>
            </w:tcMar>
          </w:tcPr>
          <w:p w14:paraId="750D7AD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Methods: HPH</w:t>
            </w:r>
          </w:p>
        </w:tc>
        <w:tc>
          <w:tcPr>
            <w:tcW w:w="3011" w:type="dxa"/>
            <w:tcMar>
              <w:top w:w="100" w:type="dxa"/>
              <w:left w:w="100" w:type="dxa"/>
              <w:bottom w:w="100" w:type="dxa"/>
              <w:right w:w="100" w:type="dxa"/>
            </w:tcMar>
          </w:tcPr>
          <w:p w14:paraId="212F03E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HPH treatment improved phenolic bioavailability, enhancing antioxidant activity and functional benefits in peach juice.</w:t>
            </w:r>
          </w:p>
        </w:tc>
        <w:tc>
          <w:tcPr>
            <w:tcW w:w="1121" w:type="dxa"/>
            <w:tcMar>
              <w:top w:w="100" w:type="dxa"/>
              <w:left w:w="100" w:type="dxa"/>
              <w:bottom w:w="100" w:type="dxa"/>
              <w:right w:w="100" w:type="dxa"/>
            </w:tcMar>
          </w:tcPr>
          <w:p w14:paraId="23B618A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Chemistry</w:t>
            </w:r>
          </w:p>
        </w:tc>
      </w:tr>
    </w:tbl>
    <w:p w14:paraId="509DF403" w14:textId="77777777" w:rsidR="00C42002" w:rsidRDefault="00C42002">
      <w:pPr>
        <w:spacing w:line="360" w:lineRule="auto"/>
        <w:jc w:val="both"/>
        <w:rPr>
          <w:rFonts w:ascii="Times New Roman" w:eastAsia="Times New Roman" w:hAnsi="Times New Roman" w:cs="Times New Roman"/>
          <w:sz w:val="24"/>
          <w:szCs w:val="24"/>
          <w:highlight w:val="white"/>
        </w:rPr>
      </w:pPr>
    </w:p>
    <w:p w14:paraId="56A70A7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26BA5993" wp14:editId="560B2CCD">
            <wp:extent cx="5943600" cy="3467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3467100"/>
                    </a:xfrm>
                    <a:prstGeom prst="rect">
                      <a:avLst/>
                    </a:prstGeom>
                    <a:ln/>
                  </pic:spPr>
                </pic:pic>
              </a:graphicData>
            </a:graphic>
          </wp:inline>
        </w:drawing>
      </w:r>
    </w:p>
    <w:p w14:paraId="6149E008" w14:textId="77777777" w:rsidR="00C42002" w:rsidRDefault="00241527">
      <w:pPr>
        <w:spacing w:line="360" w:lineRule="auto"/>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Figure 2: Comparative Nutrient Retention Across Processing Technologies </w:t>
      </w:r>
    </w:p>
    <w:p w14:paraId="6A247A74" w14:textId="77777777" w:rsidR="00C42002" w:rsidRDefault="00C42002">
      <w:pPr>
        <w:spacing w:line="360" w:lineRule="auto"/>
        <w:rPr>
          <w:rFonts w:ascii="Times New Roman" w:eastAsia="Times New Roman" w:hAnsi="Times New Roman" w:cs="Times New Roman"/>
          <w:b/>
          <w:bCs/>
          <w:sz w:val="32"/>
          <w:szCs w:val="32"/>
          <w:highlight w:val="white"/>
        </w:rPr>
      </w:pPr>
    </w:p>
    <w:p w14:paraId="147AB565" w14:textId="77777777" w:rsidR="00C42002" w:rsidRDefault="0024152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Narrative synthesis and Discussion</w:t>
      </w:r>
    </w:p>
    <w:p w14:paraId="428DA3D5"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0" w:name="_heading=h.ba5gpgye37z9" w:colFirst="0" w:colLast="0"/>
      <w:bookmarkEnd w:id="0"/>
      <w:r>
        <w:rPr>
          <w:rFonts w:ascii="Times New Roman" w:eastAsia="Times New Roman" w:hAnsi="Times New Roman" w:cs="Times New Roman"/>
          <w:b/>
          <w:bCs/>
          <w:color w:val="000000"/>
          <w:sz w:val="24"/>
          <w:szCs w:val="24"/>
          <w:highlight w:val="white"/>
        </w:rPr>
        <w:t xml:space="preserve">Emergence of Non-Thermal Processing Technologies: How Do They Preserve Nutrient Integrity? </w:t>
      </w:r>
    </w:p>
    <w:p w14:paraId="4ED2E87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recent years, the need for food preservation technologies that balance safety with nutrient retention has led to the development and adoption of non-thermal processing methods. While traditional thermal processes, such as pasteurization, canning, and boiling, effectively reduce microbial contamination, they often lead to the degradation of heat-sensitive nutrients, such as vitamins, antioxidants, and polyphenols. Non-thermal technologies like High-Pressure Processing (HPP), Pulsed Electric Field (PEF), and Cold Plasma have emerged as promising alternatives due to their ability to preserve nutrient integrity while maintaining microbial safety (</w:t>
      </w:r>
      <w:proofErr w:type="spellStart"/>
      <w:r>
        <w:rPr>
          <w:rFonts w:ascii="Times New Roman" w:eastAsia="Times New Roman" w:hAnsi="Times New Roman" w:cs="Times New Roman"/>
          <w:sz w:val="24"/>
          <w:szCs w:val="24"/>
          <w:highlight w:val="white"/>
        </w:rPr>
        <w:t>Athanasiadis</w:t>
      </w:r>
      <w:proofErr w:type="spellEnd"/>
      <w:r>
        <w:rPr>
          <w:rFonts w:ascii="Times New Roman" w:eastAsia="Times New Roman" w:hAnsi="Times New Roman" w:cs="Times New Roman"/>
          <w:sz w:val="24"/>
          <w:szCs w:val="24"/>
          <w:highlight w:val="white"/>
        </w:rPr>
        <w:t xml:space="preserve"> et al., 2025; Khalid et al., 2025; Zhang et al., 2025).</w:t>
      </w:r>
    </w:p>
    <w:p w14:paraId="0C2BE429"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advantage of these non-thermal methods lies in their ability to reduce microbial loads without subjecting the food to heat-induced degradation of vital nutrients. HPP, for example, has been </w:t>
      </w:r>
      <w:r>
        <w:rPr>
          <w:rFonts w:ascii="Times New Roman" w:eastAsia="Times New Roman" w:hAnsi="Times New Roman" w:cs="Times New Roman"/>
          <w:sz w:val="24"/>
          <w:szCs w:val="24"/>
          <w:highlight w:val="white"/>
        </w:rPr>
        <w:lastRenderedPageBreak/>
        <w:t xml:space="preserve">shown to preserve the quality and antioxidant capacity of fruit juices and vegetables, retaining heat-sensitive compounds like vitamin C, polyphenols, and flavonoids (Gao et al., 2022). Similarly, PEF technology has been used successfully in preserving the bioactive compounds in fruits and vegetables while reducing microbial content, offering a </w:t>
      </w:r>
      <w:proofErr w:type="gramStart"/>
      <w:r>
        <w:rPr>
          <w:rFonts w:ascii="Times New Roman" w:eastAsia="Times New Roman" w:hAnsi="Times New Roman" w:cs="Times New Roman"/>
          <w:sz w:val="24"/>
          <w:szCs w:val="24"/>
          <w:highlight w:val="white"/>
        </w:rPr>
        <w:t>more nutrient-friendly</w:t>
      </w:r>
      <w:proofErr w:type="gramEnd"/>
      <w:r>
        <w:rPr>
          <w:rFonts w:ascii="Times New Roman" w:eastAsia="Times New Roman" w:hAnsi="Times New Roman" w:cs="Times New Roman"/>
          <w:sz w:val="24"/>
          <w:szCs w:val="24"/>
          <w:highlight w:val="white"/>
        </w:rPr>
        <w:t xml:space="preserve"> alternative to conventional thermal processing (Rinaldi et al., 2024;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p w14:paraId="0ADCB9B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technologies, however, are not without their challenges. The effectiveness of nutrient preservation depends heavily on the processing parameters, such as pressure, electric field strength, and treatment time, as well as the food matrix itself (Lai et al., 2022). For instance, while HPP is widely successful in fruit and vegetable processing, its application in protein-rich foods like meat and dairy has shown more varied results (Peng et al., 2025; Zhang et al., 2025). </w:t>
      </w:r>
    </w:p>
    <w:p w14:paraId="50CD332A" w14:textId="77777777" w:rsidR="00C42002" w:rsidRDefault="0024152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Comparative Efficacy of Non-Thermal Processing Techniques: A Look at Nutrient Preservation Across Food Types </w:t>
      </w:r>
    </w:p>
    <w:p w14:paraId="6B30A70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Non-thermal processing techniques offer distinct advantages for preserving nutrient integrity across various food types, with substantial improvements over traditional thermal methods. The ability to preserve vitamins, antioxidants, and other bioactive compounds is particularly crucial for products like fruit juices, dairy, and vegetables, where heat-sensitive nutrients are abundant (Zhang et al., 2025). For instance, HPP has proven highly effective in preserving antioxidants and vitamins in fruit juices, such as the retention of up to 92% of vitamin C in citrus juices and 90% of polyphenols in blueberries (</w:t>
      </w:r>
      <w:proofErr w:type="spellStart"/>
      <w:r>
        <w:rPr>
          <w:rFonts w:ascii="Times New Roman" w:eastAsia="Times New Roman" w:hAnsi="Times New Roman" w:cs="Times New Roman"/>
          <w:sz w:val="24"/>
          <w:szCs w:val="24"/>
          <w:highlight w:val="white"/>
        </w:rPr>
        <w:t>Razazian</w:t>
      </w:r>
      <w:proofErr w:type="spellEnd"/>
      <w:r>
        <w:rPr>
          <w:rFonts w:ascii="Times New Roman" w:eastAsia="Times New Roman" w:hAnsi="Times New Roman" w:cs="Times New Roman"/>
          <w:sz w:val="24"/>
          <w:szCs w:val="24"/>
          <w:highlight w:val="white"/>
        </w:rPr>
        <w:t xml:space="preserve"> et al., 2025; Peng et al., 2025).</w:t>
      </w:r>
    </w:p>
    <w:p w14:paraId="4483958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the efficacy of non-thermal processing varies depending on the food matrix. Fruits and vegetables, which have a higher water content, generally exhibit better nutrient retention post-treatment compared to meats or dairy products. The water content of fruits like tomatoes and mangoes allows for better diffusion of pressure during HPP or PEF treatments, leading to higher retention of bioactive compounds (Rinaldi et al., 2024;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On the other hand, non-thermal methods applied to meat products and dairy, which contain higher levels of fats and proteins, show more mixed results. Studies indicate that while non-thermal treatments, particularly PEF, improve protein solubility and reduce drip loss in meats, they may also lead to slight changes in texture and color (Zhang et al., 2025; Gao et al., 2022).</w:t>
      </w:r>
    </w:p>
    <w:p w14:paraId="070D0117"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Table 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highlight w:val="white"/>
        </w:rPr>
        <w:t>Summary of Nutrient Retention Across Different Processing Technologies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C42002" w14:paraId="71E7A84A" w14:textId="77777777">
        <w:tc>
          <w:tcPr>
            <w:tcW w:w="1560" w:type="dxa"/>
            <w:tcMar>
              <w:top w:w="100" w:type="dxa"/>
              <w:left w:w="100" w:type="dxa"/>
              <w:bottom w:w="100" w:type="dxa"/>
              <w:right w:w="100" w:type="dxa"/>
            </w:tcMar>
          </w:tcPr>
          <w:p w14:paraId="18EF920B"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Food Type</w:t>
            </w:r>
          </w:p>
        </w:tc>
        <w:tc>
          <w:tcPr>
            <w:tcW w:w="1560" w:type="dxa"/>
            <w:tcMar>
              <w:top w:w="100" w:type="dxa"/>
              <w:left w:w="100" w:type="dxa"/>
              <w:bottom w:w="100" w:type="dxa"/>
              <w:right w:w="100" w:type="dxa"/>
            </w:tcMar>
          </w:tcPr>
          <w:p w14:paraId="39C27CCC"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Processing Method</w:t>
            </w:r>
          </w:p>
        </w:tc>
        <w:tc>
          <w:tcPr>
            <w:tcW w:w="1560" w:type="dxa"/>
            <w:tcMar>
              <w:top w:w="100" w:type="dxa"/>
              <w:left w:w="100" w:type="dxa"/>
              <w:bottom w:w="100" w:type="dxa"/>
              <w:right w:w="100" w:type="dxa"/>
            </w:tcMar>
          </w:tcPr>
          <w:p w14:paraId="753A7EEA"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Nutrient Examined</w:t>
            </w:r>
          </w:p>
        </w:tc>
        <w:tc>
          <w:tcPr>
            <w:tcW w:w="1560" w:type="dxa"/>
            <w:tcMar>
              <w:top w:w="100" w:type="dxa"/>
              <w:left w:w="100" w:type="dxa"/>
              <w:bottom w:w="100" w:type="dxa"/>
              <w:right w:w="100" w:type="dxa"/>
            </w:tcMar>
          </w:tcPr>
          <w:p w14:paraId="6023CAEC"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Retention (%)</w:t>
            </w:r>
          </w:p>
        </w:tc>
        <w:tc>
          <w:tcPr>
            <w:tcW w:w="1560" w:type="dxa"/>
            <w:tcMar>
              <w:top w:w="100" w:type="dxa"/>
              <w:left w:w="100" w:type="dxa"/>
              <w:bottom w:w="100" w:type="dxa"/>
              <w:right w:w="100" w:type="dxa"/>
            </w:tcMar>
          </w:tcPr>
          <w:p w14:paraId="582C9992"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Findings</w:t>
            </w:r>
          </w:p>
        </w:tc>
        <w:tc>
          <w:tcPr>
            <w:tcW w:w="1560" w:type="dxa"/>
            <w:tcMar>
              <w:top w:w="100" w:type="dxa"/>
              <w:left w:w="100" w:type="dxa"/>
              <w:bottom w:w="100" w:type="dxa"/>
              <w:right w:w="100" w:type="dxa"/>
            </w:tcMar>
          </w:tcPr>
          <w:p w14:paraId="420C6E13" w14:textId="77777777" w:rsidR="00C42002" w:rsidRDefault="00241527">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Source</w:t>
            </w:r>
          </w:p>
        </w:tc>
      </w:tr>
      <w:tr w:rsidR="00C42002" w14:paraId="27EEE337" w14:textId="77777777">
        <w:tc>
          <w:tcPr>
            <w:tcW w:w="1560" w:type="dxa"/>
            <w:tcMar>
              <w:top w:w="100" w:type="dxa"/>
              <w:left w:w="100" w:type="dxa"/>
              <w:bottom w:w="100" w:type="dxa"/>
              <w:right w:w="100" w:type="dxa"/>
            </w:tcMar>
          </w:tcPr>
          <w:p w14:paraId="5F30137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Tomato</w:t>
            </w:r>
          </w:p>
        </w:tc>
        <w:tc>
          <w:tcPr>
            <w:tcW w:w="1560" w:type="dxa"/>
            <w:tcMar>
              <w:top w:w="100" w:type="dxa"/>
              <w:left w:w="100" w:type="dxa"/>
              <w:bottom w:w="100" w:type="dxa"/>
              <w:right w:w="100" w:type="dxa"/>
            </w:tcMar>
          </w:tcPr>
          <w:p w14:paraId="5267D4B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14:paraId="7458161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 Vitamin C</w:t>
            </w:r>
          </w:p>
        </w:tc>
        <w:tc>
          <w:tcPr>
            <w:tcW w:w="1560" w:type="dxa"/>
            <w:tcMar>
              <w:top w:w="100" w:type="dxa"/>
              <w:left w:w="100" w:type="dxa"/>
              <w:bottom w:w="100" w:type="dxa"/>
              <w:right w:w="100" w:type="dxa"/>
            </w:tcMar>
          </w:tcPr>
          <w:p w14:paraId="7254779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 Vitamin C</w:t>
            </w:r>
          </w:p>
        </w:tc>
        <w:tc>
          <w:tcPr>
            <w:tcW w:w="1560" w:type="dxa"/>
            <w:tcMar>
              <w:top w:w="100" w:type="dxa"/>
              <w:left w:w="100" w:type="dxa"/>
              <w:bottom w:w="100" w:type="dxa"/>
              <w:right w:w="100" w:type="dxa"/>
            </w:tcMar>
          </w:tcPr>
          <w:p w14:paraId="2D7D238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preserved carotenoids and Vitamin C.</w:t>
            </w:r>
          </w:p>
        </w:tc>
        <w:tc>
          <w:tcPr>
            <w:tcW w:w="1560" w:type="dxa"/>
            <w:tcMar>
              <w:top w:w="100" w:type="dxa"/>
              <w:left w:w="100" w:type="dxa"/>
              <w:bottom w:w="100" w:type="dxa"/>
              <w:right w:w="100" w:type="dxa"/>
            </w:tcMar>
          </w:tcPr>
          <w:p w14:paraId="34C941D2"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w:t>
            </w:r>
          </w:p>
        </w:tc>
      </w:tr>
      <w:tr w:rsidR="00C42002" w14:paraId="17189358" w14:textId="77777777">
        <w:tc>
          <w:tcPr>
            <w:tcW w:w="1560" w:type="dxa"/>
            <w:tcMar>
              <w:top w:w="100" w:type="dxa"/>
              <w:left w:w="100" w:type="dxa"/>
              <w:bottom w:w="100" w:type="dxa"/>
              <w:right w:w="100" w:type="dxa"/>
            </w:tcMar>
          </w:tcPr>
          <w:p w14:paraId="128F8B3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Beef</w:t>
            </w:r>
          </w:p>
        </w:tc>
        <w:tc>
          <w:tcPr>
            <w:tcW w:w="1560" w:type="dxa"/>
            <w:tcMar>
              <w:top w:w="100" w:type="dxa"/>
              <w:left w:w="100" w:type="dxa"/>
              <w:bottom w:w="100" w:type="dxa"/>
              <w:right w:w="100" w:type="dxa"/>
            </w:tcMar>
          </w:tcPr>
          <w:p w14:paraId="27DCE62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14:paraId="6076DF0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Proteins, Lipids</w:t>
            </w:r>
          </w:p>
        </w:tc>
        <w:tc>
          <w:tcPr>
            <w:tcW w:w="1560" w:type="dxa"/>
            <w:tcMar>
              <w:top w:w="100" w:type="dxa"/>
              <w:left w:w="100" w:type="dxa"/>
              <w:bottom w:w="100" w:type="dxa"/>
              <w:right w:w="100" w:type="dxa"/>
            </w:tcMar>
          </w:tcPr>
          <w:p w14:paraId="4B560BF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75%</w:t>
            </w:r>
          </w:p>
        </w:tc>
        <w:tc>
          <w:tcPr>
            <w:tcW w:w="1560" w:type="dxa"/>
            <w:tcMar>
              <w:top w:w="100" w:type="dxa"/>
              <w:left w:w="100" w:type="dxa"/>
              <w:bottom w:w="100" w:type="dxa"/>
              <w:right w:w="100" w:type="dxa"/>
            </w:tcMar>
          </w:tcPr>
          <w:p w14:paraId="3F16046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 improved protein solubility but altered color.</w:t>
            </w:r>
          </w:p>
        </w:tc>
        <w:tc>
          <w:tcPr>
            <w:tcW w:w="1560" w:type="dxa"/>
            <w:tcMar>
              <w:top w:w="100" w:type="dxa"/>
              <w:left w:w="100" w:type="dxa"/>
              <w:bottom w:w="100" w:type="dxa"/>
              <w:right w:w="100" w:type="dxa"/>
            </w:tcMar>
          </w:tcPr>
          <w:p w14:paraId="4AB4D9E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et al. (2025)</w:t>
            </w:r>
          </w:p>
        </w:tc>
      </w:tr>
      <w:tr w:rsidR="00C42002" w14:paraId="654CA4F5" w14:textId="77777777">
        <w:tc>
          <w:tcPr>
            <w:tcW w:w="1560" w:type="dxa"/>
            <w:tcMar>
              <w:top w:w="100" w:type="dxa"/>
              <w:left w:w="100" w:type="dxa"/>
              <w:bottom w:w="100" w:type="dxa"/>
              <w:right w:w="100" w:type="dxa"/>
            </w:tcMar>
          </w:tcPr>
          <w:p w14:paraId="24D9465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Dairy (Milk)</w:t>
            </w:r>
          </w:p>
        </w:tc>
        <w:tc>
          <w:tcPr>
            <w:tcW w:w="1560" w:type="dxa"/>
            <w:tcMar>
              <w:top w:w="100" w:type="dxa"/>
              <w:left w:w="100" w:type="dxa"/>
              <w:bottom w:w="100" w:type="dxa"/>
              <w:right w:w="100" w:type="dxa"/>
            </w:tcMar>
          </w:tcPr>
          <w:p w14:paraId="3E6BB03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14:paraId="44536A6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Lactoferrin, Vitamin C</w:t>
            </w:r>
          </w:p>
        </w:tc>
        <w:tc>
          <w:tcPr>
            <w:tcW w:w="1560" w:type="dxa"/>
            <w:tcMar>
              <w:top w:w="100" w:type="dxa"/>
              <w:left w:w="100" w:type="dxa"/>
              <w:bottom w:w="100" w:type="dxa"/>
              <w:right w:w="100" w:type="dxa"/>
            </w:tcMar>
          </w:tcPr>
          <w:p w14:paraId="4F2584A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w:t>
            </w:r>
          </w:p>
        </w:tc>
        <w:tc>
          <w:tcPr>
            <w:tcW w:w="1560" w:type="dxa"/>
            <w:tcMar>
              <w:top w:w="100" w:type="dxa"/>
              <w:left w:w="100" w:type="dxa"/>
              <w:bottom w:w="100" w:type="dxa"/>
              <w:right w:w="100" w:type="dxa"/>
            </w:tcMar>
          </w:tcPr>
          <w:p w14:paraId="6D5FAE7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preserved lactoferrin and Vitamin C.</w:t>
            </w:r>
          </w:p>
        </w:tc>
        <w:tc>
          <w:tcPr>
            <w:tcW w:w="1560" w:type="dxa"/>
            <w:tcMar>
              <w:top w:w="100" w:type="dxa"/>
              <w:left w:w="100" w:type="dxa"/>
              <w:bottom w:w="100" w:type="dxa"/>
              <w:right w:w="100" w:type="dxa"/>
            </w:tcMar>
          </w:tcPr>
          <w:p w14:paraId="0AB538B1"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Mandim</w:t>
            </w:r>
            <w:proofErr w:type="spellEnd"/>
            <w:r>
              <w:rPr>
                <w:rFonts w:ascii="Times New Roman" w:eastAsia="Times New Roman" w:hAnsi="Times New Roman" w:cs="Times New Roman"/>
                <w:sz w:val="24"/>
                <w:szCs w:val="24"/>
                <w:highlight w:val="white"/>
              </w:rPr>
              <w:t xml:space="preserve"> et al. (2024)</w:t>
            </w:r>
          </w:p>
        </w:tc>
      </w:tr>
      <w:tr w:rsidR="00C42002" w14:paraId="1C61780C" w14:textId="77777777">
        <w:tc>
          <w:tcPr>
            <w:tcW w:w="1560" w:type="dxa"/>
            <w:tcMar>
              <w:top w:w="100" w:type="dxa"/>
              <w:left w:w="100" w:type="dxa"/>
              <w:bottom w:w="100" w:type="dxa"/>
              <w:right w:w="100" w:type="dxa"/>
            </w:tcMar>
          </w:tcPr>
          <w:p w14:paraId="48612FD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Mango</w:t>
            </w:r>
          </w:p>
        </w:tc>
        <w:tc>
          <w:tcPr>
            <w:tcW w:w="1560" w:type="dxa"/>
            <w:tcMar>
              <w:top w:w="100" w:type="dxa"/>
              <w:left w:w="100" w:type="dxa"/>
              <w:bottom w:w="100" w:type="dxa"/>
              <w:right w:w="100" w:type="dxa"/>
            </w:tcMar>
          </w:tcPr>
          <w:p w14:paraId="5375D12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w:t>
            </w:r>
          </w:p>
        </w:tc>
        <w:tc>
          <w:tcPr>
            <w:tcW w:w="1560" w:type="dxa"/>
            <w:tcMar>
              <w:top w:w="100" w:type="dxa"/>
              <w:left w:w="100" w:type="dxa"/>
              <w:bottom w:w="100" w:type="dxa"/>
              <w:right w:w="100" w:type="dxa"/>
            </w:tcMar>
          </w:tcPr>
          <w:p w14:paraId="69E4C06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w:t>
            </w:r>
          </w:p>
        </w:tc>
        <w:tc>
          <w:tcPr>
            <w:tcW w:w="1560" w:type="dxa"/>
            <w:tcMar>
              <w:top w:w="100" w:type="dxa"/>
              <w:left w:w="100" w:type="dxa"/>
              <w:bottom w:w="100" w:type="dxa"/>
              <w:right w:w="100" w:type="dxa"/>
            </w:tcMar>
          </w:tcPr>
          <w:p w14:paraId="07B5C1A1"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c>
          <w:tcPr>
            <w:tcW w:w="1560" w:type="dxa"/>
            <w:tcMar>
              <w:top w:w="100" w:type="dxa"/>
              <w:left w:w="100" w:type="dxa"/>
              <w:bottom w:w="100" w:type="dxa"/>
              <w:right w:w="100" w:type="dxa"/>
            </w:tcMar>
          </w:tcPr>
          <w:p w14:paraId="62D1F64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preserved Vitamin C and bioactive compounds.</w:t>
            </w:r>
          </w:p>
        </w:tc>
        <w:tc>
          <w:tcPr>
            <w:tcW w:w="1560" w:type="dxa"/>
            <w:tcMar>
              <w:top w:w="100" w:type="dxa"/>
              <w:left w:w="100" w:type="dxa"/>
              <w:bottom w:w="100" w:type="dxa"/>
              <w:right w:w="100" w:type="dxa"/>
            </w:tcMar>
          </w:tcPr>
          <w:p w14:paraId="2BE21C39"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Yanclo</w:t>
            </w:r>
            <w:proofErr w:type="spellEnd"/>
            <w:r>
              <w:rPr>
                <w:rFonts w:ascii="Times New Roman" w:eastAsia="Times New Roman" w:hAnsi="Times New Roman" w:cs="Times New Roman"/>
                <w:sz w:val="24"/>
                <w:szCs w:val="24"/>
                <w:highlight w:val="white"/>
              </w:rPr>
              <w:t xml:space="preserve"> et al. (2024)</w:t>
            </w:r>
          </w:p>
        </w:tc>
      </w:tr>
      <w:tr w:rsidR="00C42002" w14:paraId="1A865B0A" w14:textId="77777777">
        <w:tc>
          <w:tcPr>
            <w:tcW w:w="1560" w:type="dxa"/>
            <w:tcMar>
              <w:top w:w="100" w:type="dxa"/>
              <w:left w:w="100" w:type="dxa"/>
              <w:bottom w:w="100" w:type="dxa"/>
              <w:right w:w="100" w:type="dxa"/>
            </w:tcMar>
          </w:tcPr>
          <w:p w14:paraId="624726D2"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Carrot</w:t>
            </w:r>
          </w:p>
        </w:tc>
        <w:tc>
          <w:tcPr>
            <w:tcW w:w="1560" w:type="dxa"/>
            <w:tcMar>
              <w:top w:w="100" w:type="dxa"/>
              <w:left w:w="100" w:type="dxa"/>
              <w:bottom w:w="100" w:type="dxa"/>
              <w:right w:w="100" w:type="dxa"/>
            </w:tcMar>
          </w:tcPr>
          <w:p w14:paraId="5EA9248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PEF</w:t>
            </w:r>
          </w:p>
        </w:tc>
        <w:tc>
          <w:tcPr>
            <w:tcW w:w="1560" w:type="dxa"/>
            <w:tcMar>
              <w:top w:w="100" w:type="dxa"/>
              <w:left w:w="100" w:type="dxa"/>
              <w:bottom w:w="100" w:type="dxa"/>
              <w:right w:w="100" w:type="dxa"/>
            </w:tcMar>
          </w:tcPr>
          <w:p w14:paraId="19EBFC0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Carotenoids</w:t>
            </w:r>
          </w:p>
        </w:tc>
        <w:tc>
          <w:tcPr>
            <w:tcW w:w="1560" w:type="dxa"/>
            <w:tcMar>
              <w:top w:w="100" w:type="dxa"/>
              <w:left w:w="100" w:type="dxa"/>
              <w:bottom w:w="100" w:type="dxa"/>
              <w:right w:w="100" w:type="dxa"/>
            </w:tcMar>
          </w:tcPr>
          <w:p w14:paraId="0D308B5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1560" w:type="dxa"/>
            <w:tcMar>
              <w:top w:w="100" w:type="dxa"/>
              <w:left w:w="100" w:type="dxa"/>
              <w:bottom w:w="100" w:type="dxa"/>
              <w:right w:w="100" w:type="dxa"/>
            </w:tcMar>
          </w:tcPr>
          <w:p w14:paraId="1A5E2036"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PEF enhanced carotenoid retention, </w:t>
            </w:r>
            <w:r>
              <w:rPr>
                <w:rFonts w:ascii="Times New Roman" w:eastAsia="Times New Roman" w:hAnsi="Times New Roman" w:cs="Times New Roman"/>
                <w:sz w:val="24"/>
                <w:szCs w:val="24"/>
                <w:highlight w:val="white"/>
              </w:rPr>
              <w:lastRenderedPageBreak/>
              <w:t>minimal loss of Vitamin C.</w:t>
            </w:r>
          </w:p>
        </w:tc>
        <w:tc>
          <w:tcPr>
            <w:tcW w:w="1560" w:type="dxa"/>
            <w:tcMar>
              <w:top w:w="100" w:type="dxa"/>
              <w:left w:w="100" w:type="dxa"/>
              <w:bottom w:w="100" w:type="dxa"/>
              <w:right w:w="100" w:type="dxa"/>
            </w:tcMar>
          </w:tcPr>
          <w:p w14:paraId="2806736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Rinaldi et al. (2024)</w:t>
            </w:r>
          </w:p>
        </w:tc>
      </w:tr>
      <w:tr w:rsidR="00C42002" w14:paraId="2CEF0C86" w14:textId="77777777">
        <w:tc>
          <w:tcPr>
            <w:tcW w:w="1560" w:type="dxa"/>
            <w:tcMar>
              <w:top w:w="100" w:type="dxa"/>
              <w:left w:w="100" w:type="dxa"/>
              <w:bottom w:w="100" w:type="dxa"/>
              <w:right w:w="100" w:type="dxa"/>
            </w:tcMar>
          </w:tcPr>
          <w:p w14:paraId="2F5F4495"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Grape</w:t>
            </w:r>
          </w:p>
        </w:tc>
        <w:tc>
          <w:tcPr>
            <w:tcW w:w="1560" w:type="dxa"/>
            <w:tcMar>
              <w:top w:w="100" w:type="dxa"/>
              <w:left w:w="100" w:type="dxa"/>
              <w:bottom w:w="100" w:type="dxa"/>
              <w:right w:w="100" w:type="dxa"/>
            </w:tcMar>
          </w:tcPr>
          <w:p w14:paraId="74D6D99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w:t>
            </w:r>
          </w:p>
        </w:tc>
        <w:tc>
          <w:tcPr>
            <w:tcW w:w="1560" w:type="dxa"/>
            <w:tcMar>
              <w:top w:w="100" w:type="dxa"/>
              <w:left w:w="100" w:type="dxa"/>
              <w:bottom w:w="100" w:type="dxa"/>
              <w:right w:w="100" w:type="dxa"/>
            </w:tcMar>
          </w:tcPr>
          <w:p w14:paraId="7165C73F"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Phenolic Acids</w:t>
            </w:r>
          </w:p>
        </w:tc>
        <w:tc>
          <w:tcPr>
            <w:tcW w:w="1560" w:type="dxa"/>
            <w:tcMar>
              <w:top w:w="100" w:type="dxa"/>
              <w:left w:w="100" w:type="dxa"/>
              <w:bottom w:w="100" w:type="dxa"/>
              <w:right w:w="100" w:type="dxa"/>
            </w:tcMar>
          </w:tcPr>
          <w:p w14:paraId="6899BCF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80%</w:t>
            </w:r>
          </w:p>
        </w:tc>
        <w:tc>
          <w:tcPr>
            <w:tcW w:w="1560" w:type="dxa"/>
            <w:tcMar>
              <w:top w:w="100" w:type="dxa"/>
              <w:left w:w="100" w:type="dxa"/>
              <w:bottom w:w="100" w:type="dxa"/>
              <w:right w:w="100" w:type="dxa"/>
            </w:tcMar>
          </w:tcPr>
          <w:p w14:paraId="6CF40E8C"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preserved phenolic acids.</w:t>
            </w:r>
          </w:p>
        </w:tc>
        <w:tc>
          <w:tcPr>
            <w:tcW w:w="1560" w:type="dxa"/>
            <w:tcMar>
              <w:top w:w="100" w:type="dxa"/>
              <w:left w:w="100" w:type="dxa"/>
              <w:bottom w:w="100" w:type="dxa"/>
              <w:right w:w="100" w:type="dxa"/>
            </w:tcMar>
          </w:tcPr>
          <w:p w14:paraId="69DF0C7D"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Gao et al. (2022)</w:t>
            </w:r>
          </w:p>
        </w:tc>
      </w:tr>
      <w:tr w:rsidR="00C42002" w14:paraId="4E8D018E" w14:textId="77777777">
        <w:tc>
          <w:tcPr>
            <w:tcW w:w="1560" w:type="dxa"/>
            <w:tcMar>
              <w:top w:w="100" w:type="dxa"/>
              <w:left w:w="100" w:type="dxa"/>
              <w:bottom w:w="100" w:type="dxa"/>
              <w:right w:w="100" w:type="dxa"/>
            </w:tcMar>
          </w:tcPr>
          <w:p w14:paraId="69C046D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Banana</w:t>
            </w:r>
          </w:p>
        </w:tc>
        <w:tc>
          <w:tcPr>
            <w:tcW w:w="1560" w:type="dxa"/>
            <w:tcMar>
              <w:top w:w="100" w:type="dxa"/>
              <w:left w:w="100" w:type="dxa"/>
              <w:bottom w:w="100" w:type="dxa"/>
              <w:right w:w="100" w:type="dxa"/>
            </w:tcMar>
          </w:tcPr>
          <w:p w14:paraId="106AC85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14:paraId="6B93FBA8"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Vitamin C, Phenolics</w:t>
            </w:r>
          </w:p>
        </w:tc>
        <w:tc>
          <w:tcPr>
            <w:tcW w:w="1560" w:type="dxa"/>
            <w:tcMar>
              <w:top w:w="100" w:type="dxa"/>
              <w:left w:w="100" w:type="dxa"/>
              <w:bottom w:w="100" w:type="dxa"/>
              <w:right w:w="100" w:type="dxa"/>
            </w:tcMar>
          </w:tcPr>
          <w:p w14:paraId="272A3E44"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w:t>
            </w:r>
          </w:p>
        </w:tc>
        <w:tc>
          <w:tcPr>
            <w:tcW w:w="1560" w:type="dxa"/>
            <w:tcMar>
              <w:top w:w="100" w:type="dxa"/>
              <w:left w:w="100" w:type="dxa"/>
              <w:bottom w:w="100" w:type="dxa"/>
              <w:right w:w="100" w:type="dxa"/>
            </w:tcMar>
          </w:tcPr>
          <w:p w14:paraId="1AA36F47"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helped preserve bioactive compounds better than thermal methods.</w:t>
            </w:r>
          </w:p>
        </w:tc>
        <w:tc>
          <w:tcPr>
            <w:tcW w:w="1560" w:type="dxa"/>
            <w:tcMar>
              <w:top w:w="100" w:type="dxa"/>
              <w:left w:w="100" w:type="dxa"/>
              <w:bottom w:w="100" w:type="dxa"/>
              <w:right w:w="100" w:type="dxa"/>
            </w:tcMar>
          </w:tcPr>
          <w:p w14:paraId="0AF0AF98"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r>
      <w:tr w:rsidR="00C42002" w14:paraId="2DD0CD77" w14:textId="77777777">
        <w:tc>
          <w:tcPr>
            <w:tcW w:w="1560" w:type="dxa"/>
            <w:tcMar>
              <w:top w:w="100" w:type="dxa"/>
              <w:left w:w="100" w:type="dxa"/>
              <w:bottom w:w="100" w:type="dxa"/>
              <w:right w:w="100" w:type="dxa"/>
            </w:tcMar>
          </w:tcPr>
          <w:p w14:paraId="12818C4A"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Blueberries</w:t>
            </w:r>
          </w:p>
        </w:tc>
        <w:tc>
          <w:tcPr>
            <w:tcW w:w="1560" w:type="dxa"/>
            <w:tcMar>
              <w:top w:w="100" w:type="dxa"/>
              <w:left w:w="100" w:type="dxa"/>
              <w:bottom w:w="100" w:type="dxa"/>
              <w:right w:w="100" w:type="dxa"/>
            </w:tcMar>
          </w:tcPr>
          <w:p w14:paraId="0EEFB559"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w:t>
            </w:r>
          </w:p>
        </w:tc>
        <w:tc>
          <w:tcPr>
            <w:tcW w:w="1560" w:type="dxa"/>
            <w:tcMar>
              <w:top w:w="100" w:type="dxa"/>
              <w:left w:w="100" w:type="dxa"/>
              <w:bottom w:w="100" w:type="dxa"/>
              <w:right w:w="100" w:type="dxa"/>
            </w:tcMar>
          </w:tcPr>
          <w:p w14:paraId="1D0CCF3B"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Anthocyanins, Vitamin C</w:t>
            </w:r>
          </w:p>
        </w:tc>
        <w:tc>
          <w:tcPr>
            <w:tcW w:w="1560" w:type="dxa"/>
            <w:tcMar>
              <w:top w:w="100" w:type="dxa"/>
              <w:left w:w="100" w:type="dxa"/>
              <w:bottom w:w="100" w:type="dxa"/>
              <w:right w:w="100" w:type="dxa"/>
            </w:tcMar>
          </w:tcPr>
          <w:p w14:paraId="0F76D13E"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92%</w:t>
            </w:r>
          </w:p>
        </w:tc>
        <w:tc>
          <w:tcPr>
            <w:tcW w:w="1560" w:type="dxa"/>
            <w:tcMar>
              <w:top w:w="100" w:type="dxa"/>
              <w:left w:w="100" w:type="dxa"/>
              <w:bottom w:w="100" w:type="dxa"/>
              <w:right w:w="100" w:type="dxa"/>
            </w:tcMar>
          </w:tcPr>
          <w:p w14:paraId="5C4603F3" w14:textId="77777777" w:rsidR="00C42002" w:rsidRDefault="00241527">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HPP preserved anthocyanins and Vitamin C.</w:t>
            </w:r>
          </w:p>
        </w:tc>
        <w:tc>
          <w:tcPr>
            <w:tcW w:w="1560" w:type="dxa"/>
            <w:tcMar>
              <w:top w:w="100" w:type="dxa"/>
              <w:left w:w="100" w:type="dxa"/>
              <w:bottom w:w="100" w:type="dxa"/>
              <w:right w:w="100" w:type="dxa"/>
            </w:tcMar>
          </w:tcPr>
          <w:p w14:paraId="0512659C" w14:textId="77777777" w:rsidR="00C42002" w:rsidRDefault="00241527">
            <w:pPr>
              <w:spacing w:line="360"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tc>
      </w:tr>
    </w:tbl>
    <w:p w14:paraId="3E67261F" w14:textId="77777777" w:rsidR="00C42002" w:rsidRDefault="00C42002">
      <w:pPr>
        <w:spacing w:line="360" w:lineRule="auto"/>
        <w:jc w:val="both"/>
        <w:rPr>
          <w:rFonts w:ascii="Times New Roman" w:eastAsia="Times New Roman" w:hAnsi="Times New Roman" w:cs="Times New Roman"/>
          <w:sz w:val="24"/>
          <w:szCs w:val="24"/>
          <w:highlight w:val="white"/>
        </w:rPr>
      </w:pPr>
    </w:p>
    <w:p w14:paraId="162E4F94" w14:textId="77777777" w:rsidR="00C42002" w:rsidRDefault="00C42002">
      <w:pPr>
        <w:spacing w:line="360" w:lineRule="auto"/>
        <w:jc w:val="both"/>
        <w:rPr>
          <w:rFonts w:ascii="Times New Roman" w:eastAsia="Times New Roman" w:hAnsi="Times New Roman" w:cs="Times New Roman"/>
          <w:sz w:val="24"/>
          <w:szCs w:val="24"/>
          <w:highlight w:val="white"/>
        </w:rPr>
      </w:pPr>
    </w:p>
    <w:p w14:paraId="09AF8BDA"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1" w:name="_heading=h.xcj1xpaljem0" w:colFirst="0" w:colLast="0"/>
      <w:bookmarkEnd w:id="1"/>
      <w:r>
        <w:rPr>
          <w:rFonts w:ascii="Times New Roman" w:eastAsia="Times New Roman" w:hAnsi="Times New Roman" w:cs="Times New Roman"/>
          <w:b/>
          <w:bCs/>
          <w:color w:val="000000"/>
          <w:sz w:val="24"/>
          <w:szCs w:val="24"/>
          <w:highlight w:val="white"/>
        </w:rPr>
        <w:t>Microbial Safety: How Non-Thermal Processing Measures Up Against Thermal Treatments</w:t>
      </w:r>
    </w:p>
    <w:p w14:paraId="2E94EEAE"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Non-thermal processing technologies are increasingly recognized for their ability to inactivate microorganisms while preserving the nutritional quality of foods. Unlike thermal treatments, which are effective at eliminating pathogens, non-thermal methods such as HPP, PEF, and Cold Plasma can achieve similar microbial reductions without the adverse effects on heat-sensitive nutrients (Peng et al., 2025). Studies on HPP have demonstrated its ability to reduce microbial </w:t>
      </w:r>
      <w:r>
        <w:rPr>
          <w:rFonts w:ascii="Times New Roman" w:eastAsia="Times New Roman" w:hAnsi="Times New Roman" w:cs="Times New Roman"/>
          <w:sz w:val="24"/>
          <w:szCs w:val="24"/>
          <w:highlight w:val="white"/>
        </w:rPr>
        <w:lastRenderedPageBreak/>
        <w:t>counts in fruit juices, dairy products, and meats while maintaining or enhancing nutrient retention (Zhang et al., 2025; Gao et al., 2022).</w:t>
      </w:r>
    </w:p>
    <w:p w14:paraId="229563CD"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instance, HPP-treated fruit juices retained up to 92% of vitamin C and maintained high antioxidant levels, while microbial populations were reduced to safe levels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Similarly, Cold Plasma has shown promising results in reducing microbial loads on fruits, vegetables, and meat surfaces, with minimal nutrient degradation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58227A1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comparison, thermal processing methods, such as pasteurization and boiling, are highly effective in microbial inactivation but lead to significant nutrient losses, particularly in vitamins like vitamin C and antioxidants (Lai et al., 2022; Pérez-Andrés et al., 2020). Non-thermal methods provide a promising solution to this dilemma by balancing microbial safety with nutrient preservation (Lawal et al., 2025; </w:t>
      </w:r>
      <w:proofErr w:type="spellStart"/>
      <w:r>
        <w:rPr>
          <w:rFonts w:ascii="Times New Roman" w:eastAsia="Times New Roman" w:hAnsi="Times New Roman" w:cs="Times New Roman"/>
          <w:sz w:val="24"/>
          <w:szCs w:val="24"/>
          <w:highlight w:val="white"/>
        </w:rPr>
        <w:t>Olaoye</w:t>
      </w:r>
      <w:proofErr w:type="spellEnd"/>
      <w:r>
        <w:rPr>
          <w:rFonts w:ascii="Times New Roman" w:eastAsia="Times New Roman" w:hAnsi="Times New Roman" w:cs="Times New Roman"/>
          <w:sz w:val="24"/>
          <w:szCs w:val="24"/>
          <w:highlight w:val="white"/>
        </w:rPr>
        <w:t xml:space="preserve"> et al., 2024).</w:t>
      </w:r>
    </w:p>
    <w:p w14:paraId="3DB30DFD"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2" w:name="_heading=h.xu2ggp1cqdjg" w:colFirst="0" w:colLast="0"/>
      <w:bookmarkEnd w:id="2"/>
      <w:r>
        <w:rPr>
          <w:rFonts w:ascii="Times New Roman" w:eastAsia="Times New Roman" w:hAnsi="Times New Roman" w:cs="Times New Roman"/>
          <w:b/>
          <w:bCs/>
          <w:color w:val="000000"/>
          <w:sz w:val="24"/>
          <w:szCs w:val="24"/>
          <w:highlight w:val="white"/>
        </w:rPr>
        <w:t xml:space="preserve">Technological Parameters: Process Settings and Their Impact on Nutrient Integrity </w:t>
      </w:r>
    </w:p>
    <w:p w14:paraId="192C74E2"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Technological parameters, such as pressure, time, electric field strength, and treatment duration, play a pivotal role in determining the effectiveness of non-thermal processing methods. Studies have shown that higher pressures in HPP lead to more efficient microbial inactivation but may also result in some loss of heat-sensitive nutrients like vitamin C and polyphenols (Liang et al., 2023;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Similarly, the effectiveness of PEF is influenced by electric field strength and pulse duration, with higher field strengths generally yielding better microbial inactivation but potentially causing more significant nutrient degradation in some cases (Rinaldi et al., 2024).</w:t>
      </w:r>
    </w:p>
    <w:p w14:paraId="598CD10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Cold Plasma treatments, on the other hand, are affected by plasma power intensity and exposure time. Studies show that adjusting these parameters can help optimize the balance between microbial safety and nutrient retention, particularly for antioxidant-rich foods like fruits and vegetables (</w:t>
      </w:r>
      <w:proofErr w:type="spellStart"/>
      <w:r>
        <w:rPr>
          <w:rFonts w:ascii="Times New Roman" w:eastAsia="Times New Roman" w:hAnsi="Times New Roman" w:cs="Times New Roman"/>
          <w:sz w:val="24"/>
          <w:szCs w:val="24"/>
          <w:highlight w:val="white"/>
        </w:rPr>
        <w:t>Razazian</w:t>
      </w:r>
      <w:proofErr w:type="spellEnd"/>
      <w:r>
        <w:rPr>
          <w:rFonts w:ascii="Times New Roman" w:eastAsia="Times New Roman" w:hAnsi="Times New Roman" w:cs="Times New Roman"/>
          <w:sz w:val="24"/>
          <w:szCs w:val="24"/>
          <w:highlight w:val="white"/>
        </w:rPr>
        <w:t xml:space="preserve"> et al., 2025; Gao et al., 2022).</w:t>
      </w:r>
    </w:p>
    <w:p w14:paraId="0A3AD11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suggest that while non-thermal processing methods offer promising alternatives to thermal treatments, the specific processing parameters must be optimized for each food type to achieve the best balance between nutrient preservation and microbial inactivation (Pérez-Andrés et al., 2020; Peng et al., 2025; Rinaldi et al., 2024).</w:t>
      </w:r>
    </w:p>
    <w:p w14:paraId="0D74C610"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3" w:name="_heading=h.iuzq0w4h66dn" w:colFirst="0" w:colLast="0"/>
      <w:bookmarkEnd w:id="3"/>
      <w:r>
        <w:rPr>
          <w:rFonts w:ascii="Times New Roman" w:eastAsia="Times New Roman" w:hAnsi="Times New Roman" w:cs="Times New Roman"/>
          <w:b/>
          <w:bCs/>
          <w:color w:val="000000"/>
          <w:sz w:val="24"/>
          <w:szCs w:val="24"/>
          <w:highlight w:val="white"/>
        </w:rPr>
        <w:lastRenderedPageBreak/>
        <w:t>Consumer Perception &amp; Market Acceptance of Non-Thermal Processed Foods</w:t>
      </w:r>
    </w:p>
    <w:p w14:paraId="53DF11B4"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growing demand for "clean label" foods, driven by consumer preferences for transparency, health, and sustainability, has sparked a shift in the food industry. However, despite increasing interest in non-thermal technologies such as High-Pressure Processing (HPP) and Pulsed Electric Fields (PEF), many consumers remain unsure of what these technologies actually entail and how they impact the safety and nutritional value of their food. This perception gap is significant because, as studies show, consumer awareness of these technologies is often low, with many equating non-thermal processing with conventional methods like pasteurization without fully understanding the advantages in nutrient preservation (Gao et al., 2022; Zhang et al., 2025).</w:t>
      </w:r>
    </w:p>
    <w:p w14:paraId="2FB70194"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Perception plays a crucial role in consumer acceptance, particularly when it comes to health and nutrition claims. Consumers are increasingly seeking foods that not only meet safety standards but also provide functional health benefits. Non-thermal methods, like HPP, have been shown to preserve the antioxidant capacity and vitamins in fruits and vegetables, which makes them an attractive option for consumers seeking nutrient-dense, minimally processed foods (Peng et al., 2025; Gao et al., 2022). However, studies also highlight that without clear and effective communication of the benefits of these technologies, consumers may be hesitant to embrace them (Liang et al., 2023;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p w14:paraId="1AC466C8"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factors, such as taste, texture, and appearance, also significantly influence consumer perceptions. While HPP and PEF can preserve the sensory attributes of foods, such as flavor and color, there are concerns over how these technologies might alter the texture of certain products, especially meats and dairy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For example, PEF treatment in tomatoes may improve the release of antioxidants but also result in slight textural changes, which can affect consumer acceptance (Olawale et al., 2025; </w:t>
      </w:r>
      <w:proofErr w:type="spellStart"/>
      <w:r>
        <w:rPr>
          <w:rFonts w:ascii="Times New Roman" w:eastAsia="Times New Roman" w:hAnsi="Times New Roman" w:cs="Times New Roman"/>
          <w:sz w:val="24"/>
          <w:szCs w:val="24"/>
          <w:highlight w:val="white"/>
        </w:rPr>
        <w:t>Maduforo</w:t>
      </w:r>
      <w:proofErr w:type="spellEnd"/>
      <w:r>
        <w:rPr>
          <w:rFonts w:ascii="Times New Roman" w:eastAsia="Times New Roman" w:hAnsi="Times New Roman" w:cs="Times New Roman"/>
          <w:sz w:val="24"/>
          <w:szCs w:val="24"/>
          <w:highlight w:val="white"/>
        </w:rPr>
        <w:t xml:space="preserve"> et al., n.d.).</w:t>
      </w:r>
    </w:p>
    <w:p w14:paraId="7BA7BC3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Price is another key factor influencing market acceptance. Non-thermal processing technologies are often perceived as expensive, and the higher production costs may translate to higher retail prices. However, studies show that as consumer awareness increases and production scales up, the cost of these technologies is expected to decrease, making them more accessible (Zhang et al., 2025; Gao et al., 2022). Trust in the safety and effectiveness of these technologies is also crucial. </w:t>
      </w:r>
      <w:r>
        <w:rPr>
          <w:rFonts w:ascii="Times New Roman" w:eastAsia="Times New Roman" w:hAnsi="Times New Roman" w:cs="Times New Roman"/>
          <w:sz w:val="24"/>
          <w:szCs w:val="24"/>
          <w:highlight w:val="white"/>
        </w:rPr>
        <w:lastRenderedPageBreak/>
        <w:t>Effective marketing strategies, clear labeling, and transparency about the processing methods used can help build trust and foster wider acceptance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6CECF866"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the success of non-thermal processed foods in the market depends on overcoming the perception gap, providing clear health and nutrition claims, and demonstrating sensory and cost benefits to consumers. The future of non-thermal processing is promising, but it hinges on effective communication of its safety, nutrition, and sustainability advantages to unlock its full market potential.</w:t>
      </w:r>
    </w:p>
    <w:p w14:paraId="5A0260A8"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4" w:name="_heading=h.z1q2l2108tyc" w:colFirst="0" w:colLast="0"/>
      <w:bookmarkEnd w:id="4"/>
      <w:r>
        <w:rPr>
          <w:rFonts w:ascii="Times New Roman" w:eastAsia="Times New Roman" w:hAnsi="Times New Roman" w:cs="Times New Roman"/>
          <w:b/>
          <w:bCs/>
          <w:color w:val="000000"/>
          <w:sz w:val="24"/>
          <w:szCs w:val="24"/>
          <w:highlight w:val="white"/>
        </w:rPr>
        <w:t>Regulatory Landscape &amp; Safety Standards</w:t>
      </w:r>
    </w:p>
    <w:p w14:paraId="2842F3C2"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regulatory landscape for non-thermal processing technologies like HPP, PEF, and Cold Plasma is complex, with different regions having varying standards that shape the adoption of these technologies. Regulation plays a critical role in both the speed of adoption and consumer confidence in non-thermal foods (</w:t>
      </w:r>
      <w:proofErr w:type="spellStart"/>
      <w:r>
        <w:rPr>
          <w:rFonts w:ascii="Times New Roman" w:eastAsia="Times New Roman" w:hAnsi="Times New Roman" w:cs="Times New Roman"/>
          <w:sz w:val="24"/>
          <w:szCs w:val="24"/>
          <w:highlight w:val="white"/>
        </w:rPr>
        <w:t>Pasdar</w:t>
      </w:r>
      <w:proofErr w:type="spellEnd"/>
      <w:r>
        <w:rPr>
          <w:rFonts w:ascii="Times New Roman" w:eastAsia="Times New Roman" w:hAnsi="Times New Roman" w:cs="Times New Roman"/>
          <w:sz w:val="24"/>
          <w:szCs w:val="24"/>
          <w:highlight w:val="white"/>
        </w:rPr>
        <w:t xml:space="preserve"> et al., 2024). In the U.S., agencies such as the Food and Drug Administration (FDA) and the U.S Department of Agriculture (USDA) govern the safety of processed foods (U.S. Food and Drug Administration, n.d.), while in Europe, the European Food Safety Authority (EFSA) is responsible for setting standards.</w:t>
      </w:r>
    </w:p>
    <w:p w14:paraId="2B8E3471"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approval process for non-thermal technologies typically follows the Generally Recognized as Safe (GRAS) pathway in the U.S., where scientific evidence is submitted to demonstrate the safety of the process and its products (U.S. Food and Drug Administration, n.d.). In contrast, Europe often requires a more formalized Novel Food approval process for new food technologies, including non-thermal methods (European Commission, n.d.). These differences in regulatory frameworks can create barriers to market entry and affect the pace at which non-thermal technologies are adopted in different regions.</w:t>
      </w:r>
    </w:p>
    <w:p w14:paraId="097E9A29"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Safety assessments for non-thermal technologies generally focus on microbial safety, nutrient retention, and any potential chemical changes induced by processing (Ugo et al., 2022a). For example, HPP and PEF have been approved in many regions due to their ability to maintain food safety while preserving nutrients, but Cold Plasma has been subject to more scrutiny, especially regarding its potential for nutrient oxidation (Liang et al., 2023; </w:t>
      </w:r>
      <w:proofErr w:type="spellStart"/>
      <w:r>
        <w:rPr>
          <w:rFonts w:ascii="Times New Roman" w:eastAsia="Times New Roman" w:hAnsi="Times New Roman" w:cs="Times New Roman"/>
          <w:sz w:val="24"/>
          <w:szCs w:val="24"/>
          <w:highlight w:val="white"/>
        </w:rPr>
        <w:t>Trusinska</w:t>
      </w:r>
      <w:proofErr w:type="spellEnd"/>
      <w:r>
        <w:rPr>
          <w:rFonts w:ascii="Times New Roman" w:eastAsia="Times New Roman" w:hAnsi="Times New Roman" w:cs="Times New Roman"/>
          <w:sz w:val="24"/>
          <w:szCs w:val="24"/>
          <w:highlight w:val="white"/>
        </w:rPr>
        <w:t xml:space="preserve"> et al., 2023). Regulatory bodies in both the U.S. and Europe have established guidelines for nutrient retention and microbial </w:t>
      </w:r>
      <w:r>
        <w:rPr>
          <w:rFonts w:ascii="Times New Roman" w:eastAsia="Times New Roman" w:hAnsi="Times New Roman" w:cs="Times New Roman"/>
          <w:sz w:val="24"/>
          <w:szCs w:val="24"/>
          <w:highlight w:val="white"/>
        </w:rPr>
        <w:lastRenderedPageBreak/>
        <w:t>safety in non-thermal processing, but these regulations vary widely across regions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58ECD8D5"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24"/>
          <w:szCs w:val="24"/>
          <w:highlight w:val="white"/>
        </w:rPr>
      </w:pPr>
      <w:bookmarkStart w:id="5" w:name="_heading=h.wv1s7yselksz" w:colFirst="0" w:colLast="0"/>
      <w:bookmarkEnd w:id="5"/>
      <w:r>
        <w:rPr>
          <w:rFonts w:ascii="Times New Roman" w:eastAsia="Times New Roman" w:hAnsi="Times New Roman" w:cs="Times New Roman"/>
          <w:b/>
          <w:bCs/>
          <w:color w:val="000000"/>
          <w:sz w:val="24"/>
          <w:szCs w:val="24"/>
          <w:highlight w:val="white"/>
        </w:rPr>
        <w:t>Challenges &amp; Future Directions for Scaling Up Non-Thermal Technologies</w:t>
      </w:r>
    </w:p>
    <w:p w14:paraId="1147373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non-thermal processing technologies such as HPP, PEF, and Cold Plasma have demonstrated promising results at the laboratory and pilot scale, their commercial rollout remains slow due to several challenges. The “scale-up paradox” is particularly evident in non-thermal technologies, where the benefits seen in small-scale trials often do not translate directly to large-scale production (Arshad et al., 2022). One key issue is the high capital expenditures and operating expenses associated with these technologies, which make them costly for large-scale food production (Arshad et al., 2022).</w:t>
      </w:r>
    </w:p>
    <w:p w14:paraId="741E695C"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Economically, while non-thermal technologies offer long-term benefits in terms of improved nutritional retention and food safety, the initial costs can be prohibitive. Moreover, achieving uniformity in treatment across large batches of food remains a technical challenge for non-thermal technologies. For instance, PEF treatments may cause uneven field strength, leading to inconsistent nutrient retention across different food items (White et al., 2025; Al-</w:t>
      </w:r>
      <w:proofErr w:type="spellStart"/>
      <w:r>
        <w:rPr>
          <w:rFonts w:ascii="Times New Roman" w:eastAsia="Times New Roman" w:hAnsi="Times New Roman" w:cs="Times New Roman"/>
          <w:sz w:val="24"/>
          <w:szCs w:val="24"/>
          <w:highlight w:val="white"/>
        </w:rPr>
        <w:t>Sharify</w:t>
      </w:r>
      <w:proofErr w:type="spellEnd"/>
      <w:r>
        <w:rPr>
          <w:rFonts w:ascii="Times New Roman" w:eastAsia="Times New Roman" w:hAnsi="Times New Roman" w:cs="Times New Roman"/>
          <w:sz w:val="24"/>
          <w:szCs w:val="24"/>
          <w:highlight w:val="white"/>
        </w:rPr>
        <w:t xml:space="preserve"> et al., 2025).</w:t>
      </w:r>
    </w:p>
    <w:p w14:paraId="4DBCDE97"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From a sustainability perspective, non-thermal technologies such as PEF and Cold Plasma are considered more environmentally friendly than traditional thermal methods, as they require lower energy inputs and produce fewer carbon emissions. However, these technologies are still in the early stages of commercialization, and their long-term sustainability metrics need further investigation. Life Cycle Assessment (LCA) studies are essential for comparing the environmental impact of these technologies with conventional methods, and such research is still limited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 Peng et al., 2025).</w:t>
      </w:r>
    </w:p>
    <w:p w14:paraId="61B41D8C" w14:textId="77777777" w:rsidR="00C42002" w:rsidRDefault="0024152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Implications for Public Health, Industry, and Regulatory Standards</w:t>
      </w:r>
    </w:p>
    <w:p w14:paraId="55DE63C4"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adoption of non-thermal processing technologies has the potential to revolutionize the food industry by providing safer, more nutritious food options. As consumer preferences increasingly shift towards minimally processed foods that retain high nutritional value, the role of non-thermal methods in food processing will only grow. These technologies could significantly reduce nutrient </w:t>
      </w:r>
      <w:r>
        <w:rPr>
          <w:rFonts w:ascii="Times New Roman" w:eastAsia="Times New Roman" w:hAnsi="Times New Roman" w:cs="Times New Roman"/>
          <w:sz w:val="24"/>
          <w:szCs w:val="24"/>
          <w:highlight w:val="white"/>
        </w:rPr>
        <w:lastRenderedPageBreak/>
        <w:t>losses seen with traditional thermal processing, leading to a healthier, more sustainable food supply (Al-</w:t>
      </w:r>
      <w:proofErr w:type="spellStart"/>
      <w:r>
        <w:rPr>
          <w:rFonts w:ascii="Times New Roman" w:eastAsia="Times New Roman" w:hAnsi="Times New Roman" w:cs="Times New Roman"/>
          <w:sz w:val="24"/>
          <w:szCs w:val="24"/>
          <w:highlight w:val="white"/>
        </w:rPr>
        <w:t>Sharify</w:t>
      </w:r>
      <w:proofErr w:type="spellEnd"/>
      <w:r>
        <w:rPr>
          <w:rFonts w:ascii="Times New Roman" w:eastAsia="Times New Roman" w:hAnsi="Times New Roman" w:cs="Times New Roman"/>
          <w:sz w:val="24"/>
          <w:szCs w:val="24"/>
          <w:highlight w:val="white"/>
        </w:rPr>
        <w:t xml:space="preserve"> et al., 2025; Gao et al., 2022;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et al., 2025).</w:t>
      </w:r>
    </w:p>
    <w:p w14:paraId="4FA64339"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public health, non-thermal processing technologies offer a pathway to producing nutrient-dense foods that could address nutrient deficiencies in the population, particularly for vulnerable groups such as children and the elderly (</w:t>
      </w:r>
      <w:proofErr w:type="spellStart"/>
      <w:r>
        <w:rPr>
          <w:rFonts w:ascii="Times New Roman" w:eastAsia="Times New Roman" w:hAnsi="Times New Roman" w:cs="Times New Roman"/>
          <w:sz w:val="24"/>
          <w:szCs w:val="24"/>
          <w:highlight w:val="white"/>
        </w:rPr>
        <w:t>Kechri</w:t>
      </w:r>
      <w:proofErr w:type="spellEnd"/>
      <w:r>
        <w:rPr>
          <w:rFonts w:ascii="Times New Roman" w:eastAsia="Times New Roman" w:hAnsi="Times New Roman" w:cs="Times New Roman"/>
          <w:sz w:val="24"/>
          <w:szCs w:val="24"/>
          <w:highlight w:val="white"/>
        </w:rPr>
        <w:t xml:space="preserve"> et al., 2025; Peng et al., 2025; </w:t>
      </w:r>
      <w:proofErr w:type="spellStart"/>
      <w:r>
        <w:rPr>
          <w:rFonts w:ascii="Times New Roman" w:eastAsia="Times New Roman" w:hAnsi="Times New Roman" w:cs="Times New Roman"/>
          <w:sz w:val="24"/>
          <w:szCs w:val="24"/>
          <w:highlight w:val="white"/>
        </w:rPr>
        <w:t>Jimoh</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Falakin</w:t>
      </w:r>
      <w:proofErr w:type="spellEnd"/>
      <w:r>
        <w:rPr>
          <w:rFonts w:ascii="Times New Roman" w:eastAsia="Times New Roman" w:hAnsi="Times New Roman" w:cs="Times New Roman"/>
          <w:sz w:val="24"/>
          <w:szCs w:val="24"/>
          <w:highlight w:val="white"/>
        </w:rPr>
        <w:t>, 2025). For the food industry, the ability to retain the nutritional integrity of products without the use of heat provides a competitive advantage in a market increasingly concerned with health and sustainability (</w:t>
      </w:r>
      <w:proofErr w:type="spellStart"/>
      <w:r>
        <w:rPr>
          <w:rFonts w:ascii="Times New Roman" w:eastAsia="Times New Roman" w:hAnsi="Times New Roman" w:cs="Times New Roman"/>
          <w:sz w:val="24"/>
          <w:szCs w:val="24"/>
          <w:highlight w:val="white"/>
        </w:rPr>
        <w:t>Buitimea-Cantúa</w:t>
      </w:r>
      <w:proofErr w:type="spellEnd"/>
      <w:r>
        <w:rPr>
          <w:rFonts w:ascii="Times New Roman" w:eastAsia="Times New Roman" w:hAnsi="Times New Roman" w:cs="Times New Roman"/>
          <w:sz w:val="24"/>
          <w:szCs w:val="24"/>
          <w:highlight w:val="white"/>
        </w:rPr>
        <w:t xml:space="preserve"> et al., 2022).</w:t>
      </w:r>
    </w:p>
    <w:p w14:paraId="386DC690"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effective regulation is key to ensuring the safety and efficacy of these technologies. Regulatory bodies like the FDA, EFSA, and national food safety agencies must work towards harmonizing standards across regions to reduce barriers to international trade and foster innovation in non-thermal food processing (Liang et al., 2023; Zhang et al., 2025). The alignment of global standards will promote consumer confidence and support the global adoption of these technologies (Ugo et al., 2022b; Ugo et al., 2024).</w:t>
      </w:r>
    </w:p>
    <w:p w14:paraId="66674885" w14:textId="77777777" w:rsidR="00C42002" w:rsidRDefault="00241527">
      <w:pPr>
        <w:spacing w:before="240" w:after="24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Limitations </w:t>
      </w:r>
    </w:p>
    <w:p w14:paraId="2355F7BA" w14:textId="77777777" w:rsidR="00C42002" w:rsidRDefault="00241527">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Despite providing valuable insights into the efficacy of non‑thermal processing techniques (HPP, PEF, cold plasma) for nutrient retention, this review is limited by several methodological constraints. First, the literature search was conducted in only PubMed, which may have excluded relevant studies indexed elsewhere and introduced selection bias. Second, the included studies were all experimental, preventing direct comparability and limiting </w:t>
      </w:r>
      <w:proofErr w:type="spellStart"/>
      <w:r>
        <w:rPr>
          <w:rFonts w:ascii="Times New Roman" w:eastAsia="Times New Roman" w:hAnsi="Times New Roman" w:cs="Times New Roman"/>
          <w:sz w:val="24"/>
          <w:szCs w:val="24"/>
          <w:highlight w:val="white"/>
        </w:rPr>
        <w:t>generalisability</w:t>
      </w:r>
      <w:proofErr w:type="spellEnd"/>
      <w:r>
        <w:rPr>
          <w:rFonts w:ascii="Times New Roman" w:eastAsia="Times New Roman" w:hAnsi="Times New Roman" w:cs="Times New Roman"/>
          <w:sz w:val="24"/>
          <w:szCs w:val="24"/>
          <w:highlight w:val="white"/>
        </w:rPr>
        <w:t xml:space="preserve">. </w:t>
      </w:r>
    </w:p>
    <w:p w14:paraId="340D5324" w14:textId="77777777" w:rsidR="00C42002" w:rsidRDefault="00C42002">
      <w:pPr>
        <w:spacing w:before="240" w:after="240" w:line="360" w:lineRule="auto"/>
        <w:rPr>
          <w:rFonts w:ascii="Times New Roman" w:eastAsia="Times New Roman" w:hAnsi="Times New Roman" w:cs="Times New Roman"/>
          <w:sz w:val="32"/>
          <w:szCs w:val="32"/>
          <w:highlight w:val="white"/>
        </w:rPr>
      </w:pPr>
    </w:p>
    <w:p w14:paraId="7E3B6B3C" w14:textId="77777777" w:rsidR="00C42002" w:rsidRDefault="00241527">
      <w:pPr>
        <w:pStyle w:val="Heading3"/>
        <w:keepNext w:val="0"/>
        <w:keepLines w:val="0"/>
        <w:spacing w:before="280" w:line="360" w:lineRule="auto"/>
        <w:rPr>
          <w:rFonts w:ascii="Times New Roman" w:eastAsia="Times New Roman" w:hAnsi="Times New Roman" w:cs="Times New Roman"/>
          <w:b/>
          <w:bCs/>
          <w:color w:val="000000"/>
          <w:sz w:val="32"/>
          <w:szCs w:val="32"/>
          <w:highlight w:val="white"/>
        </w:rPr>
      </w:pPr>
      <w:bookmarkStart w:id="6" w:name="_heading=h.k5p3hjm8tz6g" w:colFirst="0" w:colLast="0"/>
      <w:bookmarkEnd w:id="6"/>
      <w:r>
        <w:rPr>
          <w:rFonts w:ascii="Times New Roman" w:eastAsia="Times New Roman" w:hAnsi="Times New Roman" w:cs="Times New Roman"/>
          <w:b/>
          <w:bCs/>
          <w:color w:val="000000"/>
          <w:sz w:val="32"/>
          <w:szCs w:val="32"/>
          <w:highlight w:val="white"/>
        </w:rPr>
        <w:t xml:space="preserve">Conclusion </w:t>
      </w:r>
    </w:p>
    <w:p w14:paraId="488DD0DC" w14:textId="77777777" w:rsidR="00C42002" w:rsidRDefault="00241527">
      <w:pPr>
        <w:pStyle w:val="Heading3"/>
        <w:keepNext w:val="0"/>
        <w:keepLines w:val="0"/>
        <w:spacing w:before="280" w:line="360" w:lineRule="auto"/>
        <w:jc w:val="both"/>
        <w:rPr>
          <w:rFonts w:ascii="Times New Roman" w:eastAsia="Times New Roman" w:hAnsi="Times New Roman" w:cs="Times New Roman"/>
          <w:color w:val="000000"/>
          <w:sz w:val="24"/>
          <w:szCs w:val="24"/>
          <w:highlight w:val="white"/>
        </w:rPr>
      </w:pPr>
      <w:bookmarkStart w:id="7" w:name="_heading=h.yncgegywan63" w:colFirst="0" w:colLast="0"/>
      <w:bookmarkEnd w:id="7"/>
      <w:r>
        <w:rPr>
          <w:rFonts w:ascii="Times New Roman" w:eastAsia="Times New Roman" w:hAnsi="Times New Roman" w:cs="Times New Roman"/>
          <w:color w:val="000000"/>
          <w:sz w:val="24"/>
          <w:szCs w:val="24"/>
          <w:highlight w:val="white"/>
        </w:rPr>
        <w:t xml:space="preserve">Non-thermal processing technologies like HPP, PEF, and Cold Plasma hold great promise for the future of food processing. These technologies not only preserve the nutritional integrity of foods but also enhance their safety, making them viable alternatives to traditional thermal processing methods. However, challenges such as high initial costs, scalability, and standardization of </w:t>
      </w:r>
      <w:r>
        <w:rPr>
          <w:rFonts w:ascii="Times New Roman" w:eastAsia="Times New Roman" w:hAnsi="Times New Roman" w:cs="Times New Roman"/>
          <w:color w:val="000000"/>
          <w:sz w:val="24"/>
          <w:szCs w:val="24"/>
          <w:highlight w:val="white"/>
        </w:rPr>
        <w:lastRenderedPageBreak/>
        <w:t>processing parameters remain significant barriers to widespread adoption. Future research should focus on optimizing these technologies, addressing regulatory and consumer perception challenges, and exploring new applications in diverse food matrices. If these hurdles are overcome, non-thermal processing could become the standard for producing nutrient-dense, safe, and sustainable food products.</w:t>
      </w:r>
    </w:p>
    <w:p w14:paraId="03926FB4" w14:textId="77777777" w:rsidR="00C42002" w:rsidRDefault="00C42002">
      <w:pPr>
        <w:spacing w:line="360" w:lineRule="auto"/>
        <w:rPr>
          <w:rFonts w:ascii="Times New Roman" w:eastAsia="Times New Roman" w:hAnsi="Times New Roman" w:cs="Times New Roman"/>
          <w:highlight w:val="white"/>
        </w:rPr>
      </w:pPr>
    </w:p>
    <w:p w14:paraId="23D3EF76" w14:textId="77777777" w:rsidR="00C42002" w:rsidRDefault="00C42002">
      <w:pPr>
        <w:rPr>
          <w:rFonts w:ascii="Times New Roman" w:eastAsia="Times New Roman" w:hAnsi="Times New Roman" w:cs="Times New Roman"/>
          <w:highlight w:val="white"/>
        </w:rPr>
      </w:pPr>
    </w:p>
    <w:p w14:paraId="6194C21F" w14:textId="77777777" w:rsidR="00C42002" w:rsidRDefault="00241527">
      <w:pPr>
        <w:shd w:val="clear" w:color="auto" w:fill="FCFCFC"/>
        <w:spacing w:after="100"/>
        <w:rPr>
          <w:rFonts w:ascii="Times New Roman" w:eastAsia="Times New Roman" w:hAnsi="Times New Roman" w:cs="Times New Roman"/>
          <w:sz w:val="24"/>
          <w:szCs w:val="24"/>
          <w:highlight w:val="white"/>
        </w:rPr>
      </w:pPr>
      <w:bookmarkStart w:id="8" w:name="_GoBack"/>
      <w:bookmarkEnd w:id="8"/>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 study follows the Arksey and O'Malley (2005) guidelines for scoping review. </w:t>
      </w:r>
    </w:p>
    <w:p w14:paraId="22E80E88" w14:textId="77777777" w:rsidR="00C42002" w:rsidRDefault="00241527">
      <w:pPr>
        <w:shd w:val="clear" w:color="auto" w:fill="FCFCFC"/>
        <w:spacing w:after="10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14:paraId="3B824721" w14:textId="77777777" w:rsidR="00C42002" w:rsidRDefault="00241527">
      <w:pPr>
        <w:shd w:val="clear" w:color="auto" w:fill="FCFCFC"/>
        <w:spacing w:after="100"/>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7CE0BE74" w14:textId="77777777" w:rsidR="00C42002" w:rsidRDefault="00C42002">
      <w:pPr>
        <w:spacing w:line="360" w:lineRule="auto"/>
        <w:rPr>
          <w:rFonts w:ascii="Times New Roman" w:eastAsia="Times New Roman" w:hAnsi="Times New Roman" w:cs="Times New Roman"/>
          <w:b/>
          <w:bCs/>
          <w:sz w:val="32"/>
          <w:szCs w:val="32"/>
          <w:highlight w:val="white"/>
        </w:rPr>
      </w:pPr>
    </w:p>
    <w:p w14:paraId="1CFAA53B" w14:textId="77777777" w:rsidR="00241527" w:rsidRDefault="00241527" w:rsidP="00241527">
      <w:pPr>
        <w:spacing w:line="360" w:lineRule="auto"/>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References</w:t>
      </w:r>
    </w:p>
    <w:p w14:paraId="0B9CF103" w14:textId="77777777" w:rsidR="00241527" w:rsidRDefault="00241527" w:rsidP="00241527">
      <w:pPr>
        <w:spacing w:line="360" w:lineRule="auto"/>
        <w:rPr>
          <w:rFonts w:ascii="Times New Roman" w:eastAsia="Times New Roman" w:hAnsi="Times New Roman" w:cs="Times New Roman"/>
          <w:sz w:val="24"/>
          <w:szCs w:val="24"/>
        </w:rPr>
      </w:pPr>
    </w:p>
    <w:p w14:paraId="2C0FE63B" w14:textId="77777777" w:rsidR="00241527" w:rsidRDefault="00241527" w:rsidP="00241527">
      <w:pPr>
        <w:spacing w:line="360" w:lineRule="auto"/>
        <w:rPr>
          <w:rFonts w:ascii="Times New Roman" w:eastAsia="Times New Roman" w:hAnsi="Times New Roman" w:cs="Times New Roman"/>
          <w:sz w:val="24"/>
          <w:szCs w:val="24"/>
        </w:rPr>
      </w:pPr>
    </w:p>
    <w:p w14:paraId="0581D20D" w14:textId="1ED6A8A1" w:rsidR="00C42002" w:rsidRPr="00241527" w:rsidRDefault="00241527" w:rsidP="00241527">
      <w:pPr>
        <w:spacing w:line="360" w:lineRule="auto"/>
        <w:rPr>
          <w:rFonts w:ascii="Times New Roman" w:eastAsia="Times New Roman" w:hAnsi="Times New Roman" w:cs="Times New Roman"/>
          <w:b/>
          <w:bCs/>
          <w:sz w:val="32"/>
          <w:szCs w:val="32"/>
          <w:highlight w:val="white"/>
        </w:rPr>
      </w:pPr>
      <w:proofErr w:type="spellStart"/>
      <w:r w:rsidRPr="00241527">
        <w:rPr>
          <w:rFonts w:ascii="Times New Roman" w:eastAsia="Times New Roman" w:hAnsi="Times New Roman" w:cs="Times New Roman"/>
          <w:sz w:val="24"/>
          <w:szCs w:val="24"/>
        </w:rPr>
        <w:t>Alharbi</w:t>
      </w:r>
      <w:proofErr w:type="spellEnd"/>
      <w:r w:rsidRPr="00241527">
        <w:rPr>
          <w:rFonts w:ascii="Times New Roman" w:eastAsia="Times New Roman" w:hAnsi="Times New Roman" w:cs="Times New Roman"/>
          <w:sz w:val="24"/>
          <w:szCs w:val="24"/>
        </w:rPr>
        <w:t>, A., &amp; Stevenson, M. (2020). Refining Boolean queries to identify relevant studies for systematic review updates. Journal of the American Medical Informatics Association. https://doi.org/10.1093/jamia/ocaa148</w:t>
      </w:r>
    </w:p>
    <w:p w14:paraId="4B4B4D5E" w14:textId="77777777" w:rsidR="00241527" w:rsidRDefault="00241527">
      <w:pPr>
        <w:spacing w:line="360" w:lineRule="auto"/>
        <w:jc w:val="both"/>
        <w:rPr>
          <w:rFonts w:ascii="Times New Roman" w:eastAsia="Times New Roman" w:hAnsi="Times New Roman" w:cs="Times New Roman"/>
          <w:sz w:val="24"/>
          <w:szCs w:val="24"/>
          <w:highlight w:val="white"/>
        </w:rPr>
      </w:pPr>
    </w:p>
    <w:p w14:paraId="7710AE88" w14:textId="0A9F4694"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Al-</w:t>
      </w:r>
      <w:proofErr w:type="spellStart"/>
      <w:r w:rsidRPr="00241527">
        <w:rPr>
          <w:rFonts w:ascii="Times New Roman" w:eastAsia="Times New Roman" w:hAnsi="Times New Roman" w:cs="Times New Roman"/>
          <w:sz w:val="24"/>
          <w:szCs w:val="24"/>
        </w:rPr>
        <w:t>Sharify</w:t>
      </w:r>
      <w:proofErr w:type="spellEnd"/>
      <w:r w:rsidRPr="00241527">
        <w:rPr>
          <w:rFonts w:ascii="Times New Roman" w:eastAsia="Times New Roman" w:hAnsi="Times New Roman" w:cs="Times New Roman"/>
          <w:sz w:val="24"/>
          <w:szCs w:val="24"/>
        </w:rPr>
        <w:t xml:space="preserve">, Z. T., Al-Najjar, S. Z., </w:t>
      </w:r>
      <w:proofErr w:type="spellStart"/>
      <w:r w:rsidRPr="00241527">
        <w:rPr>
          <w:rFonts w:ascii="Times New Roman" w:eastAsia="Times New Roman" w:hAnsi="Times New Roman" w:cs="Times New Roman"/>
          <w:sz w:val="24"/>
          <w:szCs w:val="24"/>
        </w:rPr>
        <w:t>Anumudu</w:t>
      </w:r>
      <w:proofErr w:type="spellEnd"/>
      <w:r w:rsidRPr="00241527">
        <w:rPr>
          <w:rFonts w:ascii="Times New Roman" w:eastAsia="Times New Roman" w:hAnsi="Times New Roman" w:cs="Times New Roman"/>
          <w:sz w:val="24"/>
          <w:szCs w:val="24"/>
        </w:rPr>
        <w:t xml:space="preserve">, C. K., Hart, A., Miri, T., &amp; </w:t>
      </w:r>
      <w:proofErr w:type="spellStart"/>
      <w:r w:rsidRPr="00241527">
        <w:rPr>
          <w:rFonts w:ascii="Times New Roman" w:eastAsia="Times New Roman" w:hAnsi="Times New Roman" w:cs="Times New Roman"/>
          <w:sz w:val="24"/>
          <w:szCs w:val="24"/>
        </w:rPr>
        <w:t>Onyeaka</w:t>
      </w:r>
      <w:proofErr w:type="spellEnd"/>
      <w:r w:rsidRPr="00241527">
        <w:rPr>
          <w:rFonts w:ascii="Times New Roman" w:eastAsia="Times New Roman" w:hAnsi="Times New Roman" w:cs="Times New Roman"/>
          <w:sz w:val="24"/>
          <w:szCs w:val="24"/>
        </w:rPr>
        <w:t xml:space="preserve">, H. (2025). Non-Thermal Technologies in Food Processing: Implications for Food Quality and Rheology. Applied Sciences, 15(6), 3049. </w:t>
      </w:r>
      <w:hyperlink r:id="rId10" w:history="1">
        <w:r w:rsidRPr="00775646">
          <w:rPr>
            <w:rStyle w:val="Hyperlink"/>
            <w:rFonts w:ascii="Times New Roman" w:eastAsia="Times New Roman" w:hAnsi="Times New Roman" w:cs="Times New Roman"/>
            <w:sz w:val="24"/>
            <w:szCs w:val="24"/>
          </w:rPr>
          <w:t>https://doi.org/10.3390/app15063049</w:t>
        </w:r>
      </w:hyperlink>
    </w:p>
    <w:p w14:paraId="154DF53D"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55F19B5" w14:textId="6877D58A"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Arksey, H., &amp; O’Malley, L. (2005). Scoping studies: Towards a methodological framework. International Journal of Social Research Methodology, 8(1), 19-32. </w:t>
      </w:r>
      <w:hyperlink r:id="rId11" w:history="1">
        <w:r w:rsidRPr="00775646">
          <w:rPr>
            <w:rStyle w:val="Hyperlink"/>
            <w:rFonts w:ascii="Times New Roman" w:eastAsia="Times New Roman" w:hAnsi="Times New Roman" w:cs="Times New Roman"/>
            <w:sz w:val="24"/>
            <w:szCs w:val="24"/>
          </w:rPr>
          <w:t>https://doi.org/10.1080/1364557032000119616</w:t>
        </w:r>
      </w:hyperlink>
    </w:p>
    <w:p w14:paraId="37FA9DF4"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50A9C18" w14:textId="70A13E1C"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Arshad, R. N., Abdul-Malek, Z., </w:t>
      </w:r>
      <w:proofErr w:type="spellStart"/>
      <w:r w:rsidRPr="00241527">
        <w:rPr>
          <w:rFonts w:ascii="Times New Roman" w:eastAsia="Times New Roman" w:hAnsi="Times New Roman" w:cs="Times New Roman"/>
          <w:sz w:val="24"/>
          <w:szCs w:val="24"/>
        </w:rPr>
        <w:t>Roobab</w:t>
      </w:r>
      <w:proofErr w:type="spellEnd"/>
      <w:r w:rsidRPr="00241527">
        <w:rPr>
          <w:rFonts w:ascii="Times New Roman" w:eastAsia="Times New Roman" w:hAnsi="Times New Roman" w:cs="Times New Roman"/>
          <w:sz w:val="24"/>
          <w:szCs w:val="24"/>
        </w:rPr>
        <w:t xml:space="preserve">, U., Ranjha, M. M. A. N., </w:t>
      </w:r>
      <w:proofErr w:type="spellStart"/>
      <w:r w:rsidRPr="00241527">
        <w:rPr>
          <w:rFonts w:ascii="Times New Roman" w:eastAsia="Times New Roman" w:hAnsi="Times New Roman" w:cs="Times New Roman"/>
          <w:sz w:val="24"/>
          <w:szCs w:val="24"/>
        </w:rPr>
        <w:t>Režek</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Jambrak</w:t>
      </w:r>
      <w:proofErr w:type="spellEnd"/>
      <w:r w:rsidRPr="00241527">
        <w:rPr>
          <w:rFonts w:ascii="Times New Roman" w:eastAsia="Times New Roman" w:hAnsi="Times New Roman" w:cs="Times New Roman"/>
          <w:sz w:val="24"/>
          <w:szCs w:val="24"/>
        </w:rPr>
        <w:t xml:space="preserve">, A., Qureshi, M. I., Khan, N., Manuel Lorenzo, J., &amp; </w:t>
      </w:r>
      <w:proofErr w:type="spellStart"/>
      <w:r w:rsidRPr="00241527">
        <w:rPr>
          <w:rFonts w:ascii="Times New Roman" w:eastAsia="Times New Roman" w:hAnsi="Times New Roman" w:cs="Times New Roman"/>
          <w:sz w:val="24"/>
          <w:szCs w:val="24"/>
        </w:rPr>
        <w:t>Aadil</w:t>
      </w:r>
      <w:proofErr w:type="spellEnd"/>
      <w:r w:rsidRPr="00241527">
        <w:rPr>
          <w:rFonts w:ascii="Times New Roman" w:eastAsia="Times New Roman" w:hAnsi="Times New Roman" w:cs="Times New Roman"/>
          <w:sz w:val="24"/>
          <w:szCs w:val="24"/>
        </w:rPr>
        <w:t xml:space="preserve">, R. M. (2022). Nonthermal food processing: A step </w:t>
      </w:r>
      <w:r w:rsidRPr="00241527">
        <w:rPr>
          <w:rFonts w:ascii="Times New Roman" w:eastAsia="Times New Roman" w:hAnsi="Times New Roman" w:cs="Times New Roman"/>
          <w:sz w:val="24"/>
          <w:szCs w:val="24"/>
        </w:rPr>
        <w:lastRenderedPageBreak/>
        <w:t xml:space="preserve">towards a circular economy to meet the sustainable development goals. Food chemistry: X, 16, 100516. </w:t>
      </w:r>
      <w:hyperlink r:id="rId12" w:history="1">
        <w:r w:rsidRPr="00775646">
          <w:rPr>
            <w:rStyle w:val="Hyperlink"/>
            <w:rFonts w:ascii="Times New Roman" w:eastAsia="Times New Roman" w:hAnsi="Times New Roman" w:cs="Times New Roman"/>
            <w:sz w:val="24"/>
            <w:szCs w:val="24"/>
          </w:rPr>
          <w:t>https://doi.org/10.1016/j.fochx.2022.100516</w:t>
        </w:r>
      </w:hyperlink>
    </w:p>
    <w:p w14:paraId="12369B3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5F73B85" w14:textId="5C7EF6F4"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Athanasiadis</w:t>
      </w:r>
      <w:proofErr w:type="spellEnd"/>
      <w:r w:rsidRPr="00241527">
        <w:rPr>
          <w:rFonts w:ascii="Times New Roman" w:eastAsia="Times New Roman" w:hAnsi="Times New Roman" w:cs="Times New Roman"/>
          <w:sz w:val="24"/>
          <w:szCs w:val="24"/>
        </w:rPr>
        <w:t xml:space="preserve">, V., </w:t>
      </w:r>
      <w:proofErr w:type="spellStart"/>
      <w:r w:rsidRPr="00241527">
        <w:rPr>
          <w:rFonts w:ascii="Times New Roman" w:eastAsia="Times New Roman" w:hAnsi="Times New Roman" w:cs="Times New Roman"/>
          <w:sz w:val="24"/>
          <w:szCs w:val="24"/>
        </w:rPr>
        <w:t>Giannopoulou</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Sarlami</w:t>
      </w:r>
      <w:proofErr w:type="spellEnd"/>
      <w:r w:rsidRPr="00241527">
        <w:rPr>
          <w:rFonts w:ascii="Times New Roman" w:eastAsia="Times New Roman" w:hAnsi="Times New Roman" w:cs="Times New Roman"/>
          <w:sz w:val="24"/>
          <w:szCs w:val="24"/>
        </w:rPr>
        <w:t xml:space="preserve">, G., </w:t>
      </w:r>
      <w:proofErr w:type="spellStart"/>
      <w:r w:rsidRPr="00241527">
        <w:rPr>
          <w:rFonts w:ascii="Times New Roman" w:eastAsia="Times New Roman" w:hAnsi="Times New Roman" w:cs="Times New Roman"/>
          <w:sz w:val="24"/>
          <w:szCs w:val="24"/>
        </w:rPr>
        <w:t>Bozinou</w:t>
      </w:r>
      <w:proofErr w:type="spellEnd"/>
      <w:r w:rsidRPr="00241527">
        <w:rPr>
          <w:rFonts w:ascii="Times New Roman" w:eastAsia="Times New Roman" w:hAnsi="Times New Roman" w:cs="Times New Roman"/>
          <w:sz w:val="24"/>
          <w:szCs w:val="24"/>
        </w:rPr>
        <w:t xml:space="preserve">, E., </w:t>
      </w:r>
      <w:proofErr w:type="spellStart"/>
      <w:r w:rsidRPr="00241527">
        <w:rPr>
          <w:rFonts w:ascii="Times New Roman" w:eastAsia="Times New Roman" w:hAnsi="Times New Roman" w:cs="Times New Roman"/>
          <w:sz w:val="24"/>
          <w:szCs w:val="24"/>
        </w:rPr>
        <w:t>Varagiannis</w:t>
      </w:r>
      <w:proofErr w:type="spellEnd"/>
      <w:r w:rsidRPr="00241527">
        <w:rPr>
          <w:rFonts w:ascii="Times New Roman" w:eastAsia="Times New Roman" w:hAnsi="Times New Roman" w:cs="Times New Roman"/>
          <w:sz w:val="24"/>
          <w:szCs w:val="24"/>
        </w:rPr>
        <w:t xml:space="preserve">, P., &amp; Lalas, S. I. (2025). Green Optimization of Sesame Seed Oil Extraction via Pulsed Electric Field and Ultrasound Bath: Yield, Antioxidant Activity, Oxidative Stability, and Functional Food Potential. Foods (Basel, Switzerland), 14(21), 3653 </w:t>
      </w:r>
      <w:hyperlink r:id="rId13" w:history="1">
        <w:r w:rsidRPr="00775646">
          <w:rPr>
            <w:rStyle w:val="Hyperlink"/>
            <w:rFonts w:ascii="Times New Roman" w:eastAsia="Times New Roman" w:hAnsi="Times New Roman" w:cs="Times New Roman"/>
            <w:sz w:val="24"/>
            <w:szCs w:val="24"/>
          </w:rPr>
          <w:t>https://doi.org/10.3390/foods14213653</w:t>
        </w:r>
      </w:hyperlink>
    </w:p>
    <w:p w14:paraId="2D90BCF2"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B191095" w14:textId="36D4D484"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Atkinson, L. Z., &amp; Cipriani, A. (2018). How to carry out a literature search for a systematic review: A practical guide. </w:t>
      </w:r>
      <w:proofErr w:type="spellStart"/>
      <w:r w:rsidRPr="00241527">
        <w:rPr>
          <w:rFonts w:ascii="Times New Roman" w:eastAsia="Times New Roman" w:hAnsi="Times New Roman" w:cs="Times New Roman"/>
          <w:sz w:val="24"/>
          <w:szCs w:val="24"/>
        </w:rPr>
        <w:t>BJPsych</w:t>
      </w:r>
      <w:proofErr w:type="spellEnd"/>
      <w:r w:rsidRPr="00241527">
        <w:rPr>
          <w:rFonts w:ascii="Times New Roman" w:eastAsia="Times New Roman" w:hAnsi="Times New Roman" w:cs="Times New Roman"/>
          <w:sz w:val="24"/>
          <w:szCs w:val="24"/>
        </w:rPr>
        <w:t xml:space="preserve"> Advances, 24(2), 74-82. </w:t>
      </w:r>
      <w:hyperlink r:id="rId14" w:history="1">
        <w:r w:rsidRPr="00775646">
          <w:rPr>
            <w:rStyle w:val="Hyperlink"/>
            <w:rFonts w:ascii="Times New Roman" w:eastAsia="Times New Roman" w:hAnsi="Times New Roman" w:cs="Times New Roman"/>
            <w:sz w:val="24"/>
            <w:szCs w:val="24"/>
          </w:rPr>
          <w:t>https://doi.org/10.1192/bja.2017.3</w:t>
        </w:r>
      </w:hyperlink>
    </w:p>
    <w:p w14:paraId="65DB13E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5198E4A7" w14:textId="5ECBD746"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Balakrishna, A. K., </w:t>
      </w:r>
      <w:proofErr w:type="spellStart"/>
      <w:r w:rsidRPr="00241527">
        <w:rPr>
          <w:rFonts w:ascii="Times New Roman" w:eastAsia="Times New Roman" w:hAnsi="Times New Roman" w:cs="Times New Roman"/>
          <w:sz w:val="24"/>
          <w:szCs w:val="24"/>
        </w:rPr>
        <w:t>Wazed</w:t>
      </w:r>
      <w:proofErr w:type="spellEnd"/>
      <w:r w:rsidRPr="00241527">
        <w:rPr>
          <w:rFonts w:ascii="Times New Roman" w:eastAsia="Times New Roman" w:hAnsi="Times New Roman" w:cs="Times New Roman"/>
          <w:sz w:val="24"/>
          <w:szCs w:val="24"/>
        </w:rPr>
        <w:t xml:space="preserve">, M. A., &amp; Farid, M. (2020). A review on the effect of </w:t>
      </w:r>
      <w:proofErr w:type="gramStart"/>
      <w:r w:rsidRPr="00241527">
        <w:rPr>
          <w:rFonts w:ascii="Times New Roman" w:eastAsia="Times New Roman" w:hAnsi="Times New Roman" w:cs="Times New Roman"/>
          <w:sz w:val="24"/>
          <w:szCs w:val="24"/>
        </w:rPr>
        <w:t>high pressure</w:t>
      </w:r>
      <w:proofErr w:type="gramEnd"/>
      <w:r w:rsidRPr="00241527">
        <w:rPr>
          <w:rFonts w:ascii="Times New Roman" w:eastAsia="Times New Roman" w:hAnsi="Times New Roman" w:cs="Times New Roman"/>
          <w:sz w:val="24"/>
          <w:szCs w:val="24"/>
        </w:rPr>
        <w:t xml:space="preserve"> processing (HPP) on gelatinization and infusion of nutrients. Molecules, 25(10), 2369. </w:t>
      </w:r>
      <w:hyperlink r:id="rId15" w:history="1">
        <w:r w:rsidRPr="00775646">
          <w:rPr>
            <w:rStyle w:val="Hyperlink"/>
            <w:rFonts w:ascii="Times New Roman" w:eastAsia="Times New Roman" w:hAnsi="Times New Roman" w:cs="Times New Roman"/>
            <w:sz w:val="24"/>
            <w:szCs w:val="24"/>
          </w:rPr>
          <w:t>https://doi.org/10.3390/molecules25102369</w:t>
        </w:r>
      </w:hyperlink>
    </w:p>
    <w:p w14:paraId="5BD9A24B"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4D22D47" w14:textId="40C1AFC2"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Buitimea-Cantúa</w:t>
      </w:r>
      <w:proofErr w:type="spellEnd"/>
      <w:r w:rsidRPr="00241527">
        <w:rPr>
          <w:rFonts w:ascii="Times New Roman" w:eastAsia="Times New Roman" w:hAnsi="Times New Roman" w:cs="Times New Roman"/>
          <w:sz w:val="24"/>
          <w:szCs w:val="24"/>
        </w:rPr>
        <w:t>, G. V., Rico-</w:t>
      </w:r>
      <w:proofErr w:type="spellStart"/>
      <w:r w:rsidRPr="00241527">
        <w:rPr>
          <w:rFonts w:ascii="Times New Roman" w:eastAsia="Times New Roman" w:hAnsi="Times New Roman" w:cs="Times New Roman"/>
          <w:sz w:val="24"/>
          <w:szCs w:val="24"/>
        </w:rPr>
        <w:t>Alderete</w:t>
      </w:r>
      <w:proofErr w:type="spellEnd"/>
      <w:r w:rsidRPr="00241527">
        <w:rPr>
          <w:rFonts w:ascii="Times New Roman" w:eastAsia="Times New Roman" w:hAnsi="Times New Roman" w:cs="Times New Roman"/>
          <w:sz w:val="24"/>
          <w:szCs w:val="24"/>
        </w:rPr>
        <w:t>, I. A., Rostro-</w:t>
      </w:r>
      <w:proofErr w:type="spellStart"/>
      <w:r w:rsidRPr="00241527">
        <w:rPr>
          <w:rFonts w:ascii="Times New Roman" w:eastAsia="Times New Roman" w:hAnsi="Times New Roman" w:cs="Times New Roman"/>
          <w:sz w:val="24"/>
          <w:szCs w:val="24"/>
        </w:rPr>
        <w:t>Alanís</w:t>
      </w:r>
      <w:proofErr w:type="spellEnd"/>
      <w:r w:rsidRPr="00241527">
        <w:rPr>
          <w:rFonts w:ascii="Times New Roman" w:eastAsia="Times New Roman" w:hAnsi="Times New Roman" w:cs="Times New Roman"/>
          <w:sz w:val="24"/>
          <w:szCs w:val="24"/>
        </w:rPr>
        <w:t xml:space="preserve">, M. J., </w:t>
      </w:r>
      <w:proofErr w:type="spellStart"/>
      <w:r w:rsidRPr="00241527">
        <w:rPr>
          <w:rFonts w:ascii="Times New Roman" w:eastAsia="Times New Roman" w:hAnsi="Times New Roman" w:cs="Times New Roman"/>
          <w:sz w:val="24"/>
          <w:szCs w:val="24"/>
        </w:rPr>
        <w:t>Welti-Chanes</w:t>
      </w:r>
      <w:proofErr w:type="spellEnd"/>
      <w:r w:rsidRPr="00241527">
        <w:rPr>
          <w:rFonts w:ascii="Times New Roman" w:eastAsia="Times New Roman" w:hAnsi="Times New Roman" w:cs="Times New Roman"/>
          <w:sz w:val="24"/>
          <w:szCs w:val="24"/>
        </w:rPr>
        <w:t xml:space="preserve">, J., Escobedo-Avellaneda, Z. J., &amp; Soto-Caballero, M. C. (2022). Effect of High Hydrostatic Pressure and Pulsed Electric Fields Processes on Microbial Safety and Quality of Black/Red Raspberry Juice. Foods (Basel, Switzerland), 11(15), 2342. </w:t>
      </w:r>
      <w:hyperlink r:id="rId16" w:history="1">
        <w:r w:rsidRPr="00775646">
          <w:rPr>
            <w:rStyle w:val="Hyperlink"/>
            <w:rFonts w:ascii="Times New Roman" w:eastAsia="Times New Roman" w:hAnsi="Times New Roman" w:cs="Times New Roman"/>
            <w:sz w:val="24"/>
            <w:szCs w:val="24"/>
          </w:rPr>
          <w:t>https://doi.org/10.3390/foods11152342</w:t>
        </w:r>
      </w:hyperlink>
    </w:p>
    <w:p w14:paraId="36B207B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662D790" w14:textId="4F591CD2"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DeMars</w:t>
      </w:r>
      <w:proofErr w:type="spellEnd"/>
      <w:r w:rsidRPr="00241527">
        <w:rPr>
          <w:rFonts w:ascii="Times New Roman" w:eastAsia="Times New Roman" w:hAnsi="Times New Roman" w:cs="Times New Roman"/>
          <w:sz w:val="24"/>
          <w:szCs w:val="24"/>
        </w:rPr>
        <w:t xml:space="preserve">, M. M., &amp; </w:t>
      </w:r>
      <w:proofErr w:type="spellStart"/>
      <w:r w:rsidRPr="00241527">
        <w:rPr>
          <w:rFonts w:ascii="Times New Roman" w:eastAsia="Times New Roman" w:hAnsi="Times New Roman" w:cs="Times New Roman"/>
          <w:sz w:val="24"/>
          <w:szCs w:val="24"/>
        </w:rPr>
        <w:t>Perruso</w:t>
      </w:r>
      <w:proofErr w:type="spellEnd"/>
      <w:r w:rsidRPr="00241527">
        <w:rPr>
          <w:rFonts w:ascii="Times New Roman" w:eastAsia="Times New Roman" w:hAnsi="Times New Roman" w:cs="Times New Roman"/>
          <w:sz w:val="24"/>
          <w:szCs w:val="24"/>
        </w:rPr>
        <w:t xml:space="preserve">, C. (2022). </w:t>
      </w:r>
      <w:proofErr w:type="spellStart"/>
      <w:r w:rsidRPr="00241527">
        <w:rPr>
          <w:rFonts w:ascii="Times New Roman" w:eastAsia="Times New Roman" w:hAnsi="Times New Roman" w:cs="Times New Roman"/>
          <w:sz w:val="24"/>
          <w:szCs w:val="24"/>
        </w:rPr>
        <w:t>MeSH</w:t>
      </w:r>
      <w:proofErr w:type="spellEnd"/>
      <w:r w:rsidRPr="00241527">
        <w:rPr>
          <w:rFonts w:ascii="Times New Roman" w:eastAsia="Times New Roman" w:hAnsi="Times New Roman" w:cs="Times New Roman"/>
          <w:sz w:val="24"/>
          <w:szCs w:val="24"/>
        </w:rPr>
        <w:t xml:space="preserve"> and text-word search strategies: precision, recall, and their implications for library instruction. Journal of the Medical Library </w:t>
      </w:r>
      <w:proofErr w:type="gramStart"/>
      <w:r w:rsidRPr="00241527">
        <w:rPr>
          <w:rFonts w:ascii="Times New Roman" w:eastAsia="Times New Roman" w:hAnsi="Times New Roman" w:cs="Times New Roman"/>
          <w:sz w:val="24"/>
          <w:szCs w:val="24"/>
        </w:rPr>
        <w:t>Association :</w:t>
      </w:r>
      <w:proofErr w:type="gramEnd"/>
      <w:r w:rsidRPr="00241527">
        <w:rPr>
          <w:rFonts w:ascii="Times New Roman" w:eastAsia="Times New Roman" w:hAnsi="Times New Roman" w:cs="Times New Roman"/>
          <w:sz w:val="24"/>
          <w:szCs w:val="24"/>
        </w:rPr>
        <w:t xml:space="preserve"> JMLA, 110(1), 23–33. </w:t>
      </w:r>
      <w:hyperlink r:id="rId17" w:history="1">
        <w:r w:rsidRPr="00775646">
          <w:rPr>
            <w:rStyle w:val="Hyperlink"/>
            <w:rFonts w:ascii="Times New Roman" w:eastAsia="Times New Roman" w:hAnsi="Times New Roman" w:cs="Times New Roman"/>
            <w:sz w:val="24"/>
            <w:szCs w:val="24"/>
          </w:rPr>
          <w:t>https://doi.org/10.5195/jmla.2022.1283</w:t>
        </w:r>
      </w:hyperlink>
    </w:p>
    <w:p w14:paraId="672F23D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19E7B25" w14:textId="19EAE2CE"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European Union. (n.d.). European Food Safety Authority (EFSA). </w:t>
      </w:r>
      <w:hyperlink r:id="rId18" w:history="1">
        <w:r w:rsidRPr="00775646">
          <w:rPr>
            <w:rStyle w:val="Hyperlink"/>
            <w:rFonts w:ascii="Times New Roman" w:eastAsia="Times New Roman" w:hAnsi="Times New Roman" w:cs="Times New Roman"/>
            <w:sz w:val="24"/>
            <w:szCs w:val="24"/>
          </w:rPr>
          <w:t>https://european-union.europa.eu/institutions-law-budget/institutions-and-bodies/search-all-eu-institutions-and-bodies/european-food-safety-authority-efsa_en</w:t>
        </w:r>
      </w:hyperlink>
    </w:p>
    <w:p w14:paraId="2A410C08"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35E89BB" w14:textId="78D63D01"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European Commission. (n.d.). Novel Food. European Union. </w:t>
      </w:r>
      <w:hyperlink r:id="rId19" w:history="1">
        <w:r w:rsidRPr="00775646">
          <w:rPr>
            <w:rStyle w:val="Hyperlink"/>
            <w:rFonts w:ascii="Times New Roman" w:eastAsia="Times New Roman" w:hAnsi="Times New Roman" w:cs="Times New Roman"/>
            <w:sz w:val="24"/>
            <w:szCs w:val="24"/>
          </w:rPr>
          <w:t>https://food.ec.europa.eu/food-safety/novel-food_en</w:t>
        </w:r>
      </w:hyperlink>
    </w:p>
    <w:p w14:paraId="3149EC1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2032B85" w14:textId="77E390A9"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lastRenderedPageBreak/>
        <w:t xml:space="preserve">Gao, W., Zhang, N., Li, S., Li, S., Zhu, S., Cong, X., Cheng, S., Barba, F. J., &amp; Zhu, Z. (2022). Polysaccharides in Selenium-Enriched Tea: Extraction Performance under Innovative Technologies and Antioxidant Activities. Foods (Basel, Switzerland), 11(17), 2545. </w:t>
      </w:r>
      <w:hyperlink r:id="rId20" w:history="1">
        <w:r w:rsidRPr="00775646">
          <w:rPr>
            <w:rStyle w:val="Hyperlink"/>
            <w:rFonts w:ascii="Times New Roman" w:eastAsia="Times New Roman" w:hAnsi="Times New Roman" w:cs="Times New Roman"/>
            <w:sz w:val="24"/>
            <w:szCs w:val="24"/>
          </w:rPr>
          <w:t>https://doi.org/10.3390/foods11172545</w:t>
        </w:r>
      </w:hyperlink>
    </w:p>
    <w:p w14:paraId="14CA53B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94DDD00" w14:textId="384AD223"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Ghazali, M. H., Saleem, F., &amp; Bashir, L. (2025). Cold plasma and high-pressure processing in sustainable meat preservation: a review. Food, Nutrition and Health, 2:22. </w:t>
      </w:r>
      <w:hyperlink r:id="rId21" w:history="1">
        <w:r w:rsidRPr="00775646">
          <w:rPr>
            <w:rStyle w:val="Hyperlink"/>
            <w:rFonts w:ascii="Times New Roman" w:eastAsia="Times New Roman" w:hAnsi="Times New Roman" w:cs="Times New Roman"/>
            <w:sz w:val="24"/>
            <w:szCs w:val="24"/>
          </w:rPr>
          <w:t>https://doi.org/10.1007/s44403-025-00032-1</w:t>
        </w:r>
      </w:hyperlink>
    </w:p>
    <w:p w14:paraId="1DE9DA04"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06E30EA" w14:textId="0BF53ECA"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Gupta, R. K., Shams, R., </w:t>
      </w:r>
      <w:proofErr w:type="spellStart"/>
      <w:r w:rsidRPr="00241527">
        <w:rPr>
          <w:rFonts w:ascii="Times New Roman" w:eastAsia="Times New Roman" w:hAnsi="Times New Roman" w:cs="Times New Roman"/>
          <w:sz w:val="24"/>
          <w:szCs w:val="24"/>
        </w:rPr>
        <w:t>Bahndral</w:t>
      </w:r>
      <w:proofErr w:type="spellEnd"/>
      <w:r w:rsidRPr="00241527">
        <w:rPr>
          <w:rFonts w:ascii="Times New Roman" w:eastAsia="Times New Roman" w:hAnsi="Times New Roman" w:cs="Times New Roman"/>
          <w:sz w:val="24"/>
          <w:szCs w:val="24"/>
        </w:rPr>
        <w:t xml:space="preserve">, A., Dash, K. K., </w:t>
      </w:r>
      <w:proofErr w:type="spellStart"/>
      <w:r w:rsidRPr="00241527">
        <w:rPr>
          <w:rFonts w:ascii="Times New Roman" w:eastAsia="Times New Roman" w:hAnsi="Times New Roman" w:cs="Times New Roman"/>
          <w:sz w:val="24"/>
          <w:szCs w:val="24"/>
        </w:rPr>
        <w:t>Pawase</w:t>
      </w:r>
      <w:proofErr w:type="spellEnd"/>
      <w:r w:rsidRPr="00241527">
        <w:rPr>
          <w:rFonts w:ascii="Times New Roman" w:eastAsia="Times New Roman" w:hAnsi="Times New Roman" w:cs="Times New Roman"/>
          <w:sz w:val="24"/>
          <w:szCs w:val="24"/>
        </w:rPr>
        <w:t xml:space="preserve">, P. A., &amp; Béla, K. (2025). Effectiveness of Various Plasma Treatments on Nutrient Retention and Food Quality: A Comprehensive Review of Applications and Impact. Applied Food Research. </w:t>
      </w:r>
      <w:hyperlink r:id="rId22" w:history="1">
        <w:r w:rsidRPr="00775646">
          <w:rPr>
            <w:rStyle w:val="Hyperlink"/>
            <w:rFonts w:ascii="Times New Roman" w:eastAsia="Times New Roman" w:hAnsi="Times New Roman" w:cs="Times New Roman"/>
            <w:sz w:val="24"/>
            <w:szCs w:val="24"/>
          </w:rPr>
          <w:t>https://doi.org/10.1016/j.afres.2025.101422</w:t>
        </w:r>
      </w:hyperlink>
    </w:p>
    <w:p w14:paraId="7C0C10F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45486AE8" w14:textId="0B09C9C6"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Jadhav, H. B., </w:t>
      </w:r>
      <w:proofErr w:type="spellStart"/>
      <w:r w:rsidRPr="00241527">
        <w:rPr>
          <w:rFonts w:ascii="Times New Roman" w:eastAsia="Times New Roman" w:hAnsi="Times New Roman" w:cs="Times New Roman"/>
          <w:sz w:val="24"/>
          <w:szCs w:val="24"/>
        </w:rPr>
        <w:t>Annapure</w:t>
      </w:r>
      <w:proofErr w:type="spellEnd"/>
      <w:r w:rsidRPr="00241527">
        <w:rPr>
          <w:rFonts w:ascii="Times New Roman" w:eastAsia="Times New Roman" w:hAnsi="Times New Roman" w:cs="Times New Roman"/>
          <w:sz w:val="24"/>
          <w:szCs w:val="24"/>
        </w:rPr>
        <w:t xml:space="preserve">, U. S., &amp; Deshmukh, R. R. (2021). Non-thermal Technologies for Food Processing. Frontiers in nutrition, 8, 657090. </w:t>
      </w:r>
      <w:hyperlink r:id="rId23" w:history="1">
        <w:r w:rsidRPr="00775646">
          <w:rPr>
            <w:rStyle w:val="Hyperlink"/>
            <w:rFonts w:ascii="Times New Roman" w:eastAsia="Times New Roman" w:hAnsi="Times New Roman" w:cs="Times New Roman"/>
            <w:sz w:val="24"/>
            <w:szCs w:val="24"/>
          </w:rPr>
          <w:t>https://doi.org/10.3389/fnut.2021.657090</w:t>
        </w:r>
      </w:hyperlink>
    </w:p>
    <w:p w14:paraId="715F04A2"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C6B33E6" w14:textId="3180914B"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Mensah, E. K., </w:t>
      </w:r>
      <w:proofErr w:type="spellStart"/>
      <w:r w:rsidRPr="00241527">
        <w:rPr>
          <w:rFonts w:ascii="Times New Roman" w:eastAsia="Times New Roman" w:hAnsi="Times New Roman" w:cs="Times New Roman"/>
          <w:sz w:val="24"/>
          <w:szCs w:val="24"/>
        </w:rPr>
        <w:t>Falakin</w:t>
      </w:r>
      <w:proofErr w:type="spellEnd"/>
      <w:r w:rsidRPr="00241527">
        <w:rPr>
          <w:rFonts w:ascii="Times New Roman" w:eastAsia="Times New Roman" w:hAnsi="Times New Roman" w:cs="Times New Roman"/>
          <w:sz w:val="24"/>
          <w:szCs w:val="24"/>
        </w:rPr>
        <w:t xml:space="preserve">, T. O., &amp; Blessing, A. A. (2025). Black Soldier Fly Meal as a Sustainable Alternative to Fishmeal in Rainbow Trout: Impacts on Growth, Nutrient Utilization, and Sustainability. Journal of Agriculture, Aquaculture, and Animal Science, 2(2), 103–111. </w:t>
      </w:r>
      <w:hyperlink r:id="rId24" w:history="1">
        <w:r w:rsidRPr="00775646">
          <w:rPr>
            <w:rStyle w:val="Hyperlink"/>
            <w:rFonts w:ascii="Times New Roman" w:eastAsia="Times New Roman" w:hAnsi="Times New Roman" w:cs="Times New Roman"/>
            <w:sz w:val="24"/>
            <w:szCs w:val="24"/>
          </w:rPr>
          <w:t>https://doi.org/10.69739/jaaas.v2i2.1054</w:t>
        </w:r>
      </w:hyperlink>
    </w:p>
    <w:p w14:paraId="30B65288"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92EE6DC" w14:textId="19AA029F"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w:t>
      </w:r>
      <w:proofErr w:type="spellStart"/>
      <w:r w:rsidRPr="00241527">
        <w:rPr>
          <w:rFonts w:ascii="Times New Roman" w:eastAsia="Times New Roman" w:hAnsi="Times New Roman" w:cs="Times New Roman"/>
          <w:sz w:val="24"/>
          <w:szCs w:val="24"/>
        </w:rPr>
        <w:t>Falakin</w:t>
      </w:r>
      <w:proofErr w:type="spellEnd"/>
      <w:r w:rsidRPr="00241527">
        <w:rPr>
          <w:rFonts w:ascii="Times New Roman" w:eastAsia="Times New Roman" w:hAnsi="Times New Roman" w:cs="Times New Roman"/>
          <w:sz w:val="24"/>
          <w:szCs w:val="24"/>
        </w:rPr>
        <w:t xml:space="preserve">, T. O., &amp; Mensah, E. K. (2025). Advancing sustainable U.S. aquaculture: Microalgae as a fishmeal alternative for rainbow trout. Journal of Agriculture, Aquaculture, and Animal Science, 2(2), 112–120. </w:t>
      </w:r>
      <w:hyperlink r:id="rId25" w:history="1">
        <w:r w:rsidRPr="00775646">
          <w:rPr>
            <w:rStyle w:val="Hyperlink"/>
            <w:rFonts w:ascii="Times New Roman" w:eastAsia="Times New Roman" w:hAnsi="Times New Roman" w:cs="Times New Roman"/>
            <w:sz w:val="24"/>
            <w:szCs w:val="24"/>
          </w:rPr>
          <w:t>https://doi.org/10.69739/jaaas.v2i2.1055</w:t>
        </w:r>
      </w:hyperlink>
    </w:p>
    <w:p w14:paraId="64226E1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9A0548E" w14:textId="79E88026"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&amp; </w:t>
      </w:r>
      <w:proofErr w:type="spellStart"/>
      <w:r w:rsidRPr="00241527">
        <w:rPr>
          <w:rFonts w:ascii="Times New Roman" w:eastAsia="Times New Roman" w:hAnsi="Times New Roman" w:cs="Times New Roman"/>
          <w:sz w:val="24"/>
          <w:szCs w:val="24"/>
        </w:rPr>
        <w:t>Falakin</w:t>
      </w:r>
      <w:proofErr w:type="spellEnd"/>
      <w:r w:rsidRPr="00241527">
        <w:rPr>
          <w:rFonts w:ascii="Times New Roman" w:eastAsia="Times New Roman" w:hAnsi="Times New Roman" w:cs="Times New Roman"/>
          <w:sz w:val="24"/>
          <w:szCs w:val="24"/>
        </w:rPr>
        <w:t xml:space="preserve">, T. O. (2025). Microalgae as fishmeal replacements in rainbow trout: Effects on growth, feed use and nutrient excretion. Journal of Applied Life Sciences International, 28(5), 186–202. </w:t>
      </w:r>
      <w:hyperlink r:id="rId26" w:history="1">
        <w:r w:rsidRPr="00775646">
          <w:rPr>
            <w:rStyle w:val="Hyperlink"/>
            <w:rFonts w:ascii="Times New Roman" w:eastAsia="Times New Roman" w:hAnsi="Times New Roman" w:cs="Times New Roman"/>
            <w:sz w:val="24"/>
            <w:szCs w:val="24"/>
          </w:rPr>
          <w:t>https://doi.org/10.9734/jalsi/2025/v28i5726</w:t>
        </w:r>
      </w:hyperlink>
    </w:p>
    <w:p w14:paraId="3C4CFBD9"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C07E98B" w14:textId="46912B23"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lastRenderedPageBreak/>
        <w:t xml:space="preserve">Jose, H., Jackson, E. L., Duong, C., &amp; Sung, B. (2025). Ethical food consumption in the digital age: Consumer attitudes towards digitally monitored animal welfare in pork products. Appetite, 207, 107853. </w:t>
      </w:r>
      <w:hyperlink r:id="rId27" w:history="1">
        <w:r w:rsidRPr="00775646">
          <w:rPr>
            <w:rStyle w:val="Hyperlink"/>
            <w:rFonts w:ascii="Times New Roman" w:eastAsia="Times New Roman" w:hAnsi="Times New Roman" w:cs="Times New Roman"/>
            <w:sz w:val="24"/>
            <w:szCs w:val="24"/>
          </w:rPr>
          <w:t>https://doi.org/10.1016/j.appet.2025.107853</w:t>
        </w:r>
      </w:hyperlink>
    </w:p>
    <w:p w14:paraId="0CCEECD7"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5E9417A" w14:textId="2FBFE7A7"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Kechri</w:t>
      </w:r>
      <w:proofErr w:type="spellEnd"/>
      <w:r w:rsidRPr="00241527">
        <w:rPr>
          <w:rFonts w:ascii="Times New Roman" w:eastAsia="Times New Roman" w:hAnsi="Times New Roman" w:cs="Times New Roman"/>
          <w:sz w:val="24"/>
          <w:szCs w:val="24"/>
        </w:rPr>
        <w:t xml:space="preserve">, K., </w:t>
      </w:r>
      <w:proofErr w:type="spellStart"/>
      <w:r w:rsidRPr="00241527">
        <w:rPr>
          <w:rFonts w:ascii="Times New Roman" w:eastAsia="Times New Roman" w:hAnsi="Times New Roman" w:cs="Times New Roman"/>
          <w:sz w:val="24"/>
          <w:szCs w:val="24"/>
        </w:rPr>
        <w:t>Kleisiari</w:t>
      </w:r>
      <w:proofErr w:type="spellEnd"/>
      <w:r w:rsidRPr="00241527">
        <w:rPr>
          <w:rFonts w:ascii="Times New Roman" w:eastAsia="Times New Roman" w:hAnsi="Times New Roman" w:cs="Times New Roman"/>
          <w:sz w:val="24"/>
          <w:szCs w:val="24"/>
        </w:rPr>
        <w:t xml:space="preserve">, C., </w:t>
      </w:r>
      <w:proofErr w:type="spellStart"/>
      <w:r w:rsidRPr="00241527">
        <w:rPr>
          <w:rFonts w:ascii="Times New Roman" w:eastAsia="Times New Roman" w:hAnsi="Times New Roman" w:cs="Times New Roman"/>
          <w:sz w:val="24"/>
          <w:szCs w:val="24"/>
        </w:rPr>
        <w:t>Kyrgiakos</w:t>
      </w:r>
      <w:proofErr w:type="spellEnd"/>
      <w:r w:rsidRPr="00241527">
        <w:rPr>
          <w:rFonts w:ascii="Times New Roman" w:eastAsia="Times New Roman" w:hAnsi="Times New Roman" w:cs="Times New Roman"/>
          <w:sz w:val="24"/>
          <w:szCs w:val="24"/>
        </w:rPr>
        <w:t xml:space="preserve">, L. S., </w:t>
      </w:r>
      <w:proofErr w:type="spellStart"/>
      <w:r w:rsidRPr="00241527">
        <w:rPr>
          <w:rFonts w:ascii="Times New Roman" w:eastAsia="Times New Roman" w:hAnsi="Times New Roman" w:cs="Times New Roman"/>
          <w:sz w:val="24"/>
          <w:szCs w:val="24"/>
        </w:rPr>
        <w:t>Vasileiou</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Tosiliani</w:t>
      </w:r>
      <w:proofErr w:type="spellEnd"/>
      <w:r w:rsidRPr="00241527">
        <w:rPr>
          <w:rFonts w:ascii="Times New Roman" w:eastAsia="Times New Roman" w:hAnsi="Times New Roman" w:cs="Times New Roman"/>
          <w:sz w:val="24"/>
          <w:szCs w:val="24"/>
        </w:rPr>
        <w:t xml:space="preserve">, D. D., Angelopoulos, V., </w:t>
      </w:r>
      <w:proofErr w:type="spellStart"/>
      <w:r w:rsidRPr="00241527">
        <w:rPr>
          <w:rFonts w:ascii="Times New Roman" w:eastAsia="Times New Roman" w:hAnsi="Times New Roman" w:cs="Times New Roman"/>
          <w:sz w:val="24"/>
          <w:szCs w:val="24"/>
        </w:rPr>
        <w:t>Kleftodimos</w:t>
      </w:r>
      <w:proofErr w:type="spellEnd"/>
      <w:r w:rsidRPr="00241527">
        <w:rPr>
          <w:rFonts w:ascii="Times New Roman" w:eastAsia="Times New Roman" w:hAnsi="Times New Roman" w:cs="Times New Roman"/>
          <w:sz w:val="24"/>
          <w:szCs w:val="24"/>
        </w:rPr>
        <w:t xml:space="preserve">, G., &amp; </w:t>
      </w:r>
      <w:proofErr w:type="spellStart"/>
      <w:r w:rsidRPr="00241527">
        <w:rPr>
          <w:rFonts w:ascii="Times New Roman" w:eastAsia="Times New Roman" w:hAnsi="Times New Roman" w:cs="Times New Roman"/>
          <w:sz w:val="24"/>
          <w:szCs w:val="24"/>
        </w:rPr>
        <w:t>Vlontzos</w:t>
      </w:r>
      <w:proofErr w:type="spellEnd"/>
      <w:r w:rsidRPr="00241527">
        <w:rPr>
          <w:rFonts w:ascii="Times New Roman" w:eastAsia="Times New Roman" w:hAnsi="Times New Roman" w:cs="Times New Roman"/>
          <w:sz w:val="24"/>
          <w:szCs w:val="24"/>
        </w:rPr>
        <w:t xml:space="preserve">, G. (2025). Emerging Technologies for Investigating Food Consumer Behavior: A Systematic Review. Comprehensive reviews in food science and food safety, 24(6), e70340. </w:t>
      </w:r>
      <w:hyperlink r:id="rId28" w:history="1">
        <w:r w:rsidRPr="00775646">
          <w:rPr>
            <w:rStyle w:val="Hyperlink"/>
            <w:rFonts w:ascii="Times New Roman" w:eastAsia="Times New Roman" w:hAnsi="Times New Roman" w:cs="Times New Roman"/>
            <w:sz w:val="24"/>
            <w:szCs w:val="24"/>
          </w:rPr>
          <w:t>https://doi.org/10.1111/1541-4337.70340</w:t>
        </w:r>
      </w:hyperlink>
    </w:p>
    <w:p w14:paraId="4647779E"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A4D9390" w14:textId="00577C9A"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Keyata</w:t>
      </w:r>
      <w:proofErr w:type="spellEnd"/>
      <w:r w:rsidRPr="00241527">
        <w:rPr>
          <w:rFonts w:ascii="Times New Roman" w:eastAsia="Times New Roman" w:hAnsi="Times New Roman" w:cs="Times New Roman"/>
          <w:sz w:val="24"/>
          <w:szCs w:val="24"/>
        </w:rPr>
        <w:t xml:space="preserve">, E., &amp; </w:t>
      </w:r>
      <w:proofErr w:type="spellStart"/>
      <w:r w:rsidRPr="00241527">
        <w:rPr>
          <w:rFonts w:ascii="Times New Roman" w:eastAsia="Times New Roman" w:hAnsi="Times New Roman" w:cs="Times New Roman"/>
          <w:sz w:val="24"/>
          <w:szCs w:val="24"/>
        </w:rPr>
        <w:t>Bikila</w:t>
      </w:r>
      <w:proofErr w:type="spellEnd"/>
      <w:r w:rsidRPr="00241527">
        <w:rPr>
          <w:rFonts w:ascii="Times New Roman" w:eastAsia="Times New Roman" w:hAnsi="Times New Roman" w:cs="Times New Roman"/>
          <w:sz w:val="24"/>
          <w:szCs w:val="24"/>
        </w:rPr>
        <w:t xml:space="preserve">, A. (2024). Effect of high-pressure processing on nutritional composition, microbial safety, shelf life and sensory properties of perishable food products: A review. Journal of Agriculture, Food and Natural Resources, 2(1), 69-78. </w:t>
      </w:r>
      <w:hyperlink r:id="rId29" w:history="1">
        <w:r w:rsidRPr="00775646">
          <w:rPr>
            <w:rStyle w:val="Hyperlink"/>
            <w:rFonts w:ascii="Times New Roman" w:eastAsia="Times New Roman" w:hAnsi="Times New Roman" w:cs="Times New Roman"/>
            <w:sz w:val="24"/>
            <w:szCs w:val="24"/>
          </w:rPr>
          <w:t>https://doi.org/10.20372/afnr.v2i1.659</w:t>
        </w:r>
      </w:hyperlink>
    </w:p>
    <w:p w14:paraId="7D1FA6C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9EE06A6" w14:textId="58AB00BC"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Khalid, W., </w:t>
      </w:r>
      <w:proofErr w:type="spellStart"/>
      <w:r w:rsidRPr="00241527">
        <w:rPr>
          <w:rFonts w:ascii="Times New Roman" w:eastAsia="Times New Roman" w:hAnsi="Times New Roman" w:cs="Times New Roman"/>
          <w:sz w:val="24"/>
          <w:szCs w:val="24"/>
        </w:rPr>
        <w:t>Benmebarek</w:t>
      </w:r>
      <w:proofErr w:type="spellEnd"/>
      <w:r w:rsidRPr="00241527">
        <w:rPr>
          <w:rFonts w:ascii="Times New Roman" w:eastAsia="Times New Roman" w:hAnsi="Times New Roman" w:cs="Times New Roman"/>
          <w:sz w:val="24"/>
          <w:szCs w:val="24"/>
        </w:rPr>
        <w:t xml:space="preserve">, I. E., </w:t>
      </w:r>
      <w:proofErr w:type="spellStart"/>
      <w:r w:rsidRPr="00241527">
        <w:rPr>
          <w:rFonts w:ascii="Times New Roman" w:eastAsia="Times New Roman" w:hAnsi="Times New Roman" w:cs="Times New Roman"/>
          <w:sz w:val="24"/>
          <w:szCs w:val="24"/>
        </w:rPr>
        <w:t>Zargarchi</w:t>
      </w:r>
      <w:proofErr w:type="spellEnd"/>
      <w:r w:rsidRPr="00241527">
        <w:rPr>
          <w:rFonts w:ascii="Times New Roman" w:eastAsia="Times New Roman" w:hAnsi="Times New Roman" w:cs="Times New Roman"/>
          <w:sz w:val="24"/>
          <w:szCs w:val="24"/>
        </w:rPr>
        <w:t xml:space="preserve">, S., Kumar, P., </w:t>
      </w:r>
      <w:proofErr w:type="spellStart"/>
      <w:r w:rsidRPr="00241527">
        <w:rPr>
          <w:rFonts w:ascii="Times New Roman" w:eastAsia="Times New Roman" w:hAnsi="Times New Roman" w:cs="Times New Roman"/>
          <w:sz w:val="24"/>
          <w:szCs w:val="24"/>
        </w:rPr>
        <w:t>Javed</w:t>
      </w:r>
      <w:proofErr w:type="spellEnd"/>
      <w:r w:rsidRPr="00241527">
        <w:rPr>
          <w:rFonts w:ascii="Times New Roman" w:eastAsia="Times New Roman" w:hAnsi="Times New Roman" w:cs="Times New Roman"/>
          <w:sz w:val="24"/>
          <w:szCs w:val="24"/>
        </w:rPr>
        <w:t xml:space="preserve">, M., Moreno, A., Sharma, A., </w:t>
      </w:r>
      <w:proofErr w:type="spellStart"/>
      <w:r w:rsidRPr="00241527">
        <w:rPr>
          <w:rFonts w:ascii="Times New Roman" w:eastAsia="Times New Roman" w:hAnsi="Times New Roman" w:cs="Times New Roman"/>
          <w:sz w:val="24"/>
          <w:szCs w:val="24"/>
        </w:rPr>
        <w:t>Nayik</w:t>
      </w:r>
      <w:proofErr w:type="spellEnd"/>
      <w:r w:rsidRPr="00241527">
        <w:rPr>
          <w:rFonts w:ascii="Times New Roman" w:eastAsia="Times New Roman" w:hAnsi="Times New Roman" w:cs="Times New Roman"/>
          <w:sz w:val="24"/>
          <w:szCs w:val="24"/>
        </w:rPr>
        <w:t xml:space="preserve">, G. A., &amp; </w:t>
      </w:r>
      <w:proofErr w:type="spellStart"/>
      <w:r w:rsidRPr="00241527">
        <w:rPr>
          <w:rFonts w:ascii="Times New Roman" w:eastAsia="Times New Roman" w:hAnsi="Times New Roman" w:cs="Times New Roman"/>
          <w:sz w:val="24"/>
          <w:szCs w:val="24"/>
        </w:rPr>
        <w:t>Esatbeyoglu</w:t>
      </w:r>
      <w:proofErr w:type="spellEnd"/>
      <w:r w:rsidRPr="00241527">
        <w:rPr>
          <w:rFonts w:ascii="Times New Roman" w:eastAsia="Times New Roman" w:hAnsi="Times New Roman" w:cs="Times New Roman"/>
          <w:sz w:val="24"/>
          <w:szCs w:val="24"/>
        </w:rPr>
        <w:t>, T. (2025). Optimization of the effect of cold plasma treatment on UAE-NADES green extraction of chickpea roots (</w:t>
      </w:r>
      <w:proofErr w:type="spellStart"/>
      <w:r w:rsidRPr="00241527">
        <w:rPr>
          <w:rFonts w:ascii="Times New Roman" w:eastAsia="Times New Roman" w:hAnsi="Times New Roman" w:cs="Times New Roman"/>
          <w:sz w:val="24"/>
          <w:szCs w:val="24"/>
        </w:rPr>
        <w:t>Cicer</w:t>
      </w:r>
      <w:proofErr w:type="spellEnd"/>
      <w:r w:rsidRPr="00241527">
        <w:rPr>
          <w:rFonts w:ascii="Times New Roman" w:eastAsia="Times New Roman" w:hAnsi="Times New Roman" w:cs="Times New Roman"/>
          <w:sz w:val="24"/>
          <w:szCs w:val="24"/>
        </w:rPr>
        <w:t xml:space="preserve"> arietinum) bioactive compounds. </w:t>
      </w:r>
      <w:proofErr w:type="spellStart"/>
      <w:r w:rsidRPr="00241527">
        <w:rPr>
          <w:rFonts w:ascii="Times New Roman" w:eastAsia="Times New Roman" w:hAnsi="Times New Roman" w:cs="Times New Roman"/>
          <w:sz w:val="24"/>
          <w:szCs w:val="24"/>
        </w:rPr>
        <w:t>Ultrasonics</w:t>
      </w:r>
      <w:proofErr w:type="spellEnd"/>
      <w:r w:rsidRPr="00241527">
        <w:rPr>
          <w:rFonts w:ascii="Times New Roman" w:eastAsia="Times New Roman" w:hAnsi="Times New Roman" w:cs="Times New Roman"/>
          <w:sz w:val="24"/>
          <w:szCs w:val="24"/>
        </w:rPr>
        <w:t xml:space="preserve"> sonochemistry, 114, 107276. </w:t>
      </w:r>
      <w:hyperlink r:id="rId30" w:history="1">
        <w:r w:rsidRPr="00775646">
          <w:rPr>
            <w:rStyle w:val="Hyperlink"/>
            <w:rFonts w:ascii="Times New Roman" w:eastAsia="Times New Roman" w:hAnsi="Times New Roman" w:cs="Times New Roman"/>
            <w:sz w:val="24"/>
            <w:szCs w:val="24"/>
          </w:rPr>
          <w:t>https://doi.org/10.1016/j.ultsonch.2025.107276</w:t>
        </w:r>
      </w:hyperlink>
    </w:p>
    <w:p w14:paraId="1038A0E1"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C6F81C5" w14:textId="66A8A560"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Lai, Y. Y., Chen, J. H., Liu, Y. C., Hsiao, Y. T., &amp; Wang, C. Y. (2022). Evaluation of microbiological safety, physicochemical and aromatic qualities of </w:t>
      </w:r>
      <w:proofErr w:type="spellStart"/>
      <w:r w:rsidRPr="00241527">
        <w:rPr>
          <w:rFonts w:ascii="Times New Roman" w:eastAsia="Times New Roman" w:hAnsi="Times New Roman" w:cs="Times New Roman"/>
          <w:sz w:val="24"/>
          <w:szCs w:val="24"/>
        </w:rPr>
        <w:t>shiikuwasha</w:t>
      </w:r>
      <w:proofErr w:type="spellEnd"/>
      <w:r w:rsidRPr="00241527">
        <w:rPr>
          <w:rFonts w:ascii="Times New Roman" w:eastAsia="Times New Roman" w:hAnsi="Times New Roman" w:cs="Times New Roman"/>
          <w:sz w:val="24"/>
          <w:szCs w:val="24"/>
        </w:rPr>
        <w:t xml:space="preserve"> (Citrus </w:t>
      </w:r>
      <w:proofErr w:type="spellStart"/>
      <w:r w:rsidRPr="00241527">
        <w:rPr>
          <w:rFonts w:ascii="Times New Roman" w:eastAsia="Times New Roman" w:hAnsi="Times New Roman" w:cs="Times New Roman"/>
          <w:sz w:val="24"/>
          <w:szCs w:val="24"/>
        </w:rPr>
        <w:t>depressa</w:t>
      </w:r>
      <w:proofErr w:type="spellEnd"/>
      <w:r w:rsidRPr="00241527">
        <w:rPr>
          <w:rFonts w:ascii="Times New Roman" w:eastAsia="Times New Roman" w:hAnsi="Times New Roman" w:cs="Times New Roman"/>
          <w:sz w:val="24"/>
          <w:szCs w:val="24"/>
        </w:rPr>
        <w:t xml:space="preserve"> </w:t>
      </w:r>
      <w:proofErr w:type="spellStart"/>
      <w:r w:rsidRPr="00241527">
        <w:rPr>
          <w:rFonts w:ascii="Times New Roman" w:eastAsia="Times New Roman" w:hAnsi="Times New Roman" w:cs="Times New Roman"/>
          <w:sz w:val="24"/>
          <w:szCs w:val="24"/>
        </w:rPr>
        <w:t>Hayata</w:t>
      </w:r>
      <w:proofErr w:type="spellEnd"/>
      <w:r w:rsidRPr="00241527">
        <w:rPr>
          <w:rFonts w:ascii="Times New Roman" w:eastAsia="Times New Roman" w:hAnsi="Times New Roman" w:cs="Times New Roman"/>
          <w:sz w:val="24"/>
          <w:szCs w:val="24"/>
        </w:rPr>
        <w:t xml:space="preserve">) juice after high pressure processing. Journal of food science and technology, 59(3), 990–1000. </w:t>
      </w:r>
      <w:hyperlink r:id="rId31" w:history="1">
        <w:r w:rsidRPr="00775646">
          <w:rPr>
            <w:rStyle w:val="Hyperlink"/>
            <w:rFonts w:ascii="Times New Roman" w:eastAsia="Times New Roman" w:hAnsi="Times New Roman" w:cs="Times New Roman"/>
            <w:sz w:val="24"/>
            <w:szCs w:val="24"/>
          </w:rPr>
          <w:t>https://doi.org/10.1007/s13197-021-05103-7</w:t>
        </w:r>
      </w:hyperlink>
    </w:p>
    <w:p w14:paraId="4B58FC51"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4C3BD3A" w14:textId="62DBBB60"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Lawal, O. P., </w:t>
      </w:r>
      <w:proofErr w:type="spellStart"/>
      <w:r w:rsidRPr="00241527">
        <w:rPr>
          <w:rFonts w:ascii="Times New Roman" w:eastAsia="Times New Roman" w:hAnsi="Times New Roman" w:cs="Times New Roman"/>
          <w:sz w:val="24"/>
          <w:szCs w:val="24"/>
        </w:rPr>
        <w:t>Njoba</w:t>
      </w:r>
      <w:proofErr w:type="spellEnd"/>
      <w:r w:rsidRPr="00241527">
        <w:rPr>
          <w:rFonts w:ascii="Times New Roman" w:eastAsia="Times New Roman" w:hAnsi="Times New Roman" w:cs="Times New Roman"/>
          <w:sz w:val="24"/>
          <w:szCs w:val="24"/>
        </w:rPr>
        <w:t xml:space="preserve">, C. F., </w:t>
      </w:r>
      <w:proofErr w:type="spellStart"/>
      <w:r w:rsidRPr="00241527">
        <w:rPr>
          <w:rFonts w:ascii="Times New Roman" w:eastAsia="Times New Roman" w:hAnsi="Times New Roman" w:cs="Times New Roman"/>
          <w:sz w:val="24"/>
          <w:szCs w:val="24"/>
        </w:rPr>
        <w:t>Olorunkosebi</w:t>
      </w:r>
      <w:proofErr w:type="spellEnd"/>
      <w:r w:rsidRPr="00241527">
        <w:rPr>
          <w:rFonts w:ascii="Times New Roman" w:eastAsia="Times New Roman" w:hAnsi="Times New Roman" w:cs="Times New Roman"/>
          <w:sz w:val="24"/>
          <w:szCs w:val="24"/>
        </w:rPr>
        <w:t xml:space="preserve">, M. T., Jacob, H., </w:t>
      </w:r>
      <w:proofErr w:type="spellStart"/>
      <w:r w:rsidRPr="00241527">
        <w:rPr>
          <w:rFonts w:ascii="Times New Roman" w:eastAsia="Times New Roman" w:hAnsi="Times New Roman" w:cs="Times New Roman"/>
          <w:sz w:val="24"/>
          <w:szCs w:val="24"/>
        </w:rPr>
        <w:t>Igweonu</w:t>
      </w:r>
      <w:proofErr w:type="spellEnd"/>
      <w:r w:rsidRPr="00241527">
        <w:rPr>
          <w:rFonts w:ascii="Times New Roman" w:eastAsia="Times New Roman" w:hAnsi="Times New Roman" w:cs="Times New Roman"/>
          <w:sz w:val="24"/>
          <w:szCs w:val="24"/>
        </w:rPr>
        <w:t xml:space="preserve">, C., </w:t>
      </w:r>
      <w:proofErr w:type="spellStart"/>
      <w:r w:rsidRPr="00241527">
        <w:rPr>
          <w:rFonts w:ascii="Times New Roman" w:eastAsia="Times New Roman" w:hAnsi="Times New Roman" w:cs="Times New Roman"/>
          <w:sz w:val="24"/>
          <w:szCs w:val="24"/>
        </w:rPr>
        <w:t>Dilioha</w:t>
      </w:r>
      <w:proofErr w:type="spellEnd"/>
      <w:r w:rsidRPr="00241527">
        <w:rPr>
          <w:rFonts w:ascii="Times New Roman" w:eastAsia="Times New Roman" w:hAnsi="Times New Roman" w:cs="Times New Roman"/>
          <w:sz w:val="24"/>
          <w:szCs w:val="24"/>
        </w:rPr>
        <w:t xml:space="preserve">, J. O., </w:t>
      </w:r>
      <w:proofErr w:type="spellStart"/>
      <w:r w:rsidRPr="00241527">
        <w:rPr>
          <w:rFonts w:ascii="Times New Roman" w:eastAsia="Times New Roman" w:hAnsi="Times New Roman" w:cs="Times New Roman"/>
          <w:sz w:val="24"/>
          <w:szCs w:val="24"/>
        </w:rPr>
        <w:t>Fagbemi</w:t>
      </w:r>
      <w:proofErr w:type="spellEnd"/>
      <w:r w:rsidRPr="00241527">
        <w:rPr>
          <w:rFonts w:ascii="Times New Roman" w:eastAsia="Times New Roman" w:hAnsi="Times New Roman" w:cs="Times New Roman"/>
          <w:sz w:val="24"/>
          <w:szCs w:val="24"/>
        </w:rPr>
        <w:t xml:space="preserve">, B. T., </w:t>
      </w:r>
      <w:proofErr w:type="spellStart"/>
      <w:r w:rsidRPr="00241527">
        <w:rPr>
          <w:rFonts w:ascii="Times New Roman" w:eastAsia="Times New Roman" w:hAnsi="Times New Roman" w:cs="Times New Roman"/>
          <w:sz w:val="24"/>
          <w:szCs w:val="24"/>
        </w:rPr>
        <w:t>Amesimenu</w:t>
      </w:r>
      <w:proofErr w:type="spellEnd"/>
      <w:r w:rsidRPr="00241527">
        <w:rPr>
          <w:rFonts w:ascii="Times New Roman" w:eastAsia="Times New Roman" w:hAnsi="Times New Roman" w:cs="Times New Roman"/>
          <w:sz w:val="24"/>
          <w:szCs w:val="24"/>
        </w:rPr>
        <w:t xml:space="preserve">, R., </w:t>
      </w: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&amp; </w:t>
      </w:r>
      <w:proofErr w:type="spellStart"/>
      <w:r w:rsidRPr="00241527">
        <w:rPr>
          <w:rFonts w:ascii="Times New Roman" w:eastAsia="Times New Roman" w:hAnsi="Times New Roman" w:cs="Times New Roman"/>
          <w:sz w:val="24"/>
          <w:szCs w:val="24"/>
        </w:rPr>
        <w:t>Obiechi</w:t>
      </w:r>
      <w:proofErr w:type="spellEnd"/>
      <w:r w:rsidRPr="00241527">
        <w:rPr>
          <w:rFonts w:ascii="Times New Roman" w:eastAsia="Times New Roman" w:hAnsi="Times New Roman" w:cs="Times New Roman"/>
          <w:sz w:val="24"/>
          <w:szCs w:val="24"/>
        </w:rPr>
        <w:t xml:space="preserve">, M. N. (2025). Microplastics as emerging reservoirs of antimicrobial resistance: Clinical relevance and environmental mechanisms. Journal of Clinical and Experimental Investigations, 16(4), em00852. </w:t>
      </w:r>
      <w:hyperlink r:id="rId32" w:history="1">
        <w:r w:rsidRPr="00775646">
          <w:rPr>
            <w:rStyle w:val="Hyperlink"/>
            <w:rFonts w:ascii="Times New Roman" w:eastAsia="Times New Roman" w:hAnsi="Times New Roman" w:cs="Times New Roman"/>
            <w:sz w:val="24"/>
            <w:szCs w:val="24"/>
          </w:rPr>
          <w:t>https://doi.org/10.29333/jcei/17401</w:t>
        </w:r>
      </w:hyperlink>
    </w:p>
    <w:p w14:paraId="7FAB81C1"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15E87824" w14:textId="49CBEDED"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Liang, N., Mohamed, H. M., Kim, B. J., Burroughs, S., </w:t>
      </w:r>
      <w:proofErr w:type="spellStart"/>
      <w:r w:rsidRPr="00241527">
        <w:rPr>
          <w:rFonts w:ascii="Times New Roman" w:eastAsia="Times New Roman" w:hAnsi="Times New Roman" w:cs="Times New Roman"/>
          <w:sz w:val="24"/>
          <w:szCs w:val="24"/>
        </w:rPr>
        <w:t>Lowder</w:t>
      </w:r>
      <w:proofErr w:type="spellEnd"/>
      <w:r w:rsidRPr="00241527">
        <w:rPr>
          <w:rFonts w:ascii="Times New Roman" w:eastAsia="Times New Roman" w:hAnsi="Times New Roman" w:cs="Times New Roman"/>
          <w:sz w:val="24"/>
          <w:szCs w:val="24"/>
        </w:rPr>
        <w:t xml:space="preserve">, A., Waite-Cusic, J., &amp; Dallas, D. C. (2023). High-Pressure Processing of Human Milk: A Balance between Microbial Inactivation </w:t>
      </w:r>
      <w:r w:rsidRPr="00241527">
        <w:rPr>
          <w:rFonts w:ascii="Times New Roman" w:eastAsia="Times New Roman" w:hAnsi="Times New Roman" w:cs="Times New Roman"/>
          <w:sz w:val="24"/>
          <w:szCs w:val="24"/>
        </w:rPr>
        <w:lastRenderedPageBreak/>
        <w:t xml:space="preserve">and Bioactive Protein Preservation. The Journal of Nutrition, 153(9), 2598–2611. </w:t>
      </w:r>
      <w:hyperlink r:id="rId33" w:history="1">
        <w:r w:rsidRPr="00775646">
          <w:rPr>
            <w:rStyle w:val="Hyperlink"/>
            <w:rFonts w:ascii="Times New Roman" w:eastAsia="Times New Roman" w:hAnsi="Times New Roman" w:cs="Times New Roman"/>
            <w:sz w:val="24"/>
            <w:szCs w:val="24"/>
          </w:rPr>
          <w:t>https://doi.org/10.1016/j.tjnut.2023.07.001</w:t>
        </w:r>
      </w:hyperlink>
    </w:p>
    <w:p w14:paraId="2A45BFA3"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E03D681" w14:textId="42A17F2E"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Maduforo</w:t>
      </w:r>
      <w:proofErr w:type="spellEnd"/>
      <w:r w:rsidRPr="00241527">
        <w:rPr>
          <w:rFonts w:ascii="Times New Roman" w:eastAsia="Times New Roman" w:hAnsi="Times New Roman" w:cs="Times New Roman"/>
          <w:sz w:val="24"/>
          <w:szCs w:val="24"/>
        </w:rPr>
        <w:t xml:space="preserve">, A. N., </w:t>
      </w:r>
      <w:proofErr w:type="spellStart"/>
      <w:r w:rsidRPr="00241527">
        <w:rPr>
          <w:rFonts w:ascii="Times New Roman" w:eastAsia="Times New Roman" w:hAnsi="Times New Roman" w:cs="Times New Roman"/>
          <w:sz w:val="24"/>
          <w:szCs w:val="24"/>
        </w:rPr>
        <w:t>Ngene</w:t>
      </w:r>
      <w:proofErr w:type="spellEnd"/>
      <w:r w:rsidRPr="00241527">
        <w:rPr>
          <w:rFonts w:ascii="Times New Roman" w:eastAsia="Times New Roman" w:hAnsi="Times New Roman" w:cs="Times New Roman"/>
          <w:sz w:val="24"/>
          <w:szCs w:val="24"/>
        </w:rPr>
        <w:t xml:space="preserve">, B. A., </w:t>
      </w:r>
      <w:proofErr w:type="spellStart"/>
      <w:r w:rsidRPr="00241527">
        <w:rPr>
          <w:rFonts w:ascii="Times New Roman" w:eastAsia="Times New Roman" w:hAnsi="Times New Roman" w:cs="Times New Roman"/>
          <w:sz w:val="24"/>
          <w:szCs w:val="24"/>
        </w:rPr>
        <w:t>Chikwendu</w:t>
      </w:r>
      <w:proofErr w:type="spellEnd"/>
      <w:r w:rsidRPr="00241527">
        <w:rPr>
          <w:rFonts w:ascii="Times New Roman" w:eastAsia="Times New Roman" w:hAnsi="Times New Roman" w:cs="Times New Roman"/>
          <w:sz w:val="24"/>
          <w:szCs w:val="24"/>
        </w:rPr>
        <w:t>, J. N., Okorie, J. N., Ugo, C. H., &amp; Aloysius-</w:t>
      </w:r>
      <w:proofErr w:type="spellStart"/>
      <w:r w:rsidRPr="00241527">
        <w:rPr>
          <w:rFonts w:ascii="Times New Roman" w:eastAsia="Times New Roman" w:hAnsi="Times New Roman" w:cs="Times New Roman"/>
          <w:sz w:val="24"/>
          <w:szCs w:val="24"/>
        </w:rPr>
        <w:t>Maduforo</w:t>
      </w:r>
      <w:proofErr w:type="spellEnd"/>
      <w:r w:rsidRPr="00241527">
        <w:rPr>
          <w:rFonts w:ascii="Times New Roman" w:eastAsia="Times New Roman" w:hAnsi="Times New Roman" w:cs="Times New Roman"/>
          <w:sz w:val="24"/>
          <w:szCs w:val="24"/>
        </w:rPr>
        <w:t xml:space="preserve">, M. C. (2022). Effect of Processing Methods on Nutritional Quality of Solanum </w:t>
      </w:r>
      <w:proofErr w:type="spellStart"/>
      <w:r w:rsidRPr="00241527">
        <w:rPr>
          <w:rFonts w:ascii="Times New Roman" w:eastAsia="Times New Roman" w:hAnsi="Times New Roman" w:cs="Times New Roman"/>
          <w:sz w:val="24"/>
          <w:szCs w:val="24"/>
        </w:rPr>
        <w:t>aethiopicum</w:t>
      </w:r>
      <w:proofErr w:type="spellEnd"/>
      <w:r w:rsidRPr="00241527">
        <w:rPr>
          <w:rFonts w:ascii="Times New Roman" w:eastAsia="Times New Roman" w:hAnsi="Times New Roman" w:cs="Times New Roman"/>
          <w:sz w:val="24"/>
          <w:szCs w:val="24"/>
        </w:rPr>
        <w:t xml:space="preserve"> and </w:t>
      </w:r>
      <w:proofErr w:type="spellStart"/>
      <w:r w:rsidRPr="00241527">
        <w:rPr>
          <w:rFonts w:ascii="Times New Roman" w:eastAsia="Times New Roman" w:hAnsi="Times New Roman" w:cs="Times New Roman"/>
          <w:sz w:val="24"/>
          <w:szCs w:val="24"/>
        </w:rPr>
        <w:t>Colocasia</w:t>
      </w:r>
      <w:proofErr w:type="spellEnd"/>
      <w:r w:rsidRPr="00241527">
        <w:rPr>
          <w:rFonts w:ascii="Times New Roman" w:eastAsia="Times New Roman" w:hAnsi="Times New Roman" w:cs="Times New Roman"/>
          <w:sz w:val="24"/>
          <w:szCs w:val="24"/>
        </w:rPr>
        <w:t xml:space="preserve"> esculenta Leafy Vegetables Commonly Consumed in Ebonyi State, Nigeria. Journal of Dietitians Association of Nigeria (JDAN), 13(2). </w:t>
      </w:r>
      <w:hyperlink r:id="rId34" w:history="1">
        <w:r w:rsidRPr="00775646">
          <w:rPr>
            <w:rStyle w:val="Hyperlink"/>
            <w:rFonts w:ascii="Times New Roman" w:eastAsia="Times New Roman" w:hAnsi="Times New Roman" w:cs="Times New Roman"/>
            <w:sz w:val="24"/>
            <w:szCs w:val="24"/>
          </w:rPr>
          <w:t>https://doi.org/10.4314/jdan.v13i2.4</w:t>
        </w:r>
      </w:hyperlink>
    </w:p>
    <w:p w14:paraId="541EA17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F0C0BED" w14:textId="2FA82A9B"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Mandim</w:t>
      </w:r>
      <w:proofErr w:type="spellEnd"/>
      <w:r w:rsidRPr="00241527">
        <w:rPr>
          <w:rFonts w:ascii="Times New Roman" w:eastAsia="Times New Roman" w:hAnsi="Times New Roman" w:cs="Times New Roman"/>
          <w:sz w:val="24"/>
          <w:szCs w:val="24"/>
        </w:rPr>
        <w:t xml:space="preserve">, F., Petropoulos, S. A., Pinto, C. A., </w:t>
      </w:r>
      <w:proofErr w:type="spellStart"/>
      <w:r w:rsidRPr="00241527">
        <w:rPr>
          <w:rFonts w:ascii="Times New Roman" w:eastAsia="Times New Roman" w:hAnsi="Times New Roman" w:cs="Times New Roman"/>
          <w:sz w:val="24"/>
          <w:szCs w:val="24"/>
        </w:rPr>
        <w:t>Heleno</w:t>
      </w:r>
      <w:proofErr w:type="spellEnd"/>
      <w:r w:rsidRPr="00241527">
        <w:rPr>
          <w:rFonts w:ascii="Times New Roman" w:eastAsia="Times New Roman" w:hAnsi="Times New Roman" w:cs="Times New Roman"/>
          <w:sz w:val="24"/>
          <w:szCs w:val="24"/>
        </w:rPr>
        <w:t>, S. A., Rodrigues, P., Dias, M. I., Saraiva, J. A., Santos-</w:t>
      </w:r>
      <w:proofErr w:type="spellStart"/>
      <w:r w:rsidRPr="00241527">
        <w:rPr>
          <w:rFonts w:ascii="Times New Roman" w:eastAsia="Times New Roman" w:hAnsi="Times New Roman" w:cs="Times New Roman"/>
          <w:sz w:val="24"/>
          <w:szCs w:val="24"/>
        </w:rPr>
        <w:t>Buelga</w:t>
      </w:r>
      <w:proofErr w:type="spellEnd"/>
      <w:r w:rsidRPr="00241527">
        <w:rPr>
          <w:rFonts w:ascii="Times New Roman" w:eastAsia="Times New Roman" w:hAnsi="Times New Roman" w:cs="Times New Roman"/>
          <w:sz w:val="24"/>
          <w:szCs w:val="24"/>
        </w:rPr>
        <w:t xml:space="preserve">, C., Ferreira, I. C. F. R., Barros, L., &amp; </w:t>
      </w:r>
      <w:proofErr w:type="spellStart"/>
      <w:r w:rsidRPr="00241527">
        <w:rPr>
          <w:rFonts w:ascii="Times New Roman" w:eastAsia="Times New Roman" w:hAnsi="Times New Roman" w:cs="Times New Roman"/>
          <w:sz w:val="24"/>
          <w:szCs w:val="24"/>
        </w:rPr>
        <w:t>Pinela</w:t>
      </w:r>
      <w:proofErr w:type="spellEnd"/>
      <w:r w:rsidRPr="00241527">
        <w:rPr>
          <w:rFonts w:ascii="Times New Roman" w:eastAsia="Times New Roman" w:hAnsi="Times New Roman" w:cs="Times New Roman"/>
          <w:sz w:val="24"/>
          <w:szCs w:val="24"/>
        </w:rPr>
        <w:t xml:space="preserve">, J. (2024). Novel cold and thermally pasteurized cardoon-enriched functional smoothie formulations: A zero-waste manufacturing approach. Food chemistry, 456, 139945. </w:t>
      </w:r>
      <w:hyperlink r:id="rId35" w:history="1">
        <w:r w:rsidRPr="00775646">
          <w:rPr>
            <w:rStyle w:val="Hyperlink"/>
            <w:rFonts w:ascii="Times New Roman" w:eastAsia="Times New Roman" w:hAnsi="Times New Roman" w:cs="Times New Roman"/>
            <w:sz w:val="24"/>
            <w:szCs w:val="24"/>
          </w:rPr>
          <w:t>https://doi.org/10.1016/j.foodchem.2024.139945</w:t>
        </w:r>
      </w:hyperlink>
    </w:p>
    <w:p w14:paraId="5AB5D70D"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158498D" w14:textId="48E64E21"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Moyo</w:t>
      </w:r>
      <w:proofErr w:type="spellEnd"/>
      <w:r w:rsidRPr="00241527">
        <w:rPr>
          <w:rFonts w:ascii="Times New Roman" w:eastAsia="Times New Roman" w:hAnsi="Times New Roman" w:cs="Times New Roman"/>
          <w:sz w:val="24"/>
          <w:szCs w:val="24"/>
        </w:rPr>
        <w:t xml:space="preserve">, H. N. (2024). The impact of food processing techniques on nutrient retention and bioavailability. Iconic Research </w:t>
      </w:r>
      <w:proofErr w:type="gramStart"/>
      <w:r w:rsidRPr="00241527">
        <w:rPr>
          <w:rFonts w:ascii="Times New Roman" w:eastAsia="Times New Roman" w:hAnsi="Times New Roman" w:cs="Times New Roman"/>
          <w:sz w:val="24"/>
          <w:szCs w:val="24"/>
        </w:rPr>
        <w:t>And</w:t>
      </w:r>
      <w:proofErr w:type="gramEnd"/>
      <w:r w:rsidRPr="00241527">
        <w:rPr>
          <w:rFonts w:ascii="Times New Roman" w:eastAsia="Times New Roman" w:hAnsi="Times New Roman" w:cs="Times New Roman"/>
          <w:sz w:val="24"/>
          <w:szCs w:val="24"/>
        </w:rPr>
        <w:t xml:space="preserve"> Engineering Journals. </w:t>
      </w:r>
      <w:hyperlink r:id="rId36" w:history="1">
        <w:r w:rsidRPr="00775646">
          <w:rPr>
            <w:rStyle w:val="Hyperlink"/>
            <w:rFonts w:ascii="Times New Roman" w:eastAsia="Times New Roman" w:hAnsi="Times New Roman" w:cs="Times New Roman"/>
            <w:sz w:val="24"/>
            <w:szCs w:val="24"/>
          </w:rPr>
          <w:t>https://www.irejournals.com/formatedpaper/1706163.pdf</w:t>
        </w:r>
      </w:hyperlink>
    </w:p>
    <w:p w14:paraId="383D7FCC"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5E82B96" w14:textId="0BA3E972"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Olaoye</w:t>
      </w:r>
      <w:proofErr w:type="spellEnd"/>
      <w:r w:rsidRPr="00241527">
        <w:rPr>
          <w:rFonts w:ascii="Times New Roman" w:eastAsia="Times New Roman" w:hAnsi="Times New Roman" w:cs="Times New Roman"/>
          <w:sz w:val="24"/>
          <w:szCs w:val="24"/>
        </w:rPr>
        <w:t>, J., Bakare-</w:t>
      </w:r>
      <w:proofErr w:type="spellStart"/>
      <w:r w:rsidRPr="00241527">
        <w:rPr>
          <w:rFonts w:ascii="Times New Roman" w:eastAsia="Times New Roman" w:hAnsi="Times New Roman" w:cs="Times New Roman"/>
          <w:sz w:val="24"/>
          <w:szCs w:val="24"/>
        </w:rPr>
        <w:t>Abidola</w:t>
      </w:r>
      <w:proofErr w:type="spellEnd"/>
      <w:r w:rsidRPr="00241527">
        <w:rPr>
          <w:rFonts w:ascii="Times New Roman" w:eastAsia="Times New Roman" w:hAnsi="Times New Roman" w:cs="Times New Roman"/>
          <w:sz w:val="24"/>
          <w:szCs w:val="24"/>
        </w:rPr>
        <w:t xml:space="preserve">, T., </w:t>
      </w:r>
      <w:proofErr w:type="spellStart"/>
      <w:r w:rsidRPr="00241527">
        <w:rPr>
          <w:rFonts w:ascii="Times New Roman" w:eastAsia="Times New Roman" w:hAnsi="Times New Roman" w:cs="Times New Roman"/>
          <w:sz w:val="24"/>
          <w:szCs w:val="24"/>
        </w:rPr>
        <w:t>Chinaza</w:t>
      </w:r>
      <w:proofErr w:type="spellEnd"/>
      <w:r w:rsidRPr="00241527">
        <w:rPr>
          <w:rFonts w:ascii="Times New Roman" w:eastAsia="Times New Roman" w:hAnsi="Times New Roman" w:cs="Times New Roman"/>
          <w:sz w:val="24"/>
          <w:szCs w:val="24"/>
        </w:rPr>
        <w:t xml:space="preserve">, O. F., Jude, D., </w:t>
      </w:r>
      <w:proofErr w:type="spellStart"/>
      <w:r w:rsidRPr="00241527">
        <w:rPr>
          <w:rFonts w:ascii="Times New Roman" w:eastAsia="Times New Roman" w:hAnsi="Times New Roman" w:cs="Times New Roman"/>
          <w:sz w:val="24"/>
          <w:szCs w:val="24"/>
        </w:rPr>
        <w:t>Jimoh</w:t>
      </w:r>
      <w:proofErr w:type="spellEnd"/>
      <w:r w:rsidRPr="00241527">
        <w:rPr>
          <w:rFonts w:ascii="Times New Roman" w:eastAsia="Times New Roman" w:hAnsi="Times New Roman" w:cs="Times New Roman"/>
          <w:sz w:val="24"/>
          <w:szCs w:val="24"/>
        </w:rPr>
        <w:t xml:space="preserve">, T. S., Babatunde, E. T., &amp; </w:t>
      </w:r>
      <w:proofErr w:type="spellStart"/>
      <w:r w:rsidRPr="00241527">
        <w:rPr>
          <w:rFonts w:ascii="Times New Roman" w:eastAsia="Times New Roman" w:hAnsi="Times New Roman" w:cs="Times New Roman"/>
          <w:sz w:val="24"/>
          <w:szCs w:val="24"/>
        </w:rPr>
        <w:t>Isiaka</w:t>
      </w:r>
      <w:proofErr w:type="spellEnd"/>
      <w:r w:rsidRPr="00241527">
        <w:rPr>
          <w:rFonts w:ascii="Times New Roman" w:eastAsia="Times New Roman" w:hAnsi="Times New Roman" w:cs="Times New Roman"/>
          <w:sz w:val="24"/>
          <w:szCs w:val="24"/>
        </w:rPr>
        <w:t xml:space="preserve">, S. A. (2024). Bioaccumulation and toxicological effects of heavy metals in wildlife: Implications for ecosystem health and human exposure. International Journal of Science, Architecture, Technology, and Environment, 1(8), 294–303. </w:t>
      </w:r>
      <w:hyperlink r:id="rId37" w:history="1">
        <w:r w:rsidRPr="00775646">
          <w:rPr>
            <w:rStyle w:val="Hyperlink"/>
            <w:rFonts w:ascii="Times New Roman" w:eastAsia="Times New Roman" w:hAnsi="Times New Roman" w:cs="Times New Roman"/>
            <w:sz w:val="24"/>
            <w:szCs w:val="24"/>
          </w:rPr>
          <w:t>https://doi.org/10.63680/ijsate0325035.07</w:t>
        </w:r>
      </w:hyperlink>
    </w:p>
    <w:p w14:paraId="39E2B1A9"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360B0E91" w14:textId="21B7A8D0"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Olawale, F., Alake, S. E., Chandrashekar, R., Islam, P., Sutton, B., Chaffin, N., Ugo, C. H., </w:t>
      </w:r>
      <w:proofErr w:type="spellStart"/>
      <w:r w:rsidRPr="00241527">
        <w:rPr>
          <w:rFonts w:ascii="Times New Roman" w:eastAsia="Times New Roman" w:hAnsi="Times New Roman" w:cs="Times New Roman"/>
          <w:sz w:val="24"/>
          <w:szCs w:val="24"/>
        </w:rPr>
        <w:t>Jin</w:t>
      </w:r>
      <w:proofErr w:type="spellEnd"/>
      <w:r w:rsidRPr="00241527">
        <w:rPr>
          <w:rFonts w:ascii="Times New Roman" w:eastAsia="Times New Roman" w:hAnsi="Times New Roman" w:cs="Times New Roman"/>
          <w:sz w:val="24"/>
          <w:szCs w:val="24"/>
        </w:rPr>
        <w:t xml:space="preserve">, J. B., Lightfoot, S., </w:t>
      </w:r>
      <w:proofErr w:type="spellStart"/>
      <w:r w:rsidRPr="00241527">
        <w:rPr>
          <w:rFonts w:ascii="Times New Roman" w:eastAsia="Times New Roman" w:hAnsi="Times New Roman" w:cs="Times New Roman"/>
          <w:sz w:val="24"/>
          <w:szCs w:val="24"/>
        </w:rPr>
        <w:t>Debédat</w:t>
      </w:r>
      <w:proofErr w:type="spellEnd"/>
      <w:r w:rsidRPr="00241527">
        <w:rPr>
          <w:rFonts w:ascii="Times New Roman" w:eastAsia="Times New Roman" w:hAnsi="Times New Roman" w:cs="Times New Roman"/>
          <w:sz w:val="24"/>
          <w:szCs w:val="24"/>
        </w:rPr>
        <w:t xml:space="preserve">, J., </w:t>
      </w:r>
      <w:proofErr w:type="spellStart"/>
      <w:r w:rsidRPr="00241527">
        <w:rPr>
          <w:rFonts w:ascii="Times New Roman" w:eastAsia="Times New Roman" w:hAnsi="Times New Roman" w:cs="Times New Roman"/>
          <w:sz w:val="24"/>
          <w:szCs w:val="24"/>
        </w:rPr>
        <w:t>Schilmiller</w:t>
      </w:r>
      <w:proofErr w:type="spellEnd"/>
      <w:r w:rsidRPr="00241527">
        <w:rPr>
          <w:rFonts w:ascii="Times New Roman" w:eastAsia="Times New Roman" w:hAnsi="Times New Roman" w:cs="Times New Roman"/>
          <w:sz w:val="24"/>
          <w:szCs w:val="24"/>
        </w:rPr>
        <w:t xml:space="preserve">, A., </w:t>
      </w:r>
      <w:proofErr w:type="spellStart"/>
      <w:r w:rsidRPr="00241527">
        <w:rPr>
          <w:rFonts w:ascii="Times New Roman" w:eastAsia="Times New Roman" w:hAnsi="Times New Roman" w:cs="Times New Roman"/>
          <w:sz w:val="24"/>
          <w:szCs w:val="24"/>
        </w:rPr>
        <w:t>Chowanadisai</w:t>
      </w:r>
      <w:proofErr w:type="spellEnd"/>
      <w:r w:rsidRPr="00241527">
        <w:rPr>
          <w:rFonts w:ascii="Times New Roman" w:eastAsia="Times New Roman" w:hAnsi="Times New Roman" w:cs="Times New Roman"/>
          <w:sz w:val="24"/>
          <w:szCs w:val="24"/>
        </w:rPr>
        <w:t xml:space="preserve">, W., Knotts, T. A., Smith, B. J., &amp; Lucas, E. A. (2025). Pinto bean supplementation modulates gut microbiota and improves markers of gut integrity in a mouse model of estrogen deficiency. The Journal of Nutrition. </w:t>
      </w:r>
      <w:hyperlink r:id="rId38" w:history="1">
        <w:r w:rsidRPr="00775646">
          <w:rPr>
            <w:rStyle w:val="Hyperlink"/>
            <w:rFonts w:ascii="Times New Roman" w:eastAsia="Times New Roman" w:hAnsi="Times New Roman" w:cs="Times New Roman"/>
            <w:sz w:val="24"/>
            <w:szCs w:val="24"/>
          </w:rPr>
          <w:t>https://doi.org/10.1016/j.tjnut.2025.07.008</w:t>
        </w:r>
      </w:hyperlink>
    </w:p>
    <w:p w14:paraId="4ED9437E"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3C04F36" w14:textId="01DA8EE7"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lastRenderedPageBreak/>
        <w:t>Pasdar</w:t>
      </w:r>
      <w:proofErr w:type="spellEnd"/>
      <w:r w:rsidRPr="00241527">
        <w:rPr>
          <w:rFonts w:ascii="Times New Roman" w:eastAsia="Times New Roman" w:hAnsi="Times New Roman" w:cs="Times New Roman"/>
          <w:sz w:val="24"/>
          <w:szCs w:val="24"/>
        </w:rPr>
        <w:t xml:space="preserve">, N., </w:t>
      </w:r>
      <w:proofErr w:type="spellStart"/>
      <w:r w:rsidRPr="00241527">
        <w:rPr>
          <w:rFonts w:ascii="Times New Roman" w:eastAsia="Times New Roman" w:hAnsi="Times New Roman" w:cs="Times New Roman"/>
          <w:sz w:val="24"/>
          <w:szCs w:val="24"/>
        </w:rPr>
        <w:t>Mostashari</w:t>
      </w:r>
      <w:proofErr w:type="spellEnd"/>
      <w:r w:rsidRPr="00241527">
        <w:rPr>
          <w:rFonts w:ascii="Times New Roman" w:eastAsia="Times New Roman" w:hAnsi="Times New Roman" w:cs="Times New Roman"/>
          <w:sz w:val="24"/>
          <w:szCs w:val="24"/>
        </w:rPr>
        <w:t xml:space="preserve">, P., Greiner, R., </w:t>
      </w:r>
      <w:proofErr w:type="spellStart"/>
      <w:r w:rsidRPr="00241527">
        <w:rPr>
          <w:rFonts w:ascii="Times New Roman" w:eastAsia="Times New Roman" w:hAnsi="Times New Roman" w:cs="Times New Roman"/>
          <w:sz w:val="24"/>
          <w:szCs w:val="24"/>
        </w:rPr>
        <w:t>Khelfa</w:t>
      </w:r>
      <w:proofErr w:type="spellEnd"/>
      <w:r w:rsidRPr="00241527">
        <w:rPr>
          <w:rFonts w:ascii="Times New Roman" w:eastAsia="Times New Roman" w:hAnsi="Times New Roman" w:cs="Times New Roman"/>
          <w:sz w:val="24"/>
          <w:szCs w:val="24"/>
        </w:rPr>
        <w:t xml:space="preserve">, A., </w:t>
      </w:r>
      <w:proofErr w:type="spellStart"/>
      <w:r w:rsidRPr="00241527">
        <w:rPr>
          <w:rFonts w:ascii="Times New Roman" w:eastAsia="Times New Roman" w:hAnsi="Times New Roman" w:cs="Times New Roman"/>
          <w:sz w:val="24"/>
          <w:szCs w:val="24"/>
        </w:rPr>
        <w:t>Rashidinejad</w:t>
      </w:r>
      <w:proofErr w:type="spellEnd"/>
      <w:r w:rsidRPr="00241527">
        <w:rPr>
          <w:rFonts w:ascii="Times New Roman" w:eastAsia="Times New Roman" w:hAnsi="Times New Roman" w:cs="Times New Roman"/>
          <w:sz w:val="24"/>
          <w:szCs w:val="24"/>
        </w:rPr>
        <w:t xml:space="preserve">, A., </w:t>
      </w:r>
      <w:proofErr w:type="spellStart"/>
      <w:r w:rsidRPr="00241527">
        <w:rPr>
          <w:rFonts w:ascii="Times New Roman" w:eastAsia="Times New Roman" w:hAnsi="Times New Roman" w:cs="Times New Roman"/>
          <w:sz w:val="24"/>
          <w:szCs w:val="24"/>
        </w:rPr>
        <w:t>Eshpari</w:t>
      </w:r>
      <w:proofErr w:type="spellEnd"/>
      <w:r w:rsidRPr="00241527">
        <w:rPr>
          <w:rFonts w:ascii="Times New Roman" w:eastAsia="Times New Roman" w:hAnsi="Times New Roman" w:cs="Times New Roman"/>
          <w:sz w:val="24"/>
          <w:szCs w:val="24"/>
        </w:rPr>
        <w:t xml:space="preserve">, H., Vale, J. M., </w:t>
      </w:r>
      <w:proofErr w:type="spellStart"/>
      <w:r w:rsidRPr="00241527">
        <w:rPr>
          <w:rFonts w:ascii="Times New Roman" w:eastAsia="Times New Roman" w:hAnsi="Times New Roman" w:cs="Times New Roman"/>
          <w:sz w:val="24"/>
          <w:szCs w:val="24"/>
        </w:rPr>
        <w:t>Gharibzahedi</w:t>
      </w:r>
      <w:proofErr w:type="spellEnd"/>
      <w:r w:rsidRPr="00241527">
        <w:rPr>
          <w:rFonts w:ascii="Times New Roman" w:eastAsia="Times New Roman" w:hAnsi="Times New Roman" w:cs="Times New Roman"/>
          <w:sz w:val="24"/>
          <w:szCs w:val="24"/>
        </w:rPr>
        <w:t xml:space="preserve">, S. M. T., &amp; </w:t>
      </w:r>
      <w:proofErr w:type="spellStart"/>
      <w:r w:rsidRPr="00241527">
        <w:rPr>
          <w:rFonts w:ascii="Times New Roman" w:eastAsia="Times New Roman" w:hAnsi="Times New Roman" w:cs="Times New Roman"/>
          <w:sz w:val="24"/>
          <w:szCs w:val="24"/>
        </w:rPr>
        <w:t>Roohinejad</w:t>
      </w:r>
      <w:proofErr w:type="spellEnd"/>
      <w:r w:rsidRPr="00241527">
        <w:rPr>
          <w:rFonts w:ascii="Times New Roman" w:eastAsia="Times New Roman" w:hAnsi="Times New Roman" w:cs="Times New Roman"/>
          <w:sz w:val="24"/>
          <w:szCs w:val="24"/>
        </w:rPr>
        <w:t xml:space="preserve">, S. (2024). Advancements in Non-Thermal Processing Technologies for Enhancing Safety and Quality of Infant and Baby Food Products: A Review. Foods (Basel, Switzerland), 13(17), 2659. </w:t>
      </w:r>
      <w:hyperlink r:id="rId39" w:history="1">
        <w:r w:rsidRPr="00775646">
          <w:rPr>
            <w:rStyle w:val="Hyperlink"/>
            <w:rFonts w:ascii="Times New Roman" w:eastAsia="Times New Roman" w:hAnsi="Times New Roman" w:cs="Times New Roman"/>
            <w:sz w:val="24"/>
            <w:szCs w:val="24"/>
          </w:rPr>
          <w:t>https://doi.org/10.3390/foods13172659</w:t>
        </w:r>
      </w:hyperlink>
    </w:p>
    <w:p w14:paraId="2826F87B"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8F3C3A6" w14:textId="35A5E797"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Peng, Y., </w:t>
      </w:r>
      <w:proofErr w:type="spellStart"/>
      <w:r w:rsidRPr="00241527">
        <w:rPr>
          <w:rFonts w:ascii="Times New Roman" w:eastAsia="Times New Roman" w:hAnsi="Times New Roman" w:cs="Times New Roman"/>
          <w:sz w:val="24"/>
          <w:szCs w:val="24"/>
        </w:rPr>
        <w:t>Bie</w:t>
      </w:r>
      <w:proofErr w:type="spellEnd"/>
      <w:r w:rsidRPr="00241527">
        <w:rPr>
          <w:rFonts w:ascii="Times New Roman" w:eastAsia="Times New Roman" w:hAnsi="Times New Roman" w:cs="Times New Roman"/>
          <w:sz w:val="24"/>
          <w:szCs w:val="24"/>
        </w:rPr>
        <w:t xml:space="preserve">, S., Cai, S., Zhou, L., &amp; Guo, C. (2025). Effects of high-pressure homogenization on phenolics profile, antioxidant activity, α-glucosidase inhibitory activity, and insulin resistance of peach juice during simulated gastrointestinal digestion. Food Chemistry: X, 26, 102263. </w:t>
      </w:r>
      <w:hyperlink r:id="rId40" w:history="1">
        <w:r w:rsidRPr="00775646">
          <w:rPr>
            <w:rStyle w:val="Hyperlink"/>
            <w:rFonts w:ascii="Times New Roman" w:eastAsia="Times New Roman" w:hAnsi="Times New Roman" w:cs="Times New Roman"/>
            <w:sz w:val="24"/>
            <w:szCs w:val="24"/>
          </w:rPr>
          <w:t>https://doi.org/10.1016/j.fochx.2025.102263</w:t>
        </w:r>
      </w:hyperlink>
    </w:p>
    <w:p w14:paraId="3E5EEB65"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5F5D83B" w14:textId="0C527534"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Pérez-</w:t>
      </w:r>
      <w:proofErr w:type="spellStart"/>
      <w:r w:rsidRPr="00241527">
        <w:rPr>
          <w:rFonts w:ascii="Times New Roman" w:eastAsia="Times New Roman" w:hAnsi="Times New Roman" w:cs="Times New Roman"/>
          <w:sz w:val="24"/>
          <w:szCs w:val="24"/>
        </w:rPr>
        <w:t>Lamela</w:t>
      </w:r>
      <w:proofErr w:type="spellEnd"/>
      <w:r w:rsidRPr="00241527">
        <w:rPr>
          <w:rFonts w:ascii="Times New Roman" w:eastAsia="Times New Roman" w:hAnsi="Times New Roman" w:cs="Times New Roman"/>
          <w:sz w:val="24"/>
          <w:szCs w:val="24"/>
        </w:rPr>
        <w:t xml:space="preserve">, C., Franco, I., &amp; </w:t>
      </w:r>
      <w:proofErr w:type="spellStart"/>
      <w:r w:rsidRPr="00241527">
        <w:rPr>
          <w:rFonts w:ascii="Times New Roman" w:eastAsia="Times New Roman" w:hAnsi="Times New Roman" w:cs="Times New Roman"/>
          <w:sz w:val="24"/>
          <w:szCs w:val="24"/>
        </w:rPr>
        <w:t>Falqué</w:t>
      </w:r>
      <w:proofErr w:type="spellEnd"/>
      <w:r w:rsidRPr="00241527">
        <w:rPr>
          <w:rFonts w:ascii="Times New Roman" w:eastAsia="Times New Roman" w:hAnsi="Times New Roman" w:cs="Times New Roman"/>
          <w:sz w:val="24"/>
          <w:szCs w:val="24"/>
        </w:rPr>
        <w:t xml:space="preserve">, E. (2021). Impact of High-Pressure Processing on Antioxidant Activity during Storage of Fruits and Fruit Products: A Review. Molecules (Basel, Switzerland), 26(17), 5265. </w:t>
      </w:r>
      <w:hyperlink r:id="rId41" w:history="1">
        <w:r w:rsidRPr="00775646">
          <w:rPr>
            <w:rStyle w:val="Hyperlink"/>
            <w:rFonts w:ascii="Times New Roman" w:eastAsia="Times New Roman" w:hAnsi="Times New Roman" w:cs="Times New Roman"/>
            <w:sz w:val="24"/>
            <w:szCs w:val="24"/>
          </w:rPr>
          <w:t>https://doi.org/10.3390/molecules26175265</w:t>
        </w:r>
      </w:hyperlink>
    </w:p>
    <w:p w14:paraId="603D7FDE"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A3FBED9" w14:textId="1D9D299D"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Pérez-</w:t>
      </w:r>
      <w:proofErr w:type="spellStart"/>
      <w:r w:rsidRPr="00241527">
        <w:rPr>
          <w:rFonts w:ascii="Times New Roman" w:eastAsia="Times New Roman" w:hAnsi="Times New Roman" w:cs="Times New Roman"/>
          <w:sz w:val="24"/>
          <w:szCs w:val="24"/>
        </w:rPr>
        <w:t>Lamela</w:t>
      </w:r>
      <w:proofErr w:type="spellEnd"/>
      <w:r w:rsidRPr="00241527">
        <w:rPr>
          <w:rFonts w:ascii="Times New Roman" w:eastAsia="Times New Roman" w:hAnsi="Times New Roman" w:cs="Times New Roman"/>
          <w:sz w:val="24"/>
          <w:szCs w:val="24"/>
        </w:rPr>
        <w:t xml:space="preserve">, C., &amp; </w:t>
      </w:r>
      <w:proofErr w:type="spellStart"/>
      <w:r w:rsidRPr="00241527">
        <w:rPr>
          <w:rFonts w:ascii="Times New Roman" w:eastAsia="Times New Roman" w:hAnsi="Times New Roman" w:cs="Times New Roman"/>
          <w:sz w:val="24"/>
          <w:szCs w:val="24"/>
        </w:rPr>
        <w:t>Torrado-Agrasar</w:t>
      </w:r>
      <w:proofErr w:type="spellEnd"/>
      <w:r w:rsidRPr="00241527">
        <w:rPr>
          <w:rFonts w:ascii="Times New Roman" w:eastAsia="Times New Roman" w:hAnsi="Times New Roman" w:cs="Times New Roman"/>
          <w:sz w:val="24"/>
          <w:szCs w:val="24"/>
        </w:rPr>
        <w:t xml:space="preserve">, A. M. (2025). Effects of High-Pressure Processing (HPP) on Antioxidant Vitamins (A, C, and E) and Antioxidant Activity in Fruit and Vegetable Preparations: A Review. Applied Sciences, 15(19), 10699. </w:t>
      </w:r>
      <w:hyperlink r:id="rId42" w:history="1">
        <w:r w:rsidRPr="00775646">
          <w:rPr>
            <w:rStyle w:val="Hyperlink"/>
            <w:rFonts w:ascii="Times New Roman" w:eastAsia="Times New Roman" w:hAnsi="Times New Roman" w:cs="Times New Roman"/>
            <w:sz w:val="24"/>
            <w:szCs w:val="24"/>
          </w:rPr>
          <w:t>https://doi.org/10.3390/app151910699</w:t>
        </w:r>
      </w:hyperlink>
    </w:p>
    <w:p w14:paraId="6CFD18BA"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0A1AA4D9" w14:textId="188E134C"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Pérez-Andrés, J. M., </w:t>
      </w:r>
      <w:proofErr w:type="spellStart"/>
      <w:r w:rsidRPr="00241527">
        <w:rPr>
          <w:rFonts w:ascii="Times New Roman" w:eastAsia="Times New Roman" w:hAnsi="Times New Roman" w:cs="Times New Roman"/>
          <w:sz w:val="24"/>
          <w:szCs w:val="24"/>
        </w:rPr>
        <w:t>Cropotova</w:t>
      </w:r>
      <w:proofErr w:type="spellEnd"/>
      <w:r w:rsidRPr="00241527">
        <w:rPr>
          <w:rFonts w:ascii="Times New Roman" w:eastAsia="Times New Roman" w:hAnsi="Times New Roman" w:cs="Times New Roman"/>
          <w:sz w:val="24"/>
          <w:szCs w:val="24"/>
        </w:rPr>
        <w:t xml:space="preserve">, J., Harrison, S. M., Brunton, N. P., Cullen, P. J., </w:t>
      </w:r>
      <w:proofErr w:type="spellStart"/>
      <w:r w:rsidRPr="00241527">
        <w:rPr>
          <w:rFonts w:ascii="Times New Roman" w:eastAsia="Times New Roman" w:hAnsi="Times New Roman" w:cs="Times New Roman"/>
          <w:sz w:val="24"/>
          <w:szCs w:val="24"/>
        </w:rPr>
        <w:t>Rustad</w:t>
      </w:r>
      <w:proofErr w:type="spellEnd"/>
      <w:r w:rsidRPr="00241527">
        <w:rPr>
          <w:rFonts w:ascii="Times New Roman" w:eastAsia="Times New Roman" w:hAnsi="Times New Roman" w:cs="Times New Roman"/>
          <w:sz w:val="24"/>
          <w:szCs w:val="24"/>
        </w:rPr>
        <w:t xml:space="preserve">, T., &amp; Tiwari, B. K. (2020). Effect of Cold Plasma on Meat Cholesterol and Lipid Oxidation. Foods (Basel, Switzerland), 9(12), 1786. </w:t>
      </w:r>
      <w:hyperlink r:id="rId43" w:history="1">
        <w:r w:rsidRPr="00775646">
          <w:rPr>
            <w:rStyle w:val="Hyperlink"/>
            <w:rFonts w:ascii="Times New Roman" w:eastAsia="Times New Roman" w:hAnsi="Times New Roman" w:cs="Times New Roman"/>
            <w:sz w:val="24"/>
            <w:szCs w:val="24"/>
          </w:rPr>
          <w:t>https://doi.org/10.3390/foods9121786</w:t>
        </w:r>
      </w:hyperlink>
    </w:p>
    <w:p w14:paraId="77CC9D2F"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261CCCA6" w14:textId="16C01CC5"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Razazian</w:t>
      </w:r>
      <w:proofErr w:type="spellEnd"/>
      <w:r w:rsidRPr="00241527">
        <w:rPr>
          <w:rFonts w:ascii="Times New Roman" w:eastAsia="Times New Roman" w:hAnsi="Times New Roman" w:cs="Times New Roman"/>
          <w:sz w:val="24"/>
          <w:szCs w:val="24"/>
        </w:rPr>
        <w:t xml:space="preserve">, G., Dalvi-Isfahan, M., &amp; </w:t>
      </w:r>
      <w:proofErr w:type="spellStart"/>
      <w:r w:rsidRPr="00241527">
        <w:rPr>
          <w:rFonts w:ascii="Times New Roman" w:eastAsia="Times New Roman" w:hAnsi="Times New Roman" w:cs="Times New Roman"/>
          <w:sz w:val="24"/>
          <w:szCs w:val="24"/>
        </w:rPr>
        <w:t>Mohtashami</w:t>
      </w:r>
      <w:proofErr w:type="spellEnd"/>
      <w:r w:rsidRPr="00241527">
        <w:rPr>
          <w:rFonts w:ascii="Times New Roman" w:eastAsia="Times New Roman" w:hAnsi="Times New Roman" w:cs="Times New Roman"/>
          <w:sz w:val="24"/>
          <w:szCs w:val="24"/>
        </w:rPr>
        <w:t xml:space="preserve">, S. (2025). Cold Plasma Pretreatment Enhances Antioxidant Stability in Lime Fruit During Storage. Food science &amp; nutrition, 13(10), e71091. </w:t>
      </w:r>
      <w:hyperlink r:id="rId44" w:history="1">
        <w:r w:rsidRPr="00775646">
          <w:rPr>
            <w:rStyle w:val="Hyperlink"/>
            <w:rFonts w:ascii="Times New Roman" w:eastAsia="Times New Roman" w:hAnsi="Times New Roman" w:cs="Times New Roman"/>
            <w:sz w:val="24"/>
            <w:szCs w:val="24"/>
          </w:rPr>
          <w:t>https://doi.org/10.1002/fsn3.71091</w:t>
        </w:r>
      </w:hyperlink>
    </w:p>
    <w:p w14:paraId="4F7206BC"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3D1E42A" w14:textId="3E83266B"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Rinaldi, M., </w:t>
      </w:r>
      <w:proofErr w:type="spellStart"/>
      <w:r w:rsidRPr="00241527">
        <w:rPr>
          <w:rFonts w:ascii="Times New Roman" w:eastAsia="Times New Roman" w:hAnsi="Times New Roman" w:cs="Times New Roman"/>
          <w:sz w:val="24"/>
          <w:szCs w:val="24"/>
        </w:rPr>
        <w:t>Dhenge</w:t>
      </w:r>
      <w:proofErr w:type="spellEnd"/>
      <w:r w:rsidRPr="00241527">
        <w:rPr>
          <w:rFonts w:ascii="Times New Roman" w:eastAsia="Times New Roman" w:hAnsi="Times New Roman" w:cs="Times New Roman"/>
          <w:sz w:val="24"/>
          <w:szCs w:val="24"/>
        </w:rPr>
        <w:t xml:space="preserve">, R., </w:t>
      </w:r>
      <w:proofErr w:type="spellStart"/>
      <w:r w:rsidRPr="00241527">
        <w:rPr>
          <w:rFonts w:ascii="Times New Roman" w:eastAsia="Times New Roman" w:hAnsi="Times New Roman" w:cs="Times New Roman"/>
          <w:sz w:val="24"/>
          <w:szCs w:val="24"/>
        </w:rPr>
        <w:t>Rodolfi</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Littardi</w:t>
      </w:r>
      <w:proofErr w:type="spellEnd"/>
      <w:r w:rsidRPr="00241527">
        <w:rPr>
          <w:rFonts w:ascii="Times New Roman" w:eastAsia="Times New Roman" w:hAnsi="Times New Roman" w:cs="Times New Roman"/>
          <w:sz w:val="24"/>
          <w:szCs w:val="24"/>
        </w:rPr>
        <w:t xml:space="preserve">, P., Lacey, K., </w:t>
      </w:r>
      <w:proofErr w:type="spellStart"/>
      <w:r w:rsidRPr="00241527">
        <w:rPr>
          <w:rFonts w:ascii="Times New Roman" w:eastAsia="Times New Roman" w:hAnsi="Times New Roman" w:cs="Times New Roman"/>
          <w:sz w:val="24"/>
          <w:szCs w:val="24"/>
        </w:rPr>
        <w:t>Cavazza</w:t>
      </w:r>
      <w:proofErr w:type="spellEnd"/>
      <w:r w:rsidRPr="00241527">
        <w:rPr>
          <w:rFonts w:ascii="Times New Roman" w:eastAsia="Times New Roman" w:hAnsi="Times New Roman" w:cs="Times New Roman"/>
          <w:sz w:val="24"/>
          <w:szCs w:val="24"/>
        </w:rPr>
        <w:t xml:space="preserve">, A., Grimaldi, M., Lolli, V., </w:t>
      </w:r>
      <w:proofErr w:type="spellStart"/>
      <w:r w:rsidRPr="00241527">
        <w:rPr>
          <w:rFonts w:ascii="Times New Roman" w:eastAsia="Times New Roman" w:hAnsi="Times New Roman" w:cs="Times New Roman"/>
          <w:sz w:val="24"/>
          <w:szCs w:val="24"/>
        </w:rPr>
        <w:t>Cirlini</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Chiancone</w:t>
      </w:r>
      <w:proofErr w:type="spellEnd"/>
      <w:r w:rsidRPr="00241527">
        <w:rPr>
          <w:rFonts w:ascii="Times New Roman" w:eastAsia="Times New Roman" w:hAnsi="Times New Roman" w:cs="Times New Roman"/>
          <w:sz w:val="24"/>
          <w:szCs w:val="24"/>
        </w:rPr>
        <w:t xml:space="preserve">, B., &amp; </w:t>
      </w:r>
      <w:proofErr w:type="spellStart"/>
      <w:r w:rsidRPr="00241527">
        <w:rPr>
          <w:rFonts w:ascii="Times New Roman" w:eastAsia="Times New Roman" w:hAnsi="Times New Roman" w:cs="Times New Roman"/>
          <w:sz w:val="24"/>
          <w:szCs w:val="24"/>
        </w:rPr>
        <w:t>Ganino</w:t>
      </w:r>
      <w:proofErr w:type="spellEnd"/>
      <w:r w:rsidRPr="00241527">
        <w:rPr>
          <w:rFonts w:ascii="Times New Roman" w:eastAsia="Times New Roman" w:hAnsi="Times New Roman" w:cs="Times New Roman"/>
          <w:sz w:val="24"/>
          <w:szCs w:val="24"/>
        </w:rPr>
        <w:t xml:space="preserve">, T. (2024). The Effects of High-Pressure Processing Pre-Treatment on Apple Fruit for Juice Production. Foods (Basel, Switzerland), 13(14), 2182. </w:t>
      </w:r>
      <w:hyperlink r:id="rId45" w:history="1">
        <w:r w:rsidRPr="00775646">
          <w:rPr>
            <w:rStyle w:val="Hyperlink"/>
            <w:rFonts w:ascii="Times New Roman" w:eastAsia="Times New Roman" w:hAnsi="Times New Roman" w:cs="Times New Roman"/>
            <w:sz w:val="24"/>
            <w:szCs w:val="24"/>
          </w:rPr>
          <w:t>https://doi.org/10.3390/foods13142182</w:t>
        </w:r>
      </w:hyperlink>
    </w:p>
    <w:p w14:paraId="2F2521D9"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4C8E6434" w14:textId="4C55EAD7"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lastRenderedPageBreak/>
        <w:t>Trusinska</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Drudi</w:t>
      </w:r>
      <w:proofErr w:type="spellEnd"/>
      <w:r w:rsidRPr="00241527">
        <w:rPr>
          <w:rFonts w:ascii="Times New Roman" w:eastAsia="Times New Roman" w:hAnsi="Times New Roman" w:cs="Times New Roman"/>
          <w:sz w:val="24"/>
          <w:szCs w:val="24"/>
        </w:rPr>
        <w:t xml:space="preserve">, F., Rybak, K., </w:t>
      </w:r>
      <w:proofErr w:type="spellStart"/>
      <w:r w:rsidRPr="00241527">
        <w:rPr>
          <w:rFonts w:ascii="Times New Roman" w:eastAsia="Times New Roman" w:hAnsi="Times New Roman" w:cs="Times New Roman"/>
          <w:sz w:val="24"/>
          <w:szCs w:val="24"/>
        </w:rPr>
        <w:t>Tylewicz</w:t>
      </w:r>
      <w:proofErr w:type="spellEnd"/>
      <w:r w:rsidRPr="00241527">
        <w:rPr>
          <w:rFonts w:ascii="Times New Roman" w:eastAsia="Times New Roman" w:hAnsi="Times New Roman" w:cs="Times New Roman"/>
          <w:sz w:val="24"/>
          <w:szCs w:val="24"/>
        </w:rPr>
        <w:t xml:space="preserve">, U., &amp; </w:t>
      </w:r>
      <w:proofErr w:type="spellStart"/>
      <w:r w:rsidRPr="00241527">
        <w:rPr>
          <w:rFonts w:ascii="Times New Roman" w:eastAsia="Times New Roman" w:hAnsi="Times New Roman" w:cs="Times New Roman"/>
          <w:sz w:val="24"/>
          <w:szCs w:val="24"/>
        </w:rPr>
        <w:t>Nowacka</w:t>
      </w:r>
      <w:proofErr w:type="spellEnd"/>
      <w:r w:rsidRPr="00241527">
        <w:rPr>
          <w:rFonts w:ascii="Times New Roman" w:eastAsia="Times New Roman" w:hAnsi="Times New Roman" w:cs="Times New Roman"/>
          <w:sz w:val="24"/>
          <w:szCs w:val="24"/>
        </w:rPr>
        <w:t xml:space="preserve">, M. (2023). Effect of the Pulsed Electric Field Treatment on Physical, Chemical and Structural Changes of Vacuum Impregnated Apple Tissue in Aloe Vera Juices. Foods (Basel, Switzerland), 12(21), 3957. </w:t>
      </w:r>
      <w:hyperlink r:id="rId46" w:history="1">
        <w:r w:rsidRPr="00775646">
          <w:rPr>
            <w:rStyle w:val="Hyperlink"/>
            <w:rFonts w:ascii="Times New Roman" w:eastAsia="Times New Roman" w:hAnsi="Times New Roman" w:cs="Times New Roman"/>
            <w:sz w:val="24"/>
            <w:szCs w:val="24"/>
          </w:rPr>
          <w:t>https://doi.org/10.3390/foods12213957</w:t>
        </w:r>
      </w:hyperlink>
    </w:p>
    <w:p w14:paraId="4F6D32D4"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5B027FB2" w14:textId="5A672B0E" w:rsidR="00C42002" w:rsidRDefault="00241527" w:rsidP="00241527">
      <w:pPr>
        <w:spacing w:line="360" w:lineRule="auto"/>
        <w:jc w:val="both"/>
        <w:rPr>
          <w:rFonts w:ascii="Times New Roman" w:eastAsia="Times New Roman" w:hAnsi="Times New Roman" w:cs="Times New Roman"/>
          <w:sz w:val="24"/>
          <w:szCs w:val="24"/>
        </w:rPr>
      </w:pPr>
      <w:proofErr w:type="spellStart"/>
      <w:r w:rsidRPr="00241527">
        <w:rPr>
          <w:rFonts w:ascii="Times New Roman" w:eastAsia="Times New Roman" w:hAnsi="Times New Roman" w:cs="Times New Roman"/>
          <w:sz w:val="24"/>
          <w:szCs w:val="24"/>
        </w:rPr>
        <w:t>Trych</w:t>
      </w:r>
      <w:proofErr w:type="spellEnd"/>
      <w:r w:rsidRPr="00241527">
        <w:rPr>
          <w:rFonts w:ascii="Times New Roman" w:eastAsia="Times New Roman" w:hAnsi="Times New Roman" w:cs="Times New Roman"/>
          <w:sz w:val="24"/>
          <w:szCs w:val="24"/>
        </w:rPr>
        <w:t xml:space="preserve">, U., </w:t>
      </w:r>
      <w:proofErr w:type="spellStart"/>
      <w:r w:rsidRPr="00241527">
        <w:rPr>
          <w:rFonts w:ascii="Times New Roman" w:eastAsia="Times New Roman" w:hAnsi="Times New Roman" w:cs="Times New Roman"/>
          <w:sz w:val="24"/>
          <w:szCs w:val="24"/>
        </w:rPr>
        <w:t>Buniowska</w:t>
      </w:r>
      <w:proofErr w:type="spellEnd"/>
      <w:r w:rsidRPr="00241527">
        <w:rPr>
          <w:rFonts w:ascii="Times New Roman" w:eastAsia="Times New Roman" w:hAnsi="Times New Roman" w:cs="Times New Roman"/>
          <w:sz w:val="24"/>
          <w:szCs w:val="24"/>
        </w:rPr>
        <w:t xml:space="preserve">, M., </w:t>
      </w:r>
      <w:proofErr w:type="spellStart"/>
      <w:r w:rsidRPr="00241527">
        <w:rPr>
          <w:rFonts w:ascii="Times New Roman" w:eastAsia="Times New Roman" w:hAnsi="Times New Roman" w:cs="Times New Roman"/>
          <w:sz w:val="24"/>
          <w:szCs w:val="24"/>
        </w:rPr>
        <w:t>Skąpska</w:t>
      </w:r>
      <w:proofErr w:type="spellEnd"/>
      <w:r w:rsidRPr="00241527">
        <w:rPr>
          <w:rFonts w:ascii="Times New Roman" w:eastAsia="Times New Roman" w:hAnsi="Times New Roman" w:cs="Times New Roman"/>
          <w:sz w:val="24"/>
          <w:szCs w:val="24"/>
        </w:rPr>
        <w:t xml:space="preserve">, S., </w:t>
      </w:r>
      <w:proofErr w:type="spellStart"/>
      <w:r w:rsidRPr="00241527">
        <w:rPr>
          <w:rFonts w:ascii="Times New Roman" w:eastAsia="Times New Roman" w:hAnsi="Times New Roman" w:cs="Times New Roman"/>
          <w:sz w:val="24"/>
          <w:szCs w:val="24"/>
        </w:rPr>
        <w:t>Starzonek</w:t>
      </w:r>
      <w:proofErr w:type="spellEnd"/>
      <w:r w:rsidRPr="00241527">
        <w:rPr>
          <w:rFonts w:ascii="Times New Roman" w:eastAsia="Times New Roman" w:hAnsi="Times New Roman" w:cs="Times New Roman"/>
          <w:sz w:val="24"/>
          <w:szCs w:val="24"/>
        </w:rPr>
        <w:t xml:space="preserve">, S., &amp; </w:t>
      </w:r>
      <w:proofErr w:type="spellStart"/>
      <w:r w:rsidRPr="00241527">
        <w:rPr>
          <w:rFonts w:ascii="Times New Roman" w:eastAsia="Times New Roman" w:hAnsi="Times New Roman" w:cs="Times New Roman"/>
          <w:sz w:val="24"/>
          <w:szCs w:val="24"/>
        </w:rPr>
        <w:t>Marszałek</w:t>
      </w:r>
      <w:proofErr w:type="spellEnd"/>
      <w:r w:rsidRPr="00241527">
        <w:rPr>
          <w:rFonts w:ascii="Times New Roman" w:eastAsia="Times New Roman" w:hAnsi="Times New Roman" w:cs="Times New Roman"/>
          <w:sz w:val="24"/>
          <w:szCs w:val="24"/>
        </w:rPr>
        <w:t xml:space="preserve">, K. (2020). The </w:t>
      </w:r>
      <w:proofErr w:type="spellStart"/>
      <w:r w:rsidRPr="00241527">
        <w:rPr>
          <w:rFonts w:ascii="Times New Roman" w:eastAsia="Times New Roman" w:hAnsi="Times New Roman" w:cs="Times New Roman"/>
          <w:sz w:val="24"/>
          <w:szCs w:val="24"/>
        </w:rPr>
        <w:t>bioaccessibility</w:t>
      </w:r>
      <w:proofErr w:type="spellEnd"/>
      <w:r w:rsidRPr="00241527">
        <w:rPr>
          <w:rFonts w:ascii="Times New Roman" w:eastAsia="Times New Roman" w:hAnsi="Times New Roman" w:cs="Times New Roman"/>
          <w:sz w:val="24"/>
          <w:szCs w:val="24"/>
        </w:rPr>
        <w:t xml:space="preserve"> of antioxidants in black currant puree after high hydrostatic pressure treatment. Molecules (Basel, Switzerland), 25(15), 3544. </w:t>
      </w:r>
      <w:hyperlink r:id="rId47" w:history="1">
        <w:r w:rsidRPr="00775646">
          <w:rPr>
            <w:rStyle w:val="Hyperlink"/>
            <w:rFonts w:ascii="Times New Roman" w:eastAsia="Times New Roman" w:hAnsi="Times New Roman" w:cs="Times New Roman"/>
            <w:sz w:val="24"/>
            <w:szCs w:val="24"/>
          </w:rPr>
          <w:t>https://doi.org/10.3390/molecules25153544</w:t>
        </w:r>
      </w:hyperlink>
    </w:p>
    <w:p w14:paraId="6F756B1D"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688DB831" w14:textId="6B1FB2EB" w:rsidR="00C42002" w:rsidRDefault="00241527" w:rsidP="00241527">
      <w:pPr>
        <w:spacing w:line="360" w:lineRule="auto"/>
        <w:jc w:val="both"/>
        <w:rPr>
          <w:rFonts w:ascii="Times New Roman" w:eastAsia="Times New Roman" w:hAnsi="Times New Roman" w:cs="Times New Roman"/>
          <w:sz w:val="24"/>
          <w:szCs w:val="24"/>
        </w:rPr>
      </w:pPr>
      <w:r w:rsidRPr="00241527">
        <w:rPr>
          <w:rFonts w:ascii="Times New Roman" w:eastAsia="Times New Roman" w:hAnsi="Times New Roman" w:cs="Times New Roman"/>
          <w:sz w:val="24"/>
          <w:szCs w:val="24"/>
        </w:rPr>
        <w:t xml:space="preserve">U.S. Food and Drug Administration. (2023). Generally recognized as safe (GRAS). U.S. Food and Drug Administration. </w:t>
      </w:r>
      <w:hyperlink r:id="rId48" w:history="1">
        <w:r w:rsidRPr="00775646">
          <w:rPr>
            <w:rStyle w:val="Hyperlink"/>
            <w:rFonts w:ascii="Times New Roman" w:eastAsia="Times New Roman" w:hAnsi="Times New Roman" w:cs="Times New Roman"/>
            <w:sz w:val="24"/>
            <w:szCs w:val="24"/>
          </w:rPr>
          <w:t>https://www.fda.gov/food/food-ingredients-packaging/generally-recognized-safe-gras</w:t>
        </w:r>
      </w:hyperlink>
    </w:p>
    <w:p w14:paraId="2E045688" w14:textId="77777777" w:rsidR="00241527" w:rsidRDefault="00241527" w:rsidP="00241527">
      <w:pPr>
        <w:spacing w:line="360" w:lineRule="auto"/>
        <w:jc w:val="both"/>
        <w:rPr>
          <w:rFonts w:ascii="Times New Roman" w:eastAsia="Times New Roman" w:hAnsi="Times New Roman" w:cs="Times New Roman"/>
          <w:sz w:val="24"/>
          <w:szCs w:val="24"/>
          <w:highlight w:val="white"/>
        </w:rPr>
      </w:pPr>
    </w:p>
    <w:p w14:paraId="72D5B39D" w14:textId="3CFDC662"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Ugo, C. H., </w:t>
      </w:r>
      <w:proofErr w:type="spellStart"/>
      <w:r w:rsidRPr="00A32060">
        <w:rPr>
          <w:rFonts w:ascii="Times New Roman" w:eastAsia="Times New Roman" w:hAnsi="Times New Roman" w:cs="Times New Roman"/>
          <w:sz w:val="24"/>
          <w:szCs w:val="24"/>
        </w:rPr>
        <w:t>Ekara</w:t>
      </w:r>
      <w:proofErr w:type="spellEnd"/>
      <w:r w:rsidRPr="00A32060">
        <w:rPr>
          <w:rFonts w:ascii="Times New Roman" w:eastAsia="Times New Roman" w:hAnsi="Times New Roman" w:cs="Times New Roman"/>
          <w:sz w:val="24"/>
          <w:szCs w:val="24"/>
        </w:rPr>
        <w:t xml:space="preserve">, E. C., </w:t>
      </w:r>
      <w:proofErr w:type="spellStart"/>
      <w:r w:rsidRPr="00A32060">
        <w:rPr>
          <w:rFonts w:ascii="Times New Roman" w:eastAsia="Times New Roman" w:hAnsi="Times New Roman" w:cs="Times New Roman"/>
          <w:sz w:val="24"/>
          <w:szCs w:val="24"/>
        </w:rPr>
        <w:t>Chukwudi</w:t>
      </w:r>
      <w:proofErr w:type="spellEnd"/>
      <w:r w:rsidRPr="00A32060">
        <w:rPr>
          <w:rFonts w:ascii="Times New Roman" w:eastAsia="Times New Roman" w:hAnsi="Times New Roman" w:cs="Times New Roman"/>
          <w:sz w:val="24"/>
          <w:szCs w:val="24"/>
        </w:rPr>
        <w:t xml:space="preserve">, O. C., </w:t>
      </w:r>
      <w:proofErr w:type="spellStart"/>
      <w:r w:rsidRPr="00A32060">
        <w:rPr>
          <w:rFonts w:ascii="Times New Roman" w:eastAsia="Times New Roman" w:hAnsi="Times New Roman" w:cs="Times New Roman"/>
          <w:sz w:val="24"/>
          <w:szCs w:val="24"/>
        </w:rPr>
        <w:t>Chiwenite</w:t>
      </w:r>
      <w:proofErr w:type="spellEnd"/>
      <w:r w:rsidRPr="00A32060">
        <w:rPr>
          <w:rFonts w:ascii="Times New Roman" w:eastAsia="Times New Roman" w:hAnsi="Times New Roman" w:cs="Times New Roman"/>
          <w:sz w:val="24"/>
          <w:szCs w:val="24"/>
        </w:rPr>
        <w:t xml:space="preserve">, M. C., Osuji, R. C., </w:t>
      </w:r>
      <w:proofErr w:type="spellStart"/>
      <w:r w:rsidRPr="00A32060">
        <w:rPr>
          <w:rFonts w:ascii="Times New Roman" w:eastAsia="Times New Roman" w:hAnsi="Times New Roman" w:cs="Times New Roman"/>
          <w:sz w:val="24"/>
          <w:szCs w:val="24"/>
        </w:rPr>
        <w:t>Nnanna</w:t>
      </w:r>
      <w:proofErr w:type="spellEnd"/>
      <w:r w:rsidRPr="00A32060">
        <w:rPr>
          <w:rFonts w:ascii="Times New Roman" w:eastAsia="Times New Roman" w:hAnsi="Times New Roman" w:cs="Times New Roman"/>
          <w:sz w:val="24"/>
          <w:szCs w:val="24"/>
        </w:rPr>
        <w:t xml:space="preserve">, G., &amp; </w:t>
      </w:r>
      <w:proofErr w:type="spellStart"/>
      <w:r w:rsidRPr="00A32060">
        <w:rPr>
          <w:rFonts w:ascii="Times New Roman" w:eastAsia="Times New Roman" w:hAnsi="Times New Roman" w:cs="Times New Roman"/>
          <w:sz w:val="24"/>
          <w:szCs w:val="24"/>
        </w:rPr>
        <w:t>Onuorah</w:t>
      </w:r>
      <w:proofErr w:type="spellEnd"/>
      <w:r w:rsidRPr="00A32060">
        <w:rPr>
          <w:rFonts w:ascii="Times New Roman" w:eastAsia="Times New Roman" w:hAnsi="Times New Roman" w:cs="Times New Roman"/>
          <w:sz w:val="24"/>
          <w:szCs w:val="24"/>
        </w:rPr>
        <w:t xml:space="preserve">, U. M. (2022). Knowledge, attitude and practices (KAP) of </w:t>
      </w:r>
      <w:proofErr w:type="spellStart"/>
      <w:r w:rsidRPr="00A32060">
        <w:rPr>
          <w:rFonts w:ascii="Times New Roman" w:eastAsia="Times New Roman" w:hAnsi="Times New Roman" w:cs="Times New Roman"/>
          <w:sz w:val="24"/>
          <w:szCs w:val="24"/>
        </w:rPr>
        <w:t>preconceptional</w:t>
      </w:r>
      <w:proofErr w:type="spellEnd"/>
      <w:r w:rsidRPr="00A32060">
        <w:rPr>
          <w:rFonts w:ascii="Times New Roman" w:eastAsia="Times New Roman" w:hAnsi="Times New Roman" w:cs="Times New Roman"/>
          <w:sz w:val="24"/>
          <w:szCs w:val="24"/>
        </w:rPr>
        <w:t xml:space="preserve"> folic acid supplementation among pregnant women (18–45 years) attending antenatal clinic in Alex Ekwueme Federal University Teaching Hospital </w:t>
      </w:r>
      <w:proofErr w:type="spellStart"/>
      <w:r w:rsidRPr="00A32060">
        <w:rPr>
          <w:rFonts w:ascii="Times New Roman" w:eastAsia="Times New Roman" w:hAnsi="Times New Roman" w:cs="Times New Roman"/>
          <w:sz w:val="24"/>
          <w:szCs w:val="24"/>
        </w:rPr>
        <w:t>Abakaliki</w:t>
      </w:r>
      <w:proofErr w:type="spellEnd"/>
      <w:r w:rsidRPr="00A32060">
        <w:rPr>
          <w:rFonts w:ascii="Times New Roman" w:eastAsia="Times New Roman" w:hAnsi="Times New Roman" w:cs="Times New Roman"/>
          <w:sz w:val="24"/>
          <w:szCs w:val="24"/>
        </w:rPr>
        <w:t xml:space="preserve">, Ebonyi State, Nigeria. Saudi Journal of Medicine, 7(9), 485–500. </w:t>
      </w:r>
      <w:hyperlink r:id="rId49" w:history="1">
        <w:r w:rsidRPr="00775646">
          <w:rPr>
            <w:rStyle w:val="Hyperlink"/>
            <w:rFonts w:ascii="Times New Roman" w:eastAsia="Times New Roman" w:hAnsi="Times New Roman" w:cs="Times New Roman"/>
            <w:sz w:val="24"/>
            <w:szCs w:val="24"/>
          </w:rPr>
          <w:t>https://doi.org/10.36348/sjm.2022.v07i09.006</w:t>
        </w:r>
      </w:hyperlink>
    </w:p>
    <w:p w14:paraId="537FAD44"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606C5F49" w14:textId="6E81DE87"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Ugo, C. H., </w:t>
      </w:r>
      <w:proofErr w:type="spellStart"/>
      <w:r w:rsidRPr="00A32060">
        <w:rPr>
          <w:rFonts w:ascii="Times New Roman" w:eastAsia="Times New Roman" w:hAnsi="Times New Roman" w:cs="Times New Roman"/>
          <w:sz w:val="24"/>
          <w:szCs w:val="24"/>
        </w:rPr>
        <w:t>Eme</w:t>
      </w:r>
      <w:proofErr w:type="spellEnd"/>
      <w:r w:rsidRPr="00A32060">
        <w:rPr>
          <w:rFonts w:ascii="Times New Roman" w:eastAsia="Times New Roman" w:hAnsi="Times New Roman" w:cs="Times New Roman"/>
          <w:sz w:val="24"/>
          <w:szCs w:val="24"/>
        </w:rPr>
        <w:t xml:space="preserve">, P. E., </w:t>
      </w:r>
      <w:proofErr w:type="spellStart"/>
      <w:r w:rsidRPr="00A32060">
        <w:rPr>
          <w:rFonts w:ascii="Times New Roman" w:eastAsia="Times New Roman" w:hAnsi="Times New Roman" w:cs="Times New Roman"/>
          <w:sz w:val="24"/>
          <w:szCs w:val="24"/>
        </w:rPr>
        <w:t>Eze</w:t>
      </w:r>
      <w:proofErr w:type="spellEnd"/>
      <w:r w:rsidRPr="00A32060">
        <w:rPr>
          <w:rFonts w:ascii="Times New Roman" w:eastAsia="Times New Roman" w:hAnsi="Times New Roman" w:cs="Times New Roman"/>
          <w:sz w:val="24"/>
          <w:szCs w:val="24"/>
        </w:rPr>
        <w:t xml:space="preserve">, P. N., </w:t>
      </w:r>
      <w:proofErr w:type="spellStart"/>
      <w:r w:rsidRPr="00A32060">
        <w:rPr>
          <w:rFonts w:ascii="Times New Roman" w:eastAsia="Times New Roman" w:hAnsi="Times New Roman" w:cs="Times New Roman"/>
          <w:sz w:val="24"/>
          <w:szCs w:val="24"/>
        </w:rPr>
        <w:t>Obajaja</w:t>
      </w:r>
      <w:proofErr w:type="spellEnd"/>
      <w:r w:rsidRPr="00A32060">
        <w:rPr>
          <w:rFonts w:ascii="Times New Roman" w:eastAsia="Times New Roman" w:hAnsi="Times New Roman" w:cs="Times New Roman"/>
          <w:sz w:val="24"/>
          <w:szCs w:val="24"/>
        </w:rPr>
        <w:t xml:space="preserve">, H. A., &amp; </w:t>
      </w:r>
      <w:proofErr w:type="spellStart"/>
      <w:r w:rsidRPr="00A32060">
        <w:rPr>
          <w:rFonts w:ascii="Times New Roman" w:eastAsia="Times New Roman" w:hAnsi="Times New Roman" w:cs="Times New Roman"/>
          <w:sz w:val="24"/>
          <w:szCs w:val="24"/>
        </w:rPr>
        <w:t>Omeili</w:t>
      </w:r>
      <w:proofErr w:type="spellEnd"/>
      <w:r w:rsidRPr="00A32060">
        <w:rPr>
          <w:rFonts w:ascii="Times New Roman" w:eastAsia="Times New Roman" w:hAnsi="Times New Roman" w:cs="Times New Roman"/>
          <w:sz w:val="24"/>
          <w:szCs w:val="24"/>
        </w:rPr>
        <w:t xml:space="preserve">, A. E. (2024). Chemical assessment of the quality of palm oil produced and sold in major markets in Orlu zone in Imo state, Nigeria. World Journal of Advanced Research and Reviews, 21(2), 1025–1033. </w:t>
      </w:r>
      <w:hyperlink r:id="rId50" w:history="1">
        <w:r w:rsidRPr="00775646">
          <w:rPr>
            <w:rStyle w:val="Hyperlink"/>
            <w:rFonts w:ascii="Times New Roman" w:eastAsia="Times New Roman" w:hAnsi="Times New Roman" w:cs="Times New Roman"/>
            <w:sz w:val="24"/>
            <w:szCs w:val="24"/>
          </w:rPr>
          <w:t>https://doi.org/10.30574/wjarr.2024.21.2.0529</w:t>
        </w:r>
      </w:hyperlink>
    </w:p>
    <w:p w14:paraId="4FCA2176"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16390E76" w14:textId="06EDCFE8"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Ugo, C. H., </w:t>
      </w:r>
      <w:proofErr w:type="spellStart"/>
      <w:r w:rsidRPr="00A32060">
        <w:rPr>
          <w:rFonts w:ascii="Times New Roman" w:eastAsia="Times New Roman" w:hAnsi="Times New Roman" w:cs="Times New Roman"/>
          <w:sz w:val="24"/>
          <w:szCs w:val="24"/>
        </w:rPr>
        <w:t>Ajamba</w:t>
      </w:r>
      <w:proofErr w:type="spellEnd"/>
      <w:r w:rsidRPr="00A32060">
        <w:rPr>
          <w:rFonts w:ascii="Times New Roman" w:eastAsia="Times New Roman" w:hAnsi="Times New Roman" w:cs="Times New Roman"/>
          <w:sz w:val="24"/>
          <w:szCs w:val="24"/>
        </w:rPr>
        <w:t xml:space="preserve">, M. N., </w:t>
      </w:r>
      <w:proofErr w:type="spellStart"/>
      <w:r w:rsidRPr="00A32060">
        <w:rPr>
          <w:rFonts w:ascii="Times New Roman" w:eastAsia="Times New Roman" w:hAnsi="Times New Roman" w:cs="Times New Roman"/>
          <w:sz w:val="24"/>
          <w:szCs w:val="24"/>
        </w:rPr>
        <w:t>Arene</w:t>
      </w:r>
      <w:proofErr w:type="spellEnd"/>
      <w:r w:rsidRPr="00A32060">
        <w:rPr>
          <w:rFonts w:ascii="Times New Roman" w:eastAsia="Times New Roman" w:hAnsi="Times New Roman" w:cs="Times New Roman"/>
          <w:sz w:val="24"/>
          <w:szCs w:val="24"/>
        </w:rPr>
        <w:t xml:space="preserve">, E. C., </w:t>
      </w:r>
      <w:proofErr w:type="spellStart"/>
      <w:r w:rsidRPr="00A32060">
        <w:rPr>
          <w:rFonts w:ascii="Times New Roman" w:eastAsia="Times New Roman" w:hAnsi="Times New Roman" w:cs="Times New Roman"/>
          <w:sz w:val="24"/>
          <w:szCs w:val="24"/>
        </w:rPr>
        <w:t>Anyadike</w:t>
      </w:r>
      <w:proofErr w:type="spellEnd"/>
      <w:r w:rsidRPr="00A32060">
        <w:rPr>
          <w:rFonts w:ascii="Times New Roman" w:eastAsia="Times New Roman" w:hAnsi="Times New Roman" w:cs="Times New Roman"/>
          <w:sz w:val="24"/>
          <w:szCs w:val="24"/>
        </w:rPr>
        <w:t xml:space="preserve">, I. K., </w:t>
      </w:r>
      <w:proofErr w:type="spellStart"/>
      <w:r w:rsidRPr="00A32060">
        <w:rPr>
          <w:rFonts w:ascii="Times New Roman" w:eastAsia="Times New Roman" w:hAnsi="Times New Roman" w:cs="Times New Roman"/>
          <w:sz w:val="24"/>
          <w:szCs w:val="24"/>
        </w:rPr>
        <w:t>Opara</w:t>
      </w:r>
      <w:proofErr w:type="spellEnd"/>
      <w:r w:rsidRPr="00A32060">
        <w:rPr>
          <w:rFonts w:ascii="Times New Roman" w:eastAsia="Times New Roman" w:hAnsi="Times New Roman" w:cs="Times New Roman"/>
          <w:sz w:val="24"/>
          <w:szCs w:val="24"/>
        </w:rPr>
        <w:t xml:space="preserve">, S. O., </w:t>
      </w:r>
      <w:proofErr w:type="spellStart"/>
      <w:r w:rsidRPr="00A32060">
        <w:rPr>
          <w:rFonts w:ascii="Times New Roman" w:eastAsia="Times New Roman" w:hAnsi="Times New Roman" w:cs="Times New Roman"/>
          <w:sz w:val="24"/>
          <w:szCs w:val="24"/>
        </w:rPr>
        <w:t>Eze</w:t>
      </w:r>
      <w:proofErr w:type="spellEnd"/>
      <w:r w:rsidRPr="00A32060">
        <w:rPr>
          <w:rFonts w:ascii="Times New Roman" w:eastAsia="Times New Roman" w:hAnsi="Times New Roman" w:cs="Times New Roman"/>
          <w:sz w:val="24"/>
          <w:szCs w:val="24"/>
        </w:rPr>
        <w:t xml:space="preserve">, P. N., Osuji, R. C., &amp; </w:t>
      </w:r>
      <w:proofErr w:type="spellStart"/>
      <w:r w:rsidRPr="00A32060">
        <w:rPr>
          <w:rFonts w:ascii="Times New Roman" w:eastAsia="Times New Roman" w:hAnsi="Times New Roman" w:cs="Times New Roman"/>
          <w:sz w:val="24"/>
          <w:szCs w:val="24"/>
        </w:rPr>
        <w:t>Ohiri</w:t>
      </w:r>
      <w:proofErr w:type="spellEnd"/>
      <w:r w:rsidRPr="00A32060">
        <w:rPr>
          <w:rFonts w:ascii="Times New Roman" w:eastAsia="Times New Roman" w:hAnsi="Times New Roman" w:cs="Times New Roman"/>
          <w:sz w:val="24"/>
          <w:szCs w:val="24"/>
        </w:rPr>
        <w:t xml:space="preserve">, Z. C. (2022). Nutritional Composition, Bioavailability, Medicinal Functions and Uses of Turmeric: A Review. Scholars Bulletin, 8(8), 248–260. </w:t>
      </w:r>
      <w:hyperlink r:id="rId51" w:history="1">
        <w:r w:rsidRPr="00775646">
          <w:rPr>
            <w:rStyle w:val="Hyperlink"/>
            <w:rFonts w:ascii="Times New Roman" w:eastAsia="Times New Roman" w:hAnsi="Times New Roman" w:cs="Times New Roman"/>
            <w:sz w:val="24"/>
            <w:szCs w:val="24"/>
          </w:rPr>
          <w:t>https://doi.org/10.36348/sb.2022.v08i08.003</w:t>
        </w:r>
      </w:hyperlink>
    </w:p>
    <w:p w14:paraId="68C4C75D"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0001C968" w14:textId="425EA4FC"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lastRenderedPageBreak/>
        <w:t xml:space="preserve">Wei, S., Kumar, A., Hailu, G. G., Choi, S. I., Lee, O. H., </w:t>
      </w:r>
      <w:proofErr w:type="spellStart"/>
      <w:r w:rsidRPr="00A32060">
        <w:rPr>
          <w:rFonts w:ascii="Times New Roman" w:eastAsia="Times New Roman" w:hAnsi="Times New Roman" w:cs="Times New Roman"/>
          <w:sz w:val="24"/>
          <w:szCs w:val="24"/>
        </w:rPr>
        <w:t>Chelliah</w:t>
      </w:r>
      <w:proofErr w:type="spellEnd"/>
      <w:r w:rsidRPr="00A32060">
        <w:rPr>
          <w:rFonts w:ascii="Times New Roman" w:eastAsia="Times New Roman" w:hAnsi="Times New Roman" w:cs="Times New Roman"/>
          <w:sz w:val="24"/>
          <w:szCs w:val="24"/>
        </w:rPr>
        <w:t xml:space="preserve">, R., Oh, D. H., &amp; Liu, S. (2025). Exploring the Effects of Novel Food Processing Methods on Food Proteins: A Review. Food Science &amp; Nutrition, 13(6), e70373. </w:t>
      </w:r>
      <w:hyperlink r:id="rId52" w:history="1">
        <w:r w:rsidRPr="00775646">
          <w:rPr>
            <w:rStyle w:val="Hyperlink"/>
            <w:rFonts w:ascii="Times New Roman" w:eastAsia="Times New Roman" w:hAnsi="Times New Roman" w:cs="Times New Roman"/>
            <w:sz w:val="24"/>
            <w:szCs w:val="24"/>
          </w:rPr>
          <w:t>https://doi.org/10.1002/fsn3.70373</w:t>
        </w:r>
      </w:hyperlink>
    </w:p>
    <w:p w14:paraId="40E6D6EB"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708930F3" w14:textId="53C20BDC" w:rsidR="00C42002" w:rsidRDefault="00A32060" w:rsidP="00241527">
      <w:pPr>
        <w:spacing w:line="360" w:lineRule="auto"/>
        <w:jc w:val="both"/>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White, S., Jackson-Davis, A., Gordon, K., Morris, K., Dudley, A., Abdallah-Ruiz, A., </w:t>
      </w:r>
      <w:proofErr w:type="spellStart"/>
      <w:r w:rsidRPr="00A32060">
        <w:rPr>
          <w:rFonts w:ascii="Times New Roman" w:eastAsia="Times New Roman" w:hAnsi="Times New Roman" w:cs="Times New Roman"/>
          <w:sz w:val="24"/>
          <w:szCs w:val="24"/>
        </w:rPr>
        <w:t>Allgaier</w:t>
      </w:r>
      <w:proofErr w:type="spellEnd"/>
      <w:r w:rsidRPr="00A32060">
        <w:rPr>
          <w:rFonts w:ascii="Times New Roman" w:eastAsia="Times New Roman" w:hAnsi="Times New Roman" w:cs="Times New Roman"/>
          <w:sz w:val="24"/>
          <w:szCs w:val="24"/>
        </w:rPr>
        <w:t xml:space="preserve">, K., Sharpe, K., </w:t>
      </w:r>
      <w:proofErr w:type="spellStart"/>
      <w:r w:rsidRPr="00A32060">
        <w:rPr>
          <w:rFonts w:ascii="Times New Roman" w:eastAsia="Times New Roman" w:hAnsi="Times New Roman" w:cs="Times New Roman"/>
          <w:sz w:val="24"/>
          <w:szCs w:val="24"/>
        </w:rPr>
        <w:t>Yenduri</w:t>
      </w:r>
      <w:proofErr w:type="spellEnd"/>
      <w:r w:rsidRPr="00A32060">
        <w:rPr>
          <w:rFonts w:ascii="Times New Roman" w:eastAsia="Times New Roman" w:hAnsi="Times New Roman" w:cs="Times New Roman"/>
          <w:sz w:val="24"/>
          <w:szCs w:val="24"/>
        </w:rPr>
        <w:t xml:space="preserve">, A. K., Green, K., &amp; Santos, F. (2025). A Review of Non-thermal Interventions in Food Processing Technologies. Journal of Food Protection, 88(6), 100508. </w:t>
      </w:r>
      <w:hyperlink r:id="rId53" w:history="1">
        <w:r w:rsidRPr="00775646">
          <w:rPr>
            <w:rStyle w:val="Hyperlink"/>
            <w:rFonts w:ascii="Times New Roman" w:eastAsia="Times New Roman" w:hAnsi="Times New Roman" w:cs="Times New Roman"/>
            <w:sz w:val="24"/>
            <w:szCs w:val="24"/>
          </w:rPr>
          <w:t>https://doi.org/10.1016/j.jfp.2025.100508</w:t>
        </w:r>
      </w:hyperlink>
    </w:p>
    <w:p w14:paraId="426B4D7D"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448B42BA" w14:textId="59591653" w:rsidR="00C42002" w:rsidRDefault="00A32060" w:rsidP="00241527">
      <w:pPr>
        <w:spacing w:line="360" w:lineRule="auto"/>
        <w:jc w:val="both"/>
        <w:rPr>
          <w:rFonts w:ascii="Times New Roman" w:eastAsia="Times New Roman" w:hAnsi="Times New Roman" w:cs="Times New Roman"/>
          <w:sz w:val="24"/>
          <w:szCs w:val="24"/>
        </w:rPr>
      </w:pPr>
      <w:proofErr w:type="spellStart"/>
      <w:r w:rsidRPr="00A32060">
        <w:rPr>
          <w:rFonts w:ascii="Times New Roman" w:eastAsia="Times New Roman" w:hAnsi="Times New Roman" w:cs="Times New Roman"/>
          <w:sz w:val="24"/>
          <w:szCs w:val="24"/>
        </w:rPr>
        <w:t>Xie</w:t>
      </w:r>
      <w:proofErr w:type="spellEnd"/>
      <w:r w:rsidRPr="00A32060">
        <w:rPr>
          <w:rFonts w:ascii="Times New Roman" w:eastAsia="Times New Roman" w:hAnsi="Times New Roman" w:cs="Times New Roman"/>
          <w:sz w:val="24"/>
          <w:szCs w:val="24"/>
        </w:rPr>
        <w:t xml:space="preserve">, X., Wang, Y., Tian, J., Cheng, Z., </w:t>
      </w:r>
      <w:proofErr w:type="spellStart"/>
      <w:r w:rsidRPr="00A32060">
        <w:rPr>
          <w:rFonts w:ascii="Times New Roman" w:eastAsia="Times New Roman" w:hAnsi="Times New Roman" w:cs="Times New Roman"/>
          <w:sz w:val="24"/>
          <w:szCs w:val="24"/>
        </w:rPr>
        <w:t>Gui</w:t>
      </w:r>
      <w:proofErr w:type="spellEnd"/>
      <w:r w:rsidRPr="00A32060">
        <w:rPr>
          <w:rFonts w:ascii="Times New Roman" w:eastAsia="Times New Roman" w:hAnsi="Times New Roman" w:cs="Times New Roman"/>
          <w:sz w:val="24"/>
          <w:szCs w:val="24"/>
        </w:rPr>
        <w:t xml:space="preserve">, H., </w:t>
      </w:r>
      <w:proofErr w:type="spellStart"/>
      <w:r w:rsidRPr="00A32060">
        <w:rPr>
          <w:rFonts w:ascii="Times New Roman" w:eastAsia="Times New Roman" w:hAnsi="Times New Roman" w:cs="Times New Roman"/>
          <w:sz w:val="24"/>
          <w:szCs w:val="24"/>
        </w:rPr>
        <w:t>Nie</w:t>
      </w:r>
      <w:proofErr w:type="spellEnd"/>
      <w:r w:rsidRPr="00A32060">
        <w:rPr>
          <w:rFonts w:ascii="Times New Roman" w:eastAsia="Times New Roman" w:hAnsi="Times New Roman" w:cs="Times New Roman"/>
          <w:sz w:val="24"/>
          <w:szCs w:val="24"/>
        </w:rPr>
        <w:t xml:space="preserve">, Y., Zhang, R., Wen, B., &amp; Li, B. (2025). Application of widely targeted metabolomics strategy to reveal the evolution of phenolic color-contributing metabolites during the </w:t>
      </w:r>
      <w:proofErr w:type="gramStart"/>
      <w:r w:rsidRPr="00A32060">
        <w:rPr>
          <w:rFonts w:ascii="Times New Roman" w:eastAsia="Times New Roman" w:hAnsi="Times New Roman" w:cs="Times New Roman"/>
          <w:sz w:val="24"/>
          <w:szCs w:val="24"/>
        </w:rPr>
        <w:t>high pressure</w:t>
      </w:r>
      <w:proofErr w:type="gramEnd"/>
      <w:r w:rsidRPr="00A32060">
        <w:rPr>
          <w:rFonts w:ascii="Times New Roman" w:eastAsia="Times New Roman" w:hAnsi="Times New Roman" w:cs="Times New Roman"/>
          <w:sz w:val="24"/>
          <w:szCs w:val="24"/>
        </w:rPr>
        <w:t xml:space="preserve"> processing and thermal processing of blueberry juice. Food chemistry: X </w:t>
      </w:r>
      <w:hyperlink r:id="rId54" w:history="1">
        <w:r w:rsidRPr="00775646">
          <w:rPr>
            <w:rStyle w:val="Hyperlink"/>
            <w:rFonts w:ascii="Times New Roman" w:eastAsia="Times New Roman" w:hAnsi="Times New Roman" w:cs="Times New Roman"/>
            <w:sz w:val="24"/>
            <w:szCs w:val="24"/>
          </w:rPr>
          <w:t>https://doi.org/10.1016/j.fochx.2025.102566</w:t>
        </w:r>
      </w:hyperlink>
    </w:p>
    <w:p w14:paraId="5CDB6C99"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61BC8858" w14:textId="175B73ED" w:rsidR="00C42002" w:rsidRDefault="00A32060" w:rsidP="00241527">
      <w:pPr>
        <w:spacing w:line="360" w:lineRule="auto"/>
        <w:jc w:val="both"/>
        <w:rPr>
          <w:rFonts w:ascii="Times New Roman" w:eastAsia="Times New Roman" w:hAnsi="Times New Roman" w:cs="Times New Roman"/>
          <w:b/>
          <w:bCs/>
          <w:sz w:val="24"/>
          <w:szCs w:val="24"/>
        </w:rPr>
      </w:pPr>
      <w:r w:rsidRPr="00A32060">
        <w:rPr>
          <w:rFonts w:ascii="Times New Roman" w:eastAsia="Times New Roman" w:hAnsi="Times New Roman" w:cs="Times New Roman"/>
          <w:sz w:val="24"/>
          <w:szCs w:val="24"/>
        </w:rPr>
        <w:t xml:space="preserve">Yan, Z., Yin, L., Hao, C., Liu, K., &amp; </w:t>
      </w:r>
      <w:proofErr w:type="spellStart"/>
      <w:r w:rsidRPr="00A32060">
        <w:rPr>
          <w:rFonts w:ascii="Times New Roman" w:eastAsia="Times New Roman" w:hAnsi="Times New Roman" w:cs="Times New Roman"/>
          <w:sz w:val="24"/>
          <w:szCs w:val="24"/>
        </w:rPr>
        <w:t>Qiu</w:t>
      </w:r>
      <w:proofErr w:type="spellEnd"/>
      <w:r w:rsidRPr="00A32060">
        <w:rPr>
          <w:rFonts w:ascii="Times New Roman" w:eastAsia="Times New Roman" w:hAnsi="Times New Roman" w:cs="Times New Roman"/>
          <w:sz w:val="24"/>
          <w:szCs w:val="24"/>
        </w:rPr>
        <w:t xml:space="preserve">, J. (2021). Synergistic effect of pulsed electric fields and temperature on the inactivation of microorganisms. AMB Express, 11(1), 47. </w:t>
      </w:r>
      <w:hyperlink r:id="rId55" w:history="1">
        <w:r w:rsidRPr="00775646">
          <w:rPr>
            <w:rStyle w:val="Hyperlink"/>
            <w:rFonts w:ascii="Times New Roman" w:eastAsia="Times New Roman" w:hAnsi="Times New Roman" w:cs="Times New Roman"/>
            <w:sz w:val="24"/>
            <w:szCs w:val="24"/>
          </w:rPr>
          <w:t>https://doi.org/10.1186/s13568-021-01206-8</w:t>
        </w:r>
      </w:hyperlink>
    </w:p>
    <w:p w14:paraId="16F378AA" w14:textId="77777777" w:rsidR="00A32060" w:rsidRPr="00A32060" w:rsidRDefault="00A32060" w:rsidP="00241527">
      <w:pPr>
        <w:spacing w:line="360" w:lineRule="auto"/>
        <w:jc w:val="both"/>
        <w:rPr>
          <w:rFonts w:ascii="Times New Roman" w:eastAsia="Times New Roman" w:hAnsi="Times New Roman" w:cs="Times New Roman"/>
          <w:b/>
          <w:bCs/>
          <w:sz w:val="24"/>
          <w:szCs w:val="24"/>
          <w:highlight w:val="white"/>
        </w:rPr>
      </w:pPr>
    </w:p>
    <w:p w14:paraId="37997609" w14:textId="50BA4E48" w:rsidR="00C42002" w:rsidRDefault="00A32060" w:rsidP="00241527">
      <w:pPr>
        <w:spacing w:line="360" w:lineRule="auto"/>
        <w:jc w:val="both"/>
        <w:rPr>
          <w:rFonts w:ascii="Times New Roman" w:eastAsia="Times New Roman" w:hAnsi="Times New Roman" w:cs="Times New Roman"/>
          <w:sz w:val="24"/>
          <w:szCs w:val="24"/>
        </w:rPr>
      </w:pPr>
      <w:proofErr w:type="spellStart"/>
      <w:r w:rsidRPr="00A32060">
        <w:rPr>
          <w:rFonts w:ascii="Times New Roman" w:eastAsia="Times New Roman" w:hAnsi="Times New Roman" w:cs="Times New Roman"/>
          <w:sz w:val="24"/>
          <w:szCs w:val="24"/>
        </w:rPr>
        <w:t>Yanclo</w:t>
      </w:r>
      <w:proofErr w:type="spellEnd"/>
      <w:r w:rsidRPr="00A32060">
        <w:rPr>
          <w:rFonts w:ascii="Times New Roman" w:eastAsia="Times New Roman" w:hAnsi="Times New Roman" w:cs="Times New Roman"/>
          <w:sz w:val="24"/>
          <w:szCs w:val="24"/>
        </w:rPr>
        <w:t xml:space="preserve">, L. A., Belay, Z. A., </w:t>
      </w:r>
      <w:proofErr w:type="spellStart"/>
      <w:r w:rsidRPr="00A32060">
        <w:rPr>
          <w:rFonts w:ascii="Times New Roman" w:eastAsia="Times New Roman" w:hAnsi="Times New Roman" w:cs="Times New Roman"/>
          <w:sz w:val="24"/>
          <w:szCs w:val="24"/>
        </w:rPr>
        <w:t>Mpahleni</w:t>
      </w:r>
      <w:proofErr w:type="spellEnd"/>
      <w:r w:rsidRPr="00A32060">
        <w:rPr>
          <w:rFonts w:ascii="Times New Roman" w:eastAsia="Times New Roman" w:hAnsi="Times New Roman" w:cs="Times New Roman"/>
          <w:sz w:val="24"/>
          <w:szCs w:val="24"/>
        </w:rPr>
        <w:t>, B., October, F., &amp; Caleb, O. J. (2024). Investigation of the impact of cold plasma pretreatments, long term storage and drying on physicochemical properties, bioactive contents and microbial quality of '</w:t>
      </w:r>
      <w:proofErr w:type="spellStart"/>
      <w:r w:rsidRPr="00A32060">
        <w:rPr>
          <w:rFonts w:ascii="Times New Roman" w:eastAsia="Times New Roman" w:hAnsi="Times New Roman" w:cs="Times New Roman"/>
          <w:sz w:val="24"/>
          <w:szCs w:val="24"/>
        </w:rPr>
        <w:t>Keitt</w:t>
      </w:r>
      <w:proofErr w:type="spellEnd"/>
      <w:r w:rsidRPr="00A32060">
        <w:rPr>
          <w:rFonts w:ascii="Times New Roman" w:eastAsia="Times New Roman" w:hAnsi="Times New Roman" w:cs="Times New Roman"/>
          <w:sz w:val="24"/>
          <w:szCs w:val="24"/>
        </w:rPr>
        <w:t xml:space="preserve">' mango. </w:t>
      </w:r>
      <w:proofErr w:type="spellStart"/>
      <w:r w:rsidRPr="00A32060">
        <w:rPr>
          <w:rFonts w:ascii="Times New Roman" w:eastAsia="Times New Roman" w:hAnsi="Times New Roman" w:cs="Times New Roman"/>
          <w:sz w:val="24"/>
          <w:szCs w:val="24"/>
        </w:rPr>
        <w:t>Heliyon</w:t>
      </w:r>
      <w:proofErr w:type="spellEnd"/>
      <w:r w:rsidRPr="00A32060">
        <w:rPr>
          <w:rFonts w:ascii="Times New Roman" w:eastAsia="Times New Roman" w:hAnsi="Times New Roman" w:cs="Times New Roman"/>
          <w:sz w:val="24"/>
          <w:szCs w:val="24"/>
        </w:rPr>
        <w:t xml:space="preserve">, 10(22), e40204. </w:t>
      </w:r>
      <w:hyperlink r:id="rId56" w:history="1">
        <w:r w:rsidRPr="00775646">
          <w:rPr>
            <w:rStyle w:val="Hyperlink"/>
            <w:rFonts w:ascii="Times New Roman" w:eastAsia="Times New Roman" w:hAnsi="Times New Roman" w:cs="Times New Roman"/>
            <w:sz w:val="24"/>
            <w:szCs w:val="24"/>
          </w:rPr>
          <w:t>https://doi.org/10.1016/j.heliyon.2024.e40204</w:t>
        </w:r>
      </w:hyperlink>
    </w:p>
    <w:p w14:paraId="3EF650A4"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057EB258" w14:textId="3A05E210" w:rsidR="00C42002" w:rsidRDefault="00A32060" w:rsidP="00241527">
      <w:pPr>
        <w:spacing w:line="360" w:lineRule="auto"/>
        <w:jc w:val="both"/>
        <w:rPr>
          <w:rFonts w:ascii="Times New Roman" w:eastAsia="Times New Roman" w:hAnsi="Times New Roman" w:cs="Times New Roman"/>
          <w:sz w:val="24"/>
          <w:szCs w:val="24"/>
        </w:rPr>
      </w:pPr>
      <w:proofErr w:type="spellStart"/>
      <w:r w:rsidRPr="00A32060">
        <w:rPr>
          <w:rFonts w:ascii="Times New Roman" w:eastAsia="Times New Roman" w:hAnsi="Times New Roman" w:cs="Times New Roman"/>
          <w:sz w:val="24"/>
          <w:szCs w:val="24"/>
        </w:rPr>
        <w:t>Yousefi</w:t>
      </w:r>
      <w:proofErr w:type="spellEnd"/>
      <w:r w:rsidRPr="00A32060">
        <w:rPr>
          <w:rFonts w:ascii="Times New Roman" w:eastAsia="Times New Roman" w:hAnsi="Times New Roman" w:cs="Times New Roman"/>
          <w:sz w:val="24"/>
          <w:szCs w:val="24"/>
        </w:rPr>
        <w:t xml:space="preserve">, N., &amp; Abbasi, S. (2022). Food proteins: Solubility &amp; thermal stability improvement techniques. Food Chemistry Advances </w:t>
      </w:r>
      <w:hyperlink r:id="rId57" w:history="1">
        <w:r w:rsidRPr="00775646">
          <w:rPr>
            <w:rStyle w:val="Hyperlink"/>
            <w:rFonts w:ascii="Times New Roman" w:eastAsia="Times New Roman" w:hAnsi="Times New Roman" w:cs="Times New Roman"/>
            <w:sz w:val="24"/>
            <w:szCs w:val="24"/>
          </w:rPr>
          <w:t>https://doi.org/10.1016/j.focha.2022.100090</w:t>
        </w:r>
      </w:hyperlink>
    </w:p>
    <w:p w14:paraId="62A8021D" w14:textId="77777777" w:rsidR="00A32060" w:rsidRDefault="00A32060" w:rsidP="00241527">
      <w:pPr>
        <w:spacing w:line="360" w:lineRule="auto"/>
        <w:jc w:val="both"/>
        <w:rPr>
          <w:rFonts w:ascii="Times New Roman" w:eastAsia="Times New Roman" w:hAnsi="Times New Roman" w:cs="Times New Roman"/>
          <w:sz w:val="24"/>
          <w:szCs w:val="24"/>
          <w:highlight w:val="white"/>
        </w:rPr>
      </w:pPr>
    </w:p>
    <w:p w14:paraId="72044CA1" w14:textId="5E0892B0" w:rsidR="00C42002" w:rsidRDefault="00A32060" w:rsidP="00241527">
      <w:pPr>
        <w:rPr>
          <w:rFonts w:ascii="Times New Roman" w:eastAsia="Times New Roman" w:hAnsi="Times New Roman" w:cs="Times New Roman"/>
          <w:sz w:val="24"/>
          <w:szCs w:val="24"/>
        </w:rPr>
      </w:pPr>
      <w:r w:rsidRPr="00A32060">
        <w:rPr>
          <w:rFonts w:ascii="Times New Roman" w:eastAsia="Times New Roman" w:hAnsi="Times New Roman" w:cs="Times New Roman"/>
          <w:sz w:val="24"/>
          <w:szCs w:val="24"/>
        </w:rPr>
        <w:t xml:space="preserve">Zhang, N., Shi, Z., Hu, Y., Sun, Y., Zhou, C., Xia, Q., He, J., Yan, H., Yu, H., &amp; Pan, D. (2025). Effect of Pulsed Electric Field Pretreatment on the Texture and Flavor of Air-Dried Duck Meat. Foods (Basel, Switzerland), 14(11), 1891. </w:t>
      </w:r>
      <w:hyperlink r:id="rId58" w:history="1">
        <w:r w:rsidRPr="00775646">
          <w:rPr>
            <w:rStyle w:val="Hyperlink"/>
            <w:rFonts w:ascii="Times New Roman" w:eastAsia="Times New Roman" w:hAnsi="Times New Roman" w:cs="Times New Roman"/>
            <w:sz w:val="24"/>
            <w:szCs w:val="24"/>
          </w:rPr>
          <w:t>https://doi.org/10.3390/foods14111891</w:t>
        </w:r>
      </w:hyperlink>
    </w:p>
    <w:p w14:paraId="18553E9B" w14:textId="77777777" w:rsidR="00A32060" w:rsidRDefault="00A32060" w:rsidP="00241527">
      <w:pPr>
        <w:rPr>
          <w:rFonts w:ascii="Times New Roman" w:eastAsia="Times New Roman" w:hAnsi="Times New Roman" w:cs="Times New Roman"/>
          <w:sz w:val="24"/>
          <w:szCs w:val="24"/>
          <w:highlight w:val="white"/>
        </w:rPr>
      </w:pPr>
    </w:p>
    <w:p w14:paraId="29FCA5FD" w14:textId="77777777" w:rsidR="00C42002" w:rsidRDefault="00C42002" w:rsidP="00241527"/>
    <w:p w14:paraId="5C78AB28" w14:textId="77777777" w:rsidR="00C42002" w:rsidRDefault="00C42002" w:rsidP="00241527"/>
    <w:p w14:paraId="1C4B0BFA" w14:textId="77777777" w:rsidR="00C42002" w:rsidRDefault="00C42002" w:rsidP="00241527"/>
    <w:p w14:paraId="0617459F" w14:textId="77777777" w:rsidR="00C42002" w:rsidRDefault="00C42002" w:rsidP="00241527"/>
    <w:p w14:paraId="45D6A965" w14:textId="77777777" w:rsidR="00C42002" w:rsidRDefault="00C42002" w:rsidP="00241527">
      <w:pPr>
        <w:spacing w:before="240" w:after="240"/>
        <w:jc w:val="both"/>
        <w:rPr>
          <w:rFonts w:ascii="Times New Roman" w:eastAsia="Times New Roman" w:hAnsi="Times New Roman" w:cs="Times New Roman"/>
          <w:sz w:val="24"/>
          <w:szCs w:val="24"/>
        </w:rPr>
      </w:pPr>
    </w:p>
    <w:p w14:paraId="572D7037" w14:textId="77777777" w:rsidR="00C42002" w:rsidRDefault="00C42002" w:rsidP="00241527">
      <w:pPr>
        <w:jc w:val="both"/>
        <w:rPr>
          <w:rFonts w:ascii="Times New Roman" w:eastAsia="Times New Roman" w:hAnsi="Times New Roman" w:cs="Times New Roman"/>
          <w:sz w:val="24"/>
          <w:szCs w:val="24"/>
        </w:rPr>
      </w:pPr>
    </w:p>
    <w:p w14:paraId="0536D6BC" w14:textId="77777777" w:rsidR="00C42002" w:rsidRDefault="00C42002" w:rsidP="00241527">
      <w:pPr>
        <w:spacing w:before="240" w:after="240"/>
        <w:jc w:val="both"/>
        <w:rPr>
          <w:rFonts w:ascii="Times New Roman" w:eastAsia="Times New Roman" w:hAnsi="Times New Roman" w:cs="Times New Roman"/>
          <w:sz w:val="24"/>
          <w:szCs w:val="24"/>
        </w:rPr>
      </w:pPr>
    </w:p>
    <w:p w14:paraId="23D89B3A" w14:textId="77777777" w:rsidR="00C42002" w:rsidRDefault="00C42002">
      <w:pPr>
        <w:jc w:val="both"/>
        <w:rPr>
          <w:rFonts w:ascii="Times New Roman" w:eastAsia="Times New Roman" w:hAnsi="Times New Roman" w:cs="Times New Roman"/>
          <w:sz w:val="24"/>
          <w:szCs w:val="24"/>
        </w:rPr>
      </w:pPr>
    </w:p>
    <w:sectPr w:rsidR="00C42002">
      <w:headerReference w:type="even" r:id="rId59"/>
      <w:headerReference w:type="default" r:id="rId60"/>
      <w:footerReference w:type="even" r:id="rId61"/>
      <w:footerReference w:type="default" r:id="rId62"/>
      <w:headerReference w:type="first" r:id="rId63"/>
      <w:footerReference w:type="first" r:id="rId6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89DCB" w14:textId="77777777" w:rsidR="00615B4E" w:rsidRDefault="00615B4E" w:rsidP="00677ACE">
      <w:pPr>
        <w:spacing w:line="240" w:lineRule="auto"/>
      </w:pPr>
      <w:r>
        <w:separator/>
      </w:r>
    </w:p>
  </w:endnote>
  <w:endnote w:type="continuationSeparator" w:id="0">
    <w:p w14:paraId="0A3BDE4A" w14:textId="77777777" w:rsidR="00615B4E" w:rsidRDefault="00615B4E" w:rsidP="00677A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1CB6CF0-889D-44B2-A025-5A5360D172B2}"/>
  </w:font>
  <w:font w:name="Vrinda">
    <w:panose1 w:val="00000400000000000000"/>
    <w:charset w:val="00"/>
    <w:family w:val="swiss"/>
    <w:pitch w:val="variable"/>
    <w:sig w:usb0="00010003" w:usb1="00000000" w:usb2="00000000" w:usb3="00000000" w:csb0="00000001" w:csb1="00000000"/>
    <w:embedRegular r:id="rId2" w:fontKey="{5E739C20-8245-47E7-B36D-94BE389A523B}"/>
  </w:font>
  <w:font w:name="Cambria">
    <w:panose1 w:val="02040503050406030204"/>
    <w:charset w:val="00"/>
    <w:family w:val="roman"/>
    <w:pitch w:val="variable"/>
    <w:sig w:usb0="E00006FF" w:usb1="420024FF" w:usb2="02000000" w:usb3="00000000" w:csb0="0000019F" w:csb1="00000000"/>
    <w:embedRegular r:id="rId3" w:fontKey="{7A4704A6-2C7F-4469-A091-20AEA44AB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B29C8" w14:textId="77777777" w:rsidR="00677ACE" w:rsidRDefault="00677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6D554" w14:textId="77777777" w:rsidR="00677ACE" w:rsidRDefault="00677A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60E08" w14:textId="77777777" w:rsidR="00677ACE" w:rsidRDefault="00677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80E22" w14:textId="77777777" w:rsidR="00615B4E" w:rsidRDefault="00615B4E" w:rsidP="00677ACE">
      <w:pPr>
        <w:spacing w:line="240" w:lineRule="auto"/>
      </w:pPr>
      <w:r>
        <w:separator/>
      </w:r>
    </w:p>
  </w:footnote>
  <w:footnote w:type="continuationSeparator" w:id="0">
    <w:p w14:paraId="5B23DD84" w14:textId="77777777" w:rsidR="00615B4E" w:rsidRDefault="00615B4E" w:rsidP="00677A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B3CE8" w14:textId="66C3CA4C" w:rsidR="00677ACE" w:rsidRDefault="00677ACE">
    <w:pPr>
      <w:pStyle w:val="Header"/>
    </w:pPr>
    <w:r>
      <w:rPr>
        <w:noProof/>
      </w:rPr>
      <w:pict w14:anchorId="4C1BE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125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75F79" w14:textId="5ED43AC2" w:rsidR="00677ACE" w:rsidRDefault="00677ACE">
    <w:pPr>
      <w:pStyle w:val="Header"/>
    </w:pPr>
    <w:r>
      <w:rPr>
        <w:noProof/>
      </w:rPr>
      <w:pict w14:anchorId="43CB0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125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DC844" w14:textId="1C5EE3C2" w:rsidR="00677ACE" w:rsidRDefault="00677ACE">
    <w:pPr>
      <w:pStyle w:val="Header"/>
    </w:pPr>
    <w:r>
      <w:rPr>
        <w:noProof/>
      </w:rPr>
      <w:pict w14:anchorId="15669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125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96F"/>
    <w:multiLevelType w:val="hybridMultilevel"/>
    <w:tmpl w:val="48960A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452053C"/>
    <w:multiLevelType w:val="multilevel"/>
    <w:tmpl w:val="0082E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002"/>
    <w:rsid w:val="00241527"/>
    <w:rsid w:val="00276423"/>
    <w:rsid w:val="005A7748"/>
    <w:rsid w:val="00615B4E"/>
    <w:rsid w:val="00677ACE"/>
    <w:rsid w:val="006F5CDD"/>
    <w:rsid w:val="008B2285"/>
    <w:rsid w:val="00A32060"/>
    <w:rsid w:val="00C42002"/>
  </w:rsids>
  <m:mathPr>
    <m:mathFont m:val="Cambria Math"/>
    <m:brkBin m:val="before"/>
    <m:brkBinSub m:val="--"/>
    <m:smallFrac m:val="0"/>
    <m:dispDef/>
    <m:lMargin m:val="0"/>
    <m:rMargin m:val="0"/>
    <m:defJc m:val="centerGroup"/>
    <m:wrapIndent m:val="1440"/>
    <m:intLim m:val="subSup"/>
    <m:naryLim m:val="undOvr"/>
  </m:mathPr>
  <w:themeFontLang w:val="en-GB"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E488D2"/>
  <w15:docId w15:val="{170E6F7B-51BB-428C-B500-4D0FE782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character" w:styleId="Hyperlink">
    <w:name w:val="Hyperlink"/>
    <w:basedOn w:val="DefaultParagraphFont"/>
    <w:uiPriority w:val="99"/>
    <w:unhideWhenUsed/>
    <w:rsid w:val="008B2285"/>
    <w:rPr>
      <w:color w:val="0000FF" w:themeColor="hyperlink"/>
      <w:u w:val="single"/>
    </w:rPr>
  </w:style>
  <w:style w:type="character" w:styleId="UnresolvedMention">
    <w:name w:val="Unresolved Mention"/>
    <w:basedOn w:val="DefaultParagraphFont"/>
    <w:uiPriority w:val="99"/>
    <w:semiHidden/>
    <w:unhideWhenUsed/>
    <w:rsid w:val="008B2285"/>
    <w:rPr>
      <w:color w:val="605E5C"/>
      <w:shd w:val="clear" w:color="auto" w:fill="E1DFDD"/>
    </w:rPr>
  </w:style>
  <w:style w:type="paragraph" w:styleId="ListParagraph">
    <w:name w:val="List Paragraph"/>
    <w:basedOn w:val="Normal"/>
    <w:uiPriority w:val="34"/>
    <w:qFormat/>
    <w:rsid w:val="00241527"/>
    <w:pPr>
      <w:ind w:left="720"/>
      <w:contextualSpacing/>
    </w:pPr>
  </w:style>
  <w:style w:type="paragraph" w:styleId="Header">
    <w:name w:val="header"/>
    <w:basedOn w:val="Normal"/>
    <w:link w:val="HeaderChar"/>
    <w:uiPriority w:val="99"/>
    <w:unhideWhenUsed/>
    <w:rsid w:val="00677ACE"/>
    <w:pPr>
      <w:tabs>
        <w:tab w:val="center" w:pos="4680"/>
        <w:tab w:val="right" w:pos="9360"/>
      </w:tabs>
      <w:spacing w:line="240" w:lineRule="auto"/>
    </w:pPr>
  </w:style>
  <w:style w:type="character" w:customStyle="1" w:styleId="HeaderChar">
    <w:name w:val="Header Char"/>
    <w:basedOn w:val="DefaultParagraphFont"/>
    <w:link w:val="Header"/>
    <w:uiPriority w:val="99"/>
    <w:rsid w:val="00677ACE"/>
  </w:style>
  <w:style w:type="paragraph" w:styleId="Footer">
    <w:name w:val="footer"/>
    <w:basedOn w:val="Normal"/>
    <w:link w:val="FooterChar"/>
    <w:uiPriority w:val="99"/>
    <w:unhideWhenUsed/>
    <w:rsid w:val="00677ACE"/>
    <w:pPr>
      <w:tabs>
        <w:tab w:val="center" w:pos="4680"/>
        <w:tab w:val="right" w:pos="9360"/>
      </w:tabs>
      <w:spacing w:line="240" w:lineRule="auto"/>
    </w:pPr>
  </w:style>
  <w:style w:type="character" w:customStyle="1" w:styleId="FooterChar">
    <w:name w:val="Footer Char"/>
    <w:basedOn w:val="DefaultParagraphFont"/>
    <w:link w:val="Footer"/>
    <w:uiPriority w:val="99"/>
    <w:rsid w:val="00677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9734/jalsi/2025/v28i5726" TargetMode="External"/><Relationship Id="rId21" Type="http://schemas.openxmlformats.org/officeDocument/2006/relationships/hyperlink" Target="https://doi.org/10.1007/s44403-025-00032-1" TargetMode="External"/><Relationship Id="rId34" Type="http://schemas.openxmlformats.org/officeDocument/2006/relationships/hyperlink" Target="https://doi.org/10.4314/jdan.v13i2.4" TargetMode="External"/><Relationship Id="rId42" Type="http://schemas.openxmlformats.org/officeDocument/2006/relationships/hyperlink" Target="https://doi.org/10.3390/app151910699" TargetMode="External"/><Relationship Id="rId47" Type="http://schemas.openxmlformats.org/officeDocument/2006/relationships/hyperlink" Target="https://doi.org/10.3390/molecules25153544" TargetMode="External"/><Relationship Id="rId50" Type="http://schemas.openxmlformats.org/officeDocument/2006/relationships/hyperlink" Target="https://doi.org/10.30574/wjarr.2024.21.2.0529" TargetMode="External"/><Relationship Id="rId55" Type="http://schemas.openxmlformats.org/officeDocument/2006/relationships/hyperlink" Target="https://doi.org/10.1186/s13568-021-01206-8"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3390/foods11152342" TargetMode="External"/><Relationship Id="rId29" Type="http://schemas.openxmlformats.org/officeDocument/2006/relationships/hyperlink" Target="https://doi.org/10.20372/afnr.v2i1.659" TargetMode="External"/><Relationship Id="rId11" Type="http://schemas.openxmlformats.org/officeDocument/2006/relationships/hyperlink" Target="https://doi.org/10.1080/1364557032000119616" TargetMode="External"/><Relationship Id="rId24" Type="http://schemas.openxmlformats.org/officeDocument/2006/relationships/hyperlink" Target="https://doi.org/10.69739/jaaas.v2i2.1054" TargetMode="External"/><Relationship Id="rId32" Type="http://schemas.openxmlformats.org/officeDocument/2006/relationships/hyperlink" Target="https://doi.org/10.29333/jcei/17401" TargetMode="External"/><Relationship Id="rId37" Type="http://schemas.openxmlformats.org/officeDocument/2006/relationships/hyperlink" Target="https://doi.org/10.63680/ijsate0325035.07" TargetMode="External"/><Relationship Id="rId40" Type="http://schemas.openxmlformats.org/officeDocument/2006/relationships/hyperlink" Target="https://doi.org/10.1016/j.fochx.2025.102263" TargetMode="External"/><Relationship Id="rId45" Type="http://schemas.openxmlformats.org/officeDocument/2006/relationships/hyperlink" Target="https://doi.org/10.3390/foods13142182" TargetMode="External"/><Relationship Id="rId53" Type="http://schemas.openxmlformats.org/officeDocument/2006/relationships/hyperlink" Target="https://doi.org/10.1016/j.jfp.2025.100508" TargetMode="External"/><Relationship Id="rId58" Type="http://schemas.openxmlformats.org/officeDocument/2006/relationships/hyperlink" Target="https://doi.org/10.3390/foods1411189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food.ec.europa.eu/food-safety/novel-food_en" TargetMode="External"/><Relationship Id="rId14" Type="http://schemas.openxmlformats.org/officeDocument/2006/relationships/hyperlink" Target="https://doi.org/10.1192/bja.2017.3" TargetMode="External"/><Relationship Id="rId22" Type="http://schemas.openxmlformats.org/officeDocument/2006/relationships/hyperlink" Target="https://doi.org/10.1016/j.afres.2025.101422" TargetMode="External"/><Relationship Id="rId27" Type="http://schemas.openxmlformats.org/officeDocument/2006/relationships/hyperlink" Target="https://doi.org/10.1016/j.appet.2025.107853" TargetMode="External"/><Relationship Id="rId30" Type="http://schemas.openxmlformats.org/officeDocument/2006/relationships/hyperlink" Target="https://doi.org/10.1016/j.ultsonch.2025.107276" TargetMode="External"/><Relationship Id="rId35" Type="http://schemas.openxmlformats.org/officeDocument/2006/relationships/hyperlink" Target="https://doi.org/10.1016/j.foodchem.2024.139945" TargetMode="External"/><Relationship Id="rId43" Type="http://schemas.openxmlformats.org/officeDocument/2006/relationships/hyperlink" Target="https://doi.org/10.3390/foods9121786" TargetMode="External"/><Relationship Id="rId48" Type="http://schemas.openxmlformats.org/officeDocument/2006/relationships/hyperlink" Target="https://www.fda.gov/food/food-ingredients-packaging/generally-recognized-safe-gras" TargetMode="External"/><Relationship Id="rId56" Type="http://schemas.openxmlformats.org/officeDocument/2006/relationships/hyperlink" Target="https://doi.org/10.1016/j.heliyon.2024.e40204"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36348/sb.2022.v08i08.003" TargetMode="External"/><Relationship Id="rId3" Type="http://schemas.openxmlformats.org/officeDocument/2006/relationships/styles" Target="styles.xml"/><Relationship Id="rId12" Type="http://schemas.openxmlformats.org/officeDocument/2006/relationships/hyperlink" Target="https://doi.org/10.1016/j.fochx.2022.100516" TargetMode="External"/><Relationship Id="rId17" Type="http://schemas.openxmlformats.org/officeDocument/2006/relationships/hyperlink" Target="https://doi.org/10.5195/jmla.2022.1283" TargetMode="External"/><Relationship Id="rId25" Type="http://schemas.openxmlformats.org/officeDocument/2006/relationships/hyperlink" Target="https://doi.org/10.69739/jaaas.v2i2.1055" TargetMode="External"/><Relationship Id="rId33" Type="http://schemas.openxmlformats.org/officeDocument/2006/relationships/hyperlink" Target="https://doi.org/10.1016/j.tjnut.2023.07.001" TargetMode="External"/><Relationship Id="rId38" Type="http://schemas.openxmlformats.org/officeDocument/2006/relationships/hyperlink" Target="https://doi.org/10.1016/j.tjnut.2025.07.008" TargetMode="External"/><Relationship Id="rId46" Type="http://schemas.openxmlformats.org/officeDocument/2006/relationships/hyperlink" Target="https://doi.org/10.3390/foods12213957" TargetMode="External"/><Relationship Id="rId59" Type="http://schemas.openxmlformats.org/officeDocument/2006/relationships/header" Target="header1.xml"/><Relationship Id="rId20" Type="http://schemas.openxmlformats.org/officeDocument/2006/relationships/hyperlink" Target="https://doi.org/10.3390/foods11172545" TargetMode="External"/><Relationship Id="rId41" Type="http://schemas.openxmlformats.org/officeDocument/2006/relationships/hyperlink" Target="https://doi.org/10.3390/molecules26175265" TargetMode="External"/><Relationship Id="rId54" Type="http://schemas.openxmlformats.org/officeDocument/2006/relationships/hyperlink" Target="https://doi.org/10.1016/j.fochx.2025.102566"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molecules25102369" TargetMode="External"/><Relationship Id="rId23" Type="http://schemas.openxmlformats.org/officeDocument/2006/relationships/hyperlink" Target="https://doi.org/10.3389/fnut.2021.657090" TargetMode="External"/><Relationship Id="rId28" Type="http://schemas.openxmlformats.org/officeDocument/2006/relationships/hyperlink" Target="https://doi.org/10.1111/1541-4337.70340" TargetMode="External"/><Relationship Id="rId36" Type="http://schemas.openxmlformats.org/officeDocument/2006/relationships/hyperlink" Target="https://www.irejournals.com/formatedpaper/1706163.pdf" TargetMode="External"/><Relationship Id="rId49" Type="http://schemas.openxmlformats.org/officeDocument/2006/relationships/hyperlink" Target="https://doi.org/10.36348/sjm.2022.v07i09.006" TargetMode="External"/><Relationship Id="rId57" Type="http://schemas.openxmlformats.org/officeDocument/2006/relationships/hyperlink" Target="https://doi.org/10.1016/j.focha.2022.100090" TargetMode="External"/><Relationship Id="rId10" Type="http://schemas.openxmlformats.org/officeDocument/2006/relationships/hyperlink" Target="https://doi.org/10.3390/app15063049" TargetMode="External"/><Relationship Id="rId31" Type="http://schemas.openxmlformats.org/officeDocument/2006/relationships/hyperlink" Target="https://doi.org/10.1007/s13197-021-05103-7" TargetMode="External"/><Relationship Id="rId44" Type="http://schemas.openxmlformats.org/officeDocument/2006/relationships/hyperlink" Target="https://doi.org/10.1002/fsn3.71091" TargetMode="External"/><Relationship Id="rId52" Type="http://schemas.openxmlformats.org/officeDocument/2006/relationships/hyperlink" Target="https://doi.org/10.1002/fsn3.70373"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doi.org/10.3390/foods14213653" TargetMode="External"/><Relationship Id="rId18" Type="http://schemas.openxmlformats.org/officeDocument/2006/relationships/hyperlink" Target="https://european-union.europa.eu/institutions-law-budget/institutions-and-bodies/search-all-eu-institutions-and-bodies/european-food-safety-authority-efsa_en" TargetMode="External"/><Relationship Id="rId39" Type="http://schemas.openxmlformats.org/officeDocument/2006/relationships/hyperlink" Target="https://doi.org/10.3390/foods1317265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JidhhPR2t8o+pjbhHM/UNi+UQ==">CgMxLjAyDmguYmE1Z3BneWUzN3o5Mg5oLnhjajF4cGFsamVtMDIOaC54dTJnZ3AxY3FkamcyDmguaXV6cTB3NGg2NmRuMg5oLnoxcTJsMjEwOHR5YzIOaC53djFzN3lzZWxrc3oyDmguazVwM2hqbTh0ejZnMg5oLnluY2dlZ3l3YW42MzgAciExcTUyMWRvNHMzT2VWeW9tQUZOZ1p0WFh6LWdQb0pyU04=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7652</Words>
  <Characters>43622</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2025-12-02T05:16:00Z</dcterms:created>
  <dcterms:modified xsi:type="dcterms:W3CDTF">2025-12-03T08:19:00Z</dcterms:modified>
</cp:coreProperties>
</file>