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27DA5" w14:textId="1215384C" w:rsidR="00FA7380" w:rsidRPr="00FA7380" w:rsidRDefault="00FA7380" w:rsidP="00FA7380">
      <w:pPr>
        <w:spacing w:after="312" w:line="276" w:lineRule="auto"/>
        <w:ind w:left="113" w:right="0" w:firstLine="0"/>
        <w:jc w:val="left"/>
        <w:rPr>
          <w:b/>
          <w:u w:val="single"/>
        </w:rPr>
      </w:pPr>
      <w:r w:rsidRPr="00FA7380">
        <w:rPr>
          <w:b/>
          <w:u w:val="single"/>
        </w:rPr>
        <w:t>Original Research Article</w:t>
      </w:r>
    </w:p>
    <w:p w14:paraId="6B909256" w14:textId="4FAC5EED" w:rsidR="003B1207" w:rsidRDefault="00356376" w:rsidP="00F6339C">
      <w:pPr>
        <w:spacing w:after="312" w:line="276" w:lineRule="auto"/>
        <w:ind w:left="113" w:right="0" w:firstLine="0"/>
        <w:jc w:val="center"/>
        <w:rPr>
          <w:b/>
        </w:rPr>
      </w:pPr>
      <w:r>
        <w:rPr>
          <w:b/>
        </w:rPr>
        <w:t xml:space="preserve">ACADEMIC RESILIENCE IN IMPROVING ACADEMIC ACHIEVEMENT IN HIGHER EDUCATION </w:t>
      </w:r>
    </w:p>
    <w:p w14:paraId="72433CD6" w14:textId="77777777" w:rsidR="00F8706A" w:rsidRDefault="00F8706A" w:rsidP="00F6339C">
      <w:pPr>
        <w:spacing w:after="312" w:line="276" w:lineRule="auto"/>
        <w:ind w:left="113" w:right="0" w:firstLine="0"/>
        <w:jc w:val="center"/>
        <w:rPr>
          <w:b/>
        </w:rPr>
      </w:pPr>
    </w:p>
    <w:p w14:paraId="1413BC5F" w14:textId="65B009C5" w:rsidR="002107AD" w:rsidRDefault="00771476" w:rsidP="002D4C7D">
      <w:pPr>
        <w:spacing w:after="312" w:line="240" w:lineRule="auto"/>
        <w:ind w:left="0" w:right="0" w:firstLine="0"/>
      </w:pPr>
      <w:r>
        <w:t xml:space="preserve">Abstract </w:t>
      </w:r>
    </w:p>
    <w:p w14:paraId="542E5610" w14:textId="61D1E31C" w:rsidR="002107AD" w:rsidRDefault="00771476">
      <w:pPr>
        <w:ind w:left="-5" w:right="5"/>
      </w:pPr>
      <w:r>
        <w:t>In the 21</w:t>
      </w:r>
      <w:r>
        <w:rPr>
          <w:vertAlign w:val="superscript"/>
        </w:rPr>
        <w:t>st</w:t>
      </w:r>
      <w:r>
        <w:t xml:space="preserve"> century, academic resilience among college students not only influences their academic achievement but also plays a vital role in their future career development. The study was conducted to explore academic resilience among undergraduate students and to find out the relationship between academic resilience and academic achievement. The nature of the study calls for a descriptive survey design.150 undergraduate students were selected from </w:t>
      </w:r>
      <w:proofErr w:type="spellStart"/>
      <w:r>
        <w:t>Balasore</w:t>
      </w:r>
      <w:proofErr w:type="spellEnd"/>
      <w:r>
        <w:t xml:space="preserve"> district through a simple random sampling method. Academic resilience scale (Cassidy, 2016) was used for data collection. For </w:t>
      </w:r>
      <w:r w:rsidR="003B1207">
        <w:t>analysing</w:t>
      </w:r>
      <w:r>
        <w:t xml:space="preserve"> data, parametric statistical technique</w:t>
      </w:r>
      <w:r w:rsidR="00E36C75">
        <w:t xml:space="preserve"> (t’ test, ANOVA and </w:t>
      </w:r>
      <w:proofErr w:type="spellStart"/>
      <w:r w:rsidR="00E36C75">
        <w:t>corelation</w:t>
      </w:r>
      <w:proofErr w:type="spellEnd"/>
      <w:r w:rsidR="00E36C75">
        <w:t xml:space="preserve">) etc </w:t>
      </w:r>
      <w:r>
        <w:t>w</w:t>
      </w:r>
      <w:r w:rsidR="00E36C75">
        <w:t>ere</w:t>
      </w:r>
      <w:r>
        <w:t xml:space="preserve"> used. Study revealed that girls possessed more scores in academic resilience as compared to boys. The researcher doesn’t find any differences on academic resilience related to stream. Significant positive correlation was found between academic resilience and academic achievement. These findings emphasize the significance of academic resilience which plays a very vital role in enhancing academic achievement. </w:t>
      </w:r>
    </w:p>
    <w:p w14:paraId="10A87D94" w14:textId="27396F6C" w:rsidR="002107AD" w:rsidRDefault="00771476">
      <w:pPr>
        <w:spacing w:after="273" w:line="259" w:lineRule="auto"/>
        <w:ind w:left="-5" w:right="5"/>
      </w:pPr>
      <w:r>
        <w:rPr>
          <w:i/>
        </w:rPr>
        <w:t>Keywords</w:t>
      </w:r>
      <w:r>
        <w:t xml:space="preserve">- Academic </w:t>
      </w:r>
      <w:r w:rsidR="00F6339C">
        <w:t>R</w:t>
      </w:r>
      <w:r>
        <w:t>esilience</w:t>
      </w:r>
      <w:r w:rsidR="00356376">
        <w:t>,</w:t>
      </w:r>
      <w:r w:rsidR="00F6339C">
        <w:t xml:space="preserve"> Motivation, Emotional Regulation</w:t>
      </w:r>
    </w:p>
    <w:p w14:paraId="2AE66179" w14:textId="77777777" w:rsidR="002107AD" w:rsidRDefault="00771476">
      <w:pPr>
        <w:spacing w:after="274" w:line="259" w:lineRule="auto"/>
        <w:ind w:left="0" w:right="0" w:firstLine="0"/>
        <w:jc w:val="left"/>
      </w:pPr>
      <w:r>
        <w:t xml:space="preserve"> </w:t>
      </w:r>
    </w:p>
    <w:p w14:paraId="6336161A" w14:textId="77777777" w:rsidR="002107AD" w:rsidRDefault="00771476">
      <w:pPr>
        <w:spacing w:after="273" w:line="259" w:lineRule="auto"/>
        <w:ind w:left="0" w:right="0" w:firstLine="0"/>
        <w:jc w:val="left"/>
      </w:pPr>
      <w:r>
        <w:t xml:space="preserve"> </w:t>
      </w:r>
    </w:p>
    <w:p w14:paraId="2CFAD7A9" w14:textId="77777777" w:rsidR="002107AD" w:rsidRDefault="00771476">
      <w:pPr>
        <w:spacing w:after="273" w:line="259" w:lineRule="auto"/>
        <w:ind w:left="0" w:right="0" w:firstLine="0"/>
        <w:jc w:val="left"/>
      </w:pPr>
      <w:r>
        <w:t xml:space="preserve"> </w:t>
      </w:r>
    </w:p>
    <w:p w14:paraId="2E303DAC" w14:textId="77777777" w:rsidR="002107AD" w:rsidRDefault="00771476">
      <w:pPr>
        <w:spacing w:after="303" w:line="259" w:lineRule="auto"/>
        <w:ind w:left="0" w:right="0" w:firstLine="0"/>
        <w:jc w:val="left"/>
      </w:pPr>
      <w:r>
        <w:t xml:space="preserve"> </w:t>
      </w:r>
    </w:p>
    <w:p w14:paraId="0BBAA9B5" w14:textId="77777777" w:rsidR="002107AD" w:rsidRDefault="00771476">
      <w:pPr>
        <w:spacing w:after="280" w:line="259" w:lineRule="auto"/>
        <w:ind w:left="0" w:right="0" w:firstLine="0"/>
        <w:jc w:val="left"/>
      </w:pPr>
      <w:r>
        <w:t xml:space="preserve"> </w:t>
      </w:r>
      <w:r>
        <w:tab/>
        <w:t xml:space="preserve"> </w:t>
      </w:r>
    </w:p>
    <w:p w14:paraId="130D3D67" w14:textId="77777777" w:rsidR="002107AD" w:rsidRDefault="00771476">
      <w:pPr>
        <w:spacing w:after="276" w:line="259" w:lineRule="auto"/>
        <w:ind w:left="0" w:right="0" w:firstLine="0"/>
        <w:jc w:val="left"/>
      </w:pPr>
      <w:r>
        <w:t xml:space="preserve"> </w:t>
      </w:r>
    </w:p>
    <w:p w14:paraId="7DF9582E" w14:textId="155EBAAB" w:rsidR="002107AD" w:rsidRDefault="00771476">
      <w:pPr>
        <w:spacing w:after="274" w:line="259" w:lineRule="auto"/>
        <w:ind w:left="0" w:right="0" w:firstLine="0"/>
        <w:jc w:val="left"/>
      </w:pPr>
      <w:r>
        <w:t xml:space="preserve"> </w:t>
      </w:r>
    </w:p>
    <w:p w14:paraId="6E2BE718" w14:textId="254D6DAB" w:rsidR="00F45475" w:rsidRDefault="00F45475">
      <w:pPr>
        <w:spacing w:after="274" w:line="259" w:lineRule="auto"/>
        <w:ind w:left="0" w:right="0" w:firstLine="0"/>
        <w:jc w:val="left"/>
      </w:pPr>
    </w:p>
    <w:p w14:paraId="26750CF8" w14:textId="737F4362" w:rsidR="00F45475" w:rsidRDefault="00F45475">
      <w:pPr>
        <w:spacing w:after="274" w:line="259" w:lineRule="auto"/>
        <w:ind w:left="0" w:right="0" w:firstLine="0"/>
        <w:jc w:val="left"/>
      </w:pPr>
    </w:p>
    <w:p w14:paraId="7448F6C4" w14:textId="77777777" w:rsidR="00F45475" w:rsidRDefault="00F45475">
      <w:pPr>
        <w:spacing w:after="274" w:line="259" w:lineRule="auto"/>
        <w:ind w:left="0" w:right="0" w:firstLine="0"/>
        <w:jc w:val="left"/>
      </w:pPr>
      <w:bookmarkStart w:id="0" w:name="_GoBack"/>
      <w:bookmarkEnd w:id="0"/>
    </w:p>
    <w:p w14:paraId="577C1FC4" w14:textId="77777777" w:rsidR="00F6339C" w:rsidRDefault="00771476" w:rsidP="00F6339C">
      <w:pPr>
        <w:spacing w:after="273" w:line="259" w:lineRule="auto"/>
        <w:ind w:left="0" w:right="0" w:firstLine="0"/>
        <w:jc w:val="left"/>
      </w:pPr>
      <w:r>
        <w:t xml:space="preserve"> </w:t>
      </w:r>
    </w:p>
    <w:p w14:paraId="575E298C" w14:textId="02BAE8A8" w:rsidR="002107AD" w:rsidRPr="00F6339C" w:rsidRDefault="00771476" w:rsidP="00F6339C">
      <w:pPr>
        <w:spacing w:after="273" w:line="259" w:lineRule="auto"/>
        <w:ind w:left="0" w:right="0" w:firstLine="0"/>
        <w:jc w:val="left"/>
        <w:rPr>
          <w:b/>
          <w:bCs/>
        </w:rPr>
      </w:pPr>
      <w:r w:rsidRPr="00F6339C">
        <w:rPr>
          <w:b/>
          <w:bCs/>
        </w:rPr>
        <w:t xml:space="preserve">1.0 Introduction </w:t>
      </w:r>
    </w:p>
    <w:p w14:paraId="526CC948" w14:textId="77777777" w:rsidR="002107AD" w:rsidRDefault="00771476">
      <w:pPr>
        <w:ind w:left="-5" w:right="5"/>
      </w:pPr>
      <w:r>
        <w:t xml:space="preserve">In our day-to-day life we face a lot of problem. Specially in the stage of adolescence, we came across of various crises or challenges. In this particular stage one may go through different kinds of problem e.g., parents’ pressure to excel in the academic field, peer pressure to excel in the co-curricular activities, challenges in friends making, relationship problem, social media, mental health problem, carrier tensions, adjustment in new environment etc. In some area we may get success and in some other area we may fail. And when we deal with that failure as well as face worst situation, sometimes we may easily move on, get adjusted or easily deal with that problem and sometimes we may get depressed, tensed and failed to adjust as well as adapt to that situation. That is why Stanley Hall has rightly remarked that ‘Adolescence is the period of storm and stress’. After failing again and again it is very difficult to survive with that situation and move towards achieving the predetermined goals.  </w:t>
      </w:r>
    </w:p>
    <w:p w14:paraId="3272BECD" w14:textId="77777777" w:rsidR="002107AD" w:rsidRDefault="00771476">
      <w:pPr>
        <w:ind w:left="-5" w:right="5"/>
      </w:pPr>
      <w:r>
        <w:t xml:space="preserve">But, despite obstacles and difficult circumstances, there are students who can adjust with difficulties and attain high level of academic achievements and success, because they believe that successful learning is a product of effort and perseverance, not only ability. (Abdul Kader &amp; Abad, 2017) those are called resilience students. </w:t>
      </w:r>
    </w:p>
    <w:p w14:paraId="770E8AAC" w14:textId="77777777" w:rsidR="002107AD" w:rsidRDefault="00771476">
      <w:pPr>
        <w:spacing w:after="203"/>
        <w:ind w:left="-5" w:right="5"/>
      </w:pPr>
      <w:r>
        <w:t xml:space="preserve">Several studies </w:t>
      </w:r>
      <w:proofErr w:type="gramStart"/>
      <w:r>
        <w:t>reveals</w:t>
      </w:r>
      <w:proofErr w:type="gramEnd"/>
      <w:r>
        <w:t xml:space="preserve"> that Students with good academic resilience are better able to cope with pressure, manage stress, and maintain their motivation to learn in difficult situations, (</w:t>
      </w:r>
      <w:proofErr w:type="spellStart"/>
      <w:r>
        <w:t>Sandayanti</w:t>
      </w:r>
      <w:proofErr w:type="spellEnd"/>
      <w:r>
        <w:t xml:space="preserve"> et al., 2025), Additionally, someone with resilience will find ways to enhance their mindset or knowledge to a higher level, enabling them to address issues comprehensively, with attention and enthusiasm (</w:t>
      </w:r>
      <w:proofErr w:type="spellStart"/>
      <w:r>
        <w:t>Amelasasih</w:t>
      </w:r>
      <w:proofErr w:type="spellEnd"/>
      <w:r>
        <w:t xml:space="preserve"> et al., 2018) </w:t>
      </w:r>
    </w:p>
    <w:p w14:paraId="03EADE47" w14:textId="77777777" w:rsidR="002107AD" w:rsidRDefault="00771476">
      <w:pPr>
        <w:pStyle w:val="Heading1"/>
        <w:ind w:left="-5"/>
      </w:pPr>
      <w:r>
        <w:t xml:space="preserve">1.1 Academic Resilience </w:t>
      </w:r>
    </w:p>
    <w:p w14:paraId="645DEB95" w14:textId="77777777" w:rsidR="002107AD" w:rsidRDefault="00771476">
      <w:pPr>
        <w:ind w:left="-5" w:right="5"/>
      </w:pPr>
      <w:r>
        <w:t xml:space="preserve">Academic resilience among students has been rigorously studied due to its increasing prevalence and its effect on academic achievement. Academic resilience is defined as good academic achievement despite adversity in the educational process. It is the ability to successfully deal with academic drawbacks and challenges that are typical of ordinary academic life (Martin &amp; Marsh, 2006). </w:t>
      </w:r>
    </w:p>
    <w:p w14:paraId="0223B043" w14:textId="77777777" w:rsidR="002107AD" w:rsidRDefault="00771476">
      <w:pPr>
        <w:ind w:left="-5" w:right="5"/>
      </w:pPr>
      <w:r>
        <w:lastRenderedPageBreak/>
        <w:t>Research reveals that perceived social support and school environment significantly contributes to academic resilience and family support gives the highest contribution to academic resilience, (</w:t>
      </w:r>
      <w:proofErr w:type="spellStart"/>
      <w:r>
        <w:t>Permatasari</w:t>
      </w:r>
      <w:proofErr w:type="spellEnd"/>
      <w:r>
        <w:t xml:space="preserve"> et al., 2021). On the other hand, worse school environment may negatively associate with academic resilience, (</w:t>
      </w:r>
      <w:proofErr w:type="spellStart"/>
      <w:r>
        <w:t>Rachmawati</w:t>
      </w:r>
      <w:proofErr w:type="spellEnd"/>
      <w:r>
        <w:t xml:space="preserve"> et al., 2021) </w:t>
      </w:r>
    </w:p>
    <w:p w14:paraId="2E2DBADB" w14:textId="77777777" w:rsidR="002107AD" w:rsidRDefault="00771476">
      <w:pPr>
        <w:ind w:left="-5" w:right="5"/>
      </w:pPr>
      <w:r>
        <w:t>Gender, locality and socio-economic status also influence the level of academic resilience. Boys possessed more scores in academic resilience as compared to girls and student from urban locality possessed high level of academic resilience (Mallick &amp; Kaur, 2016). Furthermore, students from low socio-economic background have low level of resilience due to family pressure and lack of parental academic support (Fallon, 2010)</w:t>
      </w:r>
      <w:r>
        <w:rPr>
          <w:b/>
        </w:rPr>
        <w:t xml:space="preserve"> </w:t>
      </w:r>
    </w:p>
    <w:p w14:paraId="2B662619" w14:textId="77777777" w:rsidR="002107AD" w:rsidRDefault="00771476">
      <w:pPr>
        <w:ind w:left="-5" w:right="5"/>
      </w:pPr>
      <w:r>
        <w:t>Several factors affecting academic resilience have been proposed in the literature including, emotional intelligence, self-efficacy, social support, (Fallon, 2010) intrinsic motivation, parenting style,</w:t>
      </w:r>
      <w:r>
        <w:rPr>
          <w:b/>
        </w:rPr>
        <w:t xml:space="preserve"> </w:t>
      </w:r>
      <w:r>
        <w:t>emotional regulation, emotional maturity, self-regulated learning intervention, goal orientation (</w:t>
      </w:r>
      <w:proofErr w:type="spellStart"/>
      <w:r>
        <w:t>Sandayanti</w:t>
      </w:r>
      <w:proofErr w:type="spellEnd"/>
      <w:r>
        <w:t xml:space="preserve">, &amp; </w:t>
      </w:r>
      <w:proofErr w:type="spellStart"/>
      <w:r>
        <w:t>Harkina</w:t>
      </w:r>
      <w:proofErr w:type="spellEnd"/>
      <w:r>
        <w:t xml:space="preserve">, 2025). Research suggests that a collaborative approach involving institution authorities, parents, peer group is essential for fostering academic resilience in students. </w:t>
      </w:r>
    </w:p>
    <w:p w14:paraId="08D062F4" w14:textId="77777777" w:rsidR="002107AD" w:rsidRDefault="00771476">
      <w:pPr>
        <w:ind w:left="-5" w:right="5"/>
      </w:pPr>
      <w:r>
        <w:t>Personal and environmental protective factors such as supportive parents, friends, and participation in school activities also influence academic resilience and students having these kinds of factors have higher level of academic success than students with similar risk factors and low levels of personal and environmental resources.</w:t>
      </w:r>
      <w:r>
        <w:rPr>
          <w:b/>
        </w:rPr>
        <w:t xml:space="preserve"> </w:t>
      </w:r>
      <w:r>
        <w:t xml:space="preserve">(Espinoza et al., 2009). </w:t>
      </w:r>
    </w:p>
    <w:p w14:paraId="3D70E443" w14:textId="77777777" w:rsidR="002107AD" w:rsidRDefault="00771476">
      <w:pPr>
        <w:ind w:left="-5" w:right="5"/>
      </w:pPr>
      <w:r>
        <w:t>Studies revealed that there is a high significant relationship between resilience and academic achievement i.e., that means students with high level of resilience have tend to be achieved high academic achievement (</w:t>
      </w:r>
      <w:proofErr w:type="spellStart"/>
      <w:r>
        <w:t>Fru-Ngongban</w:t>
      </w:r>
      <w:proofErr w:type="spellEnd"/>
      <w:r>
        <w:t>, 2023).</w:t>
      </w:r>
      <w:r>
        <w:rPr>
          <w:b/>
        </w:rPr>
        <w:t xml:space="preserve"> </w:t>
      </w:r>
      <w:r>
        <w:t xml:space="preserve">Furthermore, individuals reporting high resilience showed better academic performance as compared to those perceiving themselves to be low on resilience and also Males scored higher on resilience and performed better in competitive examinations than females (Deb &amp; Arora 2012). </w:t>
      </w:r>
    </w:p>
    <w:p w14:paraId="2EF1ABF8" w14:textId="77777777" w:rsidR="002107AD" w:rsidRDefault="00771476">
      <w:pPr>
        <w:ind w:left="-5" w:right="5"/>
      </w:pPr>
      <w:r>
        <w:t xml:space="preserve">Recent studies have shown that academic resilience influences adolescents’ academic engagement and Students with academic resilience tend to express higher levels of achievement despite risks and difficulties. (Cheung et al., 2014). </w:t>
      </w:r>
    </w:p>
    <w:p w14:paraId="085F0377" w14:textId="77777777" w:rsidR="002107AD" w:rsidRDefault="00771476">
      <w:pPr>
        <w:ind w:left="-5" w:right="5"/>
      </w:pPr>
      <w:r>
        <w:lastRenderedPageBreak/>
        <w:t xml:space="preserve">Furthermore, research shows that academic resilience is believed to influence by self-efficacy. If students are self-efficient, they are tending to be more academically resilient, (Cassidy, 2016). In another word, self-efficacy is a significant predictor of academic resilience (Martin and Marsh, 2008) </w:t>
      </w:r>
    </w:p>
    <w:p w14:paraId="4014B2D0" w14:textId="77777777" w:rsidR="002107AD" w:rsidRDefault="00771476">
      <w:pPr>
        <w:spacing w:after="0" w:line="259" w:lineRule="auto"/>
        <w:ind w:left="0" w:right="0" w:firstLine="0"/>
        <w:jc w:val="left"/>
      </w:pPr>
      <w:r>
        <w:t xml:space="preserve"> </w:t>
      </w:r>
    </w:p>
    <w:p w14:paraId="751CB372" w14:textId="77777777" w:rsidR="002107AD" w:rsidRDefault="00771476">
      <w:pPr>
        <w:pStyle w:val="Heading1"/>
        <w:ind w:left="-5"/>
      </w:pPr>
      <w:r>
        <w:t xml:space="preserve">1.2 Rationale of the Study </w:t>
      </w:r>
    </w:p>
    <w:p w14:paraId="691D0D1B" w14:textId="77777777" w:rsidR="002107AD" w:rsidRDefault="00771476">
      <w:pPr>
        <w:ind w:left="-5" w:right="5"/>
      </w:pPr>
      <w:r>
        <w:t>A number of studies have been conducted on academic resilience in relations to some demographic variable.</w:t>
      </w:r>
      <w:r>
        <w:rPr>
          <w:b/>
        </w:rPr>
        <w:t xml:space="preserve"> </w:t>
      </w:r>
      <w:r>
        <w:t>Academic achievement is significantly predicted by self-esteem and academic resilience among Hospitality and Tourism Undergraduate learners,</w:t>
      </w:r>
      <w:r>
        <w:rPr>
          <w:b/>
        </w:rPr>
        <w:t xml:space="preserve"> (</w:t>
      </w:r>
      <w:proofErr w:type="spellStart"/>
      <w:r>
        <w:t>Kwek</w:t>
      </w:r>
      <w:proofErr w:type="spellEnd"/>
      <w:r>
        <w:t xml:space="preserve"> et al., 2013). Regarding gender and stream several studies were conducted. Boys are more academically resilient in comparison to girls, (Kader &amp; Abad ,2017). There are no Significant variations in academic resilience among higher secondary students when concerning gender and streams of study, (Pai and Sekhar 2023). Academic resilience was found more in female students as compared to male international students, (</w:t>
      </w:r>
      <w:proofErr w:type="spellStart"/>
      <w:r>
        <w:t>Bala</w:t>
      </w:r>
      <w:proofErr w:type="spellEnd"/>
      <w:r>
        <w:t>, 2019). Male and female UG students of Purulia district retains almost same academic resilience but there is substantial difference between rural and urban UG students (</w:t>
      </w:r>
      <w:proofErr w:type="spellStart"/>
      <w:r>
        <w:t>Gayen</w:t>
      </w:r>
      <w:proofErr w:type="spellEnd"/>
      <w:r>
        <w:t xml:space="preserve">, 2024). </w:t>
      </w:r>
      <w:r>
        <w:rPr>
          <w:b/>
        </w:rPr>
        <w:t xml:space="preserve"> </w:t>
      </w:r>
    </w:p>
    <w:p w14:paraId="1A8CA5D8" w14:textId="77777777" w:rsidR="002107AD" w:rsidRDefault="00771476">
      <w:pPr>
        <w:ind w:left="-5" w:right="5"/>
      </w:pPr>
      <w:r>
        <w:t xml:space="preserve">Several studies have explored academic resilience globally; there is a limited body of </w:t>
      </w:r>
      <w:proofErr w:type="spellStart"/>
      <w:r>
        <w:t>contextspecific</w:t>
      </w:r>
      <w:proofErr w:type="spellEnd"/>
      <w:r>
        <w:t xml:space="preserve"> research focusing on the lived experiences of Indian undergraduate student. The role of Parental involvement, peer-group encouragement, school environment in fostering academic resilience needs further in-depth investigation (</w:t>
      </w:r>
      <w:proofErr w:type="spellStart"/>
      <w:r>
        <w:t>Shengyao</w:t>
      </w:r>
      <w:proofErr w:type="spellEnd"/>
      <w:r>
        <w:t xml:space="preserve"> et al., 2024).  </w:t>
      </w:r>
    </w:p>
    <w:p w14:paraId="20C30B90" w14:textId="77777777" w:rsidR="002107AD" w:rsidRDefault="00771476">
      <w:pPr>
        <w:spacing w:after="200"/>
        <w:ind w:left="-5" w:right="5"/>
      </w:pPr>
      <w:r>
        <w:t>After reviewing several articles, researcher found that there is an inconsistency in findings on academic resilience in terms of gender and stream which requires an in-depth understanding. Furthermore, research suggests that there is highly significant correlation between academic resilience and academic achievement. Therefore, the researcher decides to conduct research on academic resilience in terms of their demographic variable like gender, and stream in Baleshwar district. The findings can contribute to the development of learner-</w:t>
      </w:r>
      <w:proofErr w:type="spellStart"/>
      <w:r>
        <w:t>centered</w:t>
      </w:r>
      <w:proofErr w:type="spellEnd"/>
      <w:r>
        <w:t xml:space="preserve"> policies, psychological intervention, aimed at promoting mental wellbeing, and resilience skill. </w:t>
      </w:r>
    </w:p>
    <w:p w14:paraId="759F60B6" w14:textId="77777777" w:rsidR="002107AD" w:rsidRDefault="00771476">
      <w:pPr>
        <w:pStyle w:val="Heading1"/>
        <w:ind w:left="-5"/>
      </w:pPr>
      <w:r>
        <w:t xml:space="preserve">1.3 Statement of the Problem </w:t>
      </w:r>
    </w:p>
    <w:p w14:paraId="7E4E184E" w14:textId="77777777" w:rsidR="002107AD" w:rsidRDefault="00771476">
      <w:pPr>
        <w:ind w:left="-5" w:right="5"/>
      </w:pPr>
      <w:r>
        <w:t xml:space="preserve">The present study was undertaken to examine the academic resilience of undergraduate students, which can help students, teachers, parents, administrators, and policy makers to foster resilience, draw valid conclusions regarding students’ futures, and take initiatives to develop </w:t>
      </w:r>
      <w:r>
        <w:lastRenderedPageBreak/>
        <w:t xml:space="preserve">this quality, as academic resilience is directly associated with academic success. The present problem is answered in this study entitled as </w:t>
      </w:r>
      <w:r>
        <w:rPr>
          <w:b/>
        </w:rPr>
        <w:t xml:space="preserve">“A Study of Academic Resilience among undergraduate student.” </w:t>
      </w:r>
    </w:p>
    <w:p w14:paraId="150761A6" w14:textId="77777777" w:rsidR="002107AD" w:rsidRDefault="00771476">
      <w:pPr>
        <w:pStyle w:val="Heading1"/>
        <w:ind w:left="-5"/>
      </w:pPr>
      <w:r>
        <w:t>1.4 Research Questions</w:t>
      </w:r>
      <w:r>
        <w:rPr>
          <w:b w:val="0"/>
          <w:sz w:val="24"/>
        </w:rPr>
        <w:t xml:space="preserve"> </w:t>
      </w:r>
    </w:p>
    <w:p w14:paraId="5739D3C7" w14:textId="77777777" w:rsidR="002107AD" w:rsidRDefault="00771476">
      <w:pPr>
        <w:numPr>
          <w:ilvl w:val="0"/>
          <w:numId w:val="1"/>
        </w:numPr>
        <w:spacing w:after="12"/>
        <w:ind w:right="5" w:hanging="360"/>
      </w:pPr>
      <w:r>
        <w:t xml:space="preserve">Is there a significant difference in the academic resilience level of undergraduate students based on their gender? </w:t>
      </w:r>
    </w:p>
    <w:p w14:paraId="607E5527" w14:textId="77777777" w:rsidR="002107AD" w:rsidRDefault="00771476">
      <w:pPr>
        <w:numPr>
          <w:ilvl w:val="0"/>
          <w:numId w:val="1"/>
        </w:numPr>
        <w:spacing w:after="12"/>
        <w:ind w:right="5" w:hanging="360"/>
      </w:pPr>
      <w:r>
        <w:t xml:space="preserve">Does the academic stream (i.e., Arts, Science, Commerce) influence the level of academic resilience among undergraduate students? </w:t>
      </w:r>
    </w:p>
    <w:p w14:paraId="6995AD88" w14:textId="0B29FC7C" w:rsidR="002107AD" w:rsidRDefault="00771476">
      <w:pPr>
        <w:numPr>
          <w:ilvl w:val="0"/>
          <w:numId w:val="1"/>
        </w:numPr>
        <w:spacing w:after="201"/>
        <w:ind w:right="5" w:hanging="360"/>
      </w:pPr>
      <w:r>
        <w:t xml:space="preserve">Is there a significant relationship </w:t>
      </w:r>
      <w:r w:rsidR="00E36C75">
        <w:t xml:space="preserve">exists </w:t>
      </w:r>
      <w:r>
        <w:t xml:space="preserve">between academic resilience and academic achievement among undergraduate student? </w:t>
      </w:r>
    </w:p>
    <w:p w14:paraId="2E2F179E" w14:textId="77777777" w:rsidR="002107AD" w:rsidRDefault="00771476">
      <w:pPr>
        <w:pStyle w:val="Heading1"/>
        <w:ind w:left="-5"/>
      </w:pPr>
      <w:r>
        <w:t xml:space="preserve"> 1.5 Objectives of the Study</w:t>
      </w:r>
      <w:r>
        <w:rPr>
          <w:b w:val="0"/>
          <w:sz w:val="24"/>
        </w:rPr>
        <w:t xml:space="preserve"> </w:t>
      </w:r>
    </w:p>
    <w:p w14:paraId="5FA9E0BD" w14:textId="77777777" w:rsidR="002107AD" w:rsidRDefault="00771476">
      <w:pPr>
        <w:numPr>
          <w:ilvl w:val="0"/>
          <w:numId w:val="2"/>
        </w:numPr>
        <w:spacing w:after="9"/>
        <w:ind w:right="5" w:hanging="360"/>
      </w:pPr>
      <w:r>
        <w:t xml:space="preserve">To compare the mean score of academic resilience of undergraduate students in terms of their gender. </w:t>
      </w:r>
    </w:p>
    <w:p w14:paraId="131F926C" w14:textId="77777777" w:rsidR="002107AD" w:rsidRDefault="00771476">
      <w:pPr>
        <w:numPr>
          <w:ilvl w:val="0"/>
          <w:numId w:val="2"/>
        </w:numPr>
        <w:spacing w:after="9"/>
        <w:ind w:right="5" w:hanging="360"/>
      </w:pPr>
      <w:r>
        <w:t xml:space="preserve">To compare the mean score of academic resilience of undergraduate students in terms of their streams. </w:t>
      </w:r>
    </w:p>
    <w:p w14:paraId="3D40F1F5" w14:textId="77777777" w:rsidR="002107AD" w:rsidRDefault="00771476">
      <w:pPr>
        <w:numPr>
          <w:ilvl w:val="0"/>
          <w:numId w:val="2"/>
        </w:numPr>
        <w:spacing w:after="201"/>
        <w:ind w:right="5" w:hanging="360"/>
      </w:pPr>
      <w:r>
        <w:t xml:space="preserve">To study the correlations between academic resilience and academic achievement of undergraduate students. </w:t>
      </w:r>
    </w:p>
    <w:p w14:paraId="7F8F0ABC" w14:textId="77777777" w:rsidR="002107AD" w:rsidRDefault="00771476">
      <w:pPr>
        <w:pStyle w:val="Heading1"/>
        <w:ind w:left="-5"/>
      </w:pPr>
      <w:r>
        <w:t>1.6 Hypothesis</w:t>
      </w:r>
      <w:r>
        <w:rPr>
          <w:b w:val="0"/>
          <w:sz w:val="24"/>
        </w:rPr>
        <w:t xml:space="preserve"> </w:t>
      </w:r>
    </w:p>
    <w:p w14:paraId="2D9BBA1F" w14:textId="77777777" w:rsidR="002107AD" w:rsidRDefault="00771476">
      <w:pPr>
        <w:numPr>
          <w:ilvl w:val="0"/>
          <w:numId w:val="3"/>
        </w:numPr>
        <w:spacing w:after="12"/>
        <w:ind w:right="5" w:hanging="360"/>
      </w:pPr>
      <w:r>
        <w:t xml:space="preserve">There exist no significant differences between the mean score of academic resilience of boys and girls of undergraduate students. </w:t>
      </w:r>
    </w:p>
    <w:p w14:paraId="4A3FF96C" w14:textId="77777777" w:rsidR="002107AD" w:rsidRDefault="00771476">
      <w:pPr>
        <w:numPr>
          <w:ilvl w:val="0"/>
          <w:numId w:val="3"/>
        </w:numPr>
        <w:spacing w:after="12"/>
        <w:ind w:right="5" w:hanging="360"/>
      </w:pPr>
      <w:r>
        <w:t xml:space="preserve">There exist no significant differences between the mean score of academic resilience of arts, Science and Commerce students of undergraduate students. </w:t>
      </w:r>
    </w:p>
    <w:p w14:paraId="13508CFD" w14:textId="77777777" w:rsidR="002107AD" w:rsidRDefault="00771476">
      <w:pPr>
        <w:numPr>
          <w:ilvl w:val="0"/>
          <w:numId w:val="3"/>
        </w:numPr>
        <w:spacing w:after="205"/>
        <w:ind w:right="5" w:hanging="360"/>
      </w:pPr>
      <w:r>
        <w:t xml:space="preserve">There exist no significant correlations between the academic resilience and academic achievement of undergraduate students. </w:t>
      </w:r>
    </w:p>
    <w:p w14:paraId="143D76D7" w14:textId="77777777" w:rsidR="002107AD" w:rsidRDefault="00771476">
      <w:pPr>
        <w:pStyle w:val="Heading1"/>
        <w:ind w:left="-5"/>
      </w:pPr>
      <w:r>
        <w:t xml:space="preserve"> 1.7 Methodology</w:t>
      </w:r>
      <w:r>
        <w:rPr>
          <w:b w:val="0"/>
        </w:rPr>
        <w:t xml:space="preserve"> </w:t>
      </w:r>
    </w:p>
    <w:p w14:paraId="1504E109" w14:textId="77777777" w:rsidR="002107AD" w:rsidRDefault="00771476">
      <w:pPr>
        <w:spacing w:after="204"/>
        <w:ind w:left="-5" w:right="5"/>
      </w:pPr>
      <w:r>
        <w:t xml:space="preserve">Taking the nature of this study in to consideration a descriptive survey method was employed to collect quantitative data from a representative sample of undergraduate students. </w:t>
      </w:r>
    </w:p>
    <w:p w14:paraId="7739E252" w14:textId="77777777" w:rsidR="002107AD" w:rsidRDefault="00771476">
      <w:pPr>
        <w:pStyle w:val="Heading1"/>
        <w:ind w:left="-5"/>
      </w:pPr>
      <w:r>
        <w:lastRenderedPageBreak/>
        <w:t>1.8 Population</w:t>
      </w:r>
      <w:r>
        <w:rPr>
          <w:b w:val="0"/>
        </w:rPr>
        <w:t xml:space="preserve">  </w:t>
      </w:r>
    </w:p>
    <w:p w14:paraId="02AC4BA5" w14:textId="77777777" w:rsidR="002107AD" w:rsidRDefault="00771476">
      <w:pPr>
        <w:ind w:left="-5" w:right="5"/>
      </w:pPr>
      <w:r>
        <w:t xml:space="preserve">The target population for the study consisted of all undergraduate student studying in </w:t>
      </w:r>
      <w:proofErr w:type="spellStart"/>
      <w:r>
        <w:t>Balasore</w:t>
      </w:r>
      <w:proofErr w:type="spellEnd"/>
      <w:r>
        <w:t xml:space="preserve"> district </w:t>
      </w:r>
    </w:p>
    <w:p w14:paraId="26DEA321" w14:textId="77777777" w:rsidR="002107AD" w:rsidRDefault="00771476">
      <w:pPr>
        <w:pStyle w:val="Heading1"/>
        <w:ind w:left="-5"/>
      </w:pPr>
      <w:r>
        <w:t xml:space="preserve">1.9 Sample </w:t>
      </w:r>
    </w:p>
    <w:p w14:paraId="4624E695" w14:textId="77777777" w:rsidR="002107AD" w:rsidRDefault="00771476">
      <w:pPr>
        <w:spacing w:after="141"/>
        <w:ind w:left="-5" w:right="5"/>
      </w:pPr>
      <w:r>
        <w:t xml:space="preserve">Simple random sampling was used to ensure representation from various college of </w:t>
      </w:r>
      <w:proofErr w:type="spellStart"/>
      <w:r>
        <w:t>Balasore</w:t>
      </w:r>
      <w:proofErr w:type="spellEnd"/>
      <w:r>
        <w:t xml:space="preserve"> district. The present study was carried out on a representative sample of 150 students ensuring a mix of gender and stream. By employing a random sampling technique four colleges were included in this study after that students were selected on the basis of their gender and stream as per requirement.</w:t>
      </w:r>
      <w:r>
        <w:rPr>
          <w:b/>
          <w:sz w:val="28"/>
        </w:rPr>
        <w:t xml:space="preserve"> </w:t>
      </w:r>
    </w:p>
    <w:p w14:paraId="10AEB873" w14:textId="77777777" w:rsidR="002107AD" w:rsidRDefault="00771476">
      <w:pPr>
        <w:pStyle w:val="Heading1"/>
        <w:ind w:left="-5"/>
      </w:pPr>
      <w:r>
        <w:t xml:space="preserve">1.10 Measures </w:t>
      </w:r>
    </w:p>
    <w:p w14:paraId="19E6D0D9" w14:textId="77777777" w:rsidR="002107AD" w:rsidRDefault="00771476">
      <w:pPr>
        <w:spacing w:after="145"/>
        <w:ind w:left="-5" w:right="5"/>
      </w:pPr>
      <w:r>
        <w:t xml:space="preserve"> The tools used to collect data is ARS 30 which is a context-specific construct measure of academic resilience based on student responses to academic adversity developed by Cassidy (2016). With each scale item weighted equally, the global ARS-30 score, achieved by summing responses to the 30 individual items, has a theoretical range of 30–150. Cronbach's α of 0.90 indicated high internal consistency reliability for the global scale (i.e., summation of the 30 items).</w:t>
      </w:r>
      <w:r>
        <w:rPr>
          <w:b/>
        </w:rPr>
        <w:t xml:space="preserve"> </w:t>
      </w:r>
      <w:r>
        <w:t xml:space="preserve"> Academic achievement is measured by the record of student’s recent semester scores.</w:t>
      </w:r>
      <w:r>
        <w:rPr>
          <w:b/>
          <w:sz w:val="28"/>
        </w:rPr>
        <w:t xml:space="preserve"> </w:t>
      </w:r>
    </w:p>
    <w:p w14:paraId="46E6C9BB" w14:textId="77777777" w:rsidR="002107AD" w:rsidRDefault="00771476">
      <w:pPr>
        <w:pStyle w:val="Heading1"/>
        <w:ind w:left="-5"/>
      </w:pPr>
      <w:r>
        <w:t>1.11</w:t>
      </w:r>
      <w:r>
        <w:rPr>
          <w:b w:val="0"/>
        </w:rPr>
        <w:t xml:space="preserve"> </w:t>
      </w:r>
      <w:r>
        <w:t>Statistical Techniques</w:t>
      </w:r>
      <w:r>
        <w:rPr>
          <w:b w:val="0"/>
        </w:rPr>
        <w:t xml:space="preserve"> </w:t>
      </w:r>
    </w:p>
    <w:p w14:paraId="1ED5EDEB" w14:textId="77777777" w:rsidR="002107AD" w:rsidRDefault="00771476">
      <w:pPr>
        <w:ind w:left="-5" w:right="5"/>
      </w:pPr>
      <w:r>
        <w:t xml:space="preserve">The following statistical techniques have been used in the present research for the purpose of analysis of data. Descriptive and inferential statistics are used to understand the nature of the data and to calculate central tendencies, a test of equal variances and a test of normality to ensure which tests are appropriate for the present work. </w:t>
      </w:r>
    </w:p>
    <w:p w14:paraId="101501D4" w14:textId="77777777" w:rsidR="002107AD" w:rsidRDefault="00771476">
      <w:pPr>
        <w:numPr>
          <w:ilvl w:val="0"/>
          <w:numId w:val="4"/>
        </w:numPr>
        <w:spacing w:after="12"/>
        <w:ind w:right="5" w:hanging="360"/>
      </w:pPr>
      <w:r>
        <w:t xml:space="preserve">'t' test for independent and large sample was used to find out the significance of differences between two means.  </w:t>
      </w:r>
    </w:p>
    <w:p w14:paraId="10F3D100" w14:textId="77777777" w:rsidR="002107AD" w:rsidRDefault="00771476">
      <w:pPr>
        <w:numPr>
          <w:ilvl w:val="0"/>
          <w:numId w:val="4"/>
        </w:numPr>
        <w:spacing w:after="12"/>
        <w:ind w:right="5" w:hanging="360"/>
      </w:pPr>
      <w:r>
        <w:t xml:space="preserve">ANOVA was used to find out the significance of difference among more than two means. </w:t>
      </w:r>
    </w:p>
    <w:p w14:paraId="74A59C34" w14:textId="77777777" w:rsidR="002107AD" w:rsidRDefault="00771476">
      <w:pPr>
        <w:numPr>
          <w:ilvl w:val="0"/>
          <w:numId w:val="4"/>
        </w:numPr>
        <w:spacing w:after="203"/>
        <w:ind w:right="5" w:hanging="360"/>
      </w:pPr>
      <w:r>
        <w:t xml:space="preserve">Carl person's product moment correlation was to find out the relationship between two variables. </w:t>
      </w:r>
    </w:p>
    <w:p w14:paraId="5BA5E644" w14:textId="77777777" w:rsidR="00D03087" w:rsidRDefault="00D03087" w:rsidP="00D03087">
      <w:pPr>
        <w:spacing w:after="203"/>
        <w:ind w:right="5"/>
      </w:pPr>
    </w:p>
    <w:p w14:paraId="6BA3B4C8" w14:textId="4461D3ED" w:rsidR="00D03087" w:rsidRPr="00D03087" w:rsidRDefault="00D03087" w:rsidP="00D03087">
      <w:pPr>
        <w:spacing w:after="203"/>
        <w:ind w:right="5"/>
        <w:rPr>
          <w:b/>
          <w:bCs/>
        </w:rPr>
      </w:pPr>
      <w:r w:rsidRPr="00D03087">
        <w:rPr>
          <w:b/>
          <w:bCs/>
        </w:rPr>
        <w:t>Findings &amp; Discussion</w:t>
      </w:r>
    </w:p>
    <w:p w14:paraId="1066615E" w14:textId="5F1F7BE2" w:rsidR="002107AD" w:rsidRDefault="00771476">
      <w:pPr>
        <w:pStyle w:val="Heading1"/>
        <w:ind w:left="-5"/>
      </w:pPr>
      <w:r>
        <w:lastRenderedPageBreak/>
        <w:t xml:space="preserve">Analysis and Interpretation of Data </w:t>
      </w:r>
    </w:p>
    <w:p w14:paraId="42B20AF8" w14:textId="77777777" w:rsidR="002107AD" w:rsidRDefault="00771476">
      <w:pPr>
        <w:ind w:left="-5" w:right="5"/>
      </w:pPr>
      <w:r>
        <w:rPr>
          <w:b/>
        </w:rPr>
        <w:t>Objective 1:</w:t>
      </w:r>
      <w:r>
        <w:t xml:space="preserve"> To find out the significant differences of academic resilience of undergraduate students in terms of their gender </w:t>
      </w:r>
    </w:p>
    <w:p w14:paraId="435BB24C" w14:textId="77777777" w:rsidR="002107AD" w:rsidRDefault="00771476">
      <w:pPr>
        <w:ind w:left="-5" w:right="5"/>
      </w:pPr>
      <w:r>
        <w:t xml:space="preserve">Table:1 Means, standard deviations, standard error of mean and t-value showing differences in scores between boys and girls on academic resilience </w:t>
      </w:r>
    </w:p>
    <w:tbl>
      <w:tblPr>
        <w:tblStyle w:val="TableGrid"/>
        <w:tblW w:w="9352" w:type="dxa"/>
        <w:tblInd w:w="5" w:type="dxa"/>
        <w:tblCellMar>
          <w:top w:w="62" w:type="dxa"/>
          <w:left w:w="108" w:type="dxa"/>
          <w:right w:w="50" w:type="dxa"/>
        </w:tblCellMar>
        <w:tblLook w:val="04A0" w:firstRow="1" w:lastRow="0" w:firstColumn="1" w:lastColumn="0" w:noHBand="0" w:noVBand="1"/>
      </w:tblPr>
      <w:tblGrid>
        <w:gridCol w:w="1328"/>
        <w:gridCol w:w="794"/>
        <w:gridCol w:w="994"/>
        <w:gridCol w:w="1133"/>
        <w:gridCol w:w="992"/>
        <w:gridCol w:w="938"/>
        <w:gridCol w:w="1188"/>
        <w:gridCol w:w="1985"/>
      </w:tblGrid>
      <w:tr w:rsidR="002107AD" w14:paraId="2CFA4FBA" w14:textId="77777777">
        <w:trPr>
          <w:trHeight w:val="425"/>
        </w:trPr>
        <w:tc>
          <w:tcPr>
            <w:tcW w:w="1327" w:type="dxa"/>
            <w:tcBorders>
              <w:top w:val="single" w:sz="4" w:space="0" w:color="000000"/>
              <w:left w:val="single" w:sz="4" w:space="0" w:color="000000"/>
              <w:bottom w:val="single" w:sz="4" w:space="0" w:color="000000"/>
              <w:right w:val="single" w:sz="4" w:space="0" w:color="000000"/>
            </w:tcBorders>
          </w:tcPr>
          <w:p w14:paraId="2FD3DE29" w14:textId="77777777" w:rsidR="002107AD" w:rsidRDefault="00771476">
            <w:pPr>
              <w:spacing w:after="0" w:line="259" w:lineRule="auto"/>
              <w:ind w:left="0" w:right="0" w:firstLine="0"/>
              <w:jc w:val="left"/>
            </w:pPr>
            <w:r>
              <w:t xml:space="preserve">Gender </w:t>
            </w:r>
          </w:p>
        </w:tc>
        <w:tc>
          <w:tcPr>
            <w:tcW w:w="794" w:type="dxa"/>
            <w:tcBorders>
              <w:top w:val="single" w:sz="4" w:space="0" w:color="000000"/>
              <w:left w:val="single" w:sz="4" w:space="0" w:color="000000"/>
              <w:bottom w:val="single" w:sz="4" w:space="0" w:color="000000"/>
              <w:right w:val="single" w:sz="4" w:space="0" w:color="000000"/>
            </w:tcBorders>
          </w:tcPr>
          <w:p w14:paraId="6DFE887C" w14:textId="77777777" w:rsidR="002107AD" w:rsidRDefault="00771476">
            <w:pPr>
              <w:spacing w:after="0" w:line="259" w:lineRule="auto"/>
              <w:ind w:left="0" w:right="0" w:firstLine="0"/>
              <w:jc w:val="left"/>
            </w:pPr>
            <w:r>
              <w:t xml:space="preserve">N </w:t>
            </w:r>
          </w:p>
        </w:tc>
        <w:tc>
          <w:tcPr>
            <w:tcW w:w="994" w:type="dxa"/>
            <w:tcBorders>
              <w:top w:val="single" w:sz="4" w:space="0" w:color="000000"/>
              <w:left w:val="single" w:sz="4" w:space="0" w:color="000000"/>
              <w:bottom w:val="single" w:sz="4" w:space="0" w:color="000000"/>
              <w:right w:val="single" w:sz="4" w:space="0" w:color="000000"/>
            </w:tcBorders>
          </w:tcPr>
          <w:p w14:paraId="58C6E2B9" w14:textId="77777777" w:rsidR="002107AD" w:rsidRDefault="00771476">
            <w:pPr>
              <w:spacing w:after="0" w:line="259" w:lineRule="auto"/>
              <w:ind w:left="0" w:right="0" w:firstLine="0"/>
              <w:jc w:val="left"/>
            </w:pPr>
            <w:r>
              <w:t xml:space="preserve">Mean </w:t>
            </w:r>
          </w:p>
        </w:tc>
        <w:tc>
          <w:tcPr>
            <w:tcW w:w="1133" w:type="dxa"/>
            <w:tcBorders>
              <w:top w:val="single" w:sz="4" w:space="0" w:color="000000"/>
              <w:left w:val="single" w:sz="4" w:space="0" w:color="000000"/>
              <w:bottom w:val="single" w:sz="4" w:space="0" w:color="000000"/>
              <w:right w:val="single" w:sz="4" w:space="0" w:color="000000"/>
            </w:tcBorders>
          </w:tcPr>
          <w:p w14:paraId="60F4BFC7" w14:textId="77777777" w:rsidR="002107AD" w:rsidRDefault="00771476">
            <w:pPr>
              <w:spacing w:after="0" w:line="259" w:lineRule="auto"/>
              <w:ind w:left="0" w:right="0" w:firstLine="0"/>
              <w:jc w:val="left"/>
            </w:pPr>
            <w:r>
              <w:t xml:space="preserve">SD </w:t>
            </w:r>
          </w:p>
        </w:tc>
        <w:tc>
          <w:tcPr>
            <w:tcW w:w="992" w:type="dxa"/>
            <w:tcBorders>
              <w:top w:val="single" w:sz="4" w:space="0" w:color="000000"/>
              <w:left w:val="single" w:sz="4" w:space="0" w:color="000000"/>
              <w:bottom w:val="single" w:sz="4" w:space="0" w:color="000000"/>
              <w:right w:val="single" w:sz="4" w:space="0" w:color="000000"/>
            </w:tcBorders>
          </w:tcPr>
          <w:p w14:paraId="286E16B4" w14:textId="77777777" w:rsidR="002107AD" w:rsidRDefault="00771476">
            <w:pPr>
              <w:spacing w:after="0" w:line="259" w:lineRule="auto"/>
              <w:ind w:left="0" w:right="0" w:firstLine="0"/>
              <w:jc w:val="left"/>
            </w:pPr>
            <w:r>
              <w:t xml:space="preserve">SEM </w:t>
            </w:r>
          </w:p>
        </w:tc>
        <w:tc>
          <w:tcPr>
            <w:tcW w:w="938" w:type="dxa"/>
            <w:tcBorders>
              <w:top w:val="single" w:sz="4" w:space="0" w:color="000000"/>
              <w:left w:val="single" w:sz="4" w:space="0" w:color="000000"/>
              <w:bottom w:val="single" w:sz="4" w:space="0" w:color="000000"/>
              <w:right w:val="single" w:sz="4" w:space="0" w:color="000000"/>
            </w:tcBorders>
          </w:tcPr>
          <w:p w14:paraId="2269AFF7" w14:textId="77777777" w:rsidR="002107AD" w:rsidRDefault="00771476">
            <w:pPr>
              <w:spacing w:after="0" w:line="259" w:lineRule="auto"/>
              <w:ind w:left="0" w:right="0" w:firstLine="0"/>
              <w:jc w:val="left"/>
            </w:pPr>
            <w:r>
              <w:t xml:space="preserve">  df </w:t>
            </w:r>
          </w:p>
        </w:tc>
        <w:tc>
          <w:tcPr>
            <w:tcW w:w="1188" w:type="dxa"/>
            <w:tcBorders>
              <w:top w:val="single" w:sz="4" w:space="0" w:color="000000"/>
              <w:left w:val="single" w:sz="4" w:space="0" w:color="000000"/>
              <w:bottom w:val="single" w:sz="4" w:space="0" w:color="000000"/>
              <w:right w:val="single" w:sz="4" w:space="0" w:color="000000"/>
            </w:tcBorders>
          </w:tcPr>
          <w:p w14:paraId="4B904F87" w14:textId="77777777" w:rsidR="002107AD" w:rsidRDefault="00771476">
            <w:pPr>
              <w:spacing w:after="0" w:line="259" w:lineRule="auto"/>
              <w:ind w:left="1" w:right="0" w:firstLine="0"/>
              <w:jc w:val="center"/>
            </w:pPr>
            <w:r>
              <w:t xml:space="preserve">t value </w:t>
            </w:r>
          </w:p>
        </w:tc>
        <w:tc>
          <w:tcPr>
            <w:tcW w:w="1985" w:type="dxa"/>
            <w:tcBorders>
              <w:top w:val="single" w:sz="4" w:space="0" w:color="000000"/>
              <w:left w:val="single" w:sz="4" w:space="0" w:color="000000"/>
              <w:bottom w:val="single" w:sz="4" w:space="0" w:color="000000"/>
              <w:right w:val="single" w:sz="4" w:space="0" w:color="000000"/>
            </w:tcBorders>
          </w:tcPr>
          <w:p w14:paraId="7A47BBBE" w14:textId="77777777" w:rsidR="002107AD" w:rsidRDefault="00771476">
            <w:pPr>
              <w:spacing w:after="0" w:line="259" w:lineRule="auto"/>
              <w:ind w:left="0" w:right="0" w:firstLine="0"/>
              <w:jc w:val="left"/>
            </w:pPr>
            <w:r>
              <w:t xml:space="preserve">Sig.(2-tailed) </w:t>
            </w:r>
          </w:p>
        </w:tc>
      </w:tr>
      <w:tr w:rsidR="002107AD" w14:paraId="710E4D51" w14:textId="77777777">
        <w:trPr>
          <w:trHeight w:val="422"/>
        </w:trPr>
        <w:tc>
          <w:tcPr>
            <w:tcW w:w="1327" w:type="dxa"/>
            <w:tcBorders>
              <w:top w:val="single" w:sz="4" w:space="0" w:color="000000"/>
              <w:left w:val="single" w:sz="4" w:space="0" w:color="000000"/>
              <w:bottom w:val="single" w:sz="4" w:space="0" w:color="000000"/>
              <w:right w:val="single" w:sz="4" w:space="0" w:color="000000"/>
            </w:tcBorders>
          </w:tcPr>
          <w:p w14:paraId="19D15509" w14:textId="77777777" w:rsidR="002107AD" w:rsidRDefault="00771476">
            <w:pPr>
              <w:spacing w:after="0" w:line="259" w:lineRule="auto"/>
              <w:ind w:left="0" w:right="0" w:firstLine="0"/>
              <w:jc w:val="left"/>
            </w:pPr>
            <w:r>
              <w:t xml:space="preserve">Boys </w:t>
            </w:r>
          </w:p>
        </w:tc>
        <w:tc>
          <w:tcPr>
            <w:tcW w:w="794" w:type="dxa"/>
            <w:tcBorders>
              <w:top w:val="single" w:sz="4" w:space="0" w:color="000000"/>
              <w:left w:val="single" w:sz="4" w:space="0" w:color="000000"/>
              <w:bottom w:val="single" w:sz="4" w:space="0" w:color="000000"/>
              <w:right w:val="single" w:sz="4" w:space="0" w:color="000000"/>
            </w:tcBorders>
          </w:tcPr>
          <w:p w14:paraId="0EB7F22B" w14:textId="77777777" w:rsidR="002107AD" w:rsidRDefault="00771476">
            <w:pPr>
              <w:spacing w:after="0" w:line="259" w:lineRule="auto"/>
              <w:ind w:left="0" w:right="0" w:firstLine="0"/>
              <w:jc w:val="left"/>
            </w:pPr>
            <w:r>
              <w:t xml:space="preserve">75 </w:t>
            </w:r>
          </w:p>
        </w:tc>
        <w:tc>
          <w:tcPr>
            <w:tcW w:w="994" w:type="dxa"/>
            <w:tcBorders>
              <w:top w:val="single" w:sz="4" w:space="0" w:color="000000"/>
              <w:left w:val="single" w:sz="4" w:space="0" w:color="000000"/>
              <w:bottom w:val="single" w:sz="4" w:space="0" w:color="000000"/>
              <w:right w:val="single" w:sz="4" w:space="0" w:color="000000"/>
            </w:tcBorders>
          </w:tcPr>
          <w:p w14:paraId="41D2226E" w14:textId="77777777" w:rsidR="002107AD" w:rsidRDefault="00771476">
            <w:pPr>
              <w:spacing w:after="0" w:line="259" w:lineRule="auto"/>
              <w:ind w:left="0" w:right="0" w:firstLine="0"/>
              <w:jc w:val="left"/>
            </w:pPr>
            <w:r>
              <w:t xml:space="preserve">94.56 </w:t>
            </w:r>
          </w:p>
        </w:tc>
        <w:tc>
          <w:tcPr>
            <w:tcW w:w="1133" w:type="dxa"/>
            <w:tcBorders>
              <w:top w:val="single" w:sz="4" w:space="0" w:color="000000"/>
              <w:left w:val="single" w:sz="4" w:space="0" w:color="000000"/>
              <w:bottom w:val="single" w:sz="4" w:space="0" w:color="000000"/>
              <w:right w:val="single" w:sz="4" w:space="0" w:color="000000"/>
            </w:tcBorders>
          </w:tcPr>
          <w:p w14:paraId="357FA264" w14:textId="77777777" w:rsidR="002107AD" w:rsidRDefault="00771476">
            <w:pPr>
              <w:spacing w:after="0" w:line="259" w:lineRule="auto"/>
              <w:ind w:left="0" w:right="0" w:firstLine="0"/>
              <w:jc w:val="left"/>
            </w:pPr>
            <w:r>
              <w:t xml:space="preserve">9.338 </w:t>
            </w:r>
          </w:p>
        </w:tc>
        <w:tc>
          <w:tcPr>
            <w:tcW w:w="992" w:type="dxa"/>
            <w:tcBorders>
              <w:top w:val="single" w:sz="4" w:space="0" w:color="000000"/>
              <w:left w:val="single" w:sz="4" w:space="0" w:color="000000"/>
              <w:bottom w:val="single" w:sz="4" w:space="0" w:color="000000"/>
              <w:right w:val="single" w:sz="4" w:space="0" w:color="000000"/>
            </w:tcBorders>
          </w:tcPr>
          <w:p w14:paraId="7C85944A" w14:textId="77777777" w:rsidR="002107AD" w:rsidRDefault="00771476">
            <w:pPr>
              <w:spacing w:after="0" w:line="259" w:lineRule="auto"/>
              <w:ind w:left="0" w:right="0" w:firstLine="0"/>
              <w:jc w:val="left"/>
            </w:pPr>
            <w:r>
              <w:t xml:space="preserve">1.078 </w:t>
            </w:r>
          </w:p>
        </w:tc>
        <w:tc>
          <w:tcPr>
            <w:tcW w:w="938" w:type="dxa"/>
            <w:vMerge w:val="restart"/>
            <w:tcBorders>
              <w:top w:val="single" w:sz="4" w:space="0" w:color="000000"/>
              <w:left w:val="single" w:sz="4" w:space="0" w:color="000000"/>
              <w:bottom w:val="single" w:sz="4" w:space="0" w:color="000000"/>
              <w:right w:val="single" w:sz="4" w:space="0" w:color="000000"/>
            </w:tcBorders>
          </w:tcPr>
          <w:p w14:paraId="2B96E367" w14:textId="77777777" w:rsidR="002107AD" w:rsidRDefault="00771476">
            <w:pPr>
              <w:spacing w:after="0" w:line="259" w:lineRule="auto"/>
              <w:ind w:left="0" w:right="0" w:firstLine="0"/>
              <w:jc w:val="left"/>
            </w:pPr>
            <w:r>
              <w:t xml:space="preserve">  148 </w:t>
            </w:r>
          </w:p>
        </w:tc>
        <w:tc>
          <w:tcPr>
            <w:tcW w:w="1188" w:type="dxa"/>
            <w:vMerge w:val="restart"/>
            <w:tcBorders>
              <w:top w:val="single" w:sz="4" w:space="0" w:color="000000"/>
              <w:left w:val="single" w:sz="4" w:space="0" w:color="000000"/>
              <w:bottom w:val="single" w:sz="4" w:space="0" w:color="000000"/>
              <w:right w:val="single" w:sz="4" w:space="0" w:color="000000"/>
            </w:tcBorders>
          </w:tcPr>
          <w:p w14:paraId="569EBE75" w14:textId="77777777" w:rsidR="002107AD" w:rsidRDefault="00771476">
            <w:pPr>
              <w:spacing w:after="0" w:line="259" w:lineRule="auto"/>
              <w:ind w:left="0" w:right="84" w:firstLine="0"/>
              <w:jc w:val="center"/>
            </w:pPr>
            <w:r>
              <w:t xml:space="preserve">-9.242 </w:t>
            </w:r>
          </w:p>
        </w:tc>
        <w:tc>
          <w:tcPr>
            <w:tcW w:w="1985" w:type="dxa"/>
            <w:vMerge w:val="restart"/>
            <w:tcBorders>
              <w:top w:val="single" w:sz="4" w:space="0" w:color="000000"/>
              <w:left w:val="single" w:sz="4" w:space="0" w:color="000000"/>
              <w:bottom w:val="single" w:sz="4" w:space="0" w:color="000000"/>
              <w:right w:val="single" w:sz="4" w:space="0" w:color="000000"/>
            </w:tcBorders>
          </w:tcPr>
          <w:p w14:paraId="22FD78C1" w14:textId="77777777" w:rsidR="002107AD" w:rsidRDefault="00771476">
            <w:pPr>
              <w:spacing w:after="0" w:line="259" w:lineRule="auto"/>
              <w:ind w:left="0" w:right="0" w:firstLine="0"/>
              <w:jc w:val="left"/>
            </w:pPr>
            <w:r>
              <w:t xml:space="preserve">Significant at 0.01 </w:t>
            </w:r>
          </w:p>
        </w:tc>
      </w:tr>
      <w:tr w:rsidR="002107AD" w14:paraId="36984917" w14:textId="77777777">
        <w:trPr>
          <w:trHeight w:val="425"/>
        </w:trPr>
        <w:tc>
          <w:tcPr>
            <w:tcW w:w="1327" w:type="dxa"/>
            <w:tcBorders>
              <w:top w:val="single" w:sz="4" w:space="0" w:color="000000"/>
              <w:left w:val="single" w:sz="4" w:space="0" w:color="000000"/>
              <w:bottom w:val="single" w:sz="4" w:space="0" w:color="000000"/>
              <w:right w:val="single" w:sz="4" w:space="0" w:color="000000"/>
            </w:tcBorders>
          </w:tcPr>
          <w:p w14:paraId="4CB90806" w14:textId="77777777" w:rsidR="002107AD" w:rsidRDefault="00771476">
            <w:pPr>
              <w:spacing w:after="0" w:line="259" w:lineRule="auto"/>
              <w:ind w:left="0" w:right="0" w:firstLine="0"/>
              <w:jc w:val="left"/>
            </w:pPr>
            <w:r>
              <w:t xml:space="preserve">Girls </w:t>
            </w:r>
          </w:p>
        </w:tc>
        <w:tc>
          <w:tcPr>
            <w:tcW w:w="794" w:type="dxa"/>
            <w:tcBorders>
              <w:top w:val="single" w:sz="4" w:space="0" w:color="000000"/>
              <w:left w:val="single" w:sz="4" w:space="0" w:color="000000"/>
              <w:bottom w:val="single" w:sz="4" w:space="0" w:color="000000"/>
              <w:right w:val="single" w:sz="4" w:space="0" w:color="000000"/>
            </w:tcBorders>
          </w:tcPr>
          <w:p w14:paraId="7175A1B9" w14:textId="77777777" w:rsidR="002107AD" w:rsidRDefault="00771476">
            <w:pPr>
              <w:spacing w:after="0" w:line="259" w:lineRule="auto"/>
              <w:ind w:left="0" w:right="0" w:firstLine="0"/>
              <w:jc w:val="left"/>
            </w:pPr>
            <w:r>
              <w:t xml:space="preserve">75 </w:t>
            </w:r>
          </w:p>
        </w:tc>
        <w:tc>
          <w:tcPr>
            <w:tcW w:w="994" w:type="dxa"/>
            <w:tcBorders>
              <w:top w:val="single" w:sz="4" w:space="0" w:color="000000"/>
              <w:left w:val="single" w:sz="4" w:space="0" w:color="000000"/>
              <w:bottom w:val="single" w:sz="4" w:space="0" w:color="000000"/>
              <w:right w:val="single" w:sz="4" w:space="0" w:color="000000"/>
            </w:tcBorders>
          </w:tcPr>
          <w:p w14:paraId="48CA245A" w14:textId="77777777" w:rsidR="002107AD" w:rsidRDefault="00771476">
            <w:pPr>
              <w:spacing w:after="0" w:line="259" w:lineRule="auto"/>
              <w:ind w:left="0" w:right="0" w:firstLine="0"/>
              <w:jc w:val="left"/>
            </w:pPr>
            <w:r>
              <w:t xml:space="preserve">108.85 </w:t>
            </w:r>
          </w:p>
        </w:tc>
        <w:tc>
          <w:tcPr>
            <w:tcW w:w="1133" w:type="dxa"/>
            <w:tcBorders>
              <w:top w:val="single" w:sz="4" w:space="0" w:color="000000"/>
              <w:left w:val="single" w:sz="4" w:space="0" w:color="000000"/>
              <w:bottom w:val="single" w:sz="4" w:space="0" w:color="000000"/>
              <w:right w:val="single" w:sz="4" w:space="0" w:color="000000"/>
            </w:tcBorders>
          </w:tcPr>
          <w:p w14:paraId="0DE16B23" w14:textId="77777777" w:rsidR="002107AD" w:rsidRDefault="00771476">
            <w:pPr>
              <w:spacing w:after="0" w:line="259" w:lineRule="auto"/>
              <w:ind w:left="0" w:right="0" w:firstLine="0"/>
              <w:jc w:val="left"/>
            </w:pPr>
            <w:r>
              <w:t xml:space="preserve">9.601 </w:t>
            </w:r>
          </w:p>
        </w:tc>
        <w:tc>
          <w:tcPr>
            <w:tcW w:w="992" w:type="dxa"/>
            <w:tcBorders>
              <w:top w:val="single" w:sz="4" w:space="0" w:color="000000"/>
              <w:left w:val="single" w:sz="4" w:space="0" w:color="000000"/>
              <w:bottom w:val="single" w:sz="4" w:space="0" w:color="000000"/>
              <w:right w:val="single" w:sz="4" w:space="0" w:color="000000"/>
            </w:tcBorders>
          </w:tcPr>
          <w:p w14:paraId="1BD7DA69" w14:textId="77777777" w:rsidR="002107AD" w:rsidRDefault="00771476">
            <w:pPr>
              <w:spacing w:after="0" w:line="259" w:lineRule="auto"/>
              <w:ind w:left="0" w:right="0" w:firstLine="0"/>
              <w:jc w:val="left"/>
            </w:pPr>
            <w:r>
              <w:t xml:space="preserve">1.109 </w:t>
            </w:r>
          </w:p>
        </w:tc>
        <w:tc>
          <w:tcPr>
            <w:tcW w:w="0" w:type="auto"/>
            <w:vMerge/>
            <w:tcBorders>
              <w:top w:val="nil"/>
              <w:left w:val="single" w:sz="4" w:space="0" w:color="000000"/>
              <w:bottom w:val="single" w:sz="4" w:space="0" w:color="000000"/>
              <w:right w:val="single" w:sz="4" w:space="0" w:color="000000"/>
            </w:tcBorders>
          </w:tcPr>
          <w:p w14:paraId="42E2A691"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C1CD9E7"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E0227F" w14:textId="77777777" w:rsidR="002107AD" w:rsidRDefault="002107AD">
            <w:pPr>
              <w:spacing w:after="160" w:line="259" w:lineRule="auto"/>
              <w:ind w:left="0" w:right="0" w:firstLine="0"/>
              <w:jc w:val="left"/>
            </w:pPr>
          </w:p>
        </w:tc>
      </w:tr>
    </w:tbl>
    <w:p w14:paraId="0B38C0DD" w14:textId="77777777" w:rsidR="002107AD" w:rsidRDefault="00771476">
      <w:pPr>
        <w:spacing w:after="273" w:line="259" w:lineRule="auto"/>
        <w:ind w:left="0" w:right="0" w:firstLine="0"/>
        <w:jc w:val="left"/>
      </w:pPr>
      <w:r>
        <w:t xml:space="preserve"> </w:t>
      </w:r>
    </w:p>
    <w:p w14:paraId="1B4B9908" w14:textId="77777777" w:rsidR="002107AD" w:rsidRDefault="00771476">
      <w:pPr>
        <w:ind w:left="-5" w:right="5"/>
      </w:pPr>
      <w:r>
        <w:t xml:space="preserve">The above table shows that the mean and standard deviation for boys 94.56 and 9.338 respectively. Again, mean and standard deviation for girls is 108.85 and 9.601 respectively. The t’ value obtained from the data presented in table 1 is -9.242 which is significant (p&lt;0.001). Hence the hypothesis of there exists no significant difference between boys’ and girls’ undergraduate students in their academic resilience is rejected. Furthermore, girls have higher scores on academic resilience in comparison to boys which shows that girls are more academically resilient than boys. </w:t>
      </w:r>
    </w:p>
    <w:p w14:paraId="3E3A8AF8" w14:textId="77777777" w:rsidR="002107AD" w:rsidRDefault="00771476">
      <w:pPr>
        <w:ind w:left="-5" w:right="5"/>
      </w:pPr>
      <w:r>
        <w:rPr>
          <w:b/>
        </w:rPr>
        <w:t>Objective 2:</w:t>
      </w:r>
      <w:r>
        <w:t xml:space="preserve"> To find out the differences of academic resilience of students in terms of their    stream. </w:t>
      </w:r>
    </w:p>
    <w:p w14:paraId="66F2155F" w14:textId="77777777" w:rsidR="002107AD" w:rsidRDefault="00771476">
      <w:pPr>
        <w:spacing w:after="5" w:line="259" w:lineRule="auto"/>
        <w:ind w:left="-5" w:right="5"/>
      </w:pPr>
      <w:r>
        <w:t xml:space="preserve">Table:2 Means, standard deviations, standard error mean and f-value showing differences in scores between stream on academic resilience </w:t>
      </w:r>
    </w:p>
    <w:tbl>
      <w:tblPr>
        <w:tblStyle w:val="TableGrid"/>
        <w:tblW w:w="9069" w:type="dxa"/>
        <w:tblInd w:w="5" w:type="dxa"/>
        <w:tblCellMar>
          <w:top w:w="62" w:type="dxa"/>
          <w:left w:w="108" w:type="dxa"/>
          <w:right w:w="48" w:type="dxa"/>
        </w:tblCellMar>
        <w:tblLook w:val="04A0" w:firstRow="1" w:lastRow="0" w:firstColumn="1" w:lastColumn="0" w:noHBand="0" w:noVBand="1"/>
      </w:tblPr>
      <w:tblGrid>
        <w:gridCol w:w="1981"/>
        <w:gridCol w:w="1702"/>
        <w:gridCol w:w="1277"/>
        <w:gridCol w:w="1416"/>
        <w:gridCol w:w="1121"/>
        <w:gridCol w:w="1572"/>
      </w:tblGrid>
      <w:tr w:rsidR="002107AD" w14:paraId="0384302E"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702AD013" w14:textId="77777777" w:rsidR="002107AD" w:rsidRDefault="00771476">
            <w:pPr>
              <w:spacing w:after="0" w:line="259" w:lineRule="auto"/>
              <w:ind w:left="0" w:right="0" w:firstLine="0"/>
              <w:jc w:val="left"/>
            </w:pPr>
            <w:r>
              <w:t xml:space="preserve">    Sources </w:t>
            </w:r>
          </w:p>
        </w:tc>
        <w:tc>
          <w:tcPr>
            <w:tcW w:w="1702" w:type="dxa"/>
            <w:tcBorders>
              <w:top w:val="single" w:sz="4" w:space="0" w:color="000000"/>
              <w:left w:val="single" w:sz="4" w:space="0" w:color="000000"/>
              <w:bottom w:val="single" w:sz="4" w:space="0" w:color="000000"/>
              <w:right w:val="single" w:sz="4" w:space="0" w:color="000000"/>
            </w:tcBorders>
          </w:tcPr>
          <w:p w14:paraId="357D5EB1" w14:textId="77777777" w:rsidR="002107AD" w:rsidRDefault="00771476">
            <w:pPr>
              <w:spacing w:after="0" w:line="259" w:lineRule="auto"/>
              <w:ind w:left="0" w:right="0" w:firstLine="0"/>
              <w:jc w:val="left"/>
            </w:pPr>
            <w:r>
              <w:t xml:space="preserve">     SS </w:t>
            </w:r>
          </w:p>
        </w:tc>
        <w:tc>
          <w:tcPr>
            <w:tcW w:w="1277" w:type="dxa"/>
            <w:tcBorders>
              <w:top w:val="single" w:sz="4" w:space="0" w:color="000000"/>
              <w:left w:val="single" w:sz="4" w:space="0" w:color="000000"/>
              <w:bottom w:val="single" w:sz="4" w:space="0" w:color="000000"/>
              <w:right w:val="single" w:sz="4" w:space="0" w:color="000000"/>
            </w:tcBorders>
          </w:tcPr>
          <w:p w14:paraId="25A67475" w14:textId="77777777" w:rsidR="002107AD" w:rsidRDefault="00771476">
            <w:pPr>
              <w:spacing w:after="0" w:line="259" w:lineRule="auto"/>
              <w:ind w:left="0" w:right="0" w:firstLine="0"/>
              <w:jc w:val="left"/>
            </w:pPr>
            <w:r>
              <w:t xml:space="preserve">   df </w:t>
            </w:r>
          </w:p>
        </w:tc>
        <w:tc>
          <w:tcPr>
            <w:tcW w:w="1416" w:type="dxa"/>
            <w:tcBorders>
              <w:top w:val="single" w:sz="4" w:space="0" w:color="000000"/>
              <w:left w:val="single" w:sz="4" w:space="0" w:color="000000"/>
              <w:bottom w:val="single" w:sz="4" w:space="0" w:color="000000"/>
              <w:right w:val="single" w:sz="4" w:space="0" w:color="000000"/>
            </w:tcBorders>
          </w:tcPr>
          <w:p w14:paraId="7DCE8344" w14:textId="77777777" w:rsidR="002107AD" w:rsidRDefault="00771476">
            <w:pPr>
              <w:spacing w:after="0" w:line="259" w:lineRule="auto"/>
              <w:ind w:left="0" w:right="0" w:firstLine="0"/>
              <w:jc w:val="left"/>
            </w:pPr>
            <w:r>
              <w:t xml:space="preserve">   MSS </w:t>
            </w:r>
          </w:p>
        </w:tc>
        <w:tc>
          <w:tcPr>
            <w:tcW w:w="1121" w:type="dxa"/>
            <w:tcBorders>
              <w:top w:val="single" w:sz="4" w:space="0" w:color="000000"/>
              <w:left w:val="single" w:sz="4" w:space="0" w:color="000000"/>
              <w:bottom w:val="single" w:sz="4" w:space="0" w:color="000000"/>
              <w:right w:val="single" w:sz="4" w:space="0" w:color="000000"/>
            </w:tcBorders>
          </w:tcPr>
          <w:p w14:paraId="768ED4F1" w14:textId="77777777" w:rsidR="002107AD" w:rsidRDefault="00771476">
            <w:pPr>
              <w:spacing w:after="0" w:line="259" w:lineRule="auto"/>
              <w:ind w:left="0" w:right="0" w:firstLine="0"/>
              <w:jc w:val="left"/>
            </w:pPr>
            <w:r>
              <w:t xml:space="preserve">F-value </w:t>
            </w:r>
          </w:p>
        </w:tc>
        <w:tc>
          <w:tcPr>
            <w:tcW w:w="1572" w:type="dxa"/>
            <w:tcBorders>
              <w:top w:val="single" w:sz="4" w:space="0" w:color="000000"/>
              <w:left w:val="single" w:sz="4" w:space="0" w:color="000000"/>
              <w:bottom w:val="single" w:sz="4" w:space="0" w:color="000000"/>
              <w:right w:val="single" w:sz="4" w:space="0" w:color="000000"/>
            </w:tcBorders>
          </w:tcPr>
          <w:p w14:paraId="608C0A86" w14:textId="77777777" w:rsidR="002107AD" w:rsidRDefault="00771476">
            <w:pPr>
              <w:tabs>
                <w:tab w:val="right" w:pos="1416"/>
              </w:tabs>
              <w:spacing w:after="119" w:line="259" w:lineRule="auto"/>
              <w:ind w:left="0" w:right="0" w:firstLine="0"/>
              <w:jc w:val="left"/>
            </w:pPr>
            <w:r>
              <w:t xml:space="preserve">Level </w:t>
            </w:r>
            <w:r>
              <w:tab/>
              <w:t xml:space="preserve">of </w:t>
            </w:r>
          </w:p>
          <w:p w14:paraId="777CA2F3" w14:textId="77777777" w:rsidR="002107AD" w:rsidRDefault="00771476">
            <w:pPr>
              <w:spacing w:after="0" w:line="259" w:lineRule="auto"/>
              <w:ind w:left="0" w:right="0" w:firstLine="0"/>
              <w:jc w:val="left"/>
            </w:pPr>
            <w:r>
              <w:t xml:space="preserve">significance </w:t>
            </w:r>
          </w:p>
        </w:tc>
      </w:tr>
      <w:tr w:rsidR="002107AD" w14:paraId="714CC7C3" w14:textId="77777777">
        <w:trPr>
          <w:trHeight w:val="422"/>
        </w:trPr>
        <w:tc>
          <w:tcPr>
            <w:tcW w:w="1980" w:type="dxa"/>
            <w:tcBorders>
              <w:top w:val="single" w:sz="4" w:space="0" w:color="000000"/>
              <w:left w:val="single" w:sz="4" w:space="0" w:color="000000"/>
              <w:bottom w:val="single" w:sz="4" w:space="0" w:color="000000"/>
              <w:right w:val="single" w:sz="4" w:space="0" w:color="000000"/>
            </w:tcBorders>
          </w:tcPr>
          <w:p w14:paraId="0138F768" w14:textId="77777777" w:rsidR="002107AD" w:rsidRDefault="00771476">
            <w:pPr>
              <w:spacing w:after="0" w:line="259" w:lineRule="auto"/>
              <w:ind w:left="0" w:right="0" w:firstLine="0"/>
              <w:jc w:val="left"/>
            </w:pPr>
            <w:r>
              <w:t xml:space="preserve">Between group </w:t>
            </w:r>
          </w:p>
        </w:tc>
        <w:tc>
          <w:tcPr>
            <w:tcW w:w="1702" w:type="dxa"/>
            <w:tcBorders>
              <w:top w:val="single" w:sz="4" w:space="0" w:color="000000"/>
              <w:left w:val="single" w:sz="4" w:space="0" w:color="000000"/>
              <w:bottom w:val="single" w:sz="4" w:space="0" w:color="000000"/>
              <w:right w:val="single" w:sz="4" w:space="0" w:color="000000"/>
            </w:tcBorders>
          </w:tcPr>
          <w:p w14:paraId="01780815" w14:textId="77777777" w:rsidR="002107AD" w:rsidRDefault="00771476">
            <w:pPr>
              <w:spacing w:after="0" w:line="259" w:lineRule="auto"/>
              <w:ind w:left="0" w:right="0" w:firstLine="0"/>
              <w:jc w:val="left"/>
            </w:pPr>
            <w:r>
              <w:t xml:space="preserve">179.773 </w:t>
            </w:r>
          </w:p>
        </w:tc>
        <w:tc>
          <w:tcPr>
            <w:tcW w:w="1277" w:type="dxa"/>
            <w:tcBorders>
              <w:top w:val="single" w:sz="4" w:space="0" w:color="000000"/>
              <w:left w:val="single" w:sz="4" w:space="0" w:color="000000"/>
              <w:bottom w:val="single" w:sz="4" w:space="0" w:color="000000"/>
              <w:right w:val="single" w:sz="4" w:space="0" w:color="000000"/>
            </w:tcBorders>
          </w:tcPr>
          <w:p w14:paraId="74DAC30D" w14:textId="77777777" w:rsidR="002107AD" w:rsidRDefault="00771476">
            <w:pPr>
              <w:spacing w:after="0" w:line="259" w:lineRule="auto"/>
              <w:ind w:left="0" w:right="0" w:firstLine="0"/>
              <w:jc w:val="left"/>
            </w:pPr>
            <w: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0779C29F" w14:textId="77777777" w:rsidR="002107AD" w:rsidRDefault="00771476">
            <w:pPr>
              <w:spacing w:after="0" w:line="259" w:lineRule="auto"/>
              <w:ind w:left="0" w:right="0" w:firstLine="0"/>
              <w:jc w:val="left"/>
            </w:pPr>
            <w:r>
              <w:t xml:space="preserve">89.887 </w:t>
            </w:r>
          </w:p>
        </w:tc>
        <w:tc>
          <w:tcPr>
            <w:tcW w:w="1121" w:type="dxa"/>
            <w:vMerge w:val="restart"/>
            <w:tcBorders>
              <w:top w:val="single" w:sz="4" w:space="0" w:color="000000"/>
              <w:left w:val="single" w:sz="4" w:space="0" w:color="000000"/>
              <w:bottom w:val="single" w:sz="4" w:space="0" w:color="000000"/>
              <w:right w:val="single" w:sz="4" w:space="0" w:color="000000"/>
            </w:tcBorders>
          </w:tcPr>
          <w:p w14:paraId="652C007C" w14:textId="77777777" w:rsidR="002107AD" w:rsidRDefault="00771476">
            <w:pPr>
              <w:spacing w:after="0" w:line="259" w:lineRule="auto"/>
              <w:ind w:left="0" w:right="0" w:firstLine="0"/>
              <w:jc w:val="left"/>
            </w:pPr>
            <w:r>
              <w:t xml:space="preserve">.637 </w:t>
            </w:r>
          </w:p>
        </w:tc>
        <w:tc>
          <w:tcPr>
            <w:tcW w:w="1572" w:type="dxa"/>
            <w:vMerge w:val="restart"/>
            <w:tcBorders>
              <w:top w:val="single" w:sz="4" w:space="0" w:color="000000"/>
              <w:left w:val="single" w:sz="4" w:space="0" w:color="000000"/>
              <w:bottom w:val="single" w:sz="4" w:space="0" w:color="000000"/>
              <w:right w:val="single" w:sz="4" w:space="0" w:color="000000"/>
            </w:tcBorders>
          </w:tcPr>
          <w:p w14:paraId="641B9420" w14:textId="77777777" w:rsidR="002107AD" w:rsidRDefault="00771476">
            <w:pPr>
              <w:spacing w:after="2" w:line="356" w:lineRule="auto"/>
              <w:ind w:left="0" w:right="0" w:firstLine="0"/>
              <w:jc w:val="left"/>
            </w:pPr>
            <w:r>
              <w:t xml:space="preserve">Not significant at </w:t>
            </w:r>
          </w:p>
          <w:p w14:paraId="110E6BDD" w14:textId="77777777" w:rsidR="002107AD" w:rsidRDefault="00771476">
            <w:pPr>
              <w:spacing w:after="0" w:line="259" w:lineRule="auto"/>
              <w:ind w:left="0" w:right="0" w:firstLine="0"/>
              <w:jc w:val="left"/>
            </w:pPr>
            <w:r>
              <w:t xml:space="preserve">0.05 level </w:t>
            </w:r>
          </w:p>
        </w:tc>
      </w:tr>
      <w:tr w:rsidR="002107AD" w14:paraId="38797CB4"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299872CF" w14:textId="77777777" w:rsidR="002107AD" w:rsidRDefault="00771476">
            <w:pPr>
              <w:spacing w:after="0" w:line="259" w:lineRule="auto"/>
              <w:ind w:left="0" w:right="0" w:firstLine="0"/>
              <w:jc w:val="left"/>
            </w:pPr>
            <w:r>
              <w:t xml:space="preserve">Within group </w:t>
            </w:r>
          </w:p>
        </w:tc>
        <w:tc>
          <w:tcPr>
            <w:tcW w:w="1702" w:type="dxa"/>
            <w:tcBorders>
              <w:top w:val="single" w:sz="4" w:space="0" w:color="000000"/>
              <w:left w:val="single" w:sz="4" w:space="0" w:color="000000"/>
              <w:bottom w:val="single" w:sz="4" w:space="0" w:color="000000"/>
              <w:right w:val="single" w:sz="4" w:space="0" w:color="000000"/>
            </w:tcBorders>
          </w:tcPr>
          <w:p w14:paraId="5879497D" w14:textId="77777777" w:rsidR="002107AD" w:rsidRDefault="00771476">
            <w:pPr>
              <w:spacing w:after="0" w:line="259" w:lineRule="auto"/>
              <w:ind w:left="0" w:right="0" w:firstLine="0"/>
              <w:jc w:val="left"/>
            </w:pPr>
            <w:r>
              <w:t xml:space="preserve">20755.320 </w:t>
            </w:r>
          </w:p>
        </w:tc>
        <w:tc>
          <w:tcPr>
            <w:tcW w:w="1277" w:type="dxa"/>
            <w:tcBorders>
              <w:top w:val="single" w:sz="4" w:space="0" w:color="000000"/>
              <w:left w:val="single" w:sz="4" w:space="0" w:color="000000"/>
              <w:bottom w:val="single" w:sz="4" w:space="0" w:color="000000"/>
              <w:right w:val="single" w:sz="4" w:space="0" w:color="000000"/>
            </w:tcBorders>
          </w:tcPr>
          <w:p w14:paraId="40051587" w14:textId="77777777" w:rsidR="002107AD" w:rsidRDefault="00771476">
            <w:pPr>
              <w:spacing w:after="0" w:line="259" w:lineRule="auto"/>
              <w:ind w:left="0" w:right="0" w:firstLine="0"/>
              <w:jc w:val="left"/>
            </w:pPr>
            <w:r>
              <w:t xml:space="preserve">147 </w:t>
            </w:r>
          </w:p>
        </w:tc>
        <w:tc>
          <w:tcPr>
            <w:tcW w:w="1416" w:type="dxa"/>
            <w:tcBorders>
              <w:top w:val="single" w:sz="4" w:space="0" w:color="000000"/>
              <w:left w:val="single" w:sz="4" w:space="0" w:color="000000"/>
              <w:bottom w:val="single" w:sz="4" w:space="0" w:color="000000"/>
              <w:right w:val="single" w:sz="4" w:space="0" w:color="000000"/>
            </w:tcBorders>
          </w:tcPr>
          <w:p w14:paraId="1E17C312" w14:textId="77777777" w:rsidR="002107AD" w:rsidRDefault="00771476">
            <w:pPr>
              <w:spacing w:after="0" w:line="259" w:lineRule="auto"/>
              <w:ind w:left="0" w:right="0" w:firstLine="0"/>
              <w:jc w:val="left"/>
            </w:pPr>
            <w:r>
              <w:t xml:space="preserve">141.193 </w:t>
            </w:r>
          </w:p>
        </w:tc>
        <w:tc>
          <w:tcPr>
            <w:tcW w:w="0" w:type="auto"/>
            <w:vMerge/>
            <w:tcBorders>
              <w:top w:val="nil"/>
              <w:left w:val="single" w:sz="4" w:space="0" w:color="000000"/>
              <w:bottom w:val="nil"/>
              <w:right w:val="single" w:sz="4" w:space="0" w:color="000000"/>
            </w:tcBorders>
          </w:tcPr>
          <w:p w14:paraId="10A35A04" w14:textId="77777777" w:rsidR="002107AD" w:rsidRDefault="002107AD">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5C10213" w14:textId="77777777" w:rsidR="002107AD" w:rsidRDefault="002107AD">
            <w:pPr>
              <w:spacing w:after="160" w:line="259" w:lineRule="auto"/>
              <w:ind w:left="0" w:right="0" w:firstLine="0"/>
              <w:jc w:val="left"/>
            </w:pPr>
          </w:p>
        </w:tc>
      </w:tr>
      <w:tr w:rsidR="002107AD" w14:paraId="38CBEBD1" w14:textId="77777777">
        <w:trPr>
          <w:trHeight w:val="425"/>
        </w:trPr>
        <w:tc>
          <w:tcPr>
            <w:tcW w:w="1980" w:type="dxa"/>
            <w:tcBorders>
              <w:top w:val="single" w:sz="4" w:space="0" w:color="000000"/>
              <w:left w:val="single" w:sz="4" w:space="0" w:color="000000"/>
              <w:bottom w:val="single" w:sz="4" w:space="0" w:color="000000"/>
              <w:right w:val="single" w:sz="4" w:space="0" w:color="000000"/>
            </w:tcBorders>
          </w:tcPr>
          <w:p w14:paraId="27B1CB27" w14:textId="77777777" w:rsidR="002107AD" w:rsidRDefault="00771476">
            <w:pPr>
              <w:spacing w:after="0" w:line="259" w:lineRule="auto"/>
              <w:ind w:left="0" w:right="0" w:firstLine="0"/>
              <w:jc w:val="left"/>
            </w:pPr>
            <w:r>
              <w:t xml:space="preserve">Total </w:t>
            </w:r>
          </w:p>
        </w:tc>
        <w:tc>
          <w:tcPr>
            <w:tcW w:w="1702" w:type="dxa"/>
            <w:tcBorders>
              <w:top w:val="single" w:sz="4" w:space="0" w:color="000000"/>
              <w:left w:val="single" w:sz="4" w:space="0" w:color="000000"/>
              <w:bottom w:val="single" w:sz="4" w:space="0" w:color="000000"/>
              <w:right w:val="single" w:sz="4" w:space="0" w:color="000000"/>
            </w:tcBorders>
          </w:tcPr>
          <w:p w14:paraId="6ACB4EC3" w14:textId="77777777" w:rsidR="002107AD" w:rsidRDefault="00771476">
            <w:pPr>
              <w:spacing w:after="0" w:line="259" w:lineRule="auto"/>
              <w:ind w:left="0" w:right="0" w:firstLine="0"/>
              <w:jc w:val="left"/>
            </w:pPr>
            <w:r>
              <w:t xml:space="preserve">20935.093 </w:t>
            </w:r>
          </w:p>
        </w:tc>
        <w:tc>
          <w:tcPr>
            <w:tcW w:w="1277" w:type="dxa"/>
            <w:tcBorders>
              <w:top w:val="single" w:sz="4" w:space="0" w:color="000000"/>
              <w:left w:val="single" w:sz="4" w:space="0" w:color="000000"/>
              <w:bottom w:val="single" w:sz="4" w:space="0" w:color="000000"/>
              <w:right w:val="single" w:sz="4" w:space="0" w:color="000000"/>
            </w:tcBorders>
          </w:tcPr>
          <w:p w14:paraId="14998681" w14:textId="77777777" w:rsidR="002107AD" w:rsidRDefault="00771476">
            <w:pPr>
              <w:spacing w:after="0" w:line="259" w:lineRule="auto"/>
              <w:ind w:left="0" w:right="0" w:firstLine="0"/>
              <w:jc w:val="left"/>
            </w:pPr>
            <w:r>
              <w:t xml:space="preserve">149 </w:t>
            </w:r>
          </w:p>
        </w:tc>
        <w:tc>
          <w:tcPr>
            <w:tcW w:w="1416" w:type="dxa"/>
            <w:tcBorders>
              <w:top w:val="single" w:sz="4" w:space="0" w:color="000000"/>
              <w:left w:val="single" w:sz="4" w:space="0" w:color="000000"/>
              <w:bottom w:val="single" w:sz="4" w:space="0" w:color="000000"/>
              <w:right w:val="single" w:sz="4" w:space="0" w:color="000000"/>
            </w:tcBorders>
          </w:tcPr>
          <w:p w14:paraId="60C9B97C" w14:textId="77777777" w:rsidR="002107AD" w:rsidRDefault="00771476">
            <w:pPr>
              <w:spacing w:after="0" w:line="259" w:lineRule="auto"/>
              <w:ind w:left="0" w:right="0"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14:paraId="35DDB3D9"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5495198" w14:textId="77777777" w:rsidR="002107AD" w:rsidRDefault="002107AD">
            <w:pPr>
              <w:spacing w:after="160" w:line="259" w:lineRule="auto"/>
              <w:ind w:left="0" w:right="0" w:firstLine="0"/>
              <w:jc w:val="left"/>
            </w:pPr>
          </w:p>
        </w:tc>
      </w:tr>
    </w:tbl>
    <w:p w14:paraId="0222823A" w14:textId="77777777" w:rsidR="002107AD" w:rsidRDefault="00771476">
      <w:pPr>
        <w:spacing w:after="273" w:line="259" w:lineRule="auto"/>
        <w:ind w:left="0" w:right="0" w:firstLine="0"/>
        <w:jc w:val="left"/>
      </w:pPr>
      <w:r>
        <w:rPr>
          <w:b/>
        </w:rPr>
        <w:t xml:space="preserve"> </w:t>
      </w:r>
    </w:p>
    <w:p w14:paraId="00EAA19F" w14:textId="77777777" w:rsidR="002107AD" w:rsidRDefault="00771476">
      <w:pPr>
        <w:ind w:left="-5" w:right="5"/>
      </w:pPr>
      <w:r>
        <w:t xml:space="preserve">This ANOVA test compared the academic resilience levels among students from three different streams: arts, science, and commerce. The result shows an f-value of 0.637 and a significance </w:t>
      </w:r>
      <w:r>
        <w:lastRenderedPageBreak/>
        <w:t xml:space="preserve">level (p-value) of 0.523 which is more than 0.05.  It shows that the mean score of academic resilience of arts, science and commerce students do not differ significantly. Thus, the null hypothesis there exists no significant differences between arts, science and commerce undergraduate student in their academic resilience is not rejected. </w:t>
      </w:r>
    </w:p>
    <w:p w14:paraId="44470D3B" w14:textId="77777777" w:rsidR="002107AD" w:rsidRDefault="00771476">
      <w:pPr>
        <w:ind w:left="-5" w:right="5"/>
      </w:pPr>
      <w:r>
        <w:rPr>
          <w:b/>
        </w:rPr>
        <w:t>Objectives 3:</w:t>
      </w:r>
      <w:r>
        <w:t xml:space="preserve"> To find out the significant correlations of academic resilience and academic achievement </w:t>
      </w:r>
    </w:p>
    <w:p w14:paraId="74D3714F" w14:textId="77777777" w:rsidR="002107AD" w:rsidRDefault="00771476">
      <w:pPr>
        <w:ind w:left="-5" w:right="5"/>
      </w:pPr>
      <w:r>
        <w:t xml:space="preserve">Table:3 Pearson coefficient of Correlation between academic resilience and academic achievement </w:t>
      </w:r>
    </w:p>
    <w:tbl>
      <w:tblPr>
        <w:tblStyle w:val="TableGrid"/>
        <w:tblW w:w="8366" w:type="dxa"/>
        <w:tblInd w:w="283" w:type="dxa"/>
        <w:tblCellMar>
          <w:top w:w="62" w:type="dxa"/>
          <w:left w:w="106" w:type="dxa"/>
          <w:right w:w="115" w:type="dxa"/>
        </w:tblCellMar>
        <w:tblLook w:val="04A0" w:firstRow="1" w:lastRow="0" w:firstColumn="1" w:lastColumn="0" w:noHBand="0" w:noVBand="1"/>
      </w:tblPr>
      <w:tblGrid>
        <w:gridCol w:w="2979"/>
        <w:gridCol w:w="991"/>
        <w:gridCol w:w="1419"/>
        <w:gridCol w:w="2977"/>
      </w:tblGrid>
      <w:tr w:rsidR="002107AD" w14:paraId="73EEC716" w14:textId="77777777">
        <w:trPr>
          <w:trHeight w:val="425"/>
        </w:trPr>
        <w:tc>
          <w:tcPr>
            <w:tcW w:w="2979" w:type="dxa"/>
            <w:tcBorders>
              <w:top w:val="single" w:sz="4" w:space="0" w:color="000000"/>
              <w:left w:val="single" w:sz="4" w:space="0" w:color="000000"/>
              <w:bottom w:val="single" w:sz="4" w:space="0" w:color="000000"/>
              <w:right w:val="single" w:sz="4" w:space="0" w:color="000000"/>
            </w:tcBorders>
          </w:tcPr>
          <w:p w14:paraId="6EAECB79" w14:textId="77777777" w:rsidR="002107AD" w:rsidRDefault="00771476">
            <w:pPr>
              <w:spacing w:after="0" w:line="259" w:lineRule="auto"/>
              <w:ind w:left="2" w:right="0" w:firstLine="0"/>
              <w:jc w:val="left"/>
            </w:pPr>
            <w:r>
              <w:t xml:space="preserve">Variable </w:t>
            </w:r>
          </w:p>
        </w:tc>
        <w:tc>
          <w:tcPr>
            <w:tcW w:w="991" w:type="dxa"/>
            <w:tcBorders>
              <w:top w:val="single" w:sz="4" w:space="0" w:color="000000"/>
              <w:left w:val="single" w:sz="4" w:space="0" w:color="000000"/>
              <w:bottom w:val="single" w:sz="4" w:space="0" w:color="000000"/>
              <w:right w:val="single" w:sz="4" w:space="0" w:color="000000"/>
            </w:tcBorders>
          </w:tcPr>
          <w:p w14:paraId="42C0D0D3" w14:textId="77777777" w:rsidR="002107AD" w:rsidRDefault="00771476">
            <w:pPr>
              <w:spacing w:after="0" w:line="259" w:lineRule="auto"/>
              <w:ind w:left="2" w:right="0" w:firstLine="0"/>
              <w:jc w:val="left"/>
            </w:pPr>
            <w:r>
              <w:t xml:space="preserve">   N </w:t>
            </w:r>
          </w:p>
        </w:tc>
        <w:tc>
          <w:tcPr>
            <w:tcW w:w="1419" w:type="dxa"/>
            <w:tcBorders>
              <w:top w:val="single" w:sz="4" w:space="0" w:color="000000"/>
              <w:left w:val="single" w:sz="4" w:space="0" w:color="000000"/>
              <w:bottom w:val="single" w:sz="4" w:space="0" w:color="000000"/>
              <w:right w:val="single" w:sz="4" w:space="0" w:color="000000"/>
            </w:tcBorders>
          </w:tcPr>
          <w:p w14:paraId="7A180FD5" w14:textId="77777777" w:rsidR="002107AD" w:rsidRDefault="00771476">
            <w:pPr>
              <w:spacing w:after="0" w:line="259" w:lineRule="auto"/>
              <w:ind w:left="2" w:right="0" w:firstLine="0"/>
              <w:jc w:val="left"/>
            </w:pPr>
            <w:r>
              <w:t xml:space="preserve">  r’ value </w:t>
            </w:r>
          </w:p>
        </w:tc>
        <w:tc>
          <w:tcPr>
            <w:tcW w:w="2977" w:type="dxa"/>
            <w:tcBorders>
              <w:top w:val="single" w:sz="4" w:space="0" w:color="000000"/>
              <w:left w:val="single" w:sz="4" w:space="0" w:color="000000"/>
              <w:bottom w:val="single" w:sz="4" w:space="0" w:color="000000"/>
              <w:right w:val="single" w:sz="4" w:space="0" w:color="000000"/>
            </w:tcBorders>
          </w:tcPr>
          <w:p w14:paraId="08244EC6" w14:textId="77777777" w:rsidR="002107AD" w:rsidRDefault="00771476">
            <w:pPr>
              <w:spacing w:after="0" w:line="259" w:lineRule="auto"/>
              <w:ind w:left="0" w:right="0" w:firstLine="0"/>
              <w:jc w:val="left"/>
            </w:pPr>
            <w:r>
              <w:t xml:space="preserve">          Remarks </w:t>
            </w:r>
          </w:p>
        </w:tc>
      </w:tr>
      <w:tr w:rsidR="002107AD" w14:paraId="7820949C" w14:textId="77777777">
        <w:trPr>
          <w:trHeight w:val="422"/>
        </w:trPr>
        <w:tc>
          <w:tcPr>
            <w:tcW w:w="2979" w:type="dxa"/>
            <w:tcBorders>
              <w:top w:val="single" w:sz="4" w:space="0" w:color="000000"/>
              <w:left w:val="single" w:sz="4" w:space="0" w:color="000000"/>
              <w:bottom w:val="single" w:sz="4" w:space="0" w:color="000000"/>
              <w:right w:val="single" w:sz="4" w:space="0" w:color="000000"/>
            </w:tcBorders>
          </w:tcPr>
          <w:p w14:paraId="2A5889EF" w14:textId="77777777" w:rsidR="002107AD" w:rsidRDefault="00771476">
            <w:pPr>
              <w:spacing w:after="0" w:line="259" w:lineRule="auto"/>
              <w:ind w:left="2" w:right="0" w:firstLine="0"/>
              <w:jc w:val="left"/>
            </w:pPr>
            <w:r>
              <w:t xml:space="preserve">Academic resilience </w:t>
            </w:r>
          </w:p>
        </w:tc>
        <w:tc>
          <w:tcPr>
            <w:tcW w:w="991" w:type="dxa"/>
            <w:vMerge w:val="restart"/>
            <w:tcBorders>
              <w:top w:val="single" w:sz="4" w:space="0" w:color="000000"/>
              <w:left w:val="single" w:sz="4" w:space="0" w:color="000000"/>
              <w:bottom w:val="single" w:sz="4" w:space="0" w:color="000000"/>
              <w:right w:val="single" w:sz="4" w:space="0" w:color="000000"/>
            </w:tcBorders>
          </w:tcPr>
          <w:p w14:paraId="21B061E1" w14:textId="77777777" w:rsidR="002107AD" w:rsidRDefault="00771476">
            <w:pPr>
              <w:spacing w:after="0" w:line="259" w:lineRule="auto"/>
              <w:ind w:left="2" w:right="0" w:firstLine="0"/>
              <w:jc w:val="left"/>
            </w:pPr>
            <w:r>
              <w:t xml:space="preserve">  150 </w:t>
            </w:r>
          </w:p>
        </w:tc>
        <w:tc>
          <w:tcPr>
            <w:tcW w:w="1419" w:type="dxa"/>
            <w:vMerge w:val="restart"/>
            <w:tcBorders>
              <w:top w:val="single" w:sz="4" w:space="0" w:color="000000"/>
              <w:left w:val="single" w:sz="4" w:space="0" w:color="000000"/>
              <w:bottom w:val="single" w:sz="4" w:space="0" w:color="000000"/>
              <w:right w:val="single" w:sz="4" w:space="0" w:color="000000"/>
            </w:tcBorders>
          </w:tcPr>
          <w:p w14:paraId="06A7B63B" w14:textId="77777777" w:rsidR="002107AD" w:rsidRDefault="00771476">
            <w:pPr>
              <w:spacing w:after="0" w:line="259" w:lineRule="auto"/>
              <w:ind w:left="2" w:right="0" w:firstLine="0"/>
              <w:jc w:val="left"/>
            </w:pPr>
            <w:r>
              <w:t xml:space="preserve">.463** </w:t>
            </w:r>
          </w:p>
        </w:tc>
        <w:tc>
          <w:tcPr>
            <w:tcW w:w="2977" w:type="dxa"/>
            <w:vMerge w:val="restart"/>
            <w:tcBorders>
              <w:top w:val="single" w:sz="4" w:space="0" w:color="000000"/>
              <w:left w:val="single" w:sz="4" w:space="0" w:color="000000"/>
              <w:bottom w:val="single" w:sz="4" w:space="0" w:color="000000"/>
              <w:right w:val="single" w:sz="4" w:space="0" w:color="000000"/>
            </w:tcBorders>
          </w:tcPr>
          <w:p w14:paraId="6B069F77" w14:textId="77777777" w:rsidR="002107AD" w:rsidRDefault="00771476">
            <w:pPr>
              <w:spacing w:after="0" w:line="259" w:lineRule="auto"/>
              <w:ind w:left="0" w:right="0" w:firstLine="0"/>
              <w:jc w:val="left"/>
            </w:pPr>
            <w:r>
              <w:t xml:space="preserve">Significant at 0.01 level </w:t>
            </w:r>
          </w:p>
        </w:tc>
      </w:tr>
      <w:tr w:rsidR="002107AD" w14:paraId="64D993BD" w14:textId="77777777">
        <w:trPr>
          <w:trHeight w:val="425"/>
        </w:trPr>
        <w:tc>
          <w:tcPr>
            <w:tcW w:w="2979" w:type="dxa"/>
            <w:tcBorders>
              <w:top w:val="single" w:sz="4" w:space="0" w:color="000000"/>
              <w:left w:val="single" w:sz="4" w:space="0" w:color="000000"/>
              <w:bottom w:val="single" w:sz="4" w:space="0" w:color="000000"/>
              <w:right w:val="single" w:sz="4" w:space="0" w:color="000000"/>
            </w:tcBorders>
          </w:tcPr>
          <w:p w14:paraId="14F21298" w14:textId="77777777" w:rsidR="002107AD" w:rsidRDefault="00771476">
            <w:pPr>
              <w:spacing w:after="0" w:line="259" w:lineRule="auto"/>
              <w:ind w:left="2" w:right="0" w:firstLine="0"/>
              <w:jc w:val="left"/>
            </w:pPr>
            <w:r>
              <w:t xml:space="preserve">Academic achievement </w:t>
            </w:r>
          </w:p>
        </w:tc>
        <w:tc>
          <w:tcPr>
            <w:tcW w:w="0" w:type="auto"/>
            <w:vMerge/>
            <w:tcBorders>
              <w:top w:val="nil"/>
              <w:left w:val="single" w:sz="4" w:space="0" w:color="000000"/>
              <w:bottom w:val="single" w:sz="4" w:space="0" w:color="000000"/>
              <w:right w:val="single" w:sz="4" w:space="0" w:color="000000"/>
            </w:tcBorders>
          </w:tcPr>
          <w:p w14:paraId="25C016AE"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32D34C" w14:textId="77777777" w:rsidR="002107AD" w:rsidRDefault="002107AD">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9E0EC65" w14:textId="77777777" w:rsidR="002107AD" w:rsidRDefault="002107AD">
            <w:pPr>
              <w:spacing w:after="160" w:line="259" w:lineRule="auto"/>
              <w:ind w:left="0" w:right="0" w:firstLine="0"/>
              <w:jc w:val="left"/>
            </w:pPr>
          </w:p>
        </w:tc>
      </w:tr>
    </w:tbl>
    <w:p w14:paraId="0A05AA95" w14:textId="77777777" w:rsidR="002107AD" w:rsidRDefault="00771476">
      <w:pPr>
        <w:spacing w:after="273" w:line="259" w:lineRule="auto"/>
        <w:ind w:left="0" w:right="0" w:firstLine="0"/>
        <w:jc w:val="left"/>
      </w:pPr>
      <w:r>
        <w:t xml:space="preserve"> </w:t>
      </w:r>
    </w:p>
    <w:p w14:paraId="166DBF58" w14:textId="77777777" w:rsidR="002107AD" w:rsidRDefault="00771476">
      <w:pPr>
        <w:spacing w:after="200"/>
        <w:ind w:left="-5" w:right="5"/>
      </w:pPr>
      <w:r>
        <w:t xml:space="preserve">The Pearson coefficient of correlation for the academic resilience and academic achievement was found to be r = 0.463 which indicates a moderate positive significant relationship between two variables. The p-value is 0.000, which is less than 0.01, showing that the result is statistically significant at the 0.01 level. In simple terms, students who have higher levels of academic resilience are likely to have higher academic achievement. Hence, the null hypothesis i.e. there exists no significant correlation between academic resilience and academic achievement” is not retained. </w:t>
      </w:r>
    </w:p>
    <w:p w14:paraId="0B5242B4" w14:textId="77777777" w:rsidR="002107AD" w:rsidRDefault="00771476">
      <w:pPr>
        <w:pStyle w:val="Heading1"/>
        <w:ind w:left="-5"/>
      </w:pPr>
      <w:r>
        <w:t>1.13 Major Findings of the Study</w:t>
      </w:r>
      <w:r>
        <w:rPr>
          <w:b w:val="0"/>
          <w:sz w:val="24"/>
        </w:rPr>
        <w:t xml:space="preserve"> </w:t>
      </w:r>
    </w:p>
    <w:p w14:paraId="6DD59B8D" w14:textId="77777777" w:rsidR="002107AD" w:rsidRDefault="00771476">
      <w:pPr>
        <w:numPr>
          <w:ilvl w:val="0"/>
          <w:numId w:val="5"/>
        </w:numPr>
        <w:ind w:right="5" w:hanging="360"/>
      </w:pPr>
      <w:r>
        <w:t xml:space="preserve">The study found a statistically significant difference in academic resilience levels between male and female undergraduate students. Furthermore, female students had a higher mean score than male students, the difference statistically significant. This suggests that female students are highly resilient that they are dealing with adverse condition or stressful situation effectively than their counterpart male students. </w:t>
      </w:r>
    </w:p>
    <w:p w14:paraId="36BD57D9" w14:textId="77777777" w:rsidR="002107AD" w:rsidRDefault="00771476">
      <w:pPr>
        <w:numPr>
          <w:ilvl w:val="0"/>
          <w:numId w:val="5"/>
        </w:numPr>
        <w:ind w:right="5" w:hanging="360"/>
      </w:pPr>
      <w:r>
        <w:t xml:space="preserve">Academic resilience levels among students from different academic streams Arts, Science, and Commerce were compared using ONE-WAY ANOVA. The results indicated that there was no significant variation in resilience levels across streams. This implies that stream is not a factor in varying academic resilience among arts, science, and commerce students </w:t>
      </w:r>
    </w:p>
    <w:p w14:paraId="620C3D1C" w14:textId="3AF604FC" w:rsidR="002107AD" w:rsidRDefault="00771476" w:rsidP="00E36C75">
      <w:pPr>
        <w:numPr>
          <w:ilvl w:val="0"/>
          <w:numId w:val="5"/>
        </w:numPr>
        <w:ind w:right="5" w:hanging="360"/>
      </w:pPr>
      <w:r>
        <w:lastRenderedPageBreak/>
        <w:t xml:space="preserve">A key finding of the study was the moderate positive correlation between academic resilience and academic achievement. As academic resilience increased, students' performance tended to increase. The correlation was statistically significant at the 0.01 level, indicating that higher levels of resilience are associated with higher academic performance among undergraduate students.   </w:t>
      </w:r>
    </w:p>
    <w:p w14:paraId="0A9151DD" w14:textId="77777777" w:rsidR="002107AD" w:rsidRDefault="00771476">
      <w:pPr>
        <w:spacing w:after="0" w:line="259" w:lineRule="auto"/>
        <w:ind w:left="0" w:right="0" w:firstLine="0"/>
        <w:jc w:val="left"/>
      </w:pPr>
      <w:r>
        <w:t xml:space="preserve"> </w:t>
      </w:r>
    </w:p>
    <w:p w14:paraId="03FE33FA" w14:textId="77777777" w:rsidR="002107AD" w:rsidRDefault="00771476">
      <w:pPr>
        <w:pStyle w:val="Heading1"/>
        <w:ind w:left="-5"/>
      </w:pPr>
      <w:r>
        <w:t>Conclusion</w:t>
      </w:r>
      <w:r>
        <w:rPr>
          <w:b w:val="0"/>
          <w:sz w:val="24"/>
        </w:rPr>
        <w:t xml:space="preserve"> </w:t>
      </w:r>
    </w:p>
    <w:p w14:paraId="2C39E9F2" w14:textId="77777777" w:rsidR="00D9226C" w:rsidRDefault="00D9226C" w:rsidP="00D64AE2">
      <w:pPr>
        <w:ind w:left="0" w:right="5" w:firstLine="0"/>
      </w:pPr>
      <w:r w:rsidRPr="00D9226C">
        <w:t>The current study emphasizes how important academic resilience is to raising pupils' academic performance. The results showed that females had much greater academic resilience than boys, indicating that gender differences may affect coping mechanisms and flexibility in educational settings. However, there were no discernible variations between students in the Arts, Science, and Commerce streams, suggesting that academic resilience is independent of subject. Furthermore, the strong positive relationship between academic achievement and academic resilience emphasizes how crucial it is to develop resilience as a way to boost performance.</w:t>
      </w:r>
    </w:p>
    <w:p w14:paraId="1DE59100" w14:textId="200AC2AD" w:rsidR="00D64AE2" w:rsidRPr="00D64AE2" w:rsidRDefault="00D64AE2" w:rsidP="00D64AE2">
      <w:pPr>
        <w:ind w:left="-5" w:right="5"/>
      </w:pPr>
      <w:r>
        <w:t>T</w:t>
      </w:r>
      <w:r w:rsidRPr="00D64AE2">
        <w:t>hese findings also indicated that interventions to foster academic resilience,</w:t>
      </w:r>
      <w:r w:rsidRPr="00D64AE2">
        <w:t> </w:t>
      </w:r>
      <w:r w:rsidRPr="00D64AE2">
        <w:t>i.e., problem-solving, positive thinking and emotional support would be useful for all students irrespective of gender or streams in education. Educators, parents, and policymakers might work together to establish supportive learning environments that</w:t>
      </w:r>
      <w:r w:rsidRPr="00D64AE2">
        <w:t> </w:t>
      </w:r>
      <w:r w:rsidRPr="00D64AE2">
        <w:t>contribute to students’ persistent effort and adaptive coping. The enhancement of academic resilience assists</w:t>
      </w:r>
      <w:r w:rsidRPr="00D64AE2">
        <w:t> </w:t>
      </w:r>
      <w:r w:rsidRPr="00D64AE2">
        <w:t>students not just to recover from academic setbacks, but also to naturally have them prepared for any future trials.</w:t>
      </w:r>
    </w:p>
    <w:p w14:paraId="14291358" w14:textId="77777777" w:rsidR="00D64AE2" w:rsidRPr="00D9226C" w:rsidRDefault="00D64AE2" w:rsidP="00D9226C">
      <w:pPr>
        <w:ind w:left="-5" w:right="5"/>
      </w:pPr>
    </w:p>
    <w:p w14:paraId="1535FCC2" w14:textId="77777777" w:rsidR="00BC128A" w:rsidRDefault="00BC128A" w:rsidP="00BC128A">
      <w:pPr>
        <w:ind w:left="-5" w:right="5"/>
      </w:pPr>
      <w:r>
        <w:t>COMPETING INTERESTS DISCLAIMER:</w:t>
      </w:r>
    </w:p>
    <w:p w14:paraId="20BE111A" w14:textId="532E5686" w:rsidR="00D9226C" w:rsidRDefault="00BC128A" w:rsidP="00BC128A">
      <w:pPr>
        <w:ind w:left="-5" w:right="5"/>
      </w:pPr>
      <w:r>
        <w:t>Authors have declared that they have no known competing financial interests OR non-financial interests OR personal relationships that could have appeared to influence the work reported in this paper.</w:t>
      </w:r>
    </w:p>
    <w:p w14:paraId="415EE91E" w14:textId="5E89B94A" w:rsidR="002107AD" w:rsidRPr="00BC128A" w:rsidRDefault="00771476" w:rsidP="00BC128A">
      <w:pPr>
        <w:spacing w:after="274" w:line="259" w:lineRule="auto"/>
        <w:ind w:left="0" w:right="0" w:firstLine="0"/>
        <w:jc w:val="left"/>
        <w:rPr>
          <w:b/>
          <w:bCs/>
        </w:rPr>
      </w:pPr>
      <w:r w:rsidRPr="00BC128A">
        <w:rPr>
          <w:b/>
          <w:bCs/>
        </w:rPr>
        <w:t xml:space="preserve">References </w:t>
      </w:r>
    </w:p>
    <w:p w14:paraId="4240941D" w14:textId="56D7F95F" w:rsidR="002107AD" w:rsidRDefault="00B573FA" w:rsidP="00D66654">
      <w:pPr>
        <w:spacing w:after="273" w:line="259" w:lineRule="auto"/>
        <w:ind w:left="360" w:right="0" w:firstLine="0"/>
        <w:jc w:val="left"/>
      </w:pPr>
      <w:r w:rsidRPr="00B573FA">
        <w:t xml:space="preserve">Kader, N. A., &amp; Abad, M. (2017). A study of relationship between academic resilience and protective factors among senior secondary students. IOSR Journal of Humanities and Social Science, 22(11), 51-55. </w:t>
      </w:r>
      <w:hyperlink r:id="rId7" w:history="1">
        <w:r w:rsidRPr="002F29B3">
          <w:rPr>
            <w:rStyle w:val="Hyperlink"/>
          </w:rPr>
          <w:t>https://doi.org/10.9790/0837-2211035155</w:t>
        </w:r>
      </w:hyperlink>
      <w:r>
        <w:t xml:space="preserve"> </w:t>
      </w:r>
      <w:hyperlink r:id="rId8">
        <w:r w:rsidR="002107AD">
          <w:t xml:space="preserve"> </w:t>
        </w:r>
      </w:hyperlink>
    </w:p>
    <w:p w14:paraId="427EF806" w14:textId="0F7B842E" w:rsidR="002107AD" w:rsidRDefault="008A6F0B" w:rsidP="00D66654">
      <w:pPr>
        <w:ind w:left="360" w:right="5" w:firstLine="0"/>
      </w:pPr>
      <w:proofErr w:type="spellStart"/>
      <w:r w:rsidRPr="008A6F0B">
        <w:lastRenderedPageBreak/>
        <w:t>Amelasasih</w:t>
      </w:r>
      <w:proofErr w:type="spellEnd"/>
      <w:r w:rsidRPr="008A6F0B">
        <w:t xml:space="preserve">, P., </w:t>
      </w:r>
      <w:proofErr w:type="spellStart"/>
      <w:r w:rsidRPr="008A6F0B">
        <w:t>Aditama</w:t>
      </w:r>
      <w:proofErr w:type="spellEnd"/>
      <w:r w:rsidRPr="008A6F0B">
        <w:t xml:space="preserve">, S., &amp; Wijaya, M. R. (2018). </w:t>
      </w:r>
      <w:proofErr w:type="spellStart"/>
      <w:r w:rsidRPr="008A6F0B">
        <w:t>Resiliensi</w:t>
      </w:r>
      <w:proofErr w:type="spellEnd"/>
      <w:r w:rsidRPr="008A6F0B">
        <w:t xml:space="preserve"> </w:t>
      </w:r>
      <w:proofErr w:type="spellStart"/>
      <w:r w:rsidRPr="008A6F0B">
        <w:t>akademik</w:t>
      </w:r>
      <w:proofErr w:type="spellEnd"/>
      <w:r w:rsidRPr="008A6F0B">
        <w:t xml:space="preserve"> dan subjective well-being pada </w:t>
      </w:r>
      <w:proofErr w:type="spellStart"/>
      <w:r w:rsidRPr="008A6F0B">
        <w:t>mahasiswa</w:t>
      </w:r>
      <w:proofErr w:type="spellEnd"/>
      <w:r w:rsidRPr="008A6F0B">
        <w:t xml:space="preserve">. Proceeding National Conference </w:t>
      </w:r>
      <w:proofErr w:type="spellStart"/>
      <w:r w:rsidRPr="008A6F0B">
        <w:t>Psikologi</w:t>
      </w:r>
      <w:proofErr w:type="spellEnd"/>
      <w:r w:rsidRPr="008A6F0B">
        <w:t xml:space="preserve"> UMG 2018, 1(1), 161–167. </w:t>
      </w:r>
      <w:hyperlink r:id="rId9" w:history="1">
        <w:r w:rsidRPr="002F29B3">
          <w:rPr>
            <w:rStyle w:val="Hyperlink"/>
          </w:rPr>
          <w:t>https://journal.umg.ac.id/index.php/proceeding/article/view/917</w:t>
        </w:r>
      </w:hyperlink>
      <w:r>
        <w:t xml:space="preserve"> </w:t>
      </w:r>
      <w:hyperlink r:id="rId10">
        <w:r w:rsidR="002107AD">
          <w:t xml:space="preserve"> </w:t>
        </w:r>
      </w:hyperlink>
    </w:p>
    <w:p w14:paraId="1BFDCFB4" w14:textId="01F24B1E" w:rsidR="002107AD" w:rsidRDefault="002D07F0" w:rsidP="00D66654">
      <w:pPr>
        <w:ind w:left="360" w:right="5" w:firstLine="0"/>
      </w:pPr>
      <w:proofErr w:type="spellStart"/>
      <w:r w:rsidRPr="002D07F0">
        <w:t>Bala</w:t>
      </w:r>
      <w:proofErr w:type="spellEnd"/>
      <w:r w:rsidRPr="002D07F0">
        <w:t xml:space="preserve">, P. (2019). Gender differences in academic resilience among international students. Think India Journal, 22(16), 1211–1224. </w:t>
      </w:r>
      <w:hyperlink r:id="rId11" w:history="1">
        <w:r w:rsidRPr="002F29B3">
          <w:rPr>
            <w:rStyle w:val="Hyperlink"/>
          </w:rPr>
          <w:t>https://thinkindiaquarterly.org/index.php/think-india/issue/view/22-16</w:t>
        </w:r>
      </w:hyperlink>
      <w:r>
        <w:t xml:space="preserve"> </w:t>
      </w:r>
      <w:r w:rsidR="00771476">
        <w:t xml:space="preserve"> </w:t>
      </w:r>
    </w:p>
    <w:p w14:paraId="7315F7D7" w14:textId="0648AA67" w:rsidR="002107AD" w:rsidRDefault="004E54D9" w:rsidP="00D66654">
      <w:pPr>
        <w:ind w:left="360" w:right="5" w:firstLine="0"/>
      </w:pPr>
      <w:r w:rsidRPr="004E54D9">
        <w:t xml:space="preserve">Cassidy, S. (2016). The Academic Resilience Scale (ARS-30): A New Multidimensional Construct Measure. Frontiers in Psychology, 7, 1787. </w:t>
      </w:r>
      <w:hyperlink r:id="rId12" w:history="1">
        <w:r w:rsidRPr="002F29B3">
          <w:rPr>
            <w:rStyle w:val="Hyperlink"/>
          </w:rPr>
          <w:t>https://doi.org/10.3389/fpsyg.2016.01787</w:t>
        </w:r>
      </w:hyperlink>
      <w:r>
        <w:t xml:space="preserve"> </w:t>
      </w:r>
      <w:r w:rsidR="00771476">
        <w:t xml:space="preserve"> </w:t>
      </w:r>
    </w:p>
    <w:p w14:paraId="2CD1EFF0" w14:textId="77777777" w:rsidR="002107AD" w:rsidRDefault="00771476" w:rsidP="00D66654">
      <w:pPr>
        <w:spacing w:after="194"/>
        <w:ind w:left="360" w:right="5" w:firstLine="0"/>
      </w:pPr>
      <w:r>
        <w:t xml:space="preserve">Cheung, H. Y., Wan, C. K., Fan, W., Leong, F. T. L., &amp; </w:t>
      </w:r>
      <w:proofErr w:type="spellStart"/>
      <w:r>
        <w:t>Mok</w:t>
      </w:r>
      <w:proofErr w:type="spellEnd"/>
      <w:r>
        <w:t xml:space="preserve">, P. (2014). Student engagement and resilience: The roles of personal and contextual factors. </w:t>
      </w:r>
      <w:r w:rsidRPr="00D66654">
        <w:rPr>
          <w:i/>
        </w:rPr>
        <w:t>Educational Psychology, 34</w:t>
      </w:r>
      <w:r>
        <w:t xml:space="preserve">(2), 119–132. </w:t>
      </w:r>
      <w:hyperlink r:id="rId13">
        <w:r w:rsidR="002107AD" w:rsidRPr="00D66654">
          <w:rPr>
            <w:color w:val="0563C1"/>
            <w:u w:val="single" w:color="0563C1"/>
          </w:rPr>
          <w:t>https://doi.org/10.1080/01443410.2013.785046</w:t>
        </w:r>
      </w:hyperlink>
      <w:hyperlink r:id="rId14">
        <w:r w:rsidR="002107AD">
          <w:t xml:space="preserve"> </w:t>
        </w:r>
      </w:hyperlink>
    </w:p>
    <w:p w14:paraId="0CEE9558" w14:textId="77777777" w:rsidR="002107AD" w:rsidRDefault="00771476" w:rsidP="00D66654">
      <w:pPr>
        <w:ind w:left="360" w:right="5" w:firstLine="0"/>
      </w:pPr>
      <w:r>
        <w:t xml:space="preserve">Deb, A., </w:t>
      </w:r>
      <w:r>
        <w:tab/>
        <w:t xml:space="preserve">&amp; Arora, </w:t>
      </w:r>
      <w:r>
        <w:tab/>
        <w:t xml:space="preserve">M. </w:t>
      </w:r>
      <w:r>
        <w:tab/>
        <w:t xml:space="preserve">(2012). </w:t>
      </w:r>
      <w:r>
        <w:tab/>
        <w:t xml:space="preserve">Resilience </w:t>
      </w:r>
      <w:r>
        <w:tab/>
        <w:t xml:space="preserve">and </w:t>
      </w:r>
      <w:r>
        <w:tab/>
        <w:t xml:space="preserve">academic </w:t>
      </w:r>
      <w:r>
        <w:tab/>
        <w:t xml:space="preserve">achievement </w:t>
      </w:r>
      <w:r>
        <w:tab/>
        <w:t xml:space="preserve">among adolescents. </w:t>
      </w:r>
      <w:r w:rsidRPr="00D66654">
        <w:rPr>
          <w:i/>
        </w:rPr>
        <w:t>Journal of the Indian Academy of Applied Psychology</w:t>
      </w:r>
      <w:r>
        <w:t xml:space="preserve">, </w:t>
      </w:r>
      <w:r w:rsidRPr="00D66654">
        <w:rPr>
          <w:i/>
        </w:rPr>
        <w:t>38</w:t>
      </w:r>
      <w:r>
        <w:t xml:space="preserve">(1), 93-101. </w:t>
      </w:r>
    </w:p>
    <w:p w14:paraId="37E40B90" w14:textId="6123270E" w:rsidR="002107AD" w:rsidRDefault="008236B8" w:rsidP="00D66654">
      <w:pPr>
        <w:ind w:left="360" w:right="5" w:firstLine="0"/>
      </w:pPr>
      <w:r w:rsidRPr="008236B8">
        <w:t xml:space="preserve">De la Fuente, J., Fernández-Cabezas, M., </w:t>
      </w:r>
      <w:proofErr w:type="spellStart"/>
      <w:r w:rsidRPr="008236B8">
        <w:t>Cambil</w:t>
      </w:r>
      <w:proofErr w:type="spellEnd"/>
      <w:r w:rsidRPr="008236B8">
        <w:t xml:space="preserve">, M., Vera, M. M., González-Torres, M. C., &amp; </w:t>
      </w:r>
      <w:proofErr w:type="spellStart"/>
      <w:r w:rsidRPr="008236B8">
        <w:t>Artuch</w:t>
      </w:r>
      <w:proofErr w:type="spellEnd"/>
      <w:r w:rsidRPr="008236B8">
        <w:t xml:space="preserve">-Garde, R. (2017). Linear relationship between resilience, learning approaches, and coping strategies to predict achievement in undergraduate students. Frontiers in Psychology, 8, 1039. </w:t>
      </w:r>
      <w:hyperlink r:id="rId15" w:history="1">
        <w:r w:rsidRPr="002F29B3">
          <w:rPr>
            <w:rStyle w:val="Hyperlink"/>
          </w:rPr>
          <w:t>https://doi.org/10.3389/fpsyg.2017.01039</w:t>
        </w:r>
      </w:hyperlink>
      <w:r>
        <w:t xml:space="preserve"> </w:t>
      </w:r>
      <w:r w:rsidR="00771476">
        <w:t xml:space="preserve"> </w:t>
      </w:r>
    </w:p>
    <w:p w14:paraId="429C6ECD" w14:textId="7DD3EFE8" w:rsidR="002107AD" w:rsidRDefault="008236B8" w:rsidP="00D66654">
      <w:pPr>
        <w:ind w:left="360" w:right="5" w:firstLine="0"/>
      </w:pPr>
      <w:r w:rsidRPr="008236B8">
        <w:t xml:space="preserve">Fallon, C. M. (2010). School factors that promote academic resilience in urban Latino high school students. Loyola University, Chicago. </w:t>
      </w:r>
      <w:hyperlink r:id="rId16" w:history="1">
        <w:r w:rsidRPr="002F29B3">
          <w:rPr>
            <w:rStyle w:val="Hyperlink"/>
          </w:rPr>
          <w:t>https://ecommons.luc.edu/luc_diss/122</w:t>
        </w:r>
      </w:hyperlink>
      <w:r>
        <w:t xml:space="preserve"> </w:t>
      </w:r>
      <w:hyperlink r:id="rId17">
        <w:r w:rsidR="002107AD">
          <w:t xml:space="preserve"> </w:t>
        </w:r>
      </w:hyperlink>
    </w:p>
    <w:p w14:paraId="06538000" w14:textId="192B55C8" w:rsidR="002107AD" w:rsidRDefault="001956B1" w:rsidP="00D66654">
      <w:pPr>
        <w:ind w:left="360" w:right="5" w:firstLine="0"/>
      </w:pPr>
      <w:r w:rsidRPr="001956B1">
        <w:t xml:space="preserve">Frisby, B. N., </w:t>
      </w:r>
      <w:proofErr w:type="spellStart"/>
      <w:r w:rsidRPr="001956B1">
        <w:t>Hosek</w:t>
      </w:r>
      <w:proofErr w:type="spellEnd"/>
      <w:r w:rsidRPr="001956B1">
        <w:t xml:space="preserve">, A. M., &amp; Beck, A. C. (2020). The role of classroom relationships as sources of academic resilience and hope. Communication Quarterly, 68(3), 289-305. </w:t>
      </w:r>
      <w:hyperlink r:id="rId18" w:history="1">
        <w:r w:rsidRPr="002F29B3">
          <w:rPr>
            <w:rStyle w:val="Hyperlink"/>
          </w:rPr>
          <w:t>https://doi.org/10.1080/01463373.2020.1779099</w:t>
        </w:r>
      </w:hyperlink>
      <w:r>
        <w:t xml:space="preserve"> </w:t>
      </w:r>
      <w:r w:rsidR="00771476">
        <w:t xml:space="preserve"> </w:t>
      </w:r>
    </w:p>
    <w:p w14:paraId="4C622517" w14:textId="62299657" w:rsidR="002107AD" w:rsidRDefault="000A6E3A" w:rsidP="00D66654">
      <w:pPr>
        <w:ind w:left="360" w:right="5" w:firstLine="0"/>
      </w:pPr>
      <w:proofErr w:type="spellStart"/>
      <w:r w:rsidRPr="000A6E3A">
        <w:t>Fru-Ngongban</w:t>
      </w:r>
      <w:proofErr w:type="spellEnd"/>
      <w:r w:rsidRPr="000A6E3A">
        <w:t xml:space="preserve">, A. C. (2023). The impact of resilience on students' academic achievement: case study of secondary school students. Journal Transnational Universal Studies, 1(5), 206-213. </w:t>
      </w:r>
      <w:hyperlink r:id="rId19" w:history="1">
        <w:r w:rsidRPr="002F29B3">
          <w:rPr>
            <w:rStyle w:val="Hyperlink"/>
          </w:rPr>
          <w:t>https://doi.org/10.58631/jtus.v1i5.31</w:t>
        </w:r>
      </w:hyperlink>
      <w:r>
        <w:t xml:space="preserve"> </w:t>
      </w:r>
      <w:r w:rsidR="00771476">
        <w:t xml:space="preserve"> </w:t>
      </w:r>
    </w:p>
    <w:p w14:paraId="6C35B9D2" w14:textId="77777777" w:rsidR="002107AD" w:rsidRDefault="00771476" w:rsidP="00D66654">
      <w:pPr>
        <w:ind w:left="360" w:right="5" w:firstLine="0"/>
      </w:pPr>
      <w:proofErr w:type="spellStart"/>
      <w:r>
        <w:t>Gayen</w:t>
      </w:r>
      <w:proofErr w:type="spellEnd"/>
      <w:r>
        <w:t xml:space="preserve">, P. (2024). Academic resilience &amp; m-learning of undergraduate students: A correlational study. </w:t>
      </w:r>
      <w:r w:rsidRPr="00D66654">
        <w:rPr>
          <w:i/>
        </w:rPr>
        <w:t>Indian Journal of Multidisciplinary Research</w:t>
      </w:r>
      <w:r>
        <w:t xml:space="preserve">, </w:t>
      </w:r>
      <w:r w:rsidRPr="00D66654">
        <w:rPr>
          <w:i/>
        </w:rPr>
        <w:t>1</w:t>
      </w:r>
      <w:r>
        <w:t xml:space="preserve">, 35-39. </w:t>
      </w:r>
    </w:p>
    <w:p w14:paraId="64269EA7" w14:textId="1BC1FD36" w:rsidR="002107AD" w:rsidRDefault="002C59A5" w:rsidP="00D66654">
      <w:pPr>
        <w:ind w:left="360" w:right="5" w:firstLine="0"/>
      </w:pPr>
      <w:r w:rsidRPr="002C59A5">
        <w:lastRenderedPageBreak/>
        <w:t xml:space="preserve">Kader, N. A., &amp; Abad, M. (2017). A study of relationship between academic resilience and protective factors among senior secondary students. Journal of Humanities and Social Science, 22(11), 51-55. </w:t>
      </w:r>
      <w:hyperlink r:id="rId20" w:history="1">
        <w:r w:rsidRPr="002F29B3">
          <w:rPr>
            <w:rStyle w:val="Hyperlink"/>
          </w:rPr>
          <w:t>https://doi.org/10.9790/0837-2211035155</w:t>
        </w:r>
      </w:hyperlink>
      <w:r>
        <w:t xml:space="preserve"> </w:t>
      </w:r>
      <w:r w:rsidR="00771476">
        <w:t xml:space="preserve"> </w:t>
      </w:r>
    </w:p>
    <w:p w14:paraId="38A16621" w14:textId="4948B81E" w:rsidR="002107AD" w:rsidRDefault="00933AC4" w:rsidP="00D66654">
      <w:pPr>
        <w:ind w:left="360" w:right="5" w:firstLine="0"/>
      </w:pPr>
      <w:proofErr w:type="spellStart"/>
      <w:r w:rsidRPr="00933AC4">
        <w:t>Karabiyik</w:t>
      </w:r>
      <w:proofErr w:type="spellEnd"/>
      <w:r w:rsidRPr="00933AC4">
        <w:t xml:space="preserve">, C. (2020). Interaction between academic resilience and academic achievement of teacher trainees. International Online Journal of Education and Teaching, 7(4), 1585-1601. </w:t>
      </w:r>
      <w:hyperlink r:id="rId21" w:history="1">
        <w:r w:rsidRPr="002F29B3">
          <w:rPr>
            <w:rStyle w:val="Hyperlink"/>
          </w:rPr>
          <w:t>http://iojet.org/index.php/IOJET/article/view/1032</w:t>
        </w:r>
      </w:hyperlink>
      <w:r>
        <w:t xml:space="preserve"> </w:t>
      </w:r>
      <w:hyperlink r:id="rId22">
        <w:r w:rsidR="002107AD">
          <w:t xml:space="preserve"> </w:t>
        </w:r>
      </w:hyperlink>
    </w:p>
    <w:p w14:paraId="22D7C453" w14:textId="0E21A021" w:rsidR="002107AD" w:rsidRDefault="00933AC4" w:rsidP="00D66654">
      <w:pPr>
        <w:ind w:left="360" w:right="5" w:firstLine="0"/>
      </w:pPr>
      <w:proofErr w:type="spellStart"/>
      <w:r w:rsidRPr="00933AC4">
        <w:t>Kwek</w:t>
      </w:r>
      <w:proofErr w:type="spellEnd"/>
      <w:r w:rsidRPr="00933AC4">
        <w:t xml:space="preserve">, A., Bui, H. T., </w:t>
      </w:r>
      <w:proofErr w:type="spellStart"/>
      <w:r w:rsidRPr="00933AC4">
        <w:t>Rynne</w:t>
      </w:r>
      <w:proofErr w:type="spellEnd"/>
      <w:r w:rsidRPr="00933AC4">
        <w:t xml:space="preserve">, J., &amp; So, K. K. F. (2013). The impacts of self-esteem and resilience on academic performance: An investigation of domestic and international hospitality and tourism undergraduate students. Journal of Hospitality &amp; Tourism Education, 25(3), 110–122. </w:t>
      </w:r>
      <w:hyperlink r:id="rId23" w:history="1">
        <w:r w:rsidRPr="002F29B3">
          <w:rPr>
            <w:rStyle w:val="Hyperlink"/>
          </w:rPr>
          <w:t>https://doi.org/10.1080/10963758.2013.826946</w:t>
        </w:r>
      </w:hyperlink>
      <w:r>
        <w:t xml:space="preserve"> </w:t>
      </w:r>
      <w:r w:rsidR="00771476">
        <w:t xml:space="preserve"> </w:t>
      </w:r>
    </w:p>
    <w:p w14:paraId="4A9370CE" w14:textId="47217137" w:rsidR="002107AD" w:rsidRDefault="00933AC4" w:rsidP="00D66654">
      <w:pPr>
        <w:ind w:left="360" w:right="5" w:firstLine="0"/>
      </w:pPr>
      <w:r w:rsidRPr="00933AC4">
        <w:t xml:space="preserve">Mallick, M. K., &amp; Kaur, S. (2016). Academic Resilience among Senior Secondary School Students: Influence of Learning Environment. </w:t>
      </w:r>
      <w:proofErr w:type="spellStart"/>
      <w:r w:rsidRPr="00933AC4">
        <w:t>Rupkatha</w:t>
      </w:r>
      <w:proofErr w:type="spellEnd"/>
      <w:r w:rsidRPr="00933AC4">
        <w:t xml:space="preserve"> Journal on Interdisciplinary Studies in Humanities, 8(2). </w:t>
      </w:r>
      <w:hyperlink r:id="rId24" w:history="1">
        <w:r w:rsidRPr="002F29B3">
          <w:rPr>
            <w:rStyle w:val="Hyperlink"/>
          </w:rPr>
          <w:t>https://doi.org/10.21659/rupkatha.v8n2.03</w:t>
        </w:r>
      </w:hyperlink>
      <w:r>
        <w:t xml:space="preserve"> </w:t>
      </w:r>
      <w:r w:rsidR="00771476">
        <w:t xml:space="preserve"> </w:t>
      </w:r>
    </w:p>
    <w:p w14:paraId="155B61B6" w14:textId="6AA409A5" w:rsidR="002107AD" w:rsidRDefault="00933AC4" w:rsidP="00D66654">
      <w:pPr>
        <w:spacing w:after="3"/>
        <w:ind w:left="360" w:right="5" w:firstLine="0"/>
      </w:pPr>
      <w:r w:rsidRPr="00933AC4">
        <w:t xml:space="preserve">Martin, A. J., &amp; Marsh, H. W. (2006). Academic resilience and its psychological and educational correlates: A construct validity approach. Psychology in the Schools, 43, 267-282. </w:t>
      </w:r>
      <w:hyperlink r:id="rId25" w:history="1">
        <w:r w:rsidRPr="002F29B3">
          <w:rPr>
            <w:rStyle w:val="Hyperlink"/>
          </w:rPr>
          <w:t>https://doi.org/10.1002/pits.20149</w:t>
        </w:r>
      </w:hyperlink>
      <w:r>
        <w:t xml:space="preserve"> </w:t>
      </w:r>
      <w:r w:rsidR="00771476">
        <w:t xml:space="preserve">. </w:t>
      </w:r>
    </w:p>
    <w:p w14:paraId="015FFDE1" w14:textId="66B67AE5" w:rsidR="002107AD" w:rsidRDefault="00933AC4" w:rsidP="00D66654">
      <w:pPr>
        <w:ind w:left="360" w:right="5" w:firstLine="0"/>
      </w:pPr>
      <w:r w:rsidRPr="00933AC4">
        <w:t xml:space="preserve">Perez, W., Espinoza, R., Ramos, K., Coronado, H. M., &amp; Cortes, R. (2009). Academic resilience among undocumented Latino students. Hispanic Journal of </w:t>
      </w:r>
      <w:proofErr w:type="spellStart"/>
      <w:r w:rsidRPr="00933AC4">
        <w:t>Behavioral</w:t>
      </w:r>
      <w:proofErr w:type="spellEnd"/>
      <w:r w:rsidRPr="00933AC4">
        <w:t xml:space="preserve"> Sciences, 31(2), 149-181. </w:t>
      </w:r>
      <w:hyperlink r:id="rId26" w:history="1">
        <w:r w:rsidRPr="002F29B3">
          <w:rPr>
            <w:rStyle w:val="Hyperlink"/>
          </w:rPr>
          <w:t>https://doi.org/10.1177/0739986309333020</w:t>
        </w:r>
      </w:hyperlink>
      <w:r>
        <w:t xml:space="preserve"> </w:t>
      </w:r>
      <w:r w:rsidR="00771476">
        <w:t xml:space="preserve"> </w:t>
      </w:r>
    </w:p>
    <w:p w14:paraId="5A9B4C1F" w14:textId="1438A422" w:rsidR="002107AD" w:rsidRDefault="00F52573" w:rsidP="00D66654">
      <w:pPr>
        <w:ind w:left="360" w:right="5" w:firstLine="0"/>
      </w:pPr>
      <w:proofErr w:type="spellStart"/>
      <w:r w:rsidRPr="00F52573">
        <w:t>Permatasari</w:t>
      </w:r>
      <w:proofErr w:type="spellEnd"/>
      <w:r w:rsidRPr="00F52573">
        <w:t xml:space="preserve">, N., </w:t>
      </w:r>
      <w:proofErr w:type="spellStart"/>
      <w:r w:rsidRPr="00F52573">
        <w:t>Ashari</w:t>
      </w:r>
      <w:proofErr w:type="spellEnd"/>
      <w:r w:rsidRPr="00F52573">
        <w:t xml:space="preserve">, F. R., &amp; Ismail, N. (2021). Contribution of perceived social support (peer, family, and teacher) to academic resilience during COVID-19. Golden Ratio of Social Science and Education, 1(1), 01-12. </w:t>
      </w:r>
      <w:hyperlink r:id="rId27" w:history="1">
        <w:r w:rsidRPr="002F29B3">
          <w:rPr>
            <w:rStyle w:val="Hyperlink"/>
          </w:rPr>
          <w:t>https://doi.org/10.52970/grsse.v1i1.94</w:t>
        </w:r>
      </w:hyperlink>
      <w:r>
        <w:t xml:space="preserve"> </w:t>
      </w:r>
      <w:r w:rsidR="00771476">
        <w:t xml:space="preserve"> </w:t>
      </w:r>
    </w:p>
    <w:p w14:paraId="12C421A0" w14:textId="2C752E00" w:rsidR="002107AD" w:rsidRDefault="00F52573" w:rsidP="00D66654">
      <w:pPr>
        <w:ind w:left="360" w:right="5" w:firstLine="0"/>
      </w:pPr>
      <w:proofErr w:type="spellStart"/>
      <w:r w:rsidRPr="00F52573">
        <w:t>Rachmawati</w:t>
      </w:r>
      <w:proofErr w:type="spellEnd"/>
      <w:r w:rsidRPr="00F52573">
        <w:t xml:space="preserve">, I., </w:t>
      </w:r>
      <w:proofErr w:type="spellStart"/>
      <w:r w:rsidRPr="00F52573">
        <w:t>Setyosari</w:t>
      </w:r>
      <w:proofErr w:type="spellEnd"/>
      <w:r w:rsidRPr="00F52573">
        <w:t xml:space="preserve">, P., </w:t>
      </w:r>
      <w:proofErr w:type="spellStart"/>
      <w:r w:rsidRPr="00F52573">
        <w:t>Handarini</w:t>
      </w:r>
      <w:proofErr w:type="spellEnd"/>
      <w:r w:rsidRPr="00F52573">
        <w:t xml:space="preserve">, D. M., &amp; </w:t>
      </w:r>
      <w:proofErr w:type="spellStart"/>
      <w:r w:rsidRPr="00F52573">
        <w:t>Hambali</w:t>
      </w:r>
      <w:proofErr w:type="spellEnd"/>
      <w:r w:rsidRPr="00F52573">
        <w:t xml:space="preserve">, I. M. (2021). Do social support and self-efficacy correlate with academic resilience among adolescence? International Journal of Learning and Change, 13(1), 49-62. </w:t>
      </w:r>
      <w:hyperlink r:id="rId28" w:history="1">
        <w:r w:rsidRPr="002F29B3">
          <w:rPr>
            <w:rStyle w:val="Hyperlink"/>
          </w:rPr>
          <w:t>https://doi.org/10.1504/IJLC.2021.111664</w:t>
        </w:r>
      </w:hyperlink>
      <w:r>
        <w:t xml:space="preserve"> </w:t>
      </w:r>
      <w:r w:rsidR="00771476">
        <w:t xml:space="preserve"> </w:t>
      </w:r>
    </w:p>
    <w:p w14:paraId="094AA655" w14:textId="02EB5E1F" w:rsidR="002107AD" w:rsidRDefault="00D117DA" w:rsidP="00D66654">
      <w:pPr>
        <w:ind w:left="360" w:right="5" w:firstLine="0"/>
      </w:pPr>
      <w:proofErr w:type="spellStart"/>
      <w:r w:rsidRPr="00D117DA">
        <w:t>Sandayanti</w:t>
      </w:r>
      <w:proofErr w:type="spellEnd"/>
      <w:r w:rsidRPr="00D117DA">
        <w:t xml:space="preserve">, V., </w:t>
      </w:r>
      <w:proofErr w:type="spellStart"/>
      <w:r w:rsidRPr="00D117DA">
        <w:t>Supriyati</w:t>
      </w:r>
      <w:proofErr w:type="spellEnd"/>
      <w:r w:rsidRPr="00D117DA">
        <w:t xml:space="preserve">, &amp; </w:t>
      </w:r>
      <w:proofErr w:type="spellStart"/>
      <w:r w:rsidRPr="00D117DA">
        <w:t>Harkina</w:t>
      </w:r>
      <w:proofErr w:type="spellEnd"/>
      <w:r w:rsidRPr="00D117DA">
        <w:t xml:space="preserve">, P. (2025). Predicting Academic Resilience: The Role of Emotional Intelligence, Self-Efficacy, and Gender Differences in University Students. Nusantara Journal of </w:t>
      </w:r>
      <w:proofErr w:type="spellStart"/>
      <w:r w:rsidRPr="00D117DA">
        <w:t>Behavioral</w:t>
      </w:r>
      <w:proofErr w:type="spellEnd"/>
      <w:r w:rsidRPr="00D117DA">
        <w:t xml:space="preserve"> and Social Science. </w:t>
      </w:r>
      <w:hyperlink r:id="rId29" w:history="1">
        <w:r w:rsidRPr="002F29B3">
          <w:rPr>
            <w:rStyle w:val="Hyperlink"/>
          </w:rPr>
          <w:t>https://doi.org/10.47679/njbss.202590</w:t>
        </w:r>
      </w:hyperlink>
      <w:r>
        <w:t xml:space="preserve"> </w:t>
      </w:r>
      <w:r w:rsidR="00771476">
        <w:t xml:space="preserve"> </w:t>
      </w:r>
    </w:p>
    <w:p w14:paraId="0FDBCEFE" w14:textId="2FED1CB0" w:rsidR="002107AD" w:rsidRDefault="00BB2824" w:rsidP="00D66654">
      <w:pPr>
        <w:ind w:left="360" w:right="5" w:firstLine="0"/>
      </w:pPr>
      <w:proofErr w:type="spellStart"/>
      <w:r w:rsidRPr="00BB2824">
        <w:lastRenderedPageBreak/>
        <w:t>Shengyao</w:t>
      </w:r>
      <w:proofErr w:type="spellEnd"/>
      <w:r w:rsidRPr="00BB2824">
        <w:t xml:space="preserve">, Y., </w:t>
      </w:r>
      <w:proofErr w:type="spellStart"/>
      <w:r w:rsidRPr="00BB2824">
        <w:t>Salarzadeh</w:t>
      </w:r>
      <w:proofErr w:type="spellEnd"/>
      <w:r w:rsidRPr="00BB2824">
        <w:t xml:space="preserve"> </w:t>
      </w:r>
      <w:proofErr w:type="spellStart"/>
      <w:r w:rsidRPr="00BB2824">
        <w:t>Jenatabadi</w:t>
      </w:r>
      <w:proofErr w:type="spellEnd"/>
      <w:r w:rsidRPr="00BB2824">
        <w:t xml:space="preserve">, H., </w:t>
      </w:r>
      <w:proofErr w:type="spellStart"/>
      <w:r w:rsidRPr="00BB2824">
        <w:t>Mengshi</w:t>
      </w:r>
      <w:proofErr w:type="spellEnd"/>
      <w:r w:rsidRPr="00BB2824">
        <w:t xml:space="preserve">, Y., </w:t>
      </w:r>
      <w:proofErr w:type="spellStart"/>
      <w:r w:rsidRPr="00BB2824">
        <w:t>Minqin</w:t>
      </w:r>
      <w:proofErr w:type="spellEnd"/>
      <w:r w:rsidRPr="00BB2824">
        <w:t xml:space="preserve">, C., </w:t>
      </w:r>
      <w:proofErr w:type="spellStart"/>
      <w:r w:rsidRPr="00BB2824">
        <w:t>Xuefen</w:t>
      </w:r>
      <w:proofErr w:type="spellEnd"/>
      <w:r w:rsidRPr="00BB2824">
        <w:t xml:space="preserve">, L., &amp; Mustafa, Z. (2024). Academic resilience, self-efficacy, and motivation: the role of parenting style. Scientific reports, 14(1), 5571. </w:t>
      </w:r>
      <w:hyperlink r:id="rId30" w:history="1">
        <w:r w:rsidRPr="002F29B3">
          <w:rPr>
            <w:rStyle w:val="Hyperlink"/>
          </w:rPr>
          <w:t>https://doi.org/10.1038/s41598-024-55530-7</w:t>
        </w:r>
      </w:hyperlink>
      <w:r>
        <w:t xml:space="preserve"> </w:t>
      </w:r>
    </w:p>
    <w:sectPr w:rsidR="002107AD">
      <w:headerReference w:type="even" r:id="rId31"/>
      <w:headerReference w:type="default" r:id="rId32"/>
      <w:footerReference w:type="even" r:id="rId33"/>
      <w:footerReference w:type="default" r:id="rId34"/>
      <w:headerReference w:type="first" r:id="rId35"/>
      <w:footerReference w:type="first" r:id="rId36"/>
      <w:pgSz w:w="11906" w:h="16838"/>
      <w:pgMar w:top="1445" w:right="1421" w:bottom="1492" w:left="1440" w:header="720"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36571" w14:textId="77777777" w:rsidR="00CD3756" w:rsidRDefault="00CD3756">
      <w:pPr>
        <w:spacing w:after="0" w:line="240" w:lineRule="auto"/>
      </w:pPr>
      <w:r>
        <w:separator/>
      </w:r>
    </w:p>
  </w:endnote>
  <w:endnote w:type="continuationSeparator" w:id="0">
    <w:p w14:paraId="3943580A" w14:textId="77777777" w:rsidR="00CD3756" w:rsidRDefault="00CD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85BC0"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54BE79"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CD41" w14:textId="77777777" w:rsidR="002107AD" w:rsidRDefault="00771476">
    <w:pPr>
      <w:spacing w:after="712" w:line="259" w:lineRule="auto"/>
      <w:ind w:left="0" w:right="0" w:firstLine="0"/>
      <w:jc w:val="left"/>
    </w:pPr>
    <w:r>
      <w:t xml:space="preserve"> </w:t>
    </w:r>
  </w:p>
  <w:p w14:paraId="33E20789"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w:t>
    </w:r>
  </w:p>
  <w:p w14:paraId="0147F335"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4E5BC" w14:textId="77777777" w:rsidR="002107AD" w:rsidRDefault="00771476">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43E57F5" w14:textId="77777777" w:rsidR="002107AD" w:rsidRDefault="0077147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3CF3" w14:textId="77777777" w:rsidR="00CD3756" w:rsidRDefault="00CD3756">
      <w:pPr>
        <w:spacing w:after="0" w:line="240" w:lineRule="auto"/>
      </w:pPr>
      <w:r>
        <w:separator/>
      </w:r>
    </w:p>
  </w:footnote>
  <w:footnote w:type="continuationSeparator" w:id="0">
    <w:p w14:paraId="4398037D" w14:textId="77777777" w:rsidR="00CD3756" w:rsidRDefault="00CD3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55F5" w14:textId="4B4D9477" w:rsidR="00F45475" w:rsidRDefault="00F45475">
    <w:pPr>
      <w:pStyle w:val="Header"/>
    </w:pPr>
    <w:r>
      <w:rPr>
        <w:noProof/>
      </w:rPr>
      <w:pict w14:anchorId="050C7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8" o:spid="_x0000_s2050" type="#_x0000_t136" style="position:absolute;left:0;text-align:left;margin-left:0;margin-top:0;width:572.95pt;height:64.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7001" w14:textId="225C6806" w:rsidR="00F45475" w:rsidRDefault="00F45475">
    <w:pPr>
      <w:pStyle w:val="Header"/>
    </w:pPr>
    <w:r>
      <w:rPr>
        <w:noProof/>
      </w:rPr>
      <w:pict w14:anchorId="3FD67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9" o:spid="_x0000_s2051" type="#_x0000_t136" style="position:absolute;left:0;text-align:left;margin-left:0;margin-top:0;width:572.95pt;height:64.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8B95" w14:textId="13CB3B80" w:rsidR="00F45475" w:rsidRDefault="00F45475">
    <w:pPr>
      <w:pStyle w:val="Header"/>
    </w:pPr>
    <w:r>
      <w:rPr>
        <w:noProof/>
      </w:rPr>
      <w:pict w14:anchorId="6753C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0437" o:spid="_x0000_s2049" type="#_x0000_t136" style="position:absolute;left:0;text-align:left;margin-left:0;margin-top:0;width:572.95pt;height:64.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3872"/>
    <w:multiLevelType w:val="hybridMultilevel"/>
    <w:tmpl w:val="71322E7A"/>
    <w:lvl w:ilvl="0" w:tplc="4322EF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A7F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685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6DA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238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A64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481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E88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C4C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F4DBF"/>
    <w:multiLevelType w:val="hybridMultilevel"/>
    <w:tmpl w:val="A58A2AB4"/>
    <w:lvl w:ilvl="0" w:tplc="C664721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4FA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0AE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CD9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8A8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2C28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E01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41E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625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95F2E"/>
    <w:multiLevelType w:val="hybridMultilevel"/>
    <w:tmpl w:val="4058EA74"/>
    <w:lvl w:ilvl="0" w:tplc="1B2E29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279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8EB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4CE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CE6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24C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C3B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E6D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A8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7459E6"/>
    <w:multiLevelType w:val="hybridMultilevel"/>
    <w:tmpl w:val="47B8C720"/>
    <w:lvl w:ilvl="0" w:tplc="8E9A372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F2E5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AD9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DE0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A2A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8A9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460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D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6B9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9656B2"/>
    <w:multiLevelType w:val="hybridMultilevel"/>
    <w:tmpl w:val="5A2C9E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E5363B8"/>
    <w:multiLevelType w:val="hybridMultilevel"/>
    <w:tmpl w:val="8E6EA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89315C8"/>
    <w:multiLevelType w:val="hybridMultilevel"/>
    <w:tmpl w:val="A5228E6A"/>
    <w:lvl w:ilvl="0" w:tplc="1E1A38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649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CC0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083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A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AD9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65C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E69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6E1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AD"/>
    <w:rsid w:val="000462BB"/>
    <w:rsid w:val="0007318C"/>
    <w:rsid w:val="000A6E3A"/>
    <w:rsid w:val="001956B1"/>
    <w:rsid w:val="002107AD"/>
    <w:rsid w:val="00217190"/>
    <w:rsid w:val="0029316A"/>
    <w:rsid w:val="002C59A5"/>
    <w:rsid w:val="002D07F0"/>
    <w:rsid w:val="002D4C7D"/>
    <w:rsid w:val="002F196C"/>
    <w:rsid w:val="00356376"/>
    <w:rsid w:val="003B1207"/>
    <w:rsid w:val="0044038C"/>
    <w:rsid w:val="004E54D9"/>
    <w:rsid w:val="005F0D7A"/>
    <w:rsid w:val="00743F4E"/>
    <w:rsid w:val="00771476"/>
    <w:rsid w:val="008236B8"/>
    <w:rsid w:val="00841364"/>
    <w:rsid w:val="008A6F0B"/>
    <w:rsid w:val="00933AC4"/>
    <w:rsid w:val="00AB0D2F"/>
    <w:rsid w:val="00AD75E6"/>
    <w:rsid w:val="00B573FA"/>
    <w:rsid w:val="00BB2824"/>
    <w:rsid w:val="00BC128A"/>
    <w:rsid w:val="00BC4186"/>
    <w:rsid w:val="00BE74B6"/>
    <w:rsid w:val="00C71770"/>
    <w:rsid w:val="00CB25DD"/>
    <w:rsid w:val="00CD3756"/>
    <w:rsid w:val="00CF3B34"/>
    <w:rsid w:val="00D03087"/>
    <w:rsid w:val="00D117DA"/>
    <w:rsid w:val="00D61CBE"/>
    <w:rsid w:val="00D64AE2"/>
    <w:rsid w:val="00D66654"/>
    <w:rsid w:val="00D9226C"/>
    <w:rsid w:val="00E36C75"/>
    <w:rsid w:val="00F45475"/>
    <w:rsid w:val="00F52573"/>
    <w:rsid w:val="00F6206F"/>
    <w:rsid w:val="00F6339C"/>
    <w:rsid w:val="00F8706A"/>
    <w:rsid w:val="00FA73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B3319"/>
  <w15:docId w15:val="{870521F5-E266-4334-AC0A-01CC152F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6" w:line="355" w:lineRule="auto"/>
      <w:ind w:left="10" w:right="1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8"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F196C"/>
    <w:rPr>
      <w:color w:val="0563C1" w:themeColor="hyperlink"/>
      <w:u w:val="single"/>
    </w:rPr>
  </w:style>
  <w:style w:type="character" w:styleId="UnresolvedMention">
    <w:name w:val="Unresolved Mention"/>
    <w:basedOn w:val="DefaultParagraphFont"/>
    <w:uiPriority w:val="99"/>
    <w:semiHidden/>
    <w:unhideWhenUsed/>
    <w:rsid w:val="002F196C"/>
    <w:rPr>
      <w:color w:val="605E5C"/>
      <w:shd w:val="clear" w:color="auto" w:fill="E1DFDD"/>
    </w:rPr>
  </w:style>
  <w:style w:type="paragraph" w:styleId="ListParagraph">
    <w:name w:val="List Paragraph"/>
    <w:basedOn w:val="Normal"/>
    <w:uiPriority w:val="34"/>
    <w:qFormat/>
    <w:rsid w:val="00B573FA"/>
    <w:pPr>
      <w:ind w:left="720"/>
      <w:contextualSpacing/>
    </w:pPr>
  </w:style>
  <w:style w:type="paragraph" w:styleId="Header">
    <w:name w:val="header"/>
    <w:basedOn w:val="Normal"/>
    <w:link w:val="HeaderChar"/>
    <w:uiPriority w:val="99"/>
    <w:unhideWhenUsed/>
    <w:rsid w:val="00F4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7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80/01443410.2013.785046" TargetMode="External"/><Relationship Id="rId18" Type="http://schemas.openxmlformats.org/officeDocument/2006/relationships/hyperlink" Target="https://doi.org/10.1080/01463373.2020.1779099" TargetMode="External"/><Relationship Id="rId26" Type="http://schemas.openxmlformats.org/officeDocument/2006/relationships/hyperlink" Target="https://doi.org/10.1177/0739986309333020" TargetMode="External"/><Relationship Id="rId21" Type="http://schemas.openxmlformats.org/officeDocument/2006/relationships/hyperlink" Target="http://iojet.org/index.php/IOJET/article/view/1032" TargetMode="External"/><Relationship Id="rId34" Type="http://schemas.openxmlformats.org/officeDocument/2006/relationships/footer" Target="footer2.xml"/><Relationship Id="rId7" Type="http://schemas.openxmlformats.org/officeDocument/2006/relationships/hyperlink" Target="https://doi.org/10.9790/0837-2211035155" TargetMode="External"/><Relationship Id="rId12" Type="http://schemas.openxmlformats.org/officeDocument/2006/relationships/hyperlink" Target="https://doi.org/10.3389/fpsyg.2016.01787" TargetMode="External"/><Relationship Id="rId17" Type="http://schemas.openxmlformats.org/officeDocument/2006/relationships/hyperlink" Target="https://ecommons.luc.edu/luc_diss/122" TargetMode="External"/><Relationship Id="rId25" Type="http://schemas.openxmlformats.org/officeDocument/2006/relationships/hyperlink" Target="https://doi.org/10.1002/pits.2014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commons.luc.edu/luc_diss/122" TargetMode="External"/><Relationship Id="rId20" Type="http://schemas.openxmlformats.org/officeDocument/2006/relationships/hyperlink" Target="https://doi.org/10.9790/0837-2211035155" TargetMode="External"/><Relationship Id="rId29" Type="http://schemas.openxmlformats.org/officeDocument/2006/relationships/hyperlink" Target="https://doi.org/10.47679/njbss.2025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inkindiaquarterly.org/index.php/think-india/issue/view/22-16" TargetMode="External"/><Relationship Id="rId24" Type="http://schemas.openxmlformats.org/officeDocument/2006/relationships/hyperlink" Target="https://doi.org/10.21659/rupkatha.v8n2.0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9/fpsyg.2017.01039" TargetMode="External"/><Relationship Id="rId23" Type="http://schemas.openxmlformats.org/officeDocument/2006/relationships/hyperlink" Target="https://doi.org/10.1080/10963758.2013.826946" TargetMode="External"/><Relationship Id="rId28" Type="http://schemas.openxmlformats.org/officeDocument/2006/relationships/hyperlink" Target="https://doi.org/10.1504/IJLC.2021.111664" TargetMode="External"/><Relationship Id="rId36" Type="http://schemas.openxmlformats.org/officeDocument/2006/relationships/footer" Target="footer3.xml"/><Relationship Id="rId10" Type="http://schemas.openxmlformats.org/officeDocument/2006/relationships/hyperlink" Target="https://journal.umg.ac.id/index.php/proceeding/article/view/917" TargetMode="External"/><Relationship Id="rId19" Type="http://schemas.openxmlformats.org/officeDocument/2006/relationships/hyperlink" Target="https://doi.org/10.58631/jtus.v1i5.3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umg.ac.id/index.php/proceeding/article/view/917" TargetMode="External"/><Relationship Id="rId14" Type="http://schemas.openxmlformats.org/officeDocument/2006/relationships/hyperlink" Target="https://doi.org/10.1080/01443410.2013.785046" TargetMode="External"/><Relationship Id="rId22" Type="http://schemas.openxmlformats.org/officeDocument/2006/relationships/hyperlink" Target="http://iojet.org/index.php/IOJET/article/view/1032" TargetMode="External"/><Relationship Id="rId27" Type="http://schemas.openxmlformats.org/officeDocument/2006/relationships/hyperlink" Target="https://doi.org/10.52970/grsse.v1i1.94" TargetMode="External"/><Relationship Id="rId30" Type="http://schemas.openxmlformats.org/officeDocument/2006/relationships/hyperlink" Target="https://doi.org/10.1038/s41598-024-55530-7" TargetMode="External"/><Relationship Id="rId35" Type="http://schemas.openxmlformats.org/officeDocument/2006/relationships/header" Target="header3.xml"/><Relationship Id="rId8" Type="http://schemas.openxmlformats.org/officeDocument/2006/relationships/hyperlink" Target="https://doi.org/10.9790/0837-22110351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SDI 1084</cp:lastModifiedBy>
  <cp:revision>45</cp:revision>
  <dcterms:created xsi:type="dcterms:W3CDTF">2025-12-12T05:42:00Z</dcterms:created>
  <dcterms:modified xsi:type="dcterms:W3CDTF">2025-12-18T09:34:00Z</dcterms:modified>
</cp:coreProperties>
</file>