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64F36" w14:textId="7C31B1EE" w:rsidR="00754C9A" w:rsidRDefault="003C2C72" w:rsidP="00441B6F">
      <w:pPr>
        <w:pStyle w:val="Title"/>
        <w:spacing w:after="0"/>
        <w:jc w:val="both"/>
        <w:rPr>
          <w:rFonts w:ascii="Arial" w:hAnsi="Arial" w:cs="Arial"/>
          <w:sz w:val="32"/>
          <w:szCs w:val="18"/>
          <w:u w:val="single"/>
        </w:rPr>
      </w:pPr>
      <w:r w:rsidRPr="003C2C72">
        <w:rPr>
          <w:rFonts w:ascii="Arial" w:hAnsi="Arial" w:cs="Arial"/>
          <w:sz w:val="32"/>
          <w:szCs w:val="18"/>
          <w:u w:val="single"/>
        </w:rPr>
        <w:t>Original Research Article</w:t>
      </w:r>
    </w:p>
    <w:p w14:paraId="1543113B" w14:textId="77777777" w:rsidR="003C2C72" w:rsidRPr="003C2C72" w:rsidRDefault="003C2C72" w:rsidP="00441B6F">
      <w:pPr>
        <w:pStyle w:val="Title"/>
        <w:spacing w:after="0"/>
        <w:jc w:val="both"/>
        <w:rPr>
          <w:rFonts w:ascii="Arial" w:hAnsi="Arial" w:cs="Arial"/>
          <w:sz w:val="32"/>
          <w:szCs w:val="18"/>
          <w:u w:val="single"/>
        </w:rPr>
      </w:pPr>
    </w:p>
    <w:p w14:paraId="618725FD" w14:textId="6E520CC4" w:rsidR="00A258C3" w:rsidRPr="00790ADA" w:rsidRDefault="00655C4F" w:rsidP="00655C4F">
      <w:pPr>
        <w:pStyle w:val="Author"/>
        <w:spacing w:line="240" w:lineRule="auto"/>
        <w:rPr>
          <w:rFonts w:ascii="Arial" w:hAnsi="Arial" w:cs="Arial"/>
          <w:sz w:val="36"/>
        </w:rPr>
      </w:pPr>
      <w:r w:rsidRPr="00655C4F">
        <w:rPr>
          <w:rFonts w:ascii="Arial" w:hAnsi="Arial" w:cs="Arial"/>
          <w:bCs/>
          <w:iCs/>
          <w:kern w:val="28"/>
          <w:sz w:val="36"/>
        </w:rPr>
        <w:t>Beyond the Blueprint: A Multiple Case Study on Bridging the Gap between the Intended and Lived Realities of Physical Education under the MATATAG Curriculum</w:t>
      </w:r>
    </w:p>
    <w:p w14:paraId="0DCC1BEA" w14:textId="77777777" w:rsidR="00655C4F" w:rsidRDefault="00655C4F" w:rsidP="00441B6F">
      <w:pPr>
        <w:pStyle w:val="Author"/>
        <w:spacing w:line="240" w:lineRule="auto"/>
        <w:rPr>
          <w:rFonts w:ascii="Arial" w:hAnsi="Arial" w:cs="Arial"/>
        </w:rPr>
      </w:pPr>
    </w:p>
    <w:p w14:paraId="5E398BA7" w14:textId="77777777" w:rsidR="00655C4F" w:rsidRPr="0008166F" w:rsidRDefault="00655C4F" w:rsidP="0008166F">
      <w:pPr>
        <w:pStyle w:val="Affiliation"/>
        <w:spacing w:after="0" w:line="240" w:lineRule="auto"/>
        <w:rPr>
          <w:rFonts w:ascii="Arial" w:hAnsi="Arial" w:cs="Arial"/>
          <w:i/>
        </w:rPr>
      </w:pPr>
    </w:p>
    <w:p w14:paraId="4AE1F9C3" w14:textId="77777777" w:rsidR="00B01FCD" w:rsidRPr="00FB3A86" w:rsidRDefault="00B93490" w:rsidP="00441B6F">
      <w:pPr>
        <w:pStyle w:val="Copyright"/>
        <w:spacing w:after="0" w:line="240" w:lineRule="auto"/>
        <w:jc w:val="both"/>
        <w:rPr>
          <w:rFonts w:ascii="Arial" w:hAnsi="Arial" w:cs="Arial"/>
        </w:rPr>
        <w:sectPr w:rsidR="00B01FCD" w:rsidRPr="00FB3A86" w:rsidSect="00E543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571F84F">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0D57EF1" w14:textId="13AE8FFD"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BA1F0F" w14:textId="77777777" w:rsidTr="001E44FE">
        <w:tc>
          <w:tcPr>
            <w:tcW w:w="9576" w:type="dxa"/>
            <w:shd w:val="clear" w:color="auto" w:fill="F2F2F2"/>
          </w:tcPr>
          <w:p w14:paraId="713F030E" w14:textId="12E960BB" w:rsidR="00590D05" w:rsidRDefault="00590D05" w:rsidP="00590D05">
            <w:pPr>
              <w:pStyle w:val="NormalWeb"/>
              <w:spacing w:before="0" w:beforeAutospacing="0" w:after="0" w:afterAutospacing="0" w:line="276" w:lineRule="auto"/>
              <w:jc w:val="both"/>
              <w:rPr>
                <w:rFonts w:ascii="Arial" w:hAnsi="Arial" w:cs="Arial"/>
                <w:color w:val="000000"/>
                <w:sz w:val="21"/>
                <w:szCs w:val="21"/>
              </w:rPr>
            </w:pPr>
            <w:r w:rsidRPr="00EA74D4">
              <w:rPr>
                <w:rStyle w:val="Strong"/>
                <w:rFonts w:ascii="Arial" w:hAnsi="Arial" w:cs="Arial"/>
                <w:color w:val="000000"/>
                <w:sz w:val="22"/>
                <w:szCs w:val="22"/>
              </w:rPr>
              <w:t xml:space="preserve">Aims: </w:t>
            </w:r>
            <w:r w:rsidRPr="0008166F">
              <w:rPr>
                <w:rFonts w:ascii="Arial" w:hAnsi="Arial" w:cs="Arial"/>
                <w:color w:val="000000"/>
                <w:sz w:val="20"/>
                <w:szCs w:val="20"/>
              </w:rPr>
              <w:t>To explore the experiences of Grades 1–2 teachers implementing the MATATAG Physical Education curriculum, identify the challenges encountered in classroom practice, and describe the contextual factors and strategies that shaped curriculum implementation across different school environments.</w:t>
            </w:r>
          </w:p>
          <w:p w14:paraId="093A665E" w14:textId="77777777" w:rsidR="00590D05" w:rsidRPr="00590D05" w:rsidRDefault="00590D05" w:rsidP="00590D05">
            <w:pPr>
              <w:pStyle w:val="NormalWeb"/>
              <w:spacing w:before="0" w:beforeAutospacing="0" w:after="0" w:afterAutospacing="0" w:line="276" w:lineRule="auto"/>
              <w:jc w:val="both"/>
              <w:rPr>
                <w:rFonts w:ascii="Arial" w:hAnsi="Arial" w:cs="Arial"/>
                <w:color w:val="000000"/>
                <w:sz w:val="21"/>
                <w:szCs w:val="21"/>
              </w:rPr>
            </w:pPr>
          </w:p>
          <w:p w14:paraId="196525F3" w14:textId="034BD7FA" w:rsidR="00590D05" w:rsidRDefault="007F0875" w:rsidP="00590D05">
            <w:pPr>
              <w:pStyle w:val="NormalWeb"/>
              <w:spacing w:before="0" w:beforeAutospacing="0" w:after="0" w:afterAutospacing="0" w:line="276" w:lineRule="auto"/>
              <w:jc w:val="both"/>
              <w:rPr>
                <w:rFonts w:ascii="Arial" w:hAnsi="Arial" w:cs="Arial"/>
                <w:color w:val="000000"/>
                <w:sz w:val="20"/>
                <w:szCs w:val="20"/>
              </w:rPr>
            </w:pPr>
            <w:r>
              <w:rPr>
                <w:rStyle w:val="Strong"/>
                <w:rFonts w:ascii="Arial" w:hAnsi="Arial" w:cs="Arial"/>
                <w:color w:val="000000"/>
                <w:sz w:val="22"/>
                <w:szCs w:val="22"/>
              </w:rPr>
              <w:t>Study Design</w:t>
            </w:r>
            <w:r w:rsidR="00590D05" w:rsidRPr="00EA74D4">
              <w:rPr>
                <w:rStyle w:val="Strong"/>
                <w:rFonts w:ascii="Arial" w:hAnsi="Arial" w:cs="Arial"/>
                <w:color w:val="000000"/>
                <w:sz w:val="22"/>
                <w:szCs w:val="22"/>
              </w:rPr>
              <w:t xml:space="preserve">: </w:t>
            </w:r>
            <w:r w:rsidRPr="007F0875">
              <w:rPr>
                <w:rFonts w:ascii="Arial" w:hAnsi="Arial" w:cs="Arial"/>
                <w:color w:val="000000"/>
                <w:sz w:val="20"/>
                <w:szCs w:val="20"/>
              </w:rPr>
              <w:t>This study utilized a</w:t>
            </w:r>
            <w:r w:rsidRPr="007F0875">
              <w:rPr>
                <w:rStyle w:val="apple-converted-space"/>
                <w:rFonts w:ascii="Arial" w:hAnsi="Arial" w:cs="Arial"/>
                <w:color w:val="000000"/>
                <w:sz w:val="20"/>
                <w:szCs w:val="20"/>
              </w:rPr>
              <w:t> </w:t>
            </w:r>
            <w:r w:rsidRPr="007F0875">
              <w:rPr>
                <w:rStyle w:val="Strong"/>
                <w:rFonts w:ascii="Arial" w:hAnsi="Arial" w:cs="Arial"/>
                <w:b w:val="0"/>
                <w:bCs w:val="0"/>
                <w:color w:val="000000"/>
                <w:sz w:val="20"/>
                <w:szCs w:val="20"/>
              </w:rPr>
              <w:t>qualitative multiple case study design</w:t>
            </w:r>
            <w:r w:rsidRPr="007F0875">
              <w:rPr>
                <w:rStyle w:val="apple-converted-space"/>
                <w:rFonts w:ascii="Arial" w:hAnsi="Arial" w:cs="Arial"/>
                <w:color w:val="000000"/>
                <w:sz w:val="20"/>
                <w:szCs w:val="20"/>
              </w:rPr>
              <w:t> </w:t>
            </w:r>
            <w:r w:rsidRPr="007F0875">
              <w:rPr>
                <w:rFonts w:ascii="Arial" w:hAnsi="Arial" w:cs="Arial"/>
                <w:color w:val="000000"/>
                <w:sz w:val="20"/>
                <w:szCs w:val="20"/>
              </w:rPr>
              <w:t>to explore the lived experiences of elementary teachers implementing the MATATAG Physical Education curriculum in Grades 1 to 2. Five teachers, each representing a distinct school context, were examined to identify shared challenges, contextual influences, and adaptive strategies used to bridge gaps between intended and actual PE curriculum implementation.</w:t>
            </w:r>
          </w:p>
          <w:p w14:paraId="0E655530" w14:textId="77777777" w:rsidR="007F0875" w:rsidRDefault="007F0875" w:rsidP="00590D05">
            <w:pPr>
              <w:pStyle w:val="NormalWeb"/>
              <w:spacing w:before="0" w:beforeAutospacing="0" w:after="0" w:afterAutospacing="0" w:line="276" w:lineRule="auto"/>
              <w:jc w:val="both"/>
              <w:rPr>
                <w:sz w:val="20"/>
                <w:szCs w:val="20"/>
              </w:rPr>
            </w:pPr>
          </w:p>
          <w:p w14:paraId="0F9A03EA" w14:textId="6F09E1F5" w:rsidR="007F0875" w:rsidRPr="007F0875" w:rsidRDefault="007F0875" w:rsidP="00590D05">
            <w:pPr>
              <w:pStyle w:val="NormalWeb"/>
              <w:spacing w:before="0" w:beforeAutospacing="0" w:after="0" w:afterAutospacing="0" w:line="276" w:lineRule="auto"/>
              <w:jc w:val="both"/>
              <w:rPr>
                <w:rFonts w:ascii="Arial" w:hAnsi="Arial" w:cs="Arial"/>
                <w:b/>
                <w:bCs/>
                <w:color w:val="000000"/>
                <w:sz w:val="20"/>
                <w:szCs w:val="20"/>
              </w:rPr>
            </w:pPr>
            <w:r w:rsidRPr="007F0875">
              <w:rPr>
                <w:rFonts w:ascii="Arial" w:hAnsi="Arial" w:cs="Arial"/>
                <w:b/>
                <w:bCs/>
                <w:sz w:val="22"/>
                <w:szCs w:val="22"/>
              </w:rPr>
              <w:t>Place and Duration of the Study:</w:t>
            </w:r>
            <w:r>
              <w:rPr>
                <w:rFonts w:ascii="Arial" w:hAnsi="Arial" w:cs="Arial"/>
                <w:b/>
                <w:bCs/>
                <w:sz w:val="22"/>
                <w:szCs w:val="22"/>
              </w:rPr>
              <w:t xml:space="preserve"> </w:t>
            </w:r>
            <w:r w:rsidRPr="007F0875">
              <w:rPr>
                <w:rFonts w:ascii="Arial" w:hAnsi="Arial" w:cs="Arial"/>
                <w:color w:val="000000"/>
                <w:sz w:val="20"/>
                <w:szCs w:val="20"/>
              </w:rPr>
              <w:t>The research was conducted in</w:t>
            </w:r>
            <w:r w:rsidRPr="007F0875">
              <w:rPr>
                <w:rStyle w:val="apple-converted-space"/>
                <w:rFonts w:ascii="Arial" w:hAnsi="Arial" w:cs="Arial"/>
                <w:color w:val="000000"/>
                <w:sz w:val="20"/>
                <w:szCs w:val="20"/>
              </w:rPr>
              <w:t> </w:t>
            </w:r>
            <w:r w:rsidRPr="007F0875">
              <w:rPr>
                <w:rStyle w:val="Strong"/>
                <w:rFonts w:ascii="Arial" w:hAnsi="Arial" w:cs="Arial"/>
                <w:b w:val="0"/>
                <w:bCs w:val="0"/>
                <w:color w:val="000000"/>
                <w:sz w:val="20"/>
                <w:szCs w:val="20"/>
              </w:rPr>
              <w:t>five elementary schools</w:t>
            </w:r>
            <w:r>
              <w:rPr>
                <w:rStyle w:val="Strong"/>
                <w:rFonts w:ascii="Arial" w:hAnsi="Arial" w:cs="Arial"/>
                <w:b w:val="0"/>
                <w:bCs w:val="0"/>
                <w:color w:val="000000"/>
                <w:sz w:val="20"/>
                <w:szCs w:val="20"/>
              </w:rPr>
              <w:t xml:space="preserve"> </w:t>
            </w:r>
            <w:r w:rsidRPr="007F0875">
              <w:rPr>
                <w:rStyle w:val="Strong"/>
                <w:rFonts w:ascii="Arial" w:hAnsi="Arial" w:cs="Arial"/>
                <w:b w:val="0"/>
                <w:bCs w:val="0"/>
                <w:sz w:val="22"/>
                <w:szCs w:val="22"/>
              </w:rPr>
              <w:t xml:space="preserve">of </w:t>
            </w:r>
            <w:r w:rsidRPr="007F0875">
              <w:rPr>
                <w:rFonts w:ascii="Arial" w:hAnsi="Arial" w:cs="Arial"/>
                <w:color w:val="000000"/>
                <w:sz w:val="20"/>
                <w:szCs w:val="20"/>
              </w:rPr>
              <w:t>two private (sectarian and non-sectarian) and three public (small-, medium-, and large-sized)</w:t>
            </w:r>
            <w:r>
              <w:rPr>
                <w:rFonts w:ascii="Arial" w:hAnsi="Arial" w:cs="Arial"/>
                <w:color w:val="000000"/>
                <w:sz w:val="20"/>
                <w:szCs w:val="20"/>
              </w:rPr>
              <w:t xml:space="preserve"> </w:t>
            </w:r>
            <w:r w:rsidRPr="007F0875">
              <w:rPr>
                <w:rFonts w:ascii="Arial" w:hAnsi="Arial" w:cs="Arial"/>
                <w:color w:val="000000"/>
                <w:sz w:val="20"/>
                <w:szCs w:val="20"/>
              </w:rPr>
              <w:t>located in</w:t>
            </w:r>
            <w:r w:rsidRPr="007F0875">
              <w:rPr>
                <w:rStyle w:val="apple-converted-space"/>
                <w:rFonts w:ascii="Arial" w:hAnsi="Arial" w:cs="Arial"/>
                <w:color w:val="000000"/>
                <w:sz w:val="20"/>
                <w:szCs w:val="20"/>
              </w:rPr>
              <w:t> </w:t>
            </w:r>
            <w:r w:rsidRPr="007F0875">
              <w:rPr>
                <w:rStyle w:val="Strong"/>
                <w:rFonts w:ascii="Arial" w:hAnsi="Arial" w:cs="Arial"/>
                <w:b w:val="0"/>
                <w:bCs w:val="0"/>
                <w:color w:val="000000"/>
                <w:sz w:val="20"/>
                <w:szCs w:val="20"/>
              </w:rPr>
              <w:t>Malita, Davao Occidental, Philippines</w:t>
            </w:r>
            <w:r w:rsidRPr="007F0875">
              <w:rPr>
                <w:rFonts w:ascii="Arial" w:hAnsi="Arial" w:cs="Arial"/>
                <w:b/>
                <w:bCs/>
                <w:color w:val="000000"/>
                <w:sz w:val="20"/>
                <w:szCs w:val="20"/>
              </w:rPr>
              <w:t>.</w:t>
            </w:r>
            <w:r w:rsidRPr="007F0875">
              <w:rPr>
                <w:rFonts w:ascii="Arial" w:hAnsi="Arial" w:cs="Arial"/>
                <w:color w:val="000000"/>
                <w:sz w:val="20"/>
                <w:szCs w:val="20"/>
              </w:rPr>
              <w:t xml:space="preserve"> Data collection, including interviews and classroom observations, was carried out</w:t>
            </w:r>
            <w:r w:rsidRPr="007F0875">
              <w:rPr>
                <w:rStyle w:val="apple-converted-space"/>
                <w:rFonts w:ascii="Arial" w:hAnsi="Arial" w:cs="Arial"/>
                <w:color w:val="000000"/>
                <w:sz w:val="20"/>
                <w:szCs w:val="20"/>
              </w:rPr>
              <w:t> </w:t>
            </w:r>
            <w:r w:rsidRPr="007F0875">
              <w:rPr>
                <w:rStyle w:val="Strong"/>
                <w:rFonts w:ascii="Arial" w:hAnsi="Arial" w:cs="Arial"/>
                <w:b w:val="0"/>
                <w:bCs w:val="0"/>
                <w:color w:val="000000"/>
                <w:sz w:val="20"/>
                <w:szCs w:val="20"/>
              </w:rPr>
              <w:t>from J</w:t>
            </w:r>
            <w:r w:rsidRPr="007F0875">
              <w:rPr>
                <w:rStyle w:val="Strong"/>
                <w:rFonts w:ascii="Arial" w:hAnsi="Arial" w:cs="Arial"/>
                <w:b w:val="0"/>
                <w:bCs w:val="0"/>
                <w:sz w:val="20"/>
                <w:szCs w:val="20"/>
              </w:rPr>
              <w:t>uly</w:t>
            </w:r>
            <w:r w:rsidRPr="007F0875">
              <w:rPr>
                <w:rStyle w:val="Strong"/>
                <w:rFonts w:ascii="Arial" w:hAnsi="Arial" w:cs="Arial"/>
                <w:b w:val="0"/>
                <w:bCs w:val="0"/>
                <w:color w:val="000000"/>
                <w:sz w:val="20"/>
                <w:szCs w:val="20"/>
              </w:rPr>
              <w:t xml:space="preserve"> 2025 to </w:t>
            </w:r>
            <w:proofErr w:type="gramStart"/>
            <w:r w:rsidRPr="007F0875">
              <w:rPr>
                <w:rStyle w:val="Strong"/>
                <w:rFonts w:ascii="Arial" w:hAnsi="Arial" w:cs="Arial"/>
                <w:b w:val="0"/>
                <w:bCs w:val="0"/>
                <w:color w:val="000000"/>
                <w:sz w:val="20"/>
                <w:szCs w:val="20"/>
              </w:rPr>
              <w:t>November  2025</w:t>
            </w:r>
            <w:proofErr w:type="gramEnd"/>
            <w:r w:rsidRPr="007F0875">
              <w:rPr>
                <w:rFonts w:ascii="Arial" w:hAnsi="Arial" w:cs="Arial"/>
                <w:b/>
                <w:bCs/>
                <w:color w:val="000000"/>
                <w:sz w:val="20"/>
                <w:szCs w:val="20"/>
              </w:rPr>
              <w:t>.</w:t>
            </w:r>
          </w:p>
          <w:p w14:paraId="581B4FE0" w14:textId="77777777" w:rsidR="00590D05" w:rsidRPr="00EA74D4" w:rsidRDefault="00590D05" w:rsidP="00590D05">
            <w:pPr>
              <w:pStyle w:val="NormalWeb"/>
              <w:spacing w:before="0" w:beforeAutospacing="0" w:after="0" w:afterAutospacing="0" w:line="276" w:lineRule="auto"/>
              <w:jc w:val="both"/>
              <w:rPr>
                <w:rFonts w:ascii="Arial" w:hAnsi="Arial" w:cs="Arial"/>
                <w:color w:val="000000"/>
                <w:sz w:val="20"/>
                <w:szCs w:val="20"/>
              </w:rPr>
            </w:pPr>
          </w:p>
          <w:p w14:paraId="586DAA7A" w14:textId="317E1B02" w:rsidR="00590D05" w:rsidRPr="007F0875" w:rsidRDefault="007F0875" w:rsidP="00590D05">
            <w:pPr>
              <w:pStyle w:val="NormalWeb"/>
              <w:spacing w:before="0" w:beforeAutospacing="0" w:after="0" w:afterAutospacing="0" w:line="276" w:lineRule="auto"/>
              <w:jc w:val="both"/>
              <w:rPr>
                <w:rFonts w:ascii="Arial" w:hAnsi="Arial" w:cs="Arial"/>
                <w:color w:val="000000"/>
                <w:sz w:val="20"/>
                <w:szCs w:val="20"/>
              </w:rPr>
            </w:pPr>
            <w:r w:rsidRPr="007F0875">
              <w:rPr>
                <w:rStyle w:val="Strong"/>
                <w:rFonts w:ascii="Arial" w:hAnsi="Arial" w:cs="Arial"/>
                <w:color w:val="000000"/>
                <w:sz w:val="22"/>
                <w:szCs w:val="22"/>
              </w:rPr>
              <w:t>Methodology</w:t>
            </w:r>
            <w:r w:rsidR="00590D05" w:rsidRPr="007F0875">
              <w:rPr>
                <w:rStyle w:val="Strong"/>
                <w:rFonts w:ascii="Arial" w:hAnsi="Arial" w:cs="Arial"/>
                <w:color w:val="000000"/>
                <w:sz w:val="22"/>
                <w:szCs w:val="22"/>
              </w:rPr>
              <w:t xml:space="preserve">: </w:t>
            </w:r>
            <w:r w:rsidRPr="007F0875">
              <w:rPr>
                <w:rFonts w:ascii="Arial" w:hAnsi="Arial" w:cs="Arial"/>
                <w:color w:val="000000"/>
                <w:sz w:val="20"/>
                <w:szCs w:val="20"/>
              </w:rPr>
              <w:t>This qualitative multiple case study examined five teachers implementing the MATATAG Physical Education curriculum in selected elementary schools in Malita, Davao Occidental. Data were gathered through semi-structured interviews, and classroom observations, with all interviews recorded and transcribed. Participants were purposively selected based on their involvement in teaching the curriculum. Data were analyzed using Creswell’s iterative coding and cross-case comparison procedures. Credibility and rigor were maintained through triangulation, member checking, and reflexive documentation. Ethical clearance was obtained, and all participants provided informed consent.</w:t>
            </w:r>
          </w:p>
          <w:p w14:paraId="1756DEE8" w14:textId="77777777" w:rsidR="00590D05" w:rsidRPr="00EA74D4" w:rsidRDefault="00590D05" w:rsidP="00590D05">
            <w:pPr>
              <w:pStyle w:val="NormalWeb"/>
              <w:spacing w:before="0" w:beforeAutospacing="0" w:after="0" w:afterAutospacing="0" w:line="276" w:lineRule="auto"/>
              <w:jc w:val="both"/>
              <w:rPr>
                <w:rFonts w:ascii="Arial" w:hAnsi="Arial" w:cs="Arial"/>
                <w:color w:val="000000"/>
                <w:sz w:val="20"/>
                <w:szCs w:val="20"/>
              </w:rPr>
            </w:pPr>
          </w:p>
          <w:p w14:paraId="0F59E530" w14:textId="6F590A5D" w:rsidR="00505F06" w:rsidRPr="00590D05" w:rsidRDefault="00590D05" w:rsidP="00590D05">
            <w:pPr>
              <w:pStyle w:val="NormalWeb"/>
              <w:spacing w:before="0" w:beforeAutospacing="0" w:after="0" w:afterAutospacing="0" w:line="276" w:lineRule="auto"/>
              <w:jc w:val="both"/>
              <w:rPr>
                <w:color w:val="000000"/>
              </w:rPr>
            </w:pPr>
            <w:r w:rsidRPr="00EA74D4">
              <w:rPr>
                <w:rStyle w:val="Strong"/>
                <w:rFonts w:ascii="Arial" w:hAnsi="Arial" w:cs="Arial"/>
                <w:color w:val="000000"/>
                <w:sz w:val="22"/>
                <w:szCs w:val="22"/>
              </w:rPr>
              <w:t xml:space="preserve">Conclusion: </w:t>
            </w:r>
            <w:r w:rsidR="007F0875" w:rsidRPr="007F0875">
              <w:rPr>
                <w:rFonts w:ascii="Arial" w:hAnsi="Arial" w:cs="Arial"/>
                <w:color w:val="000000"/>
                <w:sz w:val="20"/>
                <w:szCs w:val="20"/>
              </w:rPr>
              <w:t>The analysis revealed common challenges across cases, including limited time, space, equipment, and training for Physical Education. Implementation quality varied depending on school support and resources, with better-resourced schools adapting more effectively. Teachers used improvised materials, ICT, and classroom-based activities to address constraints. Overall, the findings show a persistent gap between curriculum expectations and actual classroom conditions.</w:t>
            </w:r>
          </w:p>
        </w:tc>
      </w:tr>
    </w:tbl>
    <w:p w14:paraId="2D4633E7" w14:textId="77777777" w:rsidR="00636EB2" w:rsidRDefault="00636EB2" w:rsidP="00441B6F">
      <w:pPr>
        <w:pStyle w:val="Body"/>
        <w:spacing w:after="0"/>
        <w:rPr>
          <w:rFonts w:ascii="Arial" w:hAnsi="Arial" w:cs="Arial"/>
          <w:i/>
        </w:rPr>
      </w:pPr>
    </w:p>
    <w:p w14:paraId="76B6021B" w14:textId="26B267C6" w:rsidR="0024282C" w:rsidRPr="0008166F" w:rsidRDefault="00A24E7E" w:rsidP="00441B6F">
      <w:pPr>
        <w:pStyle w:val="Body"/>
        <w:spacing w:after="0"/>
        <w:rPr>
          <w:rFonts w:ascii="Arial" w:hAnsi="Arial" w:cs="Arial"/>
          <w:i/>
        </w:rPr>
      </w:pPr>
      <w:r>
        <w:rPr>
          <w:rFonts w:ascii="Arial" w:hAnsi="Arial" w:cs="Arial"/>
          <w:i/>
        </w:rPr>
        <w:lastRenderedPageBreak/>
        <w:t xml:space="preserve">Keywords: </w:t>
      </w:r>
      <w:r w:rsidR="0020519F">
        <w:rPr>
          <w:rFonts w:ascii="Arial" w:hAnsi="Arial" w:cs="Arial"/>
          <w:i/>
        </w:rPr>
        <w:t>Physical Education, MATATAG Curriculum, Philippine Basic Education, Curriculum Implementation, Multiple Case Study</w:t>
      </w:r>
    </w:p>
    <w:p w14:paraId="3F7BD020" w14:textId="77777777" w:rsidR="00505F06" w:rsidRPr="00A24E7E" w:rsidRDefault="00505F06" w:rsidP="00441B6F">
      <w:pPr>
        <w:pStyle w:val="Body"/>
        <w:spacing w:after="0"/>
        <w:rPr>
          <w:rFonts w:ascii="Arial" w:hAnsi="Arial" w:cs="Arial"/>
          <w:i/>
        </w:rPr>
      </w:pPr>
    </w:p>
    <w:p w14:paraId="01921379" w14:textId="29C8DA8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8D5249" w14:textId="77777777" w:rsidR="00B423C5" w:rsidRPr="00FB3A86" w:rsidRDefault="00B423C5" w:rsidP="00441B6F">
      <w:pPr>
        <w:pStyle w:val="AbstHead"/>
        <w:spacing w:after="0"/>
        <w:jc w:val="both"/>
        <w:rPr>
          <w:rFonts w:ascii="Arial" w:hAnsi="Arial" w:cs="Arial"/>
        </w:rPr>
      </w:pPr>
    </w:p>
    <w:p w14:paraId="6EC7B81C" w14:textId="77777777" w:rsidR="00260B55" w:rsidRDefault="00260B55" w:rsidP="00260B55">
      <w:pPr>
        <w:pStyle w:val="NormalWeb"/>
        <w:spacing w:before="0" w:beforeAutospacing="0" w:after="0" w:afterAutospacing="0" w:line="276" w:lineRule="auto"/>
        <w:jc w:val="both"/>
        <w:rPr>
          <w:rFonts w:ascii="Arial" w:hAnsi="Arial" w:cs="Arial"/>
          <w:sz w:val="20"/>
          <w:szCs w:val="20"/>
        </w:rPr>
      </w:pPr>
      <w:r w:rsidRPr="00260B55">
        <w:rPr>
          <w:rFonts w:ascii="Arial" w:hAnsi="Arial" w:cs="Arial"/>
          <w:sz w:val="20"/>
          <w:szCs w:val="20"/>
        </w:rPr>
        <w:t>Physical Education in the early grades is vital for developing motor skills, healthy habits, and positive attitudes toward activity. Under the MATATAG Curriculum in the Philippines, PE is integrated into MAKABANSA, requiring teachers to embed physical activities within character-building, cultural, and citizenship competencies. While this reform aims to strengthen core values, it introduces pedagogical and logistical challenges, especially in early grades with varied classroom routines, developmental readiness, and limited resources.</w:t>
      </w:r>
    </w:p>
    <w:p w14:paraId="780CFC38" w14:textId="77777777" w:rsidR="00260B55" w:rsidRPr="00260B55" w:rsidRDefault="00260B55" w:rsidP="00260B55">
      <w:pPr>
        <w:pStyle w:val="NormalWeb"/>
        <w:spacing w:before="0" w:beforeAutospacing="0" w:after="0" w:afterAutospacing="0" w:line="276" w:lineRule="auto"/>
        <w:jc w:val="both"/>
        <w:rPr>
          <w:rFonts w:ascii="Arial" w:hAnsi="Arial" w:cs="Arial"/>
          <w:sz w:val="20"/>
          <w:szCs w:val="20"/>
        </w:rPr>
      </w:pPr>
    </w:p>
    <w:p w14:paraId="7EEEF5B1" w14:textId="77777777" w:rsidR="00260B55" w:rsidRDefault="00260B55" w:rsidP="00260B55">
      <w:pPr>
        <w:pStyle w:val="NormalWeb"/>
        <w:spacing w:before="0" w:beforeAutospacing="0" w:after="0" w:afterAutospacing="0" w:line="276" w:lineRule="auto"/>
        <w:jc w:val="both"/>
        <w:rPr>
          <w:rFonts w:ascii="Arial" w:hAnsi="Arial" w:cs="Arial"/>
          <w:sz w:val="20"/>
          <w:szCs w:val="20"/>
        </w:rPr>
      </w:pPr>
      <w:r w:rsidRPr="00260B55">
        <w:rPr>
          <w:rFonts w:ascii="Arial" w:hAnsi="Arial" w:cs="Arial"/>
          <w:sz w:val="20"/>
          <w:szCs w:val="20"/>
        </w:rPr>
        <w:t>Teachers often struggle to translate competencies into meaningful PE experiences due to limited space, inadequate facilities, diverse learner needs, and shifting priorities. These challenges vary across schools, affecting the consistent achievement of curriculum goals. Examining teachers’ lived experiences provides critical insight into what works, what is difficult, and what support is needed to bridge policy and practice.</w:t>
      </w:r>
    </w:p>
    <w:p w14:paraId="0F5C146A" w14:textId="77777777" w:rsidR="00260B55" w:rsidRPr="00260B55" w:rsidRDefault="00260B55" w:rsidP="00260B55">
      <w:pPr>
        <w:pStyle w:val="NormalWeb"/>
        <w:spacing w:before="0" w:beforeAutospacing="0" w:after="0" w:afterAutospacing="0" w:line="276" w:lineRule="auto"/>
        <w:jc w:val="both"/>
        <w:rPr>
          <w:rFonts w:ascii="Arial" w:hAnsi="Arial" w:cs="Arial"/>
          <w:sz w:val="20"/>
          <w:szCs w:val="20"/>
        </w:rPr>
      </w:pPr>
    </w:p>
    <w:p w14:paraId="1D03EF9B" w14:textId="68D22C59" w:rsidR="00790ADA" w:rsidRDefault="00260B55" w:rsidP="00260B55">
      <w:pPr>
        <w:pStyle w:val="NormalWeb"/>
        <w:spacing w:before="0" w:beforeAutospacing="0" w:after="0" w:afterAutospacing="0" w:line="276" w:lineRule="auto"/>
        <w:jc w:val="both"/>
        <w:rPr>
          <w:rFonts w:ascii="Arial" w:hAnsi="Arial" w:cs="Arial"/>
          <w:sz w:val="20"/>
          <w:szCs w:val="20"/>
        </w:rPr>
      </w:pPr>
      <w:r w:rsidRPr="00260B55">
        <w:rPr>
          <w:rFonts w:ascii="Arial" w:hAnsi="Arial" w:cs="Arial"/>
          <w:sz w:val="20"/>
          <w:szCs w:val="20"/>
        </w:rPr>
        <w:t>This case-based study highlights contextual factors influencing curriculum implementation, showcases adaptive strategies, and offers evidence to guide improvements in training, resources, and school support. It underscores the need for responsive, context-sensitive approaches to strengthen Physical Education under the MATATAG reform.</w:t>
      </w:r>
    </w:p>
    <w:p w14:paraId="27D268F3" w14:textId="77777777" w:rsidR="0008166F" w:rsidRPr="00260B55" w:rsidRDefault="0008166F" w:rsidP="00260B55">
      <w:pPr>
        <w:pStyle w:val="NormalWeb"/>
        <w:spacing w:before="0" w:beforeAutospacing="0" w:after="0" w:afterAutospacing="0" w:line="276" w:lineRule="auto"/>
        <w:jc w:val="both"/>
        <w:rPr>
          <w:rFonts w:ascii="Arial" w:hAnsi="Arial" w:cs="Arial"/>
          <w:sz w:val="20"/>
          <w:szCs w:val="20"/>
        </w:rPr>
      </w:pPr>
    </w:p>
    <w:p w14:paraId="3B0BD28B" w14:textId="336D52DE" w:rsidR="007F7B32" w:rsidRDefault="00902823" w:rsidP="00441B6F">
      <w:pPr>
        <w:pStyle w:val="AbstHead"/>
        <w:spacing w:after="0"/>
        <w:jc w:val="both"/>
        <w:rPr>
          <w:rFonts w:ascii="Arial" w:hAnsi="Arial" w:cs="Arial"/>
        </w:rPr>
      </w:pPr>
      <w:r>
        <w:rPr>
          <w:rFonts w:ascii="Arial" w:hAnsi="Arial" w:cs="Arial"/>
        </w:rPr>
        <w:t xml:space="preserve">2. </w:t>
      </w:r>
      <w:r w:rsidR="00B423C5">
        <w:rPr>
          <w:rFonts w:ascii="Arial" w:hAnsi="Arial" w:cs="Arial"/>
        </w:rPr>
        <w:t>METHODOLOGY</w:t>
      </w:r>
    </w:p>
    <w:p w14:paraId="4F98F20A" w14:textId="77777777" w:rsidR="00790ADA" w:rsidRPr="00FB3A86" w:rsidRDefault="00790ADA" w:rsidP="00441B6F">
      <w:pPr>
        <w:pStyle w:val="AbstHead"/>
        <w:spacing w:after="0"/>
        <w:jc w:val="both"/>
        <w:rPr>
          <w:rFonts w:ascii="Arial" w:hAnsi="Arial" w:cs="Arial"/>
        </w:rPr>
      </w:pPr>
    </w:p>
    <w:p w14:paraId="263BB2D1" w14:textId="60873FDB" w:rsidR="00B423C5" w:rsidRP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2.1 Research Design</w:t>
      </w:r>
    </w:p>
    <w:p w14:paraId="1CF18299" w14:textId="77777777" w:rsidR="00B423C5" w:rsidRPr="00B423C5" w:rsidRDefault="00B423C5" w:rsidP="00B423C5"/>
    <w:p w14:paraId="5B47CAC0"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This study employed a</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qualitative multiple case study design</w:t>
      </w:r>
      <w:r w:rsidRPr="00B423C5">
        <w:rPr>
          <w:rFonts w:ascii="Arial" w:hAnsi="Arial" w:cs="Arial"/>
          <w:b/>
          <w:bCs/>
          <w:color w:val="000000"/>
          <w:sz w:val="20"/>
          <w:szCs w:val="20"/>
        </w:rPr>
        <w:t>,</w:t>
      </w:r>
      <w:r w:rsidRPr="00B423C5">
        <w:rPr>
          <w:rFonts w:ascii="Arial" w:hAnsi="Arial" w:cs="Arial"/>
          <w:color w:val="000000"/>
          <w:sz w:val="20"/>
          <w:szCs w:val="20"/>
        </w:rPr>
        <w:t xml:space="preserve"> which enabled an in-depth exploration of the lived experiences of elementary teachers implementing the MATATAG Physical Education curriculum. Consistent with Creswell (2013; 2018), this approach allowed the researcher to examine each case as a bounded system while making cross-case comparisons to identify convergent and divergent patterns. Data were generated through in-depth interviews, classroom observations, and document review, ensuring a holistic understanding of how the intended curriculum was adapted within real classroom environments.</w:t>
      </w:r>
    </w:p>
    <w:p w14:paraId="6C3A04E2" w14:textId="4844A890" w:rsid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2.2 Study Site</w:t>
      </w:r>
    </w:p>
    <w:p w14:paraId="7BF016D9" w14:textId="77777777" w:rsidR="00B423C5" w:rsidRPr="00B423C5" w:rsidRDefault="00B423C5" w:rsidP="00B423C5"/>
    <w:p w14:paraId="08DA49D7" w14:textId="05D5B9F5"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The study was conducted in</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Malita, Davao Occidental</w:t>
      </w:r>
      <w:r w:rsidRPr="00B423C5">
        <w:rPr>
          <w:rFonts w:ascii="Arial" w:hAnsi="Arial" w:cs="Arial"/>
          <w:b/>
          <w:bCs/>
          <w:color w:val="000000"/>
          <w:sz w:val="20"/>
          <w:szCs w:val="20"/>
        </w:rPr>
        <w:t>,</w:t>
      </w:r>
      <w:r w:rsidRPr="00B423C5">
        <w:rPr>
          <w:rFonts w:ascii="Arial" w:hAnsi="Arial" w:cs="Arial"/>
          <w:color w:val="000000"/>
          <w:sz w:val="20"/>
          <w:szCs w:val="20"/>
        </w:rPr>
        <w:t xml:space="preserve"> a municipality characterized by diverse geographic and socio-economic conditions. The locality contains both resource-rich and resource-limited schools, making it a suitable setting for examining contextual influences on curriculum implementation. Five elementary schools</w:t>
      </w:r>
      <w:r w:rsidR="00E93D5B">
        <w:rPr>
          <w:rFonts w:ascii="Arial" w:hAnsi="Arial" w:cs="Arial"/>
          <w:color w:val="000000"/>
          <w:sz w:val="20"/>
          <w:szCs w:val="20"/>
        </w:rPr>
        <w:t xml:space="preserve">; </w:t>
      </w:r>
      <w:r w:rsidRPr="00B423C5">
        <w:rPr>
          <w:rFonts w:ascii="Arial" w:hAnsi="Arial" w:cs="Arial"/>
          <w:color w:val="000000"/>
          <w:sz w:val="20"/>
          <w:szCs w:val="20"/>
        </w:rPr>
        <w:t>two private and three public</w:t>
      </w:r>
      <w:r w:rsidR="00E93D5B">
        <w:rPr>
          <w:rFonts w:ascii="Arial" w:hAnsi="Arial" w:cs="Arial"/>
          <w:color w:val="000000"/>
          <w:sz w:val="20"/>
          <w:szCs w:val="20"/>
        </w:rPr>
        <w:t xml:space="preserve">; </w:t>
      </w:r>
      <w:r w:rsidRPr="00B423C5">
        <w:rPr>
          <w:rFonts w:ascii="Arial" w:hAnsi="Arial" w:cs="Arial"/>
          <w:color w:val="000000"/>
          <w:sz w:val="20"/>
          <w:szCs w:val="20"/>
        </w:rPr>
        <w:t>were purposively selected to reflect variations in size, governance, and access to instructional resources.</w:t>
      </w:r>
    </w:p>
    <w:p w14:paraId="394F7A9F" w14:textId="0C34C5D1" w:rsidR="00B423C5" w:rsidRDefault="00B423C5" w:rsidP="00B423C5">
      <w:pPr>
        <w:pStyle w:val="Heading2"/>
        <w:spacing w:before="0" w:line="276" w:lineRule="auto"/>
        <w:ind w:firstLine="720"/>
        <w:jc w:val="both"/>
        <w:rPr>
          <w:rStyle w:val="Strong"/>
          <w:rFonts w:ascii="Arial" w:hAnsi="Arial" w:cs="Arial"/>
          <w:color w:val="000000"/>
          <w:sz w:val="22"/>
          <w:szCs w:val="22"/>
        </w:rPr>
      </w:pPr>
      <w:r>
        <w:rPr>
          <w:rStyle w:val="Strong"/>
          <w:rFonts w:ascii="Arial" w:hAnsi="Arial" w:cs="Arial"/>
          <w:color w:val="000000"/>
          <w:sz w:val="22"/>
          <w:szCs w:val="22"/>
        </w:rPr>
        <w:lastRenderedPageBreak/>
        <w:t xml:space="preserve">2.3 </w:t>
      </w:r>
      <w:r w:rsidRPr="00B423C5">
        <w:rPr>
          <w:rStyle w:val="Strong"/>
          <w:rFonts w:ascii="Arial" w:hAnsi="Arial" w:cs="Arial"/>
          <w:color w:val="000000"/>
          <w:sz w:val="22"/>
          <w:szCs w:val="22"/>
        </w:rPr>
        <w:t xml:space="preserve">Case Units </w:t>
      </w:r>
    </w:p>
    <w:p w14:paraId="1FA342C4" w14:textId="77777777" w:rsidR="00B423C5" w:rsidRPr="00B423C5" w:rsidRDefault="00B423C5" w:rsidP="00B423C5"/>
    <w:p w14:paraId="39200479"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Five teachers handling Grades 1–2 under the MATATAG Curriculum served as primary participants. All were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non-vulnerable adults aged 24–60</w:t>
      </w:r>
      <w:r w:rsidRPr="00B423C5">
        <w:rPr>
          <w:rStyle w:val="apple-converted-space"/>
          <w:rFonts w:ascii="Arial" w:hAnsi="Arial" w:cs="Arial"/>
          <w:color w:val="000000"/>
          <w:sz w:val="20"/>
          <w:szCs w:val="20"/>
        </w:rPr>
        <w:t> </w:t>
      </w:r>
      <w:r w:rsidRPr="00B423C5">
        <w:rPr>
          <w:rFonts w:ascii="Arial" w:hAnsi="Arial" w:cs="Arial"/>
          <w:color w:val="000000"/>
          <w:sz w:val="20"/>
          <w:szCs w:val="20"/>
        </w:rPr>
        <w:t>with at least</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two years of teaching experience</w:t>
      </w:r>
      <w:r w:rsidRPr="00B423C5">
        <w:rPr>
          <w:rFonts w:ascii="Arial" w:hAnsi="Arial" w:cs="Arial"/>
          <w:b/>
          <w:bCs/>
          <w:color w:val="000000"/>
          <w:sz w:val="20"/>
          <w:szCs w:val="20"/>
        </w:rPr>
        <w:t xml:space="preserve">. </w:t>
      </w:r>
      <w:r w:rsidRPr="00B423C5">
        <w:rPr>
          <w:rFonts w:ascii="Arial" w:hAnsi="Arial" w:cs="Arial"/>
          <w:color w:val="000000"/>
          <w:sz w:val="20"/>
          <w:szCs w:val="20"/>
        </w:rPr>
        <w:t>Each teacher constituted one case unit. To strengthen triangulation,</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two supplementary informants</w:t>
      </w:r>
      <w:r w:rsidRPr="00B423C5">
        <w:rPr>
          <w:rStyle w:val="apple-converted-space"/>
          <w:rFonts w:ascii="Arial" w:hAnsi="Arial" w:cs="Arial"/>
          <w:color w:val="000000"/>
          <w:sz w:val="20"/>
          <w:szCs w:val="20"/>
        </w:rPr>
        <w:t> </w:t>
      </w:r>
      <w:r w:rsidRPr="00B423C5">
        <w:rPr>
          <w:rFonts w:ascii="Arial" w:hAnsi="Arial" w:cs="Arial"/>
          <w:color w:val="000000"/>
          <w:sz w:val="20"/>
          <w:szCs w:val="20"/>
        </w:rPr>
        <w:t>were interviewed per case, such as co-teachers, coordinators, ICT heads, year-level leaders, or administrators. This ensured that teacher narratives were corroborated from peer, supervisory, and institutional perspectives.</w:t>
      </w:r>
    </w:p>
    <w:p w14:paraId="1C586037" w14:textId="247FDB59" w:rsid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2.4 Data Sources</w:t>
      </w:r>
    </w:p>
    <w:p w14:paraId="0AEF2066" w14:textId="77777777" w:rsidR="00E93D5B" w:rsidRPr="00E93D5B" w:rsidRDefault="00E93D5B" w:rsidP="00E93D5B"/>
    <w:p w14:paraId="056FD1AF" w14:textId="77777777" w:rsidR="00B423C5" w:rsidRPr="00B423C5" w:rsidRDefault="00B423C5" w:rsidP="00E93D5B">
      <w:pPr>
        <w:pStyle w:val="NormalWeb"/>
        <w:spacing w:before="0" w:beforeAutospacing="0" w:after="0" w:after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Primary data consisted of:</w:t>
      </w:r>
    </w:p>
    <w:p w14:paraId="775F4355" w14:textId="77777777" w:rsidR="00B423C5" w:rsidRDefault="00B423C5" w:rsidP="00E93D5B">
      <w:pPr>
        <w:pStyle w:val="NormalWeb"/>
        <w:numPr>
          <w:ilvl w:val="3"/>
          <w:numId w:val="46"/>
        </w:numPr>
        <w:spacing w:before="0" w:beforeAutospacing="0" w:after="0" w:after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Transcribed in-depth interviews</w:t>
      </w:r>
      <w:r w:rsidRPr="00B423C5">
        <w:rPr>
          <w:rStyle w:val="apple-converted-space"/>
          <w:rFonts w:ascii="Arial" w:hAnsi="Arial" w:cs="Arial"/>
          <w:color w:val="000000"/>
          <w:sz w:val="20"/>
          <w:szCs w:val="20"/>
        </w:rPr>
        <w:t> </w:t>
      </w:r>
      <w:r w:rsidRPr="00B423C5">
        <w:rPr>
          <w:rFonts w:ascii="Arial" w:hAnsi="Arial" w:cs="Arial"/>
          <w:color w:val="000000"/>
          <w:sz w:val="20"/>
          <w:szCs w:val="20"/>
        </w:rPr>
        <w:t>with the five teachers and their supporting informants;</w:t>
      </w:r>
    </w:p>
    <w:p w14:paraId="23D6AFA2" w14:textId="77777777" w:rsidR="00B423C5" w:rsidRDefault="00B423C5" w:rsidP="00E93D5B">
      <w:pPr>
        <w:pStyle w:val="NormalWeb"/>
        <w:numPr>
          <w:ilvl w:val="3"/>
          <w:numId w:val="46"/>
        </w:numPr>
        <w:spacing w:before="0" w:beforeAutospacing="0" w:after="0" w:after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Classroom observations</w:t>
      </w:r>
      <w:r w:rsidRPr="00B423C5">
        <w:rPr>
          <w:rStyle w:val="apple-converted-space"/>
          <w:rFonts w:ascii="Arial" w:hAnsi="Arial" w:cs="Arial"/>
          <w:color w:val="000000"/>
          <w:sz w:val="20"/>
          <w:szCs w:val="20"/>
        </w:rPr>
        <w:t> </w:t>
      </w:r>
      <w:r w:rsidRPr="00B423C5">
        <w:rPr>
          <w:rFonts w:ascii="Arial" w:hAnsi="Arial" w:cs="Arial"/>
          <w:color w:val="000000"/>
          <w:sz w:val="20"/>
          <w:szCs w:val="20"/>
        </w:rPr>
        <w:t>focusing on instructional delivery, learning environment, and PE integration;</w:t>
      </w:r>
    </w:p>
    <w:p w14:paraId="7653AB7E" w14:textId="7C9CBB9F" w:rsidR="00B423C5" w:rsidRPr="00B423C5" w:rsidRDefault="00B423C5" w:rsidP="00E93D5B">
      <w:pPr>
        <w:pStyle w:val="NormalWeb"/>
        <w:numPr>
          <w:ilvl w:val="3"/>
          <w:numId w:val="46"/>
        </w:numPr>
        <w:spacing w:before="0" w:beforeAutospacing="0" w:after="0" w:after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Supplementary documents</w:t>
      </w:r>
      <w:r w:rsidRPr="00B423C5">
        <w:rPr>
          <w:rFonts w:ascii="Arial" w:hAnsi="Arial" w:cs="Arial"/>
          <w:b/>
          <w:bCs/>
          <w:color w:val="000000"/>
          <w:sz w:val="20"/>
          <w:szCs w:val="20"/>
        </w:rPr>
        <w:t>,</w:t>
      </w:r>
      <w:r w:rsidRPr="00B423C5">
        <w:rPr>
          <w:rFonts w:ascii="Arial" w:hAnsi="Arial" w:cs="Arial"/>
          <w:color w:val="000000"/>
          <w:sz w:val="20"/>
          <w:szCs w:val="20"/>
        </w:rPr>
        <w:t xml:space="preserve"> including lesson plans and school memos relevant to curriculum enactment.</w:t>
      </w:r>
    </w:p>
    <w:p w14:paraId="6F6BA9F7" w14:textId="733A5773" w:rsid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 xml:space="preserve">2.5 Data Collection </w:t>
      </w:r>
    </w:p>
    <w:p w14:paraId="074594BA" w14:textId="77777777" w:rsidR="00B423C5" w:rsidRPr="00B423C5" w:rsidRDefault="00B423C5" w:rsidP="00B423C5"/>
    <w:p w14:paraId="10646591"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Before data gathering, the researcher secured approval from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Research Ethics Committee</w:t>
      </w:r>
      <w:r w:rsidRPr="00B423C5">
        <w:rPr>
          <w:rFonts w:ascii="Arial" w:hAnsi="Arial" w:cs="Arial"/>
          <w:b/>
          <w:bCs/>
          <w:color w:val="000000"/>
          <w:sz w:val="20"/>
          <w:szCs w:val="20"/>
        </w:rPr>
        <w:t>,</w:t>
      </w:r>
      <w:r w:rsidRPr="00B423C5">
        <w:rPr>
          <w:rFonts w:ascii="Arial" w:hAnsi="Arial" w:cs="Arial"/>
          <w:color w:val="000000"/>
          <w:sz w:val="20"/>
          <w:szCs w:val="20"/>
        </w:rPr>
        <w:t xml:space="preserve">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Graduate School Dean</w:t>
      </w:r>
      <w:r w:rsidRPr="00B423C5">
        <w:rPr>
          <w:rFonts w:ascii="Arial" w:hAnsi="Arial" w:cs="Arial"/>
          <w:b/>
          <w:bCs/>
          <w:color w:val="000000"/>
          <w:sz w:val="20"/>
          <w:szCs w:val="20"/>
        </w:rPr>
        <w:t>,</w:t>
      </w:r>
      <w:r w:rsidRPr="00B423C5">
        <w:rPr>
          <w:rFonts w:ascii="Arial" w:hAnsi="Arial" w:cs="Arial"/>
          <w:color w:val="000000"/>
          <w:sz w:val="20"/>
          <w:szCs w:val="20"/>
        </w:rPr>
        <w:t xml:space="preserve"> and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Schools Division Superintendent</w:t>
      </w:r>
      <w:r w:rsidRPr="00B423C5">
        <w:rPr>
          <w:rFonts w:ascii="Arial" w:hAnsi="Arial" w:cs="Arial"/>
          <w:b/>
          <w:bCs/>
          <w:color w:val="000000"/>
          <w:sz w:val="20"/>
          <w:szCs w:val="20"/>
        </w:rPr>
        <w:t>,</w:t>
      </w:r>
      <w:r w:rsidRPr="00B423C5">
        <w:rPr>
          <w:rFonts w:ascii="Arial" w:hAnsi="Arial" w:cs="Arial"/>
          <w:color w:val="000000"/>
          <w:sz w:val="20"/>
          <w:szCs w:val="20"/>
        </w:rPr>
        <w:t xml:space="preserve"> followed by formal permission from participating school principals. Each participant received an</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Informed Consent Form</w:t>
      </w:r>
      <w:r w:rsidRPr="00B423C5">
        <w:rPr>
          <w:rFonts w:ascii="Arial" w:hAnsi="Arial" w:cs="Arial"/>
          <w:b/>
          <w:bCs/>
          <w:color w:val="000000"/>
          <w:sz w:val="20"/>
          <w:szCs w:val="20"/>
        </w:rPr>
        <w:t>,</w:t>
      </w:r>
      <w:r w:rsidRPr="00B423C5">
        <w:rPr>
          <w:rFonts w:ascii="Arial" w:hAnsi="Arial" w:cs="Arial"/>
          <w:color w:val="000000"/>
          <w:sz w:val="20"/>
          <w:szCs w:val="20"/>
        </w:rPr>
        <w:t xml:space="preserve"> which was explained thoroughly prior to signing. Voluntariness, confidentiality, the right to skip questions, and the right to withdraw at any time were emphasized.</w:t>
      </w:r>
    </w:p>
    <w:p w14:paraId="7699273E"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Data collection involved</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30–45-minute one-on-one interviews</w:t>
      </w:r>
      <w:r w:rsidRPr="00B423C5">
        <w:rPr>
          <w:rFonts w:ascii="Arial" w:hAnsi="Arial" w:cs="Arial"/>
          <w:b/>
          <w:bCs/>
          <w:color w:val="000000"/>
          <w:sz w:val="20"/>
          <w:szCs w:val="20"/>
        </w:rPr>
        <w:t>,</w:t>
      </w:r>
      <w:r w:rsidRPr="00B423C5">
        <w:rPr>
          <w:rFonts w:ascii="Arial" w:hAnsi="Arial" w:cs="Arial"/>
          <w:color w:val="000000"/>
          <w:sz w:val="20"/>
          <w:szCs w:val="20"/>
        </w:rPr>
        <w:t xml:space="preserve"> scheduled at convenient times for participants. When clarification was needed, follow-up communication was initiated upon the participant’s consent. Classroom observations were conducted on pre-agreed schedules and documented through field notes. All procedures complied with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Data Privacy Act of 2012</w:t>
      </w:r>
      <w:r w:rsidRPr="00B423C5">
        <w:rPr>
          <w:rFonts w:ascii="Arial" w:hAnsi="Arial" w:cs="Arial"/>
          <w:b/>
          <w:bCs/>
          <w:color w:val="000000"/>
          <w:sz w:val="20"/>
          <w:szCs w:val="20"/>
        </w:rPr>
        <w:t>, i</w:t>
      </w:r>
      <w:r w:rsidRPr="00B423C5">
        <w:rPr>
          <w:rFonts w:ascii="Arial" w:hAnsi="Arial" w:cs="Arial"/>
          <w:color w:val="000000"/>
          <w:sz w:val="20"/>
          <w:szCs w:val="20"/>
        </w:rPr>
        <w:t>ncluding anonymization and secure data handling.</w:t>
      </w:r>
    </w:p>
    <w:p w14:paraId="6C835EDF" w14:textId="7B7C142B" w:rsidR="00B423C5" w:rsidRDefault="00B423C5" w:rsidP="00B423C5">
      <w:pPr>
        <w:pStyle w:val="Heading2"/>
        <w:spacing w:before="0" w:line="276" w:lineRule="auto"/>
        <w:ind w:firstLine="720"/>
        <w:jc w:val="both"/>
        <w:rPr>
          <w:rStyle w:val="Strong"/>
          <w:rFonts w:ascii="Arial" w:hAnsi="Arial" w:cs="Arial"/>
          <w:color w:val="000000"/>
          <w:sz w:val="21"/>
          <w:szCs w:val="21"/>
        </w:rPr>
      </w:pPr>
      <w:r w:rsidRPr="00B423C5">
        <w:rPr>
          <w:rStyle w:val="Strong"/>
          <w:rFonts w:ascii="Arial" w:hAnsi="Arial" w:cs="Arial"/>
          <w:color w:val="000000"/>
          <w:sz w:val="21"/>
          <w:szCs w:val="21"/>
        </w:rPr>
        <w:t>2. 6 Data Analysis</w:t>
      </w:r>
    </w:p>
    <w:p w14:paraId="0247092B" w14:textId="77777777" w:rsidR="00B423C5" w:rsidRPr="00B423C5" w:rsidRDefault="00B423C5" w:rsidP="00B423C5"/>
    <w:p w14:paraId="06DB79B1"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Analysis followed Creswell’s (2013) multi-level approach. First, each case underwent</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within-case analysis</w:t>
      </w:r>
      <w:r w:rsidRPr="00B423C5">
        <w:rPr>
          <w:rFonts w:ascii="Arial" w:hAnsi="Arial" w:cs="Arial"/>
          <w:b/>
          <w:bCs/>
          <w:color w:val="000000"/>
          <w:sz w:val="20"/>
          <w:szCs w:val="20"/>
        </w:rPr>
        <w:t xml:space="preserve">, </w:t>
      </w:r>
      <w:r w:rsidRPr="00B423C5">
        <w:rPr>
          <w:rFonts w:ascii="Arial" w:hAnsi="Arial" w:cs="Arial"/>
          <w:color w:val="000000"/>
          <w:sz w:val="20"/>
          <w:szCs w:val="20"/>
        </w:rPr>
        <w:t>where interview transcripts, observation notes, and documents were read repeatedly and coded inductively. Initial descriptive codes were clustered into emerging themes that represented each case’s contextual realities.</w:t>
      </w:r>
    </w:p>
    <w:p w14:paraId="2CD82556"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Next, a</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cross-case analysis</w:t>
      </w:r>
      <w:r w:rsidRPr="00B423C5">
        <w:rPr>
          <w:rStyle w:val="apple-converted-space"/>
          <w:rFonts w:ascii="Arial" w:hAnsi="Arial" w:cs="Arial"/>
          <w:color w:val="000000"/>
          <w:sz w:val="20"/>
          <w:szCs w:val="20"/>
        </w:rPr>
        <w:t> </w:t>
      </w:r>
      <w:r w:rsidRPr="00B423C5">
        <w:rPr>
          <w:rFonts w:ascii="Arial" w:hAnsi="Arial" w:cs="Arial"/>
          <w:color w:val="000000"/>
          <w:sz w:val="20"/>
          <w:szCs w:val="20"/>
        </w:rPr>
        <w:t xml:space="preserve">was conducted to compare themes across all cases, identifying shared challenges, unique experiences, and structural or contextual influences. Constant comparison, thematic mapping, and analytic </w:t>
      </w:r>
      <w:proofErr w:type="spellStart"/>
      <w:r w:rsidRPr="00B423C5">
        <w:rPr>
          <w:rFonts w:ascii="Arial" w:hAnsi="Arial" w:cs="Arial"/>
          <w:color w:val="000000"/>
          <w:sz w:val="20"/>
          <w:szCs w:val="20"/>
        </w:rPr>
        <w:lastRenderedPageBreak/>
        <w:t>memoing</w:t>
      </w:r>
      <w:proofErr w:type="spellEnd"/>
      <w:r w:rsidRPr="00B423C5">
        <w:rPr>
          <w:rFonts w:ascii="Arial" w:hAnsi="Arial" w:cs="Arial"/>
          <w:color w:val="000000"/>
          <w:sz w:val="20"/>
          <w:szCs w:val="20"/>
        </w:rPr>
        <w:t xml:space="preserve"> supported iterative refinement of themes. Member checking, triangulation of data sources, and an audit trail were used to ensure accuracy and analytic transparency.</w:t>
      </w:r>
    </w:p>
    <w:p w14:paraId="7B1D2A42" w14:textId="0C5309D9" w:rsidR="00B423C5" w:rsidRPr="00B423C5" w:rsidRDefault="00B423C5" w:rsidP="00B423C5">
      <w:pPr>
        <w:pStyle w:val="Heading2"/>
        <w:spacing w:before="0" w:line="276" w:lineRule="auto"/>
        <w:ind w:firstLine="720"/>
        <w:jc w:val="both"/>
        <w:rPr>
          <w:rFonts w:ascii="Arial" w:hAnsi="Arial" w:cs="Arial"/>
          <w:color w:val="000000"/>
          <w:sz w:val="21"/>
          <w:szCs w:val="21"/>
        </w:rPr>
      </w:pPr>
      <w:r w:rsidRPr="00B423C5">
        <w:rPr>
          <w:rStyle w:val="Strong"/>
          <w:rFonts w:ascii="Arial" w:hAnsi="Arial" w:cs="Arial"/>
          <w:color w:val="000000"/>
          <w:sz w:val="21"/>
          <w:szCs w:val="21"/>
        </w:rPr>
        <w:t>2.7 Trustworthiness</w:t>
      </w:r>
    </w:p>
    <w:p w14:paraId="28EB13E6"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Rigor was established through four criteria:</w:t>
      </w:r>
    </w:p>
    <w:p w14:paraId="6E624E84" w14:textId="77777777" w:rsidR="00B423C5" w:rsidRDefault="00B423C5" w:rsidP="00B423C5">
      <w:pPr>
        <w:pStyle w:val="NormalWeb"/>
        <w:numPr>
          <w:ilvl w:val="2"/>
          <w:numId w:val="47"/>
        </w:numPr>
        <w:spacing w:before="0" w:before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Credibility</w:t>
      </w:r>
      <w:r w:rsidRPr="00B423C5">
        <w:rPr>
          <w:rStyle w:val="apple-converted-space"/>
          <w:rFonts w:ascii="Arial" w:hAnsi="Arial" w:cs="Arial"/>
          <w:color w:val="000000"/>
          <w:sz w:val="20"/>
          <w:szCs w:val="20"/>
        </w:rPr>
        <w:t> </w:t>
      </w:r>
      <w:r w:rsidRPr="00B423C5">
        <w:rPr>
          <w:rFonts w:ascii="Arial" w:hAnsi="Arial" w:cs="Arial"/>
          <w:color w:val="000000"/>
          <w:sz w:val="20"/>
          <w:szCs w:val="20"/>
        </w:rPr>
        <w:t>– prolonged engagement, triangulation, and member checking ensured that interpretations accurately reflected participant realities.</w:t>
      </w:r>
    </w:p>
    <w:p w14:paraId="60CECF47" w14:textId="77777777" w:rsidR="00B423C5" w:rsidRDefault="00B423C5" w:rsidP="00B423C5">
      <w:pPr>
        <w:pStyle w:val="NormalWeb"/>
        <w:numPr>
          <w:ilvl w:val="2"/>
          <w:numId w:val="47"/>
        </w:numPr>
        <w:spacing w:before="0" w:before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Transferability</w:t>
      </w:r>
      <w:r w:rsidRPr="00B423C5">
        <w:rPr>
          <w:rStyle w:val="apple-converted-space"/>
          <w:rFonts w:ascii="Arial" w:hAnsi="Arial" w:cs="Arial"/>
          <w:b/>
          <w:bCs/>
          <w:color w:val="000000"/>
          <w:sz w:val="20"/>
          <w:szCs w:val="20"/>
        </w:rPr>
        <w:t> </w:t>
      </w:r>
      <w:r w:rsidRPr="00B423C5">
        <w:rPr>
          <w:rFonts w:ascii="Arial" w:hAnsi="Arial" w:cs="Arial"/>
          <w:color w:val="000000"/>
          <w:sz w:val="20"/>
          <w:szCs w:val="20"/>
        </w:rPr>
        <w:t>– rich, thick descriptions of context and participant experiences allow readers to determine applicability to their settings.</w:t>
      </w:r>
    </w:p>
    <w:p w14:paraId="085978B7" w14:textId="77777777" w:rsidR="00B423C5" w:rsidRDefault="00B423C5" w:rsidP="00B423C5">
      <w:pPr>
        <w:pStyle w:val="NormalWeb"/>
        <w:numPr>
          <w:ilvl w:val="2"/>
          <w:numId w:val="47"/>
        </w:numPr>
        <w:spacing w:before="0" w:before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Dependability</w:t>
      </w:r>
      <w:r w:rsidRPr="00B423C5">
        <w:rPr>
          <w:rStyle w:val="apple-converted-space"/>
          <w:rFonts w:ascii="Arial" w:hAnsi="Arial" w:cs="Arial"/>
          <w:color w:val="000000"/>
          <w:sz w:val="20"/>
          <w:szCs w:val="20"/>
        </w:rPr>
        <w:t> </w:t>
      </w:r>
      <w:r w:rsidRPr="00B423C5">
        <w:rPr>
          <w:rFonts w:ascii="Arial" w:hAnsi="Arial" w:cs="Arial"/>
          <w:color w:val="000000"/>
          <w:sz w:val="20"/>
          <w:szCs w:val="20"/>
        </w:rPr>
        <w:t>– systematic documentation of procedures enabled replication and demonstrated methodological consistency.</w:t>
      </w:r>
    </w:p>
    <w:p w14:paraId="036A066D" w14:textId="232CCA4C" w:rsidR="00B423C5" w:rsidRPr="00B423C5" w:rsidRDefault="00B423C5" w:rsidP="00B423C5">
      <w:pPr>
        <w:pStyle w:val="NormalWeb"/>
        <w:numPr>
          <w:ilvl w:val="2"/>
          <w:numId w:val="47"/>
        </w:numPr>
        <w:spacing w:before="0" w:beforeAutospacing="0" w:line="276" w:lineRule="auto"/>
        <w:jc w:val="both"/>
        <w:rPr>
          <w:rFonts w:ascii="Arial" w:hAnsi="Arial" w:cs="Arial"/>
          <w:color w:val="000000"/>
          <w:sz w:val="20"/>
          <w:szCs w:val="20"/>
        </w:rPr>
      </w:pPr>
      <w:r w:rsidRPr="00B423C5">
        <w:rPr>
          <w:rStyle w:val="Strong"/>
          <w:rFonts w:ascii="Arial" w:hAnsi="Arial" w:cs="Arial"/>
          <w:b w:val="0"/>
          <w:bCs w:val="0"/>
          <w:color w:val="000000"/>
          <w:sz w:val="20"/>
          <w:szCs w:val="20"/>
        </w:rPr>
        <w:t>Confirmability</w:t>
      </w:r>
      <w:r w:rsidRPr="00B423C5">
        <w:rPr>
          <w:rStyle w:val="apple-converted-space"/>
          <w:rFonts w:ascii="Arial" w:hAnsi="Arial" w:cs="Arial"/>
          <w:color w:val="000000"/>
          <w:sz w:val="20"/>
          <w:szCs w:val="20"/>
        </w:rPr>
        <w:t> </w:t>
      </w:r>
      <w:r w:rsidRPr="00B423C5">
        <w:rPr>
          <w:rFonts w:ascii="Arial" w:hAnsi="Arial" w:cs="Arial"/>
          <w:color w:val="000000"/>
          <w:sz w:val="20"/>
          <w:szCs w:val="20"/>
        </w:rPr>
        <w:t>– reflexive journaling, an audit trail, and strict data-based interpretation minimized researcher bias.</w:t>
      </w:r>
    </w:p>
    <w:p w14:paraId="158527CA" w14:textId="32770D61" w:rsidR="00B423C5" w:rsidRPr="00B423C5" w:rsidRDefault="00B423C5" w:rsidP="00B423C5">
      <w:pPr>
        <w:pStyle w:val="Heading2"/>
        <w:spacing w:before="0" w:line="276" w:lineRule="auto"/>
        <w:ind w:firstLine="720"/>
        <w:jc w:val="both"/>
        <w:rPr>
          <w:rFonts w:ascii="Arial" w:hAnsi="Arial" w:cs="Arial"/>
          <w:color w:val="000000"/>
          <w:sz w:val="21"/>
          <w:szCs w:val="21"/>
        </w:rPr>
      </w:pPr>
      <w:r w:rsidRPr="00B423C5">
        <w:rPr>
          <w:rStyle w:val="Strong"/>
          <w:rFonts w:ascii="Arial" w:hAnsi="Arial" w:cs="Arial"/>
          <w:color w:val="000000"/>
          <w:sz w:val="21"/>
          <w:szCs w:val="21"/>
        </w:rPr>
        <w:t>2.8 Role of the Researcher</w:t>
      </w:r>
    </w:p>
    <w:p w14:paraId="30543FF5" w14:textId="77777777" w:rsidR="00B423C5" w:rsidRPr="00B423C5" w:rsidRDefault="00B423C5" w:rsidP="00B423C5">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As the primary instrument of data collection and analysis, the researcher facilitated interviews, conducted observations, and maintained reflexive notes to monitor personal assumptions. Prior experience as a physical education teacher in Malita provided contextual familiarity, which was managed through reflexivity to avoid undue influence on interpretation.</w:t>
      </w:r>
    </w:p>
    <w:p w14:paraId="2B267019" w14:textId="21B5DB92" w:rsidR="00B423C5" w:rsidRPr="00B423C5" w:rsidRDefault="00B423C5" w:rsidP="00B423C5">
      <w:pPr>
        <w:pStyle w:val="Heading2"/>
        <w:spacing w:before="0" w:line="276" w:lineRule="auto"/>
        <w:ind w:firstLine="720"/>
        <w:jc w:val="both"/>
        <w:rPr>
          <w:rFonts w:ascii="Arial" w:hAnsi="Arial" w:cs="Arial"/>
          <w:color w:val="000000"/>
          <w:sz w:val="20"/>
          <w:szCs w:val="20"/>
        </w:rPr>
      </w:pPr>
      <w:r w:rsidRPr="00B423C5">
        <w:rPr>
          <w:rStyle w:val="Strong"/>
          <w:rFonts w:ascii="Arial" w:hAnsi="Arial" w:cs="Arial"/>
          <w:color w:val="000000"/>
          <w:sz w:val="20"/>
          <w:szCs w:val="20"/>
        </w:rPr>
        <w:t>2.9 Ethical Considerations</w:t>
      </w:r>
    </w:p>
    <w:p w14:paraId="7B0BB493" w14:textId="0FB1C816" w:rsidR="003C264B" w:rsidRPr="00972C3D" w:rsidRDefault="00B423C5" w:rsidP="00972C3D">
      <w:pPr>
        <w:pStyle w:val="NormalWeb"/>
        <w:spacing w:before="0" w:beforeAutospacing="0" w:line="276" w:lineRule="auto"/>
        <w:ind w:left="720" w:firstLine="720"/>
        <w:jc w:val="both"/>
        <w:rPr>
          <w:rFonts w:ascii="Arial" w:hAnsi="Arial" w:cs="Arial"/>
          <w:color w:val="000000"/>
          <w:sz w:val="20"/>
          <w:szCs w:val="20"/>
        </w:rPr>
      </w:pPr>
      <w:r w:rsidRPr="00B423C5">
        <w:rPr>
          <w:rFonts w:ascii="Arial" w:hAnsi="Arial" w:cs="Arial"/>
          <w:color w:val="000000"/>
          <w:sz w:val="20"/>
          <w:szCs w:val="20"/>
        </w:rPr>
        <w:t>The study adhered to institutional and national ethical standards. Approval from the</w:t>
      </w:r>
      <w:r w:rsidRPr="00B423C5">
        <w:rPr>
          <w:rStyle w:val="apple-converted-space"/>
          <w:rFonts w:ascii="Arial" w:hAnsi="Arial" w:cs="Arial"/>
          <w:color w:val="000000"/>
          <w:sz w:val="20"/>
          <w:szCs w:val="20"/>
        </w:rPr>
        <w:t> </w:t>
      </w:r>
      <w:r w:rsidRPr="00B423C5">
        <w:rPr>
          <w:rStyle w:val="Strong"/>
          <w:rFonts w:ascii="Arial" w:hAnsi="Arial" w:cs="Arial"/>
          <w:b w:val="0"/>
          <w:bCs w:val="0"/>
          <w:color w:val="000000"/>
          <w:sz w:val="20"/>
          <w:szCs w:val="20"/>
        </w:rPr>
        <w:t>University of the Immaculate Conception Research Ethics Committee</w:t>
      </w:r>
      <w:r w:rsidRPr="00B423C5">
        <w:rPr>
          <w:rStyle w:val="apple-converted-space"/>
          <w:rFonts w:ascii="Arial" w:hAnsi="Arial" w:cs="Arial"/>
          <w:color w:val="000000"/>
          <w:sz w:val="20"/>
          <w:szCs w:val="20"/>
        </w:rPr>
        <w:t> </w:t>
      </w:r>
      <w:r w:rsidRPr="00B423C5">
        <w:rPr>
          <w:rFonts w:ascii="Arial" w:hAnsi="Arial" w:cs="Arial"/>
          <w:color w:val="000000"/>
          <w:sz w:val="20"/>
          <w:szCs w:val="20"/>
        </w:rPr>
        <w:t>confirmed compliance with protocols for studies involving human participants. Informed consent, confidentiality, voluntary participation, secure data storage, and the right to withdraw were strictly observed. Pseudonyms were used in all reports to safeguard participant identity.</w:t>
      </w:r>
    </w:p>
    <w:p w14:paraId="69C7BE10" w14:textId="61D35B6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655695" w14:textId="3EB74A67" w:rsidR="00E5434A" w:rsidRDefault="00E5434A" w:rsidP="00441B6F">
      <w:pPr>
        <w:pStyle w:val="Head1"/>
        <w:spacing w:after="0"/>
        <w:jc w:val="both"/>
        <w:rPr>
          <w:rFonts w:ascii="Arial" w:hAnsi="Arial" w:cs="Arial"/>
        </w:rPr>
      </w:pPr>
    </w:p>
    <w:p w14:paraId="18AE14B5" w14:textId="77777777" w:rsidR="00E5434A" w:rsidRDefault="00E5434A" w:rsidP="00441B6F">
      <w:pPr>
        <w:pStyle w:val="Head1"/>
        <w:spacing w:after="0"/>
        <w:jc w:val="both"/>
        <w:rPr>
          <w:rFonts w:ascii="Arial" w:hAnsi="Arial" w:cs="Arial"/>
        </w:rPr>
      </w:pPr>
    </w:p>
    <w:p w14:paraId="2ED34F8B" w14:textId="5C488EAF" w:rsidR="00790ADA" w:rsidRPr="00FB3A86" w:rsidRDefault="00790ADA" w:rsidP="00441B6F">
      <w:pPr>
        <w:pStyle w:val="Head1"/>
        <w:spacing w:after="0"/>
        <w:jc w:val="both"/>
        <w:rPr>
          <w:rFonts w:ascii="Arial" w:hAnsi="Arial" w:cs="Arial"/>
        </w:rPr>
      </w:pPr>
    </w:p>
    <w:p w14:paraId="098F1C67" w14:textId="77777777" w:rsidR="0062664A" w:rsidRDefault="0062664A" w:rsidP="008C549D">
      <w:pPr>
        <w:spacing w:line="276" w:lineRule="auto"/>
        <w:ind w:firstLine="720"/>
        <w:jc w:val="both"/>
        <w:rPr>
          <w:rFonts w:ascii="Arial" w:hAnsi="Arial" w:cs="Arial"/>
          <w:b/>
          <w:bCs/>
          <w:sz w:val="21"/>
          <w:szCs w:val="21"/>
        </w:rPr>
      </w:pPr>
    </w:p>
    <w:p w14:paraId="14DF3E02" w14:textId="77777777" w:rsidR="0062664A" w:rsidRDefault="0062664A" w:rsidP="008C549D">
      <w:pPr>
        <w:spacing w:line="276" w:lineRule="auto"/>
        <w:ind w:firstLine="720"/>
        <w:jc w:val="both"/>
        <w:rPr>
          <w:rFonts w:ascii="Arial" w:hAnsi="Arial" w:cs="Arial"/>
          <w:b/>
          <w:bCs/>
          <w:sz w:val="21"/>
          <w:szCs w:val="21"/>
        </w:rPr>
      </w:pPr>
    </w:p>
    <w:p w14:paraId="450BE479" w14:textId="15C72B92" w:rsidR="00972C3D" w:rsidRDefault="00B6484F" w:rsidP="008C549D">
      <w:pPr>
        <w:spacing w:line="276" w:lineRule="auto"/>
        <w:ind w:firstLine="720"/>
        <w:jc w:val="both"/>
        <w:rPr>
          <w:rFonts w:ascii="Arial" w:hAnsi="Arial" w:cs="Arial"/>
          <w:b/>
          <w:bCs/>
          <w:sz w:val="21"/>
          <w:szCs w:val="21"/>
        </w:rPr>
      </w:pPr>
      <w:r>
        <w:rPr>
          <w:rFonts w:ascii="Arial" w:hAnsi="Arial" w:cs="Arial"/>
          <w:b/>
          <w:bCs/>
          <w:sz w:val="21"/>
          <w:szCs w:val="21"/>
        </w:rPr>
        <w:t xml:space="preserve">TABLE 1. </w:t>
      </w:r>
      <w:r w:rsidR="00972C3D" w:rsidRPr="00972C3D">
        <w:rPr>
          <w:rFonts w:ascii="Arial" w:hAnsi="Arial" w:cs="Arial"/>
          <w:b/>
          <w:bCs/>
          <w:sz w:val="21"/>
          <w:szCs w:val="21"/>
        </w:rPr>
        <w:t xml:space="preserve"> Profile of the Participants</w:t>
      </w:r>
    </w:p>
    <w:p w14:paraId="1045109B" w14:textId="02FCA00B" w:rsidR="00972C3D" w:rsidRDefault="00972C3D" w:rsidP="008C549D">
      <w:pPr>
        <w:spacing w:line="276" w:lineRule="auto"/>
        <w:ind w:firstLine="720"/>
        <w:jc w:val="both"/>
        <w:rPr>
          <w:rFonts w:ascii="Arial" w:hAnsi="Arial" w:cs="Arial"/>
          <w:b/>
          <w:bCs/>
          <w:sz w:val="21"/>
          <w:szCs w:val="21"/>
        </w:rPr>
      </w:pPr>
    </w:p>
    <w:p w14:paraId="23A23F39" w14:textId="7D2C2040" w:rsidR="00972C3D" w:rsidRDefault="00972C3D" w:rsidP="008C549D">
      <w:pPr>
        <w:spacing w:line="276" w:lineRule="auto"/>
        <w:ind w:firstLine="720"/>
        <w:jc w:val="both"/>
        <w:rPr>
          <w:rFonts w:ascii="Arial" w:hAnsi="Arial" w:cs="Arial"/>
          <w:b/>
          <w:bCs/>
          <w:sz w:val="21"/>
          <w:szCs w:val="21"/>
        </w:rPr>
      </w:pPr>
    </w:p>
    <w:p w14:paraId="27752A7B" w14:textId="4CF3398D" w:rsidR="00972C3D" w:rsidRPr="00972C3D" w:rsidRDefault="00972C3D" w:rsidP="008C549D">
      <w:pPr>
        <w:spacing w:line="276" w:lineRule="auto"/>
        <w:ind w:firstLine="720"/>
        <w:jc w:val="both"/>
        <w:rPr>
          <w:rFonts w:ascii="Arial" w:hAnsi="Arial" w:cs="Arial"/>
          <w:b/>
          <w:bCs/>
          <w:sz w:val="21"/>
          <w:szCs w:val="21"/>
        </w:rPr>
      </w:pPr>
    </w:p>
    <w:p w14:paraId="08AB4118" w14:textId="1364C9EC" w:rsidR="00972C3D" w:rsidRDefault="00972C3D" w:rsidP="008C549D">
      <w:pPr>
        <w:spacing w:line="276" w:lineRule="auto"/>
        <w:ind w:firstLine="720"/>
        <w:jc w:val="both"/>
        <w:rPr>
          <w:rFonts w:ascii="Arial" w:hAnsi="Arial" w:cs="Arial"/>
        </w:rPr>
      </w:pPr>
    </w:p>
    <w:p w14:paraId="2AFA0A25" w14:textId="2504DBDA" w:rsidR="00972C3D" w:rsidRDefault="00972C3D" w:rsidP="008C549D">
      <w:pPr>
        <w:spacing w:line="276" w:lineRule="auto"/>
        <w:ind w:firstLine="720"/>
        <w:jc w:val="both"/>
        <w:rPr>
          <w:rFonts w:ascii="Arial" w:hAnsi="Arial" w:cs="Arial"/>
        </w:rPr>
      </w:pPr>
    </w:p>
    <w:p w14:paraId="190B0D1F" w14:textId="172894D4" w:rsidR="00972C3D" w:rsidRDefault="00972C3D" w:rsidP="008C549D">
      <w:pPr>
        <w:spacing w:line="276" w:lineRule="auto"/>
        <w:ind w:firstLine="720"/>
        <w:jc w:val="both"/>
        <w:rPr>
          <w:rFonts w:ascii="Arial" w:hAnsi="Arial" w:cs="Arial"/>
        </w:rPr>
      </w:pPr>
    </w:p>
    <w:p w14:paraId="2DB5D4B6" w14:textId="7A3103B0" w:rsidR="00972C3D" w:rsidRDefault="00972C3D" w:rsidP="008C549D">
      <w:pPr>
        <w:spacing w:line="276" w:lineRule="auto"/>
        <w:ind w:firstLine="720"/>
        <w:jc w:val="both"/>
        <w:rPr>
          <w:rFonts w:ascii="Arial" w:hAnsi="Arial" w:cs="Arial"/>
        </w:rPr>
      </w:pPr>
    </w:p>
    <w:p w14:paraId="7FE04827" w14:textId="29F3ACB1" w:rsidR="00972C3D" w:rsidRDefault="00E5434A" w:rsidP="008C549D">
      <w:pPr>
        <w:spacing w:line="276" w:lineRule="auto"/>
        <w:ind w:firstLine="720"/>
        <w:jc w:val="both"/>
        <w:rPr>
          <w:rFonts w:ascii="Arial" w:hAnsi="Arial" w:cs="Arial"/>
        </w:rPr>
      </w:pPr>
      <w:r>
        <w:rPr>
          <w:rFonts w:ascii="Arial" w:hAnsi="Arial" w:cs="Arial"/>
          <w:b/>
          <w:bCs/>
          <w:noProof/>
          <w:sz w:val="22"/>
          <w:szCs w:val="22"/>
        </w:rPr>
        <w:lastRenderedPageBreak/>
        <w:drawing>
          <wp:anchor distT="0" distB="0" distL="114300" distR="114300" simplePos="0" relativeHeight="251656704" behindDoc="1" locked="0" layoutInCell="1" allowOverlap="1" wp14:anchorId="2B7E7934" wp14:editId="0B750AC9">
            <wp:simplePos x="0" y="0"/>
            <wp:positionH relativeFrom="column">
              <wp:posOffset>398847</wp:posOffset>
            </wp:positionH>
            <wp:positionV relativeFrom="paragraph">
              <wp:posOffset>-241567</wp:posOffset>
            </wp:positionV>
            <wp:extent cx="3527942" cy="2971165"/>
            <wp:effectExtent l="19050" t="19050" r="0" b="635"/>
            <wp:wrapNone/>
            <wp:docPr id="180834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44353" name="Picture 1808344353"/>
                    <pic:cNvPicPr/>
                  </pic:nvPicPr>
                  <pic:blipFill>
                    <a:blip r:embed="rId14">
                      <a:extLst>
                        <a:ext uri="{28A0092B-C50C-407E-A947-70E740481C1C}">
                          <a14:useLocalDpi xmlns:a14="http://schemas.microsoft.com/office/drawing/2010/main" val="0"/>
                        </a:ext>
                      </a:extLst>
                    </a:blip>
                    <a:stretch>
                      <a:fillRect/>
                    </a:stretch>
                  </pic:blipFill>
                  <pic:spPr>
                    <a:xfrm>
                      <a:off x="0" y="0"/>
                      <a:ext cx="3527942" cy="2971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6675008" w14:textId="77777777" w:rsidR="00972C3D" w:rsidRDefault="00972C3D" w:rsidP="008C549D">
      <w:pPr>
        <w:spacing w:line="276" w:lineRule="auto"/>
        <w:ind w:firstLine="720"/>
        <w:jc w:val="both"/>
        <w:rPr>
          <w:rFonts w:ascii="Arial" w:hAnsi="Arial" w:cs="Arial"/>
        </w:rPr>
      </w:pPr>
    </w:p>
    <w:p w14:paraId="10F0269C" w14:textId="1F162636" w:rsidR="00972C3D" w:rsidRDefault="00972C3D" w:rsidP="008C549D">
      <w:pPr>
        <w:spacing w:line="276" w:lineRule="auto"/>
        <w:ind w:firstLine="720"/>
        <w:jc w:val="both"/>
        <w:rPr>
          <w:rFonts w:ascii="Arial" w:hAnsi="Arial" w:cs="Arial"/>
        </w:rPr>
      </w:pPr>
    </w:p>
    <w:p w14:paraId="0F646ACF" w14:textId="7A407EDB" w:rsidR="00972C3D" w:rsidRDefault="00972C3D" w:rsidP="008C549D">
      <w:pPr>
        <w:spacing w:line="276" w:lineRule="auto"/>
        <w:ind w:firstLine="720"/>
        <w:jc w:val="both"/>
        <w:rPr>
          <w:rFonts w:ascii="Arial" w:hAnsi="Arial" w:cs="Arial"/>
        </w:rPr>
      </w:pPr>
    </w:p>
    <w:p w14:paraId="17EB583E" w14:textId="7046E6DA" w:rsidR="00972C3D" w:rsidRDefault="00972C3D" w:rsidP="008C549D">
      <w:pPr>
        <w:spacing w:line="276" w:lineRule="auto"/>
        <w:ind w:firstLine="720"/>
        <w:jc w:val="both"/>
        <w:rPr>
          <w:rFonts w:ascii="Arial" w:hAnsi="Arial" w:cs="Arial"/>
        </w:rPr>
      </w:pPr>
    </w:p>
    <w:p w14:paraId="6B13349A" w14:textId="5AD5D814" w:rsidR="00E5434A" w:rsidRDefault="00E5434A" w:rsidP="008C549D">
      <w:pPr>
        <w:spacing w:line="276" w:lineRule="auto"/>
        <w:ind w:firstLine="720"/>
        <w:jc w:val="both"/>
        <w:rPr>
          <w:rFonts w:ascii="Arial" w:hAnsi="Arial" w:cs="Arial"/>
        </w:rPr>
      </w:pPr>
    </w:p>
    <w:p w14:paraId="58CF52E7" w14:textId="24AC4761" w:rsidR="00E5434A" w:rsidRDefault="00E5434A" w:rsidP="008C549D">
      <w:pPr>
        <w:spacing w:line="276" w:lineRule="auto"/>
        <w:ind w:firstLine="720"/>
        <w:jc w:val="both"/>
        <w:rPr>
          <w:rFonts w:ascii="Arial" w:hAnsi="Arial" w:cs="Arial"/>
        </w:rPr>
      </w:pPr>
    </w:p>
    <w:p w14:paraId="003B1774" w14:textId="75FF6DFE" w:rsidR="00E5434A" w:rsidRDefault="00E5434A" w:rsidP="008C549D">
      <w:pPr>
        <w:spacing w:line="276" w:lineRule="auto"/>
        <w:ind w:firstLine="720"/>
        <w:jc w:val="both"/>
        <w:rPr>
          <w:rFonts w:ascii="Arial" w:hAnsi="Arial" w:cs="Arial"/>
        </w:rPr>
      </w:pPr>
    </w:p>
    <w:p w14:paraId="632B9399" w14:textId="19CA3338" w:rsidR="00E5434A" w:rsidRDefault="00E5434A" w:rsidP="008C549D">
      <w:pPr>
        <w:spacing w:line="276" w:lineRule="auto"/>
        <w:ind w:firstLine="720"/>
        <w:jc w:val="both"/>
        <w:rPr>
          <w:rFonts w:ascii="Arial" w:hAnsi="Arial" w:cs="Arial"/>
        </w:rPr>
      </w:pPr>
    </w:p>
    <w:p w14:paraId="7D1BAEA0" w14:textId="2A0734AD" w:rsidR="00E5434A" w:rsidRDefault="00E5434A" w:rsidP="008C549D">
      <w:pPr>
        <w:spacing w:line="276" w:lineRule="auto"/>
        <w:ind w:firstLine="720"/>
        <w:jc w:val="both"/>
        <w:rPr>
          <w:rFonts w:ascii="Arial" w:hAnsi="Arial" w:cs="Arial"/>
        </w:rPr>
      </w:pPr>
    </w:p>
    <w:p w14:paraId="717C90C2" w14:textId="52CA605B" w:rsidR="00E5434A" w:rsidRDefault="00E5434A" w:rsidP="008C549D">
      <w:pPr>
        <w:spacing w:line="276" w:lineRule="auto"/>
        <w:ind w:firstLine="720"/>
        <w:jc w:val="both"/>
        <w:rPr>
          <w:rFonts w:ascii="Arial" w:hAnsi="Arial" w:cs="Arial"/>
        </w:rPr>
      </w:pPr>
    </w:p>
    <w:p w14:paraId="38DF62E5" w14:textId="6CE1AAE1" w:rsidR="00E5434A" w:rsidRDefault="00E5434A" w:rsidP="008C549D">
      <w:pPr>
        <w:spacing w:line="276" w:lineRule="auto"/>
        <w:ind w:firstLine="720"/>
        <w:jc w:val="both"/>
        <w:rPr>
          <w:rFonts w:ascii="Arial" w:hAnsi="Arial" w:cs="Arial"/>
        </w:rPr>
      </w:pPr>
    </w:p>
    <w:p w14:paraId="286562B7" w14:textId="5488CC63" w:rsidR="00E5434A" w:rsidRDefault="00E5434A" w:rsidP="008C549D">
      <w:pPr>
        <w:spacing w:line="276" w:lineRule="auto"/>
        <w:ind w:firstLine="720"/>
        <w:jc w:val="both"/>
        <w:rPr>
          <w:rFonts w:ascii="Arial" w:hAnsi="Arial" w:cs="Arial"/>
        </w:rPr>
      </w:pPr>
    </w:p>
    <w:p w14:paraId="1F15DDDD" w14:textId="24ED3058" w:rsidR="00E5434A" w:rsidRDefault="00E5434A" w:rsidP="008C549D">
      <w:pPr>
        <w:spacing w:line="276" w:lineRule="auto"/>
        <w:ind w:firstLine="720"/>
        <w:jc w:val="both"/>
        <w:rPr>
          <w:rFonts w:ascii="Arial" w:hAnsi="Arial" w:cs="Arial"/>
        </w:rPr>
      </w:pPr>
    </w:p>
    <w:p w14:paraId="3A645744" w14:textId="3674A77E" w:rsidR="00E5434A" w:rsidRDefault="00E5434A" w:rsidP="008C549D">
      <w:pPr>
        <w:spacing w:line="276" w:lineRule="auto"/>
        <w:ind w:firstLine="720"/>
        <w:jc w:val="both"/>
        <w:rPr>
          <w:rFonts w:ascii="Arial" w:hAnsi="Arial" w:cs="Arial"/>
        </w:rPr>
      </w:pPr>
    </w:p>
    <w:p w14:paraId="344A53CE" w14:textId="227DE72B" w:rsidR="00E5434A" w:rsidRDefault="00E5434A" w:rsidP="008C549D">
      <w:pPr>
        <w:spacing w:line="276" w:lineRule="auto"/>
        <w:ind w:firstLine="720"/>
        <w:jc w:val="both"/>
        <w:rPr>
          <w:rFonts w:ascii="Arial" w:hAnsi="Arial" w:cs="Arial"/>
        </w:rPr>
      </w:pPr>
    </w:p>
    <w:p w14:paraId="531A3496" w14:textId="2F6041C6" w:rsidR="00E5434A" w:rsidRDefault="00E5434A" w:rsidP="008C549D">
      <w:pPr>
        <w:spacing w:line="276" w:lineRule="auto"/>
        <w:ind w:firstLine="720"/>
        <w:jc w:val="both"/>
        <w:rPr>
          <w:rFonts w:ascii="Arial" w:hAnsi="Arial" w:cs="Arial"/>
        </w:rPr>
      </w:pPr>
    </w:p>
    <w:p w14:paraId="1AC81642" w14:textId="77777777" w:rsidR="00E5434A" w:rsidRDefault="00E5434A" w:rsidP="008C549D">
      <w:pPr>
        <w:spacing w:line="276" w:lineRule="auto"/>
        <w:ind w:firstLine="720"/>
        <w:jc w:val="both"/>
        <w:rPr>
          <w:rFonts w:ascii="Arial" w:hAnsi="Arial" w:cs="Arial"/>
        </w:rPr>
      </w:pPr>
    </w:p>
    <w:p w14:paraId="76949E69" w14:textId="082591A5" w:rsidR="00972C3D" w:rsidRDefault="00972C3D" w:rsidP="008C549D">
      <w:pPr>
        <w:spacing w:line="276" w:lineRule="auto"/>
        <w:ind w:firstLine="720"/>
        <w:jc w:val="both"/>
        <w:rPr>
          <w:rFonts w:ascii="Arial" w:hAnsi="Arial" w:cs="Arial"/>
        </w:rPr>
      </w:pPr>
    </w:p>
    <w:p w14:paraId="13738F85" w14:textId="0D22D607" w:rsidR="00972C3D" w:rsidRDefault="00972C3D" w:rsidP="008C549D">
      <w:pPr>
        <w:spacing w:line="276" w:lineRule="auto"/>
        <w:ind w:firstLine="720"/>
        <w:jc w:val="both"/>
        <w:rPr>
          <w:rFonts w:ascii="Arial" w:hAnsi="Arial" w:cs="Arial"/>
        </w:rPr>
      </w:pPr>
    </w:p>
    <w:p w14:paraId="79CCF8ED" w14:textId="628DFA7D" w:rsidR="00972C3D" w:rsidRDefault="0062664A" w:rsidP="008C549D">
      <w:pPr>
        <w:spacing w:line="276" w:lineRule="auto"/>
        <w:ind w:firstLine="720"/>
        <w:jc w:val="both"/>
        <w:rPr>
          <w:rFonts w:ascii="Arial" w:hAnsi="Arial" w:cs="Arial"/>
        </w:rPr>
      </w:pPr>
      <w:r>
        <w:rPr>
          <w:rFonts w:ascii="Arial" w:hAnsi="Arial" w:cs="Arial"/>
          <w:noProof/>
        </w:rPr>
        <w:drawing>
          <wp:anchor distT="0" distB="0" distL="114300" distR="114300" simplePos="0" relativeHeight="251658752" behindDoc="1" locked="0" layoutInCell="1" allowOverlap="1" wp14:anchorId="7F31C0B2" wp14:editId="2CDCD546">
            <wp:simplePos x="0" y="0"/>
            <wp:positionH relativeFrom="column">
              <wp:posOffset>880317</wp:posOffset>
            </wp:positionH>
            <wp:positionV relativeFrom="paragraph">
              <wp:posOffset>83569</wp:posOffset>
            </wp:positionV>
            <wp:extent cx="4027672" cy="4050837"/>
            <wp:effectExtent l="19050" t="19050" r="0" b="6985"/>
            <wp:wrapNone/>
            <wp:docPr id="1193399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9457" name="Picture 1193399457"/>
                    <pic:cNvPicPr/>
                  </pic:nvPicPr>
                  <pic:blipFill>
                    <a:blip r:embed="rId15">
                      <a:extLst>
                        <a:ext uri="{28A0092B-C50C-407E-A947-70E740481C1C}">
                          <a14:useLocalDpi xmlns:a14="http://schemas.microsoft.com/office/drawing/2010/main" val="0"/>
                        </a:ext>
                      </a:extLst>
                    </a:blip>
                    <a:stretch>
                      <a:fillRect/>
                    </a:stretch>
                  </pic:blipFill>
                  <pic:spPr>
                    <a:xfrm>
                      <a:off x="0" y="0"/>
                      <a:ext cx="4029578" cy="405275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B7D5EC2" w14:textId="508A3E89" w:rsidR="00972C3D" w:rsidRDefault="00972C3D" w:rsidP="008C549D">
      <w:pPr>
        <w:spacing w:line="276" w:lineRule="auto"/>
        <w:ind w:firstLine="720"/>
        <w:jc w:val="both"/>
        <w:rPr>
          <w:rFonts w:ascii="Arial" w:hAnsi="Arial" w:cs="Arial"/>
        </w:rPr>
      </w:pPr>
    </w:p>
    <w:p w14:paraId="6984B91A" w14:textId="1C4B7CF8" w:rsidR="00972C3D" w:rsidRDefault="00972C3D" w:rsidP="008C549D">
      <w:pPr>
        <w:spacing w:line="276" w:lineRule="auto"/>
        <w:ind w:firstLine="720"/>
        <w:jc w:val="both"/>
        <w:rPr>
          <w:rFonts w:ascii="Arial" w:hAnsi="Arial" w:cs="Arial"/>
        </w:rPr>
      </w:pPr>
    </w:p>
    <w:p w14:paraId="57445807" w14:textId="736BFAEC" w:rsidR="00972C3D" w:rsidRDefault="00972C3D" w:rsidP="008C549D">
      <w:pPr>
        <w:spacing w:line="276" w:lineRule="auto"/>
        <w:ind w:firstLine="720"/>
        <w:jc w:val="both"/>
        <w:rPr>
          <w:rFonts w:ascii="Arial" w:hAnsi="Arial" w:cs="Arial"/>
        </w:rPr>
      </w:pPr>
    </w:p>
    <w:p w14:paraId="2ECC396C" w14:textId="718D39E1" w:rsidR="00972C3D" w:rsidRDefault="00972C3D" w:rsidP="008C549D">
      <w:pPr>
        <w:spacing w:line="276" w:lineRule="auto"/>
        <w:ind w:firstLine="720"/>
        <w:jc w:val="both"/>
        <w:rPr>
          <w:rFonts w:ascii="Arial" w:hAnsi="Arial" w:cs="Arial"/>
        </w:rPr>
      </w:pPr>
    </w:p>
    <w:p w14:paraId="0241BD60" w14:textId="77777777" w:rsidR="00972C3D" w:rsidRDefault="00972C3D" w:rsidP="008C549D">
      <w:pPr>
        <w:spacing w:line="276" w:lineRule="auto"/>
        <w:ind w:firstLine="720"/>
        <w:jc w:val="both"/>
        <w:rPr>
          <w:rFonts w:ascii="Arial" w:hAnsi="Arial" w:cs="Arial"/>
        </w:rPr>
      </w:pPr>
    </w:p>
    <w:p w14:paraId="7E1C190D" w14:textId="2AAC9177" w:rsidR="00972C3D" w:rsidRDefault="00972C3D" w:rsidP="008C549D">
      <w:pPr>
        <w:spacing w:line="276" w:lineRule="auto"/>
        <w:ind w:firstLine="720"/>
        <w:jc w:val="both"/>
        <w:rPr>
          <w:rFonts w:ascii="Arial" w:hAnsi="Arial" w:cs="Arial"/>
        </w:rPr>
      </w:pPr>
    </w:p>
    <w:p w14:paraId="1B7D081F" w14:textId="78BB3E27" w:rsidR="00972C3D" w:rsidRDefault="00972C3D" w:rsidP="008C549D">
      <w:pPr>
        <w:spacing w:line="276" w:lineRule="auto"/>
        <w:ind w:firstLine="720"/>
        <w:jc w:val="both"/>
        <w:rPr>
          <w:rFonts w:ascii="Arial" w:hAnsi="Arial" w:cs="Arial"/>
        </w:rPr>
      </w:pPr>
    </w:p>
    <w:p w14:paraId="2D83685B" w14:textId="6DD47384" w:rsidR="00972C3D" w:rsidRDefault="00972C3D" w:rsidP="008C549D">
      <w:pPr>
        <w:spacing w:line="276" w:lineRule="auto"/>
        <w:ind w:firstLine="720"/>
        <w:jc w:val="both"/>
        <w:rPr>
          <w:rFonts w:ascii="Arial" w:hAnsi="Arial" w:cs="Arial"/>
        </w:rPr>
      </w:pPr>
    </w:p>
    <w:p w14:paraId="73B870DA" w14:textId="292B6037" w:rsidR="00972C3D" w:rsidRDefault="00972C3D" w:rsidP="008C549D">
      <w:pPr>
        <w:spacing w:line="276" w:lineRule="auto"/>
        <w:ind w:firstLine="720"/>
        <w:jc w:val="both"/>
        <w:rPr>
          <w:rFonts w:ascii="Arial" w:hAnsi="Arial" w:cs="Arial"/>
        </w:rPr>
      </w:pPr>
    </w:p>
    <w:p w14:paraId="37CC56F5" w14:textId="4F4AC692" w:rsidR="00972C3D" w:rsidRDefault="00972C3D" w:rsidP="008C549D">
      <w:pPr>
        <w:spacing w:line="276" w:lineRule="auto"/>
        <w:ind w:firstLine="720"/>
        <w:jc w:val="both"/>
        <w:rPr>
          <w:rFonts w:ascii="Arial" w:hAnsi="Arial" w:cs="Arial"/>
        </w:rPr>
      </w:pPr>
    </w:p>
    <w:p w14:paraId="41C3C679" w14:textId="6809DB61" w:rsidR="00972C3D" w:rsidRDefault="00972C3D" w:rsidP="008C549D">
      <w:pPr>
        <w:spacing w:line="276" w:lineRule="auto"/>
        <w:ind w:firstLine="720"/>
        <w:jc w:val="both"/>
        <w:rPr>
          <w:rFonts w:ascii="Arial" w:hAnsi="Arial" w:cs="Arial"/>
        </w:rPr>
      </w:pPr>
    </w:p>
    <w:p w14:paraId="60E2149D" w14:textId="7F19839B" w:rsidR="00972C3D" w:rsidRDefault="00972C3D" w:rsidP="008C549D">
      <w:pPr>
        <w:spacing w:line="276" w:lineRule="auto"/>
        <w:ind w:firstLine="720"/>
        <w:jc w:val="both"/>
        <w:rPr>
          <w:rFonts w:ascii="Arial" w:hAnsi="Arial" w:cs="Arial"/>
        </w:rPr>
      </w:pPr>
    </w:p>
    <w:p w14:paraId="4E3626D1" w14:textId="0F2B0DC2" w:rsidR="00972C3D" w:rsidRDefault="00972C3D" w:rsidP="008C549D">
      <w:pPr>
        <w:spacing w:line="276" w:lineRule="auto"/>
        <w:ind w:firstLine="720"/>
        <w:jc w:val="both"/>
        <w:rPr>
          <w:rFonts w:ascii="Arial" w:hAnsi="Arial" w:cs="Arial"/>
        </w:rPr>
      </w:pPr>
    </w:p>
    <w:p w14:paraId="5D6EA7E0" w14:textId="4A542D9E" w:rsidR="00972C3D" w:rsidRDefault="00972C3D" w:rsidP="008C549D">
      <w:pPr>
        <w:spacing w:line="276" w:lineRule="auto"/>
        <w:ind w:firstLine="720"/>
        <w:jc w:val="both"/>
        <w:rPr>
          <w:rFonts w:ascii="Arial" w:hAnsi="Arial" w:cs="Arial"/>
        </w:rPr>
      </w:pPr>
    </w:p>
    <w:p w14:paraId="3A121C62" w14:textId="1DFBAFB3" w:rsidR="00972C3D" w:rsidRDefault="00972C3D" w:rsidP="008C549D">
      <w:pPr>
        <w:spacing w:line="276" w:lineRule="auto"/>
        <w:ind w:firstLine="720"/>
        <w:jc w:val="both"/>
        <w:rPr>
          <w:rFonts w:ascii="Arial" w:hAnsi="Arial" w:cs="Arial"/>
        </w:rPr>
      </w:pPr>
    </w:p>
    <w:p w14:paraId="34746FCF" w14:textId="13E3523E" w:rsidR="00A008C0" w:rsidRDefault="00A008C0" w:rsidP="00A008C0">
      <w:pPr>
        <w:spacing w:line="276" w:lineRule="auto"/>
        <w:jc w:val="both"/>
        <w:rPr>
          <w:rFonts w:ascii="Arial" w:eastAsia="Arial" w:hAnsi="Arial" w:cs="Arial"/>
        </w:rPr>
      </w:pPr>
    </w:p>
    <w:p w14:paraId="788DC688" w14:textId="77777777" w:rsidR="00EA74D4" w:rsidRDefault="00EA74D4" w:rsidP="00A008C0">
      <w:pPr>
        <w:spacing w:line="276" w:lineRule="auto"/>
        <w:jc w:val="both"/>
        <w:rPr>
          <w:rFonts w:ascii="Arial" w:eastAsia="Arial" w:hAnsi="Arial" w:cs="Arial"/>
        </w:rPr>
      </w:pPr>
    </w:p>
    <w:p w14:paraId="40375495" w14:textId="77777777" w:rsidR="00EA74D4" w:rsidRDefault="00EA74D4" w:rsidP="00A008C0">
      <w:pPr>
        <w:spacing w:line="276" w:lineRule="auto"/>
        <w:jc w:val="both"/>
        <w:rPr>
          <w:rFonts w:ascii="Arial" w:eastAsia="Arial" w:hAnsi="Arial" w:cs="Arial"/>
        </w:rPr>
      </w:pPr>
    </w:p>
    <w:p w14:paraId="186FA07D" w14:textId="77777777" w:rsidR="00EA74D4" w:rsidRDefault="00EA74D4" w:rsidP="00A008C0">
      <w:pPr>
        <w:spacing w:line="276" w:lineRule="auto"/>
        <w:jc w:val="both"/>
        <w:rPr>
          <w:rFonts w:ascii="Arial" w:eastAsia="Arial" w:hAnsi="Arial" w:cs="Arial"/>
        </w:rPr>
      </w:pPr>
    </w:p>
    <w:p w14:paraId="59282D5D" w14:textId="77777777" w:rsidR="00EA74D4" w:rsidRDefault="00EA74D4" w:rsidP="00A008C0">
      <w:pPr>
        <w:spacing w:line="276" w:lineRule="auto"/>
        <w:jc w:val="both"/>
        <w:rPr>
          <w:rFonts w:ascii="Arial" w:eastAsia="Arial" w:hAnsi="Arial" w:cs="Arial"/>
        </w:rPr>
      </w:pPr>
    </w:p>
    <w:p w14:paraId="7B0C9F63" w14:textId="77777777" w:rsidR="00DA0119" w:rsidRDefault="00DA0119" w:rsidP="00A008C0">
      <w:pPr>
        <w:spacing w:line="276" w:lineRule="auto"/>
        <w:jc w:val="both"/>
        <w:rPr>
          <w:rFonts w:ascii="Arial" w:eastAsia="Arial" w:hAnsi="Arial" w:cs="Arial"/>
          <w:b/>
          <w:bCs/>
          <w:sz w:val="21"/>
          <w:szCs w:val="21"/>
        </w:rPr>
      </w:pPr>
    </w:p>
    <w:p w14:paraId="0028368B" w14:textId="77777777" w:rsidR="0062664A" w:rsidRDefault="0062664A" w:rsidP="00972C3D">
      <w:pPr>
        <w:spacing w:line="276" w:lineRule="auto"/>
        <w:ind w:firstLine="720"/>
        <w:jc w:val="both"/>
        <w:rPr>
          <w:rFonts w:ascii="Arial" w:eastAsia="Arial" w:hAnsi="Arial" w:cs="Arial"/>
          <w:b/>
          <w:bCs/>
          <w:sz w:val="21"/>
          <w:szCs w:val="21"/>
        </w:rPr>
      </w:pPr>
    </w:p>
    <w:p w14:paraId="1CA80F9F" w14:textId="77777777" w:rsidR="0062664A" w:rsidRDefault="0062664A" w:rsidP="00972C3D">
      <w:pPr>
        <w:spacing w:line="276" w:lineRule="auto"/>
        <w:ind w:firstLine="720"/>
        <w:jc w:val="both"/>
        <w:rPr>
          <w:rFonts w:ascii="Arial" w:eastAsia="Arial" w:hAnsi="Arial" w:cs="Arial"/>
          <w:b/>
          <w:bCs/>
          <w:sz w:val="21"/>
          <w:szCs w:val="21"/>
        </w:rPr>
      </w:pPr>
    </w:p>
    <w:p w14:paraId="795ED8F6" w14:textId="77777777" w:rsidR="0062664A" w:rsidRDefault="0062664A" w:rsidP="00972C3D">
      <w:pPr>
        <w:spacing w:line="276" w:lineRule="auto"/>
        <w:ind w:firstLine="720"/>
        <w:jc w:val="both"/>
        <w:rPr>
          <w:rFonts w:ascii="Arial" w:eastAsia="Arial" w:hAnsi="Arial" w:cs="Arial"/>
          <w:b/>
          <w:bCs/>
          <w:sz w:val="21"/>
          <w:szCs w:val="21"/>
        </w:rPr>
      </w:pPr>
    </w:p>
    <w:p w14:paraId="3B669794" w14:textId="77777777" w:rsidR="0062664A" w:rsidRDefault="0062664A" w:rsidP="00972C3D">
      <w:pPr>
        <w:spacing w:line="276" w:lineRule="auto"/>
        <w:ind w:firstLine="720"/>
        <w:jc w:val="both"/>
        <w:rPr>
          <w:rFonts w:ascii="Arial" w:eastAsia="Arial" w:hAnsi="Arial" w:cs="Arial"/>
          <w:b/>
          <w:bCs/>
          <w:sz w:val="21"/>
          <w:szCs w:val="21"/>
        </w:rPr>
      </w:pPr>
    </w:p>
    <w:p w14:paraId="5CED55ED" w14:textId="2B6ACDD1" w:rsidR="00A008C0" w:rsidRDefault="00A008C0" w:rsidP="00972C3D">
      <w:pPr>
        <w:spacing w:line="276" w:lineRule="auto"/>
        <w:ind w:firstLine="720"/>
        <w:jc w:val="both"/>
        <w:rPr>
          <w:rFonts w:ascii="Arial" w:eastAsia="Arial" w:hAnsi="Arial" w:cs="Arial"/>
          <w:b/>
          <w:bCs/>
          <w:sz w:val="21"/>
          <w:szCs w:val="21"/>
        </w:rPr>
      </w:pPr>
      <w:r w:rsidRPr="00A008C0">
        <w:rPr>
          <w:rFonts w:ascii="Arial" w:eastAsia="Arial" w:hAnsi="Arial" w:cs="Arial"/>
          <w:b/>
          <w:bCs/>
          <w:sz w:val="21"/>
          <w:szCs w:val="21"/>
        </w:rPr>
        <w:lastRenderedPageBreak/>
        <w:t>3.1 CROSS-CASE ANALYSIS</w:t>
      </w:r>
    </w:p>
    <w:p w14:paraId="4C050137" w14:textId="77777777" w:rsidR="00972C3D" w:rsidRPr="00A008C0" w:rsidRDefault="00972C3D" w:rsidP="00A008C0">
      <w:pPr>
        <w:spacing w:line="276" w:lineRule="auto"/>
        <w:jc w:val="both"/>
        <w:rPr>
          <w:rFonts w:ascii="Arial" w:eastAsia="Arial" w:hAnsi="Arial" w:cs="Arial"/>
          <w:b/>
          <w:bCs/>
          <w:sz w:val="21"/>
          <w:szCs w:val="21"/>
        </w:rPr>
      </w:pPr>
    </w:p>
    <w:p w14:paraId="7C343F21" w14:textId="490BBDE8" w:rsidR="00972C3D" w:rsidRDefault="00972C3D" w:rsidP="00972C3D">
      <w:pPr>
        <w:spacing w:line="276" w:lineRule="auto"/>
        <w:ind w:left="720" w:firstLine="720"/>
        <w:jc w:val="both"/>
        <w:rPr>
          <w:rFonts w:ascii="Arial" w:eastAsia="Arial" w:hAnsi="Arial" w:cs="Arial"/>
        </w:rPr>
      </w:pPr>
      <w:r w:rsidRPr="005672A1">
        <w:rPr>
          <w:rFonts w:ascii="Arial" w:hAnsi="Arial" w:cs="Arial"/>
        </w:rPr>
        <w:t>Underscored in</w:t>
      </w:r>
      <w:r>
        <w:rPr>
          <w:rFonts w:ascii="Arial" w:hAnsi="Arial" w:cs="Arial"/>
        </w:rPr>
        <w:t xml:space="preserve"> this</w:t>
      </w:r>
      <w:r w:rsidRPr="005672A1">
        <w:rPr>
          <w:rFonts w:ascii="Arial" w:hAnsi="Arial" w:cs="Arial"/>
        </w:rPr>
        <w:t xml:space="preserve"> Table are the similarities and differences among</w:t>
      </w:r>
      <w:r>
        <w:rPr>
          <w:rFonts w:ascii="Arial" w:hAnsi="Arial" w:cs="Arial"/>
        </w:rPr>
        <w:t xml:space="preserve"> </w:t>
      </w:r>
      <w:r w:rsidRPr="005672A1">
        <w:rPr>
          <w:rFonts w:ascii="Arial" w:hAnsi="Arial" w:cs="Arial"/>
        </w:rPr>
        <w:t xml:space="preserve">the five cases in </w:t>
      </w:r>
      <w:r>
        <w:rPr>
          <w:rFonts w:ascii="Arial" w:hAnsi="Arial" w:cs="Arial"/>
        </w:rPr>
        <w:t xml:space="preserve">the context of the </w:t>
      </w:r>
      <w:r>
        <w:rPr>
          <w:rFonts w:ascii="Arial" w:eastAsia="Arial" w:hAnsi="Arial" w:cs="Arial"/>
        </w:rPr>
        <w:t>c</w:t>
      </w:r>
      <w:r w:rsidRPr="008768C4">
        <w:rPr>
          <w:rFonts w:ascii="Arial" w:eastAsia="Arial" w:hAnsi="Arial" w:cs="Arial"/>
        </w:rPr>
        <w:t xml:space="preserve">hallenges in </w:t>
      </w:r>
      <w:r>
        <w:rPr>
          <w:rFonts w:ascii="Arial" w:eastAsia="Arial" w:hAnsi="Arial" w:cs="Arial"/>
        </w:rPr>
        <w:t>i</w:t>
      </w:r>
      <w:r w:rsidRPr="008768C4">
        <w:rPr>
          <w:rFonts w:ascii="Arial" w:eastAsia="Arial" w:hAnsi="Arial" w:cs="Arial"/>
        </w:rPr>
        <w:t>mplementing MATATAG</w:t>
      </w:r>
      <w:r>
        <w:rPr>
          <w:rFonts w:ascii="Arial" w:hAnsi="Arial" w:cs="Arial"/>
        </w:rPr>
        <w:t xml:space="preserve"> </w:t>
      </w:r>
      <w:r w:rsidRPr="008768C4">
        <w:rPr>
          <w:rFonts w:ascii="Arial" w:eastAsia="Arial" w:hAnsi="Arial" w:cs="Arial"/>
        </w:rPr>
        <w:t xml:space="preserve">Physical Education in </w:t>
      </w:r>
      <w:r>
        <w:rPr>
          <w:rFonts w:ascii="Arial" w:eastAsia="Arial" w:hAnsi="Arial" w:cs="Arial"/>
        </w:rPr>
        <w:t>a</w:t>
      </w:r>
      <w:r w:rsidRPr="008768C4">
        <w:rPr>
          <w:rFonts w:ascii="Arial" w:eastAsia="Arial" w:hAnsi="Arial" w:cs="Arial"/>
        </w:rPr>
        <w:t xml:space="preserve">ctual </w:t>
      </w:r>
      <w:r>
        <w:rPr>
          <w:rFonts w:ascii="Arial" w:eastAsia="Arial" w:hAnsi="Arial" w:cs="Arial"/>
        </w:rPr>
        <w:t>s</w:t>
      </w:r>
      <w:r w:rsidRPr="008768C4">
        <w:rPr>
          <w:rFonts w:ascii="Arial" w:eastAsia="Arial" w:hAnsi="Arial" w:cs="Arial"/>
        </w:rPr>
        <w:t xml:space="preserve">chool </w:t>
      </w:r>
      <w:r>
        <w:rPr>
          <w:rFonts w:ascii="Arial" w:eastAsia="Arial" w:hAnsi="Arial" w:cs="Arial"/>
        </w:rPr>
        <w:t>s</w:t>
      </w:r>
      <w:r w:rsidRPr="008768C4">
        <w:rPr>
          <w:rFonts w:ascii="Arial" w:eastAsia="Arial" w:hAnsi="Arial" w:cs="Arial"/>
        </w:rPr>
        <w:t>etting</w:t>
      </w:r>
      <w:r>
        <w:rPr>
          <w:rFonts w:ascii="Arial" w:eastAsia="Arial" w:hAnsi="Arial" w:cs="Arial"/>
        </w:rPr>
        <w:t>, c</w:t>
      </w:r>
      <w:r w:rsidRPr="008768C4">
        <w:rPr>
          <w:rFonts w:ascii="Arial" w:eastAsia="Arial" w:hAnsi="Arial" w:cs="Arial"/>
        </w:rPr>
        <w:t xml:space="preserve">ontextual </w:t>
      </w:r>
      <w:r>
        <w:rPr>
          <w:rFonts w:ascii="Arial" w:eastAsia="Arial" w:hAnsi="Arial" w:cs="Arial"/>
        </w:rPr>
        <w:t>f</w:t>
      </w:r>
      <w:r w:rsidRPr="008768C4">
        <w:rPr>
          <w:rFonts w:ascii="Arial" w:eastAsia="Arial" w:hAnsi="Arial" w:cs="Arial"/>
        </w:rPr>
        <w:t xml:space="preserve">actors </w:t>
      </w:r>
      <w:r>
        <w:rPr>
          <w:rFonts w:ascii="Arial" w:eastAsia="Arial" w:hAnsi="Arial" w:cs="Arial"/>
        </w:rPr>
        <w:t>c</w:t>
      </w:r>
      <w:r w:rsidRPr="008768C4">
        <w:rPr>
          <w:rFonts w:ascii="Arial" w:eastAsia="Arial" w:hAnsi="Arial" w:cs="Arial"/>
        </w:rPr>
        <w:t xml:space="preserve">ontributing to the </w:t>
      </w:r>
      <w:r>
        <w:rPr>
          <w:rFonts w:ascii="Arial" w:eastAsia="Arial" w:hAnsi="Arial" w:cs="Arial"/>
        </w:rPr>
        <w:t>i</w:t>
      </w:r>
      <w:r w:rsidRPr="008768C4">
        <w:rPr>
          <w:rFonts w:ascii="Arial" w:eastAsia="Arial" w:hAnsi="Arial" w:cs="Arial"/>
        </w:rPr>
        <w:t xml:space="preserve">mplementation of </w:t>
      </w:r>
      <w:r>
        <w:rPr>
          <w:rFonts w:ascii="Arial" w:eastAsia="Arial" w:hAnsi="Arial" w:cs="Arial"/>
        </w:rPr>
        <w:t>p</w:t>
      </w:r>
      <w:r w:rsidRPr="008768C4">
        <w:rPr>
          <w:rFonts w:ascii="Arial" w:eastAsia="Arial" w:hAnsi="Arial" w:cs="Arial"/>
        </w:rPr>
        <w:t xml:space="preserve">hysical </w:t>
      </w:r>
      <w:r>
        <w:rPr>
          <w:rFonts w:ascii="Arial" w:eastAsia="Arial" w:hAnsi="Arial" w:cs="Arial"/>
        </w:rPr>
        <w:t>e</w:t>
      </w:r>
      <w:r w:rsidRPr="008768C4">
        <w:rPr>
          <w:rFonts w:ascii="Arial" w:eastAsia="Arial" w:hAnsi="Arial" w:cs="Arial"/>
        </w:rPr>
        <w:t xml:space="preserve">ducation </w:t>
      </w:r>
      <w:r>
        <w:rPr>
          <w:rFonts w:ascii="Arial" w:eastAsia="Arial" w:hAnsi="Arial" w:cs="Arial"/>
        </w:rPr>
        <w:t>c</w:t>
      </w:r>
      <w:r w:rsidRPr="008768C4">
        <w:rPr>
          <w:rFonts w:ascii="Arial" w:eastAsia="Arial" w:hAnsi="Arial" w:cs="Arial"/>
        </w:rPr>
        <w:t>urriculum</w:t>
      </w:r>
      <w:r>
        <w:rPr>
          <w:rFonts w:ascii="Arial" w:eastAsia="Arial" w:hAnsi="Arial" w:cs="Arial"/>
          <w:i/>
          <w:iCs/>
        </w:rPr>
        <w:t xml:space="preserve">, </w:t>
      </w:r>
      <w:r w:rsidRPr="008768C4">
        <w:rPr>
          <w:rFonts w:ascii="Arial" w:eastAsia="Arial" w:hAnsi="Arial" w:cs="Arial"/>
        </w:rPr>
        <w:t>and</w:t>
      </w:r>
      <w:r>
        <w:rPr>
          <w:rFonts w:ascii="Arial" w:eastAsia="Arial" w:hAnsi="Arial" w:cs="Arial"/>
          <w:i/>
          <w:iCs/>
        </w:rPr>
        <w:t xml:space="preserve"> </w:t>
      </w:r>
      <w:r>
        <w:rPr>
          <w:rFonts w:ascii="Arial" w:eastAsia="Arial" w:hAnsi="Arial" w:cs="Arial"/>
        </w:rPr>
        <w:t>s</w:t>
      </w:r>
      <w:r w:rsidRPr="008768C4">
        <w:rPr>
          <w:rFonts w:ascii="Arial" w:eastAsia="Arial" w:hAnsi="Arial" w:cs="Arial"/>
        </w:rPr>
        <w:t xml:space="preserve">trategies </w:t>
      </w:r>
      <w:r>
        <w:rPr>
          <w:rFonts w:ascii="Arial" w:eastAsia="Arial" w:hAnsi="Arial" w:cs="Arial"/>
        </w:rPr>
        <w:t>t</w:t>
      </w:r>
      <w:r w:rsidRPr="008768C4">
        <w:rPr>
          <w:rFonts w:ascii="Arial" w:eastAsia="Arial" w:hAnsi="Arial" w:cs="Arial"/>
        </w:rPr>
        <w:t xml:space="preserve">eachers </w:t>
      </w:r>
      <w:r>
        <w:rPr>
          <w:rFonts w:ascii="Arial" w:eastAsia="Arial" w:hAnsi="Arial" w:cs="Arial"/>
        </w:rPr>
        <w:t>e</w:t>
      </w:r>
      <w:r w:rsidRPr="008768C4">
        <w:rPr>
          <w:rFonts w:ascii="Arial" w:eastAsia="Arial" w:hAnsi="Arial" w:cs="Arial"/>
        </w:rPr>
        <w:t xml:space="preserve">mploy to </w:t>
      </w:r>
      <w:r>
        <w:rPr>
          <w:rFonts w:ascii="Arial" w:eastAsia="Arial" w:hAnsi="Arial" w:cs="Arial"/>
        </w:rPr>
        <w:t>n</w:t>
      </w:r>
      <w:r w:rsidRPr="008768C4">
        <w:rPr>
          <w:rFonts w:ascii="Arial" w:eastAsia="Arial" w:hAnsi="Arial" w:cs="Arial"/>
        </w:rPr>
        <w:t xml:space="preserve">avigate </w:t>
      </w:r>
      <w:r>
        <w:rPr>
          <w:rFonts w:ascii="Arial" w:eastAsia="Arial" w:hAnsi="Arial" w:cs="Arial"/>
        </w:rPr>
        <w:t>c</w:t>
      </w:r>
      <w:r w:rsidRPr="008768C4">
        <w:rPr>
          <w:rFonts w:ascii="Arial" w:eastAsia="Arial" w:hAnsi="Arial" w:cs="Arial"/>
        </w:rPr>
        <w:t xml:space="preserve">urriculum </w:t>
      </w:r>
      <w:r>
        <w:rPr>
          <w:rFonts w:ascii="Arial" w:eastAsia="Arial" w:hAnsi="Arial" w:cs="Arial"/>
        </w:rPr>
        <w:t>g</w:t>
      </w:r>
      <w:r w:rsidRPr="008768C4">
        <w:rPr>
          <w:rFonts w:ascii="Arial" w:eastAsia="Arial" w:hAnsi="Arial" w:cs="Arial"/>
        </w:rPr>
        <w:t xml:space="preserve">aps and </w:t>
      </w:r>
      <w:r>
        <w:rPr>
          <w:rFonts w:ascii="Arial" w:eastAsia="Arial" w:hAnsi="Arial" w:cs="Arial"/>
        </w:rPr>
        <w:t>d</w:t>
      </w:r>
      <w:r w:rsidRPr="008768C4">
        <w:rPr>
          <w:rFonts w:ascii="Arial" w:eastAsia="Arial" w:hAnsi="Arial" w:cs="Arial"/>
        </w:rPr>
        <w:t xml:space="preserve">eliver </w:t>
      </w:r>
      <w:r>
        <w:rPr>
          <w:rFonts w:ascii="Arial" w:eastAsia="Arial" w:hAnsi="Arial" w:cs="Arial"/>
        </w:rPr>
        <w:t>m</w:t>
      </w:r>
      <w:r w:rsidRPr="008768C4">
        <w:rPr>
          <w:rFonts w:ascii="Arial" w:eastAsia="Arial" w:hAnsi="Arial" w:cs="Arial"/>
        </w:rPr>
        <w:t xml:space="preserve">eaningful </w:t>
      </w:r>
      <w:r>
        <w:rPr>
          <w:rFonts w:ascii="Arial" w:eastAsia="Arial" w:hAnsi="Arial" w:cs="Arial"/>
        </w:rPr>
        <w:t>p</w:t>
      </w:r>
      <w:r w:rsidRPr="008768C4">
        <w:rPr>
          <w:rFonts w:ascii="Arial" w:eastAsia="Arial" w:hAnsi="Arial" w:cs="Arial"/>
        </w:rPr>
        <w:t xml:space="preserve">hysical </w:t>
      </w:r>
      <w:r>
        <w:rPr>
          <w:rFonts w:ascii="Arial" w:eastAsia="Arial" w:hAnsi="Arial" w:cs="Arial"/>
        </w:rPr>
        <w:t>e</w:t>
      </w:r>
      <w:r w:rsidRPr="008768C4">
        <w:rPr>
          <w:rFonts w:ascii="Arial" w:eastAsia="Arial" w:hAnsi="Arial" w:cs="Arial"/>
        </w:rPr>
        <w:t xml:space="preserve">ducation </w:t>
      </w:r>
      <w:r>
        <w:rPr>
          <w:rFonts w:ascii="Arial" w:eastAsia="Arial" w:hAnsi="Arial" w:cs="Arial"/>
        </w:rPr>
        <w:t>i</w:t>
      </w:r>
      <w:r w:rsidRPr="008768C4">
        <w:rPr>
          <w:rFonts w:ascii="Arial" w:eastAsia="Arial" w:hAnsi="Arial" w:cs="Arial"/>
        </w:rPr>
        <w:t xml:space="preserve">nstructions. </w:t>
      </w:r>
    </w:p>
    <w:p w14:paraId="2A28E492" w14:textId="7B66C1EF" w:rsidR="008C549D" w:rsidRDefault="008C549D" w:rsidP="008C549D">
      <w:pPr>
        <w:spacing w:line="276" w:lineRule="auto"/>
        <w:jc w:val="both"/>
        <w:rPr>
          <w:rStyle w:val="Strong"/>
          <w:rFonts w:ascii="Arial" w:eastAsia="Arial" w:hAnsi="Arial" w:cs="Arial"/>
          <w:b w:val="0"/>
          <w:bCs w:val="0"/>
        </w:rPr>
      </w:pPr>
    </w:p>
    <w:tbl>
      <w:tblPr>
        <w:tblStyle w:val="TableGrid"/>
        <w:tblW w:w="8613" w:type="dxa"/>
        <w:tblLook w:val="04A0" w:firstRow="1" w:lastRow="0" w:firstColumn="1" w:lastColumn="0" w:noHBand="0" w:noVBand="1"/>
      </w:tblPr>
      <w:tblGrid>
        <w:gridCol w:w="2376"/>
        <w:gridCol w:w="1276"/>
        <w:gridCol w:w="1418"/>
        <w:gridCol w:w="3543"/>
      </w:tblGrid>
      <w:tr w:rsidR="00C32F47" w14:paraId="2E0A761E" w14:textId="77777777" w:rsidTr="002374C6">
        <w:tc>
          <w:tcPr>
            <w:tcW w:w="8613" w:type="dxa"/>
            <w:gridSpan w:val="4"/>
            <w:shd w:val="clear" w:color="auto" w:fill="F2F2F2" w:themeFill="background1" w:themeFillShade="F2"/>
          </w:tcPr>
          <w:p w14:paraId="2A4ED9E9" w14:textId="01D53486" w:rsidR="00C32F47" w:rsidRDefault="00C32F47" w:rsidP="008C549D">
            <w:pPr>
              <w:spacing w:line="276" w:lineRule="auto"/>
              <w:jc w:val="both"/>
              <w:rPr>
                <w:rStyle w:val="Strong"/>
                <w:rFonts w:ascii="Arial" w:eastAsia="Arial" w:hAnsi="Arial" w:cs="Arial"/>
                <w:b w:val="0"/>
                <w:bCs w:val="0"/>
              </w:rPr>
            </w:pPr>
            <w:r w:rsidRPr="00F12442">
              <w:rPr>
                <w:rStyle w:val="Strong"/>
                <w:rFonts w:ascii="Arial" w:eastAsia="Arial" w:hAnsi="Arial" w:cs="Arial"/>
              </w:rPr>
              <w:t>T</w:t>
            </w:r>
            <w:r w:rsidRPr="00F12442">
              <w:rPr>
                <w:rStyle w:val="Strong"/>
                <w:rFonts w:ascii="Arial" w:hAnsi="Arial" w:cs="Arial"/>
              </w:rPr>
              <w:t xml:space="preserve">able </w:t>
            </w:r>
            <w:r w:rsidR="0062664A">
              <w:rPr>
                <w:rStyle w:val="Strong"/>
                <w:rFonts w:ascii="Arial" w:hAnsi="Arial" w:cs="Arial"/>
              </w:rPr>
              <w:t>2</w:t>
            </w:r>
          </w:p>
        </w:tc>
      </w:tr>
      <w:tr w:rsidR="008C549D" w14:paraId="179FC0F7" w14:textId="77777777" w:rsidTr="002374C6">
        <w:tc>
          <w:tcPr>
            <w:tcW w:w="8613" w:type="dxa"/>
            <w:gridSpan w:val="4"/>
          </w:tcPr>
          <w:p w14:paraId="4FAF6AC4" w14:textId="7FB5A1D2" w:rsidR="008C549D" w:rsidRPr="008C549D" w:rsidRDefault="008C549D" w:rsidP="008C549D">
            <w:pPr>
              <w:pStyle w:val="NormalWeb"/>
              <w:spacing w:before="0" w:beforeAutospacing="0" w:after="0" w:afterAutospacing="0" w:line="276" w:lineRule="auto"/>
              <w:jc w:val="both"/>
              <w:rPr>
                <w:rStyle w:val="Strong"/>
                <w:rFonts w:ascii="Arial" w:hAnsi="Arial" w:cs="Arial"/>
                <w:b w:val="0"/>
                <w:bCs w:val="0"/>
                <w:i/>
                <w:iCs/>
                <w:sz w:val="21"/>
                <w:szCs w:val="21"/>
              </w:rPr>
            </w:pPr>
            <w:r w:rsidRPr="008C549D">
              <w:rPr>
                <w:rStyle w:val="Strong"/>
                <w:rFonts w:ascii="Arial" w:hAnsi="Arial" w:cs="Arial"/>
                <w:b w:val="0"/>
                <w:bCs w:val="0"/>
                <w:i/>
                <w:iCs/>
                <w:sz w:val="21"/>
                <w:szCs w:val="21"/>
              </w:rPr>
              <w:t xml:space="preserve">Similarities and Differences of the Challenges, Contextual factors, and Strategies in implementing the MATATAG Physical Education curriculum in the actual school setting. </w:t>
            </w:r>
          </w:p>
        </w:tc>
      </w:tr>
      <w:tr w:rsidR="008C549D" w14:paraId="4DA0D7CC" w14:textId="77777777" w:rsidTr="002374C6">
        <w:tc>
          <w:tcPr>
            <w:tcW w:w="2376" w:type="dxa"/>
            <w:vMerge w:val="restart"/>
          </w:tcPr>
          <w:p w14:paraId="66BA7C73" w14:textId="270BBC7A" w:rsidR="008C549D" w:rsidRPr="00C32F47" w:rsidRDefault="008C549D" w:rsidP="00C32F47">
            <w:pPr>
              <w:spacing w:line="276" w:lineRule="auto"/>
              <w:jc w:val="center"/>
              <w:rPr>
                <w:rStyle w:val="Strong"/>
                <w:rFonts w:ascii="Arial" w:eastAsia="Arial" w:hAnsi="Arial" w:cs="Arial"/>
                <w:b w:val="0"/>
                <w:bCs w:val="0"/>
                <w:sz w:val="20"/>
                <w:szCs w:val="20"/>
              </w:rPr>
            </w:pPr>
            <w:r w:rsidRPr="00C32F47">
              <w:rPr>
                <w:rFonts w:ascii="Arial" w:eastAsia="Arial" w:hAnsi="Arial" w:cs="Arial"/>
                <w:b/>
                <w:bCs/>
                <w:sz w:val="20"/>
                <w:szCs w:val="20"/>
              </w:rPr>
              <w:t>Themes on Challenges, Contextual Factors, and Teaching Strategies</w:t>
            </w:r>
          </w:p>
        </w:tc>
        <w:tc>
          <w:tcPr>
            <w:tcW w:w="2694" w:type="dxa"/>
            <w:gridSpan w:val="2"/>
          </w:tcPr>
          <w:p w14:paraId="490A3AD5" w14:textId="09B6B0D4" w:rsidR="008C549D" w:rsidRPr="008C549D" w:rsidRDefault="008C549D" w:rsidP="008C549D">
            <w:pPr>
              <w:spacing w:line="276" w:lineRule="auto"/>
              <w:jc w:val="center"/>
              <w:rPr>
                <w:rStyle w:val="Strong"/>
                <w:rFonts w:ascii="Arial" w:eastAsia="Arial" w:hAnsi="Arial" w:cs="Arial"/>
              </w:rPr>
            </w:pPr>
            <w:r w:rsidRPr="008C549D">
              <w:rPr>
                <w:rStyle w:val="Strong"/>
                <w:rFonts w:ascii="Arial" w:eastAsia="Arial" w:hAnsi="Arial" w:cs="Arial"/>
                <w:sz w:val="20"/>
                <w:szCs w:val="20"/>
              </w:rPr>
              <w:t>Case Unit</w:t>
            </w:r>
          </w:p>
        </w:tc>
        <w:tc>
          <w:tcPr>
            <w:tcW w:w="3543" w:type="dxa"/>
            <w:vMerge w:val="restart"/>
          </w:tcPr>
          <w:p w14:paraId="515F3C8E" w14:textId="77777777" w:rsidR="008C549D" w:rsidRDefault="008C549D" w:rsidP="008C549D">
            <w:pPr>
              <w:spacing w:line="276" w:lineRule="auto"/>
              <w:jc w:val="center"/>
              <w:rPr>
                <w:rStyle w:val="Strong"/>
                <w:rFonts w:ascii="Arial" w:eastAsia="Arial" w:hAnsi="Arial" w:cs="Arial"/>
                <w:sz w:val="20"/>
                <w:szCs w:val="20"/>
              </w:rPr>
            </w:pPr>
          </w:p>
          <w:p w14:paraId="2795A7E1" w14:textId="77777777" w:rsidR="008C549D" w:rsidRDefault="008C549D" w:rsidP="008C549D">
            <w:pPr>
              <w:spacing w:line="276" w:lineRule="auto"/>
              <w:jc w:val="center"/>
              <w:rPr>
                <w:rStyle w:val="Strong"/>
                <w:rFonts w:ascii="Arial" w:eastAsia="Arial" w:hAnsi="Arial" w:cs="Arial"/>
                <w:sz w:val="20"/>
                <w:szCs w:val="20"/>
              </w:rPr>
            </w:pPr>
          </w:p>
          <w:p w14:paraId="287FE5D5" w14:textId="6688C25F" w:rsidR="008C549D" w:rsidRDefault="008C549D" w:rsidP="008C549D">
            <w:pPr>
              <w:spacing w:line="276" w:lineRule="auto"/>
              <w:jc w:val="center"/>
              <w:rPr>
                <w:rStyle w:val="Strong"/>
                <w:rFonts w:ascii="Arial" w:eastAsia="Arial" w:hAnsi="Arial" w:cs="Arial"/>
                <w:b w:val="0"/>
                <w:bCs w:val="0"/>
              </w:rPr>
            </w:pPr>
            <w:r w:rsidRPr="008C549D">
              <w:rPr>
                <w:rStyle w:val="Strong"/>
                <w:rFonts w:ascii="Arial" w:eastAsia="Arial" w:hAnsi="Arial" w:cs="Arial"/>
                <w:sz w:val="20"/>
                <w:szCs w:val="20"/>
              </w:rPr>
              <w:t>Remarks</w:t>
            </w:r>
          </w:p>
        </w:tc>
      </w:tr>
      <w:tr w:rsidR="008C549D" w14:paraId="3012EAE9" w14:textId="77777777" w:rsidTr="002374C6">
        <w:tc>
          <w:tcPr>
            <w:tcW w:w="2376" w:type="dxa"/>
            <w:vMerge/>
          </w:tcPr>
          <w:p w14:paraId="2E838886" w14:textId="77777777" w:rsidR="008C549D" w:rsidRPr="00C32F47" w:rsidRDefault="008C549D" w:rsidP="00C32F47">
            <w:pPr>
              <w:spacing w:line="276" w:lineRule="auto"/>
              <w:jc w:val="center"/>
              <w:rPr>
                <w:rStyle w:val="Strong"/>
                <w:rFonts w:ascii="Arial" w:eastAsia="Arial" w:hAnsi="Arial" w:cs="Arial"/>
                <w:b w:val="0"/>
                <w:bCs w:val="0"/>
                <w:sz w:val="20"/>
                <w:szCs w:val="20"/>
              </w:rPr>
            </w:pPr>
          </w:p>
        </w:tc>
        <w:tc>
          <w:tcPr>
            <w:tcW w:w="1276" w:type="dxa"/>
          </w:tcPr>
          <w:p w14:paraId="558F39DA" w14:textId="77777777" w:rsidR="008C549D" w:rsidRDefault="008C549D" w:rsidP="008C549D">
            <w:pPr>
              <w:spacing w:line="276" w:lineRule="auto"/>
              <w:jc w:val="center"/>
              <w:rPr>
                <w:rStyle w:val="Strong"/>
                <w:rFonts w:ascii="Arial" w:eastAsia="Arial" w:hAnsi="Arial" w:cs="Arial"/>
                <w:sz w:val="20"/>
                <w:szCs w:val="20"/>
              </w:rPr>
            </w:pPr>
          </w:p>
          <w:p w14:paraId="0719473D" w14:textId="01DEA5E7" w:rsidR="008C549D" w:rsidRPr="008C549D" w:rsidRDefault="008C549D" w:rsidP="008C549D">
            <w:pPr>
              <w:spacing w:line="276" w:lineRule="auto"/>
              <w:jc w:val="center"/>
              <w:rPr>
                <w:rStyle w:val="Strong"/>
                <w:rFonts w:ascii="Arial" w:eastAsia="Arial" w:hAnsi="Arial" w:cs="Arial"/>
                <w:sz w:val="20"/>
                <w:szCs w:val="20"/>
              </w:rPr>
            </w:pPr>
            <w:r w:rsidRPr="008C549D">
              <w:rPr>
                <w:rStyle w:val="Strong"/>
                <w:rFonts w:ascii="Arial" w:eastAsia="Arial" w:hAnsi="Arial" w:cs="Arial"/>
                <w:sz w:val="20"/>
                <w:szCs w:val="20"/>
              </w:rPr>
              <w:t>Similar</w:t>
            </w:r>
          </w:p>
        </w:tc>
        <w:tc>
          <w:tcPr>
            <w:tcW w:w="1418" w:type="dxa"/>
          </w:tcPr>
          <w:p w14:paraId="6E8E30C0" w14:textId="77777777" w:rsidR="008C549D" w:rsidRDefault="008C549D" w:rsidP="008C549D">
            <w:pPr>
              <w:spacing w:line="276" w:lineRule="auto"/>
              <w:jc w:val="center"/>
              <w:rPr>
                <w:rStyle w:val="Strong"/>
                <w:rFonts w:ascii="Arial" w:eastAsia="Arial" w:hAnsi="Arial" w:cs="Arial"/>
                <w:sz w:val="20"/>
                <w:szCs w:val="20"/>
              </w:rPr>
            </w:pPr>
          </w:p>
          <w:p w14:paraId="6FCE985E" w14:textId="2E542EA5" w:rsidR="008C549D" w:rsidRPr="008C549D" w:rsidRDefault="008C549D" w:rsidP="008C549D">
            <w:pPr>
              <w:spacing w:line="276" w:lineRule="auto"/>
              <w:jc w:val="center"/>
              <w:rPr>
                <w:rStyle w:val="Strong"/>
                <w:rFonts w:ascii="Arial" w:eastAsia="Arial" w:hAnsi="Arial" w:cs="Arial"/>
                <w:sz w:val="20"/>
                <w:szCs w:val="20"/>
              </w:rPr>
            </w:pPr>
            <w:r w:rsidRPr="008C549D">
              <w:rPr>
                <w:rStyle w:val="Strong"/>
                <w:rFonts w:ascii="Arial" w:eastAsia="Arial" w:hAnsi="Arial" w:cs="Arial"/>
                <w:sz w:val="20"/>
                <w:szCs w:val="20"/>
              </w:rPr>
              <w:t>Different</w:t>
            </w:r>
          </w:p>
        </w:tc>
        <w:tc>
          <w:tcPr>
            <w:tcW w:w="3543" w:type="dxa"/>
            <w:vMerge/>
          </w:tcPr>
          <w:p w14:paraId="63B84A9A" w14:textId="15FACB8A" w:rsidR="008C549D" w:rsidRPr="008C549D" w:rsidRDefault="008C549D" w:rsidP="008C549D">
            <w:pPr>
              <w:spacing w:line="276" w:lineRule="auto"/>
              <w:jc w:val="center"/>
              <w:rPr>
                <w:rStyle w:val="Strong"/>
                <w:rFonts w:ascii="Arial" w:eastAsia="Arial" w:hAnsi="Arial" w:cs="Arial"/>
                <w:sz w:val="20"/>
                <w:szCs w:val="20"/>
              </w:rPr>
            </w:pPr>
          </w:p>
        </w:tc>
      </w:tr>
      <w:tr w:rsidR="00C32F47" w14:paraId="53968A38" w14:textId="77777777" w:rsidTr="002374C6">
        <w:tc>
          <w:tcPr>
            <w:tcW w:w="8613" w:type="dxa"/>
            <w:gridSpan w:val="4"/>
            <w:shd w:val="clear" w:color="auto" w:fill="F2F2F2" w:themeFill="background1" w:themeFillShade="F2"/>
          </w:tcPr>
          <w:p w14:paraId="065A5C60" w14:textId="39C2280D" w:rsidR="00C32F47" w:rsidRPr="002374C6" w:rsidRDefault="002374C6" w:rsidP="002374C6">
            <w:pPr>
              <w:spacing w:line="276" w:lineRule="auto"/>
              <w:rPr>
                <w:rStyle w:val="Strong"/>
                <w:rFonts w:ascii="Arial" w:eastAsia="Arial" w:hAnsi="Arial" w:cs="Arial"/>
                <w:i/>
                <w:iCs/>
                <w:sz w:val="20"/>
                <w:szCs w:val="20"/>
              </w:rPr>
            </w:pPr>
            <w:r w:rsidRPr="002374C6">
              <w:rPr>
                <w:rStyle w:val="Strong"/>
                <w:rFonts w:ascii="Arial" w:eastAsia="Arial" w:hAnsi="Arial" w:cs="Arial"/>
                <w:i/>
                <w:iCs/>
                <w:sz w:val="20"/>
                <w:szCs w:val="20"/>
              </w:rPr>
              <w:t>C</w:t>
            </w:r>
            <w:r w:rsidRPr="002374C6">
              <w:rPr>
                <w:rStyle w:val="Strong"/>
                <w:rFonts w:ascii="Arial" w:eastAsia="Arial" w:hAnsi="Arial" w:cs="Arial"/>
                <w:i/>
                <w:iCs/>
              </w:rPr>
              <w:t>hallenges</w:t>
            </w:r>
          </w:p>
        </w:tc>
      </w:tr>
      <w:tr w:rsidR="00CC5D79" w14:paraId="6C8A2B80" w14:textId="77777777" w:rsidTr="002374C6">
        <w:tc>
          <w:tcPr>
            <w:tcW w:w="2376" w:type="dxa"/>
          </w:tcPr>
          <w:p w14:paraId="51415ACA" w14:textId="5DDE4142" w:rsidR="00CC5D79" w:rsidRPr="00C32F47" w:rsidRDefault="00CC5D79" w:rsidP="00CC5D79">
            <w:pPr>
              <w:spacing w:line="276" w:lineRule="auto"/>
              <w:jc w:val="center"/>
              <w:rPr>
                <w:rStyle w:val="Strong"/>
                <w:rFonts w:ascii="Arial" w:eastAsia="Arial" w:hAnsi="Arial" w:cs="Arial"/>
                <w:b w:val="0"/>
                <w:bCs w:val="0"/>
                <w:sz w:val="20"/>
                <w:szCs w:val="20"/>
              </w:rPr>
            </w:pPr>
            <w:r w:rsidRPr="00C32F47">
              <w:rPr>
                <w:rFonts w:ascii="Arial" w:eastAsia="Arial" w:hAnsi="Arial" w:cs="Arial"/>
                <w:sz w:val="20"/>
                <w:szCs w:val="20"/>
              </w:rPr>
              <w:t>Managing Classroom Behavior and Student Engagement</w:t>
            </w:r>
          </w:p>
        </w:tc>
        <w:tc>
          <w:tcPr>
            <w:tcW w:w="1276" w:type="dxa"/>
          </w:tcPr>
          <w:p w14:paraId="5344C60F" w14:textId="707B2E4E" w:rsidR="00CC5D79" w:rsidRDefault="00CC5D79" w:rsidP="00CC5D79">
            <w:pPr>
              <w:spacing w:line="276" w:lineRule="auto"/>
              <w:jc w:val="center"/>
              <w:rPr>
                <w:rStyle w:val="Strong"/>
                <w:rFonts w:ascii="Arial" w:eastAsia="Arial" w:hAnsi="Arial" w:cs="Arial"/>
                <w:b w:val="0"/>
                <w:bCs w:val="0"/>
              </w:rPr>
            </w:pPr>
            <w:r>
              <w:rPr>
                <w:rFonts w:ascii="Arial" w:eastAsia="Arial" w:hAnsi="Arial" w:cs="Arial"/>
              </w:rPr>
              <w:t xml:space="preserve">3, </w:t>
            </w:r>
            <w:r w:rsidRPr="001D4624">
              <w:rPr>
                <w:rFonts w:ascii="Arial" w:eastAsia="Arial" w:hAnsi="Arial" w:cs="Arial"/>
              </w:rPr>
              <w:t xml:space="preserve">and </w:t>
            </w:r>
            <w:r>
              <w:rPr>
                <w:rFonts w:ascii="Arial" w:eastAsia="Arial" w:hAnsi="Arial" w:cs="Arial"/>
              </w:rPr>
              <w:t>4</w:t>
            </w:r>
          </w:p>
        </w:tc>
        <w:tc>
          <w:tcPr>
            <w:tcW w:w="1418" w:type="dxa"/>
          </w:tcPr>
          <w:p w14:paraId="106EFCA7" w14:textId="40AC5CA6" w:rsidR="00CC5D79" w:rsidRDefault="00CC5D79" w:rsidP="00CC5D79">
            <w:pPr>
              <w:spacing w:line="276" w:lineRule="auto"/>
              <w:jc w:val="center"/>
              <w:rPr>
                <w:rStyle w:val="Strong"/>
                <w:rFonts w:ascii="Arial" w:eastAsia="Arial" w:hAnsi="Arial" w:cs="Arial"/>
                <w:b w:val="0"/>
                <w:bCs w:val="0"/>
              </w:rPr>
            </w:pPr>
            <w:r>
              <w:rPr>
                <w:rFonts w:ascii="Arial" w:eastAsia="Arial" w:hAnsi="Arial" w:cs="Arial"/>
              </w:rPr>
              <w:t>1, 2, and 5</w:t>
            </w:r>
          </w:p>
        </w:tc>
        <w:tc>
          <w:tcPr>
            <w:tcW w:w="3543" w:type="dxa"/>
          </w:tcPr>
          <w:p w14:paraId="0CDF45EC" w14:textId="65D62348" w:rsidR="00CC5D79" w:rsidRPr="00B61988" w:rsidRDefault="00B61988" w:rsidP="00B61988">
            <w:pPr>
              <w:pStyle w:val="NormalWeb"/>
              <w:spacing w:before="0" w:beforeAutospacing="0" w:after="0" w:afterAutospacing="0" w:line="276" w:lineRule="auto"/>
              <w:jc w:val="both"/>
              <w:rPr>
                <w:rStyle w:val="Strong"/>
                <w:rFonts w:ascii="Arial" w:hAnsi="Arial" w:cs="Arial"/>
                <w:b w:val="0"/>
                <w:bCs w:val="0"/>
                <w:sz w:val="20"/>
                <w:szCs w:val="20"/>
              </w:rPr>
            </w:pPr>
            <w:r w:rsidRPr="00B61988">
              <w:rPr>
                <w:rFonts w:ascii="Arial" w:hAnsi="Arial" w:cs="Arial"/>
                <w:sz w:val="20"/>
                <w:szCs w:val="20"/>
              </w:rPr>
              <w:t>Cases 3 and 4 faced engagement challenges due to limited space and large classes, adapting through ICT tools, music, and outdoor areas. Meanwhile, Cases 1, 2, and 5 managed behavior differently, Case 1 handled frequent distractions, Case 2 benefited from a small and flexible class setup, and Case 5 addressed restlessness with constant safety reminders.</w:t>
            </w:r>
          </w:p>
        </w:tc>
      </w:tr>
      <w:tr w:rsidR="00CC5D79" w14:paraId="5299B165" w14:textId="77777777" w:rsidTr="002374C6">
        <w:tc>
          <w:tcPr>
            <w:tcW w:w="2376" w:type="dxa"/>
          </w:tcPr>
          <w:p w14:paraId="0BB3B342" w14:textId="5CAFBFCE" w:rsidR="00CC5D79" w:rsidRPr="00C32F47" w:rsidRDefault="00CC5D79" w:rsidP="00CC5D79">
            <w:pPr>
              <w:spacing w:line="276" w:lineRule="auto"/>
              <w:jc w:val="center"/>
              <w:rPr>
                <w:rStyle w:val="Strong"/>
                <w:rFonts w:ascii="Arial" w:eastAsia="Arial" w:hAnsi="Arial" w:cs="Arial"/>
                <w:b w:val="0"/>
                <w:bCs w:val="0"/>
                <w:sz w:val="20"/>
                <w:szCs w:val="20"/>
              </w:rPr>
            </w:pPr>
            <w:r w:rsidRPr="00C32F47">
              <w:rPr>
                <w:rFonts w:ascii="Arial" w:eastAsia="Arial" w:hAnsi="Arial" w:cs="Arial"/>
                <w:sz w:val="20"/>
                <w:szCs w:val="20"/>
              </w:rPr>
              <w:t>Learner Diversity and Inclusivity</w:t>
            </w:r>
          </w:p>
        </w:tc>
        <w:tc>
          <w:tcPr>
            <w:tcW w:w="1276" w:type="dxa"/>
          </w:tcPr>
          <w:p w14:paraId="07F091B8" w14:textId="3D5AA73A" w:rsidR="00CC5D79" w:rsidRDefault="00CC5D79" w:rsidP="00CC5D79">
            <w:pPr>
              <w:spacing w:line="276" w:lineRule="auto"/>
              <w:jc w:val="center"/>
              <w:rPr>
                <w:rStyle w:val="Strong"/>
                <w:rFonts w:ascii="Arial" w:eastAsia="Arial" w:hAnsi="Arial" w:cs="Arial"/>
                <w:b w:val="0"/>
                <w:bCs w:val="0"/>
              </w:rPr>
            </w:pPr>
            <w:r>
              <w:rPr>
                <w:rFonts w:ascii="Arial" w:eastAsia="Arial" w:hAnsi="Arial" w:cs="Arial"/>
              </w:rPr>
              <w:t>3, and 5</w:t>
            </w:r>
          </w:p>
        </w:tc>
        <w:tc>
          <w:tcPr>
            <w:tcW w:w="1418" w:type="dxa"/>
          </w:tcPr>
          <w:p w14:paraId="3312EFCD" w14:textId="59CE409F" w:rsidR="00CC5D79" w:rsidRDefault="00CC5D79" w:rsidP="00CC5D79">
            <w:pPr>
              <w:spacing w:line="276" w:lineRule="auto"/>
              <w:jc w:val="center"/>
              <w:rPr>
                <w:rStyle w:val="Strong"/>
                <w:rFonts w:ascii="Arial" w:eastAsia="Arial" w:hAnsi="Arial" w:cs="Arial"/>
                <w:b w:val="0"/>
                <w:bCs w:val="0"/>
              </w:rPr>
            </w:pPr>
            <w:r>
              <w:rPr>
                <w:rFonts w:ascii="Arial" w:eastAsia="Arial" w:hAnsi="Arial" w:cs="Arial"/>
              </w:rPr>
              <w:t>1, 2, and 4</w:t>
            </w:r>
          </w:p>
        </w:tc>
        <w:tc>
          <w:tcPr>
            <w:tcW w:w="3543" w:type="dxa"/>
          </w:tcPr>
          <w:p w14:paraId="78864889" w14:textId="65792D24" w:rsidR="00CC5D79" w:rsidRPr="00B61988" w:rsidRDefault="00B61988" w:rsidP="00CC5D79">
            <w:pPr>
              <w:spacing w:line="276" w:lineRule="auto"/>
              <w:jc w:val="both"/>
              <w:rPr>
                <w:rStyle w:val="Strong"/>
                <w:rFonts w:ascii="Arial" w:eastAsia="Arial" w:hAnsi="Arial" w:cs="Arial"/>
                <w:b w:val="0"/>
                <w:bCs w:val="0"/>
                <w:sz w:val="20"/>
                <w:szCs w:val="20"/>
              </w:rPr>
            </w:pPr>
            <w:r w:rsidRPr="00B61988">
              <w:rPr>
                <w:rFonts w:ascii="Arial" w:hAnsi="Arial" w:cs="Arial"/>
                <w:sz w:val="20"/>
                <w:szCs w:val="20"/>
              </w:rPr>
              <w:t>Cases 3 and 5 highlighted differentiated instruction to support diverse learners. Meanwhile, Cases 1, 2, and 4 approached inclusivity differently</w:t>
            </w:r>
            <w:r>
              <w:rPr>
                <w:rFonts w:ascii="Arial" w:hAnsi="Arial" w:cs="Arial"/>
                <w:sz w:val="20"/>
                <w:szCs w:val="20"/>
              </w:rPr>
              <w:t xml:space="preserve">. </w:t>
            </w:r>
            <w:r w:rsidRPr="00B61988">
              <w:rPr>
                <w:rFonts w:ascii="Arial" w:hAnsi="Arial" w:cs="Arial"/>
                <w:sz w:val="20"/>
                <w:szCs w:val="20"/>
              </w:rPr>
              <w:t>Case 1 navigated language barriers in teaching MAKABANSA, Case 2 supported a student with autism while ensuring fairness, and Case 4 adjusted expectations for a Muslim student with limited participation in dance activities.</w:t>
            </w:r>
          </w:p>
        </w:tc>
      </w:tr>
      <w:tr w:rsidR="007F26FF" w14:paraId="66B691B1" w14:textId="77777777" w:rsidTr="002374C6">
        <w:tc>
          <w:tcPr>
            <w:tcW w:w="2376" w:type="dxa"/>
          </w:tcPr>
          <w:p w14:paraId="6D3752AB" w14:textId="7AF499E2" w:rsidR="007F26FF" w:rsidRPr="00C32F47" w:rsidRDefault="007F26FF" w:rsidP="007F26FF">
            <w:pPr>
              <w:spacing w:line="276" w:lineRule="auto"/>
              <w:jc w:val="center"/>
              <w:rPr>
                <w:rStyle w:val="Strong"/>
                <w:rFonts w:ascii="Arial" w:eastAsia="Arial" w:hAnsi="Arial" w:cs="Arial"/>
                <w:b w:val="0"/>
                <w:bCs w:val="0"/>
                <w:sz w:val="20"/>
                <w:szCs w:val="20"/>
              </w:rPr>
            </w:pPr>
            <w:r w:rsidRPr="00C32F47">
              <w:rPr>
                <w:rFonts w:ascii="Arial" w:eastAsia="Arial" w:hAnsi="Arial" w:cs="Arial"/>
                <w:sz w:val="20"/>
                <w:szCs w:val="20"/>
              </w:rPr>
              <w:t>Parental and Administrative Involvement</w:t>
            </w:r>
          </w:p>
        </w:tc>
        <w:tc>
          <w:tcPr>
            <w:tcW w:w="1276" w:type="dxa"/>
          </w:tcPr>
          <w:p w14:paraId="7E6B684C" w14:textId="6573ED1F"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2, 3, and 5</w:t>
            </w:r>
          </w:p>
        </w:tc>
        <w:tc>
          <w:tcPr>
            <w:tcW w:w="1418" w:type="dxa"/>
          </w:tcPr>
          <w:p w14:paraId="798D2750" w14:textId="2B5CA19E"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 xml:space="preserve">1, </w:t>
            </w:r>
            <w:proofErr w:type="gramStart"/>
            <w:r>
              <w:rPr>
                <w:rFonts w:ascii="Arial" w:eastAsia="Arial" w:hAnsi="Arial" w:cs="Arial"/>
              </w:rPr>
              <w:t>and  4</w:t>
            </w:r>
            <w:proofErr w:type="gramEnd"/>
          </w:p>
        </w:tc>
        <w:tc>
          <w:tcPr>
            <w:tcW w:w="3543" w:type="dxa"/>
          </w:tcPr>
          <w:p w14:paraId="372A2412" w14:textId="1227C40D" w:rsidR="007F26FF" w:rsidRPr="00260B55" w:rsidRDefault="00260B55" w:rsidP="007F26FF">
            <w:pPr>
              <w:spacing w:line="276" w:lineRule="auto"/>
              <w:jc w:val="both"/>
              <w:rPr>
                <w:rStyle w:val="Strong"/>
                <w:rFonts w:ascii="Arial" w:eastAsia="Arial" w:hAnsi="Arial" w:cs="Arial"/>
                <w:b w:val="0"/>
                <w:bCs w:val="0"/>
                <w:sz w:val="20"/>
                <w:szCs w:val="20"/>
              </w:rPr>
            </w:pPr>
            <w:r w:rsidRPr="00260B55">
              <w:rPr>
                <w:rFonts w:ascii="Arial" w:hAnsi="Arial" w:cs="Arial"/>
                <w:sz w:val="20"/>
                <w:szCs w:val="20"/>
              </w:rPr>
              <w:t xml:space="preserve">Cases 2, 3, and 5 emphasized strong parental and administrative support, which fosters successful PE activities and a positive learning environment. Cases 1 and 4 also noted support but with conditions—Case 1 experienced </w:t>
            </w:r>
            <w:r w:rsidRPr="00260B55">
              <w:rPr>
                <w:rFonts w:ascii="Arial" w:hAnsi="Arial" w:cs="Arial"/>
                <w:sz w:val="20"/>
                <w:szCs w:val="20"/>
              </w:rPr>
              <w:lastRenderedPageBreak/>
              <w:t>inconsistent school backing and often turned to parents, while Case 4 received support accompanied by questions about curriculum changes, which were accepted as long as core subjects stayed prioritized.</w:t>
            </w:r>
          </w:p>
        </w:tc>
      </w:tr>
      <w:tr w:rsidR="00C32F47" w14:paraId="1B5C5875" w14:textId="77777777" w:rsidTr="002374C6">
        <w:tc>
          <w:tcPr>
            <w:tcW w:w="2376" w:type="dxa"/>
          </w:tcPr>
          <w:p w14:paraId="0F72E99A" w14:textId="4B22D79E" w:rsidR="00C32F47" w:rsidRPr="00C32F47" w:rsidRDefault="00C32F47" w:rsidP="00C32F47">
            <w:pPr>
              <w:spacing w:line="276" w:lineRule="auto"/>
              <w:jc w:val="center"/>
              <w:rPr>
                <w:rStyle w:val="Strong"/>
                <w:rFonts w:ascii="Arial" w:eastAsia="Arial" w:hAnsi="Arial" w:cs="Arial"/>
                <w:b w:val="0"/>
                <w:bCs w:val="0"/>
                <w:sz w:val="20"/>
                <w:szCs w:val="20"/>
              </w:rPr>
            </w:pPr>
            <w:r w:rsidRPr="00C32F47">
              <w:rPr>
                <w:rFonts w:ascii="Arial" w:eastAsia="Arial" w:hAnsi="Arial" w:cs="Arial"/>
                <w:sz w:val="20"/>
                <w:szCs w:val="20"/>
              </w:rPr>
              <w:lastRenderedPageBreak/>
              <w:t>Curriculum Shifts and Adjustments</w:t>
            </w:r>
          </w:p>
        </w:tc>
        <w:tc>
          <w:tcPr>
            <w:tcW w:w="1276" w:type="dxa"/>
          </w:tcPr>
          <w:p w14:paraId="46786022" w14:textId="77777777" w:rsidR="00C32F47" w:rsidRDefault="00C32F47" w:rsidP="008C549D">
            <w:pPr>
              <w:spacing w:line="276" w:lineRule="auto"/>
              <w:jc w:val="both"/>
              <w:rPr>
                <w:rStyle w:val="Strong"/>
                <w:rFonts w:ascii="Arial" w:eastAsia="Arial" w:hAnsi="Arial" w:cs="Arial"/>
                <w:b w:val="0"/>
                <w:bCs w:val="0"/>
              </w:rPr>
            </w:pPr>
          </w:p>
        </w:tc>
        <w:tc>
          <w:tcPr>
            <w:tcW w:w="1418" w:type="dxa"/>
          </w:tcPr>
          <w:p w14:paraId="130CD21E" w14:textId="2DA35183" w:rsidR="00C32F47" w:rsidRDefault="007F26FF" w:rsidP="007F26FF">
            <w:pPr>
              <w:spacing w:line="276" w:lineRule="auto"/>
              <w:jc w:val="center"/>
              <w:rPr>
                <w:rStyle w:val="Strong"/>
                <w:rFonts w:ascii="Arial" w:eastAsia="Arial" w:hAnsi="Arial" w:cs="Arial"/>
                <w:b w:val="0"/>
                <w:bCs w:val="0"/>
              </w:rPr>
            </w:pPr>
            <w:r>
              <w:rPr>
                <w:rFonts w:ascii="Arial" w:eastAsia="Arial" w:hAnsi="Arial" w:cs="Arial"/>
              </w:rPr>
              <w:t>1, 2, 3, 4, and 5</w:t>
            </w:r>
          </w:p>
        </w:tc>
        <w:tc>
          <w:tcPr>
            <w:tcW w:w="3543" w:type="dxa"/>
          </w:tcPr>
          <w:p w14:paraId="6DE59399" w14:textId="49F53F18" w:rsidR="00C32F47" w:rsidRPr="007F26FF" w:rsidRDefault="007F26FF" w:rsidP="008C549D">
            <w:pPr>
              <w:spacing w:line="276" w:lineRule="auto"/>
              <w:jc w:val="both"/>
              <w:rPr>
                <w:rStyle w:val="Strong"/>
                <w:rFonts w:ascii="Arial" w:eastAsia="Arial" w:hAnsi="Arial" w:cs="Arial"/>
              </w:rPr>
            </w:pPr>
            <w:r w:rsidRPr="007F26FF">
              <w:rPr>
                <w:rFonts w:ascii="Arial" w:hAnsi="Arial" w:cs="Arial"/>
                <w:color w:val="000000"/>
                <w:sz w:val="20"/>
                <w:szCs w:val="20"/>
              </w:rPr>
              <w:t>All cases experienced different challenges and approaches regarding</w:t>
            </w:r>
            <w:r w:rsidRPr="007F26FF">
              <w:rPr>
                <w:rStyle w:val="apple-converted-space"/>
                <w:rFonts w:ascii="Arial" w:hAnsi="Arial" w:cs="Arial"/>
                <w:color w:val="000000"/>
                <w:sz w:val="20"/>
                <w:szCs w:val="20"/>
              </w:rPr>
              <w:t> </w:t>
            </w:r>
            <w:r w:rsidRPr="007F26FF">
              <w:rPr>
                <w:rStyle w:val="Strong"/>
                <w:rFonts w:ascii="Arial" w:hAnsi="Arial" w:cs="Arial"/>
                <w:b w:val="0"/>
                <w:bCs w:val="0"/>
                <w:color w:val="000000"/>
                <w:sz w:val="20"/>
                <w:szCs w:val="20"/>
              </w:rPr>
              <w:t>curriculum shifts and adjustments</w:t>
            </w:r>
            <w:r w:rsidRPr="007F26FF">
              <w:rPr>
                <w:rStyle w:val="apple-converted-space"/>
                <w:rFonts w:ascii="Arial" w:hAnsi="Arial" w:cs="Arial"/>
                <w:color w:val="000000"/>
                <w:sz w:val="20"/>
                <w:szCs w:val="20"/>
              </w:rPr>
              <w:t> </w:t>
            </w:r>
            <w:r w:rsidRPr="007F26FF">
              <w:rPr>
                <w:rFonts w:ascii="Arial" w:hAnsi="Arial" w:cs="Arial"/>
                <w:color w:val="000000"/>
                <w:sz w:val="20"/>
                <w:szCs w:val="20"/>
              </w:rPr>
              <w:t>in Physical Education.</w:t>
            </w:r>
            <w:r w:rsidRPr="007F26FF">
              <w:rPr>
                <w:rStyle w:val="apple-converted-space"/>
                <w:rFonts w:ascii="Arial" w:hAnsi="Arial" w:cs="Arial"/>
                <w:color w:val="000000"/>
                <w:sz w:val="20"/>
                <w:szCs w:val="20"/>
              </w:rPr>
              <w:t> </w:t>
            </w:r>
          </w:p>
        </w:tc>
      </w:tr>
      <w:tr w:rsidR="002374C6" w14:paraId="779C65DF" w14:textId="77777777" w:rsidTr="002374C6">
        <w:tc>
          <w:tcPr>
            <w:tcW w:w="8613" w:type="dxa"/>
            <w:gridSpan w:val="4"/>
            <w:shd w:val="clear" w:color="auto" w:fill="F2F2F2" w:themeFill="background1" w:themeFillShade="F2"/>
          </w:tcPr>
          <w:p w14:paraId="7D31B93D" w14:textId="2BE2A8FA" w:rsidR="002374C6" w:rsidRPr="002374C6" w:rsidRDefault="002374C6" w:rsidP="008C549D">
            <w:pPr>
              <w:spacing w:line="276" w:lineRule="auto"/>
              <w:jc w:val="both"/>
              <w:rPr>
                <w:rStyle w:val="Strong"/>
                <w:rFonts w:ascii="Arial" w:eastAsia="Arial" w:hAnsi="Arial" w:cs="Arial"/>
                <w:i/>
                <w:iCs/>
              </w:rPr>
            </w:pPr>
            <w:r w:rsidRPr="002374C6">
              <w:rPr>
                <w:rStyle w:val="Strong"/>
                <w:rFonts w:ascii="Arial" w:eastAsia="Arial" w:hAnsi="Arial" w:cs="Arial"/>
                <w:i/>
                <w:iCs/>
              </w:rPr>
              <w:t>Contextual Factors</w:t>
            </w:r>
          </w:p>
        </w:tc>
      </w:tr>
      <w:tr w:rsidR="00C32F47" w14:paraId="7F0B29E5" w14:textId="77777777" w:rsidTr="002374C6">
        <w:tc>
          <w:tcPr>
            <w:tcW w:w="2376" w:type="dxa"/>
          </w:tcPr>
          <w:p w14:paraId="26A2F90A" w14:textId="148223AF" w:rsidR="00C32F47" w:rsidRPr="00C32F47" w:rsidRDefault="00C32F47" w:rsidP="00C32F47">
            <w:pPr>
              <w:spacing w:line="276" w:lineRule="auto"/>
              <w:jc w:val="center"/>
              <w:rPr>
                <w:rStyle w:val="Strong"/>
                <w:rFonts w:ascii="Arial" w:eastAsia="Arial" w:hAnsi="Arial" w:cs="Arial"/>
                <w:b w:val="0"/>
                <w:bCs w:val="0"/>
                <w:sz w:val="20"/>
                <w:szCs w:val="20"/>
              </w:rPr>
            </w:pPr>
            <w:r w:rsidRPr="00C32F47">
              <w:rPr>
                <w:rFonts w:ascii="Arial" w:hAnsi="Arial" w:cs="Arial"/>
                <w:sz w:val="20"/>
                <w:szCs w:val="20"/>
              </w:rPr>
              <w:t>Pedagogical Flexibility amid Physical Facility Constraints</w:t>
            </w:r>
          </w:p>
        </w:tc>
        <w:tc>
          <w:tcPr>
            <w:tcW w:w="1276" w:type="dxa"/>
          </w:tcPr>
          <w:p w14:paraId="5538AA35" w14:textId="77777777" w:rsidR="00C32F47" w:rsidRDefault="00C32F47" w:rsidP="008C549D">
            <w:pPr>
              <w:spacing w:line="276" w:lineRule="auto"/>
              <w:jc w:val="both"/>
              <w:rPr>
                <w:rStyle w:val="Strong"/>
                <w:rFonts w:ascii="Arial" w:eastAsia="Arial" w:hAnsi="Arial" w:cs="Arial"/>
                <w:b w:val="0"/>
                <w:bCs w:val="0"/>
              </w:rPr>
            </w:pPr>
          </w:p>
        </w:tc>
        <w:tc>
          <w:tcPr>
            <w:tcW w:w="1418" w:type="dxa"/>
          </w:tcPr>
          <w:p w14:paraId="79E68838" w14:textId="1066C2CB" w:rsidR="00C32F47" w:rsidRDefault="007F26FF" w:rsidP="007F26FF">
            <w:pPr>
              <w:spacing w:line="276" w:lineRule="auto"/>
              <w:jc w:val="center"/>
              <w:rPr>
                <w:rStyle w:val="Strong"/>
                <w:rFonts w:ascii="Arial" w:eastAsia="Arial" w:hAnsi="Arial" w:cs="Arial"/>
                <w:b w:val="0"/>
                <w:bCs w:val="0"/>
              </w:rPr>
            </w:pPr>
            <w:r>
              <w:rPr>
                <w:rFonts w:ascii="Arial" w:eastAsia="Arial" w:hAnsi="Arial" w:cs="Arial"/>
              </w:rPr>
              <w:t>1, 2, 3, 4, and 5</w:t>
            </w:r>
          </w:p>
        </w:tc>
        <w:tc>
          <w:tcPr>
            <w:tcW w:w="3543" w:type="dxa"/>
          </w:tcPr>
          <w:p w14:paraId="1C04CBCD" w14:textId="542E34C2" w:rsidR="00C32F47" w:rsidRPr="007F26FF" w:rsidRDefault="007F26FF" w:rsidP="008C549D">
            <w:pPr>
              <w:spacing w:line="276" w:lineRule="auto"/>
              <w:jc w:val="both"/>
              <w:rPr>
                <w:rStyle w:val="Strong"/>
                <w:rFonts w:ascii="Arial" w:eastAsia="Arial" w:hAnsi="Arial" w:cs="Arial"/>
                <w:b w:val="0"/>
                <w:bCs w:val="0"/>
                <w:sz w:val="20"/>
                <w:szCs w:val="20"/>
              </w:rPr>
            </w:pPr>
            <w:r w:rsidRPr="007F26FF">
              <w:rPr>
                <w:rFonts w:ascii="Arial" w:hAnsi="Arial" w:cs="Arial"/>
                <w:color w:val="000000"/>
                <w:sz w:val="20"/>
                <w:szCs w:val="20"/>
              </w:rPr>
              <w:t>All cases faced unique challenges and developed different approaches to</w:t>
            </w:r>
            <w:r w:rsidRPr="007F26FF">
              <w:rPr>
                <w:rStyle w:val="apple-converted-space"/>
                <w:rFonts w:ascii="Arial" w:hAnsi="Arial" w:cs="Arial"/>
                <w:color w:val="000000"/>
                <w:sz w:val="20"/>
                <w:szCs w:val="20"/>
              </w:rPr>
              <w:t> </w:t>
            </w:r>
            <w:r w:rsidRPr="007F26FF">
              <w:rPr>
                <w:rStyle w:val="Strong"/>
                <w:rFonts w:ascii="Arial" w:hAnsi="Arial" w:cs="Arial"/>
                <w:b w:val="0"/>
                <w:bCs w:val="0"/>
                <w:color w:val="000000"/>
                <w:sz w:val="20"/>
                <w:szCs w:val="20"/>
              </w:rPr>
              <w:t>pedagogical flexibility amid physical facility constraints</w:t>
            </w:r>
            <w:r w:rsidRPr="007F26FF">
              <w:rPr>
                <w:rStyle w:val="apple-converted-space"/>
                <w:rFonts w:ascii="Arial" w:hAnsi="Arial" w:cs="Arial"/>
                <w:color w:val="000000"/>
                <w:sz w:val="20"/>
                <w:szCs w:val="20"/>
              </w:rPr>
              <w:t> </w:t>
            </w:r>
            <w:r w:rsidRPr="007F26FF">
              <w:rPr>
                <w:rFonts w:ascii="Arial" w:hAnsi="Arial" w:cs="Arial"/>
                <w:color w:val="000000"/>
                <w:sz w:val="20"/>
                <w:szCs w:val="20"/>
              </w:rPr>
              <w:t>in Physical Education.</w:t>
            </w:r>
          </w:p>
        </w:tc>
      </w:tr>
      <w:tr w:rsidR="007F26FF" w14:paraId="3DCC917B" w14:textId="77777777" w:rsidTr="002374C6">
        <w:tc>
          <w:tcPr>
            <w:tcW w:w="2376" w:type="dxa"/>
          </w:tcPr>
          <w:p w14:paraId="6D3ACC6A" w14:textId="7B70CD7C" w:rsidR="007F26FF" w:rsidRPr="00C32F47" w:rsidRDefault="007F26FF" w:rsidP="007F26FF">
            <w:pPr>
              <w:spacing w:line="276" w:lineRule="auto"/>
              <w:jc w:val="center"/>
              <w:rPr>
                <w:rFonts w:ascii="Arial" w:hAnsi="Arial" w:cs="Arial"/>
                <w:sz w:val="20"/>
                <w:szCs w:val="20"/>
              </w:rPr>
            </w:pPr>
            <w:r w:rsidRPr="00C32F47">
              <w:rPr>
                <w:rFonts w:ascii="Arial" w:hAnsi="Arial" w:cs="Arial"/>
                <w:sz w:val="20"/>
                <w:szCs w:val="20"/>
              </w:rPr>
              <w:t>Administrative Guidance and Support</w:t>
            </w:r>
          </w:p>
        </w:tc>
        <w:tc>
          <w:tcPr>
            <w:tcW w:w="1276" w:type="dxa"/>
          </w:tcPr>
          <w:p w14:paraId="03C0FF9D" w14:textId="205DF84E"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1,2, and 3</w:t>
            </w:r>
          </w:p>
        </w:tc>
        <w:tc>
          <w:tcPr>
            <w:tcW w:w="1418" w:type="dxa"/>
          </w:tcPr>
          <w:p w14:paraId="1E1ADC50" w14:textId="500B8840"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4, and 5</w:t>
            </w:r>
          </w:p>
        </w:tc>
        <w:tc>
          <w:tcPr>
            <w:tcW w:w="3543" w:type="dxa"/>
          </w:tcPr>
          <w:p w14:paraId="0782BE56" w14:textId="34AA65A5" w:rsidR="007F26FF" w:rsidRPr="00260B55" w:rsidRDefault="00260B55" w:rsidP="007F26FF">
            <w:pPr>
              <w:spacing w:line="276" w:lineRule="auto"/>
              <w:jc w:val="both"/>
              <w:rPr>
                <w:rStyle w:val="Strong"/>
                <w:rFonts w:ascii="Arial" w:eastAsia="Arial" w:hAnsi="Arial" w:cs="Arial"/>
                <w:b w:val="0"/>
                <w:bCs w:val="0"/>
              </w:rPr>
            </w:pPr>
            <w:r w:rsidRPr="00260B55">
              <w:rPr>
                <w:rFonts w:ascii="Arial" w:hAnsi="Arial" w:cs="Arial"/>
                <w:sz w:val="20"/>
                <w:szCs w:val="20"/>
              </w:rPr>
              <w:t>Cases 1, 2, and 3 emphasized that strong administrative guidance is vital for effective teaching and manageable workloads. Cases 4 and 5 also recognized the value of support but noted different experiences—Case 4 received help limited by resource constraints, while Case 5 benefited from the MOOE fund, though the school’s large population sometimes caused shortages for certain activities.</w:t>
            </w:r>
          </w:p>
        </w:tc>
      </w:tr>
      <w:tr w:rsidR="007F26FF" w14:paraId="5A7EFEF0" w14:textId="77777777" w:rsidTr="002374C6">
        <w:tc>
          <w:tcPr>
            <w:tcW w:w="2376" w:type="dxa"/>
          </w:tcPr>
          <w:p w14:paraId="01F69AD0" w14:textId="3EA99A9A" w:rsidR="007F26FF" w:rsidRPr="00C32F47" w:rsidRDefault="007F26FF" w:rsidP="007F26FF">
            <w:pPr>
              <w:spacing w:line="276" w:lineRule="auto"/>
              <w:jc w:val="center"/>
              <w:rPr>
                <w:rFonts w:ascii="Arial" w:hAnsi="Arial" w:cs="Arial"/>
                <w:sz w:val="20"/>
                <w:szCs w:val="20"/>
              </w:rPr>
            </w:pPr>
            <w:r w:rsidRPr="00C32F47">
              <w:rPr>
                <w:rFonts w:ascii="Arial" w:hAnsi="Arial" w:cs="Arial"/>
                <w:sz w:val="20"/>
                <w:szCs w:val="20"/>
              </w:rPr>
              <w:t>Community Recognition Influencing PE Prioritization</w:t>
            </w:r>
          </w:p>
        </w:tc>
        <w:tc>
          <w:tcPr>
            <w:tcW w:w="1276" w:type="dxa"/>
          </w:tcPr>
          <w:p w14:paraId="6C9DC74C" w14:textId="02FCCF77"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4, and 5</w:t>
            </w:r>
          </w:p>
        </w:tc>
        <w:tc>
          <w:tcPr>
            <w:tcW w:w="1418" w:type="dxa"/>
          </w:tcPr>
          <w:p w14:paraId="7BF38F1E" w14:textId="37AFC932"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1, 2, and 3</w:t>
            </w:r>
          </w:p>
        </w:tc>
        <w:tc>
          <w:tcPr>
            <w:tcW w:w="3543" w:type="dxa"/>
          </w:tcPr>
          <w:p w14:paraId="49C660DE" w14:textId="18960481" w:rsidR="007F26FF" w:rsidRPr="00260B55" w:rsidRDefault="00260B55" w:rsidP="007F26FF">
            <w:pPr>
              <w:spacing w:line="276" w:lineRule="auto"/>
              <w:jc w:val="both"/>
              <w:rPr>
                <w:rStyle w:val="Strong"/>
                <w:rFonts w:ascii="Arial" w:eastAsia="Arial" w:hAnsi="Arial" w:cs="Arial"/>
                <w:b w:val="0"/>
                <w:bCs w:val="0"/>
              </w:rPr>
            </w:pPr>
            <w:r w:rsidRPr="00260B55">
              <w:rPr>
                <w:rFonts w:ascii="Arial" w:hAnsi="Arial" w:cs="Arial"/>
                <w:sz w:val="20"/>
                <w:szCs w:val="20"/>
              </w:rPr>
              <w:t>Cases 4 and 5 emphasized strong parental support that helps prioritize PE in their schools. Cases 1, 2, and 3 also acknowledged community involvement but with varied experiences—Case 1 noted parents’ focus on academics and safety, Case 2 shared that PE activities are still developing in their new elementary department, and Case 3 observed that parents support school events to encourage physical play as children become more engaged with digital games.</w:t>
            </w:r>
          </w:p>
        </w:tc>
      </w:tr>
      <w:tr w:rsidR="007F26FF" w14:paraId="614C4AD3" w14:textId="77777777" w:rsidTr="002374C6">
        <w:tc>
          <w:tcPr>
            <w:tcW w:w="2376" w:type="dxa"/>
          </w:tcPr>
          <w:p w14:paraId="3DB2EF06" w14:textId="43C43592" w:rsidR="007F26FF" w:rsidRPr="00C32F47" w:rsidRDefault="007F26FF" w:rsidP="007F26FF">
            <w:pPr>
              <w:spacing w:line="276" w:lineRule="auto"/>
              <w:jc w:val="center"/>
              <w:rPr>
                <w:rFonts w:ascii="Arial" w:hAnsi="Arial" w:cs="Arial"/>
                <w:sz w:val="20"/>
                <w:szCs w:val="20"/>
              </w:rPr>
            </w:pPr>
            <w:r w:rsidRPr="00C32F47">
              <w:rPr>
                <w:rFonts w:ascii="Arial" w:hAnsi="Arial" w:cs="Arial"/>
                <w:sz w:val="20"/>
                <w:szCs w:val="20"/>
              </w:rPr>
              <w:t>Student-centered Approaches in Physical Education</w:t>
            </w:r>
          </w:p>
        </w:tc>
        <w:tc>
          <w:tcPr>
            <w:tcW w:w="1276" w:type="dxa"/>
          </w:tcPr>
          <w:p w14:paraId="14889BF0" w14:textId="15D677D3"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1, and 2</w:t>
            </w:r>
          </w:p>
        </w:tc>
        <w:tc>
          <w:tcPr>
            <w:tcW w:w="1418" w:type="dxa"/>
          </w:tcPr>
          <w:p w14:paraId="57D30919" w14:textId="5FBF9991"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3, 4, and 5</w:t>
            </w:r>
          </w:p>
        </w:tc>
        <w:tc>
          <w:tcPr>
            <w:tcW w:w="3543" w:type="dxa"/>
          </w:tcPr>
          <w:p w14:paraId="5610E5CA" w14:textId="7761028B" w:rsidR="007F26FF" w:rsidRPr="00260B55" w:rsidRDefault="00260B55" w:rsidP="007F26FF">
            <w:pPr>
              <w:spacing w:line="276" w:lineRule="auto"/>
              <w:jc w:val="both"/>
              <w:rPr>
                <w:rStyle w:val="Strong"/>
                <w:rFonts w:ascii="Arial" w:eastAsia="Arial" w:hAnsi="Arial" w:cs="Arial"/>
                <w:b w:val="0"/>
                <w:bCs w:val="0"/>
                <w:sz w:val="20"/>
                <w:szCs w:val="20"/>
              </w:rPr>
            </w:pPr>
            <w:r w:rsidRPr="00260B55">
              <w:rPr>
                <w:rFonts w:ascii="Arial" w:hAnsi="Arial" w:cs="Arial"/>
                <w:sz w:val="20"/>
                <w:szCs w:val="20"/>
              </w:rPr>
              <w:t xml:space="preserve">Cases 1 and 2 emphasized creating supportive, student-centered environments where learners participate at their own comfort level. </w:t>
            </w:r>
            <w:r w:rsidRPr="00260B55">
              <w:rPr>
                <w:rFonts w:ascii="Arial" w:hAnsi="Arial" w:cs="Arial"/>
                <w:sz w:val="20"/>
                <w:szCs w:val="20"/>
              </w:rPr>
              <w:lastRenderedPageBreak/>
              <w:t>Cases 3, 4, and 5 also used student-centered approaches—Case 3 respected religious considerations in dance activities, Case 4 adapted to varied abilities, and Case 5 prioritized student enjoyment while navigating MATATAG-related challenges.</w:t>
            </w:r>
          </w:p>
        </w:tc>
      </w:tr>
      <w:tr w:rsidR="002374C6" w14:paraId="24B38825" w14:textId="77777777" w:rsidTr="002374C6">
        <w:tc>
          <w:tcPr>
            <w:tcW w:w="8613" w:type="dxa"/>
            <w:gridSpan w:val="4"/>
            <w:shd w:val="clear" w:color="auto" w:fill="F2F2F2" w:themeFill="background1" w:themeFillShade="F2"/>
          </w:tcPr>
          <w:p w14:paraId="4C1A36C2" w14:textId="03A4BD0F" w:rsidR="002374C6" w:rsidRPr="002374C6" w:rsidRDefault="002374C6" w:rsidP="008C549D">
            <w:pPr>
              <w:spacing w:line="276" w:lineRule="auto"/>
              <w:jc w:val="both"/>
              <w:rPr>
                <w:rStyle w:val="Strong"/>
                <w:rFonts w:ascii="Arial" w:eastAsia="Arial" w:hAnsi="Arial" w:cs="Arial"/>
                <w:i/>
                <w:iCs/>
              </w:rPr>
            </w:pPr>
            <w:r w:rsidRPr="002374C6">
              <w:rPr>
                <w:rStyle w:val="Strong"/>
                <w:rFonts w:ascii="Arial" w:eastAsia="Arial" w:hAnsi="Arial" w:cs="Arial"/>
                <w:i/>
                <w:iCs/>
              </w:rPr>
              <w:lastRenderedPageBreak/>
              <w:t>Teaching Strategies</w:t>
            </w:r>
          </w:p>
        </w:tc>
      </w:tr>
      <w:tr w:rsidR="007F26FF" w14:paraId="294D29A8" w14:textId="77777777" w:rsidTr="002374C6">
        <w:tc>
          <w:tcPr>
            <w:tcW w:w="2376" w:type="dxa"/>
          </w:tcPr>
          <w:p w14:paraId="17E099E3" w14:textId="38F85074" w:rsidR="007F26FF" w:rsidRPr="00C32F47" w:rsidRDefault="007F26FF" w:rsidP="007F26FF">
            <w:pPr>
              <w:spacing w:line="276" w:lineRule="auto"/>
              <w:jc w:val="center"/>
              <w:rPr>
                <w:rFonts w:ascii="Arial" w:hAnsi="Arial" w:cs="Arial"/>
                <w:sz w:val="20"/>
                <w:szCs w:val="20"/>
              </w:rPr>
            </w:pPr>
            <w:r w:rsidRPr="00C32F47">
              <w:rPr>
                <w:rFonts w:ascii="Arial" w:hAnsi="Arial" w:cs="Arial"/>
                <w:color w:val="000000"/>
                <w:sz w:val="20"/>
                <w:szCs w:val="20"/>
              </w:rPr>
              <w:t>Creativity and Innovation in Resource-Constrained Environments</w:t>
            </w:r>
          </w:p>
        </w:tc>
        <w:tc>
          <w:tcPr>
            <w:tcW w:w="1276" w:type="dxa"/>
          </w:tcPr>
          <w:p w14:paraId="1E7C6692" w14:textId="3974DA56"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1, and 2</w:t>
            </w:r>
          </w:p>
        </w:tc>
        <w:tc>
          <w:tcPr>
            <w:tcW w:w="1418" w:type="dxa"/>
          </w:tcPr>
          <w:p w14:paraId="25779EFF" w14:textId="52E8D887" w:rsidR="007F26FF" w:rsidRDefault="007F26FF" w:rsidP="007F26FF">
            <w:pPr>
              <w:spacing w:line="276" w:lineRule="auto"/>
              <w:jc w:val="center"/>
              <w:rPr>
                <w:rStyle w:val="Strong"/>
                <w:rFonts w:ascii="Arial" w:eastAsia="Arial" w:hAnsi="Arial" w:cs="Arial"/>
                <w:b w:val="0"/>
                <w:bCs w:val="0"/>
              </w:rPr>
            </w:pPr>
            <w:r>
              <w:rPr>
                <w:rFonts w:ascii="Arial" w:eastAsia="Arial" w:hAnsi="Arial" w:cs="Arial"/>
              </w:rPr>
              <w:t>3, 4, and 5</w:t>
            </w:r>
          </w:p>
        </w:tc>
        <w:tc>
          <w:tcPr>
            <w:tcW w:w="3543" w:type="dxa"/>
          </w:tcPr>
          <w:p w14:paraId="791B59B3" w14:textId="2E45C464" w:rsidR="007F26FF" w:rsidRPr="00260B55" w:rsidRDefault="00260B55" w:rsidP="007F26FF">
            <w:pPr>
              <w:spacing w:line="276" w:lineRule="auto"/>
              <w:jc w:val="both"/>
              <w:rPr>
                <w:rStyle w:val="Strong"/>
                <w:rFonts w:ascii="Arial" w:eastAsia="Arial" w:hAnsi="Arial" w:cs="Arial"/>
                <w:b w:val="0"/>
                <w:bCs w:val="0"/>
              </w:rPr>
            </w:pPr>
            <w:r w:rsidRPr="00260B55">
              <w:rPr>
                <w:rFonts w:ascii="Arial" w:hAnsi="Arial" w:cs="Arial"/>
                <w:sz w:val="20"/>
                <w:szCs w:val="20"/>
              </w:rPr>
              <w:t>All five cases demonstrated creativity and innovation despite limited resources. Cases 1 and 2 relied on hands-on adjustments to engage learners, while Cases 3, 4, and 5 used varied strategies—Case 3 filled budget gaps with personal funds, Case 4 tailored lessons to available materials, and Case 5 revised plans to match classroom realities, highlighting flexibility and resourcefulness.</w:t>
            </w:r>
          </w:p>
        </w:tc>
      </w:tr>
      <w:tr w:rsidR="002374C6" w14:paraId="128263F1" w14:textId="77777777" w:rsidTr="002374C6">
        <w:tc>
          <w:tcPr>
            <w:tcW w:w="2376" w:type="dxa"/>
          </w:tcPr>
          <w:p w14:paraId="35322BEB" w14:textId="19A92C38" w:rsidR="002374C6" w:rsidRPr="00C32F47" w:rsidRDefault="002374C6" w:rsidP="002374C6">
            <w:pPr>
              <w:spacing w:line="276" w:lineRule="auto"/>
              <w:jc w:val="center"/>
              <w:rPr>
                <w:rFonts w:ascii="Arial" w:hAnsi="Arial" w:cs="Arial"/>
                <w:color w:val="000000"/>
                <w:sz w:val="20"/>
                <w:szCs w:val="20"/>
              </w:rPr>
            </w:pPr>
            <w:r w:rsidRPr="00C32F47">
              <w:rPr>
                <w:rFonts w:ascii="Arial" w:hAnsi="Arial" w:cs="Arial"/>
                <w:sz w:val="20"/>
                <w:szCs w:val="20"/>
              </w:rPr>
              <w:t>Instructional Flexibility</w:t>
            </w:r>
          </w:p>
        </w:tc>
        <w:tc>
          <w:tcPr>
            <w:tcW w:w="1276" w:type="dxa"/>
          </w:tcPr>
          <w:p w14:paraId="60CBACFD" w14:textId="0400BFA1"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2, 4, and 5</w:t>
            </w:r>
          </w:p>
        </w:tc>
        <w:tc>
          <w:tcPr>
            <w:tcW w:w="1418" w:type="dxa"/>
          </w:tcPr>
          <w:p w14:paraId="00B83EDB" w14:textId="2BC441FB"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1, and 3</w:t>
            </w:r>
          </w:p>
        </w:tc>
        <w:tc>
          <w:tcPr>
            <w:tcW w:w="3543" w:type="dxa"/>
          </w:tcPr>
          <w:p w14:paraId="374FFBF9" w14:textId="4E2A0487" w:rsidR="002374C6" w:rsidRPr="00260B55" w:rsidRDefault="00260B55" w:rsidP="002374C6">
            <w:pPr>
              <w:spacing w:line="276" w:lineRule="auto"/>
              <w:jc w:val="both"/>
              <w:rPr>
                <w:rStyle w:val="Strong"/>
                <w:rFonts w:ascii="Arial" w:eastAsia="Arial" w:hAnsi="Arial" w:cs="Arial"/>
                <w:b w:val="0"/>
                <w:bCs w:val="0"/>
              </w:rPr>
            </w:pPr>
            <w:r w:rsidRPr="00260B55">
              <w:rPr>
                <w:rFonts w:ascii="Arial" w:hAnsi="Arial" w:cs="Arial"/>
                <w:sz w:val="20"/>
                <w:szCs w:val="20"/>
              </w:rPr>
              <w:t>Cases 2, 4, and 5 showed instructional flexibility by adjusting lessons to student needs and available resources. Cases 1 and 3 also adapted creatively—Case 1 used ChatGPT to update outdated materials and align lessons with competencies, while Case 3 provided supplies for learners who couldn’t afford them, promoting equity and inclusion.</w:t>
            </w:r>
          </w:p>
        </w:tc>
      </w:tr>
      <w:tr w:rsidR="002374C6" w14:paraId="1C6EFB62" w14:textId="77777777" w:rsidTr="002374C6">
        <w:tc>
          <w:tcPr>
            <w:tcW w:w="2376" w:type="dxa"/>
          </w:tcPr>
          <w:p w14:paraId="2D021FA0" w14:textId="54A55D70" w:rsidR="002374C6" w:rsidRPr="00C32F47" w:rsidRDefault="002374C6" w:rsidP="002374C6">
            <w:pPr>
              <w:spacing w:line="276" w:lineRule="auto"/>
              <w:jc w:val="center"/>
              <w:rPr>
                <w:rFonts w:ascii="Arial" w:hAnsi="Arial" w:cs="Arial"/>
                <w:sz w:val="20"/>
                <w:szCs w:val="20"/>
              </w:rPr>
            </w:pPr>
            <w:r w:rsidRPr="00C32F47">
              <w:rPr>
                <w:rFonts w:ascii="Arial" w:hAnsi="Arial" w:cs="Arial"/>
                <w:sz w:val="20"/>
                <w:szCs w:val="20"/>
              </w:rPr>
              <w:t>Interest-driven in PE Classes</w:t>
            </w:r>
          </w:p>
        </w:tc>
        <w:tc>
          <w:tcPr>
            <w:tcW w:w="1276" w:type="dxa"/>
          </w:tcPr>
          <w:p w14:paraId="4583F552" w14:textId="0596EC75"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2, and 3</w:t>
            </w:r>
          </w:p>
        </w:tc>
        <w:tc>
          <w:tcPr>
            <w:tcW w:w="1418" w:type="dxa"/>
          </w:tcPr>
          <w:p w14:paraId="72672D78" w14:textId="5834CCA0"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1, 4, and 5</w:t>
            </w:r>
          </w:p>
        </w:tc>
        <w:tc>
          <w:tcPr>
            <w:tcW w:w="3543" w:type="dxa"/>
          </w:tcPr>
          <w:p w14:paraId="7B4836E5" w14:textId="3BC842D0" w:rsidR="002374C6" w:rsidRPr="00260B55" w:rsidRDefault="00260B55" w:rsidP="002374C6">
            <w:pPr>
              <w:spacing w:line="276" w:lineRule="auto"/>
              <w:jc w:val="both"/>
              <w:rPr>
                <w:rStyle w:val="Strong"/>
                <w:rFonts w:ascii="Arial" w:eastAsia="Arial" w:hAnsi="Arial" w:cs="Arial"/>
                <w:b w:val="0"/>
                <w:bCs w:val="0"/>
              </w:rPr>
            </w:pPr>
            <w:r w:rsidRPr="00260B55">
              <w:rPr>
                <w:rFonts w:ascii="Arial" w:hAnsi="Arial" w:cs="Arial"/>
                <w:sz w:val="20"/>
                <w:szCs w:val="20"/>
              </w:rPr>
              <w:t>Cases 2 and 3 emphasized interest-driven activities to keep students engaged in PE. Cases 1, 4, and 5 also promoted engagement through different approaches—Case 1 encouraged talent-showcasing to build confidence, Case 4 used varied materials to keep lessons interactive, and Case 5 maintained high energy and a strong voice to keep young learners active.</w:t>
            </w:r>
          </w:p>
        </w:tc>
      </w:tr>
      <w:tr w:rsidR="002374C6" w14:paraId="7903331C" w14:textId="77777777" w:rsidTr="002374C6">
        <w:tc>
          <w:tcPr>
            <w:tcW w:w="2376" w:type="dxa"/>
          </w:tcPr>
          <w:p w14:paraId="21AF42DF" w14:textId="013B65A1" w:rsidR="002374C6" w:rsidRPr="00C32F47" w:rsidRDefault="002374C6" w:rsidP="002374C6">
            <w:pPr>
              <w:spacing w:line="276" w:lineRule="auto"/>
              <w:jc w:val="center"/>
              <w:rPr>
                <w:rFonts w:ascii="Arial" w:hAnsi="Arial" w:cs="Arial"/>
                <w:sz w:val="20"/>
                <w:szCs w:val="20"/>
              </w:rPr>
            </w:pPr>
            <w:r w:rsidRPr="00C32F47">
              <w:rPr>
                <w:rFonts w:ascii="Arial" w:hAnsi="Arial" w:cs="Arial"/>
                <w:sz w:val="20"/>
                <w:szCs w:val="20"/>
              </w:rPr>
              <w:t>Collaborative Practices to Bridge Gaps</w:t>
            </w:r>
          </w:p>
        </w:tc>
        <w:tc>
          <w:tcPr>
            <w:tcW w:w="1276" w:type="dxa"/>
          </w:tcPr>
          <w:p w14:paraId="5BA51A5C" w14:textId="38D97D71"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3, 4, 5</w:t>
            </w:r>
          </w:p>
        </w:tc>
        <w:tc>
          <w:tcPr>
            <w:tcW w:w="1418" w:type="dxa"/>
          </w:tcPr>
          <w:p w14:paraId="67F121D9" w14:textId="0AAE3258" w:rsidR="002374C6" w:rsidRDefault="002374C6" w:rsidP="002374C6">
            <w:pPr>
              <w:spacing w:line="276" w:lineRule="auto"/>
              <w:jc w:val="center"/>
              <w:rPr>
                <w:rStyle w:val="Strong"/>
                <w:rFonts w:ascii="Arial" w:eastAsia="Arial" w:hAnsi="Arial" w:cs="Arial"/>
                <w:b w:val="0"/>
                <w:bCs w:val="0"/>
              </w:rPr>
            </w:pPr>
            <w:r>
              <w:rPr>
                <w:rFonts w:ascii="Arial" w:eastAsia="Arial" w:hAnsi="Arial" w:cs="Arial"/>
              </w:rPr>
              <w:t>1, 2</w:t>
            </w:r>
          </w:p>
        </w:tc>
        <w:tc>
          <w:tcPr>
            <w:tcW w:w="3543" w:type="dxa"/>
          </w:tcPr>
          <w:p w14:paraId="28AC6749" w14:textId="46B1302C" w:rsidR="002374C6" w:rsidRPr="00260B55" w:rsidRDefault="00260B55" w:rsidP="00260B55">
            <w:pPr>
              <w:pStyle w:val="NormalWeb"/>
              <w:jc w:val="both"/>
              <w:rPr>
                <w:rStyle w:val="Strong"/>
                <w:rFonts w:ascii="Arial" w:hAnsi="Arial" w:cs="Arial"/>
                <w:b w:val="0"/>
                <w:bCs w:val="0"/>
                <w:sz w:val="20"/>
                <w:szCs w:val="20"/>
              </w:rPr>
            </w:pPr>
            <w:r w:rsidRPr="00260B55">
              <w:rPr>
                <w:rFonts w:ascii="Arial" w:hAnsi="Arial" w:cs="Arial"/>
                <w:sz w:val="20"/>
                <w:szCs w:val="20"/>
              </w:rPr>
              <w:t xml:space="preserve">Cases 3, 4, and 5 emphasized collaboration through idea-sharing, brainstorming, and modifying activities to improve lesson delivery. Cases 1 and 2 also practiced </w:t>
            </w:r>
            <w:r w:rsidRPr="00260B55">
              <w:rPr>
                <w:rFonts w:ascii="Arial" w:hAnsi="Arial" w:cs="Arial"/>
                <w:sz w:val="20"/>
                <w:szCs w:val="20"/>
              </w:rPr>
              <w:lastRenderedPageBreak/>
              <w:t>collaboration but more minimally—Case 1 joined colleagues in organizing school events without peer-teaching, while Case 2 found peer-teaching unnecessary due to small classes and relied on assistant support instead.</w:t>
            </w:r>
          </w:p>
        </w:tc>
      </w:tr>
    </w:tbl>
    <w:p w14:paraId="2FA87F71" w14:textId="77777777" w:rsidR="008C549D" w:rsidRPr="008768C4" w:rsidRDefault="008C549D" w:rsidP="008C549D">
      <w:pPr>
        <w:spacing w:line="276" w:lineRule="auto"/>
        <w:jc w:val="both"/>
        <w:rPr>
          <w:rStyle w:val="Strong"/>
          <w:rFonts w:ascii="Arial" w:eastAsia="Arial" w:hAnsi="Arial" w:cs="Arial"/>
          <w:b w:val="0"/>
          <w:bCs w:val="0"/>
        </w:rPr>
      </w:pPr>
    </w:p>
    <w:p w14:paraId="58631257" w14:textId="5A1A6D2B" w:rsidR="00A008C0" w:rsidRDefault="00A008C0" w:rsidP="00441B6F">
      <w:pPr>
        <w:pStyle w:val="Body"/>
        <w:spacing w:after="0"/>
        <w:rPr>
          <w:rFonts w:ascii="Arial" w:hAnsi="Arial" w:cs="Arial"/>
        </w:rPr>
      </w:pPr>
    </w:p>
    <w:p w14:paraId="709BF267" w14:textId="77777777" w:rsidR="00260B55" w:rsidRPr="00260B55" w:rsidRDefault="00260B55" w:rsidP="00972C3D">
      <w:pPr>
        <w:pStyle w:val="Body"/>
        <w:spacing w:after="0" w:line="276" w:lineRule="auto"/>
        <w:ind w:left="720" w:firstLine="720"/>
        <w:rPr>
          <w:rFonts w:ascii="Arial" w:hAnsi="Arial" w:cs="Arial"/>
          <w:lang w:val="en-PH"/>
        </w:rPr>
      </w:pPr>
      <w:r w:rsidRPr="00260B55">
        <w:rPr>
          <w:rFonts w:ascii="Arial" w:hAnsi="Arial" w:cs="Arial"/>
          <w:lang w:val="en-PH"/>
        </w:rPr>
        <w:t>This study underscores the crucial role of teacher adaptability in implementing the MATATAG Physical Education curriculum (Jones &amp; Whipp, 2020). Effective PE instruction depends not only on curriculum design but also on teachers’ ability to modify lessons, improvise materials, and use alternative spaces in resource-constrained environments, ensuring meaningful participation and equitable access (Trabelsi et al., 2021; Petrie et al., 2024).​</w:t>
      </w:r>
    </w:p>
    <w:p w14:paraId="29AF48EA" w14:textId="77777777" w:rsidR="00260B55" w:rsidRPr="00260B55" w:rsidRDefault="00260B55" w:rsidP="00260B55">
      <w:pPr>
        <w:pStyle w:val="Body"/>
        <w:spacing w:after="0" w:line="276" w:lineRule="auto"/>
        <w:rPr>
          <w:rFonts w:ascii="Arial" w:hAnsi="Arial" w:cs="Arial"/>
          <w:lang w:val="en-PH"/>
        </w:rPr>
      </w:pPr>
    </w:p>
    <w:p w14:paraId="448CF746" w14:textId="77777777" w:rsidR="00260B55" w:rsidRPr="00260B55" w:rsidRDefault="00260B55" w:rsidP="00972C3D">
      <w:pPr>
        <w:pStyle w:val="Body"/>
        <w:spacing w:after="0" w:line="276" w:lineRule="auto"/>
        <w:ind w:left="720" w:firstLine="720"/>
        <w:rPr>
          <w:rFonts w:ascii="Arial" w:hAnsi="Arial" w:cs="Arial"/>
          <w:lang w:val="en-PH"/>
        </w:rPr>
      </w:pPr>
      <w:r w:rsidRPr="00260B55">
        <w:rPr>
          <w:rFonts w:ascii="Arial" w:hAnsi="Arial" w:cs="Arial"/>
          <w:lang w:val="en-PH"/>
        </w:rPr>
        <w:t>Inclusive, interest-driven approaches were key to sustaining student motivation and engagement (Kumar &amp; Naidoo, 2021). By aligning activities with learners’ cultural backgrounds, preferences, and developmental readiness, teachers supported physical competence, social-emotional growth, and a sense of belonging (</w:t>
      </w:r>
      <w:proofErr w:type="spellStart"/>
      <w:r w:rsidRPr="00260B55">
        <w:rPr>
          <w:rFonts w:ascii="Arial" w:hAnsi="Arial" w:cs="Arial"/>
          <w:lang w:val="en-PH"/>
        </w:rPr>
        <w:t>Opstoel</w:t>
      </w:r>
      <w:proofErr w:type="spellEnd"/>
      <w:r w:rsidRPr="00260B55">
        <w:rPr>
          <w:rFonts w:ascii="Arial" w:hAnsi="Arial" w:cs="Arial"/>
          <w:lang w:val="en-PH"/>
        </w:rPr>
        <w:t xml:space="preserve"> et al., 2022).​</w:t>
      </w:r>
    </w:p>
    <w:p w14:paraId="6EF71018" w14:textId="77777777" w:rsidR="00260B55" w:rsidRPr="00260B55" w:rsidRDefault="00260B55" w:rsidP="00260B55">
      <w:pPr>
        <w:pStyle w:val="Body"/>
        <w:spacing w:after="0" w:line="276" w:lineRule="auto"/>
        <w:rPr>
          <w:rFonts w:ascii="Arial" w:hAnsi="Arial" w:cs="Arial"/>
          <w:lang w:val="en-PH"/>
        </w:rPr>
      </w:pPr>
    </w:p>
    <w:p w14:paraId="00FEEA2C" w14:textId="1731567E" w:rsidR="00A008C0" w:rsidRDefault="00260B55" w:rsidP="00972C3D">
      <w:pPr>
        <w:pStyle w:val="Body"/>
        <w:spacing w:after="0" w:line="276" w:lineRule="auto"/>
        <w:ind w:left="720" w:firstLine="720"/>
        <w:rPr>
          <w:rFonts w:ascii="Arial" w:hAnsi="Arial" w:cs="Arial"/>
        </w:rPr>
      </w:pPr>
      <w:r w:rsidRPr="00260B55">
        <w:rPr>
          <w:rFonts w:ascii="Arial" w:hAnsi="Arial" w:cs="Arial"/>
          <w:lang w:val="en-PH"/>
        </w:rPr>
        <w:t xml:space="preserve">Collaboration, administrative support, and community involvement also proved essential (Petrie et al., 2024). Shared planning and peer support enhanced instructional capacity, while leadership and parental engagement provided the structural and motivational backing for innovation (Ahmed &amp; </w:t>
      </w:r>
      <w:proofErr w:type="spellStart"/>
      <w:r w:rsidRPr="00260B55">
        <w:rPr>
          <w:rFonts w:ascii="Arial" w:hAnsi="Arial" w:cs="Arial"/>
          <w:lang w:val="en-PH"/>
        </w:rPr>
        <w:t>Konukman</w:t>
      </w:r>
      <w:proofErr w:type="spellEnd"/>
      <w:r w:rsidRPr="00260B55">
        <w:rPr>
          <w:rFonts w:ascii="Arial" w:hAnsi="Arial" w:cs="Arial"/>
          <w:lang w:val="en-PH"/>
        </w:rPr>
        <w:t>, 2022). These findings highlight that successful curriculum implementation relies on the interplay of teacher creativity, learner-centered strategies, and systemic support, with implications for professional development, school leadership, and policy (Kumar &amp; Naidoo, 2021).</w:t>
      </w:r>
    </w:p>
    <w:p w14:paraId="25674786" w14:textId="77777777" w:rsidR="00790ADA" w:rsidRPr="00FB3A86" w:rsidRDefault="00790ADA" w:rsidP="00441B6F">
      <w:pPr>
        <w:pStyle w:val="Body"/>
        <w:spacing w:after="0"/>
        <w:rPr>
          <w:rFonts w:ascii="Arial" w:hAnsi="Arial" w:cs="Arial"/>
        </w:rPr>
      </w:pPr>
    </w:p>
    <w:p w14:paraId="062F97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C59059" w14:textId="77777777" w:rsidR="00790ADA" w:rsidRPr="00FB3A86" w:rsidRDefault="00790ADA" w:rsidP="00A008C0">
      <w:pPr>
        <w:pStyle w:val="ConcHead"/>
        <w:spacing w:after="0" w:line="276" w:lineRule="auto"/>
        <w:jc w:val="both"/>
        <w:rPr>
          <w:rFonts w:ascii="Arial" w:hAnsi="Arial" w:cs="Arial"/>
        </w:rPr>
      </w:pPr>
    </w:p>
    <w:p w14:paraId="78D6F620" w14:textId="6F92099E" w:rsidR="00790ADA" w:rsidRDefault="00A008C0" w:rsidP="00972C3D">
      <w:pPr>
        <w:pStyle w:val="Body"/>
        <w:spacing w:after="0" w:line="276" w:lineRule="auto"/>
        <w:ind w:firstLine="720"/>
        <w:rPr>
          <w:rFonts w:ascii="Arial" w:hAnsi="Arial" w:cs="Arial"/>
        </w:rPr>
      </w:pPr>
      <w:r w:rsidRPr="00A008C0">
        <w:rPr>
          <w:rFonts w:ascii="Arial" w:hAnsi="Arial" w:cs="Arial"/>
        </w:rPr>
        <w:t>This study revealed that teachers implementing the MATATAG Physical Education curriculum face challenges such as limited facilities, diverse learner readiness, and time constraints due to curriculum integration. Despite these barriers, teachers demonstrated adaptability, creativity, and learner-centered strategies to sustain student engagement and achieve curriculum goals. Collaboration among teachers, support from administrators, and community involvement were identified as key factors in bridging the gap between the intended curriculum and classroom realities. These findings underscore the importance of contextualized, inclusive, and supported approaches to Physical Education in promoting holistic child development.</w:t>
      </w:r>
    </w:p>
    <w:p w14:paraId="2ED8F3F2" w14:textId="77777777" w:rsidR="00A008C0" w:rsidRPr="00FB3A86" w:rsidRDefault="00A008C0" w:rsidP="00441B6F">
      <w:pPr>
        <w:pStyle w:val="Body"/>
        <w:spacing w:after="0"/>
        <w:rPr>
          <w:rFonts w:ascii="Arial" w:hAnsi="Arial" w:cs="Arial"/>
        </w:rPr>
      </w:pPr>
    </w:p>
    <w:p w14:paraId="6AB35593" w14:textId="77777777" w:rsidR="0062664A" w:rsidRDefault="0062664A" w:rsidP="00972C3D">
      <w:pPr>
        <w:pStyle w:val="ReferHead"/>
        <w:spacing w:after="0" w:line="276" w:lineRule="auto"/>
        <w:ind w:firstLine="720"/>
        <w:jc w:val="both"/>
        <w:rPr>
          <w:rFonts w:ascii="Arial" w:hAnsi="Arial" w:cs="Arial"/>
          <w:b w:val="0"/>
          <w:caps w:val="0"/>
          <w:sz w:val="20"/>
          <w:u w:val="single"/>
        </w:rPr>
      </w:pPr>
    </w:p>
    <w:p w14:paraId="3D293A5B" w14:textId="77777777" w:rsidR="0062664A" w:rsidRPr="0062664A" w:rsidRDefault="0062664A" w:rsidP="0062664A">
      <w:pPr>
        <w:spacing w:after="200" w:line="276" w:lineRule="auto"/>
        <w:jc w:val="both"/>
        <w:outlineLvl w:val="0"/>
        <w:rPr>
          <w:rFonts w:ascii="Arial" w:eastAsiaTheme="minorEastAsia" w:hAnsi="Arial" w:cs="Arial"/>
          <w:sz w:val="22"/>
          <w:szCs w:val="22"/>
          <w:lang w:val="en-GB" w:eastAsia="en-GB"/>
        </w:rPr>
      </w:pPr>
      <w:r w:rsidRPr="0062664A">
        <w:rPr>
          <w:rFonts w:ascii="Arial" w:eastAsiaTheme="minorEastAsia" w:hAnsi="Arial" w:cs="Arial"/>
          <w:b/>
          <w:bCs/>
          <w:sz w:val="22"/>
          <w:szCs w:val="22"/>
          <w:lang w:val="en-GB" w:eastAsia="en-GB"/>
        </w:rPr>
        <w:t>COMPETING INTERESTS DISCLAIMER:</w:t>
      </w:r>
    </w:p>
    <w:p w14:paraId="71B099D6" w14:textId="77777777" w:rsidR="0062664A" w:rsidRPr="0062664A" w:rsidRDefault="0062664A" w:rsidP="0062664A">
      <w:pPr>
        <w:spacing w:after="200" w:line="276" w:lineRule="auto"/>
        <w:rPr>
          <w:rFonts w:asciiTheme="minorHAnsi" w:eastAsiaTheme="minorEastAsia" w:hAnsiTheme="minorHAnsi" w:cstheme="minorBidi"/>
          <w:sz w:val="22"/>
          <w:szCs w:val="22"/>
          <w:lang w:val="en-GB" w:eastAsia="en-GB"/>
        </w:rPr>
      </w:pPr>
      <w:r w:rsidRPr="0062664A">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2D0D5DB6" w14:textId="77777777" w:rsidR="0062664A" w:rsidRDefault="0062664A" w:rsidP="00972C3D">
      <w:pPr>
        <w:pStyle w:val="ReferHead"/>
        <w:spacing w:after="0" w:line="276" w:lineRule="auto"/>
        <w:ind w:firstLine="720"/>
        <w:jc w:val="both"/>
        <w:rPr>
          <w:rFonts w:ascii="Arial" w:hAnsi="Arial" w:cs="Arial"/>
          <w:b w:val="0"/>
          <w:caps w:val="0"/>
          <w:sz w:val="20"/>
          <w:u w:val="single"/>
        </w:rPr>
      </w:pPr>
    </w:p>
    <w:p w14:paraId="39A650BD" w14:textId="77777777" w:rsidR="00D846DB" w:rsidRDefault="00D846DB" w:rsidP="00D846DB">
      <w:pPr>
        <w:pStyle w:val="ReferHead"/>
        <w:spacing w:after="0"/>
        <w:jc w:val="both"/>
        <w:rPr>
          <w:rFonts w:ascii="Arial" w:hAnsi="Arial" w:cs="Arial"/>
        </w:rPr>
      </w:pPr>
    </w:p>
    <w:p w14:paraId="6A61F0E6" w14:textId="77777777" w:rsidR="0062664A" w:rsidRDefault="0062664A" w:rsidP="00D846DB">
      <w:pPr>
        <w:pStyle w:val="ReferHead"/>
        <w:spacing w:after="0"/>
        <w:jc w:val="both"/>
        <w:rPr>
          <w:rFonts w:ascii="Arial" w:hAnsi="Arial" w:cs="Arial"/>
        </w:rPr>
      </w:pPr>
    </w:p>
    <w:p w14:paraId="00F2A8FA" w14:textId="77777777" w:rsidR="0062664A" w:rsidRDefault="0062664A" w:rsidP="00D846DB">
      <w:pPr>
        <w:pStyle w:val="ReferHead"/>
        <w:spacing w:after="0"/>
        <w:jc w:val="both"/>
        <w:rPr>
          <w:rFonts w:ascii="Arial" w:hAnsi="Arial" w:cs="Arial"/>
        </w:rPr>
      </w:pPr>
    </w:p>
    <w:p w14:paraId="4938F81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9229E7" w14:textId="77777777" w:rsidR="00790ADA" w:rsidRPr="00FB3A86" w:rsidRDefault="00790ADA" w:rsidP="00441B6F">
      <w:pPr>
        <w:pStyle w:val="ReferHead"/>
        <w:spacing w:after="0"/>
        <w:jc w:val="both"/>
        <w:rPr>
          <w:rFonts w:ascii="Arial" w:hAnsi="Arial" w:cs="Arial"/>
        </w:rPr>
      </w:pPr>
    </w:p>
    <w:p w14:paraId="54BD0829" w14:textId="2B55E504" w:rsidR="002100B6" w:rsidRDefault="002100B6" w:rsidP="001F6B84">
      <w:pPr>
        <w:pStyle w:val="ListParagraph"/>
        <w:numPr>
          <w:ilvl w:val="0"/>
          <w:numId w:val="48"/>
        </w:numPr>
        <w:spacing w:line="276" w:lineRule="auto"/>
        <w:jc w:val="both"/>
        <w:rPr>
          <w:rFonts w:ascii="Arial" w:eastAsia="Arial" w:hAnsi="Arial" w:cs="Arial"/>
        </w:rPr>
      </w:pPr>
      <w:r w:rsidRPr="002100B6">
        <w:rPr>
          <w:rFonts w:ascii="Arial" w:eastAsia="Arial" w:hAnsi="Arial" w:cs="Arial"/>
        </w:rPr>
        <w:t xml:space="preserve">Ahmed, M. D., &amp; </w:t>
      </w:r>
      <w:proofErr w:type="spellStart"/>
      <w:r w:rsidRPr="002100B6">
        <w:rPr>
          <w:rFonts w:ascii="Arial" w:eastAsia="Arial" w:hAnsi="Arial" w:cs="Arial"/>
        </w:rPr>
        <w:t>Konukman</w:t>
      </w:r>
      <w:proofErr w:type="spellEnd"/>
      <w:r w:rsidRPr="002100B6">
        <w:rPr>
          <w:rFonts w:ascii="Arial" w:eastAsia="Arial" w:hAnsi="Arial" w:cs="Arial"/>
        </w:rPr>
        <w:t xml:space="preserve">, F. (2022). Enhancing Students’ Learning of Social Inclusion in Team Activities Through Physical Education. Journal of Physical Education, Recreation &amp; Dance. </w:t>
      </w:r>
      <w:hyperlink r:id="rId16" w:history="1">
        <w:r w:rsidRPr="008D00F6">
          <w:rPr>
            <w:rStyle w:val="Hyperlink"/>
            <w:rFonts w:ascii="Arial" w:eastAsia="Arial" w:hAnsi="Arial" w:cs="Arial"/>
          </w:rPr>
          <w:t>https://doi.org/10.1080/07303084.2022.2006023</w:t>
        </w:r>
      </w:hyperlink>
    </w:p>
    <w:p w14:paraId="6EC09914" w14:textId="094FD9E9" w:rsidR="002100B6" w:rsidRDefault="002100B6" w:rsidP="001F6B84">
      <w:pPr>
        <w:pStyle w:val="ListParagraph"/>
        <w:numPr>
          <w:ilvl w:val="0"/>
          <w:numId w:val="48"/>
        </w:numPr>
        <w:spacing w:line="276" w:lineRule="auto"/>
        <w:jc w:val="both"/>
        <w:rPr>
          <w:rFonts w:ascii="Arial" w:eastAsia="Arial" w:hAnsi="Arial" w:cs="Arial"/>
        </w:rPr>
      </w:pPr>
      <w:r w:rsidRPr="002100B6">
        <w:rPr>
          <w:rFonts w:ascii="Arial" w:eastAsia="Arial" w:hAnsi="Arial" w:cs="Arial"/>
        </w:rPr>
        <w:t xml:space="preserve">Creswell, J. W. (1997). Qualitative Inquiry and Research Design: Choosing Among the Five Traditions. Sage Publications. </w:t>
      </w:r>
      <w:hyperlink r:id="rId17" w:history="1">
        <w:r w:rsidRPr="008D00F6">
          <w:rPr>
            <w:rStyle w:val="Hyperlink"/>
            <w:rFonts w:ascii="Arial" w:eastAsia="Arial" w:hAnsi="Arial" w:cs="Arial"/>
          </w:rPr>
          <w:t>https://books.google.com/books/about/Qualitative_Inquiry_and_Research_Design.html?id=220_QgAACAAJ</w:t>
        </w:r>
      </w:hyperlink>
    </w:p>
    <w:p w14:paraId="7CE2B9E5" w14:textId="020C56A2" w:rsidR="002100B6" w:rsidRDefault="002100B6" w:rsidP="001F6B84">
      <w:pPr>
        <w:pStyle w:val="ListParagraph"/>
        <w:numPr>
          <w:ilvl w:val="0"/>
          <w:numId w:val="48"/>
        </w:numPr>
        <w:spacing w:line="276" w:lineRule="auto"/>
        <w:jc w:val="both"/>
        <w:rPr>
          <w:rFonts w:ascii="Arial" w:eastAsia="Arial" w:hAnsi="Arial" w:cs="Arial"/>
        </w:rPr>
      </w:pPr>
      <w:r w:rsidRPr="002100B6">
        <w:rPr>
          <w:rFonts w:ascii="Arial" w:eastAsia="Arial" w:hAnsi="Arial" w:cs="Arial"/>
        </w:rPr>
        <w:t xml:space="preserve">Creswell, J. W., &amp; Poth, C. N. (2018). Qualitative inquiry and research design: Choosing among five approaches (4th ed.). SAGE Publications. </w:t>
      </w:r>
      <w:hyperlink r:id="rId18" w:history="1">
        <w:r w:rsidRPr="008D00F6">
          <w:rPr>
            <w:rStyle w:val="Hyperlink"/>
            <w:rFonts w:ascii="Arial" w:eastAsia="Arial" w:hAnsi="Arial" w:cs="Arial"/>
          </w:rPr>
          <w:t>https://edge.sagepub.com/creswellqualitativeinquiry4e</w:t>
        </w:r>
      </w:hyperlink>
    </w:p>
    <w:p w14:paraId="466BFAB4" w14:textId="42742601" w:rsidR="00437581" w:rsidRPr="001F6B84" w:rsidRDefault="00437581" w:rsidP="001F6B84">
      <w:pPr>
        <w:pStyle w:val="ListParagraph"/>
        <w:numPr>
          <w:ilvl w:val="0"/>
          <w:numId w:val="48"/>
        </w:numPr>
        <w:spacing w:line="276" w:lineRule="auto"/>
        <w:jc w:val="both"/>
        <w:rPr>
          <w:rFonts w:ascii="Arial" w:eastAsia="Arial" w:hAnsi="Arial" w:cs="Arial"/>
        </w:rPr>
      </w:pPr>
      <w:r w:rsidRPr="001F6B84">
        <w:rPr>
          <w:rFonts w:ascii="Arial" w:eastAsia="Arial" w:hAnsi="Arial" w:cs="Arial"/>
        </w:rPr>
        <w:t xml:space="preserve">Jones, R., &amp; Whipp, P. (2020). </w:t>
      </w:r>
      <w:r w:rsidRPr="001F6B84">
        <w:rPr>
          <w:rFonts w:ascii="Arial" w:eastAsia="Arial" w:hAnsi="Arial" w:cs="Arial"/>
          <w:i/>
          <w:iCs/>
        </w:rPr>
        <w:t>Reflective teaching and curriculum adaptation in physical education: Insights from urban and rural schools in Australia and New Zealand.</w:t>
      </w:r>
      <w:r w:rsidRPr="001F6B84">
        <w:rPr>
          <w:rFonts w:ascii="Arial" w:eastAsia="Arial" w:hAnsi="Arial" w:cs="Arial"/>
        </w:rPr>
        <w:t xml:space="preserve"> Sport, Education and Society, 25(7), 743-758. https://doi.org/10.1080/13573322.2019.1655497</w:t>
      </w:r>
    </w:p>
    <w:p w14:paraId="617E6151" w14:textId="60CB17B5" w:rsidR="00437581" w:rsidRPr="001F6B84" w:rsidRDefault="00437581" w:rsidP="001F6B84">
      <w:pPr>
        <w:pStyle w:val="ListParagraph"/>
        <w:numPr>
          <w:ilvl w:val="0"/>
          <w:numId w:val="48"/>
        </w:numPr>
        <w:spacing w:line="276" w:lineRule="auto"/>
        <w:jc w:val="both"/>
        <w:rPr>
          <w:rFonts w:ascii="Arial" w:eastAsia="Arial" w:hAnsi="Arial" w:cs="Arial"/>
        </w:rPr>
      </w:pPr>
      <w:r w:rsidRPr="001F6B84">
        <w:rPr>
          <w:rFonts w:ascii="Arial" w:eastAsia="Arial" w:hAnsi="Arial" w:cs="Arial"/>
        </w:rPr>
        <w:t xml:space="preserve">Kumar, S., &amp; Naidoo, G. (2021). </w:t>
      </w:r>
      <w:r w:rsidRPr="001F6B84">
        <w:rPr>
          <w:rFonts w:ascii="Arial" w:eastAsia="Arial" w:hAnsi="Arial" w:cs="Arial"/>
          <w:i/>
          <w:iCs/>
        </w:rPr>
        <w:t>Professional development and reflective practice in physical education: Enhancing culturally relevant pedagogy in diverse school settings.</w:t>
      </w:r>
      <w:r w:rsidRPr="001F6B84">
        <w:rPr>
          <w:rFonts w:ascii="Arial" w:eastAsia="Arial" w:hAnsi="Arial" w:cs="Arial"/>
        </w:rPr>
        <w:t xml:space="preserve"> International Journal of Sport and Exercise Psychology. https://doi.org/10.1080/1612197X.2021.1885276</w:t>
      </w:r>
    </w:p>
    <w:p w14:paraId="092EC152" w14:textId="1D2131C0" w:rsidR="002100B6" w:rsidRDefault="002100B6" w:rsidP="001F6B84">
      <w:pPr>
        <w:pStyle w:val="ListParagraph"/>
        <w:numPr>
          <w:ilvl w:val="0"/>
          <w:numId w:val="48"/>
        </w:numPr>
        <w:spacing w:line="276" w:lineRule="auto"/>
        <w:jc w:val="both"/>
        <w:rPr>
          <w:rFonts w:ascii="Arial" w:eastAsia="Arial" w:hAnsi="Arial" w:cs="Arial"/>
        </w:rPr>
      </w:pPr>
      <w:proofErr w:type="spellStart"/>
      <w:r w:rsidRPr="002100B6">
        <w:rPr>
          <w:rFonts w:ascii="Arial" w:eastAsia="Arial" w:hAnsi="Arial" w:cs="Arial"/>
        </w:rPr>
        <w:t>Opstoel</w:t>
      </w:r>
      <w:proofErr w:type="spellEnd"/>
      <w:r w:rsidRPr="002100B6">
        <w:rPr>
          <w:rFonts w:ascii="Arial" w:eastAsia="Arial" w:hAnsi="Arial" w:cs="Arial"/>
        </w:rPr>
        <w:t xml:space="preserve">, K., Prins, F., Jacobs, F., </w:t>
      </w:r>
      <w:proofErr w:type="spellStart"/>
      <w:r w:rsidRPr="002100B6">
        <w:rPr>
          <w:rFonts w:ascii="Arial" w:eastAsia="Arial" w:hAnsi="Arial" w:cs="Arial"/>
        </w:rPr>
        <w:t>Haerens</w:t>
      </w:r>
      <w:proofErr w:type="spellEnd"/>
      <w:r w:rsidRPr="002100B6">
        <w:rPr>
          <w:rFonts w:ascii="Arial" w:eastAsia="Arial" w:hAnsi="Arial" w:cs="Arial"/>
        </w:rPr>
        <w:t xml:space="preserve">, L., van </w:t>
      </w:r>
      <w:proofErr w:type="spellStart"/>
      <w:r w:rsidRPr="002100B6">
        <w:rPr>
          <w:rFonts w:ascii="Arial" w:eastAsia="Arial" w:hAnsi="Arial" w:cs="Arial"/>
        </w:rPr>
        <w:t>Tartwijk</w:t>
      </w:r>
      <w:proofErr w:type="spellEnd"/>
      <w:r w:rsidRPr="002100B6">
        <w:rPr>
          <w:rFonts w:ascii="Arial" w:eastAsia="Arial" w:hAnsi="Arial" w:cs="Arial"/>
        </w:rPr>
        <w:t xml:space="preserve">, J., &amp; De </w:t>
      </w:r>
      <w:proofErr w:type="spellStart"/>
      <w:r w:rsidRPr="002100B6">
        <w:rPr>
          <w:rFonts w:ascii="Arial" w:eastAsia="Arial" w:hAnsi="Arial" w:cs="Arial"/>
        </w:rPr>
        <w:t>Martelaer</w:t>
      </w:r>
      <w:proofErr w:type="spellEnd"/>
      <w:r w:rsidRPr="002100B6">
        <w:rPr>
          <w:rFonts w:ascii="Arial" w:eastAsia="Arial" w:hAnsi="Arial" w:cs="Arial"/>
        </w:rPr>
        <w:t xml:space="preserve">, K. (2022). Physical education teachers’ perceptions and </w:t>
      </w:r>
      <w:proofErr w:type="spellStart"/>
      <w:r w:rsidRPr="002100B6">
        <w:rPr>
          <w:rFonts w:ascii="Arial" w:eastAsia="Arial" w:hAnsi="Arial" w:cs="Arial"/>
        </w:rPr>
        <w:t>operationalisations</w:t>
      </w:r>
      <w:proofErr w:type="spellEnd"/>
      <w:r w:rsidRPr="002100B6">
        <w:rPr>
          <w:rFonts w:ascii="Arial" w:eastAsia="Arial" w:hAnsi="Arial" w:cs="Arial"/>
        </w:rPr>
        <w:t xml:space="preserve"> of personal and social development goals in primary education. European Physical Education Review, 28(4), 968-984. </w:t>
      </w:r>
      <w:hyperlink r:id="rId19" w:history="1">
        <w:r w:rsidRPr="008D00F6">
          <w:rPr>
            <w:rStyle w:val="Hyperlink"/>
            <w:rFonts w:ascii="Arial" w:eastAsia="Arial" w:hAnsi="Arial" w:cs="Arial"/>
          </w:rPr>
          <w:t>https://doi.org/10.1177/1356336X221102300</w:t>
        </w:r>
      </w:hyperlink>
    </w:p>
    <w:p w14:paraId="7D5A70EC" w14:textId="33D18D84" w:rsidR="00437581" w:rsidRPr="001F6B84" w:rsidRDefault="00437581" w:rsidP="001F6B84">
      <w:pPr>
        <w:pStyle w:val="ListParagraph"/>
        <w:numPr>
          <w:ilvl w:val="0"/>
          <w:numId w:val="48"/>
        </w:numPr>
        <w:spacing w:line="276" w:lineRule="auto"/>
        <w:jc w:val="both"/>
        <w:rPr>
          <w:rFonts w:ascii="Arial" w:eastAsia="Arial" w:hAnsi="Arial" w:cs="Arial"/>
        </w:rPr>
      </w:pPr>
      <w:r w:rsidRPr="001F6B84">
        <w:rPr>
          <w:rFonts w:ascii="Arial" w:eastAsia="Arial" w:hAnsi="Arial" w:cs="Arial"/>
        </w:rPr>
        <w:t xml:space="preserve">Petrie, K., Johnson, M., &amp; Lee, S. (2024). </w:t>
      </w:r>
      <w:r w:rsidRPr="001F6B84">
        <w:rPr>
          <w:rFonts w:ascii="Arial" w:eastAsia="Arial" w:hAnsi="Arial" w:cs="Arial"/>
          <w:i/>
          <w:iCs/>
        </w:rPr>
        <w:t>The role of school culture and administrative support in physical education curriculum implementation</w:t>
      </w:r>
      <w:r w:rsidRPr="001F6B84">
        <w:rPr>
          <w:rFonts w:ascii="Arial" w:eastAsia="Arial" w:hAnsi="Arial" w:cs="Arial"/>
        </w:rPr>
        <w:t>. Journal of Physical Education and Sport Pedagogy, 29(1), 45–59. https://doi.org/10.1080/17408989.2023.2187654</w:t>
      </w:r>
    </w:p>
    <w:p w14:paraId="7FDE4F2D" w14:textId="45C64BAB" w:rsidR="00B01FCD" w:rsidRDefault="002100B6" w:rsidP="002100B6">
      <w:pPr>
        <w:pStyle w:val="Reference"/>
        <w:numPr>
          <w:ilvl w:val="0"/>
          <w:numId w:val="48"/>
        </w:numPr>
        <w:spacing w:line="240" w:lineRule="auto"/>
        <w:rPr>
          <w:rFonts w:ascii="Arial" w:eastAsia="Arial" w:hAnsi="Arial" w:cs="Arial"/>
        </w:rPr>
      </w:pPr>
      <w:r w:rsidRPr="002100B6">
        <w:rPr>
          <w:rFonts w:ascii="Arial" w:eastAsia="Arial" w:hAnsi="Arial" w:cs="Arial"/>
        </w:rPr>
        <w:t xml:space="preserve">Trabelsi, O., </w:t>
      </w:r>
      <w:proofErr w:type="spellStart"/>
      <w:r w:rsidRPr="002100B6">
        <w:rPr>
          <w:rFonts w:ascii="Arial" w:eastAsia="Arial" w:hAnsi="Arial" w:cs="Arial"/>
        </w:rPr>
        <w:t>Bouchiba</w:t>
      </w:r>
      <w:proofErr w:type="spellEnd"/>
      <w:r w:rsidRPr="002100B6">
        <w:rPr>
          <w:rFonts w:ascii="Arial" w:eastAsia="Arial" w:hAnsi="Arial" w:cs="Arial"/>
        </w:rPr>
        <w:t xml:space="preserve">, M., Souissi, M. A., Gharbi, A., </w:t>
      </w:r>
      <w:proofErr w:type="spellStart"/>
      <w:r w:rsidRPr="002100B6">
        <w:rPr>
          <w:rFonts w:ascii="Arial" w:eastAsia="Arial" w:hAnsi="Arial" w:cs="Arial"/>
        </w:rPr>
        <w:t>Mezghanni</w:t>
      </w:r>
      <w:proofErr w:type="spellEnd"/>
      <w:r w:rsidRPr="002100B6">
        <w:rPr>
          <w:rFonts w:ascii="Arial" w:eastAsia="Arial" w:hAnsi="Arial" w:cs="Arial"/>
        </w:rPr>
        <w:t xml:space="preserve">, N., Kammoun, M., Masmoudi, L., &amp; </w:t>
      </w:r>
      <w:proofErr w:type="spellStart"/>
      <w:r w:rsidRPr="002100B6">
        <w:rPr>
          <w:rFonts w:ascii="Arial" w:eastAsia="Arial" w:hAnsi="Arial" w:cs="Arial"/>
        </w:rPr>
        <w:t>Mrayeh</w:t>
      </w:r>
      <w:proofErr w:type="spellEnd"/>
      <w:r w:rsidRPr="002100B6">
        <w:rPr>
          <w:rFonts w:ascii="Arial" w:eastAsia="Arial" w:hAnsi="Arial" w:cs="Arial"/>
        </w:rPr>
        <w:t xml:space="preserve">, M. (2021). Technology-mediated Physical Education teaching practices in Tunisian public schools: a national teacher survey. Sport, Education and Society, 27(7), 878–892. </w:t>
      </w:r>
      <w:hyperlink r:id="rId20" w:history="1">
        <w:r w:rsidRPr="008D00F6">
          <w:rPr>
            <w:rStyle w:val="Hyperlink"/>
            <w:rFonts w:ascii="Arial" w:eastAsia="Arial" w:hAnsi="Arial" w:cs="Arial"/>
          </w:rPr>
          <w:t>https://doi.org/10.1080/13573322.2021.1926962</w:t>
        </w:r>
      </w:hyperlink>
    </w:p>
    <w:p w14:paraId="779008C7" w14:textId="77777777" w:rsidR="002100B6" w:rsidRPr="00FB3A86" w:rsidRDefault="002100B6" w:rsidP="00441B6F">
      <w:pPr>
        <w:pStyle w:val="Reference"/>
        <w:numPr>
          <w:ilvl w:val="0"/>
          <w:numId w:val="0"/>
        </w:numPr>
        <w:spacing w:line="240" w:lineRule="auto"/>
        <w:rPr>
          <w:rFonts w:ascii="Arial" w:hAnsi="Arial" w:cs="Arial"/>
        </w:rPr>
      </w:pPr>
    </w:p>
    <w:p w14:paraId="0E9076E0"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1C0B8FB" w14:textId="77777777" w:rsidR="008631A6" w:rsidRDefault="008631A6" w:rsidP="00441B6F">
      <w:pPr>
        <w:pStyle w:val="DefAcrHead"/>
        <w:spacing w:after="0"/>
        <w:jc w:val="both"/>
        <w:rPr>
          <w:rFonts w:ascii="Arial" w:hAnsi="Arial" w:cs="Arial"/>
        </w:rPr>
      </w:pPr>
    </w:p>
    <w:p w14:paraId="5638D290" w14:textId="77777777" w:rsidR="00851CC2" w:rsidRDefault="00851CC2" w:rsidP="00851CC2">
      <w:pPr>
        <w:spacing w:line="276" w:lineRule="auto"/>
        <w:ind w:firstLine="720"/>
        <w:jc w:val="both"/>
        <w:rPr>
          <w:rFonts w:ascii="Arial" w:hAnsi="Arial" w:cs="Arial"/>
        </w:rPr>
      </w:pPr>
      <w:r>
        <w:rPr>
          <w:rFonts w:ascii="Arial" w:eastAsia="Arial" w:hAnsi="Arial" w:cs="Arial"/>
          <w:b/>
        </w:rPr>
        <w:t>MATATAG Curriculum</w:t>
      </w:r>
      <w:r>
        <w:rPr>
          <w:rFonts w:ascii="Arial" w:eastAsia="Arial" w:hAnsi="Arial" w:cs="Arial"/>
          <w:b/>
          <w:i/>
        </w:rPr>
        <w:t>.</w:t>
      </w:r>
      <w:r>
        <w:rPr>
          <w:rFonts w:ascii="Arial" w:eastAsia="Arial" w:hAnsi="Arial" w:cs="Arial"/>
        </w:rPr>
        <w:t xml:space="preserve"> </w:t>
      </w:r>
      <w:r w:rsidRPr="00E10091">
        <w:rPr>
          <w:rFonts w:ascii="Arial" w:hAnsi="Arial" w:cs="Arial"/>
        </w:rPr>
        <w:t xml:space="preserve">To enhance learning and growth in public schools, the Philippine Department of Education (DepEd) introduced the MATATAG curriculum, a complete educational framework. With an emphasis on values education, fundamental skills, </w:t>
      </w:r>
      <w:r w:rsidRPr="00E10091">
        <w:rPr>
          <w:rFonts w:ascii="Arial" w:hAnsi="Arial" w:cs="Arial"/>
        </w:rPr>
        <w:lastRenderedPageBreak/>
        <w:t>and reducing content overload, it promotes inclusive, culturally relevant, and holistic teaching techniques (Balansag, 2024). This study highlights the importance of looking at the real-world experiences and execution of these proposed curriculum design improvements in physical education classrooms. It also reveals potential gaps between policy and practice.</w:t>
      </w:r>
    </w:p>
    <w:p w14:paraId="4F4132B9" w14:textId="77777777" w:rsidR="0008166F" w:rsidRDefault="0008166F" w:rsidP="0008166F">
      <w:pPr>
        <w:spacing w:line="276" w:lineRule="auto"/>
        <w:ind w:firstLine="720"/>
        <w:jc w:val="both"/>
        <w:rPr>
          <w:rFonts w:ascii="Arial" w:hAnsi="Arial" w:cs="Arial"/>
          <w:spacing w:val="1"/>
        </w:rPr>
      </w:pPr>
    </w:p>
    <w:p w14:paraId="15A79608" w14:textId="370B159B" w:rsidR="0008166F" w:rsidRPr="0008166F" w:rsidRDefault="0008166F" w:rsidP="0008166F">
      <w:pPr>
        <w:spacing w:line="276" w:lineRule="auto"/>
        <w:ind w:firstLine="720"/>
        <w:jc w:val="both"/>
        <w:rPr>
          <w:rFonts w:ascii="Arial" w:hAnsi="Arial" w:cs="Arial"/>
        </w:rPr>
      </w:pPr>
      <w:r w:rsidRPr="0008166F">
        <w:rPr>
          <w:rFonts w:ascii="Arial" w:hAnsi="Arial" w:cs="Arial"/>
          <w:b/>
          <w:bCs/>
          <w:spacing w:val="1"/>
        </w:rPr>
        <w:t>MAKABANSA subject.</w:t>
      </w:r>
      <w:r>
        <w:rPr>
          <w:rFonts w:ascii="Arial" w:hAnsi="Arial" w:cs="Arial"/>
          <w:spacing w:val="1"/>
        </w:rPr>
        <w:t xml:space="preserve"> This term is</w:t>
      </w:r>
      <w:r w:rsidRPr="0008166F">
        <w:rPr>
          <w:rFonts w:ascii="Arial" w:hAnsi="Arial" w:cs="Arial"/>
          <w:spacing w:val="1"/>
        </w:rPr>
        <w:t xml:space="preserve"> a transdisciplinary subject introduced in the Philippine MATATAG Curriculum for Grades 1-3, integrating concepts from </w:t>
      </w:r>
      <w:proofErr w:type="spellStart"/>
      <w:r w:rsidRPr="0008166F">
        <w:rPr>
          <w:rFonts w:ascii="Arial" w:hAnsi="Arial" w:cs="Arial"/>
          <w:spacing w:val="1"/>
        </w:rPr>
        <w:t>Araling</w:t>
      </w:r>
      <w:proofErr w:type="spellEnd"/>
      <w:r w:rsidRPr="0008166F">
        <w:rPr>
          <w:rFonts w:ascii="Arial" w:hAnsi="Arial" w:cs="Arial"/>
          <w:spacing w:val="1"/>
        </w:rPr>
        <w:t xml:space="preserve"> </w:t>
      </w:r>
      <w:proofErr w:type="spellStart"/>
      <w:r w:rsidRPr="0008166F">
        <w:rPr>
          <w:rFonts w:ascii="Arial" w:hAnsi="Arial" w:cs="Arial"/>
          <w:spacing w:val="1"/>
        </w:rPr>
        <w:t>Panlipunan</w:t>
      </w:r>
      <w:proofErr w:type="spellEnd"/>
      <w:r w:rsidRPr="0008166F">
        <w:rPr>
          <w:rFonts w:ascii="Arial" w:hAnsi="Arial" w:cs="Arial"/>
          <w:spacing w:val="1"/>
        </w:rPr>
        <w:t xml:space="preserve"> (Social Studies) and MAPEH (Music, Arts, Physical Education, and Health) to foster holistic development. Unlike the former Makabayan subject, which combined multiple areas into one grade, MAKABANSA uses a unified approach to build students' self-awareness, cultural identity, physical health, creativity, and community engagement without lumping separate subjects.</w:t>
      </w:r>
    </w:p>
    <w:p w14:paraId="1516D9C1" w14:textId="77777777" w:rsidR="00790ADA" w:rsidRPr="00FB3A86" w:rsidRDefault="00790ADA" w:rsidP="00441B6F">
      <w:pPr>
        <w:pStyle w:val="Body"/>
        <w:spacing w:after="0"/>
        <w:rPr>
          <w:rFonts w:ascii="Arial" w:hAnsi="Arial" w:cs="Arial"/>
        </w:rPr>
      </w:pPr>
    </w:p>
    <w:p w14:paraId="28AC7916" w14:textId="751C1299" w:rsidR="004D4277" w:rsidRPr="00FB3A86" w:rsidRDefault="004D4277" w:rsidP="00441B6F">
      <w:pPr>
        <w:pStyle w:val="Appendix"/>
        <w:spacing w:after="0"/>
        <w:jc w:val="both"/>
        <w:rPr>
          <w:rFonts w:ascii="Arial" w:hAnsi="Arial" w:cs="Arial"/>
          <w:b w:val="0"/>
        </w:rPr>
        <w:sectPr w:rsidR="004D4277" w:rsidRPr="00FB3A86" w:rsidSect="00E5434A">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7BAE0EC4" w14:textId="77777777" w:rsidR="00B01FCD" w:rsidRPr="00FB3A86" w:rsidRDefault="00B01FCD" w:rsidP="00441B6F">
      <w:pPr>
        <w:pStyle w:val="Appendix"/>
        <w:spacing w:after="0"/>
        <w:jc w:val="both"/>
        <w:rPr>
          <w:rFonts w:ascii="Arial" w:hAnsi="Arial" w:cs="Arial"/>
          <w:b w:val="0"/>
        </w:rPr>
      </w:pPr>
    </w:p>
    <w:sectPr w:rsidR="00B01FCD" w:rsidRPr="00FB3A86" w:rsidSect="00E543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20B2" w14:textId="77777777" w:rsidR="00B93490" w:rsidRDefault="00B93490" w:rsidP="00C37E61">
      <w:r>
        <w:separator/>
      </w:r>
    </w:p>
  </w:endnote>
  <w:endnote w:type="continuationSeparator" w:id="0">
    <w:p w14:paraId="245E5E20" w14:textId="77777777" w:rsidR="00B93490" w:rsidRDefault="00B934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DCBF" w14:textId="77777777" w:rsidR="00E5434A" w:rsidRDefault="00E54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70F4" w14:textId="77777777" w:rsidR="00E5434A" w:rsidRDefault="00E54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A1424" w14:textId="6BD3C9E4" w:rsidR="00754C9A" w:rsidRPr="00492E21" w:rsidRDefault="00754C9A" w:rsidP="00492E2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EB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24308" w14:textId="77777777" w:rsidR="00B93490" w:rsidRDefault="00B93490" w:rsidP="00C37E61">
      <w:r>
        <w:separator/>
      </w:r>
    </w:p>
  </w:footnote>
  <w:footnote w:type="continuationSeparator" w:id="0">
    <w:p w14:paraId="7D62C01C" w14:textId="77777777" w:rsidR="00B93490" w:rsidRDefault="00B934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FC5A" w14:textId="1E269741" w:rsidR="00E5434A" w:rsidRDefault="00E5434A">
    <w:pPr>
      <w:pStyle w:val="Header"/>
    </w:pPr>
    <w:r>
      <w:rPr>
        <w:noProof/>
      </w:rPr>
      <w:pict w14:anchorId="47979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90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A03B" w14:textId="45C41EA3" w:rsidR="00E5434A" w:rsidRDefault="00E5434A">
    <w:pPr>
      <w:pStyle w:val="Header"/>
    </w:pPr>
    <w:r>
      <w:rPr>
        <w:noProof/>
      </w:rPr>
      <w:pict w14:anchorId="62E6A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90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D69E" w14:textId="27FA2B89" w:rsidR="00296529" w:rsidRPr="00296529" w:rsidRDefault="00E5434A" w:rsidP="00296529">
    <w:pPr>
      <w:ind w:left="2160"/>
      <w:jc w:val="center"/>
      <w:rPr>
        <w:rFonts w:ascii="Times New Roman" w:eastAsia="Calibri" w:hAnsi="Times New Roman"/>
        <w:i/>
        <w:sz w:val="18"/>
        <w:szCs w:val="22"/>
      </w:rPr>
    </w:pPr>
    <w:r>
      <w:rPr>
        <w:noProof/>
      </w:rPr>
      <w:pict w14:anchorId="4C385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90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60537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3E5D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A352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9679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A80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B7CA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9955" w14:textId="1505141F" w:rsidR="00E5434A" w:rsidRDefault="00E5434A">
    <w:pPr>
      <w:pStyle w:val="Header"/>
    </w:pPr>
    <w:r>
      <w:rPr>
        <w:noProof/>
      </w:rPr>
      <w:pict w14:anchorId="4FEB6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90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E83E" w14:textId="62667014" w:rsidR="00E5434A" w:rsidRDefault="00E5434A">
    <w:pPr>
      <w:pStyle w:val="Header"/>
    </w:pPr>
    <w:r>
      <w:rPr>
        <w:noProof/>
      </w:rPr>
      <w:pict w14:anchorId="77611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90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1D6B" w14:textId="7E040DDA" w:rsidR="00E5434A" w:rsidRDefault="00E5434A">
    <w:pPr>
      <w:pStyle w:val="Header"/>
    </w:pPr>
    <w:r>
      <w:rPr>
        <w:noProof/>
      </w:rPr>
      <w:pict w14:anchorId="680E0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890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110BE"/>
    <w:multiLevelType w:val="multilevel"/>
    <w:tmpl w:val="7DCC97DC"/>
    <w:lvl w:ilvl="0">
      <w:start w:val="1"/>
      <w:numFmt w:val="decimal"/>
      <w:lvlText w:val="%1."/>
      <w:lvlJc w:val="left"/>
      <w:pPr>
        <w:ind w:left="1140" w:hanging="360"/>
      </w:pPr>
      <w:rPr>
        <w:rFonts w:ascii="Helvetica" w:hAnsi="Helvetica" w:cs="Times New Roman" w:hint="default"/>
      </w:rPr>
    </w:lvl>
    <w:lvl w:ilvl="1">
      <w:start w:val="4"/>
      <w:numFmt w:val="decimal"/>
      <w:isLgl/>
      <w:lvlText w:val="%1.%2"/>
      <w:lvlJc w:val="left"/>
      <w:pPr>
        <w:ind w:left="1473" w:hanging="600"/>
      </w:pPr>
      <w:rPr>
        <w:rFonts w:hint="default"/>
      </w:rPr>
    </w:lvl>
    <w:lvl w:ilvl="2">
      <w:start w:val="1"/>
      <w:numFmt w:val="decimal"/>
      <w:isLgl/>
      <w:lvlText w:val="%1.%2.%3"/>
      <w:lvlJc w:val="left"/>
      <w:pPr>
        <w:ind w:left="1686" w:hanging="720"/>
      </w:pPr>
      <w:rPr>
        <w:rFonts w:hint="default"/>
      </w:rPr>
    </w:lvl>
    <w:lvl w:ilvl="3">
      <w:start w:val="1"/>
      <w:numFmt w:val="decimal"/>
      <w:isLgl/>
      <w:lvlText w:val="%1.%2.%3.%4"/>
      <w:lvlJc w:val="left"/>
      <w:pPr>
        <w:ind w:left="1779"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871" w:hanging="1440"/>
      </w:pPr>
      <w:rPr>
        <w:rFonts w:hint="default"/>
      </w:rPr>
    </w:lvl>
    <w:lvl w:ilvl="8">
      <w:start w:val="1"/>
      <w:numFmt w:val="decimal"/>
      <w:isLgl/>
      <w:lvlText w:val="%1.%2.%3.%4.%5.%6.%7.%8.%9"/>
      <w:lvlJc w:val="left"/>
      <w:pPr>
        <w:ind w:left="3324" w:hanging="1800"/>
      </w:pPr>
      <w:rPr>
        <w:rFonts w:hint="default"/>
      </w:rPr>
    </w:lvl>
  </w:abstractNum>
  <w:abstractNum w:abstractNumId="2" w15:restartNumberingAfterBreak="0">
    <w:nsid w:val="04DC183F"/>
    <w:multiLevelType w:val="multilevel"/>
    <w:tmpl w:val="E13E9D9A"/>
    <w:lvl w:ilvl="0">
      <w:start w:val="2"/>
      <w:numFmt w:val="decimal"/>
      <w:lvlText w:val="%1"/>
      <w:lvlJc w:val="left"/>
      <w:pPr>
        <w:ind w:left="600" w:hanging="600"/>
      </w:pPr>
      <w:rPr>
        <w:rFonts w:hint="default"/>
      </w:rPr>
    </w:lvl>
    <w:lvl w:ilvl="1">
      <w:start w:val="4"/>
      <w:numFmt w:val="decimal"/>
      <w:lvlText w:val="%1.%2"/>
      <w:lvlJc w:val="left"/>
      <w:pPr>
        <w:ind w:left="933" w:hanging="600"/>
      </w:pPr>
      <w:rPr>
        <w:rFonts w:hint="default"/>
      </w:rPr>
    </w:lvl>
    <w:lvl w:ilvl="2">
      <w:start w:val="1"/>
      <w:numFmt w:val="decimal"/>
      <w:lvlText w:val="%1.%2.%3"/>
      <w:lvlJc w:val="left"/>
      <w:pPr>
        <w:ind w:left="1386" w:hanging="720"/>
      </w:pPr>
      <w:rPr>
        <w:rFonts w:hint="default"/>
      </w:rPr>
    </w:lvl>
    <w:lvl w:ilvl="3">
      <w:start w:val="2"/>
      <w:numFmt w:val="decimal"/>
      <w:lvlText w:val="%1.%2.%3.%4"/>
      <w:lvlJc w:val="left"/>
      <w:pPr>
        <w:ind w:left="1719" w:hanging="72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2745" w:hanging="108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3771" w:hanging="1440"/>
      </w:pPr>
      <w:rPr>
        <w:rFonts w:hint="default"/>
      </w:rPr>
    </w:lvl>
    <w:lvl w:ilvl="8">
      <w:start w:val="1"/>
      <w:numFmt w:val="decimal"/>
      <w:lvlText w:val="%1.%2.%3.%4.%5.%6.%7.%8.%9"/>
      <w:lvlJc w:val="left"/>
      <w:pPr>
        <w:ind w:left="4464"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1C6001"/>
    <w:multiLevelType w:val="multilevel"/>
    <w:tmpl w:val="B3BA7DC0"/>
    <w:lvl w:ilvl="0">
      <w:start w:val="2"/>
      <w:numFmt w:val="decimal"/>
      <w:lvlText w:val="%1"/>
      <w:lvlJc w:val="left"/>
      <w:pPr>
        <w:ind w:left="620" w:hanging="620"/>
      </w:pPr>
      <w:rPr>
        <w:rFonts w:hint="default"/>
      </w:rPr>
    </w:lvl>
    <w:lvl w:ilvl="1">
      <w:start w:val="2"/>
      <w:numFmt w:val="decimal"/>
      <w:lvlText w:val="%1.%2"/>
      <w:lvlJc w:val="left"/>
      <w:pPr>
        <w:ind w:left="860" w:hanging="6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945563"/>
    <w:multiLevelType w:val="multilevel"/>
    <w:tmpl w:val="09569DEA"/>
    <w:lvl w:ilvl="0">
      <w:start w:val="1"/>
      <w:numFmt w:val="decimal"/>
      <w:lvlText w:val="%1."/>
      <w:lvlJc w:val="left"/>
      <w:pPr>
        <w:ind w:left="1080" w:hanging="360"/>
      </w:pPr>
      <w:rPr>
        <w:rFonts w:hint="default"/>
      </w:rPr>
    </w:lvl>
    <w:lvl w:ilvl="1">
      <w:start w:val="1"/>
      <w:numFmt w:val="decimal"/>
      <w:isLgl/>
      <w:lvlText w:val="%1.%2"/>
      <w:lvlJc w:val="left"/>
      <w:pPr>
        <w:ind w:left="1500" w:hanging="6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F5924"/>
    <w:multiLevelType w:val="multilevel"/>
    <w:tmpl w:val="0B9EE87C"/>
    <w:lvl w:ilvl="0">
      <w:start w:val="2"/>
      <w:numFmt w:val="decimal"/>
      <w:lvlText w:val="%1"/>
      <w:lvlJc w:val="left"/>
      <w:pPr>
        <w:ind w:left="440" w:hanging="440"/>
      </w:pPr>
      <w:rPr>
        <w:rFonts w:hint="default"/>
        <w:b/>
      </w:rPr>
    </w:lvl>
    <w:lvl w:ilvl="1">
      <w:start w:val="4"/>
      <w:numFmt w:val="decimal"/>
      <w:lvlText w:val="%1.%2"/>
      <w:lvlJc w:val="left"/>
      <w:pPr>
        <w:ind w:left="800" w:hanging="4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B479E7"/>
    <w:multiLevelType w:val="multilevel"/>
    <w:tmpl w:val="09569DEA"/>
    <w:lvl w:ilvl="0">
      <w:start w:val="1"/>
      <w:numFmt w:val="decimal"/>
      <w:lvlText w:val="%1."/>
      <w:lvlJc w:val="left"/>
      <w:pPr>
        <w:ind w:left="1080" w:hanging="360"/>
      </w:pPr>
      <w:rPr>
        <w:rFonts w:hint="default"/>
      </w:rPr>
    </w:lvl>
    <w:lvl w:ilvl="1">
      <w:start w:val="1"/>
      <w:numFmt w:val="decimal"/>
      <w:isLgl/>
      <w:lvlText w:val="%1.%2"/>
      <w:lvlJc w:val="left"/>
      <w:pPr>
        <w:ind w:left="1500" w:hanging="6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1" w15:restartNumberingAfterBreak="0">
    <w:nsid w:val="366A3B70"/>
    <w:multiLevelType w:val="multilevel"/>
    <w:tmpl w:val="DEDE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958DA"/>
    <w:multiLevelType w:val="multilevel"/>
    <w:tmpl w:val="B5364F9C"/>
    <w:lvl w:ilvl="0">
      <w:start w:val="1"/>
      <w:numFmt w:val="decimal"/>
      <w:lvlText w:val="%1."/>
      <w:lvlJc w:val="left"/>
      <w:pPr>
        <w:ind w:left="1080" w:hanging="360"/>
      </w:pPr>
      <w:rPr>
        <w:rFonts w:hint="default"/>
      </w:rPr>
    </w:lvl>
    <w:lvl w:ilvl="1">
      <w:start w:val="5"/>
      <w:numFmt w:val="decimal"/>
      <w:isLgl/>
      <w:lvlText w:val="%1.%2"/>
      <w:lvlJc w:val="left"/>
      <w:pPr>
        <w:ind w:left="1493" w:hanging="660"/>
      </w:pPr>
      <w:rPr>
        <w:rFonts w:hint="default"/>
        <w:b/>
        <w:i/>
      </w:rPr>
    </w:lvl>
    <w:lvl w:ilvl="2">
      <w:start w:val="1"/>
      <w:numFmt w:val="decimal"/>
      <w:isLgl/>
      <w:lvlText w:val="%1.%2.%3"/>
      <w:lvlJc w:val="left"/>
      <w:pPr>
        <w:ind w:left="1666" w:hanging="720"/>
      </w:pPr>
      <w:rPr>
        <w:rFonts w:hint="default"/>
        <w:b/>
        <w:i/>
      </w:rPr>
    </w:lvl>
    <w:lvl w:ilvl="3">
      <w:start w:val="3"/>
      <w:numFmt w:val="decimal"/>
      <w:isLgl/>
      <w:lvlText w:val="%1.%2.%3.%4"/>
      <w:lvlJc w:val="left"/>
      <w:pPr>
        <w:ind w:left="1779" w:hanging="720"/>
      </w:pPr>
      <w:rPr>
        <w:rFonts w:hint="default"/>
        <w:b/>
        <w:i/>
      </w:rPr>
    </w:lvl>
    <w:lvl w:ilvl="4">
      <w:start w:val="1"/>
      <w:numFmt w:val="decimal"/>
      <w:isLgl/>
      <w:lvlText w:val="%1.%2.%3.%4.%5"/>
      <w:lvlJc w:val="left"/>
      <w:pPr>
        <w:ind w:left="2252" w:hanging="1080"/>
      </w:pPr>
      <w:rPr>
        <w:rFonts w:hint="default"/>
        <w:b/>
        <w:i/>
      </w:rPr>
    </w:lvl>
    <w:lvl w:ilvl="5">
      <w:start w:val="1"/>
      <w:numFmt w:val="decimal"/>
      <w:isLgl/>
      <w:lvlText w:val="%1.%2.%3.%4.%5.%6"/>
      <w:lvlJc w:val="left"/>
      <w:pPr>
        <w:ind w:left="2365" w:hanging="1080"/>
      </w:pPr>
      <w:rPr>
        <w:rFonts w:hint="default"/>
        <w:b/>
        <w:i/>
      </w:rPr>
    </w:lvl>
    <w:lvl w:ilvl="6">
      <w:start w:val="1"/>
      <w:numFmt w:val="decimal"/>
      <w:isLgl/>
      <w:lvlText w:val="%1.%2.%3.%4.%5.%6.%7"/>
      <w:lvlJc w:val="left"/>
      <w:pPr>
        <w:ind w:left="2838" w:hanging="1440"/>
      </w:pPr>
      <w:rPr>
        <w:rFonts w:hint="default"/>
        <w:b/>
        <w:i/>
      </w:rPr>
    </w:lvl>
    <w:lvl w:ilvl="7">
      <w:start w:val="1"/>
      <w:numFmt w:val="decimal"/>
      <w:isLgl/>
      <w:lvlText w:val="%1.%2.%3.%4.%5.%6.%7.%8"/>
      <w:lvlJc w:val="left"/>
      <w:pPr>
        <w:ind w:left="2951" w:hanging="1440"/>
      </w:pPr>
      <w:rPr>
        <w:rFonts w:hint="default"/>
        <w:b/>
        <w:i/>
      </w:rPr>
    </w:lvl>
    <w:lvl w:ilvl="8">
      <w:start w:val="1"/>
      <w:numFmt w:val="decimal"/>
      <w:isLgl/>
      <w:lvlText w:val="%1.%2.%3.%4.%5.%6.%7.%8.%9"/>
      <w:lvlJc w:val="left"/>
      <w:pPr>
        <w:ind w:left="3424" w:hanging="1800"/>
      </w:pPr>
      <w:rPr>
        <w:rFonts w:hint="default"/>
        <w:b/>
        <w:i/>
      </w:rPr>
    </w:lvl>
  </w:abstractNum>
  <w:abstractNum w:abstractNumId="23" w15:restartNumberingAfterBreak="0">
    <w:nsid w:val="415643EC"/>
    <w:multiLevelType w:val="multilevel"/>
    <w:tmpl w:val="CE2609AE"/>
    <w:lvl w:ilvl="0">
      <w:start w:val="2"/>
      <w:numFmt w:val="decimal"/>
      <w:lvlText w:val="%1"/>
      <w:lvlJc w:val="left"/>
      <w:pPr>
        <w:ind w:left="440" w:hanging="440"/>
      </w:pPr>
      <w:rPr>
        <w:rFonts w:hint="default"/>
        <w:b/>
      </w:rPr>
    </w:lvl>
    <w:lvl w:ilvl="1">
      <w:start w:val="7"/>
      <w:numFmt w:val="decimal"/>
      <w:lvlText w:val="%1.%2"/>
      <w:lvlJc w:val="left"/>
      <w:pPr>
        <w:ind w:left="1160" w:hanging="4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3BA7821"/>
    <w:multiLevelType w:val="multilevel"/>
    <w:tmpl w:val="96A8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F819C5"/>
    <w:multiLevelType w:val="multilevel"/>
    <w:tmpl w:val="1E168052"/>
    <w:lvl w:ilvl="0">
      <w:start w:val="1"/>
      <w:numFmt w:val="decimal"/>
      <w:lvlText w:val="%1."/>
      <w:lvlJc w:val="left"/>
      <w:pPr>
        <w:ind w:left="1080" w:hanging="360"/>
      </w:pPr>
      <w:rPr>
        <w:rFonts w:hint="default"/>
        <w:b/>
      </w:rPr>
    </w:lvl>
    <w:lvl w:ilvl="1">
      <w:start w:val="3"/>
      <w:numFmt w:val="decimal"/>
      <w:isLgl/>
      <w:lvlText w:val="%1.%2"/>
      <w:lvlJc w:val="left"/>
      <w:pPr>
        <w:ind w:left="1460" w:hanging="6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254361A"/>
    <w:multiLevelType w:val="multilevel"/>
    <w:tmpl w:val="1E168052"/>
    <w:lvl w:ilvl="0">
      <w:start w:val="1"/>
      <w:numFmt w:val="decimal"/>
      <w:lvlText w:val="%1."/>
      <w:lvlJc w:val="left"/>
      <w:pPr>
        <w:ind w:left="1080" w:hanging="360"/>
      </w:pPr>
      <w:rPr>
        <w:rFonts w:hint="default"/>
        <w:b/>
      </w:rPr>
    </w:lvl>
    <w:lvl w:ilvl="1">
      <w:start w:val="3"/>
      <w:numFmt w:val="decimal"/>
      <w:isLgl/>
      <w:lvlText w:val="%1.%2"/>
      <w:lvlJc w:val="left"/>
      <w:pPr>
        <w:ind w:left="1460" w:hanging="6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33399"/>
    <w:multiLevelType w:val="multilevel"/>
    <w:tmpl w:val="75F4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18C70A3"/>
    <w:multiLevelType w:val="multilevel"/>
    <w:tmpl w:val="09569DEA"/>
    <w:lvl w:ilvl="0">
      <w:start w:val="1"/>
      <w:numFmt w:val="decimal"/>
      <w:lvlText w:val="%1."/>
      <w:lvlJc w:val="left"/>
      <w:pPr>
        <w:ind w:left="1080" w:hanging="360"/>
      </w:pPr>
      <w:rPr>
        <w:rFonts w:hint="default"/>
      </w:rPr>
    </w:lvl>
    <w:lvl w:ilvl="1">
      <w:start w:val="1"/>
      <w:numFmt w:val="decimal"/>
      <w:isLgl/>
      <w:lvlText w:val="%1.%2"/>
      <w:lvlJc w:val="left"/>
      <w:pPr>
        <w:ind w:left="1500" w:hanging="6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B6C61C7"/>
    <w:multiLevelType w:val="multilevel"/>
    <w:tmpl w:val="A630F3B0"/>
    <w:lvl w:ilvl="0">
      <w:start w:val="2"/>
      <w:numFmt w:val="decimal"/>
      <w:lvlText w:val="%1"/>
      <w:lvlJc w:val="left"/>
      <w:pPr>
        <w:ind w:left="620" w:hanging="620"/>
      </w:pPr>
      <w:rPr>
        <w:rFonts w:hint="default"/>
      </w:rPr>
    </w:lvl>
    <w:lvl w:ilvl="1">
      <w:start w:val="2"/>
      <w:numFmt w:val="decimal"/>
      <w:lvlText w:val="%1.%2"/>
      <w:lvlJc w:val="left"/>
      <w:pPr>
        <w:ind w:left="980" w:hanging="6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087FD1"/>
    <w:multiLevelType w:val="multilevel"/>
    <w:tmpl w:val="9E661724"/>
    <w:lvl w:ilvl="0">
      <w:start w:val="2"/>
      <w:numFmt w:val="decimal"/>
      <w:lvlText w:val="%1"/>
      <w:lvlJc w:val="left"/>
      <w:pPr>
        <w:ind w:left="620" w:hanging="620"/>
      </w:pPr>
      <w:rPr>
        <w:rFonts w:hint="default"/>
      </w:rPr>
    </w:lvl>
    <w:lvl w:ilvl="1">
      <w:start w:val="2"/>
      <w:numFmt w:val="decimal"/>
      <w:lvlText w:val="%1.%2"/>
      <w:lvlJc w:val="left"/>
      <w:pPr>
        <w:ind w:left="980" w:hanging="6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1900BE"/>
    <w:multiLevelType w:val="multilevel"/>
    <w:tmpl w:val="B5364F9C"/>
    <w:lvl w:ilvl="0">
      <w:start w:val="1"/>
      <w:numFmt w:val="decimal"/>
      <w:lvlText w:val="%1."/>
      <w:lvlJc w:val="left"/>
      <w:pPr>
        <w:ind w:left="1080" w:hanging="360"/>
      </w:pPr>
      <w:rPr>
        <w:rFonts w:hint="default"/>
      </w:rPr>
    </w:lvl>
    <w:lvl w:ilvl="1">
      <w:start w:val="5"/>
      <w:numFmt w:val="decimal"/>
      <w:isLgl/>
      <w:lvlText w:val="%1.%2"/>
      <w:lvlJc w:val="left"/>
      <w:pPr>
        <w:ind w:left="1493" w:hanging="660"/>
      </w:pPr>
      <w:rPr>
        <w:rFonts w:hint="default"/>
        <w:b/>
        <w:i/>
      </w:rPr>
    </w:lvl>
    <w:lvl w:ilvl="2">
      <w:start w:val="1"/>
      <w:numFmt w:val="decimal"/>
      <w:isLgl/>
      <w:lvlText w:val="%1.%2.%3"/>
      <w:lvlJc w:val="left"/>
      <w:pPr>
        <w:ind w:left="1666" w:hanging="720"/>
      </w:pPr>
      <w:rPr>
        <w:rFonts w:hint="default"/>
        <w:b/>
        <w:i/>
      </w:rPr>
    </w:lvl>
    <w:lvl w:ilvl="3">
      <w:start w:val="3"/>
      <w:numFmt w:val="decimal"/>
      <w:isLgl/>
      <w:lvlText w:val="%1.%2.%3.%4"/>
      <w:lvlJc w:val="left"/>
      <w:pPr>
        <w:ind w:left="1779" w:hanging="720"/>
      </w:pPr>
      <w:rPr>
        <w:rFonts w:hint="default"/>
        <w:b/>
        <w:i/>
      </w:rPr>
    </w:lvl>
    <w:lvl w:ilvl="4">
      <w:start w:val="1"/>
      <w:numFmt w:val="decimal"/>
      <w:isLgl/>
      <w:lvlText w:val="%1.%2.%3.%4.%5"/>
      <w:lvlJc w:val="left"/>
      <w:pPr>
        <w:ind w:left="2252" w:hanging="1080"/>
      </w:pPr>
      <w:rPr>
        <w:rFonts w:hint="default"/>
        <w:b/>
        <w:i/>
      </w:rPr>
    </w:lvl>
    <w:lvl w:ilvl="5">
      <w:start w:val="1"/>
      <w:numFmt w:val="decimal"/>
      <w:isLgl/>
      <w:lvlText w:val="%1.%2.%3.%4.%5.%6"/>
      <w:lvlJc w:val="left"/>
      <w:pPr>
        <w:ind w:left="2365" w:hanging="1080"/>
      </w:pPr>
      <w:rPr>
        <w:rFonts w:hint="default"/>
        <w:b/>
        <w:i/>
      </w:rPr>
    </w:lvl>
    <w:lvl w:ilvl="6">
      <w:start w:val="1"/>
      <w:numFmt w:val="decimal"/>
      <w:isLgl/>
      <w:lvlText w:val="%1.%2.%3.%4.%5.%6.%7"/>
      <w:lvlJc w:val="left"/>
      <w:pPr>
        <w:ind w:left="2838" w:hanging="1440"/>
      </w:pPr>
      <w:rPr>
        <w:rFonts w:hint="default"/>
        <w:b/>
        <w:i/>
      </w:rPr>
    </w:lvl>
    <w:lvl w:ilvl="7">
      <w:start w:val="1"/>
      <w:numFmt w:val="decimal"/>
      <w:isLgl/>
      <w:lvlText w:val="%1.%2.%3.%4.%5.%6.%7.%8"/>
      <w:lvlJc w:val="left"/>
      <w:pPr>
        <w:ind w:left="2951" w:hanging="1440"/>
      </w:pPr>
      <w:rPr>
        <w:rFonts w:hint="default"/>
        <w:b/>
        <w:i/>
      </w:rPr>
    </w:lvl>
    <w:lvl w:ilvl="8">
      <w:start w:val="1"/>
      <w:numFmt w:val="decimal"/>
      <w:isLgl/>
      <w:lvlText w:val="%1.%2.%3.%4.%5.%6.%7.%8.%9"/>
      <w:lvlJc w:val="left"/>
      <w:pPr>
        <w:ind w:left="3424" w:hanging="1800"/>
      </w:pPr>
      <w:rPr>
        <w:rFonts w:hint="default"/>
        <w:b/>
        <w:i/>
      </w:r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6" w15:restartNumberingAfterBreak="0">
    <w:nsid w:val="7FE70640"/>
    <w:multiLevelType w:val="hybridMultilevel"/>
    <w:tmpl w:val="9C26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3"/>
  </w:num>
  <w:num w:numId="8">
    <w:abstractNumId w:val="17"/>
  </w:num>
  <w:num w:numId="9">
    <w:abstractNumId w:val="42"/>
  </w:num>
  <w:num w:numId="10">
    <w:abstractNumId w:val="4"/>
  </w:num>
  <w:num w:numId="11">
    <w:abstractNumId w:val="32"/>
  </w:num>
  <w:num w:numId="12">
    <w:abstractNumId w:val="6"/>
  </w:num>
  <w:num w:numId="13">
    <w:abstractNumId w:val="30"/>
  </w:num>
  <w:num w:numId="14">
    <w:abstractNumId w:val="12"/>
  </w:num>
  <w:num w:numId="15">
    <w:abstractNumId w:val="38"/>
  </w:num>
  <w:num w:numId="16">
    <w:abstractNumId w:val="8"/>
  </w:num>
  <w:num w:numId="17">
    <w:abstractNumId w:val="39"/>
  </w:num>
  <w:num w:numId="18">
    <w:abstractNumId w:val="19"/>
  </w:num>
  <w:num w:numId="19">
    <w:abstractNumId w:val="45"/>
  </w:num>
  <w:num w:numId="20">
    <w:abstractNumId w:val="16"/>
  </w:num>
  <w:num w:numId="21">
    <w:abstractNumId w:val="13"/>
  </w:num>
  <w:num w:numId="22">
    <w:abstractNumId w:val="18"/>
  </w:num>
  <w:num w:numId="23">
    <w:abstractNumId w:val="35"/>
  </w:num>
  <w:num w:numId="24">
    <w:abstractNumId w:val="43"/>
  </w:num>
  <w:num w:numId="25">
    <w:abstractNumId w:val="7"/>
  </w:num>
  <w:num w:numId="26">
    <w:abstractNumId w:val="28"/>
  </w:num>
  <w:num w:numId="27">
    <w:abstractNumId w:val="37"/>
  </w:num>
  <w:num w:numId="28">
    <w:abstractNumId w:val="44"/>
  </w:num>
  <w:num w:numId="29">
    <w:abstractNumId w:val="41"/>
  </w:num>
  <w:num w:numId="30">
    <w:abstractNumId w:val="14"/>
  </w:num>
  <w:num w:numId="31">
    <w:abstractNumId w:val="21"/>
  </w:num>
  <w:num w:numId="32">
    <w:abstractNumId w:val="20"/>
  </w:num>
  <w:num w:numId="33">
    <w:abstractNumId w:val="10"/>
  </w:num>
  <w:num w:numId="34">
    <w:abstractNumId w:val="31"/>
  </w:num>
  <w:num w:numId="35">
    <w:abstractNumId w:val="34"/>
  </w:num>
  <w:num w:numId="36">
    <w:abstractNumId w:val="33"/>
  </w:num>
  <w:num w:numId="37">
    <w:abstractNumId w:val="5"/>
  </w:num>
  <w:num w:numId="38">
    <w:abstractNumId w:val="25"/>
  </w:num>
  <w:num w:numId="39">
    <w:abstractNumId w:val="1"/>
  </w:num>
  <w:num w:numId="40">
    <w:abstractNumId w:val="27"/>
  </w:num>
  <w:num w:numId="41">
    <w:abstractNumId w:val="2"/>
  </w:num>
  <w:num w:numId="42">
    <w:abstractNumId w:val="22"/>
  </w:num>
  <w:num w:numId="43">
    <w:abstractNumId w:val="36"/>
  </w:num>
  <w:num w:numId="44">
    <w:abstractNumId w:val="24"/>
  </w:num>
  <w:num w:numId="45">
    <w:abstractNumId w:val="29"/>
  </w:num>
  <w:num w:numId="46">
    <w:abstractNumId w:val="15"/>
  </w:num>
  <w:num w:numId="47">
    <w:abstractNumId w:val="2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B49"/>
    <w:rsid w:val="00025884"/>
    <w:rsid w:val="00030174"/>
    <w:rsid w:val="000303B6"/>
    <w:rsid w:val="0004579C"/>
    <w:rsid w:val="0007306B"/>
    <w:rsid w:val="00077879"/>
    <w:rsid w:val="0008166F"/>
    <w:rsid w:val="000A47FA"/>
    <w:rsid w:val="000A65D3"/>
    <w:rsid w:val="000B1E33"/>
    <w:rsid w:val="000D689F"/>
    <w:rsid w:val="000E7B7B"/>
    <w:rsid w:val="000E7D62"/>
    <w:rsid w:val="00103357"/>
    <w:rsid w:val="001218B5"/>
    <w:rsid w:val="00123C9F"/>
    <w:rsid w:val="00126190"/>
    <w:rsid w:val="00130F17"/>
    <w:rsid w:val="001320BF"/>
    <w:rsid w:val="00144A82"/>
    <w:rsid w:val="00163BC4"/>
    <w:rsid w:val="00171667"/>
    <w:rsid w:val="00191062"/>
    <w:rsid w:val="00192B72"/>
    <w:rsid w:val="001A29D8"/>
    <w:rsid w:val="001A5CAA"/>
    <w:rsid w:val="001B0427"/>
    <w:rsid w:val="001D3A51"/>
    <w:rsid w:val="001E10D2"/>
    <w:rsid w:val="001E25B4"/>
    <w:rsid w:val="001E44FE"/>
    <w:rsid w:val="001E7306"/>
    <w:rsid w:val="001F6B84"/>
    <w:rsid w:val="00200595"/>
    <w:rsid w:val="00204835"/>
    <w:rsid w:val="0020519F"/>
    <w:rsid w:val="002100B6"/>
    <w:rsid w:val="00231920"/>
    <w:rsid w:val="0023195C"/>
    <w:rsid w:val="002374C6"/>
    <w:rsid w:val="0024282C"/>
    <w:rsid w:val="002460DC"/>
    <w:rsid w:val="00250985"/>
    <w:rsid w:val="00251DFE"/>
    <w:rsid w:val="002556F6"/>
    <w:rsid w:val="00260B55"/>
    <w:rsid w:val="00265C51"/>
    <w:rsid w:val="00283105"/>
    <w:rsid w:val="00284C4C"/>
    <w:rsid w:val="002871AF"/>
    <w:rsid w:val="00287E68"/>
    <w:rsid w:val="00296529"/>
    <w:rsid w:val="002B27FB"/>
    <w:rsid w:val="002B685A"/>
    <w:rsid w:val="002C57D2"/>
    <w:rsid w:val="002E0D56"/>
    <w:rsid w:val="00315186"/>
    <w:rsid w:val="0033343E"/>
    <w:rsid w:val="003512C2"/>
    <w:rsid w:val="00371FB6"/>
    <w:rsid w:val="00373651"/>
    <w:rsid w:val="00374DAA"/>
    <w:rsid w:val="003763C1"/>
    <w:rsid w:val="00376BBE"/>
    <w:rsid w:val="0039224F"/>
    <w:rsid w:val="003A1385"/>
    <w:rsid w:val="003A43A4"/>
    <w:rsid w:val="003A7E18"/>
    <w:rsid w:val="003C264B"/>
    <w:rsid w:val="003C2C72"/>
    <w:rsid w:val="003C4C86"/>
    <w:rsid w:val="003C6258"/>
    <w:rsid w:val="003D0ECB"/>
    <w:rsid w:val="003D7663"/>
    <w:rsid w:val="003E2904"/>
    <w:rsid w:val="003E33A9"/>
    <w:rsid w:val="00400CD6"/>
    <w:rsid w:val="00401927"/>
    <w:rsid w:val="00402B88"/>
    <w:rsid w:val="0041027F"/>
    <w:rsid w:val="00412475"/>
    <w:rsid w:val="00423789"/>
    <w:rsid w:val="00437581"/>
    <w:rsid w:val="00440F43"/>
    <w:rsid w:val="00441B6F"/>
    <w:rsid w:val="00446221"/>
    <w:rsid w:val="00450E62"/>
    <w:rsid w:val="004539DB"/>
    <w:rsid w:val="00471A80"/>
    <w:rsid w:val="00492E21"/>
    <w:rsid w:val="004D305E"/>
    <w:rsid w:val="004D4277"/>
    <w:rsid w:val="00502516"/>
    <w:rsid w:val="00505F06"/>
    <w:rsid w:val="00506828"/>
    <w:rsid w:val="0053056E"/>
    <w:rsid w:val="00554FDA"/>
    <w:rsid w:val="005705E9"/>
    <w:rsid w:val="00590D05"/>
    <w:rsid w:val="005C784C"/>
    <w:rsid w:val="005D17F6"/>
    <w:rsid w:val="005E5539"/>
    <w:rsid w:val="00602BF5"/>
    <w:rsid w:val="00607837"/>
    <w:rsid w:val="00617FDD"/>
    <w:rsid w:val="006214D7"/>
    <w:rsid w:val="0062664A"/>
    <w:rsid w:val="00633614"/>
    <w:rsid w:val="00633F68"/>
    <w:rsid w:val="00636EB2"/>
    <w:rsid w:val="006375B8"/>
    <w:rsid w:val="00651502"/>
    <w:rsid w:val="00655C4F"/>
    <w:rsid w:val="0066510A"/>
    <w:rsid w:val="00673F9F"/>
    <w:rsid w:val="00686953"/>
    <w:rsid w:val="00687DEA"/>
    <w:rsid w:val="00687E67"/>
    <w:rsid w:val="006967F7"/>
    <w:rsid w:val="006A250C"/>
    <w:rsid w:val="006B21D3"/>
    <w:rsid w:val="006B4FAF"/>
    <w:rsid w:val="006B57D0"/>
    <w:rsid w:val="006D30FF"/>
    <w:rsid w:val="006D6940"/>
    <w:rsid w:val="006F11EC"/>
    <w:rsid w:val="0070082C"/>
    <w:rsid w:val="00700AFA"/>
    <w:rsid w:val="007369E6"/>
    <w:rsid w:val="00746E59"/>
    <w:rsid w:val="00754C9A"/>
    <w:rsid w:val="0075599A"/>
    <w:rsid w:val="00761D52"/>
    <w:rsid w:val="0077749E"/>
    <w:rsid w:val="00790ADA"/>
    <w:rsid w:val="007941E8"/>
    <w:rsid w:val="007D2288"/>
    <w:rsid w:val="007D3545"/>
    <w:rsid w:val="007E088F"/>
    <w:rsid w:val="007F0875"/>
    <w:rsid w:val="007F26FF"/>
    <w:rsid w:val="007F7B32"/>
    <w:rsid w:val="00804BC2"/>
    <w:rsid w:val="0081431A"/>
    <w:rsid w:val="0083216F"/>
    <w:rsid w:val="00833F69"/>
    <w:rsid w:val="00851CC2"/>
    <w:rsid w:val="00860000"/>
    <w:rsid w:val="008631A6"/>
    <w:rsid w:val="00863BD3"/>
    <w:rsid w:val="008641ED"/>
    <w:rsid w:val="00866D66"/>
    <w:rsid w:val="008671C6"/>
    <w:rsid w:val="00875803"/>
    <w:rsid w:val="008842E3"/>
    <w:rsid w:val="0088637C"/>
    <w:rsid w:val="00897C23"/>
    <w:rsid w:val="008B459E"/>
    <w:rsid w:val="008C549D"/>
    <w:rsid w:val="008E13AE"/>
    <w:rsid w:val="008E1506"/>
    <w:rsid w:val="008E710C"/>
    <w:rsid w:val="008F69D6"/>
    <w:rsid w:val="00902823"/>
    <w:rsid w:val="00915CA6"/>
    <w:rsid w:val="00921C34"/>
    <w:rsid w:val="00927834"/>
    <w:rsid w:val="009500A6"/>
    <w:rsid w:val="00957C18"/>
    <w:rsid w:val="009659BA"/>
    <w:rsid w:val="00965DD2"/>
    <w:rsid w:val="00972C3D"/>
    <w:rsid w:val="00983040"/>
    <w:rsid w:val="009B3FB9"/>
    <w:rsid w:val="009C2465"/>
    <w:rsid w:val="009D35A0"/>
    <w:rsid w:val="009D7EB7"/>
    <w:rsid w:val="009E048A"/>
    <w:rsid w:val="009E08E9"/>
    <w:rsid w:val="009E3DB9"/>
    <w:rsid w:val="009E6E35"/>
    <w:rsid w:val="009F0EDA"/>
    <w:rsid w:val="00A008C0"/>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139B"/>
    <w:rsid w:val="00B01FCD"/>
    <w:rsid w:val="00B1776C"/>
    <w:rsid w:val="00B423C5"/>
    <w:rsid w:val="00B466BF"/>
    <w:rsid w:val="00B52583"/>
    <w:rsid w:val="00B52896"/>
    <w:rsid w:val="00B61988"/>
    <w:rsid w:val="00B6484F"/>
    <w:rsid w:val="00B837E6"/>
    <w:rsid w:val="00B93490"/>
    <w:rsid w:val="00B95236"/>
    <w:rsid w:val="00B96BD9"/>
    <w:rsid w:val="00BA1B01"/>
    <w:rsid w:val="00BA2641"/>
    <w:rsid w:val="00BB37AA"/>
    <w:rsid w:val="00BC53A0"/>
    <w:rsid w:val="00BE62AD"/>
    <w:rsid w:val="00BF121F"/>
    <w:rsid w:val="00BF1F80"/>
    <w:rsid w:val="00BF3485"/>
    <w:rsid w:val="00C166EF"/>
    <w:rsid w:val="00C17EB0"/>
    <w:rsid w:val="00C242DC"/>
    <w:rsid w:val="00C27F5F"/>
    <w:rsid w:val="00C30A0F"/>
    <w:rsid w:val="00C32F47"/>
    <w:rsid w:val="00C36655"/>
    <w:rsid w:val="00C37E61"/>
    <w:rsid w:val="00C70F1B"/>
    <w:rsid w:val="00C71A47"/>
    <w:rsid w:val="00C7464C"/>
    <w:rsid w:val="00C85588"/>
    <w:rsid w:val="00CC5D79"/>
    <w:rsid w:val="00CD6755"/>
    <w:rsid w:val="00CD6856"/>
    <w:rsid w:val="00CE0089"/>
    <w:rsid w:val="00CE793C"/>
    <w:rsid w:val="00CF193C"/>
    <w:rsid w:val="00D173F1"/>
    <w:rsid w:val="00D74CB0"/>
    <w:rsid w:val="00D8295D"/>
    <w:rsid w:val="00D846DB"/>
    <w:rsid w:val="00DA0119"/>
    <w:rsid w:val="00DC2A65"/>
    <w:rsid w:val="00DE15F0"/>
    <w:rsid w:val="00DE5663"/>
    <w:rsid w:val="00DE78AA"/>
    <w:rsid w:val="00E053D0"/>
    <w:rsid w:val="00E15994"/>
    <w:rsid w:val="00E3114E"/>
    <w:rsid w:val="00E31A70"/>
    <w:rsid w:val="00E35B02"/>
    <w:rsid w:val="00E5434A"/>
    <w:rsid w:val="00E64E11"/>
    <w:rsid w:val="00E66496"/>
    <w:rsid w:val="00E66B35"/>
    <w:rsid w:val="00E66E10"/>
    <w:rsid w:val="00E769F6"/>
    <w:rsid w:val="00E8407C"/>
    <w:rsid w:val="00E84F3C"/>
    <w:rsid w:val="00E93D5B"/>
    <w:rsid w:val="00EA012C"/>
    <w:rsid w:val="00EA74D4"/>
    <w:rsid w:val="00EC6A55"/>
    <w:rsid w:val="00ED0288"/>
    <w:rsid w:val="00EE52CB"/>
    <w:rsid w:val="00EF581D"/>
    <w:rsid w:val="00EF7FD8"/>
    <w:rsid w:val="00F06F59"/>
    <w:rsid w:val="00F12442"/>
    <w:rsid w:val="00F163AA"/>
    <w:rsid w:val="00F17988"/>
    <w:rsid w:val="00F3339A"/>
    <w:rsid w:val="00F469F0"/>
    <w:rsid w:val="00F53273"/>
    <w:rsid w:val="00F755E4"/>
    <w:rsid w:val="00F77D02"/>
    <w:rsid w:val="00F9044A"/>
    <w:rsid w:val="00FB3A86"/>
    <w:rsid w:val="00FD36C8"/>
    <w:rsid w:val="00FF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4B704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23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D0ECB"/>
    <w:pPr>
      <w:spacing w:before="100" w:beforeAutospacing="1" w:after="100" w:afterAutospacing="1"/>
    </w:pPr>
    <w:rPr>
      <w:rFonts w:ascii="Times New Roman" w:hAnsi="Times New Roman"/>
      <w:sz w:val="24"/>
      <w:szCs w:val="24"/>
      <w:lang w:val="en-PH"/>
    </w:rPr>
  </w:style>
  <w:style w:type="character" w:styleId="Strong">
    <w:name w:val="Strong"/>
    <w:basedOn w:val="DefaultParagraphFont"/>
    <w:uiPriority w:val="22"/>
    <w:qFormat/>
    <w:rsid w:val="00590D05"/>
    <w:rPr>
      <w:b/>
      <w:bCs/>
    </w:rPr>
  </w:style>
  <w:style w:type="paragraph" w:styleId="ListParagraph">
    <w:name w:val="List Paragraph"/>
    <w:basedOn w:val="Normal"/>
    <w:uiPriority w:val="34"/>
    <w:qFormat/>
    <w:rsid w:val="00607837"/>
    <w:pPr>
      <w:ind w:left="720"/>
      <w:contextualSpacing/>
    </w:pPr>
  </w:style>
  <w:style w:type="character" w:customStyle="1" w:styleId="apple-converted-space">
    <w:name w:val="apple-converted-space"/>
    <w:basedOn w:val="DefaultParagraphFont"/>
    <w:rsid w:val="007F26FF"/>
  </w:style>
  <w:style w:type="character" w:customStyle="1" w:styleId="Heading2Char">
    <w:name w:val="Heading 2 Char"/>
    <w:basedOn w:val="DefaultParagraphFont"/>
    <w:link w:val="Heading2"/>
    <w:semiHidden/>
    <w:rsid w:val="00B423C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dge.sagepub.com/creswellqualitativeinquiry4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books.google.com/books/about/Qualitative_Inquiry_and_Research_Design.html?id=220_QgAACAA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7303084.2022.2006023" TargetMode="External"/><Relationship Id="rId20" Type="http://schemas.openxmlformats.org/officeDocument/2006/relationships/hyperlink" Target="https://doi.org/10.1080/13573322.2021.19269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77/1356336X2211023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BE74-C3C9-480C-99BC-A678E699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232</TotalTime>
  <Pages>11</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70</cp:revision>
  <cp:lastPrinted>1999-07-06T11:00:00Z</cp:lastPrinted>
  <dcterms:created xsi:type="dcterms:W3CDTF">2014-10-25T14:34:00Z</dcterms:created>
  <dcterms:modified xsi:type="dcterms:W3CDTF">2025-12-02T13:20:00Z</dcterms:modified>
</cp:coreProperties>
</file>