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850" w:rsidRPr="006735ED" w:rsidRDefault="00C273A3" w:rsidP="006735ED">
      <w:pPr>
        <w:pStyle w:val="Author"/>
        <w:spacing w:line="240" w:lineRule="auto"/>
        <w:rPr>
          <w:rFonts w:ascii="Arial" w:hAnsi="Arial" w:cs="Arial"/>
          <w:bCs/>
          <w:iCs/>
          <w:kern w:val="28"/>
          <w:sz w:val="36"/>
        </w:rPr>
      </w:pPr>
      <w:r w:rsidRPr="006735ED">
        <w:rPr>
          <w:rFonts w:ascii="Arial" w:hAnsi="Arial" w:cs="Arial"/>
          <w:bCs/>
          <w:iCs/>
          <w:kern w:val="28"/>
          <w:sz w:val="36"/>
        </w:rPr>
        <w:t>Theoretical Conceptual Framework Model of Service Innovation in Improving Academic Quality at Gorontalo Private Universities</w:t>
      </w:r>
    </w:p>
    <w:p w:rsidR="00C273A3" w:rsidRPr="00E51D56" w:rsidRDefault="00C273A3" w:rsidP="00C273A3">
      <w:pPr>
        <w:rPr>
          <w:rFonts w:asciiTheme="majorHAnsi" w:hAnsiTheme="majorHAnsi" w:cstheme="majorHAnsi"/>
        </w:rPr>
      </w:pPr>
    </w:p>
    <w:p w:rsidR="00001E69" w:rsidRDefault="00001E69" w:rsidP="00001E69">
      <w:pPr>
        <w:pStyle w:val="NormalWeb"/>
        <w:snapToGrid w:val="0"/>
        <w:spacing w:before="0" w:beforeAutospacing="0" w:after="0" w:afterAutospacing="0" w:line="276" w:lineRule="auto"/>
        <w:rPr>
          <w:rFonts w:asciiTheme="majorHAnsi" w:hAnsiTheme="majorHAnsi" w:cstheme="majorHAnsi"/>
        </w:rPr>
      </w:pPr>
    </w:p>
    <w:p w:rsidR="003C60FC" w:rsidRPr="00E51D56" w:rsidRDefault="003C60FC" w:rsidP="00001E69">
      <w:pPr>
        <w:pStyle w:val="NormalWeb"/>
        <w:snapToGrid w:val="0"/>
        <w:spacing w:before="0" w:beforeAutospacing="0" w:after="0" w:afterAutospacing="0" w:line="276" w:lineRule="auto"/>
        <w:rPr>
          <w:rFonts w:asciiTheme="majorHAnsi" w:hAnsiTheme="majorHAnsi" w:cstheme="majorHAnsi"/>
        </w:rPr>
      </w:pPr>
      <w:bookmarkStart w:id="0" w:name="_GoBack"/>
      <w:bookmarkEnd w:id="0"/>
    </w:p>
    <w:p w:rsidR="00C273A3" w:rsidRPr="006735ED" w:rsidRDefault="00C273A3" w:rsidP="006735ED">
      <w:pPr>
        <w:pStyle w:val="AbstHead"/>
        <w:spacing w:after="0"/>
        <w:jc w:val="both"/>
        <w:rPr>
          <w:rFonts w:ascii="Arial" w:hAnsi="Arial" w:cs="Arial"/>
        </w:rPr>
      </w:pPr>
      <w:r w:rsidRPr="006735ED">
        <w:rPr>
          <w:rFonts w:ascii="Arial" w:hAnsi="Arial" w:cs="Arial"/>
        </w:rPr>
        <w:t>Abstract</w:t>
      </w:r>
    </w:p>
    <w:p w:rsidR="006735ED" w:rsidRDefault="006735ED" w:rsidP="006735ED">
      <w:pPr>
        <w:pStyle w:val="Body"/>
        <w:spacing w:after="0"/>
        <w:rPr>
          <w:rFonts w:ascii="Arial" w:eastAsia="Calibri" w:hAnsi="Arial" w:cs="Arial"/>
          <w:szCs w:val="22"/>
        </w:rPr>
      </w:pPr>
      <w:r w:rsidRPr="006735ED">
        <w:rPr>
          <w:rFonts w:ascii="Arial" w:eastAsia="Calibri" w:hAnsi="Arial" w:cs="Arial"/>
          <w:b/>
          <w:bCs/>
          <w:szCs w:val="22"/>
        </w:rPr>
        <w:t>Aims</w:t>
      </w:r>
      <w:r>
        <w:rPr>
          <w:rFonts w:ascii="Arial" w:eastAsia="Calibri" w:hAnsi="Arial" w:cs="Arial"/>
          <w:szCs w:val="22"/>
        </w:rPr>
        <w:t xml:space="preserve">: </w:t>
      </w:r>
      <w:r w:rsidR="00C273A3" w:rsidRPr="006735ED">
        <w:rPr>
          <w:rFonts w:ascii="Arial" w:eastAsia="Calibri" w:hAnsi="Arial" w:cs="Arial"/>
          <w:szCs w:val="22"/>
        </w:rPr>
        <w:t xml:space="preserve">Digital transformation in higher education requires service innovations that can respond to academic quality challenges in a sustainable manner. However, in the context of private universities, the adoption of innovations is often not optimal due to technical, structural, and cultural constraints. This study aims to develop a theoretical conceptual framework model of service innovation to improve academic quality at private universities in Gorontalo. </w:t>
      </w:r>
    </w:p>
    <w:p w:rsidR="006735ED" w:rsidRDefault="006735ED" w:rsidP="006735ED">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00C273A3" w:rsidRPr="006735ED">
        <w:rPr>
          <w:rFonts w:ascii="Arial" w:eastAsia="Calibri" w:hAnsi="Arial" w:cs="Arial"/>
          <w:szCs w:val="22"/>
        </w:rPr>
        <w:t xml:space="preserve">The research method used was an exploratory qualitative approach through in-depth interviews, observations, and document studies. The results showed that academic service innovations, such as the implementation of an integrated academic information system, learning management system (LMS), blended learning, and project-based learning, were proven to improve service efficiency, data transparency, and academic accountability. </w:t>
      </w:r>
    </w:p>
    <w:p w:rsidR="006735ED" w:rsidRDefault="006735ED" w:rsidP="006735ED">
      <w:pPr>
        <w:pStyle w:val="Body"/>
        <w:spacing w:after="0"/>
        <w:rPr>
          <w:rFonts w:ascii="Arial" w:eastAsia="Calibri" w:hAnsi="Arial" w:cs="Arial"/>
          <w:szCs w:val="22"/>
        </w:rPr>
      </w:pPr>
      <w:r w:rsidRPr="006735ED">
        <w:rPr>
          <w:rFonts w:ascii="Arial" w:eastAsia="Calibri" w:hAnsi="Arial" w:cs="Arial"/>
          <w:b/>
          <w:bCs/>
          <w:szCs w:val="22"/>
        </w:rPr>
        <w:t>Results</w:t>
      </w:r>
      <w:r>
        <w:rPr>
          <w:rFonts w:ascii="Arial" w:eastAsia="Calibri" w:hAnsi="Arial" w:cs="Arial"/>
          <w:szCs w:val="22"/>
        </w:rPr>
        <w:t xml:space="preserve">: </w:t>
      </w:r>
      <w:r w:rsidR="00C273A3" w:rsidRPr="006735ED">
        <w:rPr>
          <w:rFonts w:ascii="Arial" w:eastAsia="Calibri" w:hAnsi="Arial" w:cs="Arial"/>
          <w:szCs w:val="22"/>
        </w:rPr>
        <w:t xml:space="preserve">The main finding of this study is the development of a conceptual framework that integrates Rogers' Diffusion of Innovation theory with extrinsic factors, namely policy pressure, infrastructure availability, institutional ecosystem readiness, and human resource readiness. In addition, this study introduces the principles of sustainable innovation governance (commitment, consistency, communication, coordination, collaboration, cooperation, and creativity) as moderating elements that determine the success of innovation in improving academic quality. </w:t>
      </w:r>
    </w:p>
    <w:p w:rsidR="00C273A3" w:rsidRPr="006735ED" w:rsidRDefault="006735ED" w:rsidP="006735ED">
      <w:pPr>
        <w:pStyle w:val="Body"/>
        <w:spacing w:after="0"/>
        <w:rPr>
          <w:rFonts w:ascii="Arial" w:eastAsia="Calibri" w:hAnsi="Arial" w:cs="Arial"/>
          <w:szCs w:val="22"/>
        </w:rPr>
      </w:pPr>
      <w:r w:rsidRPr="006735ED">
        <w:rPr>
          <w:rFonts w:ascii="Arial" w:eastAsia="Calibri" w:hAnsi="Arial" w:cs="Arial"/>
          <w:b/>
          <w:bCs/>
          <w:szCs w:val="22"/>
        </w:rPr>
        <w:t>Conclusion</w:t>
      </w:r>
      <w:r>
        <w:rPr>
          <w:rFonts w:ascii="Arial" w:eastAsia="Calibri" w:hAnsi="Arial" w:cs="Arial"/>
          <w:szCs w:val="22"/>
        </w:rPr>
        <w:t xml:space="preserve">: </w:t>
      </w:r>
      <w:r w:rsidR="00C273A3" w:rsidRPr="006735ED">
        <w:rPr>
          <w:rFonts w:ascii="Arial" w:eastAsia="Calibri" w:hAnsi="Arial" w:cs="Arial"/>
          <w:szCs w:val="22"/>
        </w:rPr>
        <w:t>Theoretically, this study expands the scope of innovation adoption theory by emphasising the importance of sustainable governance, while in practice, the developed model can serve as a strategic reference for private universities in designing and implementing adaptive and long-term impactful service innovation policies.</w:t>
      </w:r>
    </w:p>
    <w:p w:rsidR="00C273A3" w:rsidRPr="00E51D56" w:rsidRDefault="00C273A3" w:rsidP="00E51D56">
      <w:pPr>
        <w:snapToGrid w:val="0"/>
        <w:spacing w:line="276" w:lineRule="auto"/>
        <w:jc w:val="both"/>
        <w:rPr>
          <w:rFonts w:asciiTheme="majorHAnsi" w:hAnsiTheme="majorHAnsi" w:cstheme="majorHAnsi"/>
        </w:rPr>
      </w:pPr>
    </w:p>
    <w:p w:rsidR="00C273A3" w:rsidRPr="006735ED" w:rsidRDefault="00C273A3" w:rsidP="006735ED">
      <w:pPr>
        <w:pStyle w:val="Body"/>
        <w:spacing w:after="0"/>
        <w:rPr>
          <w:rFonts w:ascii="Arial" w:hAnsi="Arial" w:cs="Arial"/>
          <w:i/>
        </w:rPr>
      </w:pPr>
      <w:r w:rsidRPr="006735ED">
        <w:rPr>
          <w:rFonts w:ascii="Arial" w:hAnsi="Arial" w:cs="Arial"/>
          <w:i/>
        </w:rPr>
        <w:t>Keywords: Service Innovation, Academic Quality, Private Higher Education Institutions, Sustainable Innovation Management, Theoretical Conceptual Framework</w:t>
      </w:r>
    </w:p>
    <w:p w:rsidR="00C273A3" w:rsidRPr="00E51D56" w:rsidRDefault="00C273A3" w:rsidP="00C273A3">
      <w:pPr>
        <w:snapToGrid w:val="0"/>
        <w:spacing w:line="276" w:lineRule="auto"/>
        <w:jc w:val="both"/>
        <w:rPr>
          <w:rFonts w:asciiTheme="majorHAnsi" w:hAnsiTheme="majorHAnsi" w:cstheme="majorHAnsi"/>
        </w:rPr>
      </w:pPr>
    </w:p>
    <w:p w:rsidR="00C273A3" w:rsidRPr="006735ED" w:rsidRDefault="00C273A3" w:rsidP="006735ED">
      <w:pPr>
        <w:pStyle w:val="AbstHead"/>
        <w:spacing w:after="0"/>
        <w:jc w:val="both"/>
        <w:rPr>
          <w:rFonts w:ascii="Arial" w:hAnsi="Arial" w:cs="Arial"/>
        </w:rPr>
      </w:pPr>
      <w:r w:rsidRPr="006735ED">
        <w:rPr>
          <w:rFonts w:ascii="Arial" w:hAnsi="Arial" w:cs="Arial"/>
        </w:rPr>
        <w:t>Introduction</w:t>
      </w:r>
    </w:p>
    <w:p w:rsidR="00C273A3" w:rsidRPr="006735ED" w:rsidRDefault="00C273A3" w:rsidP="006735ED">
      <w:pPr>
        <w:pStyle w:val="Body"/>
        <w:snapToGrid w:val="0"/>
        <w:spacing w:after="120"/>
        <w:rPr>
          <w:rFonts w:ascii="Arial" w:hAnsi="Arial" w:cs="Arial"/>
        </w:rPr>
      </w:pPr>
      <w:r w:rsidRPr="006735ED">
        <w:rPr>
          <w:rFonts w:ascii="Arial" w:hAnsi="Arial" w:cs="Arial"/>
        </w:rPr>
        <w:t>Private universities play an important role in supporting equal access to higher education and improving the quality of human resources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{"citationItems":[{"id":"ITEM-1","itemData":{"DOI":"10.36346/sarjhss.2025.v07i01.008","ISSN":"26644002","abstract":"The quality of human resources at private universities in the Mekong Delta is pivotal to the region’s socio-economic development and the success of its higher education system. Despite notable growth, these institutions face underqualified faculty, limited professional development, and insufficient industry partnerships, which hinder their ability to meet the demands of a competitive job market. This paper adopts a mixed-methods approach, combining qualitative and quantitative research techniques to explore the key issues affecting human resource quality at private universities. Through surveys and interviews with faculty members, administrators, and industry stakeholders, the study gathers insights into current challenges and potential areas for improvement. Additionally, the research analyzes secondary data from policy documents, institutional reports, and case studies of successful models from other regions and countries. The findings emphasize the necessity of comprehensive faculty development programs, including ongoing professional training, research opportunities, and competitive compensation to attract and retain qualified educators. The study also underscores the importance of aligning academic programs with industry needs through enhanced collaboration between universities and businesses. Furthermore, government support in the form of policy reforms, funding, and quality assurance measures is deemed essential to create parity between public and private institutions. Moreover, the research highlights the need for digital transformation at private universities to address the rising demand for online and hybrid learning models. By leveraging a robust methodological framework, this research provides actionable strategies for private universities in the Mekong Delta to strengthen their human resource capabilities and produce a skilled workforce that supports regional and national development.","author":[{"dropping-particle":"","family":"Bich","given":"Luong Ngoc","non-dropping-particle":"","parse-names":false,"suffix":""}],"container-title":"South Asian Research Journal of Humanities and Social Sciences","id":"ITEM-1","issue":"01","issued":{"date-parts":[["2025"]]},"page":"21-30","title":"Improving the Quality of Human Resources at Private Universities in the Mekong Delta – Vietnam","type":"article-journal","volume":"7"},"uris":["http://www.mendeley.com/documents/?uuid=976773af-ed35-40b2-98fc-85bce26980ed"]},{"id":"ITEM-2","itemData":{"DOI":"10.1177/2158244015624950","abstract":"… of a given economy. This study identified factors of leadership and governance in private higher education institutions in Ethiopia that may contribute to a declining quality of education. …","author":[{"dropping-particle":"","family":"Yirdaw","given":"A","non-dropping-particle":"","parse-names":false,"suffix":""}],"container-title":"SAGE open","id":"ITEM-2","issued":{"date-parts":[["2016"]]},"note":"Cited By (since 2016): 102","publisher":"journals.sagepub.com","title":"Quality of education in private higher institutions in Ethiopia: The role of governance","type":"article-journal"},"uris":["http://www.mendeley.com/documents/?uuid=3035c494-b585-4a86-a14e-382badb9951d"]}],"mendeley":{"formattedCitation":"(Bich, 2025; Yirdaw, 2016)"},"properties":{"noteIndex":0},"schema":"https://github.com/citation-style-language/schema/raw/master/csl-citation.json"}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(Bich, 2025; Yirdaw, 2016)</w:t>
      </w:r>
      <w:r w:rsidR="00001E69" w:rsidRPr="006735ED">
        <w:rPr>
          <w:rFonts w:ascii="Arial" w:hAnsi="Arial" w:cs="Arial"/>
        </w:rPr>
        <w:fldChar w:fldCharType="end"/>
      </w:r>
      <w:r w:rsidRPr="006735ED">
        <w:rPr>
          <w:rFonts w:ascii="Arial" w:hAnsi="Arial" w:cs="Arial"/>
        </w:rPr>
        <w:t xml:space="preserve"> . Amidst the demands of the digital age and globalisation, private universities are not only required to provide education, but also to ensure that academic quality continues to improve in line with national and international standards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{"citationItems":[{"id":"ITEM-1","itemData":{"DOI":"https://doi.org/10.1007/s10639-022-10924-w","ISSN":"1360-2357","author":[{"dropping-particle":"","family":"Mohamed Hashim","given":"Mohamed Ashmel","non-dropping-particle":"","parse-names":false,"suffix":""},{"dropping-particle":"","family":"Tlemsani","given":"Issam","non-dropping-particle":"","parse-names":false,"suffix":""},{"dropping-particle":"","family":"Matthews","given":"Robin","non-dropping-particle":"","parse-names":false,"suffix":""}],"container-title":"Education and Information Technologies","id":"ITEM-1","issue":"3","issued":{"date-parts":[["2022"]]},"page":"3171-3195","publisher":"Springer","title":"Higher education strategy in digital transformation","type":"article-journal","volume":"27"},"uris":["http://www.mendeley.com/documents/?uuid=05da325e-be2a-4256-8cb3-ba9630b691ee"]}],"mendeley":{"formattedCitation":"(Mohamed Hashim et al., 2022)"},"properties":{"noteIndex":0},"schema":"https://github.com/citation-style-language/schema/raw/master/csl-citation.json"}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(Mohamed Hashim et al., 2022)</w:t>
      </w:r>
      <w:r w:rsidR="00001E69" w:rsidRPr="006735ED">
        <w:rPr>
          <w:rFonts w:ascii="Arial" w:hAnsi="Arial" w:cs="Arial"/>
        </w:rPr>
        <w:fldChar w:fldCharType="end"/>
      </w:r>
      <w:r w:rsidRPr="006735ED">
        <w:rPr>
          <w:rFonts w:ascii="Arial" w:hAnsi="Arial" w:cs="Arial"/>
        </w:rPr>
        <w:t>. Academic quality essentially encompasses the quality of the learning process, curriculum relevance, lecturer performance, student achievement, research output, and contribution to community service</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{"citationItems":[{"id":"ITEM-1","itemData":{"DOI":"10.1108/TQM-04-2021-0115","ISSN":"1754-2731","abstract":"The higher education system has been entrusted globally to provide quality education, especially to the youth, and equip them with required skills and capabilities. The visionaries and policymakers of the countries around the world have been working relentlessly to improve the standard of the higher education system by establishing national and global accreditation and ranking bodies and expecting measuring performance through setting up accreditation and ranking parameters. This paper focuses on the review of Indian university accreditation and ranking system and determining its efficacy in improving academic quality for achieving good position in global quality accreditation and ranking.The study employed exploratory research approach to know about the accreditation and ranking issues of Indian higher education institutions to overcome the challenges for being globally competitive. The accreditation and ranking parameters and score of leading Indian universities was collected from secondary data sources. Similarly, the global ranking parameters and scores of these Indian universities with top global universities was explored. The performance gaps of Indian university in global academic quality parameter is assessed by comparing it with scores of global top universities. Further, each domestic and global accreditation and ranking parameters have been taken up for discussion.The study identified teaching and learning, research and industry collaboration as common parameter in the accreditation and ranking by Indian and global accreditation and ranking body. Furthermore, the study revealed that Indian accreditation and ranking body assess leniently on parameters and award high scores as compared to rigorous global accreditation and ranking practice. The study revealed that “research” and “citations” are important parameters for securing prestigious position in global ranking, this is the reason Indian universities are trailing. The study exposed that Indian academic fraternity lack prominence in research, publication and citations as per need of global accreditation and ranking standards.The limitation of this study is that it focused only on few Indian and global accreditation and ranking bodies. The future implication of this study will be the use of methodology designed in this study for comparing accreditation and ranking bodies’ parameters of different continents and countries in different economic development stages i.e. emerging and developed econ…","author":[{"dropping-particle":"","family":"Fernandes","given":"Jerald Ozee","non-dropping-particle":"","parse-names":false,"suffix":""},{"dropping-particle":"","family":"Singh","given":"Balgopal","non-dropping-particle":"","parse-names":false,"suffix":""}],"container-title":"The TQM Journal","id":"ITEM-1","issue":"5","issued":{"date-parts":[["2021","7","30"]]},"page":"1013-1038","title":"Accreditation and ranking of higher education institutions (HEIs): review, observations and recommendations for the Indian higher education system","type":"article-journal","volume":"34"},"uris":["http://www.mendeley.com/documents/?uuid=1c1f7fc9-d08b-43b6-b7b2-a0b59d20104b"]},{"id":"ITEM-2","itemData":{"author":[{"dropping-particle":"","family":"Maiya","given":"Adithya Kumar","non-dropping-particle":"","parse-names":false,"suffix":""},{"dropping-particle":"","family":"Aithal","given":"P S","non-dropping-particle":"","parse-names":false,"suffix":""}],"container-title":"Maiya, AK, &amp; Aithal, PS,(2023). A Review based Research Topic Identification on How to Improve the Quality Services of Higher Education Institutions in Academic, Administrative, and Research Areas. International Journal of Management, Technology, and Soci","id":"ITEM-2","issue":"3","issued":{"date-parts":[["2023"]]},"page":"103-153","title":"A review-based research topic identification on how to improve the quality services of higher education institutions in academic, administrative, and research areas","type":"article-journal","volume":"8"},"uris":["http://www.mendeley.com/documents/?uuid=14fc3376-016a-4f76-99fd-6be57b7770b9"]},{"id":"ITEM-3","itemData":{"DOI":"10.1108/JEAS-08-2018-0092","ISSN":"2054-6238","abstract":"This paper aims to study the relationship between higher education accreditation and teaching and learning enhancements in academic institutions. Higher education institutions are now looking at satisfying the standard by standard list assigned by internationally recognized accreditation agencies. The purpose of this paper is to investigate whether outside quality confirmation can truly influence the inward life of higher education institutions. Will accreditation implementation have an impact on teaching and learning enhancement and drive institution change?This study was based on an explanatory qualitative design whereby individual faculty members who are tenured or in tenure-track positions in business schools in Lebanese universities were interviewed. The latter universities from which interviewees were questioned are either the Association to Advance Collegiate Schools of Business (AACSB) accredited or currently pursuing accreditation. The sample included 30 faculty members from four different higher education Lebanese institutions.Following thorough review of previous literature, and building on the outcomes of the interviews conducted for the purpose of this research, the author deduced that AACSB serves as the optimal guiding mechanism that incorporates effective evaluation criteria for learning quality and universities. There also exist a lack of commonality and shared standards among accrediting agencies. The researchers also highlight the need to introduce further quantification into the accrediting measures adopted including faculty retention and student attrition rates.Ranking agencies were not considered in this study. Those can be used to assess the effectiveness of higher education institutions and will provide fair quality assurance of learning. It is encouraged to incorporate the ranking agencies variable within the scope of future studies for further analysis.The paper includes the need to introduce further quantification into the accrediting measures adopted including faculty retention and student attrition rates.The focus of this study will be of particular interest to Business school seeking or maintaining accreditation. It will also be of interest to the Lebanese government if they want to look at having a regional accreditation. Future research could possibly explore the need to have a regional accreditation especially with the emerging numbers of higher education institutions in Lebanon.","author":[{"dropping-particle":"","family":"Makhoul","given":"Samar Aad","non-dropping-particle":"","parse-names":false,"suffix":""}],"container-title":"Journal of Economic and Administrative Sciences","id":"ITEM-3","issue":"4","issued":{"date-parts":[["2019","6","28"]]},"page":"235-250","title":"Higher education accreditation, quality assurance and their impact to teaching and learning enhancement","type":"article-journal","volume":"35"},"uris":["http://www.mendeley.com/documents/?uuid=60b62aa1-0e19-4f1c-8b56-b4152ad77968"]},{"id":"ITEM-4","itemData":{"DOI":"10.1080/03075079.2015.1104659","ISSN":"0307-5079","author":[{"dropping-particle":"","family":"Cadez","given":"Simon","non-dropping-particle":"","parse-names":false,"suffix":""},{"dropping-particle":"","family":"Dimovski","given":"Vlado","non-dropping-particle":"","parse-names":false,"suffix":""},{"dropping-particle":"","family":"Zaman Groff","given":"Maja","non-dropping-particle":"","parse-names":false,"suffix":""}],"container-title":"Studies in Higher Education","id":"ITEM-4","issue":"8","issued":{"date-parts":[["2017","8","3"]]},"note":"doi: 10.1080/03075079.2015.1104659","page":"1455-1473","publisher":"SRHE Website","title":"Research, teaching and performance evaluation in academia: the salience of quality","type":"article-journal","volume":"42"},"uris":["http://www.mendeley.com/documents/?uuid=ce23d0ea-c65e-4ed1-9aca-a7f1efd6338d"]}],"mendeley":{"formattedCitation":"(Cadez et al., 2017; Fernandes &amp; Singh, 2021; Maiya &amp; Aithal, 2023; Makhoul, 2019)"},"properties":{"noteIndex":0},"schema":"https://github.com/citation-style-language/schema/raw/master/csl-citation.json"}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(Cadez et al., 2017; Fernandes &amp; Singh, 2021; Maiya &amp; Aithal, 2023; Makhoul, 2019)</w:t>
      </w:r>
      <w:r w:rsidR="00001E69" w:rsidRPr="006735ED">
        <w:rPr>
          <w:rFonts w:ascii="Arial" w:hAnsi="Arial" w:cs="Arial"/>
        </w:rPr>
        <w:fldChar w:fldCharType="end"/>
      </w:r>
      <w:r w:rsidRPr="006735ED">
        <w:rPr>
          <w:rFonts w:ascii="Arial" w:hAnsi="Arial" w:cs="Arial"/>
        </w:rPr>
        <w:t>. Thus, academic quality is a comprehensive picture of the quality of a higher education institution's performance in carrying out its three pillars consistently and measurably.</w:t>
      </w:r>
    </w:p>
    <w:p w:rsidR="00C273A3" w:rsidRPr="006735ED" w:rsidRDefault="00C273A3" w:rsidP="006735ED">
      <w:pPr>
        <w:pStyle w:val="Body"/>
        <w:snapToGrid w:val="0"/>
        <w:spacing w:after="120"/>
        <w:rPr>
          <w:rFonts w:ascii="Arial" w:hAnsi="Arial" w:cs="Arial"/>
        </w:rPr>
      </w:pPr>
      <w:r w:rsidRPr="006735ED">
        <w:rPr>
          <w:rFonts w:ascii="Arial" w:hAnsi="Arial" w:cs="Arial"/>
        </w:rPr>
        <w:t>In this context, innovation is one of the main instruments for promoting academic quality. In general, innovation can be understood as a process of renewal or creation of something new, whether in the form of products, methods, or systems that provide added value and greater benefits compared to previous conditions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{"citationItems":[{"id":"ITEM-1","itemData":{"DOI":"https://doi.org/10.1016/j.bushor.2018.01.011","ISSN":"0007-6813","abstract":"While innovation has become a pervasive term, many of today’s organizations still find innovation elusive. One reason may be that much of what is being said about innovation contributes to misunderstanding. To truly manifest innovation and reap its benefits, one must recognize that innovation is three different things: innovation is an outcome, innovation is a process, and innovation is a mindset. Innovation as an outcome emphasizes what output is sought, including product innovation, process innovation, marketing innovation, business model innovation, supply chain innovation, and organizational innovation. Innovation as a process attends to the way in which innovation should be organized so that outcomes can come to fruition; this includes an overall innovation process and a new product development process. Innovation as a mindset addresses the internalization of innovation by individual members of the organization where innovation is instilled and ingrained along with the creation of a supportive organizational culture that allows innovation to flourish. Such an understanding defines necessary elements, considerations, and vernacular surrounding the term so that better decisions can be made, thereby enabling innovation and having a greater propensity to succeed.","author":[{"dropping-particle":"","family":"Kahn","given":"Kenneth B","non-dropping-particle":"","parse-names":false,"suffix":""}],"container-title":"Business Horizons","id":"ITEM-1","issue":"3","issued":{"date-parts":[["2018"]]},"page":"453-460","title":"Understanding innovation","type":"article-journal","volume":"61"},"uris":["http://www.mendeley.com/documents/?uuid=8cdd123c-4a42-4aaa-b0ae-52b504ff53d0"]},{"id":"ITEM-2","itemData":{"DOI":"10.1007/978-3-319-76394-1_4","ISBN":"978-3-319-76394-1","abstract":"The transformation of the financial services implies new forms of innovation. There was a slow uptake of open innovation after we introduced the concept to financial services in 2009. Meanwhile banks recovered from the financial crisis, and with the simultaneous arrival of multiple disruptive trends, they took up innovation as a route to grow, differentiate, and survive. The banking, wealth, and asset management industry is facing competition from new market entrants that embrace open innovation from the beginning. We explain open innovation as a facilitator to create value for clients and businesses as it fits perfectly into the era of sharing, collaborating, and digitalization. Knowledge on how to manage the transition to open innovation and on how to provide a culture based on openness improved. Open innovation is all about learning and collaborating with firms – both inside and outside the traditional financial services industry – to capitalize opportunities arising out of the disruptive trends. We discuss the amalgamation of products, services, and processes. Value derives from efficiency gains for the provider along the opportunity to collect and analyse vast amount of data. Open innovation is the prerequisite for future value streams and must be realized in the business models of incumbents as well as fintechs and non-banks. Basic understanding is essential before defining new strategies, also because it is the enabler for further engagements in innovation ecosystems.","author":[{"dropping-particle":"","family":"Fasnacht","given":"Daniel","non-dropping-particle":"","parse-names":false,"suffix":""}],"editor":[{"dropping-particle":"","family":"Fasnacht","given":"Daniel","non-dropping-particle":"","parse-names":false,"suffix":""}],"id":"ITEM-2","issued":{"date-parts":[["2018"]]},"page":"97-130","publisher":"Springer International Publishing","publisher-place":"Cham","title":"Open Innovation in the Financial Services BT  - Open Innovation Ecosystems: Creating New Value Constellations in the Financial Services","type":"chapter"},"uris":["http://www.mendeley.com/documents/?uuid=a79c80e8-9528-4fbc-aa62-c2eaf1427de7"]},{"id":"ITEM-3","itemData":{"DOI":"10.47814/ijssrr.v8i9.2879","abstract":"This study aims to explore service innovations in enhancing academic quality at private universities in Gorontalo. The main problem identified is the low sustainability of innovation due to weak governance structures. Employing a qualitative approach with a case study method, the research was conducted at selected private universities in Gorontalo. Data were collected through interviews, observations, focus group discussions, and document analysis, and were analyzed thematically. The findings reveal that innovations are predominantly technical and administrative in nature and have yet to be fully integrated into institutional quality systems. Although the innovations demonstrate relative advantage, compatibility, complexity, trialability, and observability, their implementation remains suboptimal. The study recommends strengthening principles of sustainable innovation governance and integrating both intrinsic and extrinsic factors of the diffusion of innovation theory into institutional quality improvement practices. These findings offer conceptual contributions to the development of service innovations in higher education, particularly in a local contextual framework.","author":[{"dropping-particle":"","family":"Arsana","given":"I Kadek","non-dropping-particle":"","parse-names":false,"suffix":""},{"dropping-particle":"","family":"Ansar","given":"Ansar","non-dropping-particle":"","parse-names":false,"suffix":""},{"dropping-particle":"","family":"Hasim","given":"Hasim","non-dropping-particle":"","parse-names":false,"suffix":""},{"dropping-particle":"","family":"Abdussamad","given":"Juriko","non-dropping-particle":"","parse-names":false,"suffix":""},{"dropping-particle":"","family":"Aneta","given":"Yanti","non-dropping-particle":"","parse-names":false,"suffix":""}],"container-title":"International Journal of Social Science Research and Review","id":"ITEM-3","issue":"9 SE - Main Articles","issued":{"date-parts":[["2025","8","29"]]},"title":"Service Innovation in Enhancing Academic Quality at Private Higher Education Institution in Gorontalo: An Integrative Conceptual Approach Based on the Diffusion of Innovation Theory","type":"article-journal","volume":"8"},"uris":["http://www.mendeley.com/documents/?uuid=6fbe9535-79de-4ba3-b982-9adfc9e7375a"]}],"mendeley":{"formattedCitation":"(I. K. Arsana et al., 2025; Fasnacht, 2018; Kahn, 2018)"},"properties":{"noteIndex":0},"schema":"https://github.com/citation-style-language/schema/raw/master/csl-citation.json"}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(I. K. Arsana et al., 2025; Fasnacht, 2018; Kahn, 2018)</w:t>
      </w:r>
      <w:r w:rsidR="00001E69" w:rsidRPr="006735ED">
        <w:rPr>
          <w:rFonts w:ascii="Arial" w:hAnsi="Arial" w:cs="Arial"/>
        </w:rPr>
        <w:fldChar w:fldCharType="end"/>
      </w:r>
      <w:r w:rsidRPr="006735ED">
        <w:rPr>
          <w:rFonts w:ascii="Arial" w:hAnsi="Arial" w:cs="Arial"/>
        </w:rPr>
        <w:t>. In higher education, innovation does not always mean a completely new discovery (radical innovation), but can also be in the form of improvements to systems, learning methods, or more efficient academic management (incremental innovation)</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{"citationItems":[{"id":"ITEM-1","itemData":{"DOI":"10.32702/2306-6814.2019.11.66","ISSN":"2306-6814","abstract":"Innovation is one of the most important forms of expanding the economic system's capabilities and competitiveness in a modern, dynamic world. Since the beginning of the 20th century, the theory of innovation has been developing, changing, and improving significantly and many scientific papers have been created on the topic of types of innovation. However, even today, scientists are confused in basic concepts, replacing one with another and taking one for the other without proper and inn depth terminology understanding. Although from innovation direction point of view, there is a clear distinction between types, some uncertainty in the levels (degrees) of innovations is present. For many years there have been many differences in the scientific literature, which significantly influenced both the inndepth understanding of the innovation concept and the quality of approaches to assessing the levels of innovation. The purpose of this paper is to inndepth review the literature on innovation types to identify approaches that emphasize the degree of innovation. We considered the different conclusions of the researchers step by step and argue that there is the problem of identifying one or another innovation in terms of its degree and find the disagreements in the scientific literature in basic concepts to understand high degree innovation. The most complete and extended definitions of incremental, semiiradical, radical, disruptive, and breakthrough innovation were proposed as well as Degree of Innovation matrix was created to clearly demonstrate the existing distinctive features of each individual degree of innovation. This paper contributes to the theoretical analysis of the impact of innovative knowledge, as well as broadens previously published scientific literature, analyzing its impact on understanding the types and degrees of innovation, as well as the relationships, characteristics and key differences between them. The results of the research is the conceptual basis supported by the scientific literature for the modern understanding of terminology in the field of innovation activities.","author":[{"dropping-particle":"","family":"Shestakov","given":"D.","non-dropping-particle":"","parse-names":false,"suffix":""},{"dropping-particle":"","family":"Poliarush","given":"O.","non-dropping-particle":"","parse-names":false,"suffix":""}],"container-title":"Investytsiyi: praktyka ta dosvid","id":"ITEM-1","issue":"11","issued":{"date-parts":[["2019"]]},"page":"66","title":"The Degree of Innovation: Through Incremental To Radical","type":"article-journal"},"uris":["http://www.mendeley.com/documents/?uuid=9d682d9e-1291-46e8-a0a2-23a489cf080b"]},{"id":"ITEM-2","itemData":{"DOI":"10.1148/radiol.2018171239","ISSN":"15271315","PMID":"29969069","abstract":"While the looming threat of large-scale disruptive innovation consumes disproportionate attention, incremental innovation remains an important tool for preserving and growing radiology practices within a dynamic marketplace. Incremental innovation, defined as the process of making improvements or additions to an organization while maintaining the organization’s core product or service model, is accessible to practices of all sizes and must not be overlooked if practices are to maintain their competitive advantage. This article explores cultural, structural, and process enablers for incremental innovation. Successful innovation cultures foster the ability to import and exploit external knowledge (adaptive capacity), encourage creative thought from all levels of the organization, display sensitivity toward the competency-destroying potential of certain changes, cultivate a positive perceptual bias toward organizational threats, and build tolerance for risk and uncertainty when prototyping new ideas. Structural elements promoting incremental innovation include dedicated resources for innovation planning, flexible and organic team structures, strong centralized governance models, robust communication systems, and organizational incentives encouraging exploration of new concepts. Processes important to innovation include periodic environmental scanning, strategic and scenario planning, use of an objectively gated system for testing and filtering new ideas, and use of an approach to implementation that emphasizes empowerment of project managers, removal of barriers, and proactive communication around change.","author":[{"dropping-particle":"","family":"Rubin","given":"Geoffrey D.","non-dropping-particle":"","parse-names":false,"suffix":""},{"dropping-particle":"","family":"Abramson","given":"Richard G.","non-dropping-particle":"","parse-names":false,"suffix":""}],"container-title":"Radiology","id":"ITEM-2","issue":"2","issued":{"date-parts":[["2018"]]},"page":"330-340","title":"Creating value through incremental innovation: Managing culture, structure, and process","type":"article-journal","volume":"288"},"uris":["http://www.mendeley.com/documents/?uuid=0a0f2b6c-36f3-456b-b444-52fb080ff94f"]},{"id":"ITEM-3","itemData":{"DOI":"https://doi.org/10.1016/j.technovation.2015.11.008","ISSN":"0166-4972","abstract":"Most research on innovation management at the organizational level has typically been focused on one specific innovation project phase or innovation management concept. This has resulted in many valuable insights, though scattered in different (innovation) research fields and studies. With the development of the Organizational Innovation System (OIS), we bring together important insights from the Innovation Systems, Open Innovation and other related fields into a guiding concept useful for both innovation managers developing (radical) innovations and innovation scholars. In this paper, we define the OIS and its key structural components, and discuss the identified functions and categories of potential imperfections. With the OIS, we provide a holistic, hands-on concept currently lacking in the open innovation approach. From the conceptualization, a framework for analysis is put forward which provides structure to the study of ongoing and finished innovation processes. Additionally, the development of the OIS is a first step in the development of a currently underdeveloped micro-level within the innovation systems perspective. The insights in OISs and the future insights derived from analytical efforts, will not only be beneficial for the performance of innovating organizations and organizational innovation systems but also for the performance of the higher, interconnected system levels.","author":[{"dropping-particle":"","family":"Lancker","given":"Jonas","non-dropping-particle":"Van","parse-names":false,"suffix":""},{"dropping-particle":"","family":"Mondelaers","given":"Koen","non-dropping-particle":"","parse-names":false,"suffix":""},{"dropping-particle":"","family":"Wauters","given":"Erwin","non-dropping-particle":"","parse-names":false,"suffix":""},{"dropping-particle":"","family":"Huylenbroeck","given":"Guido","non-dropping-particle":"Van","parse-names":false,"suffix":""}],"container-title":"Technovation","id":"ITEM-3","issued":{"date-parts":[["2016"]]},"page":"40-50","title":"The Organizational Innovation System: A systemic framework for radical innovation at the organizational level","type":"article-journal","volume":"52-53"},"uris":["http://www.mendeley.com/documents/?uuid=996d7e7b-e8d2-4307-b943-ae0f569ccab7"]}],"mendeley":{"formattedCitation":"(Rubin &amp; Abramson, 2018; Shestakov &amp; Poliarush, 2019; Van Lancker et al., 2016)"},"properties":{"noteIndex":0},"schema":"https://github.com/citation-style-language/schema/raw/master/csl-citation.json"}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(Rubin &amp; Abramson, 2018; Shestakov &amp; Poliarush, 2019; Van Lancker et al., 2016)</w:t>
      </w:r>
      <w:r w:rsidR="00001E69" w:rsidRPr="006735ED">
        <w:rPr>
          <w:rFonts w:ascii="Arial" w:hAnsi="Arial" w:cs="Arial"/>
        </w:rPr>
        <w:fldChar w:fldCharType="end"/>
      </w:r>
      <w:r w:rsidRPr="006735ED">
        <w:rPr>
          <w:rFonts w:ascii="Arial" w:hAnsi="Arial" w:cs="Arial"/>
        </w:rPr>
        <w:t>. Thus, innovation can be viewed as an adaptation strategy that enables higher education institutions to remain relevant and competitive in the face of changing times.</w:t>
      </w:r>
    </w:p>
    <w:p w:rsidR="00C273A3" w:rsidRPr="006735ED" w:rsidRDefault="00C273A3" w:rsidP="006735ED">
      <w:pPr>
        <w:pStyle w:val="Body"/>
        <w:snapToGrid w:val="0"/>
        <w:spacing w:after="120"/>
        <w:rPr>
          <w:rFonts w:ascii="Arial" w:hAnsi="Arial" w:cs="Arial"/>
        </w:rPr>
      </w:pPr>
      <w:r w:rsidRPr="006735ED">
        <w:rPr>
          <w:rFonts w:ascii="Arial" w:hAnsi="Arial" w:cs="Arial"/>
        </w:rPr>
        <w:lastRenderedPageBreak/>
        <w:t xml:space="preserve">More specifically, service innovation in higher education refers to innovations in the form of academic services, both administrative and pedagogical. Administrative service innovation includes the digitisation of academic information systems, integrated data management, and the acceleration of bureaucracy through information </w:t>
      </w:r>
      <w:r w:rsidR="00001E69" w:rsidRPr="006735ED">
        <w:rPr>
          <w:rFonts w:ascii="Arial" w:hAnsi="Arial" w:cs="Arial"/>
        </w:rPr>
        <w:t>technology</w:t>
      </w:r>
      <w:r w:rsidR="00F37A0E" w:rsidRPr="006735ED">
        <w:rPr>
          <w:rFonts w:ascii="Arial" w:hAnsi="Arial" w:cs="Arial"/>
        </w:rPr>
        <w:t xml:space="preserve"> </w:t>
      </w:r>
      <w:r w:rsidR="00001E69" w:rsidRPr="006735ED">
        <w:rPr>
          <w:rFonts w:ascii="Arial" w:hAnsi="Arial" w:cs="Arial"/>
        </w:rPr>
        <w:fldChar w:fldCharType="begin" w:fldLock="1"/>
      </w:r>
      <w:r w:rsidR="00001E69" w:rsidRPr="006735ED">
        <w:rPr>
          <w:rFonts w:ascii="Arial" w:hAnsi="Arial" w:cs="Arial"/>
        </w:rPr>
        <w:instrText>ADDIN CSL_CITATION {"citationItems":[{"id":"ITEM-1","itemData":{"DOI":"https://doi.org/10.1016/j.jbusres.2015.12.055","ISSN":"0148-2963","abstract":"Research on service innovation appears in several research disciplines, with important contributions in marketing, management, and operations research. Although the concept is widely used, few research papers have explicitly defined service innovation. This dearth of research is the motivation for the present study. Through a systematic review of 1301 articles on service innovation appearing in academic journals between 1979 and 2014, this article examines research defining service innovation. The study identifies the key characteristics within 84 definitions of service innovation in different perspectives (assimilation, demarcation and synthesis) and shows how the meaning of the concept is changing. The review suggests that the large variety in definitions limits and hinders knowledge development of service innovation.","author":[{"dropping-particle":"","family":"Witell","given":"Lars","non-dropping-particle":"","parse-names":false,"suffix":""},{"dropping-particle":"","family":"Snyder","given":"Hannah","non-dropping-particle":"","parse-names":false,"suffix":""},{"dropping-particle":"","family":"Gustafsson","given":"Anders","non-dropping-particle":"","parse-names":false,"suffix":""},{"dropping-particle":"","family":"Fombelle","given":"Paul","non-dropping-particle":"","parse-names":false,"suffix":""},{"dropping-particle":"","family":"Kristensson","given":"Per","non-dropping-particle":"","parse-names":false,"suffix":""}],"container-title":"Journal of Business Research","id":"ITEM-1","issue":"8","issued":{"date-parts":[["2016"]]},"page":"2863-2872","title":"Defining service innovation: A review and synthesis","type":"article-journal","volume":"69"},"uris":["http://www.mendeley.com/documents/?uuid=4906f0d2-df0e-4286-8a53-7c8f81e69dfb"]},{"id":"ITEM-2","itemData":{"DOI":"https://doi.org/10.1016/j.jbusres.2016.01.009","ISSN":"0148-2963","abstract":"Service innovation acts as society's engine of renewal and provides the necessary catalyst for the service sector's economic growth. Despite service innovation's importance, the concept remains fuzzy and poorly defined. Building on an extensive and systematic review of 1046 academic articles, this research investigates and explores how service innovation is defined and used in research. Results identify four unique service innovation categorizations emphasizing the following traits: (1) degree of change, (2) type of change, (3) newness, and (4) means of provision. The results show that most research focuses inward and views service innovation as something (only) new to the firm. Interestingly, service innovation categorizations appear to neglect both customer value and financial performance.","author":[{"dropping-particle":"","family":"Snyder","given":"Hannah","non-dropping-particle":"","parse-names":false,"suffix":""},{"dropping-particle":"","family":"Witell","given":"Lars","non-dropping-particle":"","parse-names":false,"suffix":""},{"dropping-particle":"","family":"Gustafsson","given":"Anders","non-dropping-particle":"","parse-names":false,"suffix":""},{"dropping-particle":"","family":"Fombelle","given":"Paul","non-dropping-particle":"","parse-names":false,"suffix":""},{"dropping-particle":"","family":"Kristensson","given":"Per","non-dropping-particle":"","parse-names":false,"suffix":""}],"container-title":"Journal of Business Research","id":"ITEM-2","issue":"7","issued":{"date-parts":[["2016"]]},"page":"2401-2408","title":"Identifying categories of service innovation: A review and synthesis of the literature","type":"article-journal","volume":"69"},"uris":["http://www.mendeley.com/documents/?uuid=b8b8a58d-5efd-46ed-80d3-fe38cd97ff35"]}],"mendeley":{"formattedCitation":"(Snyder et al., 2016; Witell et al., 2016)","plainTextFormattedCitation":"(Snyder et al., 2016; Witell et al., 2016)","previouslyFormattedCitation":"(Snyder et al., 2016; Witell et al., 2016)"},"properties":{"noteIndex":0},"schema":"https://github.com/citation-style-language/schema/raw/master/csl-citation.json"}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(Snyder et al., 2016; Witell et al., 2016)</w:t>
      </w:r>
      <w:r w:rsidR="00001E69" w:rsidRPr="006735ED">
        <w:rPr>
          <w:rFonts w:ascii="Arial" w:hAnsi="Arial" w:cs="Arial"/>
        </w:rPr>
        <w:fldChar w:fldCharType="end"/>
      </w:r>
      <w:r w:rsidRPr="006735ED">
        <w:rPr>
          <w:rFonts w:ascii="Arial" w:hAnsi="Arial" w:cs="Arial"/>
        </w:rPr>
        <w:t>. Meanwhile, pedagogical service innovations include the use of learning management systems (LMS), the implementation of blended learning, and project-based learning that emphasises academic outputs in the form of scientific articles, textbooks, and research-based creative products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author":[{"dropping-particle":"","family":"Prapasanobol","given":"Vatcharaporn","non-dropping-particle":"","parse-names":false,"suffix":""},{"dropping-particle":"","family":"Vanichwatanavorachai","given":"Siriwan","non-dropping-particle":"","parse-names":false,"suffix":""}],"id":"ITEM-1","issued":{"date-parts":[["2022"]]},"publisher":"Silpakorn University","title":"A Model for Developing Pre-service Teachers’ Teaching Competencies by Using Project-Based and Creative Learning Management to Enhance Students' Creative Innovation Ability","type":"article"},"uris":["http://www.mendeley.com/documents/?uuid=bfbfadf3-4ee7-4a69-bf1e-ba198ca31370"]},{"id":"ITEM-2","itemData":{"ISBN":"9798886063196","author":[{"dropping-particle":"","family":"Muthuswamy","given":"P R","non-dropping-particle":"","parse-names":false,"suffix":""}],"id":"ITEM-2","issued":{"date-parts":[["2022"]]},"publisher":"Notion Press","title":"New age education models: Innovation and reform in the 21st century","type":"book"},"uris":["http://www.mendeley.com/documents/?uuid=16b9044c-98f6-49e6-aa6a-8a6e273c3882"]}],"mendeley":{"formattedCitation":"(Muthuswamy, 2022; Prapasanobol &amp; Vanichwatanavorachai, 2022)"},"properties":{"noteIndex":0},"schema":"https://github.com/citation-style-language/schema/raw/master/csl-citation.json"}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(Muthuswamy, 2022; Prapasanobol &amp; Vanichwatanavorachai, 2022)</w:t>
      </w:r>
      <w:r w:rsidR="00001E69" w:rsidRPr="006735ED">
        <w:rPr>
          <w:rFonts w:ascii="Arial" w:hAnsi="Arial" w:cs="Arial"/>
        </w:rPr>
        <w:fldChar w:fldCharType="end"/>
      </w:r>
      <w:r w:rsidRPr="006735ED">
        <w:rPr>
          <w:rFonts w:ascii="Arial" w:hAnsi="Arial" w:cs="Arial"/>
        </w:rPr>
        <w:t xml:space="preserve">. </w:t>
      </w:r>
    </w:p>
    <w:p w:rsidR="00C273A3" w:rsidRPr="006735ED" w:rsidRDefault="00C273A3" w:rsidP="006735ED">
      <w:pPr>
        <w:pStyle w:val="Body"/>
        <w:snapToGrid w:val="0"/>
        <w:spacing w:after="120"/>
        <w:rPr>
          <w:rFonts w:ascii="Arial" w:hAnsi="Arial" w:cs="Arial"/>
        </w:rPr>
      </w:pPr>
      <w:r w:rsidRPr="006735ED">
        <w:rPr>
          <w:rFonts w:ascii="Arial" w:hAnsi="Arial" w:cs="Arial"/>
        </w:rPr>
        <w:t>However, the success of service innovation in improving academic quality is not solely determined by technological superiority. Another factor that is equally important is the extent to which the innovation can be accepted, internalised, and understood by the entire academic community. Within the framework of innovation diffusion theory, the adoption of innovation is influenced by five main dimensions, namely relative advantage (advantages over the old system), compatibility (suitability with organisational values and culture), complexity (ease of use), trialability (opportunity to try), and observability (ease of observing results)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{"citationItems":[{"id":"ITEM-1","itemData":{"author":[{"dropping-particle":"","family":"Rogers","given":"Everett M","non-dropping-particle":"","parse-names":false,"suffix":""},{"dropping-particle":"","family":"Singhal","given":"Arvind","non-dropping-particle":"","parse-names":false,"suffix":""},{"dropping-particle":"","family":"Quinlan","given":"Margaret M","non-dropping-particle":"","parse-names":false,"suffix":""}],"container-title":"An integrated approach to communication theory and research","id":"ITEM-1","issued":{"date-parts":[["2019"]]},"page":"415-434","publisher":"Routledge","title":"Diffusion of innovations 1","type":"chapter"},"uris":["http://www.mendeley.com/documents/?uuid=07c3f047-c0c6-47c9-8236-78b889f8bd02"]}],"mendeley":{"formattedCitation":"(Rogers et al., 2019)"},"properties":{"noteIndex":0},"schema":"https://github.com/citation-style-language/schema/raw/master/csl-citation.json"}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(Rogers et al., 2019)</w:t>
      </w:r>
      <w:r w:rsidR="00001E69" w:rsidRPr="006735ED">
        <w:rPr>
          <w:rFonts w:ascii="Arial" w:hAnsi="Arial" w:cs="Arial"/>
        </w:rPr>
        <w:fldChar w:fldCharType="end"/>
      </w:r>
      <w:r w:rsidRPr="006735ED">
        <w:rPr>
          <w:rFonts w:ascii="Arial" w:hAnsi="Arial" w:cs="Arial"/>
        </w:rPr>
        <w:t xml:space="preserve">. </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In relation to governance, the principle of sustainable innovation governance is a key factor that determines the </w:t>
      </w:r>
      <w:r w:rsidR="00001E69" w:rsidRPr="006735ED">
        <w:rPr>
          <w:rFonts w:ascii="Arial" w:hAnsi="Arial" w:cs="Arial"/>
        </w:rPr>
        <w:t xml:space="preserve">long-term </w:t>
      </w:r>
      <w:r w:rsidRPr="006735ED">
        <w:rPr>
          <w:rFonts w:ascii="Arial" w:hAnsi="Arial" w:cs="Arial"/>
        </w:rPr>
        <w:t>effectiveness of innovation</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{"citationItems":[{"id":"ITEM-1","itemData":{"DOI":"https://doi.org/10.1016/j.sbspro.2015.06.443","ISSN":"1877-0428","abstract":"Sustainable tourism development is now a necessity of time. All the parties involved in tourism should participate in efforts to sustainable tourism development. Sustainability, as the best way of doing business today, is a new concept in the tourism sector and sustainable tourism practices can be considered as a new type of innovation in the tourism industry. Therefore knowledge of the factors affecting tourism businesses to integrate sustainability in their activities is critical. Without this type of information, we are limited in our ability to design tools that work in the future to mitigate barriers and increase motivations tourism businesses to adopt sustainable tourism practices in their activity. Factors’ influencing in the integration of sustainable practices into business activities is very subject discussed in different industries and different scientific disciplines after the late 80's. However, a limited number of studies addressed perspective of tourism businesses to adopt sustainable tourism practices. These studies have used different theoretical models. This paper undertakes the analysis of these models from the review of literatures, giving their advantages and limitations in the study of the factors influencing businesses to adopt sustainable tourism practices. After analysis, the paper finally concludes that Rogers's theory on adaptation and diffusion of innovation is a suitable theoretical model in the study of factors influencing the adoption of sustainable tourism practices in tourism businesses.","author":[{"dropping-particle":"","family":"Dibra","given":"Mirjam","non-dropping-particle":"","parse-names":false,"suffix":""}],"container-title":"Procedia - Social and Behavioral Sciences","id":"ITEM-1","issued":{"date-parts":[["2015"]]},"page":"1453-1462","title":"Rogers Theory on Diffusion of Innovation-The Most Appropriate Theoretical Model in the Study of Factors Influencing the Integration of Sustainability in Tourism Businesses","type":"article-journal","volume":"195"},"uris":["http://www.mendeley.com/documents/?uuid=7f7c3449-0997-450b-ac67-4c03a2443dec"]}],"mendeley":{"formattedCitation":"(Dibra, 2015)"},"properties":{"noteIndex":0},"schema":"https://github.com/citation-style-language/schema/raw/master/csl-citation.json"}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(Dibra, 2015)</w:t>
      </w:r>
      <w:r w:rsidR="00001E69" w:rsidRPr="006735ED">
        <w:rPr>
          <w:rFonts w:ascii="Arial" w:hAnsi="Arial" w:cs="Arial"/>
        </w:rPr>
        <w:fldChar w:fldCharType="end"/>
      </w:r>
      <w:r w:rsidRPr="006735ED">
        <w:rPr>
          <w:rFonts w:ascii="Arial" w:hAnsi="Arial" w:cs="Arial"/>
        </w:rPr>
        <w:t>. Good innovation governance does not only rely on technology, but also emphasises institutional commitment, consistency of implementation, and coordination between work units. Similarly, coordination between quality assurance units, lecturers, and university leaders is important so that the digital system does not merely serve as an administrative tool, but truly drives improvements in learning quality and academic accountability. In other words, sustainable innovation management is an institutional framework that ensures innovation does not merely become a passing trend, but is integrated into the organisational culture and supports continuous improvement in academic quality.</w:t>
      </w:r>
    </w:p>
    <w:p w:rsidR="00C273A3" w:rsidRPr="006735ED" w:rsidRDefault="00C273A3" w:rsidP="006735ED">
      <w:pPr>
        <w:pStyle w:val="Body"/>
        <w:snapToGrid w:val="0"/>
        <w:spacing w:after="120"/>
        <w:rPr>
          <w:rFonts w:ascii="Arial" w:hAnsi="Arial" w:cs="Arial"/>
        </w:rPr>
      </w:pPr>
      <w:r w:rsidRPr="006735ED">
        <w:rPr>
          <w:rFonts w:ascii="Arial" w:hAnsi="Arial" w:cs="Arial"/>
        </w:rPr>
        <w:t>Academic quality reflects the quality of the implementation of the three pillars of higher education, which is assessed from various aspects, such as curriculum quality, lecturer competence, student participation in research, scientific publications, study programme accreditation, and relevance to community needs. High academic quality not only enhances the reputation of higher education institutions, but also has an impact on the competitiveness of graduates in the world of work</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{"citationItems":[{"id":"ITEM-1","itemData":{"DOI":"10.1057/hep.2014.27","ISSN":"1740-3863","abstract":"Since the mid-1990s, the pressure of globalization and the pressing demands of a knowledge economy led to a series of educational reforms. The focus of these was the promotion of quality education and massification of higher education. After the Asian financial crisis in 1997, the governments in different parts of Asia have implemented comprehensive reforms to their higher education systems in order to enhance their global competiveness. Confronted with increasing pressure for global university ranking, governments and universities in Asia have tried to adopt different strategies in terms of special funding schemes, and different forms of measures in shaping teaching, learning and research activities to enhance their global ranking. This article sets out against the context briefly outlined above to highlight major higher education transformations for global competitiveness, with particular reference to discuss policy responses, social consequences, and impact on the academic profession in Asia especially when major attention is geared towards the quest for global university ranking among universities in Asia.","author":[{"dropping-particle":"","family":"Mok","given":"Ka Ho","non-dropping-particle":"","parse-names":false,"suffix":""}],"container-title":"Higher Education Policy","id":"ITEM-1","issue":"1","issued":{"date-parts":[["2015"]]},"page":"1-15","title":"Higher Education Transformations for Global Competitiveness: Policy Responses, Social Consequences and Impact on the Academic Profession in Asia","type":"article-journal","volume":"28"},"uris":["http://www.mendeley.com/documents/?uuid=847d143d-ffda-4339-845f-589f2c5c9f8f"]},{"id":"ITEM-2","itemData":{"DOI":"10.1080/23322969.2018.1424562","ISSN":"2332-2969","author":[{"dropping-particle":"","family":"Hazelkorn","given":"Ellen","non-dropping-particle":"","parse-names":false,"suffix":""}],"container-title":"Policy Reviews in Higher Education","id":"ITEM-2","issue":"1","issued":{"date-parts":[["2018","1","2"]]},"note":"doi: 10.1080/23322969.2018.1424562","page":"4-31","publisher":"SRHE Website","title":"Reshaping the world order of higher education: the role and impact of rankings on national and global systems*","type":"article-journal","volume":"2"},"uris":["http://www.mendeley.com/documents/?uuid=c9200315-ad91-49c2-9af0-180bce1e32e4"]},{"id":"ITEM-3","itemData":{"ISBN":"9087907567","author":[{"dropping-particle":"","family":"Teichler","given":"Ulrich","non-dropping-particle":"","parse-names":false,"suffix":""}],"id":"ITEM-3","issued":{"date-parts":[["2019"]]},"publisher":"Brill","title":"Higher education and the world of work: Conceptual frameworks, comparative perspectives, empirical findings","type":"book","volume":"16"},"uris":["http://www.mendeley.com/documents/?uuid=b636cd58-2e38-4a56-ad5a-1e252283d654"]},{"id":"ITEM-4","itemData":{"DOI":"https://doi.org/10.1016/j.bushor.2016.01.003","ISSN":"0007-6813","abstract":"Like several other nonprofit and for-profit industries, the higher education sector has been subject to a series of fundamental challenges in the past decade. Education used to be considered a public good, provided by nonprofit organizations that were unexposed to market pressure and had clear societal missions. Now, education is becoming a global service delivered by quasi-companies in an ever-more complex and competitive knowledge marketplace. To cope with these challenges, higher education institutions need an appropriate strategy, a necessity reflected in numerous calls for research on strategy in the higher education sector. This article's purpose is to contribute to this discussion by providing prescriptive guidance to higher education managers and policy makers. To this end, it proposes a SWOT (strengths, weaknesses, opportunities, threats) analysis illustrating eight key trends that will impact higher education and academia in the short-to-medium term. Drawing from these trends, three core challenges are identified that higher education institutions will face and that have fundamental implications for research and practice: (1) the need to enhance prestige and market share; (2) the need to embrace an entrepreneurial mindset; and (3) the need to expand interactions and value co-creation with key stakeholders.","author":[{"dropping-particle":"","family":"Pucciarelli","given":"Francesca","non-dropping-particle":"","parse-names":false,"suffix":""},{"dropping-particle":"","family":"Kaplan","given":"Andreas","non-dropping-particle":"","parse-names":false,"suffix":""}],"container-title":"Business Horizons","id":"ITEM-4","issue":"3","issued":{"date-parts":[["2016"]]},"page":"311-320","title":"Competition and strategy in higher education: Managing complexity and uncertainty","type":"article-journal","volume":"59"},"uris":["http://www.mendeley.com/documents/?uuid=a9ee122e-11d8-4b8a-8eb3-df39b9e7cf08"]}],"mendeley":{"formattedCitation":"(Hazelkorn, 2018; Mok, 2015; Pucciarelli &amp; Kaplan, 2016; Teichler, 2019)"},"properties":{"noteIndex":0},"schema":"https://github.com/citation-style-language/schema/raw/master/csl-citation.json"}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(Hazelkorn, 2018; Mok, 2015; Pucciarelli &amp; Kaplan, 2016; Teichler, 2019)</w:t>
      </w:r>
      <w:r w:rsidR="00001E69" w:rsidRPr="006735ED">
        <w:rPr>
          <w:rFonts w:ascii="Arial" w:hAnsi="Arial" w:cs="Arial"/>
        </w:rPr>
        <w:fldChar w:fldCharType="end"/>
      </w:r>
      <w:r w:rsidRPr="006735ED">
        <w:rPr>
          <w:rFonts w:ascii="Arial" w:hAnsi="Arial" w:cs="Arial"/>
        </w:rPr>
        <w:t>. Therefore, the relationship between service innovation and academic quality is relevant to study, particularly in the context of private higher education institutions that still face limitations in resources, infrastructure, and managerial challenges.</w:t>
      </w:r>
    </w:p>
    <w:p w:rsidR="00C273A3" w:rsidRPr="006735ED" w:rsidRDefault="00C273A3" w:rsidP="006735ED">
      <w:pPr>
        <w:pStyle w:val="Body"/>
        <w:snapToGrid w:val="0"/>
        <w:spacing w:after="120"/>
        <w:rPr>
          <w:rFonts w:ascii="Arial" w:hAnsi="Arial" w:cs="Arial"/>
        </w:rPr>
      </w:pPr>
      <w:r w:rsidRPr="006735ED">
        <w:rPr>
          <w:rFonts w:ascii="Arial" w:hAnsi="Arial" w:cs="Arial"/>
        </w:rPr>
        <w:t>The context of private universities in Gorontalo clearly illustrates this dynamic. Despite various efforts to digitise and innovate learning, practices in the field still show gaps in implementation. Technical barriers such as network limitations, infrastructure, and system integration, as well as non-technical barriers such as work culture resistance, low technological literacy, and lack of lecturer participation, pose serious challenges in ensuring the effectiveness of innovation. Therefore, this research is important not only from a practical perspective but also from a theoretical perspective, particularly in developing a conceptual framework on how service innovations can contribute to academic quality when managed with sustainable governance principles.</w:t>
      </w:r>
    </w:p>
    <w:p w:rsidR="00C273A3" w:rsidRPr="006735ED" w:rsidRDefault="00C273A3" w:rsidP="006735ED">
      <w:pPr>
        <w:pStyle w:val="Body"/>
        <w:snapToGrid w:val="0"/>
        <w:spacing w:after="120"/>
        <w:rPr>
          <w:rFonts w:ascii="Arial" w:hAnsi="Arial" w:cs="Arial"/>
        </w:rPr>
      </w:pPr>
      <w:r w:rsidRPr="006735ED">
        <w:rPr>
          <w:rFonts w:ascii="Arial" w:hAnsi="Arial" w:cs="Arial"/>
        </w:rPr>
        <w:t>Thus, this study attempts to formulate a theoretical conceptual framework model of service innovation in improving academic quality at Gorontalo Private Universities, which integrates the concepts of service innovation, academic quality, and sustainable innovation management. This model is expected to enrich scientific literature in the field of public administration and public service management, while also providing practical contributions to private universities in developing effective, adaptive, and sustainable innovation strategies.</w:t>
      </w:r>
    </w:p>
    <w:p w:rsidR="006735ED" w:rsidRDefault="006735ED" w:rsidP="006735ED">
      <w:pPr>
        <w:pStyle w:val="AbstHead"/>
        <w:spacing w:after="0"/>
        <w:jc w:val="both"/>
        <w:rPr>
          <w:rFonts w:ascii="Arial" w:hAnsi="Arial" w:cs="Arial"/>
        </w:rPr>
      </w:pPr>
      <w:r>
        <w:rPr>
          <w:rFonts w:ascii="Arial" w:hAnsi="Arial" w:cs="Arial"/>
        </w:rPr>
        <w:t>material and methods</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Research Method This study employs a qualitative approach with a </w:t>
      </w:r>
      <w:r w:rsidR="00001E69" w:rsidRPr="006735ED">
        <w:rPr>
          <w:rFonts w:ascii="Arial" w:hAnsi="Arial" w:cs="Arial"/>
        </w:rPr>
        <w:t xml:space="preserve">naturalistic </w:t>
      </w:r>
      <w:r w:rsidRPr="006735ED">
        <w:rPr>
          <w:rFonts w:ascii="Arial" w:hAnsi="Arial" w:cs="Arial"/>
        </w:rPr>
        <w:t xml:space="preserve">design, specifically </w:t>
      </w:r>
      <w:r w:rsidR="00001E69" w:rsidRPr="006735ED">
        <w:rPr>
          <w:rFonts w:ascii="Arial" w:hAnsi="Arial" w:cs="Arial"/>
        </w:rPr>
        <w:fldChar w:fldCharType="begin" w:fldLock="1"/>
      </w:r>
      <w:r w:rsidR="00F37A0E" w:rsidRPr="006735ED">
        <w:rPr>
          <w:rFonts w:ascii="Arial" w:hAnsi="Arial" w:cs="Arial"/>
        </w:rPr>
        <w:instrText>ADDIN CSL_CITATION {"citationItems":[{"id":"ITEM-1","itemData":{"author":[{"dropping-particle":"","family":"Lee","given":"Sang-Hie","non-dropping-particle":"","parse-names":false,"suffix":""}],"container-title":"Scholarly Research in Music","id":"ITEM-1","issued":{"date-parts":[["2022"]]},"page":"87-94","publisher":"Routledge","title":"Naturalistic Inquiry/Qualitative Studies","type":"chapter"},"uris":["http://www.mendeley.com/documents/?uuid=0cb8888b-3c60-464a-8a3c-0ce8fcc45d47"]}],"mendeley":{"formattedCitation":"(Lee, 2022)"},"properties":{"noteIndex":0},"schema":"https://github.com/citation-style-language/schema/raw/master/csl-citation.json"}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(Lee, 2022)</w:t>
      </w:r>
      <w:r w:rsidR="00001E69" w:rsidRPr="006735ED">
        <w:rPr>
          <w:rFonts w:ascii="Arial" w:hAnsi="Arial" w:cs="Arial"/>
        </w:rPr>
        <w:fldChar w:fldCharType="end"/>
      </w:r>
      <w:r w:rsidRPr="006735ED">
        <w:rPr>
          <w:rFonts w:ascii="Arial" w:hAnsi="Arial" w:cs="Arial"/>
        </w:rPr>
        <w:t>, as its primary focus is to gain an in-depth understanding of the dynamics of academic service innovation occurring within private higher education institutions in Gorontalo. The naturalistic approach was chosen so that researchers could capture the reality in the field, without intervention or experimental treatment. In this way, the phenomenon of service innovation is understood as a process that grows from institutional culture, academic community interactions, and the context of higher education policy in a more authentic way.</w:t>
      </w:r>
    </w:p>
    <w:p w:rsidR="00C273A3" w:rsidRPr="006735ED" w:rsidRDefault="00C273A3" w:rsidP="006735ED">
      <w:pPr>
        <w:pStyle w:val="Body"/>
        <w:snapToGrid w:val="0"/>
        <w:spacing w:after="120"/>
        <w:rPr>
          <w:rFonts w:ascii="Arial" w:hAnsi="Arial" w:cs="Arial"/>
        </w:rPr>
      </w:pPr>
      <w:r w:rsidRPr="006735ED">
        <w:rPr>
          <w:rFonts w:ascii="Arial" w:hAnsi="Arial" w:cs="Arial"/>
        </w:rPr>
        <w:lastRenderedPageBreak/>
        <w:t>The research locations were several private universities in Gorontalo that were actively transforming their services to be digitally based. The locations were selected purposively, considering that these institutions are developing academic information systems (SIAKAD), learning management systems (LMS), and digital-based learning models as strategies for improving academic quality. These locations are considered representative of the patterns of service innovation occurring in private universities at the regional level.</w:t>
      </w:r>
    </w:p>
    <w:p w:rsidR="00C273A3" w:rsidRPr="006735ED" w:rsidRDefault="00C273A3" w:rsidP="006735ED">
      <w:pPr>
        <w:pStyle w:val="Body"/>
        <w:snapToGrid w:val="0"/>
        <w:spacing w:after="120"/>
        <w:rPr>
          <w:rFonts w:ascii="Arial" w:hAnsi="Arial" w:cs="Arial"/>
        </w:rPr>
      </w:pPr>
      <w:r w:rsidRPr="006735ED">
        <w:rPr>
          <w:rFonts w:ascii="Arial" w:hAnsi="Arial" w:cs="Arial"/>
        </w:rPr>
        <w:t>Research informants were determined using purposive sampling techniques based on their roles and involvement in the innovation process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{"citationItems":[{"id":"ITEM-1","itemData":{"DOI":"10.1007/s11846-025-00881-2","ISSN":"1863-6691","abstract":"Qualitative research has been flourishing in business and management research over the past decades. The insights gathered from rich qualitative data fundamentally depend on the analyzed subjects and case(s). Hence, highly substantial to qualitative research is how to achieve purposeful case selection and saturation of cases and informants. Our study reviews previous research on purposeful case selection and saturation. We specify that considering the level of analysis is particularly challenging in business and management research as cases are not typically individuals but rather aggregated individuals or collective entities, such as units, organizations, or types of organizations. Furthermore, informants and cases can provide coherent or differing information (‘harmony’ and ‘discord’) on different levels and across informants or cases so influencing purposeful selection and especially saturation. Our study zooms in on three qualitative approaches in business and management research: the so-called Gioia, the Eisenhardt, and the flexible pattern matching approach. We review how empirical studies following those approaches have explained the purposeful case selection and the saturation as well as what number of informants and cases they used. From these reviews, we deduct critical reflections, considerations, and guidelines about harmony and discord when including different informants and cases in the qualitative research process.","author":[{"dropping-particle":"","family":"Bouncken","given":"Ricarda B","non-dropping-particle":"","parse-names":false,"suffix":""},{"dropping-particle":"","family":"Czakon","given":"Wojciech","non-dropping-particle":"","parse-names":false,"suffix":""},{"dropping-particle":"","family":"Schmitt","given":"Florian","non-dropping-particle":"","parse-names":false,"suffix":""}],"container-title":"Review of Managerial Science","id":"ITEM-1","issued":{"date-parts":[["2025"]]},"title":"Purposeful sampling and saturation in qualitative research methodologies: recommendations and review","type":"article-journal"},"uris":["http://www.mendeley.com/documents/?uuid=8a8dc81e-1f63-43c9-9230-626d42cba4d9"]}],"mendeley":{"formattedCitation":"(Bouncken et al., 2025)"},"properties":{"noteIndex":0},"schema":"https://github.com/citation-style-language/schema/raw/master/csl-citation.json"}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(Bouncken et al., 2025)</w:t>
      </w:r>
      <w:r w:rsidR="00001E69" w:rsidRPr="006735ED">
        <w:rPr>
          <w:rFonts w:ascii="Arial" w:hAnsi="Arial" w:cs="Arial"/>
        </w:rPr>
        <w:fldChar w:fldCharType="end"/>
      </w:r>
      <w:r w:rsidRPr="006735ED">
        <w:rPr>
          <w:rFonts w:ascii="Arial" w:hAnsi="Arial" w:cs="Arial"/>
        </w:rPr>
        <w:t>. They consisted of university leaders who set academic policy directions, lecturers who were the main implementers of learning and research, and educational staff who managed academic administration. The involvement of these diverse informants was intended to ensure that the perspectives obtained were holistic, reflecting experiences from the policy-making level to the end users.</w:t>
      </w:r>
    </w:p>
    <w:p w:rsidR="00C273A3" w:rsidRPr="006735ED" w:rsidRDefault="00C273A3" w:rsidP="006735ED">
      <w:pPr>
        <w:pStyle w:val="Body"/>
        <w:snapToGrid w:val="0"/>
        <w:spacing w:after="120"/>
        <w:rPr>
          <w:rFonts w:ascii="Arial" w:hAnsi="Arial" w:cs="Arial"/>
        </w:rPr>
      </w:pPr>
      <w:r w:rsidRPr="006735ED">
        <w:rPr>
          <w:rFonts w:ascii="Arial" w:hAnsi="Arial" w:cs="Arial"/>
        </w:rPr>
        <w:t>Research data was obtained through several techniques, namely in-depth interviews, participant observation, and documentation. Interviews were used to explore informants' experiences, perceptions, and evaluations of the effectiveness of academic service innovations. Observations were conducted to directly understand how digital systems are operated in daily activities, including in administrative services and learning processes. Documentation focused on reviewing internal policies, accreditation reports, quality documents, and scientific publication data as part of academic quality indicators.</w:t>
      </w:r>
    </w:p>
    <w:p w:rsidR="00C273A3" w:rsidRPr="006735ED" w:rsidRDefault="00C273A3" w:rsidP="006735ED">
      <w:pPr>
        <w:pStyle w:val="Body"/>
        <w:snapToGrid w:val="0"/>
        <w:spacing w:after="120"/>
        <w:rPr>
          <w:rFonts w:ascii="Arial" w:hAnsi="Arial" w:cs="Arial"/>
        </w:rPr>
      </w:pPr>
      <w:r w:rsidRPr="006735ED">
        <w:rPr>
          <w:rFonts w:ascii="Arial" w:hAnsi="Arial" w:cs="Arial"/>
        </w:rPr>
        <w:t>Data analysis was conducted simultaneously with data collection, following the interactive pattern of Miles and Huberman. The analysis included data collection, data reduction, data presentation, and conclusion drawing. The data was then verified by comparing between informants and between sources, resulting in more robust patterns of relationships between service innovation, governance, and academic quality</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ISSN":"1052-0147","author":[{"dropping-particle":"","family":"Kalpokaite","given":"Neringa","non-dropping-particle":"","parse-names":false,"suffix":""},{"dropping-particle":"","family":"Radivojevic","given":"Ivana","non-dropping-particle":"","parse-names":false,"suffix":""}],"container-title":"The Qualitative Report","id":"ITEM-1","issue":"13","issued":{"date-parts":[["2019"]]},"page":"44-57","title":"Demystifying qualitative data analysis for novice qualitative researchers","type":"article-journal","volume":"24"},"uris":["http://www.mendeley.com/documents/?uuid=889aa1b0-f0f9-4a1d-b494-5b5595636578"]}],"mendeley":{"formattedCitation":"(Kalpokaite &amp; Radivojevic, 2019)"},"properties":{"noteIndex":0},"schema":"https://github.com/citation-style-language/schema/raw/master/csl-citation.json"}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(Kalpokaite &amp; Radivojevic, 2019)</w:t>
      </w:r>
      <w:r w:rsidR="00001E69" w:rsidRPr="006735ED">
        <w:rPr>
          <w:rFonts w:ascii="Arial" w:hAnsi="Arial" w:cs="Arial"/>
        </w:rPr>
        <w:fldChar w:fldCharType="end"/>
      </w:r>
      <w:r w:rsidRPr="006735ED">
        <w:rPr>
          <w:rFonts w:ascii="Arial" w:hAnsi="Arial" w:cs="Arial"/>
        </w:rPr>
        <w:t>.</w:t>
      </w:r>
    </w:p>
    <w:p w:rsidR="00C273A3" w:rsidRPr="006735ED" w:rsidRDefault="00C273A3" w:rsidP="006735ED">
      <w:pPr>
        <w:pStyle w:val="Head1"/>
        <w:spacing w:after="0"/>
        <w:jc w:val="both"/>
        <w:rPr>
          <w:rFonts w:ascii="Arial" w:hAnsi="Arial" w:cs="Arial"/>
        </w:rPr>
      </w:pPr>
      <w:r w:rsidRPr="006735ED">
        <w:rPr>
          <w:rFonts w:ascii="Arial" w:hAnsi="Arial" w:cs="Arial"/>
        </w:rPr>
        <w:t>Res</w:t>
      </w:r>
      <w:r w:rsidR="00E51D56" w:rsidRPr="006735ED">
        <w:rPr>
          <w:rFonts w:ascii="Arial" w:hAnsi="Arial" w:cs="Arial"/>
        </w:rPr>
        <w:t>ults and Discussion</w:t>
      </w:r>
    </w:p>
    <w:p w:rsidR="00C273A3" w:rsidRPr="006735ED" w:rsidRDefault="00C273A3" w:rsidP="006735ED">
      <w:pPr>
        <w:pStyle w:val="Body"/>
        <w:snapToGrid w:val="0"/>
        <w:spacing w:after="120"/>
        <w:rPr>
          <w:rFonts w:ascii="Arial" w:hAnsi="Arial" w:cs="Arial"/>
        </w:rPr>
      </w:pPr>
      <w:bookmarkStart w:id="1" w:name="_Toc204721811"/>
      <w:r w:rsidRPr="006735ED">
        <w:rPr>
          <w:rFonts w:ascii="Arial" w:hAnsi="Arial" w:cs="Arial"/>
        </w:rPr>
        <w:t xml:space="preserve">Service Innovation in Enhancing Academic Quality at Private Universities </w:t>
      </w:r>
      <w:bookmarkEnd w:id="1"/>
    </w:p>
    <w:p w:rsidR="00C273A3" w:rsidRPr="006735ED" w:rsidRDefault="00C273A3" w:rsidP="006735ED">
      <w:pPr>
        <w:pStyle w:val="Body"/>
        <w:snapToGrid w:val="0"/>
        <w:spacing w:after="120"/>
        <w:rPr>
          <w:rFonts w:ascii="Arial" w:hAnsi="Arial" w:cs="Arial"/>
        </w:rPr>
      </w:pPr>
      <w:r w:rsidRPr="006735ED">
        <w:rPr>
          <w:rFonts w:ascii="Arial" w:hAnsi="Arial" w:cs="Arial"/>
        </w:rPr>
        <w:t>The adoption of service innovations has not been optimal, despite various efforts to improve academic quality at three private universities in Gorontalo. Service innovations in the field of education that have been implemented include the use of an integrated academic information system, a learning management system (LMS), a blended learning process, and a project-based learning method with outputs in the form of scientific articles and books. The advantages of these innovations include increased efficiency in academic administrative services, which were previously manual, inefficient, prone to errors, and time-consuming.</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Digitalisation enables the comprehensive integration of academic services, ranging from KRS, KHS, attendance, to BKD and </w:t>
      </w:r>
      <w:proofErr w:type="spellStart"/>
      <w:r w:rsidRPr="006735ED">
        <w:rPr>
          <w:rFonts w:ascii="Arial" w:hAnsi="Arial" w:cs="Arial"/>
        </w:rPr>
        <w:t>PDDikti</w:t>
      </w:r>
      <w:proofErr w:type="spellEnd"/>
      <w:r w:rsidRPr="006735ED">
        <w:rPr>
          <w:rFonts w:ascii="Arial" w:hAnsi="Arial" w:cs="Arial"/>
        </w:rPr>
        <w:t xml:space="preserve"> reporting, all of which are structured and interconnected between systems. These innovations are also considered compatible with the values, culture, and needs of private higher education organisations in Gorontalo. Support for innovation is strengthened by the active involvement of users, responsiveness to feedback, and integration with national policies.</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Ease of use is reflected in reduced physical interaction requirements, increased service speed, and open access to the system anytime and anywhere via online devices. The ability to test the system before full implementation also has a significant impact on user acceptance and comfort in adapting to new technology. The observability aspect of this academic service innovation has been realised in a tangible way, directly observable through service transparency, openness of academic data, tracking of student and lecturer activities, and accountability for external reporting such as accreditation and </w:t>
      </w:r>
      <w:proofErr w:type="spellStart"/>
      <w:r w:rsidRPr="006735ED">
        <w:rPr>
          <w:rFonts w:ascii="Arial" w:hAnsi="Arial" w:cs="Arial"/>
        </w:rPr>
        <w:t>PDDikti</w:t>
      </w:r>
      <w:proofErr w:type="spellEnd"/>
      <w:r w:rsidRPr="006735ED">
        <w:rPr>
          <w:rFonts w:ascii="Arial" w:hAnsi="Arial" w:cs="Arial"/>
        </w:rPr>
        <w:t>. This demonstrates that digital transformation is not an abstract concept but brings about tangible and measurable changes</w:t>
      </w:r>
      <w:r w:rsidR="00F37A0E" w:rsidRPr="006735ED">
        <w:rPr>
          <w:rFonts w:ascii="Arial" w:hAnsi="Arial" w:cs="Arial"/>
        </w:rPr>
        <w:t xml:space="preserve"> </w:t>
      </w:r>
      <w:r w:rsidR="00001E69" w:rsidRPr="006735ED">
        <w:rPr>
          <w:rFonts w:ascii="Arial" w:hAnsi="Arial" w:cs="Arial"/>
        </w:rPr>
        <w:fldChar w:fldCharType="begin" w:fldLock="1"/>
      </w:r>
      <w:r w:rsidR="00F37A0E" w:rsidRPr="006735ED">
        <w:rPr>
          <w:rFonts w:ascii="Arial" w:hAnsi="Arial" w:cs="Arial"/>
        </w:rPr>
        <w:instrText>ADDIN CSL_CITATION {"citationItems":[{"id":"ITEM-1","itemData":{"ISSN":"2518-668X","author":[{"dropping-particle":"","family":"Aneta","given":"Yanti","non-dropping-particle":"","parse-names":false,"suffix":""},{"dropping-particle":"","family":"Akib","given":"Haedar","non-dropping-particle":"","parse-names":false,"suffix":""},{"dropping-particle":"","family":"Pakaya","given":"Rahmatia","non-dropping-particle":"","parse-names":false,"suffix":""},{"dropping-particle":"","family":"Hulinggi","given":"Pebriyanto A","non-dropping-particle":"","parse-names":false,"suffix":""}],"container-title":"KnE Social Sciences","id":"ITEM-1","issue":"4","issued":{"date-parts":[["2025"]]},"page":"1-20","title":"The Impact of Digital Transformation and Artificial Intelligence on Bureaucratic Culture Between Efficiency and Discretion","type":"article-journal","volume":"10"},"uris":["http://www.mendeley.com/documents/?uuid=07fdfbc9-9e90-4daf-9713-b59c4465af7e"]}],"mendeley":{"formattedCitation":"(Aneta et al., 2025)"},"properties":{"noteIndex":0},"schema":"https://github.com/citation-style-language/schema/raw/master/csl-citation.json"}</w:instrText>
      </w:r>
      <w:r w:rsidR="00001E69" w:rsidRPr="006735ED">
        <w:rPr>
          <w:rFonts w:ascii="Arial" w:hAnsi="Arial" w:cs="Arial"/>
        </w:rPr>
        <w:fldChar w:fldCharType="separate"/>
      </w:r>
      <w:r w:rsidR="00F37A0E" w:rsidRPr="006735ED">
        <w:rPr>
          <w:rFonts w:ascii="Arial" w:hAnsi="Arial" w:cs="Arial"/>
        </w:rPr>
        <w:t>(Aneta et al., 2025)</w:t>
      </w:r>
      <w:r w:rsidR="00001E69" w:rsidRPr="006735ED">
        <w:rPr>
          <w:rFonts w:ascii="Arial" w:hAnsi="Arial" w:cs="Arial"/>
        </w:rPr>
        <w:fldChar w:fldCharType="end"/>
      </w:r>
      <w:r w:rsidRPr="006735ED">
        <w:rPr>
          <w:rFonts w:ascii="Arial" w:hAnsi="Arial" w:cs="Arial"/>
        </w:rPr>
        <w:t>.</w:t>
      </w:r>
    </w:p>
    <w:p w:rsidR="00C273A3" w:rsidRPr="006735ED" w:rsidRDefault="00C273A3" w:rsidP="006735ED">
      <w:pPr>
        <w:pStyle w:val="Body"/>
        <w:snapToGrid w:val="0"/>
        <w:spacing w:after="120"/>
        <w:rPr>
          <w:rFonts w:ascii="Arial" w:hAnsi="Arial" w:cs="Arial"/>
        </w:rPr>
      </w:pPr>
      <w:r w:rsidRPr="006735ED">
        <w:rPr>
          <w:rFonts w:ascii="Arial" w:hAnsi="Arial" w:cs="Arial"/>
        </w:rPr>
        <w:t>However, the implementation of digital-based academic service innovations still faces fundamental challenges that are multidimensional in nature. Research findings show that the adoption of systems such as SIAKAD, LMS, blended learning, and output-based learning not only requires technical readiness, but also organisational readiness, human resources, and the work culture orientation of the academic community.</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Meanwhile, innovation in the field of research and community service is marked by the existence of scientific publication and intellectual property rights (IPR) policies, grant funding for research and community service activities, and human resource empowerment through training, mentoring, and ongoing technical guidance. </w:t>
      </w:r>
      <w:r w:rsidRPr="006735ED">
        <w:rPr>
          <w:rFonts w:ascii="Arial" w:hAnsi="Arial" w:cs="Arial"/>
        </w:rPr>
        <w:lastRenderedPageBreak/>
        <w:t>These efforts are aimed at improving the capacity of lecturers in preparing grant proposals, developing publication strategies, and strengthening their understanding of the direction of national research policy.</w:t>
      </w:r>
    </w:p>
    <w:p w:rsidR="00C273A3" w:rsidRPr="006735ED" w:rsidRDefault="00C273A3" w:rsidP="006735ED">
      <w:pPr>
        <w:pStyle w:val="Body"/>
        <w:snapToGrid w:val="0"/>
        <w:spacing w:after="120"/>
        <w:rPr>
          <w:rFonts w:ascii="Arial" w:hAnsi="Arial" w:cs="Arial"/>
        </w:rPr>
      </w:pPr>
      <w:r w:rsidRPr="006735ED">
        <w:rPr>
          <w:rFonts w:ascii="Arial" w:hAnsi="Arial" w:cs="Arial"/>
        </w:rPr>
        <w:t>However, there are a number of obstacles in implementing these programmes. From a structural perspective, limited funding is a major obstacle. The weak fiscal condition of institutions means that not all research and community service proposals can obtain funding, even though the substance of the proposals is considered promising. In addition, the lack of programme socialisation, the absence of an adequate mentoring system, weak reporting documentation, and a suboptimal digitisation system also pose challenges. In terms of human resource capacity, there are still gaps in research literacy and the ability to write proposals and scientific articles, especially among young lecturers and students.</w:t>
      </w:r>
    </w:p>
    <w:p w:rsidR="00C273A3" w:rsidRPr="006735ED" w:rsidRDefault="00C273A3" w:rsidP="006735ED">
      <w:pPr>
        <w:pStyle w:val="Body"/>
        <w:snapToGrid w:val="0"/>
        <w:spacing w:after="120"/>
        <w:rPr>
          <w:rFonts w:ascii="Arial" w:hAnsi="Arial" w:cs="Arial"/>
        </w:rPr>
      </w:pPr>
      <w:r w:rsidRPr="006735ED">
        <w:rPr>
          <w:rFonts w:ascii="Arial" w:hAnsi="Arial" w:cs="Arial"/>
        </w:rPr>
        <w:t>Factors Determining the Success of Service Innovation Implementation in Improving Academic Quality</w:t>
      </w:r>
    </w:p>
    <w:p w:rsidR="00F37A0E" w:rsidRPr="006735ED" w:rsidRDefault="00C273A3" w:rsidP="006735ED">
      <w:pPr>
        <w:pStyle w:val="Body"/>
        <w:snapToGrid w:val="0"/>
        <w:spacing w:after="120"/>
        <w:rPr>
          <w:rFonts w:ascii="Arial" w:hAnsi="Arial" w:cs="Arial"/>
        </w:rPr>
      </w:pPr>
      <w:r w:rsidRPr="006735ED">
        <w:rPr>
          <w:rFonts w:ascii="Arial" w:hAnsi="Arial" w:cs="Arial"/>
        </w:rPr>
        <w:t>There are a number of factors that influence the effectiveness of innovation, both from the individual, institutional structure, and organisational culture perspectives. From an individual perspective, the motivation of academics towards innovation shows heterogeneity. Young lecturers, employees who have undergone training, and final-year students tend to have higher enthusiasm because they have experienced the concrete benefits of innovation, such as easy access to digital services and opportunities for scientific publication. However, the sustainability of commitment and consistency in implementing innovation remains a challenge. The lack of institutional support in the form of facilities, incentives, applied training, and creative space has been shown to contribute to low active participation and even reduce trust in innovation itself</w:t>
      </w:r>
      <w:r w:rsidR="00F37A0E" w:rsidRPr="006735ED">
        <w:rPr>
          <w:rFonts w:ascii="Arial" w:hAnsi="Arial" w:cs="Arial"/>
        </w:rPr>
        <w:t xml:space="preserve"> </w:t>
      </w:r>
      <w:r w:rsidR="00F37A0E" w:rsidRPr="006735ED">
        <w:rPr>
          <w:rFonts w:ascii="Arial" w:hAnsi="Arial" w:cs="Arial"/>
        </w:rPr>
        <w:fldChar w:fldCharType="begin" w:fldLock="1"/>
      </w:r>
      <w:r w:rsidR="00F37A0E" w:rsidRPr="006735ED">
        <w:rPr>
          <w:rFonts w:ascii="Arial" w:hAnsi="Arial" w:cs="Arial"/>
        </w:rPr>
        <w:instrText>ADDIN CSL_CITATION {"citationItems":[{"id":"ITEM-1","itemData":{"DOI":"10.56113/takuana.v4i2.159","abstract":"This study examines the effect of e-administration transformation on learning quality, with administrative efficiency serving as a mediating variable in the context of higher education. Using a SEM-PLS approach, data were collected from 179 respondents comprising lecturers, academic administrative staff, and students through random sampling. The findings confirm that e-administration transformation significantly enhances administrative efficiency, which in turn exerts a strong positive impact on learning quality. Furthermore, administrative efficiency partially mediates the relationship between e-administration transformation and learning quality, underscoring its strategic role as a driver of digital transformation. This study contributes to the development of the digital administrative transformation framework, offering theoretical novelty by integrating administrative efficiency with pedagogical quality improvement. Practically, the findings provide valuable insights for higher education institutions to redesign administrative systems that not only improve efficiency but also directly strengthen learning quality in the era of digital transformation.","author":[{"dropping-particle":"","family":"Arsana","given":"I Kadek Satria","non-dropping-particle":"","parse-names":false,"suffix":""},{"dropping-particle":"","family":"Afnita","given":"Vinda","non-dropping-particle":"","parse-names":false,"suffix":""},{"dropping-particle":"","family":"Hutahaean","given":"Lidia Aprileny","non-dropping-particle":"","parse-names":false,"suffix":""},{"dropping-particle":"","family":"Gintulangi","given":"Sabriana Oktaviana","non-dropping-particle":"","parse-names":false,"suffix":""}],"container-title":"Takuana: Jurnal Pendidikan, Sains, dan Humaniora","id":"ITEM-1","issue":"2 SE - Articles","issued":{"date-parts":[["2025","9","25"]]},"page":"306-319","title":"Transformasi e-administrasi jurusan Pendidikan Ekonomi dan pengaruhnya terhadap efisiensi dan kualitas pembelajaran","type":"article-journal","volume":"4"},"uris":["http://www.mendeley.com/documents/?uuid=3559f9c7-2aaa-43e8-aebf-b356ab3cde7a"]}],"mendeley":{"formattedCitation":"(I. K. S. Arsana et al., 2025)","plainTextFormattedCitation":"(I. K. S. Arsana et al., 2025)"},"properties":{"noteIndex":0},"schema":"https://github.com/citation-style-language/schema/raw/master/csl-citation.json"}</w:instrText>
      </w:r>
      <w:r w:rsidR="00F37A0E" w:rsidRPr="006735ED">
        <w:rPr>
          <w:rFonts w:ascii="Arial" w:hAnsi="Arial" w:cs="Arial"/>
        </w:rPr>
        <w:fldChar w:fldCharType="separate"/>
      </w:r>
      <w:r w:rsidR="00F37A0E" w:rsidRPr="006735ED">
        <w:rPr>
          <w:rFonts w:ascii="Arial" w:hAnsi="Arial" w:cs="Arial"/>
        </w:rPr>
        <w:t>(I. K. S. Arsana et al., 2025)</w:t>
      </w:r>
      <w:r w:rsidR="00F37A0E" w:rsidRPr="006735ED">
        <w:rPr>
          <w:rFonts w:ascii="Arial" w:hAnsi="Arial" w:cs="Arial"/>
        </w:rPr>
        <w:fldChar w:fldCharType="end"/>
      </w:r>
      <w:r w:rsidR="00F37A0E" w:rsidRPr="006735ED">
        <w:rPr>
          <w:rFonts w:ascii="Arial" w:hAnsi="Arial" w:cs="Arial"/>
        </w:rPr>
        <w:t xml:space="preserve">. </w:t>
      </w:r>
    </w:p>
    <w:p w:rsidR="00C273A3" w:rsidRPr="006735ED" w:rsidRDefault="00C273A3" w:rsidP="006735ED">
      <w:pPr>
        <w:pStyle w:val="Body"/>
        <w:snapToGrid w:val="0"/>
        <w:spacing w:after="120"/>
        <w:rPr>
          <w:rFonts w:ascii="Arial" w:hAnsi="Arial" w:cs="Arial"/>
        </w:rPr>
      </w:pPr>
      <w:r w:rsidRPr="006735ED">
        <w:rPr>
          <w:rFonts w:ascii="Arial" w:hAnsi="Arial" w:cs="Arial"/>
        </w:rPr>
        <w:t>Structurally, although some leaders have provided space for innovative initiatives, the implementation of innovation is still often hampered by hierarchical bureaucratic patterns and limited delegation of authority to implementing units. Internal communication is not yet effective, tending to be one-way and formal, resulting in strategic information about innovation not reaching all levels of lecturers and educational staff. Coordination between units has also not been systematically established, so that cross-faculty and study programme collaboration relies more on informal relationships and individual initiatives, reflecting the lack of optimal organisational alignment.</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From an organisational culture perspective, most of the private universities studied do not yet have a structured reward system. Rewards for innovative efforts are still symbolic and informal, and therefore not strong enough to encourage sustained motivation. Efforts to transform towards an organisational culture that supports innovation are still in various stages of development. Several institutions have demonstrated a strategic commitment in this direction, but these initiatives have not yet been fully integrated into the formal policies and structures of the institutions. Therefore, the success of service innovation at Gorontalo PTS is highly dependent on the integration of individual motivation, adaptive structural support, and the strengthening of an </w:t>
      </w:r>
      <w:proofErr w:type="spellStart"/>
      <w:r w:rsidRPr="006735ED">
        <w:rPr>
          <w:rFonts w:ascii="Arial" w:hAnsi="Arial" w:cs="Arial"/>
        </w:rPr>
        <w:t>organisational</w:t>
      </w:r>
      <w:proofErr w:type="spellEnd"/>
      <w:r w:rsidRPr="006735ED">
        <w:rPr>
          <w:rFonts w:ascii="Arial" w:hAnsi="Arial" w:cs="Arial"/>
        </w:rPr>
        <w:t xml:space="preserve"> culture that </w:t>
      </w:r>
      <w:proofErr w:type="spellStart"/>
      <w:r w:rsidRPr="006735ED">
        <w:rPr>
          <w:rFonts w:ascii="Arial" w:hAnsi="Arial" w:cs="Arial"/>
        </w:rPr>
        <w:t>favours</w:t>
      </w:r>
      <w:proofErr w:type="spellEnd"/>
      <w:r w:rsidRPr="006735ED">
        <w:rPr>
          <w:rFonts w:ascii="Arial" w:hAnsi="Arial" w:cs="Arial"/>
        </w:rPr>
        <w:t xml:space="preserve"> innovation.</w:t>
      </w:r>
    </w:p>
    <w:p w:rsidR="00C273A3" w:rsidRPr="006735ED" w:rsidRDefault="00C273A3" w:rsidP="006735ED">
      <w:pPr>
        <w:pStyle w:val="Body"/>
        <w:snapToGrid w:val="0"/>
        <w:spacing w:after="120"/>
        <w:rPr>
          <w:rFonts w:ascii="Arial" w:hAnsi="Arial" w:cs="Arial"/>
        </w:rPr>
      </w:pPr>
      <w:r w:rsidRPr="006735ED">
        <w:rPr>
          <w:rFonts w:ascii="Arial" w:hAnsi="Arial" w:cs="Arial"/>
        </w:rPr>
        <w:t>Theoretical Conceptual Framework Model of Service Innovation in Improving Academic Quality at Gorontalo Private Universities</w:t>
      </w:r>
    </w:p>
    <w:p w:rsidR="00C273A3" w:rsidRPr="006735ED" w:rsidRDefault="00C273A3" w:rsidP="006735ED">
      <w:pPr>
        <w:pStyle w:val="Body"/>
        <w:snapToGrid w:val="0"/>
        <w:spacing w:after="120"/>
        <w:rPr>
          <w:rFonts w:ascii="Arial" w:hAnsi="Arial" w:cs="Arial"/>
        </w:rPr>
      </w:pPr>
      <w:r w:rsidRPr="006735ED">
        <w:rPr>
          <w:rFonts w:ascii="Arial" w:hAnsi="Arial" w:cs="Arial"/>
        </w:rPr>
        <w:t>This study develops a theoretical conceptual framework rooted in the local context of Gorontalo to improve the effectiveness of service innovation adoption in private universities. In its development, this study proposes a reclassification of Rogers' Diffusion of Innovation (</w:t>
      </w:r>
      <w:proofErr w:type="spellStart"/>
      <w:r w:rsidRPr="006735ED">
        <w:rPr>
          <w:rFonts w:ascii="Arial" w:hAnsi="Arial" w:cs="Arial"/>
        </w:rPr>
        <w:t>DoI</w:t>
      </w:r>
      <w:proofErr w:type="spellEnd"/>
      <w:r w:rsidRPr="006735ED">
        <w:rPr>
          <w:rFonts w:ascii="Arial" w:hAnsi="Arial" w:cs="Arial"/>
        </w:rPr>
        <w:t>) theory, dividing it into two main categories, namely intrinsic factors and extrinsic factors. Intrinsic factors refer to perceptions of the characteristics of innovation as formulated by Rogers, which include relative advantage, compatibility, complexity, trialability, and observability. Meanwhile, extrinsic factors are conceptual contributions from this study, which include policy pressure, infrastructure availability, institutional ecosystem readiness, and human resource readiness.</w:t>
      </w:r>
    </w:p>
    <w:p w:rsidR="00C273A3" w:rsidRPr="006735ED" w:rsidRDefault="00C273A3" w:rsidP="006735ED">
      <w:pPr>
        <w:pStyle w:val="Body"/>
        <w:snapToGrid w:val="0"/>
        <w:spacing w:after="120"/>
        <w:rPr>
          <w:rFonts w:ascii="Arial" w:hAnsi="Arial" w:cs="Arial"/>
        </w:rPr>
      </w:pPr>
      <w:r w:rsidRPr="006735ED">
        <w:rPr>
          <w:rFonts w:ascii="Arial" w:hAnsi="Arial" w:cs="Arial"/>
        </w:rPr>
        <w:t>In addition, this study also proposes the principle of sustainable innovation governance as a second conceptual novelty that enriches the theoretical framework of innovation adoption. This principle encompasses seven key elements, namely commitment, consistency, communication, collaboration, coordination, cooperation, and creativity, all of which are important factors in supporting the sustainability of service innovation. Conceptually, these findings not only complement but also expand the scope of the Diffusion of Innovation theory, which has tended to focus on the early adoption phase and the intrinsic characteristics of innovation alone.</w:t>
      </w:r>
    </w:p>
    <w:p w:rsidR="00C273A3" w:rsidRPr="006735ED" w:rsidRDefault="00C273A3" w:rsidP="006735ED">
      <w:pPr>
        <w:pStyle w:val="Body"/>
        <w:snapToGrid w:val="0"/>
        <w:spacing w:after="120"/>
        <w:rPr>
          <w:rFonts w:ascii="Arial" w:hAnsi="Arial" w:cs="Arial"/>
        </w:rPr>
      </w:pPr>
      <w:r w:rsidRPr="006735ED">
        <w:rPr>
          <w:rFonts w:ascii="Arial" w:hAnsi="Arial" w:cs="Arial"/>
        </w:rPr>
        <w:lastRenderedPageBreak/>
        <w:t>In higher education, particularly in private universities that have unique structural dynamics and institutional cultures, this study confirms that the sustainability of innovation is more determined by the quality of governance and the readiness of the institutional ecosystem than by perceptions of the characteristics of innovation itself. By optimising this theoretical conceptual model, it is hoped that academic quality at Gorontalo Private University can be significantly and sustainably improved.</w:t>
      </w:r>
    </w:p>
    <w:p w:rsidR="00F37A0E" w:rsidRPr="006735ED" w:rsidRDefault="00C273A3" w:rsidP="006735ED">
      <w:pPr>
        <w:pStyle w:val="Body"/>
        <w:snapToGrid w:val="0"/>
        <w:spacing w:after="120"/>
        <w:rPr>
          <w:rFonts w:ascii="Arial" w:hAnsi="Arial" w:cs="Arial"/>
        </w:rPr>
      </w:pPr>
      <w:r w:rsidRPr="006735ED">
        <w:rPr>
          <w:rFonts w:ascii="Arial" w:hAnsi="Arial" w:cs="Arial"/>
        </w:rPr>
        <w:t>Based on the theoretical implications and novel contributions outlined above, the conceptual framework developed in this study is presented in the following figure:</w:t>
      </w:r>
    </w:p>
    <w:p w:rsidR="00C273A3" w:rsidRPr="00E51D56" w:rsidRDefault="00E51D56" w:rsidP="00C273A3">
      <w:pPr>
        <w:spacing w:line="480" w:lineRule="auto"/>
        <w:ind w:right="-1"/>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85888" behindDoc="0" locked="0" layoutInCell="1" allowOverlap="1">
                <wp:simplePos x="0" y="0"/>
                <wp:positionH relativeFrom="column">
                  <wp:posOffset>-238539</wp:posOffset>
                </wp:positionH>
                <wp:positionV relativeFrom="paragraph">
                  <wp:posOffset>139148</wp:posOffset>
                </wp:positionV>
                <wp:extent cx="6650653" cy="4479235"/>
                <wp:effectExtent l="0" t="0" r="17145" b="17145"/>
                <wp:wrapNone/>
                <wp:docPr id="1539405026" name="Group 1"/>
                <wp:cNvGraphicFramePr/>
                <a:graphic xmlns:a="http://schemas.openxmlformats.org/drawingml/2006/main">
                  <a:graphicData uri="http://schemas.microsoft.com/office/word/2010/wordprocessingGroup">
                    <wpg:wgp>
                      <wpg:cNvGrpSpPr/>
                      <wpg:grpSpPr>
                        <a:xfrm>
                          <a:off x="0" y="0"/>
                          <a:ext cx="6650653" cy="4479235"/>
                          <a:chOff x="0" y="0"/>
                          <a:chExt cx="6650653" cy="4479235"/>
                        </a:xfrm>
                      </wpg:grpSpPr>
                      <wps:wsp>
                        <wps:cNvPr id="1519849647" name="Elbow Connector 4"/>
                        <wps:cNvCnPr/>
                        <wps:spPr>
                          <a:xfrm flipH="1">
                            <a:off x="4447822" y="1253067"/>
                            <a:ext cx="45719" cy="2730500"/>
                          </a:xfrm>
                          <a:prstGeom prst="bentConnector3">
                            <a:avLst>
                              <a:gd name="adj1" fmla="val -16049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5276022" name="Rectangle 1"/>
                        <wps:cNvSpPr/>
                        <wps:spPr>
                          <a:xfrm>
                            <a:off x="191911" y="0"/>
                            <a:ext cx="1242584" cy="3409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Service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384671" name="Rectangle 1"/>
                        <wps:cNvSpPr/>
                        <wps:spPr>
                          <a:xfrm>
                            <a:off x="0" y="541867"/>
                            <a:ext cx="1593166" cy="3415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Innovation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077652" name="Rectangle 1"/>
                        <wps:cNvSpPr/>
                        <wps:spPr>
                          <a:xfrm>
                            <a:off x="67731" y="1015950"/>
                            <a:ext cx="1473068" cy="139594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rPr>
                              </w:pPr>
                              <w:r w:rsidRPr="006735ED">
                                <w:rPr>
                                  <w:rFonts w:ascii="Helvetica" w:hAnsi="Helvetica" w:cstheme="majorHAnsi"/>
                                  <w:color w:val="000000" w:themeColor="text1"/>
                                </w:rPr>
                                <w:t>Intrinsic Factors</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Relative Advantage</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Compatibility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Complexity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Trialability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Observability</w:t>
                              </w:r>
                            </w:p>
                            <w:p w:rsidR="00C273A3" w:rsidRPr="006735ED" w:rsidRDefault="00C273A3" w:rsidP="00C273A3">
                              <w:pPr>
                                <w:rPr>
                                  <w:rFonts w:ascii="Helvetica" w:hAnsi="Helvetica" w:cs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2176084" name="Rectangle 1"/>
                        <wps:cNvSpPr/>
                        <wps:spPr>
                          <a:xfrm>
                            <a:off x="2517422" y="1004711"/>
                            <a:ext cx="1946554" cy="53354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Principles of Sustainable Innovation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3627036" name="Rectangle 1"/>
                        <wps:cNvSpPr/>
                        <wps:spPr>
                          <a:xfrm>
                            <a:off x="1998134" y="1772356"/>
                            <a:ext cx="850824" cy="32062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8"/>
                                  <w:szCs w:val="18"/>
                                </w:rPr>
                              </w:pPr>
                              <w:r w:rsidRPr="006735ED">
                                <w:rPr>
                                  <w:rFonts w:ascii="Helvetica" w:hAnsi="Helvetica" w:cstheme="majorHAnsi"/>
                                  <w:color w:val="000000" w:themeColor="text1"/>
                                  <w:sz w:val="18"/>
                                  <w:szCs w:val="18"/>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605677" name="Rectangle 1"/>
                        <wps:cNvSpPr/>
                        <wps:spPr>
                          <a:xfrm>
                            <a:off x="3002845" y="1772356"/>
                            <a:ext cx="850824" cy="32062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8"/>
                                  <w:szCs w:val="18"/>
                                </w:rPr>
                              </w:pPr>
                              <w:r w:rsidRPr="006735ED">
                                <w:rPr>
                                  <w:rFonts w:ascii="Helvetica" w:hAnsi="Helvetica" w:cstheme="majorHAnsi"/>
                                  <w:color w:val="000000" w:themeColor="text1"/>
                                  <w:sz w:val="18"/>
                                  <w:szCs w:val="18"/>
                                </w:rPr>
                                <w:t>Consistency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338715" name="Rectangle 1"/>
                        <wps:cNvSpPr/>
                        <wps:spPr>
                          <a:xfrm>
                            <a:off x="3996088" y="1772127"/>
                            <a:ext cx="973477"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76609" name="Rectangle 1"/>
                        <wps:cNvSpPr/>
                        <wps:spPr>
                          <a:xfrm>
                            <a:off x="67725" y="2491409"/>
                            <a:ext cx="1473068" cy="198782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rPr>
                              </w:pPr>
                              <w:r w:rsidRPr="006735ED">
                                <w:rPr>
                                  <w:rFonts w:ascii="Helvetica" w:hAnsi="Helvetica" w:cstheme="majorHAnsi"/>
                                  <w:color w:val="000000" w:themeColor="text1"/>
                                </w:rPr>
                                <w:t>Extrinsic Factors</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Policy Pressure</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Infrastructure Availability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Institutional Ecosystem Readiness</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Human Resource Readiness</w:t>
                              </w:r>
                            </w:p>
                            <w:p w:rsidR="00C273A3" w:rsidRPr="006735ED" w:rsidRDefault="00C273A3" w:rsidP="00C273A3">
                              <w:pPr>
                                <w:ind w:left="142"/>
                                <w:rPr>
                                  <w:rFonts w:ascii="Helvetica" w:hAnsi="Helvetica" w:cstheme="maj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344877" name="Rectangle 1"/>
                        <wps:cNvSpPr/>
                        <wps:spPr>
                          <a:xfrm>
                            <a:off x="1761067" y="3465689"/>
                            <a:ext cx="812727"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408291" name="Rectangle 1"/>
                        <wps:cNvSpPr/>
                        <wps:spPr>
                          <a:xfrm>
                            <a:off x="5249334" y="1241778"/>
                            <a:ext cx="1401319" cy="278120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b/>
                                  <w:bCs/>
                                  <w:color w:val="000000" w:themeColor="text1"/>
                                  <w:sz w:val="20"/>
                                  <w:szCs w:val="20"/>
                                </w:rPr>
                              </w:pPr>
                              <w:r w:rsidRPr="006735ED">
                                <w:rPr>
                                  <w:rFonts w:ascii="Helvetica" w:hAnsi="Helvetica" w:cstheme="majorHAnsi"/>
                                  <w:b/>
                                  <w:bCs/>
                                  <w:color w:val="000000" w:themeColor="text1"/>
                                  <w:sz w:val="20"/>
                                  <w:szCs w:val="20"/>
                                </w:rPr>
                                <w:t>Academic Quality</w:t>
                              </w:r>
                            </w:p>
                            <w:p w:rsidR="00C273A3" w:rsidRPr="006735ED" w:rsidRDefault="00C273A3" w:rsidP="00C273A3">
                              <w:pPr>
                                <w:jc w:val="center"/>
                                <w:rPr>
                                  <w:rFonts w:ascii="Helvetica" w:hAnsi="Helvetica" w:cstheme="majorHAnsi"/>
                                  <w:color w:val="000000" w:themeColor="text1"/>
                                  <w:sz w:val="20"/>
                                  <w:szCs w:val="20"/>
                                </w:rPr>
                              </w:pP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Quality of Instruction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Academic Advising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Library Resources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Extracurricular Activities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Opportunities to Talk with Faculty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Employment Services</w:t>
                              </w:r>
                            </w:p>
                            <w:p w:rsidR="00C273A3" w:rsidRPr="006735ED" w:rsidRDefault="00C273A3" w:rsidP="00C273A3">
                              <w:pPr>
                                <w:pStyle w:val="ListParagraph"/>
                                <w:ind w:left="0"/>
                                <w:rPr>
                                  <w:rFonts w:ascii="Helvetica" w:hAnsi="Helvetica" w:cstheme="majorHAnsi"/>
                                  <w:color w:val="000000" w:themeColor="text1"/>
                                  <w:sz w:val="20"/>
                                  <w:szCs w:val="20"/>
                                </w:rPr>
                              </w:pPr>
                            </w:p>
                            <w:p w:rsidR="00C273A3" w:rsidRPr="006735ED" w:rsidRDefault="00C273A3" w:rsidP="00C273A3">
                              <w:pPr>
                                <w:pStyle w:val="ListParagraph"/>
                                <w:ind w:left="0"/>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Kotler &amp; Fox in (Darwyansyah, 2014)</w:t>
                              </w:r>
                            </w:p>
                            <w:p w:rsidR="00C273A3" w:rsidRPr="006735ED" w:rsidRDefault="00C273A3" w:rsidP="00C273A3">
                              <w:pPr>
                                <w:pStyle w:val="ListParagraph"/>
                                <w:ind w:left="426"/>
                                <w:jc w:val="left"/>
                                <w:rPr>
                                  <w:rFonts w:ascii="Helvetica" w:hAnsi="Helvetica" w:cstheme="maj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616557" name="Elbow Connector 4"/>
                        <wps:cNvCnPr/>
                        <wps:spPr>
                          <a:xfrm>
                            <a:off x="1546578" y="1659467"/>
                            <a:ext cx="45715" cy="2209721"/>
                          </a:xfrm>
                          <a:prstGeom prst="bentConnector3">
                            <a:avLst>
                              <a:gd name="adj1" fmla="val 2411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72300" name="Straight Arrow Connector 6"/>
                        <wps:cNvCnPr/>
                        <wps:spPr>
                          <a:xfrm>
                            <a:off x="2400300" y="2077156"/>
                            <a:ext cx="0" cy="6324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2846304" name="Straight Arrow Connector 6"/>
                        <wps:cNvCnPr/>
                        <wps:spPr>
                          <a:xfrm>
                            <a:off x="3427589" y="2077156"/>
                            <a:ext cx="0" cy="6324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6168458" name="Straight Arrow Connector 6"/>
                        <wps:cNvCnPr/>
                        <wps:spPr>
                          <a:xfrm>
                            <a:off x="4421011" y="2077156"/>
                            <a:ext cx="0" cy="6324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519177" name="Straight Arrow Connector 5"/>
                        <wps:cNvCnPr/>
                        <wps:spPr>
                          <a:xfrm>
                            <a:off x="1670756" y="2740378"/>
                            <a:ext cx="3581079"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7104643" name="Straight Arrow Connector 7"/>
                        <wps:cNvCnPr/>
                        <wps:spPr>
                          <a:xfrm flipV="1">
                            <a:off x="2129367"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1574145" name="Straight Arrow Connector 7"/>
                        <wps:cNvCnPr/>
                        <wps:spPr>
                          <a:xfrm flipV="1">
                            <a:off x="3021189"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2799025" name="Elbow Connector 8"/>
                        <wps:cNvCnPr/>
                        <wps:spPr>
                          <a:xfrm>
                            <a:off x="1993900" y="1253067"/>
                            <a:ext cx="2483262" cy="2730403"/>
                          </a:xfrm>
                          <a:prstGeom prst="bentConnector3">
                            <a:avLst>
                              <a:gd name="adj1" fmla="val -1034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1412813" name="Straight Arrow Connector 10"/>
                        <wps:cNvCnPr/>
                        <wps:spPr>
                          <a:xfrm>
                            <a:off x="774700" y="338667"/>
                            <a:ext cx="0" cy="2050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3823038" name="Rectangle 1"/>
                        <wps:cNvSpPr/>
                        <wps:spPr>
                          <a:xfrm>
                            <a:off x="2607734" y="3465689"/>
                            <a:ext cx="825426"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055968" name="Rectangle 1"/>
                        <wps:cNvSpPr/>
                        <wps:spPr>
                          <a:xfrm>
                            <a:off x="3476978" y="3465689"/>
                            <a:ext cx="815902"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947578" name="Rectangle 1"/>
                        <wps:cNvSpPr/>
                        <wps:spPr>
                          <a:xfrm>
                            <a:off x="4323645" y="3465689"/>
                            <a:ext cx="825426" cy="32002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3A3" w:rsidRPr="006735ED" w:rsidRDefault="00C273A3" w:rsidP="00C273A3">
                              <w:pPr>
                                <w:jc w:val="center"/>
                                <w:rPr>
                                  <w:rFonts w:ascii="Helvetica" w:hAnsi="Helvetica" w:cstheme="majorHAnsi"/>
                                  <w:color w:val="000000" w:themeColor="text1"/>
                                  <w:sz w:val="18"/>
                                  <w:szCs w:val="18"/>
                                </w:rPr>
                              </w:pPr>
                              <w:r w:rsidRPr="006735ED">
                                <w:rPr>
                                  <w:rFonts w:ascii="Helvetica" w:hAnsi="Helvetica" w:cstheme="majorHAnsi"/>
                                  <w:color w:val="000000" w:themeColor="text1"/>
                                  <w:sz w:val="18"/>
                                  <w:szCs w:val="18"/>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455284" name="Straight Arrow Connector 7"/>
                        <wps:cNvCnPr/>
                        <wps:spPr>
                          <a:xfrm flipV="1">
                            <a:off x="3867856"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13069" name="Straight Arrow Connector 7"/>
                        <wps:cNvCnPr/>
                        <wps:spPr>
                          <a:xfrm flipV="1">
                            <a:off x="4804834" y="2757311"/>
                            <a:ext cx="0" cy="6603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5673862" name="Straight Arrow Connector 9"/>
                        <wps:cNvCnPr/>
                        <wps:spPr>
                          <a:xfrm>
                            <a:off x="1998134" y="1248834"/>
                            <a:ext cx="5333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804741" name="Straight Arrow Connector 11"/>
                        <wps:cNvCnPr/>
                        <wps:spPr>
                          <a:xfrm>
                            <a:off x="774700" y="880534"/>
                            <a:ext cx="0" cy="128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 o:spid="_x0000_s1026" style="position:absolute;margin-left:-18.8pt;margin-top:10.95pt;width:523.65pt;height:352.7pt;z-index:251685888;mso-height-relative:margin" coordsize="66506,4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&#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7" type="#_x0000_t34" style="position:absolute;left:44478;top:12530;width:457;height:2730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" adj="-346666" strokecolor="black [3213]" strokeweight=".5pt"/>
                <v:rect id="Rectangle 1" o:spid="_x0000_s1028" style="position:absolute;left:1919;width:12425;height:3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Service Innovation</w:t>
                        </w:r>
                      </w:p>
                    </w:txbxContent>
                  </v:textbox>
                </v:rect>
                <v:rect id="Rectangle 1" o:spid="_x0000_s1029" style="position:absolute;top:5418;width:15931;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Innovation Adoption</w:t>
                        </w:r>
                      </w:p>
                    </w:txbxContent>
                  </v:textbox>
                </v:rect>
                <v:rect id="Rectangle 1" o:spid="_x0000_s1030" style="position:absolute;left:677;top:10159;width:14730;height:1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" fillcolor="white [3212]" strokecolor="black [3213]" strokeweight="1pt">
                  <v:textbox>
                    <w:txbxContent>
                      <w:p w:rsidR="00C273A3" w:rsidRPr="006735ED" w:rsidRDefault="00C273A3" w:rsidP="00C273A3">
                        <w:pPr>
                          <w:jc w:val="center"/>
                          <w:rPr>
                            <w:rFonts w:ascii="Helvetica" w:hAnsi="Helvetica" w:cstheme="majorHAnsi"/>
                            <w:color w:val="000000" w:themeColor="text1"/>
                          </w:rPr>
                        </w:pPr>
                        <w:r w:rsidRPr="006735ED">
                          <w:rPr>
                            <w:rFonts w:ascii="Helvetica" w:hAnsi="Helvetica" w:cstheme="majorHAnsi"/>
                            <w:color w:val="000000" w:themeColor="text1"/>
                          </w:rPr>
                          <w:t>Intrinsic Factors</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Relative Advantage</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Compatibility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Complexity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Trialability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Observability</w:t>
                        </w:r>
                      </w:p>
                      <w:p w:rsidR="00C273A3" w:rsidRPr="006735ED" w:rsidRDefault="00C273A3" w:rsidP="00C273A3">
                        <w:pPr>
                          <w:rPr>
                            <w:rFonts w:ascii="Helvetica" w:hAnsi="Helvetica" w:cstheme="majorHAnsi"/>
                            <w:color w:val="000000" w:themeColor="text1"/>
                          </w:rPr>
                        </w:pPr>
                      </w:p>
                    </w:txbxContent>
                  </v:textbox>
                </v:rect>
                <v:rect id="Rectangle 1" o:spid="_x0000_s1031" style="position:absolute;left:25174;top:10047;width:19465;height: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Principles of Sustainable Innovation Governance</w:t>
                        </w:r>
                      </w:p>
                    </w:txbxContent>
                  </v:textbox>
                </v:rect>
                <v:rect id="Rectangle 1" o:spid="_x0000_s1032" style="position:absolute;left:19981;top:17723;width:8508;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8"/>
                            <w:szCs w:val="18"/>
                          </w:rPr>
                        </w:pPr>
                        <w:r w:rsidRPr="006735ED">
                          <w:rPr>
                            <w:rFonts w:ascii="Helvetica" w:hAnsi="Helvetica" w:cstheme="majorHAnsi"/>
                            <w:color w:val="000000" w:themeColor="text1"/>
                            <w:sz w:val="18"/>
                            <w:szCs w:val="18"/>
                          </w:rPr>
                          <w:t>Commitment</w:t>
                        </w:r>
                      </w:p>
                    </w:txbxContent>
                  </v:textbox>
                </v:rect>
                <v:rect id="Rectangle 1" o:spid="_x0000_s1033" style="position:absolute;left:30028;top:17723;width:8508;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8"/>
                            <w:szCs w:val="18"/>
                          </w:rPr>
                        </w:pPr>
                        <w:r w:rsidRPr="006735ED">
                          <w:rPr>
                            <w:rFonts w:ascii="Helvetica" w:hAnsi="Helvetica" w:cstheme="majorHAnsi"/>
                            <w:color w:val="000000" w:themeColor="text1"/>
                            <w:sz w:val="18"/>
                            <w:szCs w:val="18"/>
                          </w:rPr>
                          <w:t>Consistency</w:t>
                        </w:r>
                      </w:p>
                    </w:txbxContent>
                  </v:textbox>
                </v:rect>
                <v:rect id="Rectangle 1" o:spid="_x0000_s1034" style="position:absolute;left:39960;top:17721;width:973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Communication</w:t>
                        </w:r>
                      </w:p>
                    </w:txbxContent>
                  </v:textbox>
                </v:rect>
                <v:rect id="Rectangle 1" o:spid="_x0000_s1035" style="position:absolute;left:677;top:24914;width:14730;height:1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" fillcolor="white [3212]" strokecolor="black [3213]" strokeweight="1pt">
                  <v:textbox>
                    <w:txbxContent>
                      <w:p w:rsidR="00C273A3" w:rsidRPr="006735ED" w:rsidRDefault="00C273A3" w:rsidP="00C273A3">
                        <w:pPr>
                          <w:jc w:val="center"/>
                          <w:rPr>
                            <w:rFonts w:ascii="Helvetica" w:hAnsi="Helvetica" w:cstheme="majorHAnsi"/>
                            <w:color w:val="000000" w:themeColor="text1"/>
                          </w:rPr>
                        </w:pPr>
                        <w:r w:rsidRPr="006735ED">
                          <w:rPr>
                            <w:rFonts w:ascii="Helvetica" w:hAnsi="Helvetica" w:cstheme="majorHAnsi"/>
                            <w:color w:val="000000" w:themeColor="text1"/>
                          </w:rPr>
                          <w:t>Extrinsic Factors</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Policy Pressure</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Infrastructure Availability</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Institutional Ecosystem Readiness</w:t>
                        </w:r>
                      </w:p>
                      <w:p w:rsidR="00C273A3" w:rsidRPr="006735ED" w:rsidRDefault="00C273A3" w:rsidP="00C273A3">
                        <w:pPr>
                          <w:pStyle w:val="ListParagraph"/>
                          <w:numPr>
                            <w:ilvl w:val="0"/>
                            <w:numId w:val="4"/>
                          </w:numPr>
                          <w:ind w:left="426" w:hanging="284"/>
                          <w:jc w:val="left"/>
                          <w:rPr>
                            <w:rFonts w:ascii="Helvetica" w:hAnsi="Helvetica" w:cstheme="majorHAnsi"/>
                            <w:color w:val="000000" w:themeColor="text1"/>
                          </w:rPr>
                        </w:pPr>
                        <w:r w:rsidRPr="006735ED">
                          <w:rPr>
                            <w:rFonts w:ascii="Helvetica" w:hAnsi="Helvetica" w:cstheme="majorHAnsi"/>
                            <w:color w:val="000000" w:themeColor="text1"/>
                          </w:rPr>
                          <w:t>Human Resource Readiness</w:t>
                        </w:r>
                      </w:p>
                      <w:p w:rsidR="00C273A3" w:rsidRPr="006735ED" w:rsidRDefault="00C273A3" w:rsidP="00C273A3">
                        <w:pPr>
                          <w:ind w:left="142"/>
                          <w:rPr>
                            <w:rFonts w:ascii="Helvetica" w:hAnsi="Helvetica" w:cstheme="majorHAnsi"/>
                            <w:color w:val="000000" w:themeColor="text1"/>
                          </w:rPr>
                        </w:pPr>
                      </w:p>
                    </w:txbxContent>
                  </v:textbox>
                </v:rect>
                <v:rect id="Rectangle 1" o:spid="_x0000_s1036" style="position:absolute;left:17610;top:34656;width:8127;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Coordination</w:t>
                        </w:r>
                      </w:p>
                    </w:txbxContent>
                  </v:textbox>
                </v:rect>
                <v:rect id="Rectangle 1" o:spid="_x0000_s1037" style="position:absolute;left:52493;top:12417;width:14013;height:27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" fillcolor="white [3212]" strokecolor="black [3213]" strokeweight="1pt">
                  <v:textbox>
                    <w:txbxContent>
                      <w:p w:rsidR="00C273A3" w:rsidRPr="006735ED" w:rsidRDefault="00C273A3" w:rsidP="00C273A3">
                        <w:pPr>
                          <w:jc w:val="center"/>
                          <w:rPr>
                            <w:rFonts w:ascii="Helvetica" w:hAnsi="Helvetica" w:cstheme="majorHAnsi"/>
                            <w:b/>
                            <w:bCs/>
                            <w:color w:val="000000" w:themeColor="text1"/>
                            <w:sz w:val="20"/>
                            <w:szCs w:val="20"/>
                          </w:rPr>
                        </w:pPr>
                        <w:r w:rsidRPr="006735ED">
                          <w:rPr>
                            <w:rFonts w:ascii="Helvetica" w:hAnsi="Helvetica" w:cstheme="majorHAnsi"/>
                            <w:b/>
                            <w:bCs/>
                            <w:color w:val="000000" w:themeColor="text1"/>
                            <w:sz w:val="20"/>
                            <w:szCs w:val="20"/>
                          </w:rPr>
                          <w:t>Academic Quality</w:t>
                        </w:r>
                      </w:p>
                      <w:p w:rsidR="00C273A3" w:rsidRPr="006735ED" w:rsidRDefault="00C273A3" w:rsidP="00C273A3">
                        <w:pPr>
                          <w:jc w:val="center"/>
                          <w:rPr>
                            <w:rFonts w:ascii="Helvetica" w:hAnsi="Helvetica" w:cstheme="majorHAnsi"/>
                            <w:color w:val="000000" w:themeColor="text1"/>
                            <w:sz w:val="20"/>
                            <w:szCs w:val="20"/>
                          </w:rPr>
                        </w:pP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Quality of Instruction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Academic Advising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Library Resources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Extracurricular Activities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 xml:space="preserve">Opportunities to Talk with Faculty </w:t>
                        </w:r>
                      </w:p>
                      <w:p w:rsidR="00C273A3" w:rsidRPr="006735ED" w:rsidRDefault="00C273A3" w:rsidP="00C273A3">
                        <w:pPr>
                          <w:pStyle w:val="ListParagraph"/>
                          <w:numPr>
                            <w:ilvl w:val="0"/>
                            <w:numId w:val="5"/>
                          </w:numPr>
                          <w:ind w:left="284" w:hanging="284"/>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Employment Services</w:t>
                        </w:r>
                      </w:p>
                      <w:p w:rsidR="00C273A3" w:rsidRPr="006735ED" w:rsidRDefault="00C273A3" w:rsidP="00C273A3">
                        <w:pPr>
                          <w:pStyle w:val="ListParagraph"/>
                          <w:ind w:left="0"/>
                          <w:rPr>
                            <w:rFonts w:ascii="Helvetica" w:hAnsi="Helvetica" w:cstheme="majorHAnsi"/>
                            <w:color w:val="000000" w:themeColor="text1"/>
                            <w:sz w:val="20"/>
                            <w:szCs w:val="20"/>
                          </w:rPr>
                        </w:pPr>
                      </w:p>
                      <w:p w:rsidR="00C273A3" w:rsidRPr="006735ED" w:rsidRDefault="00C273A3" w:rsidP="00C273A3">
                        <w:pPr>
                          <w:pStyle w:val="ListParagraph"/>
                          <w:ind w:left="0"/>
                          <w:rPr>
                            <w:rFonts w:ascii="Helvetica" w:hAnsi="Helvetica" w:cstheme="majorHAnsi"/>
                            <w:color w:val="000000" w:themeColor="text1"/>
                            <w:sz w:val="20"/>
                            <w:szCs w:val="20"/>
                          </w:rPr>
                        </w:pPr>
                        <w:r w:rsidRPr="006735ED">
                          <w:rPr>
                            <w:rFonts w:ascii="Helvetica" w:hAnsi="Helvetica" w:cstheme="majorHAnsi"/>
                            <w:color w:val="000000" w:themeColor="text1"/>
                            <w:sz w:val="20"/>
                            <w:szCs w:val="20"/>
                          </w:rPr>
                          <w:t>Kotler &amp; Fox in (Darwyansyah, 2014)</w:t>
                        </w:r>
                      </w:p>
                      <w:p w:rsidR="00C273A3" w:rsidRPr="006735ED" w:rsidRDefault="00C273A3" w:rsidP="00C273A3">
                        <w:pPr>
                          <w:pStyle w:val="ListParagraph"/>
                          <w:ind w:left="426"/>
                          <w:jc w:val="left"/>
                          <w:rPr>
                            <w:rFonts w:ascii="Helvetica" w:hAnsi="Helvetica" w:cstheme="majorHAnsi"/>
                            <w:color w:val="000000" w:themeColor="text1"/>
                            <w:sz w:val="20"/>
                            <w:szCs w:val="20"/>
                          </w:rPr>
                        </w:pPr>
                      </w:p>
                    </w:txbxContent>
                  </v:textbox>
                </v:rect>
                <v:shape id="Elbow Connector 4" o:spid="_x0000_s1038" type="#_x0000_t34" style="position:absolute;left:15465;top:16594;width:457;height:220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" adj="52094" strokecolor="black [3213]" strokeweight=".5pt"/>
                <v:shapetype id="_x0000_t32" coordsize="21600,21600" o:spt="32" o:oned="t" path="m,l21600,21600e" filled="f">
                  <v:path arrowok="t" fillok="f" o:connecttype="none"/>
                  <o:lock v:ext="edit" shapetype="t"/>
                </v:shapetype>
                <v:shape id="Straight Arrow Connector 6" o:spid="_x0000_s1039" type="#_x0000_t32" style="position:absolute;left:24003;top:20771;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" strokecolor="black [3213]" strokeweight=".5pt">
                  <v:stroke endarrow="block" joinstyle="miter"/>
                </v:shape>
                <v:shape id="Straight Arrow Connector 6" o:spid="_x0000_s1040" type="#_x0000_t32" style="position:absolute;left:34275;top:20771;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" strokecolor="black [3213]" strokeweight=".5pt">
                  <v:stroke endarrow="block" joinstyle="miter"/>
                </v:shape>
                <v:shape id="Straight Arrow Connector 6" o:spid="_x0000_s1041" type="#_x0000_t32" style="position:absolute;left:44210;top:20771;width:0;height:6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" strokecolor="black [3213]" strokeweight=".5pt">
                  <v:stroke endarrow="block" joinstyle="miter"/>
                </v:shape>
                <v:shape id="Straight Arrow Connector 5" o:spid="_x0000_s1042" type="#_x0000_t32" style="position:absolute;left:16707;top:27403;width:35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" strokecolor="black [3213]" strokeweight="3pt">
                  <v:stroke endarrow="block" joinstyle="miter"/>
                </v:shape>
                <v:shape id="Straight Arrow Connector 7" o:spid="_x0000_s1043" type="#_x0000_t32" style="position:absolute;left:21293;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" strokecolor="black [3213]" strokeweight=".5pt">
                  <v:stroke endarrow="block" joinstyle="miter"/>
                </v:shape>
                <v:shape id="Straight Arrow Connector 7" o:spid="_x0000_s1044" type="#_x0000_t32" style="position:absolute;left:30211;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" strokecolor="black [3213]" strokeweight=".5pt">
                  <v:stroke endarrow="block" joinstyle="miter"/>
                </v:shape>
                <v:shape id="Elbow Connector 8" o:spid="_x0000_s1045" type="#_x0000_t34" style="position:absolute;left:19939;top:12530;width:24832;height:273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" adj="-2234" strokecolor="black [3213]" strokeweight=".5pt"/>
                <v:shape id="Straight Arrow Connector 10" o:spid="_x0000_s1046" type="#_x0000_t32" style="position:absolute;left:7747;top:3386;width:0;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" strokecolor="black [3213]" strokeweight=".5pt">
                  <v:stroke endarrow="block" joinstyle="miter"/>
                </v:shape>
                <v:rect id="Rectangle 1" o:spid="_x0000_s1047" style="position:absolute;left:26077;top:34656;width:8254;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Collaboration</w:t>
                        </w:r>
                      </w:p>
                    </w:txbxContent>
                  </v:textbox>
                </v:rect>
                <v:rect id="Rectangle 1" o:spid="_x0000_s1048" style="position:absolute;left:34769;top:34656;width:8159;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6"/>
                            <w:szCs w:val="16"/>
                          </w:rPr>
                        </w:pPr>
                        <w:r w:rsidRPr="006735ED">
                          <w:rPr>
                            <w:rFonts w:ascii="Helvetica" w:hAnsi="Helvetica" w:cstheme="majorHAnsi"/>
                            <w:color w:val="000000" w:themeColor="text1"/>
                            <w:sz w:val="16"/>
                            <w:szCs w:val="16"/>
                          </w:rPr>
                          <w:t>Cooperative</w:t>
                        </w:r>
                      </w:p>
                    </w:txbxContent>
                  </v:textbox>
                </v:rect>
                <v:rect id="Rectangle 1" o:spid="_x0000_s1049" style="position:absolute;left:43236;top:34656;width:8254;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" fillcolor="white [3212]" strokecolor="black [3213]" strokeweight="1pt">
                  <v:textbox>
                    <w:txbxContent>
                      <w:p w:rsidR="00C273A3" w:rsidRPr="006735ED" w:rsidRDefault="00C273A3" w:rsidP="00C273A3">
                        <w:pPr>
                          <w:jc w:val="center"/>
                          <w:rPr>
                            <w:rFonts w:ascii="Helvetica" w:hAnsi="Helvetica" w:cstheme="majorHAnsi"/>
                            <w:color w:val="000000" w:themeColor="text1"/>
                            <w:sz w:val="18"/>
                            <w:szCs w:val="18"/>
                          </w:rPr>
                        </w:pPr>
                        <w:r w:rsidRPr="006735ED">
                          <w:rPr>
                            <w:rFonts w:ascii="Helvetica" w:hAnsi="Helvetica" w:cstheme="majorHAnsi"/>
                            <w:color w:val="000000" w:themeColor="text1"/>
                            <w:sz w:val="18"/>
                            <w:szCs w:val="18"/>
                          </w:rPr>
                          <w:t>Creativity</w:t>
                        </w:r>
                      </w:p>
                    </w:txbxContent>
                  </v:textbox>
                </v:rect>
                <v:shape id="Straight Arrow Connector 7" o:spid="_x0000_s1050" type="#_x0000_t32" style="position:absolute;left:38678;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" strokecolor="black [3213]" strokeweight=".5pt">
                  <v:stroke endarrow="block" joinstyle="miter"/>
                </v:shape>
                <v:shape id="Straight Arrow Connector 7" o:spid="_x0000_s1051" type="#_x0000_t32" style="position:absolute;left:48048;top:27573;width:0;height:6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" strokecolor="black [3213]" strokeweight=".5pt">
                  <v:stroke endarrow="block" joinstyle="miter"/>
                </v:shape>
                <v:shape id="Straight Arrow Connector 9" o:spid="_x0000_s1052" type="#_x0000_t32" style="position:absolute;left:19981;top:12488;width:53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" strokecolor="black [3213]" strokeweight=".5pt">
                  <v:stroke endarrow="block" joinstyle="miter"/>
                </v:shape>
                <v:shape id="Straight Arrow Connector 11" o:spid="_x0000_s1053" type="#_x0000_t32" style="position:absolute;left:7747;top:8805;width:0;height:1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" strokecolor="black [3213]" strokeweight=".5pt">
                  <v:stroke endarrow="block" joinstyle="miter"/>
                </v:shape>
              </v:group>
            </w:pict>
          </mc:Fallback>
        </mc:AlternateContent>
      </w:r>
    </w:p>
    <w:p w:rsidR="00C273A3" w:rsidRPr="00E51D56" w:rsidRDefault="00C273A3" w:rsidP="00C273A3">
      <w:pPr>
        <w:spacing w:line="480" w:lineRule="auto"/>
        <w:ind w:right="-1"/>
        <w:rPr>
          <w:rFonts w:asciiTheme="majorHAnsi" w:hAnsiTheme="majorHAnsi" w:cstheme="majorHAnsi"/>
        </w:rPr>
      </w:pPr>
    </w:p>
    <w:p w:rsidR="00C273A3" w:rsidRPr="00E51D56" w:rsidRDefault="00C273A3" w:rsidP="00C273A3">
      <w:pPr>
        <w:spacing w:line="480" w:lineRule="auto"/>
        <w:ind w:right="-1"/>
        <w:rPr>
          <w:rFonts w:asciiTheme="majorHAnsi" w:hAnsiTheme="majorHAnsi" w:cstheme="majorHAnsi"/>
        </w:rPr>
      </w:pPr>
    </w:p>
    <w:p w:rsidR="00C273A3" w:rsidRPr="00E51D56" w:rsidRDefault="00C273A3" w:rsidP="00C273A3">
      <w:pPr>
        <w:spacing w:line="480" w:lineRule="auto"/>
        <w:ind w:right="-1"/>
        <w:rPr>
          <w:rFonts w:asciiTheme="majorHAnsi" w:hAnsiTheme="majorHAnsi" w:cstheme="majorHAnsi"/>
        </w:rPr>
      </w:pPr>
    </w:p>
    <w:p w:rsidR="00C273A3" w:rsidRPr="00E51D56" w:rsidRDefault="00C273A3" w:rsidP="00C273A3">
      <w:pPr>
        <w:pStyle w:val="ListParagraph"/>
        <w:spacing w:line="480" w:lineRule="auto"/>
        <w:ind w:left="284" w:right="-1"/>
        <w:rPr>
          <w:rFonts w:asciiTheme="majorHAnsi" w:hAnsiTheme="majorHAnsi" w:cstheme="majorHAnsi"/>
          <w:b/>
          <w:bCs/>
          <w:sz w:val="24"/>
          <w:szCs w:val="24"/>
        </w:rPr>
      </w:pPr>
    </w:p>
    <w:p w:rsidR="00C273A3" w:rsidRPr="00E51D56" w:rsidRDefault="00C273A3" w:rsidP="00C273A3">
      <w:pPr>
        <w:pStyle w:val="Heading1"/>
        <w:jc w:val="center"/>
        <w:rPr>
          <w:rFonts w:cstheme="majorHAnsi"/>
          <w:sz w:val="24"/>
          <w:szCs w:val="24"/>
        </w:rPr>
      </w:pPr>
    </w:p>
    <w:p w:rsidR="00C273A3" w:rsidRPr="00E51D56" w:rsidRDefault="00C273A3" w:rsidP="00C273A3">
      <w:pPr>
        <w:rPr>
          <w:rFonts w:asciiTheme="majorHAnsi" w:hAnsiTheme="majorHAnsi" w:cstheme="majorHAnsi"/>
        </w:rPr>
      </w:pPr>
    </w:p>
    <w:p w:rsidR="00C273A3" w:rsidRPr="00E51D56" w:rsidRDefault="00C273A3" w:rsidP="00C273A3">
      <w:pPr>
        <w:rPr>
          <w:rFonts w:asciiTheme="majorHAnsi" w:hAnsiTheme="majorHAnsi" w:cstheme="majorHAnsi"/>
        </w:rPr>
      </w:pPr>
    </w:p>
    <w:p w:rsidR="00C273A3" w:rsidRPr="00E51D56" w:rsidRDefault="00C273A3" w:rsidP="00C273A3">
      <w:pPr>
        <w:rPr>
          <w:rFonts w:asciiTheme="majorHAnsi" w:hAnsiTheme="majorHAnsi" w:cstheme="majorHAnsi"/>
        </w:rPr>
      </w:pPr>
    </w:p>
    <w:p w:rsidR="00C273A3" w:rsidRPr="00E51D56" w:rsidRDefault="00C273A3" w:rsidP="00C273A3">
      <w:pPr>
        <w:rPr>
          <w:rFonts w:asciiTheme="majorHAnsi" w:hAnsiTheme="majorHAnsi" w:cstheme="majorHAnsi"/>
        </w:rPr>
      </w:pPr>
    </w:p>
    <w:p w:rsidR="00C273A3" w:rsidRPr="00E51D56" w:rsidRDefault="00C273A3" w:rsidP="00C273A3">
      <w:pPr>
        <w:rPr>
          <w:rFonts w:asciiTheme="majorHAnsi" w:hAnsiTheme="majorHAnsi" w:cstheme="majorHAnsi"/>
        </w:rPr>
      </w:pPr>
    </w:p>
    <w:p w:rsidR="00C273A3" w:rsidRPr="00E51D56" w:rsidRDefault="00C273A3" w:rsidP="00C273A3">
      <w:pPr>
        <w:rPr>
          <w:rFonts w:asciiTheme="majorHAnsi" w:hAnsiTheme="majorHAnsi" w:cstheme="majorHAnsi"/>
        </w:rPr>
      </w:pPr>
    </w:p>
    <w:p w:rsidR="00C273A3" w:rsidRPr="00E51D56" w:rsidRDefault="00C273A3" w:rsidP="00C273A3">
      <w:pPr>
        <w:rPr>
          <w:rFonts w:asciiTheme="majorHAnsi" w:hAnsiTheme="majorHAnsi" w:cstheme="majorHAnsi"/>
        </w:rPr>
      </w:pPr>
    </w:p>
    <w:p w:rsidR="00C273A3" w:rsidRPr="00E51D56" w:rsidRDefault="00C273A3" w:rsidP="00C273A3">
      <w:pPr>
        <w:pStyle w:val="Heading1"/>
        <w:tabs>
          <w:tab w:val="left" w:pos="515"/>
        </w:tabs>
        <w:rPr>
          <w:rFonts w:cstheme="majorHAnsi"/>
          <w:sz w:val="24"/>
          <w:szCs w:val="24"/>
        </w:rPr>
      </w:pPr>
      <w:r w:rsidRPr="00E51D56">
        <w:rPr>
          <w:rFonts w:cstheme="majorHAnsi"/>
          <w:sz w:val="24"/>
          <w:szCs w:val="24"/>
        </w:rPr>
        <w:tab/>
      </w:r>
    </w:p>
    <w:p w:rsidR="00C273A3" w:rsidRPr="00E51D56" w:rsidRDefault="00C273A3" w:rsidP="00C273A3">
      <w:pPr>
        <w:pStyle w:val="Heading1"/>
        <w:jc w:val="center"/>
        <w:rPr>
          <w:rFonts w:cstheme="majorHAnsi"/>
        </w:rPr>
      </w:pPr>
    </w:p>
    <w:p w:rsidR="00C273A3" w:rsidRPr="00E51D56" w:rsidRDefault="00C273A3" w:rsidP="00C273A3">
      <w:pPr>
        <w:rPr>
          <w:rFonts w:asciiTheme="majorHAnsi" w:hAnsiTheme="majorHAnsi" w:cstheme="majorHAnsi"/>
        </w:rPr>
      </w:pPr>
    </w:p>
    <w:p w:rsidR="00C273A3" w:rsidRPr="00E51D56" w:rsidRDefault="00C273A3" w:rsidP="00E51D56">
      <w:pPr>
        <w:pStyle w:val="Caption"/>
        <w:jc w:val="left"/>
        <w:rPr>
          <w:rFonts w:asciiTheme="majorHAnsi" w:hAnsiTheme="majorHAnsi" w:cstheme="majorHAnsi"/>
        </w:rPr>
      </w:pPr>
      <w:bookmarkStart w:id="2" w:name="_Toc204722343"/>
    </w:p>
    <w:p w:rsidR="00C273A3" w:rsidRPr="006735ED" w:rsidRDefault="00C273A3" w:rsidP="006735ED">
      <w:pPr>
        <w:pStyle w:val="Body"/>
        <w:snapToGrid w:val="0"/>
        <w:spacing w:after="120"/>
        <w:jc w:val="center"/>
        <w:rPr>
          <w:rFonts w:ascii="Arial" w:hAnsi="Arial" w:cs="Arial"/>
          <w:i/>
        </w:rPr>
      </w:pPr>
      <w:r w:rsidRPr="006735ED">
        <w:rPr>
          <w:rFonts w:ascii="Arial" w:hAnsi="Arial" w:cs="Arial"/>
          <w:i/>
        </w:rPr>
        <w:t>Fig 1. Theoretical Conceptual Framework Model of Service Innovation in Improving Academic Quality</w:t>
      </w:r>
      <w:bookmarkEnd w:id="2"/>
    </w:p>
    <w:p w:rsidR="00C273A3" w:rsidRPr="006735ED" w:rsidRDefault="00C273A3" w:rsidP="006735ED">
      <w:pPr>
        <w:pStyle w:val="Body"/>
        <w:snapToGrid w:val="0"/>
        <w:spacing w:after="120"/>
        <w:rPr>
          <w:rFonts w:ascii="Arial" w:hAnsi="Arial" w:cs="Arial"/>
        </w:rPr>
      </w:pPr>
      <w:r w:rsidRPr="006735ED">
        <w:rPr>
          <w:rFonts w:ascii="Arial" w:hAnsi="Arial" w:cs="Arial"/>
        </w:rPr>
        <w:t>Based on the conceptual framework model of service innovation in improving academic quality at private universities in Gorontalo, it can be explained that this model is built on a theoretical synthesis that combines Rogers' theory of innovation adoption with new constructs developed by researchers, as well as Kotler &amp; Fox's theory of academic quality. The structure of the model describes three main components, namely input (service innovation and innovation adoption), outcome (academic quality), and the principle of sustainable innovation management, which acts as a moderator. The development of this framework not only aims to fill the existing theoretical gap, but also provides practical guidance for the effective implementation of service innovation in an academic environment.</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This model places the five intrinsic factors of Rogers' theory (2003) as fundamental constructs that determine the success of service innovation adoption. Relative Advantage is the first factor, indicating that service innovations must provide a clear competitive advantage over existing service systems. Compatibility, as the second factor, emphasises the importance of the innovation's compatibility with the existing values, experiences, and needs of academic institutions. Complexity indicates that the level of </w:t>
      </w:r>
      <w:r w:rsidRPr="006735ED">
        <w:rPr>
          <w:rFonts w:ascii="Arial" w:hAnsi="Arial" w:cs="Arial"/>
        </w:rPr>
        <w:lastRenderedPageBreak/>
        <w:t xml:space="preserve">difficulty in understanding and using the innovation will affect the adoption rate, where innovations that are too complex tend to experience greater adoption barriers. Trialability and Observability complement the intrinsic constructs by emphasising the ability to test and observe the results of the innovation. </w:t>
      </w:r>
    </w:p>
    <w:p w:rsidR="00C273A3" w:rsidRPr="006735ED" w:rsidRDefault="00C273A3" w:rsidP="006735ED">
      <w:pPr>
        <w:pStyle w:val="Body"/>
        <w:snapToGrid w:val="0"/>
        <w:spacing w:after="120"/>
        <w:rPr>
          <w:rFonts w:ascii="Arial" w:hAnsi="Arial" w:cs="Arial"/>
        </w:rPr>
      </w:pPr>
      <w:r w:rsidRPr="006735ED">
        <w:rPr>
          <w:rFonts w:ascii="Arial" w:hAnsi="Arial" w:cs="Arial"/>
        </w:rPr>
        <w:t>This model internalises four extrinsic factors as theoretical novelties that enrich our understanding of the adoption of specific innovations in higher education. Policy Pressure acknowledges the reality that educational institutions operate in a heavily regulated environment, where government and regulatory policies can be either a driving force or a barrier to the adoption of service innovations. Infrastructure Availability reflects the importance of technological and physical infrastructure readiness as an enabler of service innovation. Institutional Ecosystem Readiness encapsulates the readiness of the broader institutional ecosystem, including organisational culture, governance systems, and network relationships that support innovation implementation. Human Resource Readiness indicates that the readiness of human resources, both in terms of competency and willingness to change, is a factor in determining the success of academic service innovation adoption.</w:t>
      </w:r>
    </w:p>
    <w:p w:rsidR="00C273A3" w:rsidRPr="006735ED" w:rsidRDefault="00C273A3" w:rsidP="006735ED">
      <w:pPr>
        <w:pStyle w:val="Body"/>
        <w:snapToGrid w:val="0"/>
        <w:spacing w:after="120"/>
        <w:rPr>
          <w:rFonts w:ascii="Arial" w:hAnsi="Arial" w:cs="Arial"/>
        </w:rPr>
      </w:pPr>
      <w:r w:rsidRPr="006735ED">
        <w:rPr>
          <w:rFonts w:ascii="Arial" w:hAnsi="Arial" w:cs="Arial"/>
        </w:rPr>
        <w:t>The model also shows that service innovations carried out by private universities lead to improvements in academic quality. This model adopts Kotler &amp; Fox's conceptualisation of academic quality, which covers six dimensions, namely Quality of Instruction as the main dimension reflecting the core function of higher education institutions in delivering quality education. Academic Advising indicates the importance of personalised guidance in students' academic journeys. Library Resources emphasise the importance of adequate learning support infrastructure. Extracurricular Activities acknowledge that holistic learning requires activities outside the formal curriculum. Opportunities to Talk with Faculty reflect the importance of quality interaction between students and lecturers. Job Placement Services demonstrate an outcome orientation that links education with employability and career success.</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Although service innovation can directly influence academic quality improvement, the success of its sustainable implementation greatly depends on organisational governance conditions. In this case, the principles of sustainable innovation governance play a moderating role that either strengthens or weakens the influence of innovation on academic quality. The model above also explains that there are seven principles of sustainable innovation governance (commitment, consistency, communication, coordination, collaboration, cooperation and creativity) that can moderate the influence of service innovation on academic quality. The principles of sustainable innovation governance ( ) are very important for individuals and institutions. In addition to maintaining the sustainability of innovations that have been implemented, they also prevent innovations from becoming temporary projects or developments. The following explains the relationship between service innovation, academic quality, and the principles of sustainable innovation governance. </w:t>
      </w:r>
    </w:p>
    <w:p w:rsidR="00C273A3" w:rsidRPr="006735ED" w:rsidRDefault="00C273A3" w:rsidP="006735ED">
      <w:pPr>
        <w:pStyle w:val="Body"/>
        <w:snapToGrid w:val="0"/>
        <w:spacing w:after="120"/>
        <w:rPr>
          <w:rFonts w:ascii="Arial" w:hAnsi="Arial" w:cs="Arial"/>
        </w:rPr>
      </w:pPr>
      <w:r w:rsidRPr="006735ED">
        <w:rPr>
          <w:rFonts w:ascii="Arial" w:hAnsi="Arial" w:cs="Arial"/>
        </w:rPr>
        <w:t>Organisational commitment is a basic prerequisite for successful service innovation. Commitment demonstrates the extent to which service leaders and implementers are serious about implementing change consistently. Without strong commitment, innovation adoption is often temporary and has no significant impact on academic quality.</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Consistency signifies continuity and certainty of policy direction, which are key determinants in strengthening systemic change within institutions. Without consistency, various innovations tend to lose their effectiveness and fail to contribute significantly to academic quality. </w:t>
      </w:r>
    </w:p>
    <w:p w:rsidR="00C273A3" w:rsidRPr="006735ED" w:rsidRDefault="00C273A3" w:rsidP="006735ED">
      <w:pPr>
        <w:pStyle w:val="Body"/>
        <w:snapToGrid w:val="0"/>
        <w:spacing w:after="120"/>
        <w:rPr>
          <w:rFonts w:ascii="Arial" w:hAnsi="Arial" w:cs="Arial"/>
        </w:rPr>
      </w:pPr>
      <w:r w:rsidRPr="006735ED">
        <w:rPr>
          <w:rFonts w:ascii="Arial" w:hAnsi="Arial" w:cs="Arial"/>
        </w:rPr>
        <w:t xml:space="preserve">The success of innovation implementation is largely determined by the effectiveness of communication between members of the academic community. Open, two-way, data-driven communication strengthens mutual understanding of the objectives and benefits of innovation. Lack of communication often leads to resistance to change. </w:t>
      </w:r>
    </w:p>
    <w:p w:rsidR="00C273A3" w:rsidRPr="006735ED" w:rsidRDefault="00C273A3" w:rsidP="006735ED">
      <w:pPr>
        <w:pStyle w:val="Body"/>
        <w:snapToGrid w:val="0"/>
        <w:spacing w:after="120"/>
        <w:rPr>
          <w:rFonts w:ascii="Arial" w:hAnsi="Arial" w:cs="Arial"/>
        </w:rPr>
      </w:pPr>
      <w:r w:rsidRPr="006735ED">
        <w:rPr>
          <w:rFonts w:ascii="Arial" w:hAnsi="Arial" w:cs="Arial"/>
        </w:rPr>
        <w:t>Innovations that are cross-unit or cross-functional in nature require a high level of coordination. When various units are able to work in a coordinated manner, innovations not only run smoothly but also integrate into a cohesive work system. Weak coordination often results in innovative policies only succeeding in a small number of work units.</w:t>
      </w:r>
    </w:p>
    <w:p w:rsidR="00C273A3" w:rsidRPr="006735ED" w:rsidRDefault="00C273A3" w:rsidP="006735ED">
      <w:pPr>
        <w:pStyle w:val="Body"/>
        <w:snapToGrid w:val="0"/>
        <w:spacing w:after="120"/>
        <w:rPr>
          <w:rFonts w:ascii="Arial" w:hAnsi="Arial" w:cs="Arial"/>
        </w:rPr>
      </w:pPr>
      <w:r w:rsidRPr="006735ED">
        <w:rPr>
          <w:rFonts w:ascii="Arial" w:hAnsi="Arial" w:cs="Arial"/>
        </w:rPr>
        <w:t>Collaboration between individuals, units, and even external parties such as industry partners or research institutions expands the scope and strengthens the support for innovation. Collaboration creates a space for sharing resources, ideas, and technologies that support academic quality.</w:t>
      </w:r>
    </w:p>
    <w:p w:rsidR="00C273A3" w:rsidRPr="006735ED" w:rsidRDefault="00C273A3" w:rsidP="006735ED">
      <w:pPr>
        <w:pStyle w:val="Body"/>
        <w:snapToGrid w:val="0"/>
        <w:spacing w:after="120"/>
        <w:rPr>
          <w:rFonts w:ascii="Arial" w:hAnsi="Arial" w:cs="Arial"/>
        </w:rPr>
      </w:pPr>
      <w:r w:rsidRPr="006735ED">
        <w:rPr>
          <w:rFonts w:ascii="Arial" w:hAnsi="Arial" w:cs="Arial"/>
        </w:rPr>
        <w:lastRenderedPageBreak/>
        <w:t>A cooperative culture reflects a supportive, open, and trusting work culture. When service providers have a cooperative attitude, innovation can run more smoothly and gain wider acceptance from the academic community.</w:t>
      </w:r>
    </w:p>
    <w:p w:rsidR="00C273A3" w:rsidRPr="006735ED" w:rsidRDefault="00C273A3" w:rsidP="006735ED">
      <w:pPr>
        <w:pStyle w:val="Body"/>
        <w:snapToGrid w:val="0"/>
        <w:spacing w:after="120"/>
        <w:rPr>
          <w:rFonts w:ascii="Arial" w:hAnsi="Arial" w:cs="Arial"/>
        </w:rPr>
      </w:pPr>
      <w:r w:rsidRPr="006735ED">
        <w:rPr>
          <w:rFonts w:ascii="Arial" w:hAnsi="Arial" w:cs="Arial"/>
        </w:rPr>
        <w:t>Creativity is an important element in every innovation process. The ability of the academic community to think creatively determines the quality of the innovation produced, as well as the extent to which the innovation can respond to real challenges in the academic process. Creativity also encourages the emergence of new solutions that have a positive impact on academic quality.</w:t>
      </w:r>
    </w:p>
    <w:p w:rsidR="00C273A3" w:rsidRPr="006735ED" w:rsidRDefault="00C273A3" w:rsidP="006735ED">
      <w:pPr>
        <w:pStyle w:val="Body"/>
        <w:snapToGrid w:val="0"/>
        <w:spacing w:after="120"/>
        <w:rPr>
          <w:rFonts w:ascii="Arial" w:hAnsi="Arial" w:cs="Arial"/>
        </w:rPr>
      </w:pPr>
      <w:r w:rsidRPr="006735ED">
        <w:rPr>
          <w:rFonts w:ascii="Arial" w:hAnsi="Arial" w:cs="Arial"/>
        </w:rPr>
        <w:t>This conceptual model attempts to bridge the gap between generic and specific innovation adoption theories in higher education institutions in Indonesia. By integrating governance principles as a moderator, this model provides a theoretical contribution to expanding our understanding of the dynamics of innovation success. In practical terms, the findings of this study are expected to serve as a reference in designing more adaptive and sustainable service innovation policies in private higher education institutions.</w:t>
      </w:r>
    </w:p>
    <w:p w:rsidR="00C273A3" w:rsidRPr="006735ED" w:rsidRDefault="00C273A3" w:rsidP="006735ED">
      <w:pPr>
        <w:pStyle w:val="ConcHead"/>
        <w:spacing w:after="0"/>
        <w:jc w:val="both"/>
        <w:rPr>
          <w:rFonts w:ascii="Arial" w:hAnsi="Arial" w:cs="Arial"/>
        </w:rPr>
      </w:pPr>
      <w:r w:rsidRPr="006735ED">
        <w:rPr>
          <w:rFonts w:ascii="Arial" w:hAnsi="Arial" w:cs="Arial"/>
        </w:rPr>
        <w:t>Conclusion</w:t>
      </w:r>
    </w:p>
    <w:p w:rsidR="00C273A3" w:rsidRDefault="00C273A3" w:rsidP="006735ED">
      <w:pPr>
        <w:pStyle w:val="Body"/>
        <w:spacing w:after="0"/>
        <w:rPr>
          <w:rFonts w:ascii="Arial" w:hAnsi="Arial" w:cs="Arial"/>
        </w:rPr>
      </w:pPr>
      <w:r w:rsidRPr="006735ED">
        <w:rPr>
          <w:rFonts w:ascii="Arial" w:hAnsi="Arial" w:cs="Arial"/>
        </w:rPr>
        <w:t>This study expands on the Diffusion of Innovation theory by integrating the principles of sustainable governance into the analysis of service innovation in higher education. The results confirm that the success of innovation adoption is determined not only by the characteristics of the innovation itself, but also by institutional readiness, policy alignment, and organisational culture. The conceptual framework offered enriches the literature on public sector innovation and higher education service management. Practical Implications The findings indicate the strategic role of digital academic services (such as integrated academic information systems, LMS, and blended learning) in improving efficiency, accountability, and learning quality. Sustainable governance based on commitment, consistency, communication, coordination, collaboration, cooperation, and creativity are key factors for innovations to have a long-term impact. For private universities, innovation should be positioned as a sustainable strategy to strengthen academic quality and institutional competitiveness. Further research can be directed towards broader exploration by conducting comparative studies across regions or types of higher education institutions to examine differences in institutional contexts in the application of service innovations. In addition, the development of indicators derived from the principles of sustainable innovation governance needs to be carried out to obtain more operational and applicable measures. Longitudinal research is also important to assess the consistency and sustainability of the impact of service innovation on academic quality in the long term. In addition, a mixed methods approach or in-depth qualitative study can be considered to explore social and cultural dynamics and organisational resistance that may not be fully revealed through a quantitative approach.</w:t>
      </w:r>
    </w:p>
    <w:p w:rsidR="006735ED" w:rsidRPr="006735ED" w:rsidRDefault="006735ED" w:rsidP="006735ED">
      <w:pPr>
        <w:pStyle w:val="Body"/>
        <w:spacing w:after="0"/>
        <w:rPr>
          <w:rFonts w:ascii="Arial" w:hAnsi="Arial" w:cs="Arial"/>
        </w:rPr>
      </w:pPr>
    </w:p>
    <w:p w:rsidR="00001E69" w:rsidRPr="006735ED" w:rsidRDefault="00001E69" w:rsidP="006735ED">
      <w:pPr>
        <w:pStyle w:val="ReferHead"/>
        <w:spacing w:after="0"/>
        <w:jc w:val="both"/>
        <w:rPr>
          <w:rFonts w:ascii="Arial" w:hAnsi="Arial" w:cs="Arial"/>
        </w:rPr>
      </w:pPr>
      <w:r w:rsidRPr="006735ED">
        <w:rPr>
          <w:rFonts w:ascii="Arial" w:hAnsi="Arial" w:cs="Arial"/>
        </w:rPr>
        <w:t>References</w:t>
      </w:r>
    </w:p>
    <w:p w:rsidR="00F37A0E" w:rsidRPr="006C68A2" w:rsidRDefault="00001E69" w:rsidP="00F37A0E">
      <w:pPr>
        <w:widowControl w:val="0"/>
        <w:autoSpaceDE w:val="0"/>
        <w:autoSpaceDN w:val="0"/>
        <w:adjustRightInd w:val="0"/>
        <w:ind w:left="480" w:hanging="480"/>
        <w:jc w:val="both"/>
        <w:rPr>
          <w:rFonts w:ascii="Helvetica" w:hAnsi="Helvetica" w:cstheme="majorHAnsi"/>
          <w:noProof/>
          <w:sz w:val="20"/>
          <w:szCs w:val="20"/>
          <w:lang w:val="pt-BR"/>
        </w:rPr>
      </w:pPr>
      <w:r w:rsidRPr="006735ED">
        <w:rPr>
          <w:rFonts w:ascii="Helvetica" w:hAnsi="Helvetica" w:cstheme="majorHAnsi"/>
          <w:sz w:val="20"/>
          <w:szCs w:val="20"/>
        </w:rPr>
        <w:fldChar w:fldCharType="begin" w:fldLock="1"/>
      </w:r>
      <w:r w:rsidRPr="006735ED">
        <w:rPr>
          <w:rFonts w:ascii="Helvetica" w:hAnsi="Helvetica" w:cstheme="majorHAnsi"/>
          <w:sz w:val="20"/>
          <w:szCs w:val="20"/>
        </w:rPr>
        <w:instrText xml:space="preserve">ADDIN Mendeley Bibliography CSL_BIBLIOGRAPHY </w:instrText>
      </w:r>
      <w:r w:rsidRPr="006735ED">
        <w:rPr>
          <w:rFonts w:ascii="Helvetica" w:hAnsi="Helvetica" w:cstheme="majorHAnsi"/>
          <w:sz w:val="20"/>
          <w:szCs w:val="20"/>
        </w:rPr>
        <w:fldChar w:fldCharType="separate"/>
      </w:r>
      <w:r w:rsidR="00F37A0E" w:rsidRPr="006735ED">
        <w:rPr>
          <w:rFonts w:ascii="Helvetica" w:hAnsi="Helvetica" w:cstheme="majorHAnsi"/>
          <w:noProof/>
          <w:sz w:val="20"/>
          <w:szCs w:val="20"/>
          <w:lang w:val="en-US"/>
        </w:rPr>
        <w:t xml:space="preserve">Aneta, Y., Akib, H., Pakaya, R., &amp; Hulinggi, P. A. (2025). The Impact of Digital Transformation and Artificial Intelligence on Bureaucratic Culture Between Efficiency and Discretion. </w:t>
      </w:r>
      <w:r w:rsidR="00F37A0E" w:rsidRPr="006C68A2">
        <w:rPr>
          <w:rFonts w:ascii="Helvetica" w:hAnsi="Helvetica" w:cstheme="majorHAnsi"/>
          <w:i/>
          <w:iCs/>
          <w:noProof/>
          <w:sz w:val="20"/>
          <w:szCs w:val="20"/>
          <w:lang w:val="pt-BR"/>
        </w:rPr>
        <w:t>KnE Social Sciences</w:t>
      </w:r>
      <w:r w:rsidR="00F37A0E" w:rsidRPr="006C68A2">
        <w:rPr>
          <w:rFonts w:ascii="Helvetica" w:hAnsi="Helvetica" w:cstheme="majorHAnsi"/>
          <w:noProof/>
          <w:sz w:val="20"/>
          <w:szCs w:val="20"/>
          <w:lang w:val="pt-BR"/>
        </w:rPr>
        <w:t xml:space="preserve">, </w:t>
      </w:r>
      <w:r w:rsidR="00F37A0E" w:rsidRPr="006C68A2">
        <w:rPr>
          <w:rFonts w:ascii="Helvetica" w:hAnsi="Helvetica" w:cstheme="majorHAnsi"/>
          <w:i/>
          <w:iCs/>
          <w:noProof/>
          <w:sz w:val="20"/>
          <w:szCs w:val="20"/>
          <w:lang w:val="pt-BR"/>
        </w:rPr>
        <w:t>10</w:t>
      </w:r>
      <w:r w:rsidR="00F37A0E" w:rsidRPr="006C68A2">
        <w:rPr>
          <w:rFonts w:ascii="Helvetica" w:hAnsi="Helvetica" w:cstheme="majorHAnsi"/>
          <w:noProof/>
          <w:sz w:val="20"/>
          <w:szCs w:val="20"/>
          <w:lang w:val="pt-BR"/>
        </w:rPr>
        <w:t>(4), 1–20.</w:t>
      </w:r>
      <w:r w:rsidR="006C68A2" w:rsidRPr="006C68A2">
        <w:t xml:space="preserve"> </w:t>
      </w:r>
      <w:r w:rsidR="006C68A2" w:rsidRPr="006C68A2">
        <w:rPr>
          <w:rFonts w:ascii="Helvetica" w:hAnsi="Helvetica" w:cstheme="majorHAnsi"/>
          <w:noProof/>
          <w:sz w:val="20"/>
          <w:szCs w:val="20"/>
          <w:lang w:val="pt-BR"/>
        </w:rPr>
        <w:t>https://doi.org/10.18502/kss.v10i4.18019</w:t>
      </w:r>
      <w:r w:rsidR="006C68A2">
        <w:rPr>
          <w:rFonts w:ascii="Helvetica" w:hAnsi="Helvetica" w:cstheme="majorHAnsi"/>
          <w:noProof/>
          <w:sz w:val="20"/>
          <w:szCs w:val="20"/>
          <w:lang w:val="pt-BR"/>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C68A2">
        <w:rPr>
          <w:rFonts w:ascii="Helvetica" w:hAnsi="Helvetica" w:cstheme="majorHAnsi"/>
          <w:noProof/>
          <w:sz w:val="20"/>
          <w:szCs w:val="20"/>
          <w:lang w:val="pt-BR"/>
        </w:rPr>
        <w:t xml:space="preserve">Arsana, I. K. S, Ansar, A., Hasim, H., Abdussamad, J., &amp; Aneta, Y. (2025). </w:t>
      </w:r>
      <w:r w:rsidRPr="006735ED">
        <w:rPr>
          <w:rFonts w:ascii="Helvetica" w:hAnsi="Helvetica" w:cstheme="majorHAnsi"/>
          <w:noProof/>
          <w:sz w:val="20"/>
          <w:szCs w:val="20"/>
          <w:lang w:val="en-US"/>
        </w:rPr>
        <w:t xml:space="preserve">Service Innovation in Enhancing Academic Quality at Private Higher Education Institution in Gorontalo: An Integrative Conceptual Approach Based on the Diffusion of Innovation Theory. </w:t>
      </w:r>
      <w:r w:rsidRPr="006735ED">
        <w:rPr>
          <w:rFonts w:ascii="Helvetica" w:hAnsi="Helvetica" w:cstheme="majorHAnsi"/>
          <w:i/>
          <w:iCs/>
          <w:noProof/>
          <w:sz w:val="20"/>
          <w:szCs w:val="20"/>
          <w:lang w:val="en-US"/>
        </w:rPr>
        <w:t>International Journal of Social Science Research and Review</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8</w:t>
      </w:r>
      <w:r w:rsidRPr="006735ED">
        <w:rPr>
          <w:rFonts w:ascii="Helvetica" w:hAnsi="Helvetica" w:cstheme="majorHAnsi"/>
          <w:noProof/>
          <w:sz w:val="20"/>
          <w:szCs w:val="20"/>
          <w:lang w:val="en-US"/>
        </w:rPr>
        <w:t>(9 SE-Main Articles). https://doi.org/10.47814/ijssrr.v8i9.2879</w:t>
      </w:r>
    </w:p>
    <w:p w:rsidR="00F37A0E" w:rsidRPr="006C68A2" w:rsidRDefault="00F37A0E" w:rsidP="00F37A0E">
      <w:pPr>
        <w:widowControl w:val="0"/>
        <w:autoSpaceDE w:val="0"/>
        <w:autoSpaceDN w:val="0"/>
        <w:adjustRightInd w:val="0"/>
        <w:ind w:left="480" w:hanging="480"/>
        <w:jc w:val="both"/>
        <w:rPr>
          <w:rFonts w:ascii="Helvetica" w:hAnsi="Helvetica" w:cstheme="majorHAnsi"/>
          <w:noProof/>
          <w:sz w:val="20"/>
          <w:szCs w:val="20"/>
          <w:lang w:val="pt-BR"/>
        </w:rPr>
      </w:pPr>
      <w:r w:rsidRPr="006C68A2">
        <w:rPr>
          <w:rFonts w:ascii="Helvetica" w:hAnsi="Helvetica" w:cstheme="majorHAnsi"/>
          <w:noProof/>
          <w:sz w:val="20"/>
          <w:szCs w:val="20"/>
          <w:lang w:val="pt-BR"/>
        </w:rPr>
        <w:t xml:space="preserve">Arsana, I. K. S., Afnita, V., Hutahaean, L. A., &amp; Gintulangi, S. O. (2025). Transformasi e-administrasi jurusan Pendidikan Ekonomi dan pengaruhnya terhadap efisiensi dan kualitas pembelajaran. </w:t>
      </w:r>
      <w:r w:rsidRPr="006C68A2">
        <w:rPr>
          <w:rFonts w:ascii="Helvetica" w:hAnsi="Helvetica" w:cstheme="majorHAnsi"/>
          <w:i/>
          <w:iCs/>
          <w:noProof/>
          <w:sz w:val="20"/>
          <w:szCs w:val="20"/>
          <w:lang w:val="pt-BR"/>
        </w:rPr>
        <w:t>Takuana: Jurnal Pendidikan, Sains, Dan Humaniora</w:t>
      </w:r>
      <w:r w:rsidRPr="006C68A2">
        <w:rPr>
          <w:rFonts w:ascii="Helvetica" w:hAnsi="Helvetica" w:cstheme="majorHAnsi"/>
          <w:noProof/>
          <w:sz w:val="20"/>
          <w:szCs w:val="20"/>
          <w:lang w:val="pt-BR"/>
        </w:rPr>
        <w:t xml:space="preserve">, </w:t>
      </w:r>
      <w:r w:rsidRPr="006C68A2">
        <w:rPr>
          <w:rFonts w:ascii="Helvetica" w:hAnsi="Helvetica" w:cstheme="majorHAnsi"/>
          <w:i/>
          <w:iCs/>
          <w:noProof/>
          <w:sz w:val="20"/>
          <w:szCs w:val="20"/>
          <w:lang w:val="pt-BR"/>
        </w:rPr>
        <w:t>4</w:t>
      </w:r>
      <w:r w:rsidRPr="006C68A2">
        <w:rPr>
          <w:rFonts w:ascii="Helvetica" w:hAnsi="Helvetica" w:cstheme="majorHAnsi"/>
          <w:noProof/>
          <w:sz w:val="20"/>
          <w:szCs w:val="20"/>
          <w:lang w:val="pt-BR"/>
        </w:rPr>
        <w:t>(2 SE-Articles), 306–319. https://doi.org/10.56113/takuana.v4i2.159</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Bich, L. N. (2025). Improving the Quality of Human Resources at Private Universities in the Mekong Delta – Vietnam. </w:t>
      </w:r>
      <w:r w:rsidRPr="006735ED">
        <w:rPr>
          <w:rFonts w:ascii="Helvetica" w:hAnsi="Helvetica" w:cstheme="majorHAnsi"/>
          <w:i/>
          <w:iCs/>
          <w:noProof/>
          <w:sz w:val="20"/>
          <w:szCs w:val="20"/>
          <w:lang w:val="en-US"/>
        </w:rPr>
        <w:t>South Asian Research Journal of Humanities and Social Sciences</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7</w:t>
      </w:r>
      <w:r w:rsidRPr="006735ED">
        <w:rPr>
          <w:rFonts w:ascii="Helvetica" w:hAnsi="Helvetica" w:cstheme="majorHAnsi"/>
          <w:noProof/>
          <w:sz w:val="20"/>
          <w:szCs w:val="20"/>
          <w:lang w:val="en-US"/>
        </w:rPr>
        <w:t>(01), 21–30. https://doi.org/10.36346/sarjhss.2025.v07i01.008</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Bouncken, R. B., Czakon, W., &amp; Schmitt, F. (2025). Purposeful sampling and saturation in qualitative research methodologies: recommendations and review. </w:t>
      </w:r>
      <w:r w:rsidRPr="006735ED">
        <w:rPr>
          <w:rFonts w:ascii="Helvetica" w:hAnsi="Helvetica" w:cstheme="majorHAnsi"/>
          <w:i/>
          <w:iCs/>
          <w:noProof/>
          <w:sz w:val="20"/>
          <w:szCs w:val="20"/>
          <w:lang w:val="en-US"/>
        </w:rPr>
        <w:t>Review of Managerial Science</w:t>
      </w:r>
      <w:r w:rsidRPr="006735ED">
        <w:rPr>
          <w:rFonts w:ascii="Helvetica" w:hAnsi="Helvetica" w:cstheme="majorHAnsi"/>
          <w:noProof/>
          <w:sz w:val="20"/>
          <w:szCs w:val="20"/>
          <w:lang w:val="en-US"/>
        </w:rPr>
        <w:t>. https://doi.org/10.1007/s11846-025-00881-2</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Cadez, S., Dimovski, V., &amp; Zaman Groff, M. (2017). Research, teaching and performance evaluation in academia: the salience of quality. </w:t>
      </w:r>
      <w:r w:rsidRPr="006735ED">
        <w:rPr>
          <w:rFonts w:ascii="Helvetica" w:hAnsi="Helvetica" w:cstheme="majorHAnsi"/>
          <w:i/>
          <w:iCs/>
          <w:noProof/>
          <w:sz w:val="20"/>
          <w:szCs w:val="20"/>
          <w:lang w:val="en-US"/>
        </w:rPr>
        <w:t>Studies in Higher Education</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42</w:t>
      </w:r>
      <w:r w:rsidRPr="006735ED">
        <w:rPr>
          <w:rFonts w:ascii="Helvetica" w:hAnsi="Helvetica" w:cstheme="majorHAnsi"/>
          <w:noProof/>
          <w:sz w:val="20"/>
          <w:szCs w:val="20"/>
          <w:lang w:val="en-US"/>
        </w:rPr>
        <w:t>(8), 1455–1473. https://doi.org/10.1080/03075079.2015.1104659</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lastRenderedPageBreak/>
        <w:t xml:space="preserve">Dibra, M. (2015). Rogers Theory on Diffusion of Innovation-The Most Appropriate Theoretical Model in the Study of Factors Influencing the Integration of Sustainability in Tourism Businesses. </w:t>
      </w:r>
      <w:r w:rsidRPr="006735ED">
        <w:rPr>
          <w:rFonts w:ascii="Helvetica" w:hAnsi="Helvetica" w:cstheme="majorHAnsi"/>
          <w:i/>
          <w:iCs/>
          <w:noProof/>
          <w:sz w:val="20"/>
          <w:szCs w:val="20"/>
          <w:lang w:val="en-US"/>
        </w:rPr>
        <w:t>Procedia - Social and Behavioral Sciences</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195</w:t>
      </w:r>
      <w:r w:rsidRPr="006735ED">
        <w:rPr>
          <w:rFonts w:ascii="Helvetica" w:hAnsi="Helvetica" w:cstheme="majorHAnsi"/>
          <w:noProof/>
          <w:sz w:val="20"/>
          <w:szCs w:val="20"/>
          <w:lang w:val="en-US"/>
        </w:rPr>
        <w:t>, 1453–1462. https://doi.org/https://doi.org/10.1016/j.sbspro.2015.06.443</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Fasnacht, D. (2018). </w:t>
      </w:r>
      <w:r w:rsidRPr="006735ED">
        <w:rPr>
          <w:rFonts w:ascii="Helvetica" w:hAnsi="Helvetica" w:cstheme="majorHAnsi"/>
          <w:i/>
          <w:iCs/>
          <w:noProof/>
          <w:sz w:val="20"/>
          <w:szCs w:val="20"/>
          <w:lang w:val="en-US"/>
        </w:rPr>
        <w:t>Open Innovation in the Financial Services BT  - Open Innovation Ecosystems: Creating New Value Constellations in the Financial Services</w:t>
      </w:r>
      <w:r w:rsidRPr="006735ED">
        <w:rPr>
          <w:rFonts w:ascii="Helvetica" w:hAnsi="Helvetica" w:cstheme="majorHAnsi"/>
          <w:noProof/>
          <w:sz w:val="20"/>
          <w:szCs w:val="20"/>
          <w:lang w:val="en-US"/>
        </w:rPr>
        <w:t xml:space="preserve"> (D. Fasnacht (ed.); pp. 97–130). Springer International Publishing. https://doi.org/10.1007/978-3-319-76394-1_4</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Fernandes, J. O., &amp; Singh, B. (2021). Accreditation and ranking of higher education institutions (HEIs): review, observations and recommendations for the Indian higher education system. </w:t>
      </w:r>
      <w:r w:rsidRPr="006735ED">
        <w:rPr>
          <w:rFonts w:ascii="Helvetica" w:hAnsi="Helvetica" w:cstheme="majorHAnsi"/>
          <w:i/>
          <w:iCs/>
          <w:noProof/>
          <w:sz w:val="20"/>
          <w:szCs w:val="20"/>
          <w:lang w:val="en-US"/>
        </w:rPr>
        <w:t>The TQM Journal</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34</w:t>
      </w:r>
      <w:r w:rsidRPr="006735ED">
        <w:rPr>
          <w:rFonts w:ascii="Helvetica" w:hAnsi="Helvetica" w:cstheme="majorHAnsi"/>
          <w:noProof/>
          <w:sz w:val="20"/>
          <w:szCs w:val="20"/>
          <w:lang w:val="en-US"/>
        </w:rPr>
        <w:t>(5), 1013–1038. https://doi.org/10.1108/TQM-04-2021-0115</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Hazelkorn, E. (2018). Reshaping the world order of higher education: the role and impact of rankings on national and global systems*. </w:t>
      </w:r>
      <w:r w:rsidRPr="006735ED">
        <w:rPr>
          <w:rFonts w:ascii="Helvetica" w:hAnsi="Helvetica" w:cstheme="majorHAnsi"/>
          <w:i/>
          <w:iCs/>
          <w:noProof/>
          <w:sz w:val="20"/>
          <w:szCs w:val="20"/>
          <w:lang w:val="en-US"/>
        </w:rPr>
        <w:t>Policy Reviews in Higher Education</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2</w:t>
      </w:r>
      <w:r w:rsidRPr="006735ED">
        <w:rPr>
          <w:rFonts w:ascii="Helvetica" w:hAnsi="Helvetica" w:cstheme="majorHAnsi"/>
          <w:noProof/>
          <w:sz w:val="20"/>
          <w:szCs w:val="20"/>
          <w:lang w:val="en-US"/>
        </w:rPr>
        <w:t>(1), 4–31. https://doi.org/10.1080/23322969.2018.1424562</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Kahn, K. B. (2018). Understanding innovation. </w:t>
      </w:r>
      <w:r w:rsidRPr="006735ED">
        <w:rPr>
          <w:rFonts w:ascii="Helvetica" w:hAnsi="Helvetica" w:cstheme="majorHAnsi"/>
          <w:i/>
          <w:iCs/>
          <w:noProof/>
          <w:sz w:val="20"/>
          <w:szCs w:val="20"/>
          <w:lang w:val="en-US"/>
        </w:rPr>
        <w:t>Business Horizons</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61</w:t>
      </w:r>
      <w:r w:rsidRPr="006735ED">
        <w:rPr>
          <w:rFonts w:ascii="Helvetica" w:hAnsi="Helvetica" w:cstheme="majorHAnsi"/>
          <w:noProof/>
          <w:sz w:val="20"/>
          <w:szCs w:val="20"/>
          <w:lang w:val="en-US"/>
        </w:rPr>
        <w:t>(3), 453–460. https://doi.org/https://doi.org/10.1016/j.bushor.2018.01.011</w:t>
      </w:r>
    </w:p>
    <w:p w:rsidR="006C68A2" w:rsidRPr="006735ED" w:rsidRDefault="00F37A0E" w:rsidP="006C68A2">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Kalpokaite, N., &amp; Radivojevic, I. (2019). Demystifying qualitative data analysis for novice qualitative researchers. </w:t>
      </w:r>
      <w:r w:rsidRPr="006735ED">
        <w:rPr>
          <w:rFonts w:ascii="Helvetica" w:hAnsi="Helvetica" w:cstheme="majorHAnsi"/>
          <w:i/>
          <w:iCs/>
          <w:noProof/>
          <w:sz w:val="20"/>
          <w:szCs w:val="20"/>
          <w:lang w:val="en-US"/>
        </w:rPr>
        <w:t>The Qualitative Report</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24</w:t>
      </w:r>
      <w:r w:rsidRPr="006735ED">
        <w:rPr>
          <w:rFonts w:ascii="Helvetica" w:hAnsi="Helvetica" w:cstheme="majorHAnsi"/>
          <w:noProof/>
          <w:sz w:val="20"/>
          <w:szCs w:val="20"/>
          <w:lang w:val="en-US"/>
        </w:rPr>
        <w:t xml:space="preserve">(13), 44–57. </w:t>
      </w:r>
      <w:r w:rsidR="006C68A2" w:rsidRPr="006C68A2">
        <w:rPr>
          <w:rFonts w:ascii="Helvetica" w:hAnsi="Helvetica" w:cstheme="majorHAnsi"/>
          <w:noProof/>
          <w:sz w:val="20"/>
          <w:szCs w:val="20"/>
          <w:lang w:val="en-US"/>
        </w:rPr>
        <w:t>https://doi.org/10.46743/2160-3715/2019.4120</w:t>
      </w:r>
      <w:r w:rsidR="006C68A2">
        <w:rPr>
          <w:rFonts w:ascii="Helvetica" w:hAnsi="Helvetica" w:cstheme="majorHAnsi"/>
          <w:noProof/>
          <w:sz w:val="20"/>
          <w:szCs w:val="20"/>
          <w:lang w:val="en-US"/>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Lee, S.-H. (2022). Naturalistic Inquiry/Qualitative Studies. In </w:t>
      </w:r>
      <w:r w:rsidRPr="006735ED">
        <w:rPr>
          <w:rFonts w:ascii="Helvetica" w:hAnsi="Helvetica" w:cstheme="majorHAnsi"/>
          <w:i/>
          <w:iCs/>
          <w:noProof/>
          <w:sz w:val="20"/>
          <w:szCs w:val="20"/>
          <w:lang w:val="en-US"/>
        </w:rPr>
        <w:t>Scholarly Research in Music</w:t>
      </w:r>
      <w:r w:rsidRPr="006735ED">
        <w:rPr>
          <w:rFonts w:ascii="Helvetica" w:hAnsi="Helvetica" w:cstheme="majorHAnsi"/>
          <w:noProof/>
          <w:sz w:val="20"/>
          <w:szCs w:val="20"/>
          <w:lang w:val="en-US"/>
        </w:rPr>
        <w:t xml:space="preserve"> (pp. 87–94). Routledge.</w:t>
      </w:r>
      <w:r w:rsidR="006C68A2" w:rsidRPr="006C68A2">
        <w:t xml:space="preserve"> </w:t>
      </w:r>
      <w:r w:rsidR="006C68A2" w:rsidRPr="006C68A2">
        <w:rPr>
          <w:rFonts w:ascii="Helvetica" w:hAnsi="Helvetica" w:cstheme="majorHAnsi"/>
          <w:noProof/>
          <w:sz w:val="20"/>
          <w:szCs w:val="20"/>
          <w:lang w:val="en-US"/>
        </w:rPr>
        <w:t>https://doi.org/10.4324/9781003153924</w:t>
      </w:r>
      <w:r w:rsidR="006C68A2">
        <w:rPr>
          <w:rFonts w:ascii="Helvetica" w:hAnsi="Helvetica" w:cstheme="majorHAnsi"/>
          <w:noProof/>
          <w:sz w:val="20"/>
          <w:szCs w:val="20"/>
          <w:lang w:val="en-US"/>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Maiya, A. K., &amp; Aithal, P. S. (2023). A review-based research topic identification on how to improve the quality services of higher education institutions in academic, administrative, and research areas.</w:t>
      </w:r>
      <w:r w:rsidRPr="006735ED">
        <w:rPr>
          <w:rFonts w:ascii="Helvetica" w:hAnsi="Helvetica" w:cstheme="majorHAnsi"/>
          <w:i/>
          <w:iCs/>
          <w:noProof/>
          <w:sz w:val="20"/>
          <w:szCs w:val="20"/>
          <w:lang w:val="en-US"/>
        </w:rPr>
        <w:t xml:space="preserve"> International Journal of Management, Technology, and Soci</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8</w:t>
      </w:r>
      <w:r w:rsidRPr="006735ED">
        <w:rPr>
          <w:rFonts w:ascii="Helvetica" w:hAnsi="Helvetica" w:cstheme="majorHAnsi"/>
          <w:noProof/>
          <w:sz w:val="20"/>
          <w:szCs w:val="20"/>
          <w:lang w:val="en-US"/>
        </w:rPr>
        <w:t xml:space="preserve">(3), 103–153. </w:t>
      </w:r>
      <w:r w:rsidR="006C68A2" w:rsidRPr="006C68A2">
        <w:rPr>
          <w:rFonts w:ascii="Helvetica" w:hAnsi="Helvetica" w:cstheme="majorHAnsi"/>
          <w:noProof/>
          <w:sz w:val="20"/>
          <w:szCs w:val="20"/>
          <w:lang w:val="en-US"/>
        </w:rPr>
        <w:t>https://doi.org/10.47992/IJMTS.2581.6012.0292</w:t>
      </w:r>
      <w:r w:rsidR="006C68A2">
        <w:rPr>
          <w:rFonts w:ascii="Helvetica" w:hAnsi="Helvetica" w:cstheme="majorHAnsi"/>
          <w:noProof/>
          <w:sz w:val="20"/>
          <w:szCs w:val="20"/>
          <w:lang w:val="en-US"/>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Makhoul, S. A. (2019). Higher education accreditation, quality assurance and their impact to teaching and learning enhancement. </w:t>
      </w:r>
      <w:r w:rsidRPr="006735ED">
        <w:rPr>
          <w:rFonts w:ascii="Helvetica" w:hAnsi="Helvetica" w:cstheme="majorHAnsi"/>
          <w:i/>
          <w:iCs/>
          <w:noProof/>
          <w:sz w:val="20"/>
          <w:szCs w:val="20"/>
          <w:lang w:val="en-US"/>
        </w:rPr>
        <w:t>Journal of Economic and Administrative Sciences</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35</w:t>
      </w:r>
      <w:r w:rsidRPr="006735ED">
        <w:rPr>
          <w:rFonts w:ascii="Helvetica" w:hAnsi="Helvetica" w:cstheme="majorHAnsi"/>
          <w:noProof/>
          <w:sz w:val="20"/>
          <w:szCs w:val="20"/>
          <w:lang w:val="en-US"/>
        </w:rPr>
        <w:t>(4), 235–250. https://doi.org/10.1108/JEAS-08-2018-0092</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Mohamed Hashim, M. A., Tlemsani, I., &amp; Matthews, R. (2022). Higher education strategy in digital transformation. </w:t>
      </w:r>
      <w:r w:rsidRPr="006735ED">
        <w:rPr>
          <w:rFonts w:ascii="Helvetica" w:hAnsi="Helvetica" w:cstheme="majorHAnsi"/>
          <w:i/>
          <w:iCs/>
          <w:noProof/>
          <w:sz w:val="20"/>
          <w:szCs w:val="20"/>
          <w:lang w:val="en-US"/>
        </w:rPr>
        <w:t>Education and Information Technologies</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27</w:t>
      </w:r>
      <w:r w:rsidRPr="006735ED">
        <w:rPr>
          <w:rFonts w:ascii="Helvetica" w:hAnsi="Helvetica" w:cstheme="majorHAnsi"/>
          <w:noProof/>
          <w:sz w:val="20"/>
          <w:szCs w:val="20"/>
          <w:lang w:val="en-US"/>
        </w:rPr>
        <w:t xml:space="preserve">(3), 3171–3195. </w:t>
      </w:r>
      <w:r w:rsidR="006C68A2" w:rsidRPr="006C68A2">
        <w:rPr>
          <w:rFonts w:ascii="Helvetica" w:hAnsi="Helvetica" w:cstheme="majorHAnsi"/>
          <w:noProof/>
          <w:sz w:val="20"/>
          <w:szCs w:val="20"/>
          <w:lang w:val="en-US"/>
        </w:rPr>
        <w:t>https://doi.org/10.1007/s10639-021-10739-1</w:t>
      </w:r>
      <w:r w:rsidR="006C68A2">
        <w:rPr>
          <w:rFonts w:ascii="Helvetica" w:hAnsi="Helvetica" w:cstheme="majorHAnsi"/>
          <w:noProof/>
          <w:sz w:val="20"/>
          <w:szCs w:val="20"/>
          <w:lang w:val="en-US"/>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Mok, K. H. (2015). Higher Education Transformations for Global Competitiveness: Policy Responses, Social Consequences and Impact on the Academic Profession in Asia. </w:t>
      </w:r>
      <w:r w:rsidRPr="006735ED">
        <w:rPr>
          <w:rFonts w:ascii="Helvetica" w:hAnsi="Helvetica" w:cstheme="majorHAnsi"/>
          <w:i/>
          <w:iCs/>
          <w:noProof/>
          <w:sz w:val="20"/>
          <w:szCs w:val="20"/>
          <w:lang w:val="en-US"/>
        </w:rPr>
        <w:t>Higher Education Policy</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28</w:t>
      </w:r>
      <w:r w:rsidRPr="006735ED">
        <w:rPr>
          <w:rFonts w:ascii="Helvetica" w:hAnsi="Helvetica" w:cstheme="majorHAnsi"/>
          <w:noProof/>
          <w:sz w:val="20"/>
          <w:szCs w:val="20"/>
          <w:lang w:val="en-US"/>
        </w:rPr>
        <w:t>(1), 1–15. https://doi.org/10.1057/hep.2014.27</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Muthuswamy, P. R. (2022). </w:t>
      </w:r>
      <w:r w:rsidRPr="006735ED">
        <w:rPr>
          <w:rFonts w:ascii="Helvetica" w:hAnsi="Helvetica" w:cstheme="majorHAnsi"/>
          <w:i/>
          <w:iCs/>
          <w:noProof/>
          <w:sz w:val="20"/>
          <w:szCs w:val="20"/>
          <w:lang w:val="en-US"/>
        </w:rPr>
        <w:t>New age education models: Innovation and reform in the 21st century</w:t>
      </w:r>
      <w:r w:rsidRPr="006735ED">
        <w:rPr>
          <w:rFonts w:ascii="Helvetica" w:hAnsi="Helvetica" w:cstheme="majorHAnsi"/>
          <w:noProof/>
          <w:sz w:val="20"/>
          <w:szCs w:val="20"/>
          <w:lang w:val="en-US"/>
        </w:rPr>
        <w:t>. Notion Press.</w:t>
      </w:r>
      <w:r w:rsidR="006C68A2" w:rsidRPr="006C68A2">
        <w:t xml:space="preserve"> </w:t>
      </w:r>
      <w:r w:rsidR="006C68A2" w:rsidRPr="006C68A2">
        <w:rPr>
          <w:rFonts w:ascii="Helvetica" w:hAnsi="Helvetica" w:cstheme="majorHAnsi"/>
          <w:noProof/>
          <w:sz w:val="20"/>
          <w:szCs w:val="20"/>
          <w:lang w:val="en-US"/>
        </w:rPr>
        <w:t>https://books.google.com/books/about/New_Age_Education_Models_Innovation_and.html?id=rP5vEAAAQBAJ</w:t>
      </w:r>
      <w:r w:rsidR="006C68A2">
        <w:rPr>
          <w:rFonts w:ascii="Helvetica" w:hAnsi="Helvetica" w:cstheme="majorHAnsi"/>
          <w:noProof/>
          <w:sz w:val="20"/>
          <w:szCs w:val="20"/>
          <w:lang w:val="en-US"/>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Prapasanobol, V., &amp; Vanichwatanavorachai, S. (2022). </w:t>
      </w:r>
      <w:r w:rsidRPr="006735ED">
        <w:rPr>
          <w:rFonts w:ascii="Helvetica" w:hAnsi="Helvetica" w:cstheme="majorHAnsi"/>
          <w:i/>
          <w:iCs/>
          <w:noProof/>
          <w:sz w:val="20"/>
          <w:szCs w:val="20"/>
          <w:lang w:val="en-US"/>
        </w:rPr>
        <w:t>A Model for Developing Pre-service Teachers’ Teaching Competencies by Using Project-Based and Creative Learning Management to Enhance Students’ Creative Innovation Ability</w:t>
      </w:r>
      <w:r w:rsidRPr="006735ED">
        <w:rPr>
          <w:rFonts w:ascii="Helvetica" w:hAnsi="Helvetica" w:cstheme="majorHAnsi"/>
          <w:noProof/>
          <w:sz w:val="20"/>
          <w:szCs w:val="20"/>
          <w:lang w:val="en-US"/>
        </w:rPr>
        <w:t xml:space="preserve">. Silpakorn University. </w:t>
      </w:r>
      <w:r w:rsidR="006C68A2" w:rsidRPr="006C68A2">
        <w:rPr>
          <w:rFonts w:ascii="Helvetica" w:hAnsi="Helvetica" w:cstheme="majorHAnsi"/>
          <w:noProof/>
          <w:sz w:val="20"/>
          <w:szCs w:val="20"/>
          <w:lang w:val="en-US"/>
        </w:rPr>
        <w:t>http://ithesis-ir.su.ac.th/dspace/handle/123456789/3881</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Pucciarelli, F., &amp; Kaplan, A. (2016). Competition and strategy in higher education: Managing complexity and uncertainty. </w:t>
      </w:r>
      <w:r w:rsidRPr="006735ED">
        <w:rPr>
          <w:rFonts w:ascii="Helvetica" w:hAnsi="Helvetica" w:cstheme="majorHAnsi"/>
          <w:i/>
          <w:iCs/>
          <w:noProof/>
          <w:sz w:val="20"/>
          <w:szCs w:val="20"/>
          <w:lang w:val="en-US"/>
        </w:rPr>
        <w:t>Business Horizons</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59</w:t>
      </w:r>
      <w:r w:rsidRPr="006735ED">
        <w:rPr>
          <w:rFonts w:ascii="Helvetica" w:hAnsi="Helvetica" w:cstheme="majorHAnsi"/>
          <w:noProof/>
          <w:sz w:val="20"/>
          <w:szCs w:val="20"/>
          <w:lang w:val="en-US"/>
        </w:rPr>
        <w:t>(3), 311–320. https://doi.org/https://doi.org/10.1016/j.bushor.2016.01.003</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C68A2">
        <w:rPr>
          <w:rFonts w:ascii="Helvetica" w:hAnsi="Helvetica" w:cstheme="majorHAnsi"/>
          <w:noProof/>
          <w:sz w:val="20"/>
          <w:szCs w:val="20"/>
          <w:lang w:val="fr-FR"/>
        </w:rPr>
        <w:t xml:space="preserve">Rogers, E. M., Singhal, A., &amp; Quinlan, M. M. (2019). </w:t>
      </w:r>
      <w:r w:rsidRPr="006735ED">
        <w:rPr>
          <w:rFonts w:ascii="Helvetica" w:hAnsi="Helvetica" w:cstheme="majorHAnsi"/>
          <w:noProof/>
          <w:sz w:val="20"/>
          <w:szCs w:val="20"/>
          <w:lang w:val="en-US"/>
        </w:rPr>
        <w:t xml:space="preserve">Diffusion of innovations 1. In </w:t>
      </w:r>
      <w:r w:rsidRPr="006735ED">
        <w:rPr>
          <w:rFonts w:ascii="Helvetica" w:hAnsi="Helvetica" w:cstheme="majorHAnsi"/>
          <w:i/>
          <w:iCs/>
          <w:noProof/>
          <w:sz w:val="20"/>
          <w:szCs w:val="20"/>
          <w:lang w:val="en-US"/>
        </w:rPr>
        <w:t>An integrated approach to communication theory and research</w:t>
      </w:r>
      <w:r w:rsidRPr="006735ED">
        <w:rPr>
          <w:rFonts w:ascii="Helvetica" w:hAnsi="Helvetica" w:cstheme="majorHAnsi"/>
          <w:noProof/>
          <w:sz w:val="20"/>
          <w:szCs w:val="20"/>
          <w:lang w:val="en-US"/>
        </w:rPr>
        <w:t xml:space="preserve"> (pp. 415–434). Routledge.</w:t>
      </w:r>
      <w:r w:rsidR="006C68A2" w:rsidRPr="006C68A2">
        <w:t xml:space="preserve"> </w:t>
      </w:r>
      <w:r w:rsidR="006C68A2" w:rsidRPr="006C68A2">
        <w:rPr>
          <w:rFonts w:ascii="Helvetica" w:hAnsi="Helvetica" w:cstheme="majorHAnsi"/>
          <w:noProof/>
          <w:sz w:val="20"/>
          <w:szCs w:val="20"/>
          <w:lang w:val="en-US"/>
        </w:rPr>
        <w:t>https://doi.org/10.4324/9780203710753-35</w:t>
      </w:r>
      <w:r w:rsidR="006C68A2">
        <w:rPr>
          <w:rFonts w:ascii="Helvetica" w:hAnsi="Helvetica" w:cstheme="majorHAnsi"/>
          <w:noProof/>
          <w:sz w:val="20"/>
          <w:szCs w:val="20"/>
          <w:lang w:val="en-US"/>
        </w:rPr>
        <w:t xml:space="preserve"> </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Rubin, G. D., &amp; Abramson, R. G. (2018). Creating value through incremental innovation: Managing culture, structure, and process. </w:t>
      </w:r>
      <w:r w:rsidRPr="006735ED">
        <w:rPr>
          <w:rFonts w:ascii="Helvetica" w:hAnsi="Helvetica" w:cstheme="majorHAnsi"/>
          <w:i/>
          <w:iCs/>
          <w:noProof/>
          <w:sz w:val="20"/>
          <w:szCs w:val="20"/>
          <w:lang w:val="en-US"/>
        </w:rPr>
        <w:t>Radiology</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288</w:t>
      </w:r>
      <w:r w:rsidRPr="006735ED">
        <w:rPr>
          <w:rFonts w:ascii="Helvetica" w:hAnsi="Helvetica" w:cstheme="majorHAnsi"/>
          <w:noProof/>
          <w:sz w:val="20"/>
          <w:szCs w:val="20"/>
          <w:lang w:val="en-US"/>
        </w:rPr>
        <w:t>(2), 330–340. https://doi.org/10.1148/radiol.2018171239</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Shestakov, D., &amp; Poliarush, O. (2019). The Degree of Innovation: Through Incremental To Radical. </w:t>
      </w:r>
      <w:r w:rsidRPr="006735ED">
        <w:rPr>
          <w:rFonts w:ascii="Helvetica" w:hAnsi="Helvetica" w:cstheme="majorHAnsi"/>
          <w:i/>
          <w:iCs/>
          <w:noProof/>
          <w:sz w:val="20"/>
          <w:szCs w:val="20"/>
          <w:lang w:val="en-US"/>
        </w:rPr>
        <w:t>Investytsiyi: Praktyka Ta Dosvid</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11</w:t>
      </w:r>
      <w:r w:rsidRPr="006735ED">
        <w:rPr>
          <w:rFonts w:ascii="Helvetica" w:hAnsi="Helvetica" w:cstheme="majorHAnsi"/>
          <w:noProof/>
          <w:sz w:val="20"/>
          <w:szCs w:val="20"/>
          <w:lang w:val="en-US"/>
        </w:rPr>
        <w:t>, 66. https://doi.org/10.32702/2306-6814.2019.11.66</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Snyder, H., Witell, L., Gustafsson, A., Fombelle, P., &amp; Kristensson, P. (2016). Identifying categories of service innovation: A review and synthesis of the literature. </w:t>
      </w:r>
      <w:r w:rsidRPr="006735ED">
        <w:rPr>
          <w:rFonts w:ascii="Helvetica" w:hAnsi="Helvetica" w:cstheme="majorHAnsi"/>
          <w:i/>
          <w:iCs/>
          <w:noProof/>
          <w:sz w:val="20"/>
          <w:szCs w:val="20"/>
          <w:lang w:val="en-US"/>
        </w:rPr>
        <w:t>Journal of Business Research</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69</w:t>
      </w:r>
      <w:r w:rsidRPr="006735ED">
        <w:rPr>
          <w:rFonts w:ascii="Helvetica" w:hAnsi="Helvetica" w:cstheme="majorHAnsi"/>
          <w:noProof/>
          <w:sz w:val="20"/>
          <w:szCs w:val="20"/>
          <w:lang w:val="en-US"/>
        </w:rPr>
        <w:t>(7), 2401–2408. https://doi.org/https://doi.org/10.1016/j.jbusres.2016.01.009</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Teichler, U. (2019). </w:t>
      </w:r>
      <w:r w:rsidRPr="006735ED">
        <w:rPr>
          <w:rFonts w:ascii="Helvetica" w:hAnsi="Helvetica" w:cstheme="majorHAnsi"/>
          <w:i/>
          <w:iCs/>
          <w:noProof/>
          <w:sz w:val="20"/>
          <w:szCs w:val="20"/>
          <w:lang w:val="en-US"/>
        </w:rPr>
        <w:t>Higher education and the world of work: Conceptual frameworks, comparative perspectives, empirical findings</w:t>
      </w:r>
      <w:r w:rsidRPr="006735ED">
        <w:rPr>
          <w:rFonts w:ascii="Helvetica" w:hAnsi="Helvetica" w:cstheme="majorHAnsi"/>
          <w:noProof/>
          <w:sz w:val="20"/>
          <w:szCs w:val="20"/>
          <w:lang w:val="en-US"/>
        </w:rPr>
        <w:t xml:space="preserve"> (Vol. 16). Brill.</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Van Lancker, J., Mondelaers, K., Wauters, E., &amp; Van Huylenbroeck, G. (2016). The Organizational </w:t>
      </w:r>
      <w:r w:rsidRPr="006735ED">
        <w:rPr>
          <w:rFonts w:ascii="Helvetica" w:hAnsi="Helvetica" w:cstheme="majorHAnsi"/>
          <w:noProof/>
          <w:sz w:val="20"/>
          <w:szCs w:val="20"/>
          <w:lang w:val="en-US"/>
        </w:rPr>
        <w:lastRenderedPageBreak/>
        <w:t xml:space="preserve">Innovation System: A systemic framework for radical innovation at the organizational level. </w:t>
      </w:r>
      <w:r w:rsidRPr="006735ED">
        <w:rPr>
          <w:rFonts w:ascii="Helvetica" w:hAnsi="Helvetica" w:cstheme="majorHAnsi"/>
          <w:i/>
          <w:iCs/>
          <w:noProof/>
          <w:sz w:val="20"/>
          <w:szCs w:val="20"/>
          <w:lang w:val="en-US"/>
        </w:rPr>
        <w:t>Technovation</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52</w:t>
      </w:r>
      <w:r w:rsidRPr="006735ED">
        <w:rPr>
          <w:rFonts w:ascii="Helvetica" w:hAnsi="Helvetica" w:cstheme="majorHAnsi"/>
          <w:noProof/>
          <w:sz w:val="20"/>
          <w:szCs w:val="20"/>
          <w:lang w:val="en-US"/>
        </w:rPr>
        <w:t>–</w:t>
      </w:r>
      <w:r w:rsidRPr="006735ED">
        <w:rPr>
          <w:rFonts w:ascii="Helvetica" w:hAnsi="Helvetica" w:cstheme="majorHAnsi"/>
          <w:i/>
          <w:iCs/>
          <w:noProof/>
          <w:sz w:val="20"/>
          <w:szCs w:val="20"/>
          <w:lang w:val="en-US"/>
        </w:rPr>
        <w:t>53</w:t>
      </w:r>
      <w:r w:rsidRPr="006735ED">
        <w:rPr>
          <w:rFonts w:ascii="Helvetica" w:hAnsi="Helvetica" w:cstheme="majorHAnsi"/>
          <w:noProof/>
          <w:sz w:val="20"/>
          <w:szCs w:val="20"/>
          <w:lang w:val="en-US"/>
        </w:rPr>
        <w:t>, 40–50. https://doi.org/https://doi.org/10.1016/j.technovation.2015.11.008</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lang w:val="en-US"/>
        </w:rPr>
      </w:pPr>
      <w:r w:rsidRPr="006735ED">
        <w:rPr>
          <w:rFonts w:ascii="Helvetica" w:hAnsi="Helvetica" w:cstheme="majorHAnsi"/>
          <w:noProof/>
          <w:sz w:val="20"/>
          <w:szCs w:val="20"/>
          <w:lang w:val="en-US"/>
        </w:rPr>
        <w:t xml:space="preserve">Witell, L., Snyder, H., Gustafsson, A., Fombelle, P., &amp; Kristensson, P. (2016). Defining service innovation: A review and synthesis. </w:t>
      </w:r>
      <w:r w:rsidRPr="006735ED">
        <w:rPr>
          <w:rFonts w:ascii="Helvetica" w:hAnsi="Helvetica" w:cstheme="majorHAnsi"/>
          <w:i/>
          <w:iCs/>
          <w:noProof/>
          <w:sz w:val="20"/>
          <w:szCs w:val="20"/>
          <w:lang w:val="en-US"/>
        </w:rPr>
        <w:t>Journal of Business Research</w:t>
      </w:r>
      <w:r w:rsidRPr="006735ED">
        <w:rPr>
          <w:rFonts w:ascii="Helvetica" w:hAnsi="Helvetica" w:cstheme="majorHAnsi"/>
          <w:noProof/>
          <w:sz w:val="20"/>
          <w:szCs w:val="20"/>
          <w:lang w:val="en-US"/>
        </w:rPr>
        <w:t xml:space="preserve">, </w:t>
      </w:r>
      <w:r w:rsidRPr="006735ED">
        <w:rPr>
          <w:rFonts w:ascii="Helvetica" w:hAnsi="Helvetica" w:cstheme="majorHAnsi"/>
          <w:i/>
          <w:iCs/>
          <w:noProof/>
          <w:sz w:val="20"/>
          <w:szCs w:val="20"/>
          <w:lang w:val="en-US"/>
        </w:rPr>
        <w:t>69</w:t>
      </w:r>
      <w:r w:rsidRPr="006735ED">
        <w:rPr>
          <w:rFonts w:ascii="Helvetica" w:hAnsi="Helvetica" w:cstheme="majorHAnsi"/>
          <w:noProof/>
          <w:sz w:val="20"/>
          <w:szCs w:val="20"/>
          <w:lang w:val="en-US"/>
        </w:rPr>
        <w:t>(8), 2863–2872. https://doi.org/https://doi.org/10.1016/j.jbusres.2015.12.055</w:t>
      </w:r>
    </w:p>
    <w:p w:rsidR="00F37A0E" w:rsidRPr="006735ED" w:rsidRDefault="00F37A0E" w:rsidP="00F37A0E">
      <w:pPr>
        <w:widowControl w:val="0"/>
        <w:autoSpaceDE w:val="0"/>
        <w:autoSpaceDN w:val="0"/>
        <w:adjustRightInd w:val="0"/>
        <w:ind w:left="480" w:hanging="480"/>
        <w:jc w:val="both"/>
        <w:rPr>
          <w:rFonts w:ascii="Helvetica" w:hAnsi="Helvetica" w:cstheme="majorHAnsi"/>
          <w:noProof/>
          <w:sz w:val="20"/>
          <w:szCs w:val="20"/>
        </w:rPr>
      </w:pPr>
      <w:r w:rsidRPr="006735ED">
        <w:rPr>
          <w:rFonts w:ascii="Helvetica" w:hAnsi="Helvetica" w:cstheme="majorHAnsi"/>
          <w:noProof/>
          <w:sz w:val="20"/>
          <w:szCs w:val="20"/>
          <w:lang w:val="en-US"/>
        </w:rPr>
        <w:t xml:space="preserve">Yirdaw, A. (2016). Quality of education in private higher institutions in Ethiopia: The role of governance. </w:t>
      </w:r>
      <w:r w:rsidRPr="006735ED">
        <w:rPr>
          <w:rFonts w:ascii="Helvetica" w:hAnsi="Helvetica" w:cstheme="majorHAnsi"/>
          <w:i/>
          <w:iCs/>
          <w:noProof/>
          <w:sz w:val="20"/>
          <w:szCs w:val="20"/>
          <w:lang w:val="en-US"/>
        </w:rPr>
        <w:t>SAGE Open</w:t>
      </w:r>
      <w:r w:rsidRPr="006735ED">
        <w:rPr>
          <w:rFonts w:ascii="Helvetica" w:hAnsi="Helvetica" w:cstheme="majorHAnsi"/>
          <w:noProof/>
          <w:sz w:val="20"/>
          <w:szCs w:val="20"/>
          <w:lang w:val="en-US"/>
        </w:rPr>
        <w:t>. https://doi.org/10.1177/2158244015624950</w:t>
      </w:r>
    </w:p>
    <w:p w:rsidR="00001E69" w:rsidRPr="00E51D56" w:rsidRDefault="00001E69" w:rsidP="00F37A0E">
      <w:pPr>
        <w:widowControl w:val="0"/>
        <w:autoSpaceDE w:val="0"/>
        <w:autoSpaceDN w:val="0"/>
        <w:adjustRightInd w:val="0"/>
        <w:ind w:left="480" w:hanging="480"/>
        <w:jc w:val="both"/>
        <w:rPr>
          <w:rFonts w:asciiTheme="majorHAnsi" w:hAnsiTheme="majorHAnsi" w:cstheme="majorHAnsi"/>
        </w:rPr>
      </w:pPr>
      <w:r w:rsidRPr="006735ED">
        <w:rPr>
          <w:rFonts w:ascii="Helvetica" w:hAnsi="Helvetica" w:cstheme="majorHAnsi"/>
          <w:sz w:val="20"/>
          <w:szCs w:val="20"/>
        </w:rPr>
        <w:fldChar w:fldCharType="end"/>
      </w:r>
    </w:p>
    <w:sectPr w:rsidR="00001E69" w:rsidRPr="00E51D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909" w:rsidRDefault="004B5909" w:rsidP="003C60FC">
      <w:r>
        <w:separator/>
      </w:r>
    </w:p>
  </w:endnote>
  <w:endnote w:type="continuationSeparator" w:id="0">
    <w:p w:rsidR="004B5909" w:rsidRDefault="004B5909" w:rsidP="003C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FC" w:rsidRDefault="003C6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FC" w:rsidRDefault="003C6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FC" w:rsidRDefault="003C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909" w:rsidRDefault="004B5909" w:rsidP="003C60FC">
      <w:r>
        <w:separator/>
      </w:r>
    </w:p>
  </w:footnote>
  <w:footnote w:type="continuationSeparator" w:id="0">
    <w:p w:rsidR="004B5909" w:rsidRDefault="004B5909" w:rsidP="003C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FC" w:rsidRDefault="003C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78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FC" w:rsidRDefault="003C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78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FC" w:rsidRDefault="003C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578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47B"/>
    <w:multiLevelType w:val="multilevel"/>
    <w:tmpl w:val="AA2A9FF6"/>
    <w:lvl w:ilvl="0">
      <w:start w:val="1"/>
      <w:numFmt w:val="upperRoman"/>
      <w:lvlText w:val="BAB %1"/>
      <w:lvlJc w:val="left"/>
      <w:pPr>
        <w:ind w:left="432" w:hanging="432"/>
      </w:pPr>
      <w:rPr>
        <w:rFonts w:hint="default"/>
      </w:rPr>
    </w:lvl>
    <w:lvl w:ilvl="1">
      <w:start w:val="1"/>
      <w:numFmt w:val="upperLetter"/>
      <w:pStyle w:val="Heading2"/>
      <w:lvlText w:val="%2."/>
      <w:lvlJc w:val="left"/>
      <w:pPr>
        <w:ind w:left="1277" w:hanging="709"/>
      </w:pPr>
      <w:rPr>
        <w:rFonts w:hint="default"/>
        <w:i w:val="0"/>
      </w:rPr>
    </w:lvl>
    <w:lvl w:ilvl="2">
      <w:start w:val="1"/>
      <w:numFmt w:val="decimal"/>
      <w:pStyle w:val="Heading3"/>
      <w:lvlText w:val="%3."/>
      <w:lvlJc w:val="left"/>
      <w:pPr>
        <w:ind w:left="0" w:firstLine="0"/>
      </w:pPr>
      <w:rPr>
        <w:rFonts w:hint="default"/>
        <w:b/>
        <w:bCs/>
        <w:i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D9915A6"/>
    <w:multiLevelType w:val="hybridMultilevel"/>
    <w:tmpl w:val="2CE0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8734E"/>
    <w:multiLevelType w:val="hybridMultilevel"/>
    <w:tmpl w:val="F022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F6C90"/>
    <w:multiLevelType w:val="hybridMultilevel"/>
    <w:tmpl w:val="8C9E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33DBE"/>
    <w:multiLevelType w:val="hybridMultilevel"/>
    <w:tmpl w:val="AA78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A3"/>
    <w:rsid w:val="00001E69"/>
    <w:rsid w:val="0004797C"/>
    <w:rsid w:val="00106243"/>
    <w:rsid w:val="003C60FC"/>
    <w:rsid w:val="004B5909"/>
    <w:rsid w:val="006735ED"/>
    <w:rsid w:val="006B4B0C"/>
    <w:rsid w:val="006C68A2"/>
    <w:rsid w:val="00C273A3"/>
    <w:rsid w:val="00E51D56"/>
    <w:rsid w:val="00F37A0E"/>
    <w:rsid w:val="00F418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7A7CCC"/>
  <w15:chartTrackingRefBased/>
  <w15:docId w15:val="{C21D4DED-0C57-A14A-8238-91F337C2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73A3"/>
    <w:pPr>
      <w:keepNext/>
      <w:keepLines/>
      <w:numPr>
        <w:ilvl w:val="1"/>
        <w:numId w:val="1"/>
      </w:numPr>
      <w:spacing w:line="480" w:lineRule="auto"/>
      <w:ind w:left="709"/>
      <w:jc w:val="both"/>
      <w:outlineLvl w:val="1"/>
    </w:pPr>
    <w:rPr>
      <w:rFonts w:ascii="Times New Roman" w:eastAsiaTheme="majorEastAsia" w:hAnsi="Times New Roman" w:cstheme="majorBidi"/>
      <w:b/>
      <w:bCs/>
      <w:kern w:val="0"/>
      <w:szCs w:val="26"/>
      <w:lang w:val="en-US"/>
      <w14:ligatures w14:val="none"/>
    </w:rPr>
  </w:style>
  <w:style w:type="paragraph" w:styleId="Heading3">
    <w:name w:val="heading 3"/>
    <w:basedOn w:val="Normal"/>
    <w:next w:val="Normal"/>
    <w:link w:val="Heading3Char"/>
    <w:uiPriority w:val="9"/>
    <w:unhideWhenUsed/>
    <w:qFormat/>
    <w:rsid w:val="00C273A3"/>
    <w:pPr>
      <w:keepNext/>
      <w:keepLines/>
      <w:numPr>
        <w:ilvl w:val="2"/>
        <w:numId w:val="1"/>
      </w:numPr>
      <w:spacing w:line="480" w:lineRule="auto"/>
      <w:jc w:val="both"/>
      <w:outlineLvl w:val="2"/>
    </w:pPr>
    <w:rPr>
      <w:rFonts w:ascii="Times New Roman" w:eastAsiaTheme="majorEastAsia" w:hAnsi="Times New Roman" w:cstheme="majorBidi"/>
      <w:b/>
      <w:bCs/>
      <w:kern w:val="0"/>
      <w:szCs w:val="22"/>
      <w:lang w:val="en-US"/>
      <w14:ligatures w14:val="none"/>
    </w:rPr>
  </w:style>
  <w:style w:type="paragraph" w:styleId="Heading4">
    <w:name w:val="heading 4"/>
    <w:basedOn w:val="Normal"/>
    <w:next w:val="Normal"/>
    <w:link w:val="Heading4Char"/>
    <w:uiPriority w:val="9"/>
    <w:unhideWhenUsed/>
    <w:qFormat/>
    <w:rsid w:val="00C273A3"/>
    <w:pPr>
      <w:keepNext/>
      <w:keepLines/>
      <w:numPr>
        <w:ilvl w:val="3"/>
        <w:numId w:val="1"/>
      </w:numPr>
      <w:spacing w:before="200" w:line="480" w:lineRule="auto"/>
      <w:jc w:val="both"/>
      <w:outlineLvl w:val="3"/>
    </w:pPr>
    <w:rPr>
      <w:rFonts w:asciiTheme="majorHAnsi" w:eastAsiaTheme="majorEastAsia" w:hAnsiTheme="majorHAnsi" w:cstheme="majorBidi"/>
      <w:b/>
      <w:bCs/>
      <w:i/>
      <w:iCs/>
      <w:color w:val="4472C4" w:themeColor="accent1"/>
      <w:kern w:val="0"/>
      <w:szCs w:val="22"/>
      <w:lang w:val="en-US"/>
      <w14:ligatures w14:val="none"/>
    </w:rPr>
  </w:style>
  <w:style w:type="paragraph" w:styleId="Heading5">
    <w:name w:val="heading 5"/>
    <w:basedOn w:val="Normal"/>
    <w:next w:val="Normal"/>
    <w:link w:val="Heading5Char"/>
    <w:uiPriority w:val="9"/>
    <w:unhideWhenUsed/>
    <w:qFormat/>
    <w:rsid w:val="00C273A3"/>
    <w:pPr>
      <w:keepNext/>
      <w:keepLines/>
      <w:numPr>
        <w:ilvl w:val="4"/>
        <w:numId w:val="1"/>
      </w:numPr>
      <w:spacing w:before="200" w:line="480" w:lineRule="auto"/>
      <w:jc w:val="both"/>
      <w:outlineLvl w:val="4"/>
    </w:pPr>
    <w:rPr>
      <w:rFonts w:asciiTheme="majorHAnsi" w:eastAsiaTheme="majorEastAsia" w:hAnsiTheme="majorHAnsi" w:cstheme="majorBidi"/>
      <w:color w:val="1F3763" w:themeColor="accent1" w:themeShade="7F"/>
      <w:kern w:val="0"/>
      <w:szCs w:val="22"/>
      <w:lang w:val="en-US"/>
      <w14:ligatures w14:val="none"/>
    </w:rPr>
  </w:style>
  <w:style w:type="paragraph" w:styleId="Heading6">
    <w:name w:val="heading 6"/>
    <w:basedOn w:val="Normal"/>
    <w:next w:val="Normal"/>
    <w:link w:val="Heading6Char"/>
    <w:uiPriority w:val="9"/>
    <w:unhideWhenUsed/>
    <w:qFormat/>
    <w:rsid w:val="00C273A3"/>
    <w:pPr>
      <w:keepNext/>
      <w:keepLines/>
      <w:numPr>
        <w:ilvl w:val="5"/>
        <w:numId w:val="1"/>
      </w:numPr>
      <w:spacing w:before="200" w:line="480" w:lineRule="auto"/>
      <w:jc w:val="both"/>
      <w:outlineLvl w:val="5"/>
    </w:pPr>
    <w:rPr>
      <w:rFonts w:asciiTheme="majorHAnsi" w:eastAsiaTheme="majorEastAsia" w:hAnsiTheme="majorHAnsi" w:cstheme="majorBidi"/>
      <w:i/>
      <w:iCs/>
      <w:color w:val="1F3763" w:themeColor="accent1" w:themeShade="7F"/>
      <w:kern w:val="0"/>
      <w:szCs w:val="22"/>
      <w:lang w:val="en-US"/>
      <w14:ligatures w14:val="none"/>
    </w:rPr>
  </w:style>
  <w:style w:type="paragraph" w:styleId="Heading7">
    <w:name w:val="heading 7"/>
    <w:basedOn w:val="Normal"/>
    <w:next w:val="Normal"/>
    <w:link w:val="Heading7Char"/>
    <w:uiPriority w:val="9"/>
    <w:unhideWhenUsed/>
    <w:qFormat/>
    <w:rsid w:val="00C273A3"/>
    <w:pPr>
      <w:keepNext/>
      <w:keepLines/>
      <w:numPr>
        <w:ilvl w:val="6"/>
        <w:numId w:val="1"/>
      </w:numPr>
      <w:spacing w:before="200" w:line="480" w:lineRule="auto"/>
      <w:jc w:val="both"/>
      <w:outlineLvl w:val="6"/>
    </w:pPr>
    <w:rPr>
      <w:rFonts w:asciiTheme="majorHAnsi" w:eastAsiaTheme="majorEastAsia" w:hAnsiTheme="majorHAnsi" w:cstheme="majorBidi"/>
      <w:i/>
      <w:iCs/>
      <w:color w:val="404040" w:themeColor="text1" w:themeTint="BF"/>
      <w:kern w:val="0"/>
      <w:szCs w:val="22"/>
      <w:lang w:val="en-US"/>
      <w14:ligatures w14:val="none"/>
    </w:rPr>
  </w:style>
  <w:style w:type="paragraph" w:styleId="Heading8">
    <w:name w:val="heading 8"/>
    <w:basedOn w:val="Normal"/>
    <w:next w:val="Normal"/>
    <w:link w:val="Heading8Char"/>
    <w:uiPriority w:val="9"/>
    <w:unhideWhenUsed/>
    <w:qFormat/>
    <w:rsid w:val="00C273A3"/>
    <w:pPr>
      <w:keepNext/>
      <w:keepLines/>
      <w:numPr>
        <w:ilvl w:val="7"/>
        <w:numId w:val="1"/>
      </w:numPr>
      <w:spacing w:before="200" w:line="480" w:lineRule="auto"/>
      <w:jc w:val="both"/>
      <w:outlineLvl w:val="7"/>
    </w:pPr>
    <w:rPr>
      <w:rFonts w:asciiTheme="majorHAnsi" w:eastAsiaTheme="majorEastAsia" w:hAnsiTheme="majorHAnsi" w:cstheme="majorBidi"/>
      <w:color w:val="404040" w:themeColor="text1" w:themeTint="BF"/>
      <w:kern w:val="0"/>
      <w:sz w:val="20"/>
      <w:szCs w:val="20"/>
      <w:lang w:val="en-US"/>
      <w14:ligatures w14:val="none"/>
    </w:rPr>
  </w:style>
  <w:style w:type="paragraph" w:styleId="Heading9">
    <w:name w:val="heading 9"/>
    <w:basedOn w:val="Normal"/>
    <w:next w:val="Normal"/>
    <w:link w:val="Heading9Char"/>
    <w:uiPriority w:val="9"/>
    <w:unhideWhenUsed/>
    <w:qFormat/>
    <w:rsid w:val="00C273A3"/>
    <w:pPr>
      <w:keepNext/>
      <w:keepLines/>
      <w:numPr>
        <w:ilvl w:val="8"/>
        <w:numId w:val="1"/>
      </w:numPr>
      <w:spacing w:before="200" w:line="480" w:lineRule="auto"/>
      <w:jc w:val="both"/>
      <w:outlineLvl w:val="8"/>
    </w:pPr>
    <w:rPr>
      <w:rFonts w:asciiTheme="majorHAnsi" w:eastAsiaTheme="majorEastAsia" w:hAnsiTheme="majorHAnsi" w:cstheme="majorBidi"/>
      <w:i/>
      <w:iCs/>
      <w:color w:val="404040" w:themeColor="text1" w:themeTint="B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3A3"/>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C273A3"/>
    <w:rPr>
      <w:rFonts w:ascii="Times New Roman" w:eastAsiaTheme="majorEastAsia" w:hAnsi="Times New Roman" w:cstheme="majorBidi"/>
      <w:b/>
      <w:bCs/>
      <w:kern w:val="0"/>
      <w:szCs w:val="26"/>
      <w:lang w:val="en-US"/>
      <w14:ligatures w14:val="none"/>
    </w:rPr>
  </w:style>
  <w:style w:type="character" w:customStyle="1" w:styleId="Heading3Char">
    <w:name w:val="Heading 3 Char"/>
    <w:basedOn w:val="DefaultParagraphFont"/>
    <w:link w:val="Heading3"/>
    <w:uiPriority w:val="9"/>
    <w:rsid w:val="00C273A3"/>
    <w:rPr>
      <w:rFonts w:ascii="Times New Roman" w:eastAsiaTheme="majorEastAsia" w:hAnsi="Times New Roman" w:cstheme="majorBidi"/>
      <w:b/>
      <w:bCs/>
      <w:kern w:val="0"/>
      <w:szCs w:val="22"/>
      <w:lang w:val="en-US"/>
      <w14:ligatures w14:val="none"/>
    </w:rPr>
  </w:style>
  <w:style w:type="character" w:customStyle="1" w:styleId="Heading4Char">
    <w:name w:val="Heading 4 Char"/>
    <w:basedOn w:val="DefaultParagraphFont"/>
    <w:link w:val="Heading4"/>
    <w:uiPriority w:val="9"/>
    <w:rsid w:val="00C273A3"/>
    <w:rPr>
      <w:rFonts w:asciiTheme="majorHAnsi" w:eastAsiaTheme="majorEastAsia" w:hAnsiTheme="majorHAnsi" w:cstheme="majorBidi"/>
      <w:b/>
      <w:bCs/>
      <w:i/>
      <w:iCs/>
      <w:color w:val="4472C4" w:themeColor="accent1"/>
      <w:kern w:val="0"/>
      <w:szCs w:val="22"/>
      <w:lang w:val="en-US"/>
      <w14:ligatures w14:val="none"/>
    </w:rPr>
  </w:style>
  <w:style w:type="character" w:customStyle="1" w:styleId="Heading5Char">
    <w:name w:val="Heading 5 Char"/>
    <w:basedOn w:val="DefaultParagraphFont"/>
    <w:link w:val="Heading5"/>
    <w:uiPriority w:val="9"/>
    <w:rsid w:val="00C273A3"/>
    <w:rPr>
      <w:rFonts w:asciiTheme="majorHAnsi" w:eastAsiaTheme="majorEastAsia" w:hAnsiTheme="majorHAnsi" w:cstheme="majorBidi"/>
      <w:color w:val="1F3763" w:themeColor="accent1" w:themeShade="7F"/>
      <w:kern w:val="0"/>
      <w:szCs w:val="22"/>
      <w:lang w:val="en-US"/>
      <w14:ligatures w14:val="none"/>
    </w:rPr>
  </w:style>
  <w:style w:type="character" w:customStyle="1" w:styleId="Heading6Char">
    <w:name w:val="Heading 6 Char"/>
    <w:basedOn w:val="DefaultParagraphFont"/>
    <w:link w:val="Heading6"/>
    <w:uiPriority w:val="9"/>
    <w:rsid w:val="00C273A3"/>
    <w:rPr>
      <w:rFonts w:asciiTheme="majorHAnsi" w:eastAsiaTheme="majorEastAsia" w:hAnsiTheme="majorHAnsi" w:cstheme="majorBidi"/>
      <w:i/>
      <w:iCs/>
      <w:color w:val="1F3763" w:themeColor="accent1" w:themeShade="7F"/>
      <w:kern w:val="0"/>
      <w:szCs w:val="22"/>
      <w:lang w:val="en-US"/>
      <w14:ligatures w14:val="none"/>
    </w:rPr>
  </w:style>
  <w:style w:type="character" w:customStyle="1" w:styleId="Heading7Char">
    <w:name w:val="Heading 7 Char"/>
    <w:basedOn w:val="DefaultParagraphFont"/>
    <w:link w:val="Heading7"/>
    <w:uiPriority w:val="9"/>
    <w:rsid w:val="00C273A3"/>
    <w:rPr>
      <w:rFonts w:asciiTheme="majorHAnsi" w:eastAsiaTheme="majorEastAsia" w:hAnsiTheme="majorHAnsi" w:cstheme="majorBidi"/>
      <w:i/>
      <w:iCs/>
      <w:color w:val="404040" w:themeColor="text1" w:themeTint="BF"/>
      <w:kern w:val="0"/>
      <w:szCs w:val="22"/>
      <w:lang w:val="en-US"/>
      <w14:ligatures w14:val="none"/>
    </w:rPr>
  </w:style>
  <w:style w:type="character" w:customStyle="1" w:styleId="Heading8Char">
    <w:name w:val="Heading 8 Char"/>
    <w:basedOn w:val="DefaultParagraphFont"/>
    <w:link w:val="Heading8"/>
    <w:uiPriority w:val="9"/>
    <w:rsid w:val="00C273A3"/>
    <w:rPr>
      <w:rFonts w:asciiTheme="majorHAnsi" w:eastAsiaTheme="majorEastAsia" w:hAnsiTheme="majorHAnsi" w:cstheme="majorBidi"/>
      <w:color w:val="404040" w:themeColor="text1" w:themeTint="BF"/>
      <w:kern w:val="0"/>
      <w:sz w:val="20"/>
      <w:szCs w:val="20"/>
      <w:lang w:val="en-US"/>
      <w14:ligatures w14:val="none"/>
    </w:rPr>
  </w:style>
  <w:style w:type="character" w:customStyle="1" w:styleId="Heading9Char">
    <w:name w:val="Heading 9 Char"/>
    <w:basedOn w:val="DefaultParagraphFont"/>
    <w:link w:val="Heading9"/>
    <w:uiPriority w:val="9"/>
    <w:rsid w:val="00C273A3"/>
    <w:rPr>
      <w:rFonts w:asciiTheme="majorHAnsi" w:eastAsiaTheme="majorEastAsia" w:hAnsiTheme="majorHAnsi" w:cstheme="majorBidi"/>
      <w:i/>
      <w:iCs/>
      <w:color w:val="404040" w:themeColor="text1" w:themeTint="BF"/>
      <w:kern w:val="0"/>
      <w:sz w:val="20"/>
      <w:szCs w:val="20"/>
      <w:lang w:val="en-US"/>
      <w14:ligatures w14:val="none"/>
    </w:rPr>
  </w:style>
  <w:style w:type="paragraph" w:styleId="ListParagraph">
    <w:name w:val="List Paragraph"/>
    <w:aliases w:val="kepala,List Paragraph1,Body of text,skripsi,Body Text Char1,Char Char2,List Paragraph2,Normal1,Normal2,List Paragraph11,Body of text+1,Body of text+2,Body of text+3,normal,Colorful List - Accent 11,Medium Grid 1 - Accent 21,Bulet1,Tabel"/>
    <w:basedOn w:val="Normal"/>
    <w:link w:val="ListParagraphChar"/>
    <w:uiPriority w:val="34"/>
    <w:qFormat/>
    <w:rsid w:val="00C273A3"/>
    <w:pPr>
      <w:ind w:left="720"/>
      <w:contextualSpacing/>
      <w:jc w:val="both"/>
    </w:pPr>
    <w:rPr>
      <w:kern w:val="0"/>
      <w:sz w:val="22"/>
      <w:szCs w:val="22"/>
      <w:lang w:val="en-US"/>
      <w14:ligatures w14:val="none"/>
    </w:rPr>
  </w:style>
  <w:style w:type="character" w:customStyle="1" w:styleId="ListParagraphChar">
    <w:name w:val="List Paragraph Char"/>
    <w:aliases w:val="kepala Char,List Paragraph1 Char,Body of text Char,skripsi Char,Body Text Char1 Char,Char Char2 Char,List Paragraph2 Char,Normal1 Char,Normal2 Char,List Paragraph11 Char,Body of text+1 Char,Body of text+2 Char,Body of text+3 Char"/>
    <w:basedOn w:val="DefaultParagraphFont"/>
    <w:link w:val="ListParagraph"/>
    <w:uiPriority w:val="34"/>
    <w:qFormat/>
    <w:locked/>
    <w:rsid w:val="00C273A3"/>
    <w:rPr>
      <w:kern w:val="0"/>
      <w:sz w:val="22"/>
      <w:szCs w:val="22"/>
      <w:lang w:val="en-US"/>
      <w14:ligatures w14:val="none"/>
    </w:rPr>
  </w:style>
  <w:style w:type="character" w:customStyle="1" w:styleId="Heading1Char">
    <w:name w:val="Heading 1 Char"/>
    <w:basedOn w:val="DefaultParagraphFont"/>
    <w:link w:val="Heading1"/>
    <w:uiPriority w:val="9"/>
    <w:rsid w:val="00C273A3"/>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C273A3"/>
    <w:pPr>
      <w:spacing w:after="200"/>
      <w:jc w:val="center"/>
    </w:pPr>
    <w:rPr>
      <w:rFonts w:ascii="Times New Roman" w:hAnsi="Times New Roman"/>
      <w:iCs/>
      <w:kern w:val="0"/>
      <w:szCs w:val="18"/>
      <w:lang w:val="en-US"/>
      <w14:ligatures w14:val="none"/>
    </w:rPr>
  </w:style>
  <w:style w:type="character" w:styleId="Hyperlink">
    <w:name w:val="Hyperlink"/>
    <w:basedOn w:val="DefaultParagraphFont"/>
    <w:uiPriority w:val="99"/>
    <w:unhideWhenUsed/>
    <w:rsid w:val="00E51D56"/>
    <w:rPr>
      <w:color w:val="0563C1" w:themeColor="hyperlink"/>
      <w:u w:val="single"/>
    </w:rPr>
  </w:style>
  <w:style w:type="character" w:styleId="UnresolvedMention">
    <w:name w:val="Unresolved Mention"/>
    <w:basedOn w:val="DefaultParagraphFont"/>
    <w:uiPriority w:val="99"/>
    <w:semiHidden/>
    <w:unhideWhenUsed/>
    <w:rsid w:val="00E51D56"/>
    <w:rPr>
      <w:color w:val="605E5C"/>
      <w:shd w:val="clear" w:color="auto" w:fill="E1DFDD"/>
    </w:rPr>
  </w:style>
  <w:style w:type="paragraph" w:customStyle="1" w:styleId="AbstHead">
    <w:name w:val="Abst Head"/>
    <w:basedOn w:val="Normal"/>
    <w:rsid w:val="006735ED"/>
    <w:pPr>
      <w:keepNext/>
      <w:spacing w:after="240"/>
    </w:pPr>
    <w:rPr>
      <w:rFonts w:ascii="Helvetica" w:eastAsia="Times New Roman" w:hAnsi="Helvetica" w:cs="Times New Roman"/>
      <w:b/>
      <w:caps/>
      <w:kern w:val="0"/>
      <w:sz w:val="22"/>
      <w:szCs w:val="20"/>
      <w:lang w:val="en-US"/>
      <w14:ligatures w14:val="none"/>
    </w:rPr>
  </w:style>
  <w:style w:type="paragraph" w:customStyle="1" w:styleId="Body">
    <w:name w:val="Body"/>
    <w:basedOn w:val="Normal"/>
    <w:rsid w:val="006735ED"/>
    <w:pPr>
      <w:spacing w:after="240"/>
      <w:jc w:val="both"/>
    </w:pPr>
    <w:rPr>
      <w:rFonts w:ascii="Helvetica" w:eastAsia="Times New Roman" w:hAnsi="Helvetica" w:cs="Times New Roman"/>
      <w:kern w:val="0"/>
      <w:sz w:val="20"/>
      <w:szCs w:val="20"/>
      <w:lang w:val="en-US"/>
      <w14:ligatures w14:val="none"/>
    </w:rPr>
  </w:style>
  <w:style w:type="paragraph" w:customStyle="1" w:styleId="Author">
    <w:name w:val="Author"/>
    <w:basedOn w:val="Normal"/>
    <w:rsid w:val="006735ED"/>
    <w:pPr>
      <w:spacing w:line="280" w:lineRule="exact"/>
      <w:jc w:val="right"/>
    </w:pPr>
    <w:rPr>
      <w:rFonts w:ascii="Helvetica" w:eastAsia="Times New Roman" w:hAnsi="Helvetica" w:cs="Times New Roman"/>
      <w:b/>
      <w:kern w:val="0"/>
      <w:szCs w:val="20"/>
      <w:lang w:val="en-US"/>
      <w14:ligatures w14:val="none"/>
    </w:rPr>
  </w:style>
  <w:style w:type="paragraph" w:customStyle="1" w:styleId="Head1">
    <w:name w:val="Head1"/>
    <w:basedOn w:val="Normal"/>
    <w:rsid w:val="006735ED"/>
    <w:pPr>
      <w:keepNext/>
      <w:spacing w:after="240"/>
    </w:pPr>
    <w:rPr>
      <w:rFonts w:ascii="Helvetica" w:eastAsia="Times New Roman" w:hAnsi="Helvetica" w:cs="Times New Roman"/>
      <w:b/>
      <w:caps/>
      <w:kern w:val="0"/>
      <w:sz w:val="22"/>
      <w:szCs w:val="20"/>
      <w:lang w:val="en-US"/>
      <w14:ligatures w14:val="none"/>
    </w:rPr>
  </w:style>
  <w:style w:type="paragraph" w:customStyle="1" w:styleId="ConcHead">
    <w:name w:val="Conc Head"/>
    <w:basedOn w:val="Normal"/>
    <w:rsid w:val="006735ED"/>
    <w:pPr>
      <w:keepNext/>
      <w:spacing w:after="240"/>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6735ED"/>
    <w:pPr>
      <w:keepNext/>
      <w:spacing w:after="240"/>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3C60FC"/>
    <w:pPr>
      <w:tabs>
        <w:tab w:val="center" w:pos="4680"/>
        <w:tab w:val="right" w:pos="9360"/>
      </w:tabs>
    </w:pPr>
  </w:style>
  <w:style w:type="character" w:customStyle="1" w:styleId="HeaderChar">
    <w:name w:val="Header Char"/>
    <w:basedOn w:val="DefaultParagraphFont"/>
    <w:link w:val="Header"/>
    <w:uiPriority w:val="99"/>
    <w:rsid w:val="003C60FC"/>
  </w:style>
  <w:style w:type="paragraph" w:styleId="Footer">
    <w:name w:val="footer"/>
    <w:basedOn w:val="Normal"/>
    <w:link w:val="FooterChar"/>
    <w:uiPriority w:val="99"/>
    <w:unhideWhenUsed/>
    <w:rsid w:val="003C60FC"/>
    <w:pPr>
      <w:tabs>
        <w:tab w:val="center" w:pos="4680"/>
        <w:tab w:val="right" w:pos="9360"/>
      </w:tabs>
    </w:pPr>
  </w:style>
  <w:style w:type="character" w:customStyle="1" w:styleId="FooterChar">
    <w:name w:val="Footer Char"/>
    <w:basedOn w:val="DefaultParagraphFont"/>
    <w:link w:val="Footer"/>
    <w:uiPriority w:val="99"/>
    <w:rsid w:val="003C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8295">
      <w:bodyDiv w:val="1"/>
      <w:marLeft w:val="0"/>
      <w:marRight w:val="0"/>
      <w:marTop w:val="0"/>
      <w:marBottom w:val="0"/>
      <w:divBdr>
        <w:top w:val="none" w:sz="0" w:space="0" w:color="auto"/>
        <w:left w:val="none" w:sz="0" w:space="0" w:color="auto"/>
        <w:bottom w:val="none" w:sz="0" w:space="0" w:color="auto"/>
        <w:right w:val="none" w:sz="0" w:space="0" w:color="auto"/>
      </w:divBdr>
    </w:div>
    <w:div w:id="78599429">
      <w:bodyDiv w:val="1"/>
      <w:marLeft w:val="0"/>
      <w:marRight w:val="0"/>
      <w:marTop w:val="0"/>
      <w:marBottom w:val="0"/>
      <w:divBdr>
        <w:top w:val="none" w:sz="0" w:space="0" w:color="auto"/>
        <w:left w:val="none" w:sz="0" w:space="0" w:color="auto"/>
        <w:bottom w:val="none" w:sz="0" w:space="0" w:color="auto"/>
        <w:right w:val="none" w:sz="0" w:space="0" w:color="auto"/>
      </w:divBdr>
    </w:div>
    <w:div w:id="286132056">
      <w:bodyDiv w:val="1"/>
      <w:marLeft w:val="0"/>
      <w:marRight w:val="0"/>
      <w:marTop w:val="0"/>
      <w:marBottom w:val="0"/>
      <w:divBdr>
        <w:top w:val="none" w:sz="0" w:space="0" w:color="auto"/>
        <w:left w:val="none" w:sz="0" w:space="0" w:color="auto"/>
        <w:bottom w:val="none" w:sz="0" w:space="0" w:color="auto"/>
        <w:right w:val="none" w:sz="0" w:space="0" w:color="auto"/>
      </w:divBdr>
    </w:div>
    <w:div w:id="818225781">
      <w:bodyDiv w:val="1"/>
      <w:marLeft w:val="0"/>
      <w:marRight w:val="0"/>
      <w:marTop w:val="0"/>
      <w:marBottom w:val="0"/>
      <w:divBdr>
        <w:top w:val="none" w:sz="0" w:space="0" w:color="auto"/>
        <w:left w:val="none" w:sz="0" w:space="0" w:color="auto"/>
        <w:bottom w:val="none" w:sz="0" w:space="0" w:color="auto"/>
        <w:right w:val="none" w:sz="0" w:space="0" w:color="auto"/>
      </w:divBdr>
    </w:div>
    <w:div w:id="11275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DEF5-AB02-42FA-B039-60C8857E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12611</Words>
  <Characters>71888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mymac</dc:creator>
  <cp:keywords>, docId:9CB794D5781E11A8DCFA365089C5E3B1</cp:keywords>
  <dc:description/>
  <cp:lastModifiedBy>SDI 1084</cp:lastModifiedBy>
  <cp:revision>9</cp:revision>
  <dcterms:created xsi:type="dcterms:W3CDTF">2025-09-26T00:02:00Z</dcterms:created>
  <dcterms:modified xsi:type="dcterms:W3CDTF">2025-11-27T12:59:00Z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http://www.zotero.org/styles/turabian-notes-bibliography</vt:lpwstr>
  </property>
  <property fmtid="{D5CDD505-2E9C-101B-9397-08002B2CF9AE}" pid="21" name="Mendeley Recent Style Name 9_1">
    <vt:lpwstr>Turabian 9th edition (notes and bibliography)</vt:lpwstr>
  </property>
  <property fmtid="{D5CDD505-2E9C-101B-9397-08002B2CF9AE}" pid="22" name="Mendeley Document_1">
    <vt:lpwstr>True</vt:lpwstr>
  </property>
  <property fmtid="{D5CDD505-2E9C-101B-9397-08002B2CF9AE}" pid="23" name="Mendeley Unique User Id_1">
    <vt:lpwstr>225a9cd9-127f-3f18-81f3-a996d5681bb4</vt:lpwstr>
  </property>
  <property fmtid="{D5CDD505-2E9C-101B-9397-08002B2CF9AE}" pid="24" name="Mendeley Citation Style_1">
    <vt:lpwstr>http://www.zotero.org/styles/apa</vt:lpwstr>
  </property>
</Properties>
</file>