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88E5A" w14:textId="77777777" w:rsidR="006647B3" w:rsidRDefault="006647B3" w:rsidP="0088011C">
      <w:pPr>
        <w:pStyle w:val="Heading1"/>
        <w:jc w:val="center"/>
        <w:rPr>
          <w:rFonts w:ascii="Arial" w:hAnsi="Arial" w:cs="Arial"/>
          <w:b/>
          <w:bCs/>
          <w:color w:val="auto"/>
          <w:sz w:val="22"/>
          <w:szCs w:val="22"/>
        </w:rPr>
      </w:pPr>
      <w:bookmarkStart w:id="0" w:name="_Toc164927689"/>
      <w:bookmarkStart w:id="1" w:name="_Toc207705139"/>
      <w:r w:rsidRPr="006647B3">
        <w:rPr>
          <w:rFonts w:ascii="Arial" w:hAnsi="Arial" w:cs="Arial"/>
          <w:b/>
          <w:bCs/>
          <w:color w:val="auto"/>
          <w:sz w:val="22"/>
          <w:szCs w:val="22"/>
        </w:rPr>
        <w:t>Original Research Article</w:t>
      </w:r>
    </w:p>
    <w:p w14:paraId="2208164F" w14:textId="10D9AF58" w:rsidR="001B3DD7" w:rsidRPr="000E05FD" w:rsidRDefault="004168BE" w:rsidP="0088011C">
      <w:pPr>
        <w:pStyle w:val="Heading1"/>
        <w:jc w:val="center"/>
        <w:rPr>
          <w:rFonts w:ascii="Arial" w:hAnsi="Arial" w:cs="Arial"/>
          <w:b/>
          <w:bCs/>
          <w:color w:val="auto"/>
          <w:sz w:val="22"/>
          <w:szCs w:val="22"/>
        </w:rPr>
      </w:pPr>
      <w:r w:rsidRPr="000E05FD">
        <w:rPr>
          <w:rFonts w:ascii="Arial" w:hAnsi="Arial" w:cs="Arial"/>
          <w:b/>
          <w:bCs/>
          <w:color w:val="auto"/>
          <w:sz w:val="22"/>
          <w:szCs w:val="22"/>
        </w:rPr>
        <w:t>PERCEIVED BENEFITS AS DETERMINANT OF ACADEMIC INTEGRITY AND EXAMINATION MALPRACTICES IN SECONDARY SCHOOLS IN GARISSA TOWNSHIP SUB COUNTY, KENYA</w:t>
      </w:r>
    </w:p>
    <w:p w14:paraId="2A0C247B" w14:textId="3A1C8892" w:rsidR="00624FB4" w:rsidRDefault="00624FB4" w:rsidP="00624FB4">
      <w:pPr>
        <w:spacing w:after="0" w:line="240" w:lineRule="auto"/>
        <w:ind w:left="720"/>
        <w:jc w:val="center"/>
        <w:rPr>
          <w:rFonts w:ascii="Arial" w:hAnsi="Arial" w:cs="Arial"/>
          <w:b/>
          <w:bCs/>
          <w:sz w:val="22"/>
          <w:szCs w:val="22"/>
        </w:rPr>
      </w:pPr>
      <w:bookmarkStart w:id="2" w:name="_Hlk213270856"/>
    </w:p>
    <w:p w14:paraId="73B02439" w14:textId="77777777" w:rsidR="005E77D0" w:rsidRPr="000E05FD" w:rsidRDefault="005E77D0" w:rsidP="00624FB4">
      <w:pPr>
        <w:spacing w:after="0" w:line="240" w:lineRule="auto"/>
        <w:ind w:left="720"/>
        <w:jc w:val="center"/>
        <w:rPr>
          <w:rFonts w:ascii="Arial" w:hAnsi="Arial" w:cs="Arial"/>
          <w:b/>
          <w:bCs/>
          <w:sz w:val="22"/>
          <w:szCs w:val="22"/>
        </w:rPr>
      </w:pPr>
    </w:p>
    <w:bookmarkEnd w:id="2"/>
    <w:p w14:paraId="027600DB" w14:textId="13CFDA0D" w:rsidR="005A7536" w:rsidRPr="000E05FD" w:rsidRDefault="005A7536" w:rsidP="006F633E">
      <w:pPr>
        <w:pStyle w:val="Heading1"/>
        <w:spacing w:before="0" w:line="276" w:lineRule="auto"/>
        <w:jc w:val="both"/>
        <w:rPr>
          <w:rFonts w:ascii="Arial" w:hAnsi="Arial" w:cs="Arial"/>
          <w:b/>
          <w:bCs/>
          <w:color w:val="auto"/>
          <w:sz w:val="22"/>
          <w:szCs w:val="22"/>
        </w:rPr>
      </w:pPr>
      <w:r w:rsidRPr="000E05FD">
        <w:rPr>
          <w:rFonts w:ascii="Arial" w:hAnsi="Arial" w:cs="Arial"/>
          <w:b/>
          <w:bCs/>
          <w:color w:val="auto"/>
          <w:sz w:val="22"/>
          <w:szCs w:val="22"/>
        </w:rPr>
        <w:t>ABSTRACT</w:t>
      </w:r>
      <w:bookmarkEnd w:id="0"/>
      <w:bookmarkEnd w:id="1"/>
    </w:p>
    <w:p w14:paraId="040B9346" w14:textId="08A2925D" w:rsidR="005A7536" w:rsidRPr="000E05FD" w:rsidRDefault="00A4545F" w:rsidP="006F633E">
      <w:pPr>
        <w:pStyle w:val="NormalWeb"/>
        <w:spacing w:before="240" w:beforeAutospacing="0" w:line="276" w:lineRule="auto"/>
        <w:jc w:val="both"/>
        <w:rPr>
          <w:rFonts w:ascii="Arial" w:hAnsi="Arial" w:cs="Arial"/>
          <w:sz w:val="22"/>
          <w:szCs w:val="22"/>
        </w:rPr>
      </w:pPr>
      <w:r w:rsidRPr="000E05FD">
        <w:rPr>
          <w:rFonts w:ascii="Arial" w:hAnsi="Arial" w:cs="Arial"/>
          <w:sz w:val="22"/>
          <w:szCs w:val="22"/>
        </w:rPr>
        <w:t xml:space="preserve">Academic integrity refers to the ethical conduct and fairness in the process of administering and evaluating examinations, it is a commitment to fundamental moral values such as honesty, trust, fairness, decency, respect and responsibility. </w:t>
      </w:r>
      <w:r w:rsidR="005A7536" w:rsidRPr="000E05FD">
        <w:rPr>
          <w:rFonts w:ascii="Arial" w:hAnsi="Arial" w:cs="Arial"/>
          <w:sz w:val="22"/>
          <w:szCs w:val="22"/>
        </w:rPr>
        <w:t>This research investigated the</w:t>
      </w:r>
      <w:r w:rsidR="00005E3C" w:rsidRPr="000E05FD">
        <w:rPr>
          <w:rFonts w:ascii="Arial" w:hAnsi="Arial" w:cs="Arial"/>
          <w:sz w:val="22"/>
          <w:szCs w:val="22"/>
        </w:rPr>
        <w:t xml:space="preserve"> how </w:t>
      </w:r>
      <w:r w:rsidR="00C2089C" w:rsidRPr="000E05FD">
        <w:rPr>
          <w:rFonts w:ascii="Arial" w:hAnsi="Arial" w:cs="Arial"/>
          <w:sz w:val="22"/>
          <w:szCs w:val="22"/>
        </w:rPr>
        <w:t xml:space="preserve">perceived </w:t>
      </w:r>
      <w:r w:rsidR="00005E3C" w:rsidRPr="000E05FD">
        <w:rPr>
          <w:rFonts w:ascii="Arial" w:hAnsi="Arial" w:cs="Arial"/>
          <w:sz w:val="22"/>
          <w:szCs w:val="22"/>
        </w:rPr>
        <w:t>benefit</w:t>
      </w:r>
      <w:r w:rsidR="00093E9B" w:rsidRPr="000E05FD">
        <w:rPr>
          <w:rFonts w:ascii="Arial" w:hAnsi="Arial" w:cs="Arial"/>
          <w:sz w:val="22"/>
          <w:szCs w:val="22"/>
        </w:rPr>
        <w:t>s becomes d</w:t>
      </w:r>
      <w:r w:rsidR="005A7536" w:rsidRPr="000E05FD">
        <w:rPr>
          <w:rFonts w:ascii="Arial" w:hAnsi="Arial" w:cs="Arial"/>
          <w:sz w:val="22"/>
          <w:szCs w:val="22"/>
        </w:rPr>
        <w:t xml:space="preserve">eterminants of Academic Integrity and Examination Malpractices in Secondary Schools in Garissa Township Sub- County. The study explored the factors that influenced academic integrity and examination malpractices. The study adopted descriptive survey research design, quantitative </w:t>
      </w:r>
      <w:bookmarkStart w:id="3" w:name="_GoBack"/>
      <w:bookmarkEnd w:id="3"/>
      <w:r w:rsidR="005A7536" w:rsidRPr="000E05FD">
        <w:rPr>
          <w:rFonts w:ascii="Arial" w:hAnsi="Arial" w:cs="Arial"/>
          <w:sz w:val="22"/>
          <w:szCs w:val="22"/>
        </w:rPr>
        <w:t xml:space="preserve">and qualitative approaches was used to collect data. The target population focused on Principals, teachers and </w:t>
      </w:r>
      <w:r w:rsidR="005A7536" w:rsidRPr="000E05FD">
        <w:rPr>
          <w:rFonts w:ascii="Arial" w:hAnsi="Arial" w:cs="Arial"/>
          <w:b/>
          <w:bCs/>
          <w:sz w:val="22"/>
          <w:szCs w:val="22"/>
        </w:rPr>
        <w:t>s</w:t>
      </w:r>
      <w:r w:rsidR="005A7536" w:rsidRPr="000E05FD">
        <w:rPr>
          <w:rStyle w:val="Strong"/>
          <w:rFonts w:ascii="Arial" w:eastAsiaTheme="majorEastAsia" w:hAnsi="Arial" w:cs="Arial"/>
          <w:b w:val="0"/>
          <w:bCs w:val="0"/>
          <w:sz w:val="22"/>
          <w:szCs w:val="22"/>
        </w:rPr>
        <w:t>tudent leaders</w:t>
      </w:r>
      <w:r w:rsidR="005A7536" w:rsidRPr="000E05FD">
        <w:rPr>
          <w:rStyle w:val="Strong"/>
          <w:rFonts w:ascii="Arial" w:eastAsiaTheme="majorEastAsia" w:hAnsi="Arial" w:cs="Arial"/>
          <w:sz w:val="22"/>
          <w:szCs w:val="22"/>
        </w:rPr>
        <w:t xml:space="preserve"> </w:t>
      </w:r>
      <w:r w:rsidR="005A7536" w:rsidRPr="000E05FD">
        <w:rPr>
          <w:rFonts w:ascii="Arial" w:hAnsi="Arial" w:cs="Arial"/>
          <w:sz w:val="22"/>
          <w:szCs w:val="22"/>
        </w:rPr>
        <w:t>from various schools. There were 38 secondary schools with 38 principals and an average of 25 teachers and 200 students in every school totaling to 950 teachers and 7,600 students respectively. Respondents were sampled using stratified random sampling. There was a sample of 11 schools out of 38 (30% of 38 schools), consisting of 4 boys’ schools, 3 girls’ schools and 4 mixed schools. Thus 11 Principals were selected using census, 55 teachers and 77 students’ representatives were also selected using simple random sampling. Data from teachers and students’ representatives was collected using questionnaires while that from principals was collected using interviews. Descriptive statistics and Pearson r were used to analyze collected data quantitatively while that from interviews was analyzed verbatim. Research findings indicated that</w:t>
      </w:r>
      <w:r w:rsidR="00432ABA" w:rsidRPr="000E05FD">
        <w:rPr>
          <w:rFonts w:ascii="Arial" w:hAnsi="Arial" w:cs="Arial"/>
          <w:sz w:val="22"/>
          <w:szCs w:val="22"/>
        </w:rPr>
        <w:t xml:space="preserve"> perceived benefits were moderately correlated with the level of academic integrity and examination malpractices </w:t>
      </w:r>
      <w:r w:rsidR="00432ABA" w:rsidRPr="000E05FD">
        <w:rPr>
          <w:rFonts w:ascii="Arial" w:hAnsi="Arial" w:cs="Arial"/>
          <w:i/>
          <w:iCs/>
          <w:sz w:val="22"/>
          <w:szCs w:val="22"/>
        </w:rPr>
        <w:t>(r=0.329, p&lt;0.05</w:t>
      </w:r>
      <w:r w:rsidR="00062A81" w:rsidRPr="000E05FD">
        <w:rPr>
          <w:rFonts w:ascii="Arial" w:hAnsi="Arial" w:cs="Arial"/>
          <w:i/>
          <w:iCs/>
          <w:sz w:val="22"/>
          <w:szCs w:val="22"/>
        </w:rPr>
        <w:t>)</w:t>
      </w:r>
      <w:r w:rsidR="00062A81" w:rsidRPr="000E05FD">
        <w:rPr>
          <w:rFonts w:ascii="Arial" w:hAnsi="Arial" w:cs="Arial"/>
          <w:sz w:val="22"/>
          <w:szCs w:val="22"/>
        </w:rPr>
        <w:t>. The</w:t>
      </w:r>
      <w:r w:rsidR="005A7536" w:rsidRPr="000E05FD">
        <w:rPr>
          <w:rFonts w:ascii="Arial" w:hAnsi="Arial" w:cs="Arial"/>
          <w:sz w:val="22"/>
          <w:szCs w:val="22"/>
        </w:rPr>
        <w:t xml:space="preserve"> findings of this study will contribute to the existing body of knowledge on academic integrity and examination malpractices and unearth what contributes to cheating in examinations in secondary schools in Garissa Township Sub County, Kenya.</w:t>
      </w:r>
    </w:p>
    <w:p w14:paraId="1A90CCDC" w14:textId="4C2F20B8" w:rsidR="001B3DD7" w:rsidRPr="000E05FD" w:rsidRDefault="001B3DD7" w:rsidP="006F633E">
      <w:pPr>
        <w:spacing w:line="276" w:lineRule="auto"/>
        <w:jc w:val="both"/>
        <w:rPr>
          <w:rFonts w:ascii="Arial" w:hAnsi="Arial" w:cs="Arial"/>
          <w:sz w:val="22"/>
          <w:szCs w:val="22"/>
        </w:rPr>
      </w:pPr>
      <w:r w:rsidRPr="000E05FD">
        <w:rPr>
          <w:rFonts w:ascii="Arial" w:hAnsi="Arial" w:cs="Arial"/>
          <w:b/>
          <w:bCs/>
          <w:sz w:val="22"/>
          <w:szCs w:val="22"/>
        </w:rPr>
        <w:t>Key words</w:t>
      </w:r>
      <w:r w:rsidRPr="000E05FD">
        <w:rPr>
          <w:rFonts w:ascii="Arial" w:hAnsi="Arial" w:cs="Arial"/>
          <w:b/>
          <w:sz w:val="22"/>
          <w:szCs w:val="22"/>
        </w:rPr>
        <w:t xml:space="preserve">: </w:t>
      </w:r>
      <w:r w:rsidR="00F769EE" w:rsidRPr="000E05FD">
        <w:rPr>
          <w:rFonts w:ascii="Arial" w:hAnsi="Arial" w:cs="Arial"/>
          <w:b/>
          <w:sz w:val="22"/>
          <w:szCs w:val="22"/>
        </w:rPr>
        <w:t>Perceived benefits</w:t>
      </w:r>
      <w:r w:rsidRPr="000E05FD">
        <w:rPr>
          <w:rFonts w:ascii="Arial" w:hAnsi="Arial" w:cs="Arial"/>
          <w:b/>
          <w:sz w:val="22"/>
          <w:szCs w:val="22"/>
        </w:rPr>
        <w:t>, Examination, Integrity, Determinant.</w:t>
      </w:r>
    </w:p>
    <w:p w14:paraId="51A61192" w14:textId="66185D20" w:rsidR="001B3DD7" w:rsidRPr="000E05FD" w:rsidRDefault="00D266C0" w:rsidP="006F633E">
      <w:pPr>
        <w:pStyle w:val="ListParagraph"/>
        <w:numPr>
          <w:ilvl w:val="0"/>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t>INTRODUCTION</w:t>
      </w:r>
    </w:p>
    <w:p w14:paraId="2AD79AE6" w14:textId="77777777" w:rsidR="006E63BA" w:rsidRPr="000E05FD" w:rsidRDefault="00A14D12" w:rsidP="006F633E">
      <w:pPr>
        <w:spacing w:line="276" w:lineRule="auto"/>
        <w:jc w:val="both"/>
        <w:rPr>
          <w:rFonts w:ascii="Arial" w:hAnsi="Arial" w:cs="Arial"/>
          <w:sz w:val="22"/>
          <w:szCs w:val="22"/>
        </w:rPr>
      </w:pPr>
      <w:r w:rsidRPr="000E05FD">
        <w:rPr>
          <w:rFonts w:ascii="Arial" w:hAnsi="Arial" w:cs="Arial"/>
          <w:sz w:val="22"/>
          <w:szCs w:val="22"/>
        </w:rPr>
        <w:t>Examinations are the cornerstone of any education system, playing a critical role in evaluating students' knowledge, skills, and academic progress. Maintaining the integrity of these examinations is paramount to ensure that educational outcomes are both credible and equitable.</w:t>
      </w:r>
      <w:r w:rsidR="00F96055" w:rsidRPr="000E05FD">
        <w:rPr>
          <w:rFonts w:ascii="Arial" w:hAnsi="Arial" w:cs="Arial"/>
          <w:sz w:val="22"/>
          <w:szCs w:val="22"/>
        </w:rPr>
        <w:t xml:space="preserve"> Examination malpractices became widespread and was reported in almost all the countries around the world</w:t>
      </w:r>
      <w:r w:rsidR="00F96055" w:rsidRPr="000E05FD">
        <w:rPr>
          <w:rStyle w:val="Strong"/>
          <w:rFonts w:ascii="Arial" w:hAnsi="Arial" w:cs="Arial"/>
          <w:sz w:val="22"/>
          <w:szCs w:val="22"/>
        </w:rPr>
        <w:t xml:space="preserve">. </w:t>
      </w:r>
      <w:r w:rsidR="00F96055" w:rsidRPr="000E05FD">
        <w:rPr>
          <w:rFonts w:ascii="Arial" w:hAnsi="Arial" w:cs="Arial"/>
          <w:sz w:val="22"/>
          <w:szCs w:val="22"/>
        </w:rPr>
        <w:t>The status of academic integrity internationally reveals a persistent and evolving challenge across levels of education systems (Blog Article, 2024). Studies indicate that academic misconduct, including cheating remains prevalent globally. Factors contributing to this include varying cultural understandings of plagiarism, language barriers, and pressures associated with studying abroad (Ceceilia Parnther, 2022)</w:t>
      </w:r>
      <w:r w:rsidR="00F96055" w:rsidRPr="000E05FD">
        <w:rPr>
          <w:rFonts w:ascii="Arial" w:hAnsi="Arial" w:cs="Arial"/>
          <w:b/>
          <w:bCs/>
          <w:sz w:val="22"/>
          <w:szCs w:val="22"/>
        </w:rPr>
        <w:t xml:space="preserve">. </w:t>
      </w:r>
      <w:r w:rsidR="00F96055" w:rsidRPr="000E05FD">
        <w:rPr>
          <w:rFonts w:ascii="Arial" w:hAnsi="Arial" w:cs="Arial"/>
          <w:sz w:val="22"/>
          <w:szCs w:val="22"/>
        </w:rPr>
        <w:t xml:space="preserve">The rise of online learning has further complicated the </w:t>
      </w:r>
      <w:r w:rsidR="00F96055" w:rsidRPr="000E05FD">
        <w:rPr>
          <w:rFonts w:ascii="Arial" w:hAnsi="Arial" w:cs="Arial"/>
          <w:sz w:val="22"/>
          <w:szCs w:val="22"/>
        </w:rPr>
        <w:lastRenderedPageBreak/>
        <w:t xml:space="preserve">issue, introducing new avenues for contract cheating and making monitoring more difficult. Institutions worldwide are grappling with how to uphold academic integrity in this changing landscape, employing strategies such as educational initiatives, stricter policies, and technological tools for detection and proctoring. The actual belief that their peers are cheating is one of the most important predictors of academic dishonesty. Being surrounded by cheaters has an almost contagious effect (David, 2023).   </w:t>
      </w:r>
    </w:p>
    <w:p w14:paraId="6A3C85AE" w14:textId="4968A3AA" w:rsidR="00A14D12" w:rsidRPr="000E05FD" w:rsidRDefault="006E63BA" w:rsidP="006F633E">
      <w:pPr>
        <w:spacing w:line="276" w:lineRule="auto"/>
        <w:jc w:val="both"/>
        <w:rPr>
          <w:rFonts w:ascii="Arial" w:hAnsi="Arial" w:cs="Arial"/>
          <w:sz w:val="22"/>
          <w:szCs w:val="22"/>
        </w:rPr>
      </w:pPr>
      <w:r w:rsidRPr="000E05FD">
        <w:rPr>
          <w:rFonts w:ascii="Arial" w:eastAsia="Times New Roman" w:hAnsi="Arial" w:cs="Arial"/>
          <w:sz w:val="22"/>
          <w:szCs w:val="22"/>
        </w:rPr>
        <w:t>Research indicates that peer influence plays a significant role in shaping student behavior. When students observe their peers engaging in academic misconduct without facing consequences, they may perceive such behavior as acceptable. According to Jones et al. (2016), peer influence significantly impacts students' decisions to cheat, particularly when they believe that peers who engage in cheating are not penalized. The concept of perceived norms is central to understanding academic misconduct.</w:t>
      </w:r>
      <w:r w:rsidRPr="000E05FD">
        <w:rPr>
          <w:rFonts w:ascii="Arial" w:hAnsi="Arial" w:cs="Arial"/>
          <w:sz w:val="22"/>
          <w:szCs w:val="22"/>
        </w:rPr>
        <w:t xml:space="preserve"> </w:t>
      </w:r>
      <w:r w:rsidR="00C01E70" w:rsidRPr="000E05FD">
        <w:rPr>
          <w:rFonts w:ascii="Arial" w:eastAsia="Times New Roman" w:hAnsi="Arial" w:cs="Arial"/>
          <w:sz w:val="22"/>
          <w:szCs w:val="22"/>
        </w:rPr>
        <w:t>Garissa Township Sub County, located in Kenya, mirrors the broader challenges faced by the nation. The region’s secondary schools are grappling with issues related to examination integrity, including instances of cheating, teacher bias, inadequate supervision, and external pressures (PWPER, 2023). These challenges compromise the fairness of examinations and raise questions about the legitimacy of students' achievements.</w:t>
      </w:r>
    </w:p>
    <w:p w14:paraId="71FA1CA1" w14:textId="620C3D6E" w:rsidR="006E63BA" w:rsidRPr="000E05FD" w:rsidRDefault="001B3DD7" w:rsidP="006F633E">
      <w:pPr>
        <w:pStyle w:val="ListParagraph"/>
        <w:numPr>
          <w:ilvl w:val="1"/>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t xml:space="preserve">Statement of the Problem </w:t>
      </w:r>
    </w:p>
    <w:p w14:paraId="1AE8EDE2" w14:textId="7DCF936D" w:rsidR="00C973D2" w:rsidRPr="000E05FD" w:rsidRDefault="006E63BA" w:rsidP="006F633E">
      <w:pPr>
        <w:spacing w:line="276" w:lineRule="auto"/>
        <w:jc w:val="both"/>
        <w:rPr>
          <w:rFonts w:ascii="Arial" w:hAnsi="Arial" w:cs="Arial"/>
          <w:sz w:val="22"/>
          <w:szCs w:val="22"/>
        </w:rPr>
      </w:pPr>
      <w:r w:rsidRPr="000E05FD">
        <w:rPr>
          <w:rFonts w:ascii="Arial" w:hAnsi="Arial" w:cs="Arial"/>
          <w:sz w:val="22"/>
          <w:szCs w:val="22"/>
        </w:rPr>
        <w:t xml:space="preserve">The issue of exam malpractices has been a challenge for quite sometimes in Garissa Township Sub-County. The integrity of academic pursuits and the fairness of examinations in secondary schools within Garissa Township Sub-County, Kenya, face potential threats from various interconnected factors. This study investigated the influence of students' perceived benefit from academic dishonesty on the prevalence of examination malpractices and the overall adherence to academic integrity among secondary school students in this specific locale. </w:t>
      </w:r>
      <w:r w:rsidR="00883883" w:rsidRPr="000E05FD">
        <w:rPr>
          <w:rFonts w:ascii="Arial" w:eastAsia="Times New Roman" w:hAnsi="Arial" w:cs="Arial"/>
          <w:sz w:val="22"/>
          <w:szCs w:val="22"/>
        </w:rPr>
        <w:t>Several factors, such as socioeconomic disparities, lack of resources, cultural influences, and the pressure to excel or create a complex environment where maintaining academic integrity and examination malpractices becomes challenging.</w:t>
      </w:r>
      <w:r w:rsidR="001A1725" w:rsidRPr="000E05FD">
        <w:rPr>
          <w:rStyle w:val="Strong"/>
          <w:rFonts w:ascii="Arial" w:hAnsi="Arial" w:cs="Arial"/>
          <w:b w:val="0"/>
          <w:bCs w:val="0"/>
          <w:sz w:val="22"/>
          <w:szCs w:val="22"/>
        </w:rPr>
        <w:t xml:space="preserve"> </w:t>
      </w:r>
      <w:r w:rsidRPr="000E05FD">
        <w:rPr>
          <w:rStyle w:val="Strong"/>
          <w:rFonts w:ascii="Arial" w:hAnsi="Arial" w:cs="Arial"/>
          <w:b w:val="0"/>
          <w:bCs w:val="0"/>
          <w:sz w:val="22"/>
          <w:szCs w:val="22"/>
        </w:rPr>
        <w:t>Parents seem to give pressure to school managers that their children should attain good grades for better career progression, thus school managers allow cheating exams that culminate into perceived benefits.</w:t>
      </w:r>
      <w:r w:rsidRPr="000E05FD">
        <w:rPr>
          <w:rFonts w:ascii="Arial" w:hAnsi="Arial" w:cs="Arial"/>
          <w:sz w:val="22"/>
          <w:szCs w:val="22"/>
        </w:rPr>
        <w:t xml:space="preserve"> The integrity of examinations in secondary schools within the Sub County is facing many challenges that pose students credibility on pursuing high level courses like medicine and engineering due to false grades.   </w:t>
      </w:r>
    </w:p>
    <w:p w14:paraId="3513B5EF" w14:textId="77777777" w:rsidR="00714470" w:rsidRPr="000E05FD" w:rsidRDefault="00714470" w:rsidP="006F633E">
      <w:pPr>
        <w:pStyle w:val="ListParagraph"/>
        <w:numPr>
          <w:ilvl w:val="1"/>
          <w:numId w:val="3"/>
        </w:numPr>
        <w:spacing w:after="200" w:line="276" w:lineRule="auto"/>
        <w:ind w:left="540" w:hanging="540"/>
        <w:jc w:val="both"/>
        <w:rPr>
          <w:rFonts w:ascii="Arial" w:hAnsi="Arial" w:cs="Arial"/>
          <w:b/>
          <w:bCs/>
          <w:sz w:val="22"/>
          <w:szCs w:val="22"/>
        </w:rPr>
      </w:pPr>
      <w:bookmarkStart w:id="4" w:name="_Hlk210817369"/>
      <w:r w:rsidRPr="000E05FD">
        <w:rPr>
          <w:rFonts w:ascii="Arial" w:hAnsi="Arial" w:cs="Arial"/>
          <w:b/>
          <w:bCs/>
          <w:sz w:val="22"/>
          <w:szCs w:val="22"/>
        </w:rPr>
        <w:t>Objectives of the Study</w:t>
      </w:r>
    </w:p>
    <w:bookmarkEnd w:id="4"/>
    <w:p w14:paraId="28D2180C" w14:textId="77777777" w:rsidR="00714470" w:rsidRPr="000E05FD" w:rsidRDefault="00714470" w:rsidP="006F633E">
      <w:pPr>
        <w:pStyle w:val="NormalWeb"/>
        <w:spacing w:before="240" w:beforeAutospacing="0" w:after="240" w:afterAutospacing="0" w:line="276" w:lineRule="auto"/>
        <w:jc w:val="both"/>
        <w:rPr>
          <w:rFonts w:ascii="Arial" w:hAnsi="Arial" w:cs="Arial"/>
          <w:sz w:val="22"/>
          <w:szCs w:val="22"/>
        </w:rPr>
      </w:pPr>
      <w:r w:rsidRPr="000E05FD">
        <w:rPr>
          <w:rFonts w:ascii="Arial" w:hAnsi="Arial" w:cs="Arial"/>
          <w:sz w:val="22"/>
          <w:szCs w:val="22"/>
        </w:rPr>
        <w:t>To examine how perceived benefits of cheating correlates to academic integrity and examination malpractices in secondary schools in Garissa Township Sub County</w:t>
      </w:r>
    </w:p>
    <w:p w14:paraId="0238E8C0" w14:textId="77777777" w:rsidR="00F50EE5" w:rsidRPr="000E05FD" w:rsidRDefault="00714470" w:rsidP="006F633E">
      <w:pPr>
        <w:pStyle w:val="ListParagraph"/>
        <w:numPr>
          <w:ilvl w:val="1"/>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t>Research Question</w:t>
      </w:r>
    </w:p>
    <w:p w14:paraId="3AF851D5" w14:textId="3D4413CB" w:rsidR="005E2102" w:rsidRPr="000E05FD" w:rsidRDefault="005E2102" w:rsidP="006F633E">
      <w:pPr>
        <w:spacing w:line="276" w:lineRule="auto"/>
        <w:jc w:val="both"/>
        <w:rPr>
          <w:rFonts w:ascii="Arial" w:hAnsi="Arial" w:cs="Arial"/>
          <w:sz w:val="22"/>
          <w:szCs w:val="22"/>
        </w:rPr>
      </w:pPr>
      <w:r w:rsidRPr="000E05FD">
        <w:rPr>
          <w:rFonts w:ascii="Arial" w:hAnsi="Arial" w:cs="Arial"/>
          <w:sz w:val="22"/>
          <w:szCs w:val="22"/>
        </w:rPr>
        <w:t>To guide the study, this research question was used</w:t>
      </w:r>
      <w:r w:rsidR="000B394A">
        <w:rPr>
          <w:rFonts w:ascii="Arial" w:hAnsi="Arial" w:cs="Arial"/>
          <w:sz w:val="22"/>
          <w:szCs w:val="22"/>
        </w:rPr>
        <w:t>:</w:t>
      </w:r>
    </w:p>
    <w:p w14:paraId="05711C56" w14:textId="0C2C1382" w:rsidR="005E2102" w:rsidRDefault="005E2102" w:rsidP="006F633E">
      <w:pPr>
        <w:pStyle w:val="NormalWeb"/>
        <w:numPr>
          <w:ilvl w:val="0"/>
          <w:numId w:val="2"/>
        </w:numPr>
        <w:spacing w:before="240" w:beforeAutospacing="0" w:after="240" w:afterAutospacing="0" w:line="276" w:lineRule="auto"/>
        <w:jc w:val="both"/>
        <w:rPr>
          <w:rFonts w:ascii="Arial" w:hAnsi="Arial" w:cs="Arial"/>
          <w:sz w:val="22"/>
          <w:szCs w:val="22"/>
        </w:rPr>
      </w:pPr>
      <w:r w:rsidRPr="000E05FD">
        <w:rPr>
          <w:rFonts w:ascii="Arial" w:hAnsi="Arial" w:cs="Arial"/>
          <w:sz w:val="22"/>
          <w:szCs w:val="22"/>
        </w:rPr>
        <w:t>How do perceived benefits correlates to academic integrity and examination malpractices in secondary schools in Garissa Township Sub County?</w:t>
      </w:r>
    </w:p>
    <w:p w14:paraId="5416BB34" w14:textId="77777777" w:rsidR="007E1EAF" w:rsidRPr="000E05FD" w:rsidRDefault="007E1EAF" w:rsidP="007E1EAF">
      <w:pPr>
        <w:pStyle w:val="NormalWeb"/>
        <w:spacing w:before="240" w:beforeAutospacing="0" w:after="240" w:afterAutospacing="0" w:line="276" w:lineRule="auto"/>
        <w:ind w:left="360"/>
        <w:jc w:val="both"/>
        <w:rPr>
          <w:rFonts w:ascii="Arial" w:hAnsi="Arial" w:cs="Arial"/>
          <w:sz w:val="22"/>
          <w:szCs w:val="22"/>
        </w:rPr>
      </w:pPr>
    </w:p>
    <w:p w14:paraId="01B62260" w14:textId="00D54B76" w:rsidR="00D21A56" w:rsidRPr="000E05FD" w:rsidRDefault="00AE0E17" w:rsidP="006F633E">
      <w:pPr>
        <w:pStyle w:val="ListParagraph"/>
        <w:numPr>
          <w:ilvl w:val="1"/>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lastRenderedPageBreak/>
        <w:t>Research Hypotheses</w:t>
      </w:r>
    </w:p>
    <w:p w14:paraId="166C3940" w14:textId="69AF5A88" w:rsidR="00D21A56" w:rsidRPr="000E05FD" w:rsidRDefault="00D21A56" w:rsidP="006F633E">
      <w:pPr>
        <w:spacing w:line="276" w:lineRule="auto"/>
        <w:jc w:val="both"/>
        <w:rPr>
          <w:rFonts w:ascii="Arial" w:hAnsi="Arial" w:cs="Arial"/>
          <w:sz w:val="22"/>
          <w:szCs w:val="22"/>
        </w:rPr>
      </w:pPr>
      <w:r w:rsidRPr="000E05FD">
        <w:rPr>
          <w:rFonts w:ascii="Arial" w:hAnsi="Arial" w:cs="Arial"/>
          <w:sz w:val="22"/>
          <w:szCs w:val="22"/>
        </w:rPr>
        <w:t>The following null hypothesis was used to guide the study:</w:t>
      </w:r>
    </w:p>
    <w:p w14:paraId="481FE19A" w14:textId="17C826BA" w:rsidR="00D21A56" w:rsidRPr="000E05FD" w:rsidRDefault="00D21A56" w:rsidP="006F633E">
      <w:pPr>
        <w:pStyle w:val="NormalWeb"/>
        <w:spacing w:line="276" w:lineRule="auto"/>
        <w:jc w:val="both"/>
        <w:rPr>
          <w:rFonts w:ascii="Arial" w:hAnsi="Arial" w:cs="Arial"/>
          <w:sz w:val="22"/>
          <w:szCs w:val="22"/>
        </w:rPr>
      </w:pPr>
      <w:r w:rsidRPr="000E05FD">
        <w:rPr>
          <w:rFonts w:ascii="Arial" w:hAnsi="Arial" w:cs="Arial"/>
          <w:sz w:val="22"/>
          <w:szCs w:val="22"/>
        </w:rPr>
        <w:t>H</w:t>
      </w:r>
      <w:r w:rsidRPr="000E05FD">
        <w:rPr>
          <w:rFonts w:ascii="Arial" w:hAnsi="Arial" w:cs="Arial"/>
          <w:sz w:val="22"/>
          <w:szCs w:val="22"/>
          <w:vertAlign w:val="subscript"/>
        </w:rPr>
        <w:t>0</w:t>
      </w:r>
      <w:r w:rsidRPr="000E05FD">
        <w:rPr>
          <w:rFonts w:ascii="Arial" w:hAnsi="Arial" w:cs="Arial"/>
          <w:sz w:val="22"/>
          <w:szCs w:val="22"/>
        </w:rPr>
        <w:t>: There is no significant relationship between perceived benefits and academic integrity and examination malpractices in secondary schools in Garissa Township Sub County.</w:t>
      </w:r>
    </w:p>
    <w:p w14:paraId="239FBC95" w14:textId="77777777" w:rsidR="00F50EE5" w:rsidRPr="000E05FD" w:rsidRDefault="00F50EE5" w:rsidP="006F633E">
      <w:pPr>
        <w:pStyle w:val="ListParagraph"/>
        <w:numPr>
          <w:ilvl w:val="1"/>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t>Theoretical Framework</w:t>
      </w:r>
    </w:p>
    <w:p w14:paraId="15421B75" w14:textId="499B8EDD" w:rsidR="001A1725" w:rsidRPr="000E05FD" w:rsidRDefault="00856EF3" w:rsidP="006F633E">
      <w:pPr>
        <w:spacing w:before="240" w:after="200" w:line="276" w:lineRule="auto"/>
        <w:jc w:val="both"/>
        <w:rPr>
          <w:rFonts w:ascii="Arial" w:hAnsi="Arial" w:cs="Arial"/>
          <w:b/>
          <w:bCs/>
          <w:sz w:val="22"/>
          <w:szCs w:val="22"/>
        </w:rPr>
      </w:pPr>
      <w:r w:rsidRPr="000E05FD">
        <w:rPr>
          <w:rFonts w:ascii="Arial" w:hAnsi="Arial" w:cs="Arial"/>
          <w:sz w:val="22"/>
          <w:szCs w:val="22"/>
        </w:rPr>
        <w:t xml:space="preserve">The study is guided by </w:t>
      </w:r>
      <w:r w:rsidR="001A1725" w:rsidRPr="000E05FD">
        <w:rPr>
          <w:rFonts w:ascii="Arial" w:hAnsi="Arial" w:cs="Arial"/>
          <w:sz w:val="22"/>
          <w:szCs w:val="22"/>
        </w:rPr>
        <w:t xml:space="preserve">Social </w:t>
      </w:r>
      <w:r w:rsidR="00B16D6B" w:rsidRPr="000E05FD">
        <w:rPr>
          <w:rFonts w:ascii="Arial" w:hAnsi="Arial" w:cs="Arial"/>
          <w:sz w:val="22"/>
          <w:szCs w:val="22"/>
        </w:rPr>
        <w:t>N</w:t>
      </w:r>
      <w:r w:rsidR="001A1725" w:rsidRPr="000E05FD">
        <w:rPr>
          <w:rFonts w:ascii="Arial" w:hAnsi="Arial" w:cs="Arial"/>
          <w:sz w:val="22"/>
          <w:szCs w:val="22"/>
        </w:rPr>
        <w:t>orms theory by Perkins and Berkowitz (1986). Social norms theory is an intervention strategy, aims at understanding the environment and interpersonal influences in order to change social behavior which is a more effective approach than when we focus on an individual (</w:t>
      </w:r>
      <w:proofErr w:type="spellStart"/>
      <w:r w:rsidR="001A1725" w:rsidRPr="000E05FD">
        <w:rPr>
          <w:rFonts w:ascii="Arial" w:hAnsi="Arial" w:cs="Arial"/>
          <w:sz w:val="22"/>
          <w:szCs w:val="22"/>
        </w:rPr>
        <w:t>Lamorte</w:t>
      </w:r>
      <w:proofErr w:type="spellEnd"/>
      <w:r w:rsidR="001A1725" w:rsidRPr="000E05FD">
        <w:rPr>
          <w:rFonts w:ascii="Arial" w:hAnsi="Arial" w:cs="Arial"/>
          <w:sz w:val="22"/>
          <w:szCs w:val="22"/>
        </w:rPr>
        <w:t xml:space="preserve">, 2016). It is a theoretical framework whose primary focus is peer influence and the role it plays in individual decision-making pertaining behaviors. This theory emphasizes the importance of normative dimension of education in producing responsible citizens in the society. The main assumptions of the theory are anchored on perceptions that are developed during every day social interaction and activities in a social organization set up. </w:t>
      </w:r>
    </w:p>
    <w:p w14:paraId="6A378E12" w14:textId="5BBF38BA" w:rsidR="00EC1EF8" w:rsidRPr="00E5001F" w:rsidRDefault="001A1725" w:rsidP="006F633E">
      <w:pPr>
        <w:spacing w:before="240" w:line="276" w:lineRule="auto"/>
        <w:jc w:val="both"/>
        <w:rPr>
          <w:rFonts w:ascii="Arial" w:hAnsi="Arial" w:cs="Arial"/>
          <w:sz w:val="22"/>
          <w:szCs w:val="22"/>
        </w:rPr>
      </w:pPr>
      <w:r w:rsidRPr="000E05FD">
        <w:rPr>
          <w:rFonts w:ascii="Arial" w:hAnsi="Arial" w:cs="Arial"/>
          <w:sz w:val="22"/>
          <w:szCs w:val="22"/>
        </w:rPr>
        <w:t>According to the theory, our perceptions of what others accept and expect of us are more often inaccurate and misleading. The theory thus assumes that our behavior, whether positive or negative is influenced by misperceptions of how our peers think and act. This theory is very relevant to this study as it informed the researcher on development of societal norms</w:t>
      </w:r>
      <w:r w:rsidR="00C03110" w:rsidRPr="000E05FD">
        <w:rPr>
          <w:rFonts w:ascii="Arial" w:hAnsi="Arial" w:cs="Arial"/>
          <w:sz w:val="22"/>
          <w:szCs w:val="22"/>
        </w:rPr>
        <w:t xml:space="preserve"> of perceived ben</w:t>
      </w:r>
      <w:r w:rsidR="00190FF3" w:rsidRPr="000E05FD">
        <w:rPr>
          <w:rFonts w:ascii="Arial" w:hAnsi="Arial" w:cs="Arial"/>
          <w:sz w:val="22"/>
          <w:szCs w:val="22"/>
        </w:rPr>
        <w:t>efits</w:t>
      </w:r>
      <w:r w:rsidRPr="000E05FD">
        <w:rPr>
          <w:rFonts w:ascii="Arial" w:hAnsi="Arial" w:cs="Arial"/>
          <w:sz w:val="22"/>
          <w:szCs w:val="22"/>
        </w:rPr>
        <w:t>. This theory reveals that the gap between the perceived</w:t>
      </w:r>
      <w:r w:rsidR="00190FF3" w:rsidRPr="000E05FD">
        <w:rPr>
          <w:rFonts w:ascii="Arial" w:hAnsi="Arial" w:cs="Arial"/>
          <w:sz w:val="22"/>
          <w:szCs w:val="22"/>
        </w:rPr>
        <w:t xml:space="preserve"> benefits</w:t>
      </w:r>
      <w:r w:rsidRPr="000E05FD">
        <w:rPr>
          <w:rFonts w:ascii="Arial" w:hAnsi="Arial" w:cs="Arial"/>
          <w:sz w:val="22"/>
          <w:szCs w:val="22"/>
        </w:rPr>
        <w:t xml:space="preserve"> and actual norms, which is known as misperception, provides the foundation of social norms approach (</w:t>
      </w:r>
      <w:proofErr w:type="spellStart"/>
      <w:r w:rsidRPr="000E05FD">
        <w:rPr>
          <w:rFonts w:ascii="Arial" w:hAnsi="Arial" w:cs="Arial"/>
          <w:sz w:val="22"/>
          <w:szCs w:val="22"/>
        </w:rPr>
        <w:t>Lamorte</w:t>
      </w:r>
      <w:proofErr w:type="spellEnd"/>
      <w:r w:rsidRPr="000E05FD">
        <w:rPr>
          <w:rFonts w:ascii="Arial" w:hAnsi="Arial" w:cs="Arial"/>
          <w:sz w:val="22"/>
          <w:szCs w:val="22"/>
        </w:rPr>
        <w:t>, 2016). Teachers interested in reforming the behavior of the learners should therefore focus on correcting the misperceptions of the perceived norms in order to decrease unconformity to societal norms and increase conformity to societal norms as a strategy of promoting inculcation of societal norms (</w:t>
      </w:r>
      <w:proofErr w:type="spellStart"/>
      <w:r w:rsidRPr="000E05FD">
        <w:rPr>
          <w:rFonts w:ascii="Arial" w:hAnsi="Arial" w:cs="Arial"/>
          <w:sz w:val="22"/>
          <w:szCs w:val="22"/>
        </w:rPr>
        <w:t>Kirugua</w:t>
      </w:r>
      <w:proofErr w:type="spellEnd"/>
      <w:r w:rsidRPr="000E05FD">
        <w:rPr>
          <w:rFonts w:ascii="Arial" w:hAnsi="Arial" w:cs="Arial"/>
          <w:sz w:val="22"/>
          <w:szCs w:val="22"/>
        </w:rPr>
        <w:t xml:space="preserve"> 2019). This could be through interventions such as campaigns and a series of talks aimed at creating awareness in learners on importance of cultivating desirable social behaviors. </w:t>
      </w:r>
    </w:p>
    <w:p w14:paraId="030879EE" w14:textId="7589262D" w:rsidR="004A103B" w:rsidRPr="00E05548" w:rsidRDefault="00F50EE5" w:rsidP="006F633E">
      <w:pPr>
        <w:pStyle w:val="ListParagraph"/>
        <w:numPr>
          <w:ilvl w:val="1"/>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t>Conceptual Framework</w:t>
      </w:r>
      <w:r w:rsidR="004A103B" w:rsidRPr="000E05FD">
        <w:rPr>
          <w:rFonts w:ascii="Arial" w:hAnsi="Arial" w:cs="Arial"/>
          <w:b/>
          <w:bCs/>
          <w:sz w:val="22"/>
          <w:szCs w:val="22"/>
        </w:rPr>
        <w:tab/>
      </w:r>
    </w:p>
    <w:p w14:paraId="140B0D2D" w14:textId="11D912D4" w:rsidR="004A103B" w:rsidRPr="000E05FD" w:rsidRDefault="00E05548" w:rsidP="006F633E">
      <w:pPr>
        <w:pStyle w:val="ListParagraph"/>
        <w:tabs>
          <w:tab w:val="left" w:pos="1260"/>
        </w:tabs>
        <w:spacing w:after="200" w:line="276" w:lineRule="auto"/>
        <w:ind w:left="540"/>
        <w:jc w:val="both"/>
        <w:rPr>
          <w:rFonts w:ascii="Arial" w:hAnsi="Arial" w:cs="Arial"/>
          <w:b/>
          <w:bCs/>
          <w:sz w:val="22"/>
          <w:szCs w:val="22"/>
        </w:rPr>
      </w:pPr>
      <w:r w:rsidRPr="000E05FD">
        <w:rPr>
          <w:rFonts w:ascii="Arial" w:hAnsi="Arial" w:cs="Arial"/>
          <w:b/>
          <w:bCs/>
          <w:noProof/>
          <w:sz w:val="22"/>
          <w:szCs w:val="22"/>
        </w:rPr>
        <mc:AlternateContent>
          <mc:Choice Requires="wps">
            <w:drawing>
              <wp:anchor distT="0" distB="0" distL="114300" distR="114300" simplePos="0" relativeHeight="251645952" behindDoc="0" locked="0" layoutInCell="1" allowOverlap="1" wp14:anchorId="3F2B6CCC" wp14:editId="00DE21C8">
                <wp:simplePos x="0" y="0"/>
                <wp:positionH relativeFrom="column">
                  <wp:posOffset>4362450</wp:posOffset>
                </wp:positionH>
                <wp:positionV relativeFrom="paragraph">
                  <wp:posOffset>62865</wp:posOffset>
                </wp:positionV>
                <wp:extent cx="2152650" cy="342900"/>
                <wp:effectExtent l="0" t="0" r="19050" b="19050"/>
                <wp:wrapNone/>
                <wp:docPr id="988484962" name="Text Box 746068160"/>
                <wp:cNvGraphicFramePr/>
                <a:graphic xmlns:a="http://schemas.openxmlformats.org/drawingml/2006/main">
                  <a:graphicData uri="http://schemas.microsoft.com/office/word/2010/wordprocessingShape">
                    <wps:wsp>
                      <wps:cNvSpPr txBox="1"/>
                      <wps:spPr>
                        <a:xfrm>
                          <a:off x="0" y="0"/>
                          <a:ext cx="2152650" cy="3429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5107537" w14:textId="77777777" w:rsidR="00E3325F" w:rsidRPr="00F032FF" w:rsidRDefault="00E3325F" w:rsidP="00E3325F">
                            <w:pPr>
                              <w:spacing w:after="0"/>
                              <w:jc w:val="center"/>
                              <w:rPr>
                                <w:rStyle w:val="Strong"/>
                                <w:rFonts w:asciiTheme="minorBidi" w:hAnsiTheme="minorBidi"/>
                                <w:sz w:val="22"/>
                                <w:szCs w:val="22"/>
                              </w:rPr>
                            </w:pPr>
                            <w:r w:rsidRPr="00F032FF">
                              <w:rPr>
                                <w:rStyle w:val="Strong"/>
                                <w:rFonts w:asciiTheme="minorBidi" w:hAnsiTheme="minorBidi"/>
                                <w:sz w:val="22"/>
                                <w:szCs w:val="22"/>
                              </w:rPr>
                              <w:t>DEPENDENT VARIABLE (DV)</w:t>
                            </w:r>
                          </w:p>
                          <w:p w14:paraId="036D8724" w14:textId="77777777" w:rsidR="00E3325F" w:rsidRPr="000473DC" w:rsidRDefault="00E3325F" w:rsidP="00E3325F">
                            <w:pPr>
                              <w:jc w:val="center"/>
                              <w:rPr>
                                <w:rFonts w:asciiTheme="minorBidi" w:hAnsiTheme="minorBid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B6CCC" id="_x0000_t202" coordsize="21600,21600" o:spt="202" path="m,l,21600r21600,l21600,xe">
                <v:stroke joinstyle="miter"/>
                <v:path gradientshapeok="t" o:connecttype="rect"/>
              </v:shapetype>
              <v:shape id="Text Box 746068160" o:spid="_x0000_s1026" type="#_x0000_t202" style="position:absolute;left:0;text-align:left;margin-left:343.5pt;margin-top:4.95pt;width:169.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" fillcolor="white [3201]" strokecolor="black [3213]" strokeweight=".5pt">
                <v:textbox>
                  <w:txbxContent>
                    <w:p w14:paraId="25107537" w14:textId="77777777" w:rsidR="00E3325F" w:rsidRPr="00F032FF" w:rsidRDefault="00E3325F" w:rsidP="00E3325F">
                      <w:pPr>
                        <w:spacing w:after="0"/>
                        <w:jc w:val="center"/>
                        <w:rPr>
                          <w:rStyle w:val="Strong"/>
                          <w:rFonts w:asciiTheme="minorBidi" w:hAnsiTheme="minorBidi"/>
                          <w:sz w:val="22"/>
                          <w:szCs w:val="22"/>
                        </w:rPr>
                      </w:pPr>
                      <w:r w:rsidRPr="00F032FF">
                        <w:rPr>
                          <w:rStyle w:val="Strong"/>
                          <w:rFonts w:asciiTheme="minorBidi" w:hAnsiTheme="minorBidi"/>
                          <w:sz w:val="22"/>
                          <w:szCs w:val="22"/>
                        </w:rPr>
                        <w:t>DEPENDENT VARIABLE (DV)</w:t>
                      </w:r>
                    </w:p>
                    <w:p w14:paraId="036D8724" w14:textId="77777777" w:rsidR="00E3325F" w:rsidRPr="000473DC" w:rsidRDefault="00E3325F" w:rsidP="00E3325F">
                      <w:pPr>
                        <w:jc w:val="center"/>
                        <w:rPr>
                          <w:rFonts w:asciiTheme="minorBidi" w:hAnsiTheme="minorBidi"/>
                          <w:b/>
                          <w:bCs/>
                        </w:rPr>
                      </w:pPr>
                    </w:p>
                  </w:txbxContent>
                </v:textbox>
              </v:shape>
            </w:pict>
          </mc:Fallback>
        </mc:AlternateContent>
      </w:r>
      <w:r>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07ADF8F6" wp14:editId="676C2BA1">
                <wp:simplePos x="0" y="0"/>
                <wp:positionH relativeFrom="column">
                  <wp:posOffset>2390775</wp:posOffset>
                </wp:positionH>
                <wp:positionV relativeFrom="paragraph">
                  <wp:posOffset>62865</wp:posOffset>
                </wp:positionV>
                <wp:extent cx="1885950" cy="342900"/>
                <wp:effectExtent l="0" t="0" r="19050" b="19050"/>
                <wp:wrapNone/>
                <wp:docPr id="115090273" name="Text Box 936964449"/>
                <wp:cNvGraphicFramePr/>
                <a:graphic xmlns:a="http://schemas.openxmlformats.org/drawingml/2006/main">
                  <a:graphicData uri="http://schemas.microsoft.com/office/word/2010/wordprocessingShape">
                    <wps:wsp>
                      <wps:cNvSpPr txBox="1"/>
                      <wps:spPr>
                        <a:xfrm>
                          <a:off x="0" y="0"/>
                          <a:ext cx="1885950" cy="3429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FD742B6" w14:textId="77777777" w:rsidR="00E3325F" w:rsidRPr="000473DC" w:rsidRDefault="00E3325F" w:rsidP="00E3325F">
                            <w:pPr>
                              <w:jc w:val="center"/>
                              <w:rPr>
                                <w:rFonts w:asciiTheme="minorBidi" w:hAnsiTheme="minorBidi"/>
                                <w:sz w:val="22"/>
                                <w:szCs w:val="22"/>
                              </w:rPr>
                            </w:pPr>
                            <w:r w:rsidRPr="000473DC">
                              <w:rPr>
                                <w:rStyle w:val="Strong"/>
                                <w:rFonts w:asciiTheme="minorBidi" w:hAnsiTheme="minorBidi"/>
                                <w:sz w:val="22"/>
                                <w:szCs w:val="22"/>
                              </w:rPr>
                              <w:t>INTERVENING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DF8F6" id="Text Box 936964449" o:spid="_x0000_s1027" type="#_x0000_t202" style="position:absolute;left:0;text-align:left;margin-left:188.25pt;margin-top:4.95pt;width:14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" fillcolor="white [3201]" strokecolor="black [3213]" strokeweight=".5pt">
                <v:textbox>
                  <w:txbxContent>
                    <w:p w14:paraId="2FD742B6" w14:textId="77777777" w:rsidR="00E3325F" w:rsidRPr="000473DC" w:rsidRDefault="00E3325F" w:rsidP="00E3325F">
                      <w:pPr>
                        <w:jc w:val="center"/>
                        <w:rPr>
                          <w:rFonts w:asciiTheme="minorBidi" w:hAnsiTheme="minorBidi"/>
                          <w:sz w:val="22"/>
                          <w:szCs w:val="22"/>
                        </w:rPr>
                      </w:pPr>
                      <w:r w:rsidRPr="000473DC">
                        <w:rPr>
                          <w:rStyle w:val="Strong"/>
                          <w:rFonts w:asciiTheme="minorBidi" w:hAnsiTheme="minorBidi"/>
                          <w:sz w:val="22"/>
                          <w:szCs w:val="22"/>
                        </w:rPr>
                        <w:t>INTERVENING VARIABLE</w:t>
                      </w:r>
                    </w:p>
                  </w:txbxContent>
                </v:textbox>
              </v:shape>
            </w:pict>
          </mc:Fallback>
        </mc:AlternateContent>
      </w:r>
      <w:r>
        <w:rPr>
          <w:rFonts w:ascii="Arial" w:hAnsi="Arial" w:cs="Arial"/>
          <w:b/>
          <w:bCs/>
          <w:noProof/>
          <w:sz w:val="22"/>
          <w:szCs w:val="22"/>
        </w:rPr>
        <mc:AlternateContent>
          <mc:Choice Requires="wps">
            <w:drawing>
              <wp:anchor distT="0" distB="0" distL="114300" distR="114300" simplePos="0" relativeHeight="251654144" behindDoc="0" locked="0" layoutInCell="1" allowOverlap="1" wp14:anchorId="050EB5F2" wp14:editId="02FEA143">
                <wp:simplePos x="0" y="0"/>
                <wp:positionH relativeFrom="column">
                  <wp:posOffset>-66675</wp:posOffset>
                </wp:positionH>
                <wp:positionV relativeFrom="paragraph">
                  <wp:posOffset>62865</wp:posOffset>
                </wp:positionV>
                <wp:extent cx="2343150" cy="342900"/>
                <wp:effectExtent l="0" t="0" r="19050" b="19050"/>
                <wp:wrapNone/>
                <wp:docPr id="1020690245" name="Text Box 1"/>
                <wp:cNvGraphicFramePr/>
                <a:graphic xmlns:a="http://schemas.openxmlformats.org/drawingml/2006/main">
                  <a:graphicData uri="http://schemas.microsoft.com/office/word/2010/wordprocessingShape">
                    <wps:wsp>
                      <wps:cNvSpPr txBox="1"/>
                      <wps:spPr>
                        <a:xfrm>
                          <a:off x="0" y="0"/>
                          <a:ext cx="2343150" cy="342900"/>
                        </a:xfrm>
                        <a:prstGeom prst="rect">
                          <a:avLst/>
                        </a:prstGeom>
                        <a:solidFill>
                          <a:schemeClr val="lt1"/>
                        </a:solidFill>
                        <a:ln w="6350">
                          <a:solidFill>
                            <a:prstClr val="black"/>
                          </a:solidFill>
                        </a:ln>
                      </wps:spPr>
                      <wps:txbx>
                        <w:txbxContent>
                          <w:p w14:paraId="73C0240E" w14:textId="77777777" w:rsidR="00E3325F" w:rsidRPr="000473DC" w:rsidRDefault="00E3325F" w:rsidP="00E3325F">
                            <w:pPr>
                              <w:spacing w:after="0"/>
                              <w:jc w:val="center"/>
                              <w:rPr>
                                <w:rStyle w:val="Strong"/>
                                <w:rFonts w:ascii="Arial" w:hAnsi="Arial" w:cs="Arial"/>
                                <w:sz w:val="22"/>
                                <w:szCs w:val="22"/>
                              </w:rPr>
                            </w:pPr>
                            <w:r w:rsidRPr="000473DC">
                              <w:rPr>
                                <w:rStyle w:val="Strong"/>
                                <w:rFonts w:ascii="Arial" w:hAnsi="Arial" w:cs="Arial"/>
                                <w:sz w:val="22"/>
                                <w:szCs w:val="22"/>
                              </w:rPr>
                              <w:t>INDEPENDENT VARIABLES (IV)</w:t>
                            </w:r>
                          </w:p>
                          <w:p w14:paraId="2D3424AC" w14:textId="77777777" w:rsidR="00E3325F" w:rsidRPr="000473DC" w:rsidRDefault="00E3325F" w:rsidP="00E3325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EB5F2" id="Text Box 1" o:spid="_x0000_s1028" type="#_x0000_t202" style="position:absolute;left:0;text-align:left;margin-left:-5.25pt;margin-top:4.95pt;width:184.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" fillcolor="white [3201]" strokeweight=".5pt">
                <v:textbox>
                  <w:txbxContent>
                    <w:p w14:paraId="73C0240E" w14:textId="77777777" w:rsidR="00E3325F" w:rsidRPr="000473DC" w:rsidRDefault="00E3325F" w:rsidP="00E3325F">
                      <w:pPr>
                        <w:spacing w:after="0"/>
                        <w:jc w:val="center"/>
                        <w:rPr>
                          <w:rStyle w:val="Strong"/>
                          <w:rFonts w:ascii="Arial" w:hAnsi="Arial" w:cs="Arial"/>
                          <w:sz w:val="22"/>
                          <w:szCs w:val="22"/>
                        </w:rPr>
                      </w:pPr>
                      <w:r w:rsidRPr="000473DC">
                        <w:rPr>
                          <w:rStyle w:val="Strong"/>
                          <w:rFonts w:ascii="Arial" w:hAnsi="Arial" w:cs="Arial"/>
                          <w:sz w:val="22"/>
                          <w:szCs w:val="22"/>
                        </w:rPr>
                        <w:t>INDEPENDENT VARIABLES (IV)</w:t>
                      </w:r>
                    </w:p>
                    <w:p w14:paraId="2D3424AC" w14:textId="77777777" w:rsidR="00E3325F" w:rsidRPr="000473DC" w:rsidRDefault="00E3325F" w:rsidP="00E3325F">
                      <w:pPr>
                        <w:rPr>
                          <w:rFonts w:ascii="Arial" w:hAnsi="Arial" w:cs="Arial"/>
                          <w:sz w:val="22"/>
                          <w:szCs w:val="22"/>
                        </w:rPr>
                      </w:pPr>
                    </w:p>
                  </w:txbxContent>
                </v:textbox>
              </v:shape>
            </w:pict>
          </mc:Fallback>
        </mc:AlternateContent>
      </w:r>
    </w:p>
    <w:p w14:paraId="6B7F7B60" w14:textId="01F0C421" w:rsidR="004A103B" w:rsidRPr="000E05FD" w:rsidRDefault="004A103B" w:rsidP="006F633E">
      <w:pPr>
        <w:pStyle w:val="ListParagraph"/>
        <w:tabs>
          <w:tab w:val="left" w:pos="1260"/>
        </w:tabs>
        <w:spacing w:after="200" w:line="276" w:lineRule="auto"/>
        <w:ind w:left="540"/>
        <w:jc w:val="both"/>
        <w:rPr>
          <w:rFonts w:ascii="Arial" w:hAnsi="Arial" w:cs="Arial"/>
          <w:b/>
          <w:bCs/>
          <w:sz w:val="22"/>
          <w:szCs w:val="22"/>
        </w:rPr>
      </w:pPr>
    </w:p>
    <w:p w14:paraId="4BC6FB9A" w14:textId="4D347BC9" w:rsidR="004A103B" w:rsidRPr="000E05FD" w:rsidRDefault="00E05548" w:rsidP="006F633E">
      <w:pPr>
        <w:pStyle w:val="ListParagraph"/>
        <w:tabs>
          <w:tab w:val="left" w:pos="1260"/>
        </w:tabs>
        <w:spacing w:after="200" w:line="276" w:lineRule="auto"/>
        <w:ind w:left="540"/>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3120" behindDoc="0" locked="0" layoutInCell="1" allowOverlap="1" wp14:anchorId="390C1314" wp14:editId="01664C9C">
                <wp:simplePos x="0" y="0"/>
                <wp:positionH relativeFrom="column">
                  <wp:posOffset>-66675</wp:posOffset>
                </wp:positionH>
                <wp:positionV relativeFrom="paragraph">
                  <wp:posOffset>188595</wp:posOffset>
                </wp:positionV>
                <wp:extent cx="2428240" cy="771525"/>
                <wp:effectExtent l="0" t="0" r="10160" b="28575"/>
                <wp:wrapNone/>
                <wp:docPr id="300308884" name="Text Box 1"/>
                <wp:cNvGraphicFramePr/>
                <a:graphic xmlns:a="http://schemas.openxmlformats.org/drawingml/2006/main">
                  <a:graphicData uri="http://schemas.microsoft.com/office/word/2010/wordprocessingShape">
                    <wps:wsp>
                      <wps:cNvSpPr txBox="1"/>
                      <wps:spPr>
                        <a:xfrm>
                          <a:off x="0" y="0"/>
                          <a:ext cx="2428240" cy="771525"/>
                        </a:xfrm>
                        <a:prstGeom prst="rect">
                          <a:avLst/>
                        </a:prstGeom>
                        <a:solidFill>
                          <a:schemeClr val="lt1"/>
                        </a:solidFill>
                        <a:ln w="6350">
                          <a:solidFill>
                            <a:prstClr val="black"/>
                          </a:solidFill>
                        </a:ln>
                      </wps:spPr>
                      <wps:txbx>
                        <w:txbxContent>
                          <w:p w14:paraId="0103DEC5" w14:textId="77777777" w:rsidR="00E3325F" w:rsidRPr="000473DC" w:rsidRDefault="00E3325F" w:rsidP="00E3325F">
                            <w:pPr>
                              <w:spacing w:after="0" w:line="240" w:lineRule="auto"/>
                              <w:rPr>
                                <w:rStyle w:val="Strong"/>
                                <w:rFonts w:asciiTheme="minorBidi" w:hAnsiTheme="minorBidi"/>
                                <w:b w:val="0"/>
                                <w:bCs w:val="0"/>
                                <w:sz w:val="22"/>
                                <w:szCs w:val="22"/>
                              </w:rPr>
                            </w:pPr>
                            <w:r w:rsidRPr="000473DC">
                              <w:rPr>
                                <w:rStyle w:val="Strong"/>
                                <w:rFonts w:asciiTheme="minorBidi" w:hAnsiTheme="minorBidi"/>
                                <w:sz w:val="22"/>
                                <w:szCs w:val="22"/>
                              </w:rPr>
                              <w:t>Perceived Benefits</w:t>
                            </w:r>
                          </w:p>
                          <w:p w14:paraId="0C85D6A7" w14:textId="77777777" w:rsidR="00E3325F" w:rsidRPr="000473DC" w:rsidRDefault="00E3325F" w:rsidP="00E3325F">
                            <w:pPr>
                              <w:pStyle w:val="ListParagraph"/>
                              <w:numPr>
                                <w:ilvl w:val="0"/>
                                <w:numId w:val="8"/>
                              </w:numPr>
                              <w:spacing w:after="0" w:line="240" w:lineRule="auto"/>
                              <w:ind w:left="426" w:hanging="284"/>
                              <w:rPr>
                                <w:rFonts w:asciiTheme="minorBidi" w:hAnsiTheme="minorBidi"/>
                                <w:sz w:val="22"/>
                                <w:szCs w:val="22"/>
                              </w:rPr>
                            </w:pPr>
                            <w:r w:rsidRPr="000473DC">
                              <w:rPr>
                                <w:rFonts w:asciiTheme="minorBidi" w:hAnsiTheme="minorBidi"/>
                                <w:sz w:val="22"/>
                                <w:szCs w:val="22"/>
                              </w:rPr>
                              <w:t>High Expectations</w:t>
                            </w:r>
                          </w:p>
                          <w:p w14:paraId="05888928" w14:textId="77777777" w:rsidR="00E3325F" w:rsidRPr="000473DC" w:rsidRDefault="00E3325F" w:rsidP="00E3325F">
                            <w:pPr>
                              <w:pStyle w:val="ListParagraph"/>
                              <w:numPr>
                                <w:ilvl w:val="0"/>
                                <w:numId w:val="8"/>
                              </w:numPr>
                              <w:spacing w:after="0" w:line="240" w:lineRule="auto"/>
                              <w:ind w:left="426" w:hanging="284"/>
                              <w:rPr>
                                <w:rFonts w:asciiTheme="minorBidi" w:hAnsiTheme="minorBidi"/>
                                <w:sz w:val="22"/>
                                <w:szCs w:val="22"/>
                              </w:rPr>
                            </w:pPr>
                            <w:r w:rsidRPr="000473DC">
                              <w:rPr>
                                <w:rFonts w:asciiTheme="minorBidi" w:hAnsiTheme="minorBidi"/>
                                <w:sz w:val="22"/>
                                <w:szCs w:val="22"/>
                              </w:rPr>
                              <w:t>Overemphasis on Grades</w:t>
                            </w:r>
                          </w:p>
                          <w:p w14:paraId="62028342" w14:textId="77777777" w:rsidR="00E3325F" w:rsidRPr="000473DC" w:rsidRDefault="00E3325F" w:rsidP="00E3325F">
                            <w:pPr>
                              <w:pStyle w:val="ListParagraph"/>
                              <w:numPr>
                                <w:ilvl w:val="0"/>
                                <w:numId w:val="8"/>
                              </w:numPr>
                              <w:spacing w:after="200" w:line="240" w:lineRule="auto"/>
                              <w:ind w:left="426" w:hanging="284"/>
                              <w:rPr>
                                <w:rStyle w:val="Strong"/>
                                <w:rFonts w:asciiTheme="minorBidi" w:hAnsiTheme="minorBidi"/>
                                <w:b w:val="0"/>
                                <w:bCs w:val="0"/>
                                <w:sz w:val="22"/>
                                <w:szCs w:val="22"/>
                              </w:rPr>
                            </w:pPr>
                            <w:r w:rsidRPr="000473DC">
                              <w:rPr>
                                <w:rFonts w:asciiTheme="minorBidi" w:hAnsiTheme="minorBidi"/>
                                <w:sz w:val="22"/>
                                <w:szCs w:val="22"/>
                              </w:rPr>
                              <w:t>Better career opportunities</w:t>
                            </w:r>
                          </w:p>
                          <w:p w14:paraId="070DE3B1" w14:textId="77777777" w:rsidR="00E3325F" w:rsidRPr="006A564E" w:rsidRDefault="00E3325F" w:rsidP="00E3325F">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0C1314" id="_x0000_s1029" type="#_x0000_t202" style="position:absolute;left:0;text-align:left;margin-left:-5.25pt;margin-top:14.85pt;width:191.2pt;height:60.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" fillcolor="white [3201]" strokeweight=".5pt">
                <v:textbox>
                  <w:txbxContent>
                    <w:p w14:paraId="0103DEC5" w14:textId="77777777" w:rsidR="00E3325F" w:rsidRPr="000473DC" w:rsidRDefault="00E3325F" w:rsidP="00E3325F">
                      <w:pPr>
                        <w:spacing w:after="0" w:line="240" w:lineRule="auto"/>
                        <w:rPr>
                          <w:rStyle w:val="Strong"/>
                          <w:rFonts w:asciiTheme="minorBidi" w:hAnsiTheme="minorBidi"/>
                          <w:b w:val="0"/>
                          <w:bCs w:val="0"/>
                          <w:sz w:val="22"/>
                          <w:szCs w:val="22"/>
                        </w:rPr>
                      </w:pPr>
                      <w:r w:rsidRPr="000473DC">
                        <w:rPr>
                          <w:rStyle w:val="Strong"/>
                          <w:rFonts w:asciiTheme="minorBidi" w:hAnsiTheme="minorBidi"/>
                          <w:sz w:val="22"/>
                          <w:szCs w:val="22"/>
                        </w:rPr>
                        <w:t>Perceived Benefits</w:t>
                      </w:r>
                    </w:p>
                    <w:p w14:paraId="0C85D6A7" w14:textId="77777777" w:rsidR="00E3325F" w:rsidRPr="000473DC" w:rsidRDefault="00E3325F" w:rsidP="00E3325F">
                      <w:pPr>
                        <w:pStyle w:val="ListParagraph"/>
                        <w:numPr>
                          <w:ilvl w:val="0"/>
                          <w:numId w:val="8"/>
                        </w:numPr>
                        <w:spacing w:after="0" w:line="240" w:lineRule="auto"/>
                        <w:ind w:left="426" w:hanging="284"/>
                        <w:rPr>
                          <w:rFonts w:asciiTheme="minorBidi" w:hAnsiTheme="minorBidi"/>
                          <w:sz w:val="22"/>
                          <w:szCs w:val="22"/>
                        </w:rPr>
                      </w:pPr>
                      <w:r w:rsidRPr="000473DC">
                        <w:rPr>
                          <w:rFonts w:asciiTheme="minorBidi" w:hAnsiTheme="minorBidi"/>
                          <w:sz w:val="22"/>
                          <w:szCs w:val="22"/>
                        </w:rPr>
                        <w:t>High Expectations</w:t>
                      </w:r>
                    </w:p>
                    <w:p w14:paraId="05888928" w14:textId="77777777" w:rsidR="00E3325F" w:rsidRPr="000473DC" w:rsidRDefault="00E3325F" w:rsidP="00E3325F">
                      <w:pPr>
                        <w:pStyle w:val="ListParagraph"/>
                        <w:numPr>
                          <w:ilvl w:val="0"/>
                          <w:numId w:val="8"/>
                        </w:numPr>
                        <w:spacing w:after="0" w:line="240" w:lineRule="auto"/>
                        <w:ind w:left="426" w:hanging="284"/>
                        <w:rPr>
                          <w:rFonts w:asciiTheme="minorBidi" w:hAnsiTheme="minorBidi"/>
                          <w:sz w:val="22"/>
                          <w:szCs w:val="22"/>
                        </w:rPr>
                      </w:pPr>
                      <w:r w:rsidRPr="000473DC">
                        <w:rPr>
                          <w:rFonts w:asciiTheme="minorBidi" w:hAnsiTheme="minorBidi"/>
                          <w:sz w:val="22"/>
                          <w:szCs w:val="22"/>
                        </w:rPr>
                        <w:t>Overemphasis on Grades</w:t>
                      </w:r>
                    </w:p>
                    <w:p w14:paraId="62028342" w14:textId="77777777" w:rsidR="00E3325F" w:rsidRPr="000473DC" w:rsidRDefault="00E3325F" w:rsidP="00E3325F">
                      <w:pPr>
                        <w:pStyle w:val="ListParagraph"/>
                        <w:numPr>
                          <w:ilvl w:val="0"/>
                          <w:numId w:val="8"/>
                        </w:numPr>
                        <w:spacing w:after="200" w:line="240" w:lineRule="auto"/>
                        <w:ind w:left="426" w:hanging="284"/>
                        <w:rPr>
                          <w:rStyle w:val="Strong"/>
                          <w:rFonts w:asciiTheme="minorBidi" w:hAnsiTheme="minorBidi"/>
                          <w:b w:val="0"/>
                          <w:bCs w:val="0"/>
                          <w:sz w:val="22"/>
                          <w:szCs w:val="22"/>
                        </w:rPr>
                      </w:pPr>
                      <w:r w:rsidRPr="000473DC">
                        <w:rPr>
                          <w:rFonts w:asciiTheme="minorBidi" w:hAnsiTheme="minorBidi"/>
                          <w:sz w:val="22"/>
                          <w:szCs w:val="22"/>
                        </w:rPr>
                        <w:t>Better career opportunities</w:t>
                      </w:r>
                    </w:p>
                    <w:p w14:paraId="070DE3B1" w14:textId="77777777" w:rsidR="00E3325F" w:rsidRPr="006A564E" w:rsidRDefault="00E3325F" w:rsidP="00E3325F">
                      <w:pPr>
                        <w:spacing w:after="0" w:line="240" w:lineRule="auto"/>
                        <w:rPr>
                          <w:sz w:val="20"/>
                          <w:szCs w:val="20"/>
                        </w:rPr>
                      </w:pPr>
                    </w:p>
                  </w:txbxContent>
                </v:textbox>
              </v:shape>
            </w:pict>
          </mc:Fallback>
        </mc:AlternateContent>
      </w:r>
    </w:p>
    <w:p w14:paraId="7951ACC8" w14:textId="7A36CD7C" w:rsidR="004A103B" w:rsidRPr="000E05FD" w:rsidRDefault="00E4583E" w:rsidP="006F633E">
      <w:pPr>
        <w:pStyle w:val="ListParagraph"/>
        <w:tabs>
          <w:tab w:val="left" w:pos="1260"/>
        </w:tabs>
        <w:spacing w:after="200" w:line="276" w:lineRule="auto"/>
        <w:ind w:left="540"/>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2096" behindDoc="0" locked="0" layoutInCell="1" allowOverlap="1" wp14:anchorId="778113F8" wp14:editId="4E410699">
                <wp:simplePos x="0" y="0"/>
                <wp:positionH relativeFrom="column">
                  <wp:posOffset>4762500</wp:posOffset>
                </wp:positionH>
                <wp:positionV relativeFrom="paragraph">
                  <wp:posOffset>114300</wp:posOffset>
                </wp:positionV>
                <wp:extent cx="1578610" cy="522605"/>
                <wp:effectExtent l="0" t="0" r="21590" b="10795"/>
                <wp:wrapNone/>
                <wp:docPr id="637371249" name="Text Box 1298535272"/>
                <wp:cNvGraphicFramePr/>
                <a:graphic xmlns:a="http://schemas.openxmlformats.org/drawingml/2006/main">
                  <a:graphicData uri="http://schemas.microsoft.com/office/word/2010/wordprocessingShape">
                    <wps:wsp>
                      <wps:cNvSpPr txBox="1"/>
                      <wps:spPr>
                        <a:xfrm>
                          <a:off x="0" y="0"/>
                          <a:ext cx="1578610" cy="52260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1C99EE" w14:textId="77777777" w:rsidR="00E3325F" w:rsidRPr="00A86199" w:rsidRDefault="00E3325F" w:rsidP="00E3325F">
                            <w:pPr>
                              <w:rPr>
                                <w:rStyle w:val="Strong"/>
                                <w:rFonts w:asciiTheme="minorBidi" w:hAnsiTheme="minorBidi"/>
                                <w:b w:val="0"/>
                                <w:bCs w:val="0"/>
                                <w:sz w:val="22"/>
                                <w:szCs w:val="22"/>
                              </w:rPr>
                            </w:pPr>
                            <w:bookmarkStart w:id="5" w:name="_Hlk194672742"/>
                            <w:bookmarkStart w:id="6" w:name="_Hlk194672743"/>
                            <w:r w:rsidRPr="00A86199">
                              <w:rPr>
                                <w:rFonts w:asciiTheme="minorBidi" w:hAnsiTheme="minorBidi"/>
                                <w:sz w:val="22"/>
                                <w:szCs w:val="22"/>
                              </w:rPr>
                              <w:t xml:space="preserve">Level of Exams Malpractices in </w:t>
                            </w:r>
                            <w:r w:rsidRPr="00A86199">
                              <w:rPr>
                                <w:rStyle w:val="Strong"/>
                                <w:rFonts w:asciiTheme="minorBidi" w:hAnsiTheme="minorBidi"/>
                                <w:sz w:val="22"/>
                                <w:szCs w:val="22"/>
                              </w:rPr>
                              <w:t>KCSE</w:t>
                            </w:r>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8113F8" id="Text Box 1298535272" o:spid="_x0000_s1030" type="#_x0000_t202" style="position:absolute;left:0;text-align:left;margin-left:375pt;margin-top:9pt;width:124.3pt;height:41.1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" fillcolor="white [3201]" strokecolor="black [3213]" strokeweight=".5pt">
                <v:textbox>
                  <w:txbxContent>
                    <w:p w14:paraId="0D1C99EE" w14:textId="77777777" w:rsidR="00E3325F" w:rsidRPr="00A86199" w:rsidRDefault="00E3325F" w:rsidP="00E3325F">
                      <w:pPr>
                        <w:rPr>
                          <w:rStyle w:val="Strong"/>
                          <w:rFonts w:asciiTheme="minorBidi" w:hAnsiTheme="minorBidi"/>
                          <w:b w:val="0"/>
                          <w:bCs w:val="0"/>
                          <w:sz w:val="22"/>
                          <w:szCs w:val="22"/>
                        </w:rPr>
                      </w:pPr>
                      <w:bookmarkStart w:id="7" w:name="_Hlk194672742"/>
                      <w:bookmarkStart w:id="8" w:name="_Hlk194672743"/>
                      <w:r w:rsidRPr="00A86199">
                        <w:rPr>
                          <w:rFonts w:asciiTheme="minorBidi" w:hAnsiTheme="minorBidi"/>
                          <w:sz w:val="22"/>
                          <w:szCs w:val="22"/>
                        </w:rPr>
                        <w:t xml:space="preserve">Level of Exams Malpractices in </w:t>
                      </w:r>
                      <w:r w:rsidRPr="00A86199">
                        <w:rPr>
                          <w:rStyle w:val="Strong"/>
                          <w:rFonts w:asciiTheme="minorBidi" w:hAnsiTheme="minorBidi"/>
                          <w:sz w:val="22"/>
                          <w:szCs w:val="22"/>
                        </w:rPr>
                        <w:t>KCSE</w:t>
                      </w:r>
                      <w:bookmarkEnd w:id="7"/>
                      <w:bookmarkEnd w:id="8"/>
                    </w:p>
                  </w:txbxContent>
                </v:textbox>
              </v:shape>
            </w:pict>
          </mc:Fallback>
        </mc:AlternateContent>
      </w:r>
      <w:r>
        <w:rPr>
          <w:rFonts w:ascii="Arial" w:hAnsi="Arial" w:cs="Arial"/>
          <w:b/>
          <w:bCs/>
          <w:noProof/>
          <w:sz w:val="22"/>
          <w:szCs w:val="22"/>
        </w:rPr>
        <mc:AlternateContent>
          <mc:Choice Requires="wps">
            <w:drawing>
              <wp:anchor distT="0" distB="0" distL="114300" distR="114300" simplePos="0" relativeHeight="251655168" behindDoc="0" locked="0" layoutInCell="1" allowOverlap="1" wp14:anchorId="3529C004" wp14:editId="237604E3">
                <wp:simplePos x="0" y="0"/>
                <wp:positionH relativeFrom="column">
                  <wp:posOffset>2609850</wp:posOffset>
                </wp:positionH>
                <wp:positionV relativeFrom="paragraph">
                  <wp:posOffset>123190</wp:posOffset>
                </wp:positionV>
                <wp:extent cx="1732915" cy="522605"/>
                <wp:effectExtent l="0" t="0" r="19685" b="10795"/>
                <wp:wrapNone/>
                <wp:docPr id="817646048" name="Text Box 571007731"/>
                <wp:cNvGraphicFramePr/>
                <a:graphic xmlns:a="http://schemas.openxmlformats.org/drawingml/2006/main">
                  <a:graphicData uri="http://schemas.microsoft.com/office/word/2010/wordprocessingShape">
                    <wps:wsp>
                      <wps:cNvSpPr txBox="1"/>
                      <wps:spPr>
                        <a:xfrm>
                          <a:off x="0" y="0"/>
                          <a:ext cx="1732915" cy="52260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BD02C8D" w14:textId="77777777" w:rsidR="00E3325F" w:rsidRPr="00A86199" w:rsidRDefault="00E3325F" w:rsidP="00E3325F">
                            <w:pPr>
                              <w:pStyle w:val="ListParagraph"/>
                              <w:numPr>
                                <w:ilvl w:val="0"/>
                                <w:numId w:val="11"/>
                              </w:numPr>
                              <w:tabs>
                                <w:tab w:val="left" w:pos="180"/>
                              </w:tabs>
                              <w:spacing w:after="200" w:line="276" w:lineRule="auto"/>
                              <w:ind w:hanging="900"/>
                              <w:rPr>
                                <w:rStyle w:val="Strong"/>
                                <w:rFonts w:asciiTheme="minorBidi" w:hAnsiTheme="minorBidi"/>
                                <w:b w:val="0"/>
                                <w:bCs w:val="0"/>
                                <w:sz w:val="22"/>
                                <w:szCs w:val="22"/>
                              </w:rPr>
                            </w:pPr>
                            <w:r w:rsidRPr="00A86199">
                              <w:rPr>
                                <w:rStyle w:val="Strong"/>
                                <w:rFonts w:asciiTheme="minorBidi" w:hAnsiTheme="minorBidi"/>
                                <w:sz w:val="22"/>
                                <w:szCs w:val="22"/>
                              </w:rPr>
                              <w:t>Insecurity</w:t>
                            </w:r>
                          </w:p>
                          <w:p w14:paraId="4C49E6BA" w14:textId="77777777" w:rsidR="00E3325F" w:rsidRPr="00A86199" w:rsidRDefault="00E3325F" w:rsidP="00E3325F">
                            <w:pPr>
                              <w:pStyle w:val="ListParagraph"/>
                              <w:numPr>
                                <w:ilvl w:val="0"/>
                                <w:numId w:val="11"/>
                              </w:numPr>
                              <w:tabs>
                                <w:tab w:val="left" w:pos="180"/>
                                <w:tab w:val="left" w:pos="990"/>
                              </w:tabs>
                              <w:spacing w:after="200" w:line="276" w:lineRule="auto"/>
                              <w:ind w:hanging="900"/>
                              <w:rPr>
                                <w:rStyle w:val="Strong"/>
                                <w:rFonts w:asciiTheme="minorBidi" w:hAnsiTheme="minorBidi"/>
                                <w:b w:val="0"/>
                                <w:bCs w:val="0"/>
                                <w:sz w:val="22"/>
                                <w:szCs w:val="22"/>
                              </w:rPr>
                            </w:pPr>
                            <w:r w:rsidRPr="00A86199">
                              <w:rPr>
                                <w:rStyle w:val="Strong"/>
                                <w:rFonts w:asciiTheme="minorBidi" w:hAnsiTheme="minorBidi"/>
                                <w:sz w:val="22"/>
                                <w:szCs w:val="22"/>
                              </w:rPr>
                              <w:t>Dishonest Officials</w:t>
                            </w:r>
                          </w:p>
                          <w:p w14:paraId="4A254EAD" w14:textId="77777777" w:rsidR="00E3325F" w:rsidRPr="009B7733" w:rsidRDefault="00E3325F" w:rsidP="00E3325F">
                            <w:pPr>
                              <w:tabs>
                                <w:tab w:val="left" w:pos="180"/>
                              </w:tabs>
                              <w:rPr>
                                <w:rStyle w:val="Strong"/>
                                <w:rFonts w:asciiTheme="majorBidi" w:hAnsiTheme="majorBidi"/>
                                <w:b w:val="0"/>
                                <w:b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9C004" id="Text Box 571007731" o:spid="_x0000_s1031" type="#_x0000_t202" style="position:absolute;left:0;text-align:left;margin-left:205.5pt;margin-top:9.7pt;width:136.45pt;height:41.1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" fillcolor="white [3201]" strokecolor="black [3213]" strokeweight=".5pt">
                <v:textbox>
                  <w:txbxContent>
                    <w:p w14:paraId="0BD02C8D" w14:textId="77777777" w:rsidR="00E3325F" w:rsidRPr="00A86199" w:rsidRDefault="00E3325F" w:rsidP="00E3325F">
                      <w:pPr>
                        <w:pStyle w:val="ListParagraph"/>
                        <w:numPr>
                          <w:ilvl w:val="0"/>
                          <w:numId w:val="11"/>
                        </w:numPr>
                        <w:tabs>
                          <w:tab w:val="left" w:pos="180"/>
                        </w:tabs>
                        <w:spacing w:after="200" w:line="276" w:lineRule="auto"/>
                        <w:ind w:hanging="900"/>
                        <w:rPr>
                          <w:rStyle w:val="Strong"/>
                          <w:rFonts w:asciiTheme="minorBidi" w:hAnsiTheme="minorBidi"/>
                          <w:b w:val="0"/>
                          <w:bCs w:val="0"/>
                          <w:sz w:val="22"/>
                          <w:szCs w:val="22"/>
                        </w:rPr>
                      </w:pPr>
                      <w:r w:rsidRPr="00A86199">
                        <w:rPr>
                          <w:rStyle w:val="Strong"/>
                          <w:rFonts w:asciiTheme="minorBidi" w:hAnsiTheme="minorBidi"/>
                          <w:sz w:val="22"/>
                          <w:szCs w:val="22"/>
                        </w:rPr>
                        <w:t>Insecurity</w:t>
                      </w:r>
                    </w:p>
                    <w:p w14:paraId="4C49E6BA" w14:textId="77777777" w:rsidR="00E3325F" w:rsidRPr="00A86199" w:rsidRDefault="00E3325F" w:rsidP="00E3325F">
                      <w:pPr>
                        <w:pStyle w:val="ListParagraph"/>
                        <w:numPr>
                          <w:ilvl w:val="0"/>
                          <w:numId w:val="11"/>
                        </w:numPr>
                        <w:tabs>
                          <w:tab w:val="left" w:pos="180"/>
                          <w:tab w:val="left" w:pos="990"/>
                        </w:tabs>
                        <w:spacing w:after="200" w:line="276" w:lineRule="auto"/>
                        <w:ind w:hanging="900"/>
                        <w:rPr>
                          <w:rStyle w:val="Strong"/>
                          <w:rFonts w:asciiTheme="minorBidi" w:hAnsiTheme="minorBidi"/>
                          <w:b w:val="0"/>
                          <w:bCs w:val="0"/>
                          <w:sz w:val="22"/>
                          <w:szCs w:val="22"/>
                        </w:rPr>
                      </w:pPr>
                      <w:r w:rsidRPr="00A86199">
                        <w:rPr>
                          <w:rStyle w:val="Strong"/>
                          <w:rFonts w:asciiTheme="minorBidi" w:hAnsiTheme="minorBidi"/>
                          <w:sz w:val="22"/>
                          <w:szCs w:val="22"/>
                        </w:rPr>
                        <w:t>Dishonest Officials</w:t>
                      </w:r>
                    </w:p>
                    <w:p w14:paraId="4A254EAD" w14:textId="77777777" w:rsidR="00E3325F" w:rsidRPr="009B7733" w:rsidRDefault="00E3325F" w:rsidP="00E3325F">
                      <w:pPr>
                        <w:tabs>
                          <w:tab w:val="left" w:pos="180"/>
                        </w:tabs>
                        <w:rPr>
                          <w:rStyle w:val="Strong"/>
                          <w:rFonts w:asciiTheme="majorBidi" w:hAnsiTheme="majorBidi"/>
                          <w:b w:val="0"/>
                          <w:bCs w:val="0"/>
                        </w:rPr>
                      </w:pPr>
                    </w:p>
                  </w:txbxContent>
                </v:textbox>
              </v:shape>
            </w:pict>
          </mc:Fallback>
        </mc:AlternateContent>
      </w:r>
    </w:p>
    <w:p w14:paraId="3A6B5C78" w14:textId="4E39B604" w:rsidR="004A103B" w:rsidRPr="000E05FD" w:rsidRDefault="004532DB" w:rsidP="006F633E">
      <w:pPr>
        <w:pStyle w:val="ListParagraph"/>
        <w:tabs>
          <w:tab w:val="left" w:pos="1260"/>
        </w:tabs>
        <w:spacing w:after="200" w:line="276" w:lineRule="auto"/>
        <w:ind w:left="540"/>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7216" behindDoc="0" locked="0" layoutInCell="1" allowOverlap="1" wp14:anchorId="4EA527D6" wp14:editId="7D4FFDE8">
                <wp:simplePos x="0" y="0"/>
                <wp:positionH relativeFrom="column">
                  <wp:posOffset>4343400</wp:posOffset>
                </wp:positionH>
                <wp:positionV relativeFrom="paragraph">
                  <wp:posOffset>167640</wp:posOffset>
                </wp:positionV>
                <wp:extent cx="419100" cy="8255"/>
                <wp:effectExtent l="0" t="57150" r="38100" b="86995"/>
                <wp:wrapNone/>
                <wp:docPr id="1748506581" name="Straight Arrow Connector 6"/>
                <wp:cNvGraphicFramePr/>
                <a:graphic xmlns:a="http://schemas.openxmlformats.org/drawingml/2006/main">
                  <a:graphicData uri="http://schemas.microsoft.com/office/word/2010/wordprocessingShape">
                    <wps:wsp>
                      <wps:cNvCnPr/>
                      <wps:spPr>
                        <a:xfrm>
                          <a:off x="0" y="0"/>
                          <a:ext cx="419100" cy="82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277E5F" id="_x0000_t32" coordsize="21600,21600" o:spt="32" o:oned="t" path="m,l21600,21600e" filled="f">
                <v:path arrowok="t" fillok="f" o:connecttype="none"/>
                <o:lock v:ext="edit" shapetype="t"/>
              </v:shapetype>
              <v:shape id="Straight Arrow Connector 6" o:spid="_x0000_s1026" type="#_x0000_t32" style="position:absolute;margin-left:342pt;margin-top:13.2pt;width:33pt;height:.6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" strokecolor="black [3213]" strokeweight="1pt">
                <v:stroke endarrow="block" joinstyle="miter"/>
              </v:shape>
            </w:pict>
          </mc:Fallback>
        </mc:AlternateContent>
      </w:r>
    </w:p>
    <w:p w14:paraId="4A5D5C94" w14:textId="2ECAF7AE" w:rsidR="004A103B" w:rsidRPr="000E05FD" w:rsidRDefault="004532DB" w:rsidP="006F633E">
      <w:pPr>
        <w:pStyle w:val="ListParagraph"/>
        <w:tabs>
          <w:tab w:val="left" w:pos="1260"/>
        </w:tabs>
        <w:spacing w:after="200" w:line="276" w:lineRule="auto"/>
        <w:ind w:left="540"/>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4365D551" wp14:editId="4878AD61">
                <wp:simplePos x="0" y="0"/>
                <wp:positionH relativeFrom="column">
                  <wp:posOffset>2362200</wp:posOffset>
                </wp:positionH>
                <wp:positionV relativeFrom="paragraph">
                  <wp:posOffset>40005</wp:posOffset>
                </wp:positionV>
                <wp:extent cx="238125" cy="8890"/>
                <wp:effectExtent l="0" t="57150" r="28575" b="86360"/>
                <wp:wrapNone/>
                <wp:docPr id="669164692" name="Straight Arrow Connector 21"/>
                <wp:cNvGraphicFramePr/>
                <a:graphic xmlns:a="http://schemas.openxmlformats.org/drawingml/2006/main">
                  <a:graphicData uri="http://schemas.microsoft.com/office/word/2010/wordprocessingShape">
                    <wps:wsp>
                      <wps:cNvCnPr/>
                      <wps:spPr>
                        <a:xfrm>
                          <a:off x="0" y="0"/>
                          <a:ext cx="238125" cy="88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2484D9" id="Straight Arrow Connector 21" o:spid="_x0000_s1026" type="#_x0000_t32" style="position:absolute;margin-left:186pt;margin-top:3.15pt;width:18.75pt;height:.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" strokecolor="black [3213]" strokeweight=".5pt">
                <v:stroke endarrow="block" joinstyle="miter"/>
              </v:shape>
            </w:pict>
          </mc:Fallback>
        </mc:AlternateContent>
      </w:r>
    </w:p>
    <w:p w14:paraId="1F37A670" w14:textId="3B8C8A74" w:rsidR="004A103B" w:rsidRPr="000E05FD" w:rsidRDefault="00E4583E" w:rsidP="006F633E">
      <w:pPr>
        <w:pStyle w:val="ListParagraph"/>
        <w:tabs>
          <w:tab w:val="left" w:pos="1260"/>
        </w:tabs>
        <w:spacing w:after="200" w:line="276" w:lineRule="auto"/>
        <w:ind w:left="540"/>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6A09D31F" wp14:editId="6B2DEBC2">
                <wp:simplePos x="0" y="0"/>
                <wp:positionH relativeFrom="column">
                  <wp:posOffset>1314450</wp:posOffset>
                </wp:positionH>
                <wp:positionV relativeFrom="paragraph">
                  <wp:posOffset>86360</wp:posOffset>
                </wp:positionV>
                <wp:extent cx="4381500" cy="307340"/>
                <wp:effectExtent l="0" t="38100" r="76200" b="35560"/>
                <wp:wrapNone/>
                <wp:docPr id="1491972485" name="Connector: Elbow 22"/>
                <wp:cNvGraphicFramePr/>
                <a:graphic xmlns:a="http://schemas.openxmlformats.org/drawingml/2006/main">
                  <a:graphicData uri="http://schemas.microsoft.com/office/word/2010/wordprocessingShape">
                    <wps:wsp>
                      <wps:cNvCnPr/>
                      <wps:spPr>
                        <a:xfrm flipV="1">
                          <a:off x="0" y="0"/>
                          <a:ext cx="4381500" cy="30734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43150B" id="_x0000_t33" coordsize="21600,21600" o:spt="33" o:oned="t" path="m,l21600,r,21600e" filled="f">
                <v:stroke joinstyle="miter"/>
                <v:path arrowok="t" fillok="f" o:connecttype="none"/>
                <o:lock v:ext="edit" shapetype="t"/>
              </v:shapetype>
              <v:shape id="Connector: Elbow 22" o:spid="_x0000_s1026" type="#_x0000_t33" style="position:absolute;margin-left:103.5pt;margin-top:6.8pt;width:345pt;height:24.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" strokecolor="black [3213]" strokeweight=".5pt">
                <v:stroke endarrow="block"/>
              </v:shape>
            </w:pict>
          </mc:Fallback>
        </mc:AlternateContent>
      </w:r>
    </w:p>
    <w:p w14:paraId="76886A6C" w14:textId="77777777" w:rsidR="00E3484E" w:rsidRDefault="00E4583E" w:rsidP="006F633E">
      <w:pPr>
        <w:pStyle w:val="ListParagraph"/>
        <w:tabs>
          <w:tab w:val="left" w:pos="1260"/>
        </w:tabs>
        <w:spacing w:after="200" w:line="276" w:lineRule="auto"/>
        <w:ind w:left="540"/>
        <w:jc w:val="both"/>
        <w:rPr>
          <w:rStyle w:val="Strong"/>
          <w:rFonts w:ascii="Arial" w:hAnsi="Arial" w:cs="Arial"/>
          <w:b w:val="0"/>
          <w:bCs w:val="0"/>
          <w:i/>
          <w:iCs/>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15BF7A65" wp14:editId="305F1571">
                <wp:simplePos x="0" y="0"/>
                <wp:positionH relativeFrom="column">
                  <wp:posOffset>1314450</wp:posOffset>
                </wp:positionH>
                <wp:positionV relativeFrom="paragraph">
                  <wp:posOffset>43180</wp:posOffset>
                </wp:positionV>
                <wp:extent cx="0" cy="161925"/>
                <wp:effectExtent l="0" t="0" r="38100" b="28575"/>
                <wp:wrapNone/>
                <wp:docPr id="215701048" name="Straight Connector 1"/>
                <wp:cNvGraphicFramePr/>
                <a:graphic xmlns:a="http://schemas.openxmlformats.org/drawingml/2006/main">
                  <a:graphicData uri="http://schemas.microsoft.com/office/word/2010/wordprocessingShape">
                    <wps:wsp>
                      <wps:cNvCnPr/>
                      <wps:spPr>
                        <a:xfrm>
                          <a:off x="0" y="0"/>
                          <a:ext cx="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986ADD"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5pt,3.4pt" to="10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" strokecolor="black [3213]" strokeweight=".5pt">
                <v:stroke joinstyle="miter"/>
              </v:line>
            </w:pict>
          </mc:Fallback>
        </mc:AlternateContent>
      </w:r>
    </w:p>
    <w:p w14:paraId="0AD69D3B" w14:textId="6229BEC5" w:rsidR="004A103B" w:rsidRPr="00E3484E" w:rsidRDefault="00FF3495" w:rsidP="006F633E">
      <w:pPr>
        <w:tabs>
          <w:tab w:val="left" w:pos="1260"/>
        </w:tabs>
        <w:spacing w:after="200" w:line="276" w:lineRule="auto"/>
        <w:jc w:val="both"/>
        <w:rPr>
          <w:rFonts w:ascii="Arial" w:hAnsi="Arial" w:cs="Arial"/>
          <w:sz w:val="22"/>
          <w:szCs w:val="22"/>
        </w:rPr>
      </w:pPr>
      <w:r w:rsidRPr="00E3484E">
        <w:rPr>
          <w:rStyle w:val="Strong"/>
          <w:rFonts w:ascii="Arial" w:hAnsi="Arial" w:cs="Arial"/>
          <w:b w:val="0"/>
          <w:bCs w:val="0"/>
          <w:i/>
          <w:iCs/>
          <w:sz w:val="22"/>
          <w:szCs w:val="22"/>
        </w:rPr>
        <w:t>Figure 1</w:t>
      </w:r>
      <w:r w:rsidRPr="00E3484E">
        <w:rPr>
          <w:rStyle w:val="Strong"/>
          <w:rFonts w:ascii="Arial" w:hAnsi="Arial" w:cs="Arial"/>
          <w:b w:val="0"/>
          <w:bCs w:val="0"/>
          <w:sz w:val="22"/>
          <w:szCs w:val="22"/>
        </w:rPr>
        <w:t>: Conceptual framework</w:t>
      </w:r>
    </w:p>
    <w:p w14:paraId="10492BDE" w14:textId="77777777" w:rsidR="00FF3495" w:rsidRPr="000E05FD" w:rsidRDefault="004A711D" w:rsidP="006F633E">
      <w:pPr>
        <w:spacing w:line="276" w:lineRule="auto"/>
        <w:jc w:val="both"/>
        <w:rPr>
          <w:rFonts w:ascii="Arial" w:hAnsi="Arial" w:cs="Arial"/>
          <w:sz w:val="22"/>
          <w:szCs w:val="22"/>
        </w:rPr>
      </w:pPr>
      <w:r w:rsidRPr="000E05FD">
        <w:rPr>
          <w:rFonts w:ascii="Arial" w:hAnsi="Arial" w:cs="Arial"/>
          <w:sz w:val="22"/>
          <w:szCs w:val="22"/>
        </w:rPr>
        <w:t>The Conceptual framework was aimed to provide a visual representation of how various factors influence academic integrity and examination malpractices in the study area. The determinants of academic integrity and examination malpractices are complex and multifaceted. High Expectations</w:t>
      </w:r>
      <w:r w:rsidRPr="000E05FD">
        <w:rPr>
          <w:rFonts w:ascii="Arial" w:hAnsi="Arial" w:cs="Arial"/>
          <w:b/>
          <w:bCs/>
          <w:sz w:val="22"/>
          <w:szCs w:val="22"/>
        </w:rPr>
        <w:t xml:space="preserve"> </w:t>
      </w:r>
      <w:r w:rsidRPr="000E05FD">
        <w:rPr>
          <w:rFonts w:ascii="Arial" w:hAnsi="Arial" w:cs="Arial"/>
          <w:sz w:val="22"/>
          <w:szCs w:val="22"/>
        </w:rPr>
        <w:t>that put</w:t>
      </w:r>
      <w:r w:rsidRPr="000E05FD">
        <w:rPr>
          <w:rFonts w:ascii="Arial" w:hAnsi="Arial" w:cs="Arial"/>
          <w:b/>
          <w:bCs/>
          <w:sz w:val="22"/>
          <w:szCs w:val="22"/>
        </w:rPr>
        <w:t xml:space="preserve"> </w:t>
      </w:r>
      <w:r w:rsidRPr="000E05FD">
        <w:rPr>
          <w:rFonts w:ascii="Arial" w:hAnsi="Arial" w:cs="Arial"/>
          <w:sz w:val="22"/>
          <w:szCs w:val="22"/>
        </w:rPr>
        <w:t xml:space="preserve">Intense pressure from parents, peers, or educational systems to perform </w:t>
      </w:r>
      <w:r w:rsidRPr="000E05FD">
        <w:rPr>
          <w:rFonts w:ascii="Arial" w:hAnsi="Arial" w:cs="Arial"/>
          <w:sz w:val="22"/>
          <w:szCs w:val="22"/>
        </w:rPr>
        <w:lastRenderedPageBreak/>
        <w:t>well can lead students to engage in malpractices as a way to meet those expectations. The fear of failure can be a powerful motivator for dishonest behavior. If academic success is solely defined by grades rather than learning or personal growth, students may be more likely to resort to malpractices to achieve high marks. The perception of better career opportunities can lead students to see honesty as a way to prepare for ethical careers. Students’ perception of how academic integrity affects employability and future career success is a good indicator.</w:t>
      </w:r>
      <w:r w:rsidR="00FF3495" w:rsidRPr="000E05FD">
        <w:rPr>
          <w:rFonts w:ascii="Arial" w:hAnsi="Arial" w:cs="Arial"/>
          <w:sz w:val="22"/>
          <w:szCs w:val="22"/>
        </w:rPr>
        <w:t xml:space="preserve"> </w:t>
      </w:r>
    </w:p>
    <w:p w14:paraId="047D055C" w14:textId="5642E874" w:rsidR="00E57FEF" w:rsidRPr="000E05FD" w:rsidRDefault="00FF3495" w:rsidP="006F633E">
      <w:pPr>
        <w:spacing w:line="276" w:lineRule="auto"/>
        <w:jc w:val="both"/>
        <w:rPr>
          <w:rFonts w:ascii="Arial" w:hAnsi="Arial" w:cs="Arial"/>
          <w:sz w:val="22"/>
          <w:szCs w:val="22"/>
        </w:rPr>
      </w:pPr>
      <w:r w:rsidRPr="000E05FD">
        <w:rPr>
          <w:rFonts w:ascii="Arial" w:hAnsi="Arial" w:cs="Arial"/>
          <w:sz w:val="22"/>
          <w:szCs w:val="22"/>
        </w:rPr>
        <w:t xml:space="preserve">Some principals visit the Sub-County Directors of Education with proposals on their desired supervisors.  Some schools levy motivational fees on parents to pay examiners, bribe invigilators, security officers, supervisors, </w:t>
      </w:r>
      <w:proofErr w:type="spellStart"/>
      <w:r w:rsidRPr="000E05FD">
        <w:rPr>
          <w:rFonts w:ascii="Arial" w:hAnsi="Arial" w:cs="Arial"/>
          <w:sz w:val="22"/>
          <w:szCs w:val="22"/>
        </w:rPr>
        <w:t>MoE</w:t>
      </w:r>
      <w:proofErr w:type="spellEnd"/>
      <w:r w:rsidRPr="000E05FD">
        <w:rPr>
          <w:rFonts w:ascii="Arial" w:hAnsi="Arial" w:cs="Arial"/>
          <w:sz w:val="22"/>
          <w:szCs w:val="22"/>
        </w:rPr>
        <w:t xml:space="preserve"> and KNEC officials (Newsbyte 2022). The insecurity has hit the education sector hard since 2018, when Al-Shabaab began attacking schools and killing teachers (Crisis Group Africa Briefing, 2020). The claim of insecurity that the insurgent group will attack the KNEC monitors if they go to the interior schools eased the exam malpractices to intensify.</w:t>
      </w:r>
    </w:p>
    <w:p w14:paraId="7C382EAB" w14:textId="6C969862" w:rsidR="00F50EE5" w:rsidRPr="000E05FD" w:rsidRDefault="00A71DE9" w:rsidP="006F633E">
      <w:pPr>
        <w:pStyle w:val="ListParagraph"/>
        <w:numPr>
          <w:ilvl w:val="0"/>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t>LITERATURE REVIEW</w:t>
      </w:r>
    </w:p>
    <w:p w14:paraId="16CB3DF8" w14:textId="77C20F76" w:rsidR="001957A6" w:rsidRPr="000E05FD" w:rsidRDefault="001957A6" w:rsidP="006F633E">
      <w:pPr>
        <w:spacing w:after="200" w:line="276" w:lineRule="auto"/>
        <w:jc w:val="both"/>
        <w:rPr>
          <w:rFonts w:ascii="Arial" w:hAnsi="Arial" w:cs="Arial"/>
          <w:sz w:val="22"/>
          <w:szCs w:val="22"/>
        </w:rPr>
      </w:pPr>
      <w:r w:rsidRPr="000E05FD">
        <w:rPr>
          <w:rFonts w:ascii="Arial" w:hAnsi="Arial" w:cs="Arial"/>
          <w:sz w:val="22"/>
          <w:szCs w:val="22"/>
        </w:rPr>
        <w:t>Perceived benefits and the factors that correlate with academic integrity and examination malpractices are essential components of students' decisions regarding academic honesty. Understanding the motivations and determinants of academic integrity and examination malpractices is crucial to promoting ethical behavior in secondary schools in Garissa Township Sub County. This literature review explores the existing research on the perceived benefits and correlates of academic integrity and examination malpractices within this specific context. A significant perceived benefit of academic integrity and examination malpractices is the belief that honest academic performance will lead to future success and opportunities. Some students perceive the maintenance of personal integrity and adherence to ethical values as a benefit in itself. They place intrinsic importance on behaving honestly during examinations, viewing it as a matter of personal pride and character (Ford, 2018). The belief in fair competition is a significant driver of examination integrity. Students who value a level playing field perceive the benefits of maintaining fairness in examinations. They may see cheating as unjust and detrimental to the academic community (Leming et al., 2017).</w:t>
      </w:r>
    </w:p>
    <w:p w14:paraId="0E150F90" w14:textId="0546ED2B" w:rsidR="001957A6" w:rsidRPr="000E05FD" w:rsidRDefault="001957A6" w:rsidP="006F633E">
      <w:pPr>
        <w:spacing w:after="200" w:line="276" w:lineRule="auto"/>
        <w:jc w:val="both"/>
        <w:rPr>
          <w:rFonts w:ascii="Arial" w:hAnsi="Arial" w:cs="Arial"/>
          <w:sz w:val="22"/>
          <w:szCs w:val="22"/>
        </w:rPr>
      </w:pPr>
      <w:r w:rsidRPr="000E05FD">
        <w:rPr>
          <w:rFonts w:ascii="Arial" w:hAnsi="Arial" w:cs="Arial"/>
          <w:sz w:val="22"/>
          <w:szCs w:val="22"/>
        </w:rPr>
        <w:t>Perceived negative consequences such as academic penalties, damage to reputation, and legal repercussions act as a deterrent to academic dishonesty. Students who fear these consequences are more likely to maintain academic integrity and examination malpractices (Lupton et al., 2018). Students' decisions regarding academic integrity and examination malpractices can be influenced by their peers and social networks. Expectations from parents and educational institutions can significantly influence students' perceived benefits of maintaining examination integrity. Students who perceive that their parents and schools value honesty and integrity are more likely to prioritize ethical behavior (Hamid &amp; Siti, 2018).</w:t>
      </w:r>
    </w:p>
    <w:p w14:paraId="5C202263" w14:textId="77777777" w:rsidR="001957A6" w:rsidRPr="000E05FD" w:rsidRDefault="001957A6" w:rsidP="006F633E">
      <w:pPr>
        <w:spacing w:after="200" w:line="276" w:lineRule="auto"/>
        <w:jc w:val="both"/>
        <w:rPr>
          <w:rFonts w:ascii="Arial" w:hAnsi="Arial" w:cs="Arial"/>
          <w:sz w:val="22"/>
          <w:szCs w:val="22"/>
        </w:rPr>
      </w:pPr>
      <w:r w:rsidRPr="000E05FD">
        <w:rPr>
          <w:rFonts w:ascii="Arial" w:hAnsi="Arial" w:cs="Arial"/>
          <w:sz w:val="22"/>
          <w:szCs w:val="22"/>
        </w:rPr>
        <w:t xml:space="preserve">In the context of national examinations, Jones et al. (2015) observed that candidates might view cheating as a means to secure admission to prestigious educational institutions or secure scholarships. Additionally, the perception that academic success directly translates to future career opportunities further motivates candidates to consider academic dishonesty as a viable strategy. Ma et al. (2019) emphasized that candidates' belief in the lack of detection or </w:t>
      </w:r>
      <w:r w:rsidRPr="000E05FD">
        <w:rPr>
          <w:rFonts w:ascii="Arial" w:hAnsi="Arial" w:cs="Arial"/>
          <w:sz w:val="22"/>
          <w:szCs w:val="22"/>
        </w:rPr>
        <w:lastRenderedPageBreak/>
        <w:t>consequences can amplify the perceived benefits of engaging in dishonest behavior. Perceived benefits might play a crucial role in determining students' choices regarding academic integrity and examination malpractices in secondary schools in Garissa Township Sub County. By understanding the motivations and factors that influence students, educators and policymakers can develop strategies to promote ethical behavior during examinations. Emphasizing the long-term benefits of academic honesty, fair competition, and personal integrity can help create a culture of academic integrity and examination malpractices in the region.</w:t>
      </w:r>
    </w:p>
    <w:p w14:paraId="57D404C8" w14:textId="226B7507" w:rsidR="001957A6" w:rsidRPr="000E05FD" w:rsidRDefault="001957A6" w:rsidP="006F633E">
      <w:pPr>
        <w:spacing w:after="200" w:line="276" w:lineRule="auto"/>
        <w:jc w:val="both"/>
        <w:rPr>
          <w:rFonts w:ascii="Arial" w:hAnsi="Arial" w:cs="Arial"/>
          <w:sz w:val="22"/>
          <w:szCs w:val="22"/>
        </w:rPr>
      </w:pPr>
      <w:r w:rsidRPr="000E05FD">
        <w:rPr>
          <w:rFonts w:ascii="Arial" w:hAnsi="Arial" w:cs="Arial"/>
          <w:sz w:val="22"/>
          <w:szCs w:val="22"/>
        </w:rPr>
        <w:t xml:space="preserve">Another term that is synonymous with perceived benefits is perceived opportunity Perceived opportunity is intertwined with fraud which was explained by Romney and </w:t>
      </w:r>
      <w:proofErr w:type="spellStart"/>
      <w:r w:rsidRPr="000E05FD">
        <w:rPr>
          <w:rFonts w:ascii="Arial" w:hAnsi="Arial" w:cs="Arial"/>
          <w:sz w:val="22"/>
          <w:szCs w:val="22"/>
        </w:rPr>
        <w:t>Steinbart</w:t>
      </w:r>
      <w:proofErr w:type="spellEnd"/>
      <w:r w:rsidRPr="000E05FD">
        <w:rPr>
          <w:rFonts w:ascii="Arial" w:hAnsi="Arial" w:cs="Arial"/>
          <w:sz w:val="22"/>
          <w:szCs w:val="22"/>
        </w:rPr>
        <w:t xml:space="preserve"> (2013) to refer to an individual getting advantage over the others through unscrupulous means such cheating, cunning others or even playing tricks on them. He further explains that for a fraud to be committed, three variables are at play which includes perceived pressure, rationalization and perceived opportunity. Perceived opportunity plays the biggest part since even if there is maximum pressure for an individual to commit a fraud, which could only happen if the opportunity presents itself (Daro, 2021). </w:t>
      </w:r>
    </w:p>
    <w:p w14:paraId="50D19EF1" w14:textId="41F35E45" w:rsidR="001957A6" w:rsidRPr="000E05FD" w:rsidRDefault="001957A6" w:rsidP="006F633E">
      <w:pPr>
        <w:spacing w:after="200" w:line="276" w:lineRule="auto"/>
        <w:jc w:val="both"/>
        <w:rPr>
          <w:rFonts w:ascii="Arial" w:hAnsi="Arial" w:cs="Arial"/>
          <w:sz w:val="22"/>
          <w:szCs w:val="22"/>
        </w:rPr>
      </w:pPr>
      <w:r w:rsidRPr="000E05FD">
        <w:rPr>
          <w:rFonts w:ascii="Arial" w:hAnsi="Arial" w:cs="Arial"/>
          <w:sz w:val="22"/>
          <w:szCs w:val="22"/>
        </w:rPr>
        <w:t xml:space="preserve">Students engage in examination malpractices in secondary schools, they are committing a fraud since they may be getting an advantages over the others in attaining good grades in an unfair means as explained by Wells (2005) such students would have gotten good grades through unfair means yet they were subjected through the same examination system and end up in better places in terms of getting good jobs, yet it is a practice that is happening right before our eyes wherever a national examination is conducted in Kenya (Daro, 2021). A person may be under a pressure to commit a fraud such as engaging in deviant behavior like engaging in the examination malpractice but that would only be possible if an opportunity presents itself explains Fisher (2015) such an opportunity presents itself in most cases due to the weaknesses in an organization which is mostly internal which leads to students to commit the examination malpractice since they are less likely to be caught as was elaborated by Hasnan et. al. (2013). It would be hard to teach old </w:t>
      </w:r>
      <w:proofErr w:type="gramStart"/>
      <w:r w:rsidRPr="000E05FD">
        <w:rPr>
          <w:rFonts w:ascii="Arial" w:hAnsi="Arial" w:cs="Arial"/>
          <w:sz w:val="22"/>
          <w:szCs w:val="22"/>
        </w:rPr>
        <w:t>dogs</w:t>
      </w:r>
      <w:proofErr w:type="gramEnd"/>
      <w:r w:rsidRPr="000E05FD">
        <w:rPr>
          <w:rFonts w:ascii="Arial" w:hAnsi="Arial" w:cs="Arial"/>
          <w:sz w:val="22"/>
          <w:szCs w:val="22"/>
        </w:rPr>
        <w:t xml:space="preserve"> new tricks especially if the administration has been friendly with the students to allow them to engage in examination malpractices and yet try to change the same in the final year of study as it has been happening in many secondary schools in Kenya where cheating in the examinations has been a norm (Daro, 2021).  Apart from the national examination in Kenya that is the Kenya certificate of secondary education, less disciplinary actions are taken for students who engage in other terminal examinations hence this may accumulate over a period of time and have a devastating influence on the performance of the national examination (Daro, 2021). </w:t>
      </w:r>
    </w:p>
    <w:p w14:paraId="14CB5F31" w14:textId="02450CCE" w:rsidR="001957A6" w:rsidRPr="000E05FD" w:rsidRDefault="001957A6" w:rsidP="006F633E">
      <w:pPr>
        <w:spacing w:after="200" w:line="276" w:lineRule="auto"/>
        <w:jc w:val="both"/>
        <w:rPr>
          <w:rFonts w:ascii="Arial" w:hAnsi="Arial" w:cs="Arial"/>
          <w:sz w:val="22"/>
          <w:szCs w:val="22"/>
        </w:rPr>
      </w:pPr>
      <w:r w:rsidRPr="000E05FD">
        <w:rPr>
          <w:rFonts w:ascii="Arial" w:hAnsi="Arial" w:cs="Arial"/>
          <w:sz w:val="22"/>
          <w:szCs w:val="22"/>
        </w:rPr>
        <w:t xml:space="preserve">Most people have the propensity to make maximum use of circumstances available to them (Kelly &amp; Hartley 2010). Secondary school students are one of the most opportunist individuals and if an invigilator or a supervisor is lenient on them, they may not hesitate to make use of such that opportunity and cheat in the exam. It was also elaborated by </w:t>
      </w:r>
      <w:r w:rsidR="00F27E89" w:rsidRPr="000E05FD">
        <w:rPr>
          <w:rFonts w:ascii="Arial" w:hAnsi="Arial" w:cs="Arial"/>
          <w:sz w:val="22"/>
          <w:szCs w:val="22"/>
        </w:rPr>
        <w:t>Hooper</w:t>
      </w:r>
      <w:r w:rsidR="00765E7F" w:rsidRPr="000E05FD">
        <w:rPr>
          <w:rFonts w:ascii="Arial" w:hAnsi="Arial" w:cs="Arial"/>
          <w:sz w:val="22"/>
          <w:szCs w:val="22"/>
        </w:rPr>
        <w:t xml:space="preserve"> and </w:t>
      </w:r>
      <w:proofErr w:type="spellStart"/>
      <w:r w:rsidR="00F27E89" w:rsidRPr="000E05FD">
        <w:rPr>
          <w:rFonts w:ascii="Arial" w:hAnsi="Arial" w:cs="Arial"/>
          <w:sz w:val="22"/>
          <w:szCs w:val="22"/>
        </w:rPr>
        <w:t>Pornelli</w:t>
      </w:r>
      <w:proofErr w:type="spellEnd"/>
      <w:r w:rsidRPr="000E05FD">
        <w:rPr>
          <w:rFonts w:ascii="Arial" w:hAnsi="Arial" w:cs="Arial"/>
          <w:sz w:val="22"/>
          <w:szCs w:val="22"/>
        </w:rPr>
        <w:t xml:space="preserve"> (2010) that even the availability of maximum pressure on the students such being afraid to fail, after the parents committing so much money in the education may still not be enough to make them participate in forms of fraud unless there is a perceived opportunity for them to engage in such crimes. Hence for any fraudulent practices to be carried out there must be an opportunity. Perceived opportunity and fraud in most of the studies have been studied in the context of money laundering in the </w:t>
      </w:r>
      <w:r w:rsidRPr="000E05FD">
        <w:rPr>
          <w:rFonts w:ascii="Arial" w:hAnsi="Arial" w:cs="Arial"/>
          <w:sz w:val="22"/>
          <w:szCs w:val="22"/>
        </w:rPr>
        <w:lastRenderedPageBreak/>
        <w:t xml:space="preserve">banks and accounting and rarely has it been used in the subject of examination malpractices even though the two maybe intertwined since a learner may only be able to engage in cheating in the examination when they are afforded that opportunity by the administration. These thoughts made perceived opportunity or benefits very relevant in this study. </w:t>
      </w:r>
    </w:p>
    <w:p w14:paraId="702E894D" w14:textId="6608F9D8" w:rsidR="00F50EE5" w:rsidRPr="000E05FD" w:rsidRDefault="00A71DE9" w:rsidP="006F633E">
      <w:pPr>
        <w:pStyle w:val="ListParagraph"/>
        <w:numPr>
          <w:ilvl w:val="0"/>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t>RESEARCH METHODOLOGY</w:t>
      </w:r>
    </w:p>
    <w:p w14:paraId="138ED391" w14:textId="5A597A4B" w:rsidR="004706B0" w:rsidRPr="000E05FD" w:rsidRDefault="004706B0" w:rsidP="006F633E">
      <w:pPr>
        <w:spacing w:before="100" w:beforeAutospacing="1" w:after="100" w:afterAutospacing="1" w:line="276" w:lineRule="auto"/>
        <w:jc w:val="both"/>
        <w:rPr>
          <w:rFonts w:ascii="Arial" w:hAnsi="Arial" w:cs="Arial"/>
          <w:b/>
          <w:bCs/>
          <w:sz w:val="22"/>
          <w:szCs w:val="22"/>
        </w:rPr>
      </w:pPr>
      <w:r w:rsidRPr="000E05FD">
        <w:rPr>
          <w:rFonts w:ascii="Arial" w:hAnsi="Arial" w:cs="Arial"/>
          <w:sz w:val="22"/>
          <w:szCs w:val="22"/>
        </w:rPr>
        <w:t xml:space="preserve">This study adopted a positivist research </w:t>
      </w:r>
      <w:r w:rsidR="00106866" w:rsidRPr="000E05FD">
        <w:rPr>
          <w:rFonts w:ascii="Arial" w:hAnsi="Arial" w:cs="Arial"/>
          <w:sz w:val="22"/>
          <w:szCs w:val="22"/>
        </w:rPr>
        <w:t>paradigm;</w:t>
      </w:r>
      <w:r w:rsidR="00FF270A" w:rsidRPr="000E05FD">
        <w:rPr>
          <w:rFonts w:ascii="Arial" w:hAnsi="Arial" w:cs="Arial"/>
          <w:sz w:val="22"/>
          <w:szCs w:val="22"/>
        </w:rPr>
        <w:t xml:space="preserve"> this </w:t>
      </w:r>
      <w:r w:rsidR="00560500" w:rsidRPr="000E05FD">
        <w:rPr>
          <w:rFonts w:ascii="Arial" w:hAnsi="Arial" w:cs="Arial"/>
          <w:sz w:val="22"/>
          <w:szCs w:val="22"/>
        </w:rPr>
        <w:t>signifies a commitment to understanding academic integrity and examination malpractices through the lens of empirical observation and scientific inquiry.</w:t>
      </w:r>
      <w:r w:rsidR="00361D73" w:rsidRPr="000E05FD">
        <w:rPr>
          <w:rFonts w:ascii="Arial" w:hAnsi="Arial" w:cs="Arial"/>
          <w:sz w:val="22"/>
          <w:szCs w:val="22"/>
        </w:rPr>
        <w:t xml:space="preserve"> The </w:t>
      </w:r>
      <w:r w:rsidR="00106866" w:rsidRPr="000E05FD">
        <w:rPr>
          <w:rFonts w:ascii="Arial" w:hAnsi="Arial" w:cs="Arial"/>
          <w:sz w:val="22"/>
          <w:szCs w:val="22"/>
        </w:rPr>
        <w:t>study adopted</w:t>
      </w:r>
      <w:r w:rsidR="00361D73" w:rsidRPr="000E05FD">
        <w:rPr>
          <w:rFonts w:ascii="Arial" w:hAnsi="Arial" w:cs="Arial"/>
          <w:sz w:val="22"/>
          <w:szCs w:val="22"/>
        </w:rPr>
        <w:t xml:space="preserve"> a survey research design to investigate the </w:t>
      </w:r>
      <w:r w:rsidR="005B610B" w:rsidRPr="000E05FD">
        <w:rPr>
          <w:rFonts w:ascii="Arial" w:hAnsi="Arial" w:cs="Arial"/>
          <w:sz w:val="22"/>
          <w:szCs w:val="22"/>
        </w:rPr>
        <w:t xml:space="preserve">perceived benefits as </w:t>
      </w:r>
      <w:r w:rsidR="00361D73" w:rsidRPr="000E05FD">
        <w:rPr>
          <w:rFonts w:ascii="Arial" w:hAnsi="Arial" w:cs="Arial"/>
          <w:sz w:val="22"/>
          <w:szCs w:val="22"/>
        </w:rPr>
        <w:t>determinants of academic integrity and examination malpractices in secondary schools of Garissa Township Sub County. This made the study viable and appropriate. The researcher had chosen this design in order to gather information from a number of respondents and to facilitate authentic result of the research study.</w:t>
      </w:r>
      <w:r w:rsidR="005462C6" w:rsidRPr="000E05FD">
        <w:rPr>
          <w:rFonts w:ascii="Arial" w:hAnsi="Arial" w:cs="Arial"/>
          <w:sz w:val="22"/>
          <w:szCs w:val="22"/>
        </w:rPr>
        <w:t xml:space="preserve"> The location of this study was specifically within secondary schools in Garissa Township Sub-County, Kenya. Garissa is situated in the eastern part of Kenya, approximately 367 kilometers northeast of Nairobi bordering Somalia to the east. This location was chosen because it was the specific context where the academic dishonesty among candidates in the national Examinations was to be examined.</w:t>
      </w:r>
      <w:r w:rsidR="003F4B97" w:rsidRPr="000E05FD">
        <w:rPr>
          <w:rFonts w:ascii="Arial" w:hAnsi="Arial" w:cs="Arial"/>
          <w:sz w:val="22"/>
          <w:szCs w:val="22"/>
        </w:rPr>
        <w:t xml:space="preserve"> The target population for this research focused on </w:t>
      </w:r>
      <w:r w:rsidR="003F4B97" w:rsidRPr="000E05FD">
        <w:rPr>
          <w:rFonts w:ascii="Arial" w:hAnsi="Arial" w:cs="Arial"/>
          <w:b/>
          <w:bCs/>
          <w:sz w:val="22"/>
          <w:szCs w:val="22"/>
        </w:rPr>
        <w:t>s</w:t>
      </w:r>
      <w:r w:rsidR="003F4B97" w:rsidRPr="000E05FD">
        <w:rPr>
          <w:rStyle w:val="Strong"/>
          <w:rFonts w:ascii="Arial" w:hAnsi="Arial" w:cs="Arial"/>
          <w:b w:val="0"/>
          <w:bCs w:val="0"/>
          <w:sz w:val="22"/>
          <w:szCs w:val="22"/>
        </w:rPr>
        <w:t>tudent leaders</w:t>
      </w:r>
      <w:r w:rsidR="003F4B97" w:rsidRPr="000E05FD">
        <w:rPr>
          <w:rStyle w:val="Strong"/>
          <w:rFonts w:ascii="Arial" w:hAnsi="Arial" w:cs="Arial"/>
          <w:sz w:val="22"/>
          <w:szCs w:val="22"/>
        </w:rPr>
        <w:t xml:space="preserve"> w</w:t>
      </w:r>
      <w:r w:rsidR="003F4B97" w:rsidRPr="000E05FD">
        <w:rPr>
          <w:rFonts w:ascii="Arial" w:hAnsi="Arial" w:cs="Arial"/>
          <w:sz w:val="22"/>
          <w:szCs w:val="22"/>
        </w:rPr>
        <w:t xml:space="preserve">ho are preparing to take the Kenya Certificate of Secondary Education (KCSE) Examinations from various schools in different parts of Garissa Township Sub County. </w:t>
      </w:r>
      <w:r w:rsidR="00106866" w:rsidRPr="000E05FD">
        <w:rPr>
          <w:rFonts w:ascii="Arial" w:hAnsi="Arial" w:cs="Arial"/>
          <w:sz w:val="22"/>
          <w:szCs w:val="22"/>
        </w:rPr>
        <w:t>Similarly,</w:t>
      </w:r>
      <w:r w:rsidR="003F4B97" w:rsidRPr="000E05FD">
        <w:rPr>
          <w:rFonts w:ascii="Arial" w:hAnsi="Arial" w:cs="Arial"/>
          <w:sz w:val="22"/>
          <w:szCs w:val="22"/>
        </w:rPr>
        <w:t xml:space="preserve"> teachers who were involved in preparing and guiding candidates for the national examinations who might have insights into academic integrity policies and practices was focused. School principals also provided insights into the school environment and policies related to examinations. The 30% strategy for sampling had been used 30% of N </w:t>
      </w:r>
      <w:r w:rsidR="00106866" w:rsidRPr="000E05FD">
        <w:rPr>
          <w:rFonts w:ascii="Arial" w:hAnsi="Arial" w:cs="Arial"/>
          <w:sz w:val="22"/>
          <w:szCs w:val="22"/>
        </w:rPr>
        <w:t>(30</w:t>
      </w:r>
      <w:r w:rsidR="003F4B97" w:rsidRPr="000E05FD">
        <w:rPr>
          <w:rFonts w:ascii="Arial" w:hAnsi="Arial" w:cs="Arial"/>
          <w:sz w:val="22"/>
          <w:szCs w:val="22"/>
        </w:rPr>
        <w:t xml:space="preserve">/100 *N) where N was the total population. There was a sample of 11 schools out of 38 (30% of 38 schools), consisting of 4 boys’ schools, 3 girls’ schools and 4 mixed schools. Thus 11 Principals were selected using census, 5 teachers from every school (20% of 25 teachers) totaling to 55 teachers and 7 student leaders representatives totaling to 77 students using simple sampling. </w:t>
      </w:r>
      <w:r w:rsidR="003F4B97" w:rsidRPr="000E05FD">
        <w:rPr>
          <w:rFonts w:ascii="Arial" w:hAnsi="Arial" w:cs="Arial"/>
          <w:sz w:val="22"/>
          <w:szCs w:val="22"/>
          <w:lang w:val="en-GB"/>
        </w:rPr>
        <w:t xml:space="preserve">The research instruments that were used were survey questionnaires </w:t>
      </w:r>
      <w:r w:rsidR="003F4B97" w:rsidRPr="000E05FD">
        <w:rPr>
          <w:rFonts w:ascii="Arial" w:hAnsi="Arial" w:cs="Arial"/>
          <w:sz w:val="22"/>
          <w:szCs w:val="22"/>
        </w:rPr>
        <w:t>administered to teachers and student leaders’ representatives</w:t>
      </w:r>
      <w:r w:rsidR="003F4B97" w:rsidRPr="000E05FD">
        <w:rPr>
          <w:rFonts w:ascii="Arial" w:hAnsi="Arial" w:cs="Arial"/>
          <w:sz w:val="22"/>
          <w:szCs w:val="22"/>
          <w:lang w:val="en-GB"/>
        </w:rPr>
        <w:t xml:space="preserve"> and personal interviews</w:t>
      </w:r>
      <w:r w:rsidR="003F4B97" w:rsidRPr="000E05FD">
        <w:rPr>
          <w:rFonts w:ascii="Arial" w:eastAsia="Times New Roman" w:hAnsi="Arial" w:cs="Arial"/>
          <w:sz w:val="22"/>
          <w:szCs w:val="22"/>
        </w:rPr>
        <w:t xml:space="preserve"> was conducted to principals to gather deeper insights into experiences, perspectives, and suggestions related to examination integrity.</w:t>
      </w:r>
    </w:p>
    <w:p w14:paraId="5CD41E15" w14:textId="77777777" w:rsidR="00F50EE5" w:rsidRPr="000E05FD" w:rsidRDefault="00F50EE5" w:rsidP="006F633E">
      <w:pPr>
        <w:pStyle w:val="ListParagraph"/>
        <w:numPr>
          <w:ilvl w:val="1"/>
          <w:numId w:val="3"/>
        </w:numPr>
        <w:spacing w:after="200" w:line="276" w:lineRule="auto"/>
        <w:ind w:left="540" w:hanging="540"/>
        <w:jc w:val="both"/>
        <w:rPr>
          <w:rFonts w:ascii="Arial" w:hAnsi="Arial" w:cs="Arial"/>
          <w:b/>
          <w:bCs/>
          <w:sz w:val="22"/>
          <w:szCs w:val="22"/>
        </w:rPr>
      </w:pPr>
      <w:r w:rsidRPr="000E05FD">
        <w:rPr>
          <w:rFonts w:ascii="Arial" w:hAnsi="Arial" w:cs="Arial"/>
          <w:b/>
          <w:bCs/>
          <w:sz w:val="22"/>
          <w:szCs w:val="22"/>
        </w:rPr>
        <w:t>Validity and Reliability of Research Instrument</w:t>
      </w:r>
    </w:p>
    <w:p w14:paraId="3BC787E9" w14:textId="07DF6908" w:rsidR="00204248" w:rsidRPr="000E05FD" w:rsidRDefault="001D32FD" w:rsidP="006F633E">
      <w:pPr>
        <w:pStyle w:val="BodyText"/>
        <w:spacing w:line="276" w:lineRule="auto"/>
        <w:jc w:val="both"/>
        <w:rPr>
          <w:rFonts w:ascii="Arial" w:hAnsi="Arial" w:cs="Arial"/>
          <w:sz w:val="22"/>
          <w:szCs w:val="22"/>
        </w:rPr>
      </w:pPr>
      <w:r w:rsidRPr="000E05FD">
        <w:rPr>
          <w:rFonts w:ascii="Arial" w:hAnsi="Arial" w:cs="Arial"/>
          <w:sz w:val="22"/>
          <w:szCs w:val="22"/>
          <w:lang w:val="en-GB"/>
        </w:rPr>
        <w:t xml:space="preserve">The research instruments for this study </w:t>
      </w:r>
      <w:r w:rsidR="00106866" w:rsidRPr="000E05FD">
        <w:rPr>
          <w:rFonts w:ascii="Arial" w:hAnsi="Arial" w:cs="Arial"/>
          <w:sz w:val="22"/>
          <w:szCs w:val="22"/>
          <w:lang w:val="en-GB"/>
        </w:rPr>
        <w:t>were</w:t>
      </w:r>
      <w:r w:rsidRPr="000E05FD">
        <w:rPr>
          <w:rFonts w:ascii="Arial" w:hAnsi="Arial" w:cs="Arial"/>
          <w:sz w:val="22"/>
          <w:szCs w:val="22"/>
          <w:lang w:val="en-GB"/>
        </w:rPr>
        <w:t xml:space="preserve"> validated through application of content validity, which was determined by expert judgement </w:t>
      </w:r>
      <w:r w:rsidRPr="000E05FD">
        <w:rPr>
          <w:rFonts w:ascii="Arial" w:hAnsi="Arial" w:cs="Arial"/>
          <w:sz w:val="22"/>
          <w:szCs w:val="22"/>
        </w:rPr>
        <w:t xml:space="preserve">for both survey questionnaires and Interviews, the process of establishing validity involved careful planning, expert consultation, pilot testing, and refining the instrument based on feedback. </w:t>
      </w:r>
      <w:r w:rsidRPr="000E05FD">
        <w:rPr>
          <w:rFonts w:ascii="Arial" w:eastAsia="Times New Roman" w:hAnsi="Arial" w:cs="Arial"/>
          <w:sz w:val="22"/>
          <w:szCs w:val="22"/>
        </w:rPr>
        <w:t>Test-Retest Reliability</w:t>
      </w:r>
      <w:r w:rsidRPr="000E05FD">
        <w:rPr>
          <w:rFonts w:ascii="Arial" w:hAnsi="Arial" w:cs="Arial"/>
          <w:sz w:val="22"/>
          <w:szCs w:val="22"/>
          <w:lang w:val="en-GB"/>
        </w:rPr>
        <w:t xml:space="preserve"> technique was used to establish the reliability of the instruments.</w:t>
      </w:r>
      <w:r w:rsidRPr="000E05FD">
        <w:rPr>
          <w:rFonts w:ascii="Arial" w:eastAsia="Times New Roman" w:hAnsi="Arial" w:cs="Arial"/>
          <w:sz w:val="22"/>
          <w:szCs w:val="22"/>
        </w:rPr>
        <w:t xml:space="preserve"> To assess test-retest reliability the instrument was administered to a group of participants. After a week, the same instrument was re-administered to the same group. The correlation between the participants' responses in the two administrations was calculated. </w:t>
      </w:r>
      <w:r w:rsidRPr="000E05FD">
        <w:rPr>
          <w:rFonts w:ascii="Arial" w:hAnsi="Arial" w:cs="Arial"/>
          <w:sz w:val="22"/>
          <w:szCs w:val="22"/>
          <w:lang w:val="en-GB"/>
        </w:rPr>
        <w:t xml:space="preserve"> A correlation coefficient (r) of about 0.75 was obtained and that was be considered high enough to judge the reliability of the instrument. (</w:t>
      </w:r>
      <w:proofErr w:type="spellStart"/>
      <w:r w:rsidRPr="000E05FD">
        <w:rPr>
          <w:rFonts w:ascii="Arial" w:hAnsi="Arial" w:cs="Arial"/>
          <w:sz w:val="22"/>
          <w:szCs w:val="22"/>
          <w:lang w:val="en-GB"/>
        </w:rPr>
        <w:t>Orodho</w:t>
      </w:r>
      <w:proofErr w:type="spellEnd"/>
      <w:r w:rsidRPr="000E05FD">
        <w:rPr>
          <w:rFonts w:ascii="Arial" w:hAnsi="Arial" w:cs="Arial"/>
          <w:sz w:val="22"/>
          <w:szCs w:val="22"/>
          <w:lang w:val="en-GB"/>
        </w:rPr>
        <w:t>, 2009).</w:t>
      </w:r>
    </w:p>
    <w:p w14:paraId="0ED550CD" w14:textId="77777777" w:rsidR="00F50EE5" w:rsidRPr="000E05FD" w:rsidRDefault="00F50EE5" w:rsidP="006F633E">
      <w:pPr>
        <w:pStyle w:val="ListParagraph"/>
        <w:numPr>
          <w:ilvl w:val="1"/>
          <w:numId w:val="3"/>
        </w:numPr>
        <w:spacing w:before="240" w:after="200" w:line="276" w:lineRule="auto"/>
        <w:ind w:left="540" w:hanging="540"/>
        <w:jc w:val="both"/>
        <w:rPr>
          <w:rFonts w:ascii="Arial" w:hAnsi="Arial" w:cs="Arial"/>
          <w:b/>
          <w:bCs/>
          <w:sz w:val="22"/>
          <w:szCs w:val="22"/>
        </w:rPr>
      </w:pPr>
      <w:r w:rsidRPr="000E05FD">
        <w:rPr>
          <w:rFonts w:ascii="Arial" w:hAnsi="Arial" w:cs="Arial"/>
          <w:b/>
          <w:bCs/>
          <w:sz w:val="22"/>
          <w:szCs w:val="22"/>
        </w:rPr>
        <w:lastRenderedPageBreak/>
        <w:t>Data Analysis</w:t>
      </w:r>
    </w:p>
    <w:p w14:paraId="54830B39" w14:textId="2B9EEA7E" w:rsidR="00211BFB" w:rsidRPr="000E05FD" w:rsidRDefault="0095262B" w:rsidP="006F633E">
      <w:pPr>
        <w:pStyle w:val="BodyText"/>
        <w:spacing w:before="240" w:line="276" w:lineRule="auto"/>
        <w:jc w:val="both"/>
        <w:rPr>
          <w:rFonts w:ascii="Arial" w:hAnsi="Arial" w:cs="Arial"/>
          <w:sz w:val="22"/>
          <w:szCs w:val="22"/>
        </w:rPr>
      </w:pPr>
      <w:r w:rsidRPr="000E05FD">
        <w:rPr>
          <w:rFonts w:ascii="Arial" w:hAnsi="Arial" w:cs="Arial"/>
          <w:sz w:val="22"/>
          <w:szCs w:val="22"/>
        </w:rPr>
        <w:t xml:space="preserve">Qualitative data was analyzed verbatim while Quantitative data was analyzed using Pearson correlation coefficient (r) and descriptive statistics was presented using frequency tables. Research findings indicated that the independent variable was significantly related to the dependent variable. </w:t>
      </w:r>
      <w:r w:rsidR="009E1C7C" w:rsidRPr="000E05FD">
        <w:rPr>
          <w:rFonts w:ascii="Arial" w:hAnsi="Arial" w:cs="Arial"/>
          <w:sz w:val="22"/>
          <w:szCs w:val="22"/>
        </w:rPr>
        <w:t xml:space="preserve">perceived benefit </w:t>
      </w:r>
      <w:r w:rsidRPr="000E05FD">
        <w:rPr>
          <w:rFonts w:ascii="Arial" w:hAnsi="Arial" w:cs="Arial"/>
          <w:sz w:val="22"/>
          <w:szCs w:val="22"/>
        </w:rPr>
        <w:t xml:space="preserve">was moderately correlated with level of integrity of examinations </w:t>
      </w:r>
      <w:r w:rsidR="009E1C7C" w:rsidRPr="000E05FD">
        <w:rPr>
          <w:rFonts w:ascii="Arial" w:hAnsi="Arial" w:cs="Arial"/>
          <w:sz w:val="22"/>
          <w:szCs w:val="22"/>
        </w:rPr>
        <w:t>(</w:t>
      </w:r>
      <w:r w:rsidR="009E1C7C" w:rsidRPr="000E05FD">
        <w:rPr>
          <w:rFonts w:ascii="Arial" w:hAnsi="Arial" w:cs="Arial"/>
          <w:i/>
          <w:iCs/>
          <w:sz w:val="22"/>
          <w:szCs w:val="22"/>
        </w:rPr>
        <w:t>r=0.329, p&lt;0.05</w:t>
      </w:r>
      <w:r w:rsidRPr="000E05FD">
        <w:rPr>
          <w:rFonts w:ascii="Arial" w:hAnsi="Arial" w:cs="Arial"/>
          <w:sz w:val="22"/>
          <w:szCs w:val="22"/>
        </w:rPr>
        <w:t>).</w:t>
      </w:r>
    </w:p>
    <w:p w14:paraId="754E1C7F" w14:textId="3679CD11" w:rsidR="00F50EE5" w:rsidRPr="000E05FD" w:rsidRDefault="00A71DE9" w:rsidP="006F633E">
      <w:pPr>
        <w:pStyle w:val="ListParagraph"/>
        <w:numPr>
          <w:ilvl w:val="0"/>
          <w:numId w:val="3"/>
        </w:numPr>
        <w:spacing w:before="240" w:after="200" w:line="276" w:lineRule="auto"/>
        <w:ind w:left="540" w:hanging="540"/>
        <w:jc w:val="both"/>
        <w:rPr>
          <w:rFonts w:ascii="Arial" w:hAnsi="Arial" w:cs="Arial"/>
          <w:b/>
          <w:bCs/>
          <w:sz w:val="22"/>
          <w:szCs w:val="22"/>
        </w:rPr>
      </w:pPr>
      <w:r w:rsidRPr="000E05FD">
        <w:rPr>
          <w:rFonts w:ascii="Arial" w:hAnsi="Arial" w:cs="Arial"/>
          <w:b/>
          <w:bCs/>
          <w:sz w:val="22"/>
          <w:szCs w:val="22"/>
        </w:rPr>
        <w:t>RESULTS</w:t>
      </w:r>
    </w:p>
    <w:p w14:paraId="77E3AFCF" w14:textId="1DF0CAD0" w:rsidR="009E1C7C" w:rsidRPr="000E05FD" w:rsidRDefault="009E1C7C" w:rsidP="006F633E">
      <w:pPr>
        <w:spacing w:after="0" w:line="276" w:lineRule="auto"/>
        <w:jc w:val="both"/>
        <w:rPr>
          <w:rFonts w:ascii="Arial" w:hAnsi="Arial" w:cs="Arial"/>
          <w:sz w:val="22"/>
          <w:szCs w:val="22"/>
        </w:rPr>
      </w:pPr>
      <w:r w:rsidRPr="000E05FD">
        <w:rPr>
          <w:rFonts w:ascii="Arial" w:hAnsi="Arial" w:cs="Arial"/>
          <w:sz w:val="22"/>
          <w:szCs w:val="22"/>
        </w:rPr>
        <w:t>The objective of the research was to investigate the influence of the perceived benefits on academic integrity and examination malpractices of KCSE examinations in secondary schools within Garissa Township sub county Kenya. Questionnaires were distributed to teachers and students in 11 high schools within Garissa Township Sub County. A 4-point Likert scale where l = Strongly Disagree (SD) 2 = Disagree (D); 3 = Agree (A) and 4 = Strongly Agree (SA) was adopted for the measurement of the study variables. Percentages, means and standard deviations were used to describe the responses of the study participants. Tables 1, 2,3 and 4 present the results on this objective.</w:t>
      </w:r>
      <w:bookmarkStart w:id="9" w:name="_Toc198038917"/>
    </w:p>
    <w:p w14:paraId="74DC8CC9" w14:textId="554EA39D" w:rsidR="009E1C7C" w:rsidRPr="000E05FD" w:rsidRDefault="009E1C7C" w:rsidP="006F633E">
      <w:pPr>
        <w:pStyle w:val="Heading1"/>
        <w:spacing w:line="276" w:lineRule="auto"/>
        <w:jc w:val="both"/>
        <w:rPr>
          <w:rFonts w:ascii="Arial" w:hAnsi="Arial" w:cs="Arial"/>
          <w:color w:val="auto"/>
          <w:sz w:val="22"/>
          <w:szCs w:val="22"/>
        </w:rPr>
      </w:pPr>
      <w:bookmarkStart w:id="10" w:name="_Toc206345285"/>
      <w:bookmarkStart w:id="11" w:name="_Toc207705234"/>
      <w:r w:rsidRPr="000E05FD">
        <w:rPr>
          <w:rFonts w:ascii="Arial" w:hAnsi="Arial" w:cs="Arial"/>
          <w:color w:val="auto"/>
          <w:sz w:val="22"/>
          <w:szCs w:val="22"/>
        </w:rPr>
        <w:t>Table 1:</w:t>
      </w:r>
      <w:bookmarkStart w:id="12" w:name="_Toc206345286"/>
      <w:bookmarkStart w:id="13" w:name="_Toc207705235"/>
      <w:bookmarkStart w:id="14" w:name="_Toc198038918"/>
      <w:bookmarkEnd w:id="9"/>
      <w:bookmarkEnd w:id="10"/>
      <w:bookmarkEnd w:id="11"/>
      <w:r w:rsidR="0076317E" w:rsidRPr="0076317E">
        <w:rPr>
          <w:rFonts w:ascii="Arial" w:hAnsi="Arial" w:cs="Arial"/>
          <w:i/>
          <w:iCs/>
          <w:color w:val="auto"/>
          <w:sz w:val="22"/>
          <w:szCs w:val="22"/>
        </w:rPr>
        <w:t xml:space="preserve"> </w:t>
      </w:r>
      <w:r w:rsidR="0076317E" w:rsidRPr="000E05FD">
        <w:rPr>
          <w:rFonts w:ascii="Arial" w:hAnsi="Arial" w:cs="Arial"/>
          <w:i/>
          <w:iCs/>
          <w:color w:val="auto"/>
          <w:sz w:val="22"/>
          <w:szCs w:val="22"/>
        </w:rPr>
        <w:t>Descriptive Analysis of Teachers on Perceived Benefits</w:t>
      </w:r>
      <w:r w:rsidR="0076317E" w:rsidRPr="000E05FD">
        <w:rPr>
          <w:rFonts w:ascii="Arial" w:hAnsi="Arial" w:cs="Arial"/>
          <w:color w:val="auto"/>
          <w:sz w:val="22"/>
          <w:szCs w:val="22"/>
        </w:rPr>
        <w:t xml:space="preserve"> </w:t>
      </w:r>
      <w:r w:rsidR="0076317E" w:rsidRPr="000E05FD">
        <w:rPr>
          <w:rFonts w:ascii="Arial" w:hAnsi="Arial" w:cs="Arial"/>
          <w:i/>
          <w:iCs/>
          <w:color w:val="auto"/>
          <w:sz w:val="22"/>
          <w:szCs w:val="22"/>
        </w:rPr>
        <w:t>and the Level of Academic Integrity and Exam Malpractices in KCSE</w:t>
      </w:r>
      <w:bookmarkEnd w:id="12"/>
      <w:bookmarkEnd w:id="13"/>
    </w:p>
    <w:bookmarkEnd w:id="14"/>
    <w:p w14:paraId="4C11ED23" w14:textId="38F94BA7" w:rsidR="009E1C7C" w:rsidRPr="000E05FD" w:rsidRDefault="009E1C7C" w:rsidP="006F633E">
      <w:pPr>
        <w:pStyle w:val="Heading1"/>
        <w:spacing w:after="240" w:line="276" w:lineRule="auto"/>
        <w:jc w:val="both"/>
        <w:rPr>
          <w:rFonts w:ascii="Arial" w:hAnsi="Arial" w:cs="Arial"/>
          <w:color w:val="auto"/>
          <w:sz w:val="22"/>
          <w:szCs w:val="22"/>
        </w:rPr>
      </w:pPr>
    </w:p>
    <w:tbl>
      <w:tblPr>
        <w:tblStyle w:val="TableGrid"/>
        <w:tblW w:w="9639"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963"/>
        <w:gridCol w:w="992"/>
        <w:gridCol w:w="992"/>
        <w:gridCol w:w="992"/>
      </w:tblGrid>
      <w:tr w:rsidR="002124B4" w:rsidRPr="000E05FD" w14:paraId="0B7906C2" w14:textId="77777777">
        <w:trPr>
          <w:trHeight w:val="325"/>
        </w:trPr>
        <w:tc>
          <w:tcPr>
            <w:tcW w:w="5812" w:type="dxa"/>
            <w:tcBorders>
              <w:top w:val="single" w:sz="4" w:space="0" w:color="auto"/>
              <w:left w:val="nil"/>
              <w:bottom w:val="single" w:sz="4" w:space="0" w:color="auto"/>
              <w:right w:val="nil"/>
            </w:tcBorders>
            <w:noWrap/>
            <w:hideMark/>
          </w:tcPr>
          <w:p w14:paraId="66C323C4" w14:textId="77777777" w:rsidR="009E1C7C" w:rsidRPr="000E05FD" w:rsidRDefault="009E1C7C" w:rsidP="006F633E">
            <w:pPr>
              <w:spacing w:line="276" w:lineRule="auto"/>
              <w:jc w:val="both"/>
              <w:rPr>
                <w:rFonts w:ascii="Arial" w:hAnsi="Arial" w:cs="Arial"/>
              </w:rPr>
            </w:pPr>
            <w:r w:rsidRPr="000E05FD">
              <w:rPr>
                <w:rFonts w:ascii="Arial" w:hAnsi="Arial" w:cs="Arial"/>
              </w:rPr>
              <w:t>Statements</w:t>
            </w:r>
          </w:p>
        </w:tc>
        <w:tc>
          <w:tcPr>
            <w:tcW w:w="851" w:type="dxa"/>
            <w:tcBorders>
              <w:top w:val="single" w:sz="4" w:space="0" w:color="auto"/>
              <w:left w:val="nil"/>
              <w:bottom w:val="single" w:sz="4" w:space="0" w:color="auto"/>
              <w:right w:val="nil"/>
            </w:tcBorders>
            <w:noWrap/>
            <w:hideMark/>
          </w:tcPr>
          <w:p w14:paraId="673FFE0D" w14:textId="77777777" w:rsidR="009E1C7C" w:rsidRPr="000E05FD" w:rsidRDefault="009E1C7C" w:rsidP="006F633E">
            <w:pPr>
              <w:spacing w:line="276" w:lineRule="auto"/>
              <w:jc w:val="both"/>
              <w:rPr>
                <w:rFonts w:ascii="Arial" w:hAnsi="Arial" w:cs="Arial"/>
              </w:rPr>
            </w:pPr>
            <w:r w:rsidRPr="000E05FD">
              <w:rPr>
                <w:rFonts w:ascii="Arial" w:hAnsi="Arial" w:cs="Arial"/>
              </w:rPr>
              <w:t>SD</w:t>
            </w:r>
          </w:p>
        </w:tc>
        <w:tc>
          <w:tcPr>
            <w:tcW w:w="992" w:type="dxa"/>
            <w:tcBorders>
              <w:top w:val="single" w:sz="4" w:space="0" w:color="auto"/>
              <w:left w:val="nil"/>
              <w:bottom w:val="single" w:sz="4" w:space="0" w:color="auto"/>
              <w:right w:val="nil"/>
            </w:tcBorders>
            <w:noWrap/>
            <w:hideMark/>
          </w:tcPr>
          <w:p w14:paraId="1D022F7D" w14:textId="77777777" w:rsidR="009E1C7C" w:rsidRPr="000E05FD" w:rsidRDefault="009E1C7C" w:rsidP="006F633E">
            <w:pPr>
              <w:spacing w:line="276" w:lineRule="auto"/>
              <w:jc w:val="both"/>
              <w:rPr>
                <w:rFonts w:ascii="Arial" w:hAnsi="Arial" w:cs="Arial"/>
              </w:rPr>
            </w:pPr>
            <w:r w:rsidRPr="000E05FD">
              <w:rPr>
                <w:rFonts w:ascii="Arial" w:hAnsi="Arial" w:cs="Arial"/>
              </w:rPr>
              <w:t>D</w:t>
            </w:r>
          </w:p>
        </w:tc>
        <w:tc>
          <w:tcPr>
            <w:tcW w:w="992" w:type="dxa"/>
            <w:tcBorders>
              <w:top w:val="single" w:sz="4" w:space="0" w:color="auto"/>
              <w:left w:val="nil"/>
              <w:bottom w:val="single" w:sz="4" w:space="0" w:color="auto"/>
              <w:right w:val="nil"/>
            </w:tcBorders>
            <w:noWrap/>
            <w:hideMark/>
          </w:tcPr>
          <w:p w14:paraId="77E47E10" w14:textId="77777777" w:rsidR="009E1C7C" w:rsidRPr="000E05FD" w:rsidRDefault="009E1C7C" w:rsidP="006F633E">
            <w:pPr>
              <w:spacing w:line="276" w:lineRule="auto"/>
              <w:jc w:val="both"/>
              <w:rPr>
                <w:rFonts w:ascii="Arial" w:hAnsi="Arial" w:cs="Arial"/>
              </w:rPr>
            </w:pPr>
            <w:r w:rsidRPr="000E05FD">
              <w:rPr>
                <w:rFonts w:ascii="Arial" w:hAnsi="Arial" w:cs="Arial"/>
              </w:rPr>
              <w:t>A</w:t>
            </w:r>
          </w:p>
        </w:tc>
        <w:tc>
          <w:tcPr>
            <w:tcW w:w="992" w:type="dxa"/>
            <w:tcBorders>
              <w:top w:val="single" w:sz="4" w:space="0" w:color="auto"/>
              <w:left w:val="nil"/>
              <w:bottom w:val="single" w:sz="4" w:space="0" w:color="auto"/>
              <w:right w:val="nil"/>
            </w:tcBorders>
            <w:noWrap/>
            <w:hideMark/>
          </w:tcPr>
          <w:p w14:paraId="13C519BC" w14:textId="77777777" w:rsidR="009E1C7C" w:rsidRPr="000E05FD" w:rsidRDefault="009E1C7C" w:rsidP="006F633E">
            <w:pPr>
              <w:spacing w:line="276" w:lineRule="auto"/>
              <w:jc w:val="both"/>
              <w:rPr>
                <w:rFonts w:ascii="Arial" w:hAnsi="Arial" w:cs="Arial"/>
              </w:rPr>
            </w:pPr>
            <w:r w:rsidRPr="000E05FD">
              <w:rPr>
                <w:rFonts w:ascii="Arial" w:hAnsi="Arial" w:cs="Arial"/>
              </w:rPr>
              <w:t>SA</w:t>
            </w:r>
          </w:p>
        </w:tc>
      </w:tr>
      <w:tr w:rsidR="002124B4" w:rsidRPr="000E05FD" w14:paraId="67D5F4CD" w14:textId="77777777">
        <w:trPr>
          <w:trHeight w:val="300"/>
        </w:trPr>
        <w:tc>
          <w:tcPr>
            <w:tcW w:w="5812" w:type="dxa"/>
            <w:tcBorders>
              <w:top w:val="single" w:sz="4" w:space="0" w:color="auto"/>
              <w:left w:val="nil"/>
              <w:bottom w:val="nil"/>
              <w:right w:val="nil"/>
            </w:tcBorders>
            <w:noWrap/>
            <w:hideMark/>
          </w:tcPr>
          <w:p w14:paraId="3D050290" w14:textId="77777777" w:rsidR="009E1C7C" w:rsidRPr="000E05FD" w:rsidRDefault="009E1C7C" w:rsidP="006F633E">
            <w:pPr>
              <w:spacing w:line="276" w:lineRule="auto"/>
              <w:jc w:val="both"/>
              <w:rPr>
                <w:rFonts w:ascii="Arial" w:hAnsi="Arial" w:cs="Arial"/>
              </w:rPr>
            </w:pPr>
            <w:r w:rsidRPr="000E05FD">
              <w:rPr>
                <w:rFonts w:ascii="Arial" w:hAnsi="Arial" w:cs="Arial"/>
              </w:rPr>
              <w:t>Students perceived benefits of cheating correlate to exam integrity</w:t>
            </w:r>
          </w:p>
        </w:tc>
        <w:tc>
          <w:tcPr>
            <w:tcW w:w="851" w:type="dxa"/>
            <w:tcBorders>
              <w:top w:val="single" w:sz="4" w:space="0" w:color="auto"/>
              <w:left w:val="nil"/>
              <w:bottom w:val="nil"/>
              <w:right w:val="nil"/>
            </w:tcBorders>
            <w:noWrap/>
            <w:hideMark/>
          </w:tcPr>
          <w:p w14:paraId="04403019" w14:textId="77777777" w:rsidR="009E1C7C" w:rsidRPr="000E05FD" w:rsidRDefault="009E1C7C" w:rsidP="006F633E">
            <w:pPr>
              <w:spacing w:line="276" w:lineRule="auto"/>
              <w:jc w:val="both"/>
              <w:rPr>
                <w:rFonts w:ascii="Arial" w:hAnsi="Arial" w:cs="Arial"/>
              </w:rPr>
            </w:pPr>
            <w:r w:rsidRPr="000E05FD">
              <w:rPr>
                <w:rFonts w:ascii="Arial" w:hAnsi="Arial" w:cs="Arial"/>
              </w:rPr>
              <w:t>2.40%</w:t>
            </w:r>
          </w:p>
        </w:tc>
        <w:tc>
          <w:tcPr>
            <w:tcW w:w="992" w:type="dxa"/>
            <w:tcBorders>
              <w:top w:val="single" w:sz="4" w:space="0" w:color="auto"/>
              <w:left w:val="nil"/>
              <w:bottom w:val="nil"/>
              <w:right w:val="nil"/>
            </w:tcBorders>
            <w:noWrap/>
            <w:hideMark/>
          </w:tcPr>
          <w:p w14:paraId="2D81E422" w14:textId="77777777" w:rsidR="009E1C7C" w:rsidRPr="000E05FD" w:rsidRDefault="009E1C7C" w:rsidP="006F633E">
            <w:pPr>
              <w:spacing w:line="276" w:lineRule="auto"/>
              <w:jc w:val="both"/>
              <w:rPr>
                <w:rFonts w:ascii="Arial" w:hAnsi="Arial" w:cs="Arial"/>
              </w:rPr>
            </w:pPr>
            <w:r w:rsidRPr="000E05FD">
              <w:rPr>
                <w:rFonts w:ascii="Arial" w:hAnsi="Arial" w:cs="Arial"/>
              </w:rPr>
              <w:t>4.70%</w:t>
            </w:r>
          </w:p>
        </w:tc>
        <w:tc>
          <w:tcPr>
            <w:tcW w:w="992" w:type="dxa"/>
            <w:tcBorders>
              <w:top w:val="single" w:sz="4" w:space="0" w:color="auto"/>
              <w:left w:val="nil"/>
              <w:bottom w:val="nil"/>
              <w:right w:val="nil"/>
            </w:tcBorders>
            <w:noWrap/>
            <w:hideMark/>
          </w:tcPr>
          <w:p w14:paraId="6B19B6E7" w14:textId="77777777" w:rsidR="009E1C7C" w:rsidRPr="000E05FD" w:rsidRDefault="009E1C7C" w:rsidP="006F633E">
            <w:pPr>
              <w:spacing w:line="276" w:lineRule="auto"/>
              <w:jc w:val="both"/>
              <w:rPr>
                <w:rFonts w:ascii="Arial" w:hAnsi="Arial" w:cs="Arial"/>
              </w:rPr>
            </w:pPr>
            <w:r w:rsidRPr="000E05FD">
              <w:rPr>
                <w:rFonts w:ascii="Arial" w:hAnsi="Arial" w:cs="Arial"/>
              </w:rPr>
              <w:t>41.40%</w:t>
            </w:r>
          </w:p>
        </w:tc>
        <w:tc>
          <w:tcPr>
            <w:tcW w:w="992" w:type="dxa"/>
            <w:tcBorders>
              <w:top w:val="single" w:sz="4" w:space="0" w:color="auto"/>
              <w:left w:val="nil"/>
              <w:bottom w:val="nil"/>
              <w:right w:val="nil"/>
            </w:tcBorders>
            <w:noWrap/>
            <w:hideMark/>
          </w:tcPr>
          <w:p w14:paraId="548AB1DB" w14:textId="77777777" w:rsidR="009E1C7C" w:rsidRPr="000E05FD" w:rsidRDefault="009E1C7C" w:rsidP="006F633E">
            <w:pPr>
              <w:spacing w:line="276" w:lineRule="auto"/>
              <w:jc w:val="both"/>
              <w:rPr>
                <w:rFonts w:ascii="Arial" w:hAnsi="Arial" w:cs="Arial"/>
              </w:rPr>
            </w:pPr>
            <w:r w:rsidRPr="000E05FD">
              <w:rPr>
                <w:rFonts w:ascii="Arial" w:hAnsi="Arial" w:cs="Arial"/>
              </w:rPr>
              <w:t>51.50%</w:t>
            </w:r>
          </w:p>
        </w:tc>
      </w:tr>
      <w:tr w:rsidR="002124B4" w:rsidRPr="000E05FD" w14:paraId="6AA802A9" w14:textId="77777777">
        <w:trPr>
          <w:trHeight w:val="300"/>
        </w:trPr>
        <w:tc>
          <w:tcPr>
            <w:tcW w:w="5812" w:type="dxa"/>
            <w:tcBorders>
              <w:top w:val="nil"/>
              <w:left w:val="nil"/>
              <w:bottom w:val="nil"/>
              <w:right w:val="nil"/>
            </w:tcBorders>
            <w:noWrap/>
            <w:hideMark/>
          </w:tcPr>
          <w:p w14:paraId="161D38F0" w14:textId="77777777" w:rsidR="009E1C7C" w:rsidRPr="000E05FD" w:rsidRDefault="009E1C7C" w:rsidP="006F633E">
            <w:pPr>
              <w:spacing w:line="276" w:lineRule="auto"/>
              <w:jc w:val="both"/>
              <w:rPr>
                <w:rFonts w:ascii="Arial" w:hAnsi="Arial" w:cs="Arial"/>
              </w:rPr>
            </w:pPr>
            <w:r w:rsidRPr="000E05FD">
              <w:rPr>
                <w:rFonts w:ascii="Arial" w:hAnsi="Arial" w:cs="Arial"/>
              </w:rPr>
              <w:t>Cheating in exams is influenced by Perceived benefits of getting good career courses.</w:t>
            </w:r>
          </w:p>
        </w:tc>
        <w:tc>
          <w:tcPr>
            <w:tcW w:w="851" w:type="dxa"/>
            <w:tcBorders>
              <w:top w:val="nil"/>
              <w:left w:val="nil"/>
              <w:bottom w:val="nil"/>
              <w:right w:val="nil"/>
            </w:tcBorders>
            <w:noWrap/>
            <w:hideMark/>
          </w:tcPr>
          <w:p w14:paraId="7A1E0834" w14:textId="77777777" w:rsidR="009E1C7C" w:rsidRPr="000E05FD" w:rsidRDefault="009E1C7C" w:rsidP="006F633E">
            <w:pPr>
              <w:spacing w:line="276" w:lineRule="auto"/>
              <w:jc w:val="both"/>
              <w:rPr>
                <w:rFonts w:ascii="Arial" w:hAnsi="Arial" w:cs="Arial"/>
              </w:rPr>
            </w:pPr>
            <w:r w:rsidRPr="000E05FD">
              <w:rPr>
                <w:rFonts w:ascii="Arial" w:hAnsi="Arial" w:cs="Arial"/>
              </w:rPr>
              <w:t>5.40%</w:t>
            </w:r>
          </w:p>
        </w:tc>
        <w:tc>
          <w:tcPr>
            <w:tcW w:w="992" w:type="dxa"/>
            <w:tcBorders>
              <w:top w:val="nil"/>
              <w:left w:val="nil"/>
              <w:bottom w:val="nil"/>
              <w:right w:val="nil"/>
            </w:tcBorders>
            <w:noWrap/>
            <w:hideMark/>
          </w:tcPr>
          <w:p w14:paraId="6D2DBBDB" w14:textId="77777777" w:rsidR="009E1C7C" w:rsidRPr="000E05FD" w:rsidRDefault="009E1C7C" w:rsidP="006F633E">
            <w:pPr>
              <w:spacing w:line="276" w:lineRule="auto"/>
              <w:jc w:val="both"/>
              <w:rPr>
                <w:rFonts w:ascii="Arial" w:hAnsi="Arial" w:cs="Arial"/>
              </w:rPr>
            </w:pPr>
            <w:r w:rsidRPr="000E05FD">
              <w:rPr>
                <w:rFonts w:ascii="Arial" w:hAnsi="Arial" w:cs="Arial"/>
              </w:rPr>
              <w:t>9.40%</w:t>
            </w:r>
          </w:p>
        </w:tc>
        <w:tc>
          <w:tcPr>
            <w:tcW w:w="992" w:type="dxa"/>
            <w:tcBorders>
              <w:top w:val="nil"/>
              <w:left w:val="nil"/>
              <w:bottom w:val="nil"/>
              <w:right w:val="nil"/>
            </w:tcBorders>
            <w:noWrap/>
            <w:hideMark/>
          </w:tcPr>
          <w:p w14:paraId="0E8CC243" w14:textId="77777777" w:rsidR="009E1C7C" w:rsidRPr="000E05FD" w:rsidRDefault="009E1C7C" w:rsidP="006F633E">
            <w:pPr>
              <w:spacing w:line="276" w:lineRule="auto"/>
              <w:jc w:val="both"/>
              <w:rPr>
                <w:rFonts w:ascii="Arial" w:hAnsi="Arial" w:cs="Arial"/>
              </w:rPr>
            </w:pPr>
            <w:r w:rsidRPr="000E05FD">
              <w:rPr>
                <w:rFonts w:ascii="Arial" w:hAnsi="Arial" w:cs="Arial"/>
              </w:rPr>
              <w:t>58.60%</w:t>
            </w:r>
          </w:p>
        </w:tc>
        <w:tc>
          <w:tcPr>
            <w:tcW w:w="992" w:type="dxa"/>
            <w:tcBorders>
              <w:top w:val="nil"/>
              <w:left w:val="nil"/>
              <w:bottom w:val="nil"/>
              <w:right w:val="nil"/>
            </w:tcBorders>
            <w:noWrap/>
            <w:hideMark/>
          </w:tcPr>
          <w:p w14:paraId="49054800" w14:textId="77777777" w:rsidR="009E1C7C" w:rsidRPr="000E05FD" w:rsidRDefault="009E1C7C" w:rsidP="006F633E">
            <w:pPr>
              <w:spacing w:line="276" w:lineRule="auto"/>
              <w:jc w:val="both"/>
              <w:rPr>
                <w:rFonts w:ascii="Arial" w:hAnsi="Arial" w:cs="Arial"/>
              </w:rPr>
            </w:pPr>
            <w:r w:rsidRPr="000E05FD">
              <w:rPr>
                <w:rFonts w:ascii="Arial" w:hAnsi="Arial" w:cs="Arial"/>
              </w:rPr>
              <w:t>26.60%</w:t>
            </w:r>
          </w:p>
        </w:tc>
      </w:tr>
      <w:tr w:rsidR="002124B4" w:rsidRPr="000E05FD" w14:paraId="189791D6" w14:textId="77777777">
        <w:trPr>
          <w:trHeight w:val="300"/>
        </w:trPr>
        <w:tc>
          <w:tcPr>
            <w:tcW w:w="5812" w:type="dxa"/>
            <w:tcBorders>
              <w:top w:val="nil"/>
              <w:left w:val="nil"/>
              <w:bottom w:val="nil"/>
              <w:right w:val="nil"/>
            </w:tcBorders>
            <w:noWrap/>
            <w:hideMark/>
          </w:tcPr>
          <w:p w14:paraId="4A7B055B" w14:textId="77777777" w:rsidR="009E1C7C" w:rsidRPr="000E05FD" w:rsidRDefault="009E1C7C" w:rsidP="006F633E">
            <w:pPr>
              <w:spacing w:line="276" w:lineRule="auto"/>
              <w:jc w:val="both"/>
              <w:rPr>
                <w:rFonts w:ascii="Arial" w:hAnsi="Arial" w:cs="Arial"/>
              </w:rPr>
            </w:pPr>
            <w:r w:rsidRPr="000E05FD">
              <w:rPr>
                <w:rFonts w:ascii="Arial" w:hAnsi="Arial" w:cs="Arial"/>
              </w:rPr>
              <w:t>The belief in fair competition is a significant driver of examination integrity.</w:t>
            </w:r>
          </w:p>
        </w:tc>
        <w:tc>
          <w:tcPr>
            <w:tcW w:w="851" w:type="dxa"/>
            <w:tcBorders>
              <w:top w:val="nil"/>
              <w:left w:val="nil"/>
              <w:bottom w:val="nil"/>
              <w:right w:val="nil"/>
            </w:tcBorders>
            <w:noWrap/>
            <w:hideMark/>
          </w:tcPr>
          <w:p w14:paraId="6C89467A" w14:textId="77777777" w:rsidR="009E1C7C" w:rsidRPr="000E05FD" w:rsidRDefault="009E1C7C" w:rsidP="006F633E">
            <w:pPr>
              <w:spacing w:line="276" w:lineRule="auto"/>
              <w:jc w:val="both"/>
              <w:rPr>
                <w:rFonts w:ascii="Arial" w:hAnsi="Arial" w:cs="Arial"/>
              </w:rPr>
            </w:pPr>
            <w:r w:rsidRPr="000E05FD">
              <w:rPr>
                <w:rFonts w:ascii="Arial" w:hAnsi="Arial" w:cs="Arial"/>
              </w:rPr>
              <w:t>4.60%</w:t>
            </w:r>
          </w:p>
        </w:tc>
        <w:tc>
          <w:tcPr>
            <w:tcW w:w="992" w:type="dxa"/>
            <w:tcBorders>
              <w:top w:val="nil"/>
              <w:left w:val="nil"/>
              <w:bottom w:val="nil"/>
              <w:right w:val="nil"/>
            </w:tcBorders>
            <w:noWrap/>
            <w:hideMark/>
          </w:tcPr>
          <w:p w14:paraId="6961AF07" w14:textId="77777777" w:rsidR="009E1C7C" w:rsidRPr="000E05FD" w:rsidRDefault="009E1C7C" w:rsidP="006F633E">
            <w:pPr>
              <w:spacing w:line="276" w:lineRule="auto"/>
              <w:jc w:val="both"/>
              <w:rPr>
                <w:rFonts w:ascii="Arial" w:hAnsi="Arial" w:cs="Arial"/>
              </w:rPr>
            </w:pPr>
            <w:r w:rsidRPr="000E05FD">
              <w:rPr>
                <w:rFonts w:ascii="Arial" w:hAnsi="Arial" w:cs="Arial"/>
              </w:rPr>
              <w:t>5.50%</w:t>
            </w:r>
          </w:p>
        </w:tc>
        <w:tc>
          <w:tcPr>
            <w:tcW w:w="992" w:type="dxa"/>
            <w:tcBorders>
              <w:top w:val="nil"/>
              <w:left w:val="nil"/>
              <w:bottom w:val="nil"/>
              <w:right w:val="nil"/>
            </w:tcBorders>
            <w:noWrap/>
            <w:hideMark/>
          </w:tcPr>
          <w:p w14:paraId="6384915B" w14:textId="77777777" w:rsidR="009E1C7C" w:rsidRPr="000E05FD" w:rsidRDefault="009E1C7C" w:rsidP="006F633E">
            <w:pPr>
              <w:spacing w:line="276" w:lineRule="auto"/>
              <w:jc w:val="both"/>
              <w:rPr>
                <w:rFonts w:ascii="Arial" w:hAnsi="Arial" w:cs="Arial"/>
              </w:rPr>
            </w:pPr>
            <w:r w:rsidRPr="000E05FD">
              <w:rPr>
                <w:rFonts w:ascii="Arial" w:hAnsi="Arial" w:cs="Arial"/>
              </w:rPr>
              <w:t>56.30%</w:t>
            </w:r>
          </w:p>
        </w:tc>
        <w:tc>
          <w:tcPr>
            <w:tcW w:w="992" w:type="dxa"/>
            <w:tcBorders>
              <w:top w:val="nil"/>
              <w:left w:val="nil"/>
              <w:bottom w:val="nil"/>
              <w:right w:val="nil"/>
            </w:tcBorders>
            <w:noWrap/>
            <w:hideMark/>
          </w:tcPr>
          <w:p w14:paraId="6FC94CE3" w14:textId="77777777" w:rsidR="009E1C7C" w:rsidRPr="000E05FD" w:rsidRDefault="009E1C7C" w:rsidP="006F633E">
            <w:pPr>
              <w:spacing w:line="276" w:lineRule="auto"/>
              <w:jc w:val="both"/>
              <w:rPr>
                <w:rFonts w:ascii="Arial" w:hAnsi="Arial" w:cs="Arial"/>
              </w:rPr>
            </w:pPr>
            <w:r w:rsidRPr="000E05FD">
              <w:rPr>
                <w:rFonts w:ascii="Arial" w:hAnsi="Arial" w:cs="Arial"/>
              </w:rPr>
              <w:t>33.60%</w:t>
            </w:r>
          </w:p>
        </w:tc>
      </w:tr>
      <w:tr w:rsidR="002124B4" w:rsidRPr="000E05FD" w14:paraId="1BCFC591" w14:textId="77777777">
        <w:trPr>
          <w:trHeight w:val="300"/>
        </w:trPr>
        <w:tc>
          <w:tcPr>
            <w:tcW w:w="5812" w:type="dxa"/>
            <w:tcBorders>
              <w:top w:val="nil"/>
              <w:left w:val="nil"/>
              <w:bottom w:val="nil"/>
              <w:right w:val="nil"/>
            </w:tcBorders>
            <w:noWrap/>
            <w:hideMark/>
          </w:tcPr>
          <w:p w14:paraId="09C26B7A" w14:textId="77777777" w:rsidR="009E1C7C" w:rsidRPr="000E05FD" w:rsidRDefault="009E1C7C" w:rsidP="006F633E">
            <w:pPr>
              <w:spacing w:line="276" w:lineRule="auto"/>
              <w:jc w:val="both"/>
              <w:rPr>
                <w:rFonts w:ascii="Arial" w:hAnsi="Arial" w:cs="Arial"/>
              </w:rPr>
            </w:pPr>
            <w:r w:rsidRPr="000E05FD">
              <w:rPr>
                <w:rFonts w:ascii="Arial" w:hAnsi="Arial" w:cs="Arial"/>
              </w:rPr>
              <w:t>Students who value a level playing field perceive the benefits of maintaining fairness in examinations.</w:t>
            </w:r>
          </w:p>
        </w:tc>
        <w:tc>
          <w:tcPr>
            <w:tcW w:w="851" w:type="dxa"/>
            <w:tcBorders>
              <w:top w:val="nil"/>
              <w:left w:val="nil"/>
              <w:bottom w:val="nil"/>
              <w:right w:val="nil"/>
            </w:tcBorders>
            <w:noWrap/>
            <w:hideMark/>
          </w:tcPr>
          <w:p w14:paraId="02A1EBA9" w14:textId="77777777" w:rsidR="009E1C7C" w:rsidRPr="000E05FD" w:rsidRDefault="009E1C7C" w:rsidP="006F633E">
            <w:pPr>
              <w:spacing w:line="276" w:lineRule="auto"/>
              <w:jc w:val="both"/>
              <w:rPr>
                <w:rFonts w:ascii="Arial" w:hAnsi="Arial" w:cs="Arial"/>
              </w:rPr>
            </w:pPr>
            <w:r w:rsidRPr="000E05FD">
              <w:rPr>
                <w:rFonts w:ascii="Arial" w:hAnsi="Arial" w:cs="Arial"/>
              </w:rPr>
              <w:t>14.50%</w:t>
            </w:r>
          </w:p>
        </w:tc>
        <w:tc>
          <w:tcPr>
            <w:tcW w:w="992" w:type="dxa"/>
            <w:tcBorders>
              <w:top w:val="nil"/>
              <w:left w:val="nil"/>
              <w:bottom w:val="nil"/>
              <w:right w:val="nil"/>
            </w:tcBorders>
            <w:noWrap/>
            <w:hideMark/>
          </w:tcPr>
          <w:p w14:paraId="18DA58B0" w14:textId="77777777" w:rsidR="009E1C7C" w:rsidRPr="000E05FD" w:rsidRDefault="009E1C7C" w:rsidP="006F633E">
            <w:pPr>
              <w:spacing w:line="276" w:lineRule="auto"/>
              <w:jc w:val="both"/>
              <w:rPr>
                <w:rFonts w:ascii="Arial" w:hAnsi="Arial" w:cs="Arial"/>
              </w:rPr>
            </w:pPr>
            <w:r w:rsidRPr="000E05FD">
              <w:rPr>
                <w:rFonts w:ascii="Arial" w:hAnsi="Arial" w:cs="Arial"/>
              </w:rPr>
              <w:t>23.80%</w:t>
            </w:r>
          </w:p>
        </w:tc>
        <w:tc>
          <w:tcPr>
            <w:tcW w:w="992" w:type="dxa"/>
            <w:tcBorders>
              <w:top w:val="nil"/>
              <w:left w:val="nil"/>
              <w:bottom w:val="nil"/>
              <w:right w:val="nil"/>
            </w:tcBorders>
            <w:noWrap/>
            <w:hideMark/>
          </w:tcPr>
          <w:p w14:paraId="0B890473" w14:textId="77777777" w:rsidR="009E1C7C" w:rsidRPr="000E05FD" w:rsidRDefault="009E1C7C" w:rsidP="006F633E">
            <w:pPr>
              <w:spacing w:line="276" w:lineRule="auto"/>
              <w:jc w:val="both"/>
              <w:rPr>
                <w:rFonts w:ascii="Arial" w:hAnsi="Arial" w:cs="Arial"/>
              </w:rPr>
            </w:pPr>
            <w:r w:rsidRPr="000E05FD">
              <w:rPr>
                <w:rFonts w:ascii="Arial" w:hAnsi="Arial" w:cs="Arial"/>
              </w:rPr>
              <w:t>41.80%</w:t>
            </w:r>
          </w:p>
        </w:tc>
        <w:tc>
          <w:tcPr>
            <w:tcW w:w="992" w:type="dxa"/>
            <w:tcBorders>
              <w:top w:val="nil"/>
              <w:left w:val="nil"/>
              <w:bottom w:val="nil"/>
              <w:right w:val="nil"/>
            </w:tcBorders>
            <w:noWrap/>
            <w:hideMark/>
          </w:tcPr>
          <w:p w14:paraId="227C7636" w14:textId="77777777" w:rsidR="009E1C7C" w:rsidRPr="000E05FD" w:rsidRDefault="009E1C7C" w:rsidP="006F633E">
            <w:pPr>
              <w:spacing w:line="276" w:lineRule="auto"/>
              <w:jc w:val="both"/>
              <w:rPr>
                <w:rFonts w:ascii="Arial" w:hAnsi="Arial" w:cs="Arial"/>
              </w:rPr>
            </w:pPr>
            <w:r w:rsidRPr="000E05FD">
              <w:rPr>
                <w:rFonts w:ascii="Arial" w:hAnsi="Arial" w:cs="Arial"/>
              </w:rPr>
              <w:t>19.90%</w:t>
            </w:r>
          </w:p>
        </w:tc>
      </w:tr>
      <w:tr w:rsidR="002124B4" w:rsidRPr="000E05FD" w14:paraId="48C351C9" w14:textId="77777777">
        <w:trPr>
          <w:trHeight w:val="300"/>
        </w:trPr>
        <w:tc>
          <w:tcPr>
            <w:tcW w:w="5812" w:type="dxa"/>
            <w:tcBorders>
              <w:top w:val="nil"/>
              <w:left w:val="nil"/>
              <w:bottom w:val="single" w:sz="4" w:space="0" w:color="auto"/>
              <w:right w:val="nil"/>
            </w:tcBorders>
            <w:noWrap/>
            <w:hideMark/>
          </w:tcPr>
          <w:p w14:paraId="0CDB1E40" w14:textId="77777777" w:rsidR="009E1C7C" w:rsidRPr="000E05FD" w:rsidRDefault="009E1C7C" w:rsidP="006F633E">
            <w:pPr>
              <w:spacing w:line="276" w:lineRule="auto"/>
              <w:jc w:val="both"/>
              <w:rPr>
                <w:rFonts w:ascii="Arial" w:hAnsi="Arial" w:cs="Arial"/>
              </w:rPr>
            </w:pPr>
            <w:r w:rsidRPr="000E05FD">
              <w:rPr>
                <w:rFonts w:ascii="Arial" w:hAnsi="Arial" w:cs="Arial"/>
              </w:rPr>
              <w:t>The perception that academic success directly translates to future career opportunities motivates candidates to consider academic dishonesty.</w:t>
            </w:r>
          </w:p>
        </w:tc>
        <w:tc>
          <w:tcPr>
            <w:tcW w:w="851" w:type="dxa"/>
            <w:tcBorders>
              <w:top w:val="nil"/>
              <w:left w:val="nil"/>
              <w:bottom w:val="single" w:sz="4" w:space="0" w:color="auto"/>
              <w:right w:val="nil"/>
            </w:tcBorders>
            <w:noWrap/>
            <w:hideMark/>
          </w:tcPr>
          <w:p w14:paraId="4D24372B" w14:textId="77777777" w:rsidR="009E1C7C" w:rsidRPr="000E05FD" w:rsidRDefault="009E1C7C" w:rsidP="006F633E">
            <w:pPr>
              <w:spacing w:line="276" w:lineRule="auto"/>
              <w:jc w:val="both"/>
              <w:rPr>
                <w:rFonts w:ascii="Arial" w:hAnsi="Arial" w:cs="Arial"/>
              </w:rPr>
            </w:pPr>
            <w:r w:rsidRPr="000E05FD">
              <w:rPr>
                <w:rFonts w:ascii="Arial" w:hAnsi="Arial" w:cs="Arial"/>
              </w:rPr>
              <w:t>11.70%</w:t>
            </w:r>
          </w:p>
        </w:tc>
        <w:tc>
          <w:tcPr>
            <w:tcW w:w="992" w:type="dxa"/>
            <w:tcBorders>
              <w:top w:val="nil"/>
              <w:left w:val="nil"/>
              <w:bottom w:val="single" w:sz="4" w:space="0" w:color="auto"/>
              <w:right w:val="nil"/>
            </w:tcBorders>
            <w:noWrap/>
            <w:hideMark/>
          </w:tcPr>
          <w:p w14:paraId="01655620" w14:textId="77777777" w:rsidR="009E1C7C" w:rsidRPr="000E05FD" w:rsidRDefault="009E1C7C" w:rsidP="006F633E">
            <w:pPr>
              <w:spacing w:line="276" w:lineRule="auto"/>
              <w:jc w:val="both"/>
              <w:rPr>
                <w:rFonts w:ascii="Arial" w:hAnsi="Arial" w:cs="Arial"/>
              </w:rPr>
            </w:pPr>
            <w:r w:rsidRPr="000E05FD">
              <w:rPr>
                <w:rFonts w:ascii="Arial" w:hAnsi="Arial" w:cs="Arial"/>
              </w:rPr>
              <w:t>14.10%</w:t>
            </w:r>
          </w:p>
        </w:tc>
        <w:tc>
          <w:tcPr>
            <w:tcW w:w="992" w:type="dxa"/>
            <w:tcBorders>
              <w:top w:val="nil"/>
              <w:left w:val="nil"/>
              <w:bottom w:val="single" w:sz="4" w:space="0" w:color="auto"/>
              <w:right w:val="nil"/>
            </w:tcBorders>
            <w:noWrap/>
            <w:hideMark/>
          </w:tcPr>
          <w:p w14:paraId="27A5B383" w14:textId="77777777" w:rsidR="009E1C7C" w:rsidRPr="000E05FD" w:rsidRDefault="009E1C7C" w:rsidP="006F633E">
            <w:pPr>
              <w:spacing w:line="276" w:lineRule="auto"/>
              <w:jc w:val="both"/>
              <w:rPr>
                <w:rFonts w:ascii="Arial" w:hAnsi="Arial" w:cs="Arial"/>
              </w:rPr>
            </w:pPr>
            <w:r w:rsidRPr="000E05FD">
              <w:rPr>
                <w:rFonts w:ascii="Arial" w:hAnsi="Arial" w:cs="Arial"/>
              </w:rPr>
              <w:t>53.10%</w:t>
            </w:r>
          </w:p>
        </w:tc>
        <w:tc>
          <w:tcPr>
            <w:tcW w:w="992" w:type="dxa"/>
            <w:tcBorders>
              <w:top w:val="nil"/>
              <w:left w:val="nil"/>
              <w:bottom w:val="single" w:sz="4" w:space="0" w:color="auto"/>
              <w:right w:val="nil"/>
            </w:tcBorders>
            <w:noWrap/>
            <w:hideMark/>
          </w:tcPr>
          <w:p w14:paraId="1AE470AD" w14:textId="77777777" w:rsidR="009E1C7C" w:rsidRPr="000E05FD" w:rsidRDefault="009E1C7C" w:rsidP="006F633E">
            <w:pPr>
              <w:spacing w:line="276" w:lineRule="auto"/>
              <w:jc w:val="both"/>
              <w:rPr>
                <w:rFonts w:ascii="Arial" w:hAnsi="Arial" w:cs="Arial"/>
              </w:rPr>
            </w:pPr>
            <w:r w:rsidRPr="000E05FD">
              <w:rPr>
                <w:rFonts w:ascii="Arial" w:hAnsi="Arial" w:cs="Arial"/>
              </w:rPr>
              <w:t>21.10%</w:t>
            </w:r>
          </w:p>
        </w:tc>
      </w:tr>
    </w:tbl>
    <w:p w14:paraId="08255F4E" w14:textId="17073D56" w:rsidR="009E1C7C" w:rsidRPr="000E05FD" w:rsidRDefault="009E1C7C" w:rsidP="006F633E">
      <w:pPr>
        <w:spacing w:line="276" w:lineRule="auto"/>
        <w:jc w:val="both"/>
        <w:rPr>
          <w:rFonts w:ascii="Arial" w:hAnsi="Arial" w:cs="Arial"/>
          <w:i/>
          <w:iCs/>
          <w:sz w:val="22"/>
          <w:szCs w:val="22"/>
        </w:rPr>
      </w:pPr>
      <w:r w:rsidRPr="000E05FD">
        <w:rPr>
          <w:rFonts w:ascii="Arial" w:hAnsi="Arial" w:cs="Arial"/>
          <w:i/>
          <w:iCs/>
          <w:sz w:val="22"/>
          <w:szCs w:val="22"/>
        </w:rPr>
        <w:t>Source: Researcher 2025</w:t>
      </w:r>
    </w:p>
    <w:p w14:paraId="1CC5F5E0" w14:textId="0BC8C199"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 xml:space="preserve">The table outlines the perceptions of teachers regarding various factors related to academic integrity and examination malpractices within secondary schools in Garissa Township Sub County, Kenya. These factors encompass the perceived benefits of cheating, the influence of career prospects on cheating behavior, the importance of fair competition, the value of maintaining fairness in examinations, and the relationship between academic success and future career opportunities. It was found that there is correlation between perceived benefit and exam integrity. </w:t>
      </w:r>
    </w:p>
    <w:p w14:paraId="7176513D" w14:textId="2FB7BB49"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lastRenderedPageBreak/>
        <w:t>Questionnaire item 1 shows that</w:t>
      </w:r>
      <w:r w:rsidRPr="000E05FD">
        <w:rPr>
          <w:rFonts w:ascii="Arial" w:hAnsi="Arial" w:cs="Arial"/>
          <w:b/>
          <w:bCs/>
          <w:sz w:val="22"/>
          <w:szCs w:val="22"/>
        </w:rPr>
        <w:t xml:space="preserve"> </w:t>
      </w:r>
      <w:r w:rsidRPr="000E05FD">
        <w:rPr>
          <w:rFonts w:ascii="Arial" w:hAnsi="Arial" w:cs="Arial"/>
          <w:sz w:val="22"/>
          <w:szCs w:val="22"/>
        </w:rPr>
        <w:t xml:space="preserve">a significant majority of teachers either agree or strongly agree that students' perceived benefits of cheating correlate to exam integrity, with 41.40% agreeing and 51.50% strongly agreeing. When students believe that cheating will lead to positive outcomes without significant risks or consequences, it can undermine exam integrity and promote academic misconduct. This is conforming to the study by Smith and Johnson (2017), that students who believe cheating provides a significant advantage are more likely to engage in academic dishonesty. If students perceive that cheating can help them achieve academic success, such as better grades, scholarships, or college admissions, they are more likely to engage in academic misconduct (Jones et al. </w:t>
      </w:r>
      <w:r w:rsidRPr="000E05FD">
        <w:rPr>
          <w:rFonts w:ascii="Arial" w:eastAsia="Times New Roman" w:hAnsi="Arial" w:cs="Arial"/>
          <w:sz w:val="22"/>
          <w:szCs w:val="22"/>
        </w:rPr>
        <w:t>2015)</w:t>
      </w:r>
      <w:r w:rsidRPr="000E05FD">
        <w:rPr>
          <w:rFonts w:ascii="Arial" w:hAnsi="Arial" w:cs="Arial"/>
          <w:sz w:val="22"/>
          <w:szCs w:val="22"/>
        </w:rPr>
        <w:t xml:space="preserve">. This perception can stem from high academic pressure, competition, or unrealistic expectations. </w:t>
      </w:r>
    </w:p>
    <w:p w14:paraId="63177A35" w14:textId="31951264"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 xml:space="preserve">Similarly, a substantial proportion of teachers in questionnaire item 2 agree or strongly agree that Cheating in exams can be significantly influenced by the perceived benefits of achieving high grades, which, in turn, are often linked to gaining admission to prestigious career courses or programs, with 58.60% agreeing and 26.60% strongly agreeing. According to Smith and Johnson (2018), students with a strong desire to enter competitive career courses may perceive cheating as a means to improve their academic performance and secure a place in their desired field. This pressure to secure a spot in desirable academic or career pathways can drive some students to resort to academic misconduct. Students may view high grades as a pathway to competitive career courses, internships, or job opportunities (Rogers &amp; Wright 2020). If they believe that cheating can improve their chances of gaining access to these opportunities, they may be more inclined to engage in exam malpractice. The competition for admission into top career courses, like medicine, engineering, or business, can be intense. This high level of competition can create a perception that cheating is the only way to stand out or meet the rigorous admission requirements. </w:t>
      </w:r>
    </w:p>
    <w:p w14:paraId="16B83692" w14:textId="7AEEFEFC" w:rsidR="009E1C7C" w:rsidRPr="000E05FD" w:rsidRDefault="009E1C7C" w:rsidP="006F633E">
      <w:pPr>
        <w:spacing w:before="240" w:line="276" w:lineRule="auto"/>
        <w:jc w:val="both"/>
        <w:rPr>
          <w:rFonts w:ascii="Arial" w:hAnsi="Arial" w:cs="Arial"/>
          <w:sz w:val="22"/>
          <w:szCs w:val="22"/>
        </w:rPr>
      </w:pPr>
      <w:r w:rsidRPr="000E05FD">
        <w:rPr>
          <w:rFonts w:ascii="Arial" w:hAnsi="Arial" w:cs="Arial"/>
          <w:sz w:val="22"/>
          <w:szCs w:val="22"/>
        </w:rPr>
        <w:t xml:space="preserve">Majority of the teachers in questionnaire item 3 with 56.30% agreeing and 33.60% strongly agreeing that fair competition is indeed a significant driver of examination integrity. When students, teachers, and educational institutions uphold the principles of fairness and equal opportunity, it fosters an environment where academic honesty is valued and cheating is less likely to occur. Creating a culture of academic integrity, emphasizing the importance of ethical behavior, and providing clear consequences for cheating can help reduce academic dishonesty (Williams &amp; Davis, 2021). Fair competition ensures that all students have an equal opportunity to demonstrate their knowledge and skills (Davis, 2013). When students believe that exams are conducted fairly, they are more likely to respect the process and avoid cheating. When the examination system is perceived as fair, it builds trust among students and all stakeholder (Smith &amp; Johnson, 2016). This trust is crucial for maintaining academic integrity, as it discourages students from seeking unfair advantages through cheating. A belief in fair competition reinforces the idea that success is based on merit, effort, and skills. This perception reduces the motivation to cheat, as students understand that their achievements should be based on their own work. While there is less agreement compared to previous statements, a considerable portion of respondents still agree or strongly agree on questionnaire item 4, with 41.80% agreeing and 19.90% strongly agreeing that Students who value a level playing field tend to see the benefits of maintaining fairness in examinations because they understand that a fair system ensures equal </w:t>
      </w:r>
      <w:r w:rsidRPr="000E05FD">
        <w:rPr>
          <w:rFonts w:ascii="Arial" w:hAnsi="Arial" w:cs="Arial"/>
          <w:sz w:val="22"/>
          <w:szCs w:val="22"/>
        </w:rPr>
        <w:lastRenderedPageBreak/>
        <w:t>opportunities and rewards hard work (</w:t>
      </w:r>
      <w:proofErr w:type="spellStart"/>
      <w:r w:rsidRPr="000E05FD">
        <w:rPr>
          <w:rFonts w:ascii="Arial" w:hAnsi="Arial" w:cs="Arial"/>
          <w:sz w:val="22"/>
          <w:szCs w:val="22"/>
        </w:rPr>
        <w:t>Hosotani</w:t>
      </w:r>
      <w:proofErr w:type="spellEnd"/>
      <w:r w:rsidRPr="000E05FD">
        <w:rPr>
          <w:rFonts w:ascii="Arial" w:hAnsi="Arial" w:cs="Arial"/>
          <w:sz w:val="22"/>
          <w:szCs w:val="22"/>
        </w:rPr>
        <w:t xml:space="preserve"> &amp; Imai-Matsumura, 2011). This perception can play a significant role in promoting academic integrity and reducing cheating. </w:t>
      </w:r>
    </w:p>
    <w:p w14:paraId="3412476C" w14:textId="5E84C81B"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Lastly a significant portion of the teachers’ respondents agree or strongly agree, with 53.10% agreeing and 21.10% strongly agreeing in questionnaire items 5 that the perception that academic success directly translates to future career opportunities can be a strong motivator for candidates to consider academic dishonesty. When students believe that high grades and academic achievements are the primary keys to unlocking career success, they may be more tempted to engage in dishonest practices like cheating on exams (Anderman &amp; Murdock 2007). According to Green and Wilson (2019), students from cultures that emphasize high academic achievement are more likely to feel pressure to succeed, which can lead to academic dishonesty (Green &amp; Wilson, 2019). Additionally, societal expectations for career success can contribute to the belief that academic achievements are crucial for future opportunities. To address academic dishonesty motivated by career aspirations, educational institutions can implement various strategies. According to Smith and Johnson (2017), many students believe that high grades and academic achievements are critical for entering competitive job markets and securing well-paying positions. This perception can create pressure to succeed academically, leading some students to consider academic dishonesty as a means to achieve their goals. The pressure to succeed academically can be a significant motivator for academic dishonesty. Cultural and societal factors also play a role in shaping students' perceptions of academic success and its impact on career opportunities.</w:t>
      </w:r>
    </w:p>
    <w:p w14:paraId="3C4ABF8B" w14:textId="1BC5219F" w:rsidR="009E1C7C" w:rsidRPr="000E05FD" w:rsidRDefault="009E1C7C" w:rsidP="006F633E">
      <w:pPr>
        <w:pStyle w:val="Heading1"/>
        <w:spacing w:before="0" w:after="240" w:line="276" w:lineRule="auto"/>
        <w:jc w:val="both"/>
        <w:rPr>
          <w:rFonts w:ascii="Arial" w:hAnsi="Arial" w:cs="Arial"/>
          <w:color w:val="auto"/>
          <w:sz w:val="22"/>
          <w:szCs w:val="22"/>
        </w:rPr>
      </w:pPr>
      <w:bookmarkStart w:id="15" w:name="_Toc198038919"/>
      <w:bookmarkStart w:id="16" w:name="_Toc206345287"/>
      <w:bookmarkStart w:id="17" w:name="_Toc207705236"/>
      <w:r w:rsidRPr="000E05FD">
        <w:rPr>
          <w:rFonts w:ascii="Arial" w:hAnsi="Arial" w:cs="Arial"/>
          <w:color w:val="auto"/>
          <w:sz w:val="22"/>
          <w:szCs w:val="22"/>
        </w:rPr>
        <w:t xml:space="preserve">Table </w:t>
      </w:r>
      <w:r w:rsidR="00BC50B6" w:rsidRPr="000E05FD">
        <w:rPr>
          <w:rFonts w:ascii="Arial" w:hAnsi="Arial" w:cs="Arial"/>
          <w:color w:val="auto"/>
          <w:sz w:val="22"/>
          <w:szCs w:val="22"/>
        </w:rPr>
        <w:t>2</w:t>
      </w:r>
      <w:r w:rsidRPr="000E05FD">
        <w:rPr>
          <w:rFonts w:ascii="Arial" w:hAnsi="Arial" w:cs="Arial"/>
          <w:color w:val="auto"/>
          <w:sz w:val="22"/>
          <w:szCs w:val="22"/>
        </w:rPr>
        <w:t>:</w:t>
      </w:r>
      <w:bookmarkStart w:id="18" w:name="_Toc198038920"/>
      <w:bookmarkStart w:id="19" w:name="_Toc206345288"/>
      <w:bookmarkStart w:id="20" w:name="_Toc207705237"/>
      <w:bookmarkEnd w:id="15"/>
      <w:bookmarkEnd w:id="16"/>
      <w:bookmarkEnd w:id="17"/>
      <w:r w:rsidR="0076317E" w:rsidRPr="0076317E">
        <w:rPr>
          <w:rFonts w:ascii="Arial" w:hAnsi="Arial" w:cs="Arial"/>
          <w:i/>
          <w:iCs/>
          <w:color w:val="auto"/>
          <w:sz w:val="22"/>
          <w:szCs w:val="22"/>
        </w:rPr>
        <w:t xml:space="preserve"> </w:t>
      </w:r>
      <w:r w:rsidR="0076317E" w:rsidRPr="000E05FD">
        <w:rPr>
          <w:rFonts w:ascii="Arial" w:hAnsi="Arial" w:cs="Arial"/>
          <w:i/>
          <w:iCs/>
          <w:color w:val="auto"/>
          <w:sz w:val="22"/>
          <w:szCs w:val="22"/>
        </w:rPr>
        <w:t>Descriptive Analysis of Students on Perceived Benefits</w:t>
      </w:r>
      <w:r w:rsidR="0076317E" w:rsidRPr="000E05FD">
        <w:rPr>
          <w:rFonts w:ascii="Arial" w:hAnsi="Arial" w:cs="Arial"/>
          <w:color w:val="auto"/>
          <w:sz w:val="22"/>
          <w:szCs w:val="22"/>
        </w:rPr>
        <w:t xml:space="preserve"> </w:t>
      </w:r>
      <w:r w:rsidR="0076317E" w:rsidRPr="000E05FD">
        <w:rPr>
          <w:rFonts w:ascii="Arial" w:hAnsi="Arial" w:cs="Arial"/>
          <w:i/>
          <w:iCs/>
          <w:color w:val="auto"/>
          <w:sz w:val="22"/>
          <w:szCs w:val="22"/>
        </w:rPr>
        <w:t>and the Level of Academic Integrity and Exam Malpractices in KCSE</w:t>
      </w:r>
      <w:bookmarkEnd w:id="18"/>
      <w:bookmarkEnd w:id="19"/>
      <w:bookmarkEnd w:id="20"/>
    </w:p>
    <w:p w14:paraId="1AA31203" w14:textId="4A6341E3" w:rsidR="009E1C7C" w:rsidRPr="000E05FD" w:rsidRDefault="009E1C7C" w:rsidP="006F633E">
      <w:pPr>
        <w:pStyle w:val="Heading1"/>
        <w:spacing w:before="0" w:after="240" w:line="276" w:lineRule="auto"/>
        <w:jc w:val="both"/>
        <w:rPr>
          <w:rFonts w:ascii="Arial" w:hAnsi="Arial" w:cs="Arial"/>
          <w:i/>
          <w:iCs/>
          <w:color w:val="auto"/>
          <w:sz w:val="22"/>
          <w:szCs w:val="22"/>
        </w:rPr>
      </w:pP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92"/>
        <w:gridCol w:w="992"/>
        <w:gridCol w:w="1134"/>
        <w:gridCol w:w="1134"/>
      </w:tblGrid>
      <w:tr w:rsidR="002124B4" w:rsidRPr="000E05FD" w14:paraId="27D6FB71" w14:textId="77777777">
        <w:tc>
          <w:tcPr>
            <w:tcW w:w="4962" w:type="dxa"/>
            <w:tcBorders>
              <w:top w:val="single" w:sz="4" w:space="0" w:color="auto"/>
              <w:left w:val="nil"/>
              <w:bottom w:val="single" w:sz="4" w:space="0" w:color="auto"/>
              <w:right w:val="nil"/>
            </w:tcBorders>
            <w:hideMark/>
          </w:tcPr>
          <w:p w14:paraId="7CF6C0BF" w14:textId="77777777" w:rsidR="009E1C7C" w:rsidRPr="000E05FD" w:rsidRDefault="009E1C7C" w:rsidP="006F633E">
            <w:pPr>
              <w:spacing w:line="276" w:lineRule="auto"/>
              <w:jc w:val="both"/>
              <w:rPr>
                <w:rFonts w:ascii="Arial" w:hAnsi="Arial" w:cs="Arial"/>
              </w:rPr>
            </w:pPr>
            <w:r w:rsidRPr="000E05FD">
              <w:rPr>
                <w:rFonts w:ascii="Arial" w:hAnsi="Arial" w:cs="Arial"/>
              </w:rPr>
              <w:t>Statement</w:t>
            </w:r>
          </w:p>
        </w:tc>
        <w:tc>
          <w:tcPr>
            <w:tcW w:w="992" w:type="dxa"/>
            <w:tcBorders>
              <w:top w:val="single" w:sz="4" w:space="0" w:color="auto"/>
              <w:left w:val="nil"/>
              <w:bottom w:val="single" w:sz="4" w:space="0" w:color="auto"/>
              <w:right w:val="nil"/>
            </w:tcBorders>
            <w:hideMark/>
          </w:tcPr>
          <w:p w14:paraId="214D606A" w14:textId="77777777" w:rsidR="009E1C7C" w:rsidRPr="000E05FD" w:rsidRDefault="009E1C7C" w:rsidP="006F633E">
            <w:pPr>
              <w:spacing w:line="276" w:lineRule="auto"/>
              <w:jc w:val="both"/>
              <w:rPr>
                <w:rFonts w:ascii="Arial" w:hAnsi="Arial" w:cs="Arial"/>
              </w:rPr>
            </w:pPr>
            <w:r w:rsidRPr="000E05FD">
              <w:rPr>
                <w:rFonts w:ascii="Arial" w:hAnsi="Arial" w:cs="Arial"/>
              </w:rPr>
              <w:t>SD (%)</w:t>
            </w:r>
          </w:p>
        </w:tc>
        <w:tc>
          <w:tcPr>
            <w:tcW w:w="992" w:type="dxa"/>
            <w:tcBorders>
              <w:top w:val="single" w:sz="4" w:space="0" w:color="auto"/>
              <w:left w:val="nil"/>
              <w:bottom w:val="single" w:sz="4" w:space="0" w:color="auto"/>
              <w:right w:val="nil"/>
            </w:tcBorders>
            <w:hideMark/>
          </w:tcPr>
          <w:p w14:paraId="30789441" w14:textId="77777777" w:rsidR="009E1C7C" w:rsidRPr="000E05FD" w:rsidRDefault="009E1C7C" w:rsidP="006F633E">
            <w:pPr>
              <w:spacing w:line="276" w:lineRule="auto"/>
              <w:jc w:val="both"/>
              <w:rPr>
                <w:rFonts w:ascii="Arial" w:hAnsi="Arial" w:cs="Arial"/>
              </w:rPr>
            </w:pPr>
            <w:r w:rsidRPr="000E05FD">
              <w:rPr>
                <w:rFonts w:ascii="Arial" w:hAnsi="Arial" w:cs="Arial"/>
              </w:rPr>
              <w:t>D (%)</w:t>
            </w:r>
          </w:p>
        </w:tc>
        <w:tc>
          <w:tcPr>
            <w:tcW w:w="1134" w:type="dxa"/>
            <w:tcBorders>
              <w:top w:val="single" w:sz="4" w:space="0" w:color="auto"/>
              <w:left w:val="nil"/>
              <w:bottom w:val="single" w:sz="4" w:space="0" w:color="auto"/>
              <w:right w:val="nil"/>
            </w:tcBorders>
            <w:hideMark/>
          </w:tcPr>
          <w:p w14:paraId="1CDC61F9" w14:textId="77777777" w:rsidR="009E1C7C" w:rsidRPr="000E05FD" w:rsidRDefault="009E1C7C" w:rsidP="006F633E">
            <w:pPr>
              <w:spacing w:line="276" w:lineRule="auto"/>
              <w:jc w:val="both"/>
              <w:rPr>
                <w:rFonts w:ascii="Arial" w:hAnsi="Arial" w:cs="Arial"/>
              </w:rPr>
            </w:pPr>
            <w:r w:rsidRPr="000E05FD">
              <w:rPr>
                <w:rFonts w:ascii="Arial" w:hAnsi="Arial" w:cs="Arial"/>
              </w:rPr>
              <w:t>A (%)</w:t>
            </w:r>
          </w:p>
        </w:tc>
        <w:tc>
          <w:tcPr>
            <w:tcW w:w="1134" w:type="dxa"/>
            <w:tcBorders>
              <w:top w:val="single" w:sz="4" w:space="0" w:color="auto"/>
              <w:left w:val="nil"/>
              <w:bottom w:val="single" w:sz="4" w:space="0" w:color="auto"/>
              <w:right w:val="nil"/>
            </w:tcBorders>
            <w:hideMark/>
          </w:tcPr>
          <w:p w14:paraId="4DA75790" w14:textId="77777777" w:rsidR="009E1C7C" w:rsidRPr="000E05FD" w:rsidRDefault="009E1C7C" w:rsidP="006F633E">
            <w:pPr>
              <w:spacing w:line="276" w:lineRule="auto"/>
              <w:jc w:val="both"/>
              <w:rPr>
                <w:rFonts w:ascii="Arial" w:hAnsi="Arial" w:cs="Arial"/>
              </w:rPr>
            </w:pPr>
            <w:r w:rsidRPr="000E05FD">
              <w:rPr>
                <w:rFonts w:ascii="Arial" w:hAnsi="Arial" w:cs="Arial"/>
              </w:rPr>
              <w:t>SA (%)</w:t>
            </w:r>
          </w:p>
        </w:tc>
      </w:tr>
      <w:tr w:rsidR="002124B4" w:rsidRPr="000E05FD" w14:paraId="2748E132" w14:textId="77777777">
        <w:tc>
          <w:tcPr>
            <w:tcW w:w="4962" w:type="dxa"/>
            <w:tcBorders>
              <w:top w:val="single" w:sz="4" w:space="0" w:color="auto"/>
              <w:left w:val="nil"/>
              <w:bottom w:val="nil"/>
              <w:right w:val="nil"/>
            </w:tcBorders>
            <w:hideMark/>
          </w:tcPr>
          <w:p w14:paraId="7D78E681" w14:textId="77777777" w:rsidR="009E1C7C" w:rsidRPr="000E05FD" w:rsidRDefault="009E1C7C" w:rsidP="006F633E">
            <w:pPr>
              <w:spacing w:line="276" w:lineRule="auto"/>
              <w:jc w:val="both"/>
              <w:rPr>
                <w:rFonts w:ascii="Arial" w:hAnsi="Arial" w:cs="Arial"/>
              </w:rPr>
            </w:pPr>
            <w:r w:rsidRPr="000E05FD">
              <w:rPr>
                <w:rFonts w:ascii="Arial" w:hAnsi="Arial" w:cs="Arial"/>
              </w:rPr>
              <w:t>Students cheat because they think it helps.</w:t>
            </w:r>
          </w:p>
        </w:tc>
        <w:tc>
          <w:tcPr>
            <w:tcW w:w="992" w:type="dxa"/>
            <w:tcBorders>
              <w:top w:val="single" w:sz="4" w:space="0" w:color="auto"/>
              <w:left w:val="nil"/>
              <w:bottom w:val="nil"/>
              <w:right w:val="nil"/>
            </w:tcBorders>
            <w:hideMark/>
          </w:tcPr>
          <w:p w14:paraId="222FD581" w14:textId="77777777" w:rsidR="009E1C7C" w:rsidRPr="000E05FD" w:rsidRDefault="009E1C7C" w:rsidP="006F633E">
            <w:pPr>
              <w:spacing w:line="276" w:lineRule="auto"/>
              <w:jc w:val="both"/>
              <w:rPr>
                <w:rFonts w:ascii="Arial" w:hAnsi="Arial" w:cs="Arial"/>
              </w:rPr>
            </w:pPr>
            <w:r w:rsidRPr="000E05FD">
              <w:rPr>
                <w:rFonts w:ascii="Arial" w:hAnsi="Arial" w:cs="Arial"/>
              </w:rPr>
              <w:t>13.1%</w:t>
            </w:r>
          </w:p>
        </w:tc>
        <w:tc>
          <w:tcPr>
            <w:tcW w:w="992" w:type="dxa"/>
            <w:tcBorders>
              <w:top w:val="single" w:sz="4" w:space="0" w:color="auto"/>
              <w:left w:val="nil"/>
              <w:bottom w:val="nil"/>
              <w:right w:val="nil"/>
            </w:tcBorders>
            <w:hideMark/>
          </w:tcPr>
          <w:p w14:paraId="201E8C68" w14:textId="77777777" w:rsidR="009E1C7C" w:rsidRPr="000E05FD" w:rsidRDefault="009E1C7C" w:rsidP="006F633E">
            <w:pPr>
              <w:spacing w:line="276" w:lineRule="auto"/>
              <w:jc w:val="both"/>
              <w:rPr>
                <w:rFonts w:ascii="Arial" w:hAnsi="Arial" w:cs="Arial"/>
              </w:rPr>
            </w:pPr>
            <w:r w:rsidRPr="000E05FD">
              <w:rPr>
                <w:rFonts w:ascii="Arial" w:hAnsi="Arial" w:cs="Arial"/>
              </w:rPr>
              <w:t>18.7%</w:t>
            </w:r>
          </w:p>
        </w:tc>
        <w:tc>
          <w:tcPr>
            <w:tcW w:w="1134" w:type="dxa"/>
            <w:tcBorders>
              <w:top w:val="single" w:sz="4" w:space="0" w:color="auto"/>
              <w:left w:val="nil"/>
              <w:bottom w:val="nil"/>
              <w:right w:val="nil"/>
            </w:tcBorders>
            <w:hideMark/>
          </w:tcPr>
          <w:p w14:paraId="4EFD43C1" w14:textId="77777777" w:rsidR="009E1C7C" w:rsidRPr="000E05FD" w:rsidRDefault="009E1C7C" w:rsidP="006F633E">
            <w:pPr>
              <w:spacing w:line="276" w:lineRule="auto"/>
              <w:jc w:val="both"/>
              <w:rPr>
                <w:rFonts w:ascii="Arial" w:hAnsi="Arial" w:cs="Arial"/>
              </w:rPr>
            </w:pPr>
            <w:r w:rsidRPr="000E05FD">
              <w:rPr>
                <w:rFonts w:ascii="Arial" w:hAnsi="Arial" w:cs="Arial"/>
              </w:rPr>
              <w:t>49.4%</w:t>
            </w:r>
          </w:p>
        </w:tc>
        <w:tc>
          <w:tcPr>
            <w:tcW w:w="1134" w:type="dxa"/>
            <w:tcBorders>
              <w:top w:val="single" w:sz="4" w:space="0" w:color="auto"/>
              <w:left w:val="nil"/>
              <w:bottom w:val="nil"/>
              <w:right w:val="nil"/>
            </w:tcBorders>
            <w:hideMark/>
          </w:tcPr>
          <w:p w14:paraId="651D1203" w14:textId="77777777" w:rsidR="009E1C7C" w:rsidRPr="000E05FD" w:rsidRDefault="009E1C7C" w:rsidP="006F633E">
            <w:pPr>
              <w:spacing w:line="276" w:lineRule="auto"/>
              <w:jc w:val="both"/>
              <w:rPr>
                <w:rFonts w:ascii="Arial" w:hAnsi="Arial" w:cs="Arial"/>
              </w:rPr>
            </w:pPr>
            <w:r w:rsidRPr="000E05FD">
              <w:rPr>
                <w:rFonts w:ascii="Arial" w:hAnsi="Arial" w:cs="Arial"/>
              </w:rPr>
              <w:t>18.8%</w:t>
            </w:r>
          </w:p>
        </w:tc>
      </w:tr>
      <w:tr w:rsidR="002124B4" w:rsidRPr="000E05FD" w14:paraId="4E98A48A" w14:textId="77777777">
        <w:tc>
          <w:tcPr>
            <w:tcW w:w="4962" w:type="dxa"/>
            <w:tcBorders>
              <w:top w:val="nil"/>
              <w:left w:val="nil"/>
              <w:bottom w:val="nil"/>
              <w:right w:val="nil"/>
            </w:tcBorders>
            <w:hideMark/>
          </w:tcPr>
          <w:p w14:paraId="31F4086B" w14:textId="77777777" w:rsidR="009E1C7C" w:rsidRPr="000E05FD" w:rsidRDefault="009E1C7C" w:rsidP="006F633E">
            <w:pPr>
              <w:spacing w:line="276" w:lineRule="auto"/>
              <w:jc w:val="both"/>
              <w:rPr>
                <w:rFonts w:ascii="Arial" w:hAnsi="Arial" w:cs="Arial"/>
              </w:rPr>
            </w:pPr>
            <w:r w:rsidRPr="000E05FD">
              <w:rPr>
                <w:rFonts w:ascii="Arial" w:hAnsi="Arial" w:cs="Arial"/>
              </w:rPr>
              <w:t>Students cheat to get into better careers.</w:t>
            </w:r>
          </w:p>
        </w:tc>
        <w:tc>
          <w:tcPr>
            <w:tcW w:w="992" w:type="dxa"/>
            <w:tcBorders>
              <w:top w:val="nil"/>
              <w:left w:val="nil"/>
              <w:bottom w:val="nil"/>
              <w:right w:val="nil"/>
            </w:tcBorders>
            <w:hideMark/>
          </w:tcPr>
          <w:p w14:paraId="79F3AEC2" w14:textId="77777777" w:rsidR="009E1C7C" w:rsidRPr="000E05FD" w:rsidRDefault="009E1C7C" w:rsidP="006F633E">
            <w:pPr>
              <w:spacing w:line="276" w:lineRule="auto"/>
              <w:jc w:val="both"/>
              <w:rPr>
                <w:rFonts w:ascii="Arial" w:hAnsi="Arial" w:cs="Arial"/>
              </w:rPr>
            </w:pPr>
            <w:r w:rsidRPr="000E05FD">
              <w:rPr>
                <w:rFonts w:ascii="Arial" w:hAnsi="Arial" w:cs="Arial"/>
              </w:rPr>
              <w:t>14.4%</w:t>
            </w:r>
          </w:p>
        </w:tc>
        <w:tc>
          <w:tcPr>
            <w:tcW w:w="992" w:type="dxa"/>
            <w:tcBorders>
              <w:top w:val="nil"/>
              <w:left w:val="nil"/>
              <w:bottom w:val="nil"/>
              <w:right w:val="nil"/>
            </w:tcBorders>
            <w:hideMark/>
          </w:tcPr>
          <w:p w14:paraId="14844A08" w14:textId="77777777" w:rsidR="009E1C7C" w:rsidRPr="000E05FD" w:rsidRDefault="009E1C7C" w:rsidP="006F633E">
            <w:pPr>
              <w:spacing w:line="276" w:lineRule="auto"/>
              <w:jc w:val="both"/>
              <w:rPr>
                <w:rFonts w:ascii="Arial" w:hAnsi="Arial" w:cs="Arial"/>
              </w:rPr>
            </w:pPr>
            <w:r w:rsidRPr="000E05FD">
              <w:rPr>
                <w:rFonts w:ascii="Arial" w:hAnsi="Arial" w:cs="Arial"/>
              </w:rPr>
              <w:t>22.9%</w:t>
            </w:r>
          </w:p>
        </w:tc>
        <w:tc>
          <w:tcPr>
            <w:tcW w:w="1134" w:type="dxa"/>
            <w:tcBorders>
              <w:top w:val="nil"/>
              <w:left w:val="nil"/>
              <w:bottom w:val="nil"/>
              <w:right w:val="nil"/>
            </w:tcBorders>
            <w:hideMark/>
          </w:tcPr>
          <w:p w14:paraId="3218CAA2" w14:textId="77777777" w:rsidR="009E1C7C" w:rsidRPr="000E05FD" w:rsidRDefault="009E1C7C" w:rsidP="006F633E">
            <w:pPr>
              <w:spacing w:line="276" w:lineRule="auto"/>
              <w:jc w:val="both"/>
              <w:rPr>
                <w:rFonts w:ascii="Arial" w:hAnsi="Arial" w:cs="Arial"/>
              </w:rPr>
            </w:pPr>
            <w:r w:rsidRPr="000E05FD">
              <w:rPr>
                <w:rFonts w:ascii="Arial" w:hAnsi="Arial" w:cs="Arial"/>
              </w:rPr>
              <w:t>45.4%</w:t>
            </w:r>
          </w:p>
        </w:tc>
        <w:tc>
          <w:tcPr>
            <w:tcW w:w="1134" w:type="dxa"/>
            <w:tcBorders>
              <w:top w:val="nil"/>
              <w:left w:val="nil"/>
              <w:bottom w:val="nil"/>
              <w:right w:val="nil"/>
            </w:tcBorders>
            <w:hideMark/>
          </w:tcPr>
          <w:p w14:paraId="7C226564" w14:textId="77777777" w:rsidR="009E1C7C" w:rsidRPr="000E05FD" w:rsidRDefault="009E1C7C" w:rsidP="006F633E">
            <w:pPr>
              <w:spacing w:line="276" w:lineRule="auto"/>
              <w:jc w:val="both"/>
              <w:rPr>
                <w:rFonts w:ascii="Arial" w:hAnsi="Arial" w:cs="Arial"/>
              </w:rPr>
            </w:pPr>
            <w:r w:rsidRPr="000E05FD">
              <w:rPr>
                <w:rFonts w:ascii="Arial" w:hAnsi="Arial" w:cs="Arial"/>
              </w:rPr>
              <w:t>17.3%</w:t>
            </w:r>
          </w:p>
        </w:tc>
      </w:tr>
      <w:tr w:rsidR="002124B4" w:rsidRPr="000E05FD" w14:paraId="040EAAE7" w14:textId="77777777">
        <w:tc>
          <w:tcPr>
            <w:tcW w:w="4962" w:type="dxa"/>
            <w:tcBorders>
              <w:top w:val="nil"/>
              <w:left w:val="nil"/>
              <w:bottom w:val="nil"/>
              <w:right w:val="nil"/>
            </w:tcBorders>
            <w:hideMark/>
          </w:tcPr>
          <w:p w14:paraId="50ED1BAC" w14:textId="77777777" w:rsidR="009E1C7C" w:rsidRPr="000E05FD" w:rsidRDefault="009E1C7C" w:rsidP="006F633E">
            <w:pPr>
              <w:spacing w:line="276" w:lineRule="auto"/>
              <w:jc w:val="both"/>
              <w:rPr>
                <w:rFonts w:ascii="Arial" w:hAnsi="Arial" w:cs="Arial"/>
              </w:rPr>
            </w:pPr>
            <w:r w:rsidRPr="000E05FD">
              <w:rPr>
                <w:rFonts w:ascii="Arial" w:hAnsi="Arial" w:cs="Arial"/>
              </w:rPr>
              <w:t>Fair competition discourages cheating.</w:t>
            </w:r>
          </w:p>
        </w:tc>
        <w:tc>
          <w:tcPr>
            <w:tcW w:w="992" w:type="dxa"/>
            <w:tcBorders>
              <w:top w:val="nil"/>
              <w:left w:val="nil"/>
              <w:bottom w:val="nil"/>
              <w:right w:val="nil"/>
            </w:tcBorders>
            <w:hideMark/>
          </w:tcPr>
          <w:p w14:paraId="334B71A6" w14:textId="77777777" w:rsidR="009E1C7C" w:rsidRPr="000E05FD" w:rsidRDefault="009E1C7C" w:rsidP="006F633E">
            <w:pPr>
              <w:spacing w:line="276" w:lineRule="auto"/>
              <w:jc w:val="both"/>
              <w:rPr>
                <w:rFonts w:ascii="Arial" w:hAnsi="Arial" w:cs="Arial"/>
              </w:rPr>
            </w:pPr>
            <w:r w:rsidRPr="000E05FD">
              <w:rPr>
                <w:rFonts w:ascii="Arial" w:hAnsi="Arial" w:cs="Arial"/>
              </w:rPr>
              <w:t>11.2%</w:t>
            </w:r>
          </w:p>
        </w:tc>
        <w:tc>
          <w:tcPr>
            <w:tcW w:w="992" w:type="dxa"/>
            <w:tcBorders>
              <w:top w:val="nil"/>
              <w:left w:val="nil"/>
              <w:bottom w:val="nil"/>
              <w:right w:val="nil"/>
            </w:tcBorders>
            <w:hideMark/>
          </w:tcPr>
          <w:p w14:paraId="7053B0D0" w14:textId="77777777" w:rsidR="009E1C7C" w:rsidRPr="000E05FD" w:rsidRDefault="009E1C7C" w:rsidP="006F633E">
            <w:pPr>
              <w:spacing w:line="276" w:lineRule="auto"/>
              <w:jc w:val="both"/>
              <w:rPr>
                <w:rFonts w:ascii="Arial" w:hAnsi="Arial" w:cs="Arial"/>
              </w:rPr>
            </w:pPr>
            <w:r w:rsidRPr="000E05FD">
              <w:rPr>
                <w:rFonts w:ascii="Arial" w:hAnsi="Arial" w:cs="Arial"/>
              </w:rPr>
              <w:t>16.6%</w:t>
            </w:r>
          </w:p>
        </w:tc>
        <w:tc>
          <w:tcPr>
            <w:tcW w:w="1134" w:type="dxa"/>
            <w:tcBorders>
              <w:top w:val="nil"/>
              <w:left w:val="nil"/>
              <w:bottom w:val="nil"/>
              <w:right w:val="nil"/>
            </w:tcBorders>
            <w:hideMark/>
          </w:tcPr>
          <w:p w14:paraId="55B30EA7" w14:textId="77777777" w:rsidR="009E1C7C" w:rsidRPr="000E05FD" w:rsidRDefault="009E1C7C" w:rsidP="006F633E">
            <w:pPr>
              <w:spacing w:line="276" w:lineRule="auto"/>
              <w:jc w:val="both"/>
              <w:rPr>
                <w:rFonts w:ascii="Arial" w:hAnsi="Arial" w:cs="Arial"/>
              </w:rPr>
            </w:pPr>
            <w:r w:rsidRPr="000E05FD">
              <w:rPr>
                <w:rFonts w:ascii="Arial" w:hAnsi="Arial" w:cs="Arial"/>
              </w:rPr>
              <w:t>51.1%</w:t>
            </w:r>
          </w:p>
        </w:tc>
        <w:tc>
          <w:tcPr>
            <w:tcW w:w="1134" w:type="dxa"/>
            <w:tcBorders>
              <w:top w:val="nil"/>
              <w:left w:val="nil"/>
              <w:bottom w:val="nil"/>
              <w:right w:val="nil"/>
            </w:tcBorders>
            <w:hideMark/>
          </w:tcPr>
          <w:p w14:paraId="5145F682" w14:textId="77777777" w:rsidR="009E1C7C" w:rsidRPr="000E05FD" w:rsidRDefault="009E1C7C" w:rsidP="006F633E">
            <w:pPr>
              <w:spacing w:line="276" w:lineRule="auto"/>
              <w:jc w:val="both"/>
              <w:rPr>
                <w:rFonts w:ascii="Arial" w:hAnsi="Arial" w:cs="Arial"/>
              </w:rPr>
            </w:pPr>
            <w:r w:rsidRPr="000E05FD">
              <w:rPr>
                <w:rFonts w:ascii="Arial" w:hAnsi="Arial" w:cs="Arial"/>
              </w:rPr>
              <w:t>21.1%</w:t>
            </w:r>
          </w:p>
        </w:tc>
      </w:tr>
      <w:tr w:rsidR="002124B4" w:rsidRPr="000E05FD" w14:paraId="2EBF8412" w14:textId="77777777">
        <w:tc>
          <w:tcPr>
            <w:tcW w:w="4962" w:type="dxa"/>
            <w:tcBorders>
              <w:top w:val="nil"/>
              <w:left w:val="nil"/>
              <w:bottom w:val="nil"/>
              <w:right w:val="nil"/>
            </w:tcBorders>
            <w:hideMark/>
          </w:tcPr>
          <w:p w14:paraId="41BF12F2" w14:textId="77777777" w:rsidR="009E1C7C" w:rsidRPr="000E05FD" w:rsidRDefault="009E1C7C" w:rsidP="006F633E">
            <w:pPr>
              <w:spacing w:line="276" w:lineRule="auto"/>
              <w:jc w:val="both"/>
              <w:rPr>
                <w:rFonts w:ascii="Arial" w:hAnsi="Arial" w:cs="Arial"/>
              </w:rPr>
            </w:pPr>
            <w:r w:rsidRPr="000E05FD">
              <w:rPr>
                <w:rFonts w:ascii="Arial" w:hAnsi="Arial" w:cs="Arial"/>
              </w:rPr>
              <w:t>Students who want fairness avoid cheating.</w:t>
            </w:r>
          </w:p>
        </w:tc>
        <w:tc>
          <w:tcPr>
            <w:tcW w:w="992" w:type="dxa"/>
            <w:tcBorders>
              <w:top w:val="nil"/>
              <w:left w:val="nil"/>
              <w:bottom w:val="nil"/>
              <w:right w:val="nil"/>
            </w:tcBorders>
            <w:hideMark/>
          </w:tcPr>
          <w:p w14:paraId="5A469C23" w14:textId="77777777" w:rsidR="009E1C7C" w:rsidRPr="000E05FD" w:rsidRDefault="009E1C7C" w:rsidP="006F633E">
            <w:pPr>
              <w:spacing w:line="276" w:lineRule="auto"/>
              <w:jc w:val="both"/>
              <w:rPr>
                <w:rFonts w:ascii="Arial" w:hAnsi="Arial" w:cs="Arial"/>
              </w:rPr>
            </w:pPr>
            <w:r w:rsidRPr="000E05FD">
              <w:rPr>
                <w:rFonts w:ascii="Arial" w:hAnsi="Arial" w:cs="Arial"/>
              </w:rPr>
              <w:t>9.2%</w:t>
            </w:r>
          </w:p>
        </w:tc>
        <w:tc>
          <w:tcPr>
            <w:tcW w:w="992" w:type="dxa"/>
            <w:tcBorders>
              <w:top w:val="nil"/>
              <w:left w:val="nil"/>
              <w:bottom w:val="nil"/>
              <w:right w:val="nil"/>
            </w:tcBorders>
            <w:hideMark/>
          </w:tcPr>
          <w:p w14:paraId="61E0DCD4" w14:textId="77777777" w:rsidR="009E1C7C" w:rsidRPr="000E05FD" w:rsidRDefault="009E1C7C" w:rsidP="006F633E">
            <w:pPr>
              <w:spacing w:line="276" w:lineRule="auto"/>
              <w:jc w:val="both"/>
              <w:rPr>
                <w:rFonts w:ascii="Arial" w:hAnsi="Arial" w:cs="Arial"/>
              </w:rPr>
            </w:pPr>
            <w:r w:rsidRPr="000E05FD">
              <w:rPr>
                <w:rFonts w:ascii="Arial" w:hAnsi="Arial" w:cs="Arial"/>
              </w:rPr>
              <w:t>13.9%</w:t>
            </w:r>
          </w:p>
        </w:tc>
        <w:tc>
          <w:tcPr>
            <w:tcW w:w="1134" w:type="dxa"/>
            <w:tcBorders>
              <w:top w:val="nil"/>
              <w:left w:val="nil"/>
              <w:bottom w:val="nil"/>
              <w:right w:val="nil"/>
            </w:tcBorders>
            <w:hideMark/>
          </w:tcPr>
          <w:p w14:paraId="0A84A35C" w14:textId="77777777" w:rsidR="009E1C7C" w:rsidRPr="000E05FD" w:rsidRDefault="009E1C7C" w:rsidP="006F633E">
            <w:pPr>
              <w:spacing w:line="276" w:lineRule="auto"/>
              <w:jc w:val="both"/>
              <w:rPr>
                <w:rFonts w:ascii="Arial" w:hAnsi="Arial" w:cs="Arial"/>
              </w:rPr>
            </w:pPr>
            <w:r w:rsidRPr="000E05FD">
              <w:rPr>
                <w:rFonts w:ascii="Arial" w:hAnsi="Arial" w:cs="Arial"/>
              </w:rPr>
              <w:t>55.4%</w:t>
            </w:r>
          </w:p>
        </w:tc>
        <w:tc>
          <w:tcPr>
            <w:tcW w:w="1134" w:type="dxa"/>
            <w:tcBorders>
              <w:top w:val="nil"/>
              <w:left w:val="nil"/>
              <w:bottom w:val="nil"/>
              <w:right w:val="nil"/>
            </w:tcBorders>
            <w:hideMark/>
          </w:tcPr>
          <w:p w14:paraId="1D7BBAF1" w14:textId="77777777" w:rsidR="009E1C7C" w:rsidRPr="000E05FD" w:rsidRDefault="009E1C7C" w:rsidP="006F633E">
            <w:pPr>
              <w:spacing w:line="276" w:lineRule="auto"/>
              <w:jc w:val="both"/>
              <w:rPr>
                <w:rFonts w:ascii="Arial" w:hAnsi="Arial" w:cs="Arial"/>
              </w:rPr>
            </w:pPr>
            <w:r w:rsidRPr="000E05FD">
              <w:rPr>
                <w:rFonts w:ascii="Arial" w:hAnsi="Arial" w:cs="Arial"/>
              </w:rPr>
              <w:t>21.5%</w:t>
            </w:r>
          </w:p>
        </w:tc>
      </w:tr>
      <w:tr w:rsidR="002124B4" w:rsidRPr="000E05FD" w14:paraId="4A5B680B" w14:textId="77777777">
        <w:tc>
          <w:tcPr>
            <w:tcW w:w="4962" w:type="dxa"/>
            <w:tcBorders>
              <w:top w:val="nil"/>
              <w:left w:val="nil"/>
              <w:bottom w:val="single" w:sz="4" w:space="0" w:color="auto"/>
              <w:right w:val="nil"/>
            </w:tcBorders>
            <w:hideMark/>
          </w:tcPr>
          <w:p w14:paraId="043A7C30" w14:textId="77777777" w:rsidR="009E1C7C" w:rsidRPr="000E05FD" w:rsidRDefault="009E1C7C" w:rsidP="006F633E">
            <w:pPr>
              <w:spacing w:line="276" w:lineRule="auto"/>
              <w:jc w:val="both"/>
              <w:rPr>
                <w:rFonts w:ascii="Arial" w:hAnsi="Arial" w:cs="Arial"/>
              </w:rPr>
            </w:pPr>
            <w:r w:rsidRPr="000E05FD">
              <w:rPr>
                <w:rFonts w:ascii="Arial" w:hAnsi="Arial" w:cs="Arial"/>
              </w:rPr>
              <w:t>Good grades = better jobs, so students cheat.</w:t>
            </w:r>
          </w:p>
        </w:tc>
        <w:tc>
          <w:tcPr>
            <w:tcW w:w="992" w:type="dxa"/>
            <w:tcBorders>
              <w:top w:val="nil"/>
              <w:left w:val="nil"/>
              <w:bottom w:val="single" w:sz="4" w:space="0" w:color="auto"/>
              <w:right w:val="nil"/>
            </w:tcBorders>
            <w:hideMark/>
          </w:tcPr>
          <w:p w14:paraId="52BAE227" w14:textId="77777777" w:rsidR="009E1C7C" w:rsidRPr="000E05FD" w:rsidRDefault="009E1C7C" w:rsidP="006F633E">
            <w:pPr>
              <w:spacing w:line="276" w:lineRule="auto"/>
              <w:jc w:val="both"/>
              <w:rPr>
                <w:rFonts w:ascii="Arial" w:hAnsi="Arial" w:cs="Arial"/>
              </w:rPr>
            </w:pPr>
            <w:r w:rsidRPr="000E05FD">
              <w:rPr>
                <w:rFonts w:ascii="Arial" w:hAnsi="Arial" w:cs="Arial"/>
              </w:rPr>
              <w:t>14.6%</w:t>
            </w:r>
          </w:p>
        </w:tc>
        <w:tc>
          <w:tcPr>
            <w:tcW w:w="992" w:type="dxa"/>
            <w:tcBorders>
              <w:top w:val="nil"/>
              <w:left w:val="nil"/>
              <w:bottom w:val="single" w:sz="4" w:space="0" w:color="auto"/>
              <w:right w:val="nil"/>
            </w:tcBorders>
            <w:hideMark/>
          </w:tcPr>
          <w:p w14:paraId="6682CC28" w14:textId="77777777" w:rsidR="009E1C7C" w:rsidRPr="000E05FD" w:rsidRDefault="009E1C7C" w:rsidP="006F633E">
            <w:pPr>
              <w:spacing w:line="276" w:lineRule="auto"/>
              <w:jc w:val="both"/>
              <w:rPr>
                <w:rFonts w:ascii="Arial" w:hAnsi="Arial" w:cs="Arial"/>
              </w:rPr>
            </w:pPr>
            <w:r w:rsidRPr="000E05FD">
              <w:rPr>
                <w:rFonts w:ascii="Arial" w:hAnsi="Arial" w:cs="Arial"/>
              </w:rPr>
              <w:t>20.9%</w:t>
            </w:r>
          </w:p>
        </w:tc>
        <w:tc>
          <w:tcPr>
            <w:tcW w:w="1134" w:type="dxa"/>
            <w:tcBorders>
              <w:top w:val="nil"/>
              <w:left w:val="nil"/>
              <w:bottom w:val="single" w:sz="4" w:space="0" w:color="auto"/>
              <w:right w:val="nil"/>
            </w:tcBorders>
            <w:hideMark/>
          </w:tcPr>
          <w:p w14:paraId="42DEFA24" w14:textId="77777777" w:rsidR="009E1C7C" w:rsidRPr="000E05FD" w:rsidRDefault="009E1C7C" w:rsidP="006F633E">
            <w:pPr>
              <w:spacing w:line="276" w:lineRule="auto"/>
              <w:jc w:val="both"/>
              <w:rPr>
                <w:rFonts w:ascii="Arial" w:hAnsi="Arial" w:cs="Arial"/>
              </w:rPr>
            </w:pPr>
            <w:r w:rsidRPr="000E05FD">
              <w:rPr>
                <w:rFonts w:ascii="Arial" w:hAnsi="Arial" w:cs="Arial"/>
              </w:rPr>
              <w:t>47.2%</w:t>
            </w:r>
          </w:p>
        </w:tc>
        <w:tc>
          <w:tcPr>
            <w:tcW w:w="1134" w:type="dxa"/>
            <w:tcBorders>
              <w:top w:val="nil"/>
              <w:left w:val="nil"/>
              <w:bottom w:val="single" w:sz="4" w:space="0" w:color="auto"/>
              <w:right w:val="nil"/>
            </w:tcBorders>
            <w:hideMark/>
          </w:tcPr>
          <w:p w14:paraId="7F2F0839" w14:textId="77777777" w:rsidR="009E1C7C" w:rsidRPr="000E05FD" w:rsidRDefault="009E1C7C" w:rsidP="006F633E">
            <w:pPr>
              <w:spacing w:line="276" w:lineRule="auto"/>
              <w:jc w:val="both"/>
              <w:rPr>
                <w:rFonts w:ascii="Arial" w:hAnsi="Arial" w:cs="Arial"/>
              </w:rPr>
            </w:pPr>
            <w:r w:rsidRPr="000E05FD">
              <w:rPr>
                <w:rFonts w:ascii="Arial" w:hAnsi="Arial" w:cs="Arial"/>
              </w:rPr>
              <w:t>17.3%</w:t>
            </w:r>
          </w:p>
        </w:tc>
      </w:tr>
    </w:tbl>
    <w:p w14:paraId="2FB35938" w14:textId="0855D1FC" w:rsidR="009E1C7C" w:rsidRPr="000E05FD" w:rsidRDefault="009E1C7C" w:rsidP="006F633E">
      <w:pPr>
        <w:spacing w:line="276" w:lineRule="auto"/>
        <w:jc w:val="both"/>
        <w:rPr>
          <w:rFonts w:ascii="Arial" w:hAnsi="Arial" w:cs="Arial"/>
          <w:i/>
          <w:iCs/>
          <w:sz w:val="22"/>
          <w:szCs w:val="22"/>
        </w:rPr>
      </w:pPr>
      <w:r w:rsidRPr="000E05FD">
        <w:rPr>
          <w:rFonts w:ascii="Arial" w:hAnsi="Arial" w:cs="Arial"/>
          <w:i/>
          <w:iCs/>
          <w:sz w:val="22"/>
          <w:szCs w:val="22"/>
        </w:rPr>
        <w:t>Source: Researcher 202</w:t>
      </w:r>
      <w:r w:rsidR="00A71600" w:rsidRPr="000E05FD">
        <w:rPr>
          <w:rFonts w:ascii="Arial" w:hAnsi="Arial" w:cs="Arial"/>
          <w:i/>
          <w:iCs/>
          <w:sz w:val="22"/>
          <w:szCs w:val="22"/>
        </w:rPr>
        <w:t>5</w:t>
      </w:r>
    </w:p>
    <w:p w14:paraId="0E72906A" w14:textId="77777777"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 xml:space="preserve">The responses highlight students’ views on the motivations behind cheating and the role of fairness in promoting academic integrity. A significant number of students (49.4% agreed and 18.8% strongly agreed) acknowledged that cheating is often driven by the belief that it is beneficial, totaling 68.2% in agreement. Similarly, 62.7% (45.4% agreed and 17.3% strongly agreed) felt that students cheat to improve their chances of entering better careers, while a sizeable 37.3% (14.4% strongly disagreed and 22.9% disagreed) indicating some uncertainty or mixed beliefs about long-term motivations. </w:t>
      </w:r>
    </w:p>
    <w:p w14:paraId="2B1C3C04" w14:textId="6F897D84"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 xml:space="preserve">Fairness emerges as a strong deterrent to cheating. The statement that fair competition discourages cheating received 72.2% agreement (51.1% agreed and 21.1% strongly agreed), suggesting that creating equitable academic environments may reduce dishonest behaviors. Even more compelling, 76.9% of students (55.4% agreed and 21.5% strongly agreed) agreed that </w:t>
      </w:r>
      <w:r w:rsidRPr="000E05FD">
        <w:rPr>
          <w:rFonts w:ascii="Arial" w:hAnsi="Arial" w:cs="Arial"/>
          <w:sz w:val="22"/>
          <w:szCs w:val="22"/>
        </w:rPr>
        <w:lastRenderedPageBreak/>
        <w:t>students who value fairness are less likely to cheat, highlighting the potential of cultivating fairness-focused values in promoting academic integrity. Finally, when asked whether students cheat because good grades are seen as the gateway to better jobs, 64.5% agreed (47.2% agreed and 17.3% strongly agreed), while 35.5% disagreed or strongly disagreed. This indicates that grade pressure tied to future job prospects may be a strong incentive for some students to engage in dishonest practices.</w:t>
      </w:r>
    </w:p>
    <w:p w14:paraId="7537406A" w14:textId="589B7A72" w:rsidR="009E1C7C" w:rsidRPr="000E05FD" w:rsidRDefault="009E1C7C" w:rsidP="006F633E">
      <w:pPr>
        <w:pStyle w:val="Heading1"/>
        <w:spacing w:before="0" w:after="240" w:line="276" w:lineRule="auto"/>
        <w:jc w:val="both"/>
        <w:rPr>
          <w:rFonts w:ascii="Arial" w:hAnsi="Arial" w:cs="Arial"/>
          <w:color w:val="auto"/>
          <w:sz w:val="22"/>
          <w:szCs w:val="22"/>
        </w:rPr>
      </w:pPr>
      <w:bookmarkStart w:id="21" w:name="_Toc198038921"/>
      <w:bookmarkStart w:id="22" w:name="_Toc206345289"/>
      <w:bookmarkStart w:id="23" w:name="_Toc207705238"/>
      <w:r w:rsidRPr="000E05FD">
        <w:rPr>
          <w:rFonts w:ascii="Arial" w:hAnsi="Arial" w:cs="Arial"/>
          <w:color w:val="auto"/>
          <w:sz w:val="22"/>
          <w:szCs w:val="22"/>
        </w:rPr>
        <w:t xml:space="preserve">Table </w:t>
      </w:r>
      <w:r w:rsidR="00A71600" w:rsidRPr="000E05FD">
        <w:rPr>
          <w:rFonts w:ascii="Arial" w:hAnsi="Arial" w:cs="Arial"/>
          <w:color w:val="auto"/>
          <w:sz w:val="22"/>
          <w:szCs w:val="22"/>
        </w:rPr>
        <w:t>3</w:t>
      </w:r>
      <w:r w:rsidRPr="000E05FD">
        <w:rPr>
          <w:rFonts w:ascii="Arial" w:hAnsi="Arial" w:cs="Arial"/>
          <w:color w:val="auto"/>
          <w:sz w:val="22"/>
          <w:szCs w:val="22"/>
        </w:rPr>
        <w:t>:</w:t>
      </w:r>
      <w:bookmarkStart w:id="24" w:name="_Toc198038922"/>
      <w:bookmarkStart w:id="25" w:name="_Toc206345290"/>
      <w:bookmarkStart w:id="26" w:name="_Toc207705239"/>
      <w:bookmarkEnd w:id="21"/>
      <w:bookmarkEnd w:id="22"/>
      <w:bookmarkEnd w:id="23"/>
      <w:r w:rsidR="0076317E" w:rsidRPr="0076317E">
        <w:rPr>
          <w:rFonts w:ascii="Arial" w:hAnsi="Arial" w:cs="Arial"/>
          <w:i/>
          <w:iCs/>
          <w:color w:val="auto"/>
          <w:sz w:val="22"/>
          <w:szCs w:val="22"/>
        </w:rPr>
        <w:t xml:space="preserve"> </w:t>
      </w:r>
      <w:r w:rsidR="0076317E" w:rsidRPr="000E05FD">
        <w:rPr>
          <w:rFonts w:ascii="Arial" w:hAnsi="Arial" w:cs="Arial"/>
          <w:i/>
          <w:iCs/>
          <w:color w:val="auto"/>
          <w:sz w:val="22"/>
          <w:szCs w:val="22"/>
        </w:rPr>
        <w:t>Mean and standard deviation of perceived benefits items</w:t>
      </w:r>
      <w:bookmarkEnd w:id="24"/>
      <w:r w:rsidR="0076317E" w:rsidRPr="000E05FD">
        <w:rPr>
          <w:rFonts w:ascii="Arial" w:hAnsi="Arial" w:cs="Arial"/>
          <w:i/>
          <w:iCs/>
          <w:color w:val="auto"/>
          <w:sz w:val="22"/>
          <w:szCs w:val="22"/>
        </w:rPr>
        <w:t xml:space="preserve"> (Teachers)</w:t>
      </w:r>
      <w:bookmarkEnd w:id="25"/>
      <w:bookmarkEnd w:id="26"/>
    </w:p>
    <w:p w14:paraId="63AF0FFA" w14:textId="3185F6A4" w:rsidR="009E1C7C" w:rsidRPr="000E05FD" w:rsidRDefault="009E1C7C" w:rsidP="006F633E">
      <w:pPr>
        <w:pStyle w:val="Heading1"/>
        <w:spacing w:before="0" w:after="240" w:line="276" w:lineRule="auto"/>
        <w:jc w:val="both"/>
        <w:rPr>
          <w:rFonts w:ascii="Arial" w:hAnsi="Arial" w:cs="Arial"/>
          <w:i/>
          <w:iCs/>
          <w:color w:val="auto"/>
          <w:sz w:val="22"/>
          <w:szCs w:val="22"/>
        </w:rPr>
      </w:pPr>
    </w:p>
    <w:tbl>
      <w:tblPr>
        <w:tblStyle w:val="TableGrid"/>
        <w:tblW w:w="9816"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75"/>
        <w:gridCol w:w="311"/>
        <w:gridCol w:w="697"/>
        <w:gridCol w:w="1889"/>
      </w:tblGrid>
      <w:tr w:rsidR="002124B4" w:rsidRPr="000E05FD" w14:paraId="64744067" w14:textId="77777777">
        <w:trPr>
          <w:trHeight w:val="181"/>
        </w:trPr>
        <w:tc>
          <w:tcPr>
            <w:tcW w:w="6663" w:type="dxa"/>
            <w:tcBorders>
              <w:top w:val="single" w:sz="4" w:space="0" w:color="auto"/>
              <w:left w:val="nil"/>
              <w:bottom w:val="single" w:sz="4" w:space="0" w:color="auto"/>
              <w:right w:val="nil"/>
            </w:tcBorders>
            <w:noWrap/>
            <w:hideMark/>
          </w:tcPr>
          <w:p w14:paraId="4E04D232" w14:textId="77777777" w:rsidR="009E1C7C" w:rsidRPr="000E05FD" w:rsidRDefault="009E1C7C" w:rsidP="006F633E">
            <w:pPr>
              <w:spacing w:line="276" w:lineRule="auto"/>
              <w:jc w:val="both"/>
              <w:rPr>
                <w:rFonts w:ascii="Arial" w:hAnsi="Arial" w:cs="Arial"/>
              </w:rPr>
            </w:pPr>
            <w:r w:rsidRPr="000E05FD">
              <w:rPr>
                <w:rFonts w:ascii="Arial" w:hAnsi="Arial" w:cs="Arial"/>
              </w:rPr>
              <w:t>Statements</w:t>
            </w:r>
          </w:p>
        </w:tc>
        <w:tc>
          <w:tcPr>
            <w:tcW w:w="256" w:type="dxa"/>
            <w:tcBorders>
              <w:top w:val="single" w:sz="4" w:space="0" w:color="auto"/>
              <w:left w:val="nil"/>
              <w:bottom w:val="single" w:sz="4" w:space="0" w:color="auto"/>
              <w:right w:val="nil"/>
            </w:tcBorders>
            <w:hideMark/>
          </w:tcPr>
          <w:p w14:paraId="2A00A2FB" w14:textId="77777777" w:rsidR="009E1C7C" w:rsidRPr="000E05FD" w:rsidRDefault="009E1C7C" w:rsidP="006F633E">
            <w:pPr>
              <w:spacing w:line="276" w:lineRule="auto"/>
              <w:jc w:val="both"/>
              <w:rPr>
                <w:rFonts w:ascii="Arial" w:hAnsi="Arial" w:cs="Arial"/>
              </w:rPr>
            </w:pPr>
            <w:r w:rsidRPr="000E05FD">
              <w:rPr>
                <w:rFonts w:ascii="Arial" w:hAnsi="Arial" w:cs="Arial"/>
              </w:rPr>
              <w:t>N</w:t>
            </w:r>
          </w:p>
        </w:tc>
        <w:tc>
          <w:tcPr>
            <w:tcW w:w="1008" w:type="dxa"/>
            <w:gridSpan w:val="2"/>
            <w:tcBorders>
              <w:top w:val="single" w:sz="4" w:space="0" w:color="auto"/>
              <w:left w:val="nil"/>
              <w:bottom w:val="single" w:sz="4" w:space="0" w:color="auto"/>
              <w:right w:val="nil"/>
            </w:tcBorders>
            <w:noWrap/>
            <w:hideMark/>
          </w:tcPr>
          <w:p w14:paraId="7579305A" w14:textId="77777777" w:rsidR="009E1C7C" w:rsidRPr="000E05FD" w:rsidRDefault="009E1C7C" w:rsidP="006F633E">
            <w:pPr>
              <w:spacing w:line="276" w:lineRule="auto"/>
              <w:jc w:val="both"/>
              <w:rPr>
                <w:rFonts w:ascii="Arial" w:hAnsi="Arial" w:cs="Arial"/>
              </w:rPr>
            </w:pPr>
            <w:r w:rsidRPr="000E05FD">
              <w:rPr>
                <w:rFonts w:ascii="Arial" w:hAnsi="Arial" w:cs="Arial"/>
              </w:rPr>
              <w:t>Mean</w:t>
            </w:r>
          </w:p>
        </w:tc>
        <w:tc>
          <w:tcPr>
            <w:tcW w:w="1889" w:type="dxa"/>
            <w:tcBorders>
              <w:top w:val="single" w:sz="4" w:space="0" w:color="auto"/>
              <w:left w:val="nil"/>
              <w:bottom w:val="single" w:sz="4" w:space="0" w:color="auto"/>
              <w:right w:val="nil"/>
            </w:tcBorders>
            <w:noWrap/>
            <w:hideMark/>
          </w:tcPr>
          <w:p w14:paraId="4540DD3D" w14:textId="77777777" w:rsidR="009E1C7C" w:rsidRPr="000E05FD" w:rsidRDefault="009E1C7C" w:rsidP="006F633E">
            <w:pPr>
              <w:spacing w:line="276" w:lineRule="auto"/>
              <w:jc w:val="both"/>
              <w:rPr>
                <w:rFonts w:ascii="Arial" w:hAnsi="Arial" w:cs="Arial"/>
              </w:rPr>
            </w:pPr>
            <w:r w:rsidRPr="000E05FD">
              <w:rPr>
                <w:rFonts w:ascii="Arial" w:hAnsi="Arial" w:cs="Arial"/>
              </w:rPr>
              <w:t>Std. Deviation</w:t>
            </w:r>
          </w:p>
        </w:tc>
      </w:tr>
      <w:tr w:rsidR="002124B4" w:rsidRPr="000E05FD" w14:paraId="1FFEB03D" w14:textId="77777777">
        <w:trPr>
          <w:trHeight w:val="181"/>
        </w:trPr>
        <w:tc>
          <w:tcPr>
            <w:tcW w:w="6663" w:type="dxa"/>
            <w:tcBorders>
              <w:top w:val="single" w:sz="4" w:space="0" w:color="auto"/>
              <w:left w:val="nil"/>
              <w:bottom w:val="nil"/>
              <w:right w:val="nil"/>
            </w:tcBorders>
            <w:noWrap/>
            <w:hideMark/>
          </w:tcPr>
          <w:p w14:paraId="5AD7A80D" w14:textId="77777777" w:rsidR="009E1C7C" w:rsidRPr="000E05FD" w:rsidRDefault="009E1C7C" w:rsidP="006F633E">
            <w:pPr>
              <w:spacing w:line="276" w:lineRule="auto"/>
              <w:jc w:val="both"/>
              <w:rPr>
                <w:rFonts w:ascii="Arial" w:hAnsi="Arial" w:cs="Arial"/>
              </w:rPr>
            </w:pPr>
            <w:r w:rsidRPr="000E05FD">
              <w:rPr>
                <w:rFonts w:ascii="Arial" w:hAnsi="Arial" w:cs="Arial"/>
              </w:rPr>
              <w:t>Students perceived benefits of cheating correlate to exam integrity</w:t>
            </w:r>
          </w:p>
        </w:tc>
        <w:tc>
          <w:tcPr>
            <w:tcW w:w="567" w:type="dxa"/>
            <w:gridSpan w:val="2"/>
            <w:tcBorders>
              <w:top w:val="single" w:sz="4" w:space="0" w:color="auto"/>
              <w:left w:val="nil"/>
              <w:bottom w:val="nil"/>
              <w:right w:val="nil"/>
            </w:tcBorders>
            <w:hideMark/>
          </w:tcPr>
          <w:p w14:paraId="1E56E57F"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c>
          <w:tcPr>
            <w:tcW w:w="697" w:type="dxa"/>
            <w:tcBorders>
              <w:top w:val="single" w:sz="4" w:space="0" w:color="auto"/>
              <w:left w:val="nil"/>
              <w:bottom w:val="nil"/>
              <w:right w:val="nil"/>
            </w:tcBorders>
            <w:noWrap/>
            <w:hideMark/>
          </w:tcPr>
          <w:p w14:paraId="06AF0CC3" w14:textId="77777777" w:rsidR="009E1C7C" w:rsidRPr="000E05FD" w:rsidRDefault="009E1C7C" w:rsidP="006F633E">
            <w:pPr>
              <w:spacing w:line="276" w:lineRule="auto"/>
              <w:jc w:val="both"/>
              <w:rPr>
                <w:rFonts w:ascii="Arial" w:hAnsi="Arial" w:cs="Arial"/>
              </w:rPr>
            </w:pPr>
            <w:r w:rsidRPr="000E05FD">
              <w:rPr>
                <w:rFonts w:ascii="Arial" w:hAnsi="Arial" w:cs="Arial"/>
              </w:rPr>
              <w:t>4.35</w:t>
            </w:r>
          </w:p>
        </w:tc>
        <w:tc>
          <w:tcPr>
            <w:tcW w:w="1889" w:type="dxa"/>
            <w:tcBorders>
              <w:top w:val="single" w:sz="4" w:space="0" w:color="auto"/>
              <w:left w:val="nil"/>
              <w:bottom w:val="nil"/>
              <w:right w:val="nil"/>
            </w:tcBorders>
            <w:noWrap/>
            <w:hideMark/>
          </w:tcPr>
          <w:p w14:paraId="04893D3B" w14:textId="77777777" w:rsidR="009E1C7C" w:rsidRPr="000E05FD" w:rsidRDefault="009E1C7C" w:rsidP="006F633E">
            <w:pPr>
              <w:spacing w:line="276" w:lineRule="auto"/>
              <w:jc w:val="both"/>
              <w:rPr>
                <w:rFonts w:ascii="Arial" w:hAnsi="Arial" w:cs="Arial"/>
              </w:rPr>
            </w:pPr>
            <w:r w:rsidRPr="000E05FD">
              <w:rPr>
                <w:rFonts w:ascii="Arial" w:hAnsi="Arial" w:cs="Arial"/>
              </w:rPr>
              <w:t>0.749</w:t>
            </w:r>
          </w:p>
        </w:tc>
      </w:tr>
      <w:tr w:rsidR="002124B4" w:rsidRPr="000E05FD" w14:paraId="1E12D14C" w14:textId="77777777">
        <w:trPr>
          <w:trHeight w:val="181"/>
        </w:trPr>
        <w:tc>
          <w:tcPr>
            <w:tcW w:w="6663" w:type="dxa"/>
            <w:tcBorders>
              <w:top w:val="nil"/>
              <w:left w:val="nil"/>
              <w:bottom w:val="nil"/>
              <w:right w:val="nil"/>
            </w:tcBorders>
            <w:noWrap/>
            <w:hideMark/>
          </w:tcPr>
          <w:p w14:paraId="08BBE9A8" w14:textId="77777777" w:rsidR="009E1C7C" w:rsidRPr="000E05FD" w:rsidRDefault="009E1C7C" w:rsidP="006F633E">
            <w:pPr>
              <w:spacing w:line="276" w:lineRule="auto"/>
              <w:jc w:val="both"/>
              <w:rPr>
                <w:rFonts w:ascii="Arial" w:hAnsi="Arial" w:cs="Arial"/>
              </w:rPr>
            </w:pPr>
            <w:r w:rsidRPr="000E05FD">
              <w:rPr>
                <w:rFonts w:ascii="Arial" w:hAnsi="Arial" w:cs="Arial"/>
              </w:rPr>
              <w:t>Cheating in exams is influenced by Perceived benefits of getting good career courses.</w:t>
            </w:r>
          </w:p>
        </w:tc>
        <w:tc>
          <w:tcPr>
            <w:tcW w:w="567" w:type="dxa"/>
            <w:gridSpan w:val="2"/>
            <w:tcBorders>
              <w:top w:val="nil"/>
              <w:left w:val="nil"/>
              <w:bottom w:val="nil"/>
              <w:right w:val="nil"/>
            </w:tcBorders>
            <w:hideMark/>
          </w:tcPr>
          <w:p w14:paraId="2BFF8F2D"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c>
          <w:tcPr>
            <w:tcW w:w="697" w:type="dxa"/>
            <w:tcBorders>
              <w:top w:val="nil"/>
              <w:left w:val="nil"/>
              <w:bottom w:val="nil"/>
              <w:right w:val="nil"/>
            </w:tcBorders>
            <w:noWrap/>
            <w:hideMark/>
          </w:tcPr>
          <w:p w14:paraId="06246D38" w14:textId="77777777" w:rsidR="009E1C7C" w:rsidRPr="000E05FD" w:rsidRDefault="009E1C7C" w:rsidP="006F633E">
            <w:pPr>
              <w:spacing w:line="276" w:lineRule="auto"/>
              <w:jc w:val="both"/>
              <w:rPr>
                <w:rFonts w:ascii="Arial" w:hAnsi="Arial" w:cs="Arial"/>
              </w:rPr>
            </w:pPr>
            <w:r w:rsidRPr="000E05FD">
              <w:rPr>
                <w:rFonts w:ascii="Arial" w:hAnsi="Arial" w:cs="Arial"/>
              </w:rPr>
              <w:t>3.91</w:t>
            </w:r>
          </w:p>
        </w:tc>
        <w:tc>
          <w:tcPr>
            <w:tcW w:w="1889" w:type="dxa"/>
            <w:tcBorders>
              <w:top w:val="nil"/>
              <w:left w:val="nil"/>
              <w:bottom w:val="nil"/>
              <w:right w:val="nil"/>
            </w:tcBorders>
            <w:noWrap/>
            <w:hideMark/>
          </w:tcPr>
          <w:p w14:paraId="3E7EB5D7" w14:textId="77777777" w:rsidR="009E1C7C" w:rsidRPr="000E05FD" w:rsidRDefault="009E1C7C" w:rsidP="006F633E">
            <w:pPr>
              <w:spacing w:line="276" w:lineRule="auto"/>
              <w:jc w:val="both"/>
              <w:rPr>
                <w:rFonts w:ascii="Arial" w:hAnsi="Arial" w:cs="Arial"/>
              </w:rPr>
            </w:pPr>
            <w:r w:rsidRPr="000E05FD">
              <w:rPr>
                <w:rFonts w:ascii="Arial" w:hAnsi="Arial" w:cs="Arial"/>
              </w:rPr>
              <w:t>0.861</w:t>
            </w:r>
          </w:p>
        </w:tc>
      </w:tr>
      <w:tr w:rsidR="002124B4" w:rsidRPr="000E05FD" w14:paraId="216AF6D8" w14:textId="77777777">
        <w:trPr>
          <w:trHeight w:val="181"/>
        </w:trPr>
        <w:tc>
          <w:tcPr>
            <w:tcW w:w="6663" w:type="dxa"/>
            <w:tcBorders>
              <w:top w:val="nil"/>
              <w:left w:val="nil"/>
              <w:bottom w:val="nil"/>
              <w:right w:val="nil"/>
            </w:tcBorders>
            <w:noWrap/>
            <w:hideMark/>
          </w:tcPr>
          <w:p w14:paraId="52F4226E" w14:textId="77777777" w:rsidR="009E1C7C" w:rsidRPr="000E05FD" w:rsidRDefault="009E1C7C" w:rsidP="006F633E">
            <w:pPr>
              <w:spacing w:line="276" w:lineRule="auto"/>
              <w:jc w:val="both"/>
              <w:rPr>
                <w:rFonts w:ascii="Arial" w:hAnsi="Arial" w:cs="Arial"/>
              </w:rPr>
            </w:pPr>
            <w:r w:rsidRPr="000E05FD">
              <w:rPr>
                <w:rFonts w:ascii="Arial" w:hAnsi="Arial" w:cs="Arial"/>
              </w:rPr>
              <w:t>The belief in fair competition is a significant driver of examination integrity.</w:t>
            </w:r>
          </w:p>
        </w:tc>
        <w:tc>
          <w:tcPr>
            <w:tcW w:w="567" w:type="dxa"/>
            <w:gridSpan w:val="2"/>
            <w:tcBorders>
              <w:top w:val="nil"/>
              <w:left w:val="nil"/>
              <w:bottom w:val="nil"/>
              <w:right w:val="nil"/>
            </w:tcBorders>
            <w:hideMark/>
          </w:tcPr>
          <w:p w14:paraId="7AD9BD49"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c>
          <w:tcPr>
            <w:tcW w:w="697" w:type="dxa"/>
            <w:tcBorders>
              <w:top w:val="nil"/>
              <w:left w:val="nil"/>
              <w:bottom w:val="nil"/>
              <w:right w:val="nil"/>
            </w:tcBorders>
            <w:noWrap/>
            <w:hideMark/>
          </w:tcPr>
          <w:p w14:paraId="0E3F85DF" w14:textId="77777777" w:rsidR="009E1C7C" w:rsidRPr="000E05FD" w:rsidRDefault="009E1C7C" w:rsidP="006F633E">
            <w:pPr>
              <w:spacing w:line="276" w:lineRule="auto"/>
              <w:jc w:val="both"/>
              <w:rPr>
                <w:rFonts w:ascii="Arial" w:hAnsi="Arial" w:cs="Arial"/>
              </w:rPr>
            </w:pPr>
            <w:r w:rsidRPr="000E05FD">
              <w:rPr>
                <w:rFonts w:ascii="Arial" w:hAnsi="Arial" w:cs="Arial"/>
              </w:rPr>
              <w:t>4.09</w:t>
            </w:r>
          </w:p>
        </w:tc>
        <w:tc>
          <w:tcPr>
            <w:tcW w:w="1889" w:type="dxa"/>
            <w:tcBorders>
              <w:top w:val="nil"/>
              <w:left w:val="nil"/>
              <w:bottom w:val="nil"/>
              <w:right w:val="nil"/>
            </w:tcBorders>
            <w:noWrap/>
            <w:hideMark/>
          </w:tcPr>
          <w:p w14:paraId="35FF624D" w14:textId="77777777" w:rsidR="009E1C7C" w:rsidRPr="000E05FD" w:rsidRDefault="009E1C7C" w:rsidP="006F633E">
            <w:pPr>
              <w:spacing w:line="276" w:lineRule="auto"/>
              <w:jc w:val="both"/>
              <w:rPr>
                <w:rFonts w:ascii="Arial" w:hAnsi="Arial" w:cs="Arial"/>
              </w:rPr>
            </w:pPr>
            <w:r w:rsidRPr="000E05FD">
              <w:rPr>
                <w:rFonts w:ascii="Arial" w:hAnsi="Arial" w:cs="Arial"/>
              </w:rPr>
              <w:t>0.71</w:t>
            </w:r>
          </w:p>
        </w:tc>
      </w:tr>
      <w:tr w:rsidR="002124B4" w:rsidRPr="000E05FD" w14:paraId="660A4023" w14:textId="77777777">
        <w:trPr>
          <w:trHeight w:val="181"/>
        </w:trPr>
        <w:tc>
          <w:tcPr>
            <w:tcW w:w="6663" w:type="dxa"/>
            <w:tcBorders>
              <w:top w:val="nil"/>
              <w:left w:val="nil"/>
              <w:bottom w:val="nil"/>
              <w:right w:val="nil"/>
            </w:tcBorders>
            <w:noWrap/>
            <w:hideMark/>
          </w:tcPr>
          <w:p w14:paraId="1F8C9244" w14:textId="77777777" w:rsidR="009E1C7C" w:rsidRPr="000E05FD" w:rsidRDefault="009E1C7C" w:rsidP="006F633E">
            <w:pPr>
              <w:spacing w:line="276" w:lineRule="auto"/>
              <w:jc w:val="both"/>
              <w:rPr>
                <w:rFonts w:ascii="Arial" w:hAnsi="Arial" w:cs="Arial"/>
              </w:rPr>
            </w:pPr>
            <w:r w:rsidRPr="000E05FD">
              <w:rPr>
                <w:rFonts w:ascii="Arial" w:hAnsi="Arial" w:cs="Arial"/>
              </w:rPr>
              <w:t>Students who value a level playing field perceive the benefits of maintaining fairness in examinations.</w:t>
            </w:r>
          </w:p>
        </w:tc>
        <w:tc>
          <w:tcPr>
            <w:tcW w:w="567" w:type="dxa"/>
            <w:gridSpan w:val="2"/>
            <w:tcBorders>
              <w:top w:val="nil"/>
              <w:left w:val="nil"/>
              <w:bottom w:val="nil"/>
              <w:right w:val="nil"/>
            </w:tcBorders>
            <w:hideMark/>
          </w:tcPr>
          <w:p w14:paraId="6ED3ED5A"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c>
          <w:tcPr>
            <w:tcW w:w="697" w:type="dxa"/>
            <w:tcBorders>
              <w:top w:val="nil"/>
              <w:left w:val="nil"/>
              <w:bottom w:val="nil"/>
              <w:right w:val="nil"/>
            </w:tcBorders>
            <w:noWrap/>
            <w:hideMark/>
          </w:tcPr>
          <w:p w14:paraId="53458DCE" w14:textId="77777777" w:rsidR="009E1C7C" w:rsidRPr="000E05FD" w:rsidRDefault="009E1C7C" w:rsidP="006F633E">
            <w:pPr>
              <w:spacing w:line="276" w:lineRule="auto"/>
              <w:jc w:val="both"/>
              <w:rPr>
                <w:rFonts w:ascii="Arial" w:hAnsi="Arial" w:cs="Arial"/>
              </w:rPr>
            </w:pPr>
            <w:r w:rsidRPr="000E05FD">
              <w:rPr>
                <w:rFonts w:ascii="Arial" w:hAnsi="Arial" w:cs="Arial"/>
              </w:rPr>
              <w:t>3.29</w:t>
            </w:r>
          </w:p>
        </w:tc>
        <w:tc>
          <w:tcPr>
            <w:tcW w:w="1889" w:type="dxa"/>
            <w:tcBorders>
              <w:top w:val="nil"/>
              <w:left w:val="nil"/>
              <w:bottom w:val="nil"/>
              <w:right w:val="nil"/>
            </w:tcBorders>
            <w:noWrap/>
            <w:hideMark/>
          </w:tcPr>
          <w:p w14:paraId="2E5DF845" w14:textId="77777777" w:rsidR="009E1C7C" w:rsidRPr="000E05FD" w:rsidRDefault="009E1C7C" w:rsidP="006F633E">
            <w:pPr>
              <w:spacing w:line="276" w:lineRule="auto"/>
              <w:jc w:val="both"/>
              <w:rPr>
                <w:rFonts w:ascii="Arial" w:hAnsi="Arial" w:cs="Arial"/>
              </w:rPr>
            </w:pPr>
            <w:r w:rsidRPr="000E05FD">
              <w:rPr>
                <w:rFonts w:ascii="Arial" w:hAnsi="Arial" w:cs="Arial"/>
              </w:rPr>
              <w:t>0.989</w:t>
            </w:r>
          </w:p>
        </w:tc>
      </w:tr>
      <w:tr w:rsidR="002124B4" w:rsidRPr="000E05FD" w14:paraId="415F3FBC" w14:textId="77777777">
        <w:trPr>
          <w:trHeight w:val="181"/>
        </w:trPr>
        <w:tc>
          <w:tcPr>
            <w:tcW w:w="6663" w:type="dxa"/>
            <w:tcBorders>
              <w:top w:val="nil"/>
              <w:left w:val="nil"/>
              <w:bottom w:val="single" w:sz="4" w:space="0" w:color="auto"/>
              <w:right w:val="nil"/>
            </w:tcBorders>
            <w:noWrap/>
            <w:hideMark/>
          </w:tcPr>
          <w:p w14:paraId="324B6D16" w14:textId="77777777" w:rsidR="009E1C7C" w:rsidRPr="000E05FD" w:rsidRDefault="009E1C7C" w:rsidP="006F633E">
            <w:pPr>
              <w:spacing w:line="276" w:lineRule="auto"/>
              <w:jc w:val="both"/>
              <w:rPr>
                <w:rFonts w:ascii="Arial" w:hAnsi="Arial" w:cs="Arial"/>
              </w:rPr>
            </w:pPr>
            <w:r w:rsidRPr="000E05FD">
              <w:rPr>
                <w:rFonts w:ascii="Arial" w:hAnsi="Arial" w:cs="Arial"/>
              </w:rPr>
              <w:t>The perception that academic success directly translates to future career opportunities motivates candidates to consider academic dishonesty.</w:t>
            </w:r>
          </w:p>
        </w:tc>
        <w:tc>
          <w:tcPr>
            <w:tcW w:w="567" w:type="dxa"/>
            <w:gridSpan w:val="2"/>
            <w:tcBorders>
              <w:top w:val="nil"/>
              <w:left w:val="nil"/>
              <w:bottom w:val="single" w:sz="4" w:space="0" w:color="auto"/>
              <w:right w:val="nil"/>
            </w:tcBorders>
            <w:hideMark/>
          </w:tcPr>
          <w:p w14:paraId="12A4ADD3"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c>
          <w:tcPr>
            <w:tcW w:w="697" w:type="dxa"/>
            <w:tcBorders>
              <w:top w:val="nil"/>
              <w:left w:val="nil"/>
              <w:bottom w:val="single" w:sz="4" w:space="0" w:color="auto"/>
              <w:right w:val="nil"/>
            </w:tcBorders>
            <w:noWrap/>
            <w:hideMark/>
          </w:tcPr>
          <w:p w14:paraId="52AD4068" w14:textId="77777777" w:rsidR="009E1C7C" w:rsidRPr="000E05FD" w:rsidRDefault="009E1C7C" w:rsidP="006F633E">
            <w:pPr>
              <w:spacing w:line="276" w:lineRule="auto"/>
              <w:jc w:val="both"/>
              <w:rPr>
                <w:rFonts w:ascii="Arial" w:hAnsi="Arial" w:cs="Arial"/>
              </w:rPr>
            </w:pPr>
            <w:r w:rsidRPr="000E05FD">
              <w:rPr>
                <w:rFonts w:ascii="Arial" w:hAnsi="Arial" w:cs="Arial"/>
              </w:rPr>
              <w:t>3.58</w:t>
            </w:r>
          </w:p>
        </w:tc>
        <w:tc>
          <w:tcPr>
            <w:tcW w:w="1889" w:type="dxa"/>
            <w:tcBorders>
              <w:top w:val="nil"/>
              <w:left w:val="nil"/>
              <w:bottom w:val="single" w:sz="4" w:space="0" w:color="auto"/>
              <w:right w:val="nil"/>
            </w:tcBorders>
            <w:noWrap/>
            <w:hideMark/>
          </w:tcPr>
          <w:p w14:paraId="5B8CBDEE" w14:textId="77777777" w:rsidR="009E1C7C" w:rsidRPr="000E05FD" w:rsidRDefault="009E1C7C" w:rsidP="006F633E">
            <w:pPr>
              <w:spacing w:line="276" w:lineRule="auto"/>
              <w:jc w:val="both"/>
              <w:rPr>
                <w:rFonts w:ascii="Arial" w:hAnsi="Arial" w:cs="Arial"/>
              </w:rPr>
            </w:pPr>
            <w:r w:rsidRPr="000E05FD">
              <w:rPr>
                <w:rFonts w:ascii="Arial" w:hAnsi="Arial" w:cs="Arial"/>
              </w:rPr>
              <w:t>0.936</w:t>
            </w:r>
          </w:p>
        </w:tc>
      </w:tr>
    </w:tbl>
    <w:p w14:paraId="7E1CD4D4" w14:textId="34B842FB" w:rsidR="009E1C7C" w:rsidRPr="000E05FD" w:rsidRDefault="009E1C7C" w:rsidP="006F633E">
      <w:pPr>
        <w:spacing w:line="276" w:lineRule="auto"/>
        <w:jc w:val="both"/>
        <w:rPr>
          <w:rFonts w:ascii="Arial" w:hAnsi="Arial" w:cs="Arial"/>
          <w:i/>
          <w:iCs/>
          <w:sz w:val="22"/>
          <w:szCs w:val="22"/>
        </w:rPr>
      </w:pPr>
      <w:r w:rsidRPr="000E05FD">
        <w:rPr>
          <w:rFonts w:ascii="Arial" w:hAnsi="Arial" w:cs="Arial"/>
          <w:i/>
          <w:iCs/>
          <w:sz w:val="22"/>
          <w:szCs w:val="22"/>
        </w:rPr>
        <w:t>Source: Researcher 202</w:t>
      </w:r>
      <w:r w:rsidR="00C960B0" w:rsidRPr="000E05FD">
        <w:rPr>
          <w:rFonts w:ascii="Arial" w:hAnsi="Arial" w:cs="Arial"/>
          <w:i/>
          <w:iCs/>
          <w:sz w:val="22"/>
          <w:szCs w:val="22"/>
        </w:rPr>
        <w:t>5</w:t>
      </w:r>
    </w:p>
    <w:p w14:paraId="331DB86F" w14:textId="77777777"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 xml:space="preserve">The data presents mean scores and standard deviations for Likert scale items related to students' perceptions of cheating and examination integrity. These items explore various factors influencing students' attitudes towards academic honesty and unethical behavior in examinations. The highest mean score of 4.35, with a standard deviation of 0.749, is associated with the statement indicating that students perceive benefits of cheating to correlate with exam integrity. This suggests that students may believe that cheating provides advantages in academic performance, potentially undermining the integrity of examinations. Similarly, the statement regarding cheating in exams being influenced by perceived benefits of getting good career courses yielded a mean score of 3.91, with a standard deviation of 0.861. </w:t>
      </w:r>
    </w:p>
    <w:p w14:paraId="16395810" w14:textId="77777777"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This suggests that students may view academic dishonesty as a means to secure desirable career opportunities, reflecting a utilitarian perspective on cheating behavior. The belief in fair competition being a significant driver of academic integrity and examination malpractices received a mean score of 4.09, with a standard deviation of 0.71. This indicates that students value fair competition and perceive it as important for maintaining integrity in examinations. However, the statement suggesting that students who value a level playing field perceive the benefits of maintaining fairness in examinations yielded a lower mean score of 3.29, with a higher standard deviation of 0.989. This suggests that while some students may value fairness in examinations, there may be variability in their perceptions of the benefits associated with maintaining integrity.</w:t>
      </w:r>
    </w:p>
    <w:p w14:paraId="30F41A35" w14:textId="340E4E65" w:rsidR="009E1C7C" w:rsidRPr="000E05FD" w:rsidRDefault="009E1C7C" w:rsidP="006F633E">
      <w:pPr>
        <w:pStyle w:val="Heading1"/>
        <w:spacing w:before="0" w:after="240" w:line="276" w:lineRule="auto"/>
        <w:jc w:val="both"/>
        <w:rPr>
          <w:rFonts w:ascii="Arial" w:hAnsi="Arial" w:cs="Arial"/>
          <w:color w:val="auto"/>
          <w:sz w:val="22"/>
          <w:szCs w:val="22"/>
        </w:rPr>
      </w:pPr>
      <w:bookmarkStart w:id="27" w:name="_Toc206345291"/>
      <w:bookmarkStart w:id="28" w:name="_Toc207705240"/>
      <w:r w:rsidRPr="000E05FD">
        <w:rPr>
          <w:rFonts w:ascii="Arial" w:hAnsi="Arial" w:cs="Arial"/>
          <w:color w:val="auto"/>
          <w:sz w:val="22"/>
          <w:szCs w:val="22"/>
        </w:rPr>
        <w:lastRenderedPageBreak/>
        <w:t xml:space="preserve">Table </w:t>
      </w:r>
      <w:r w:rsidR="00C960B0" w:rsidRPr="000E05FD">
        <w:rPr>
          <w:rFonts w:ascii="Arial" w:hAnsi="Arial" w:cs="Arial"/>
          <w:color w:val="auto"/>
          <w:sz w:val="22"/>
          <w:szCs w:val="22"/>
        </w:rPr>
        <w:t>4</w:t>
      </w:r>
      <w:r w:rsidRPr="000E05FD">
        <w:rPr>
          <w:rFonts w:ascii="Arial" w:hAnsi="Arial" w:cs="Arial"/>
          <w:color w:val="auto"/>
          <w:sz w:val="22"/>
          <w:szCs w:val="22"/>
        </w:rPr>
        <w:t>:</w:t>
      </w:r>
      <w:bookmarkEnd w:id="27"/>
      <w:bookmarkEnd w:id="28"/>
      <w:r w:rsidR="00046959">
        <w:rPr>
          <w:rFonts w:ascii="Arial" w:hAnsi="Arial" w:cs="Arial"/>
          <w:color w:val="auto"/>
          <w:sz w:val="22"/>
          <w:szCs w:val="22"/>
        </w:rPr>
        <w:t xml:space="preserve"> </w:t>
      </w:r>
      <w:bookmarkStart w:id="29" w:name="_Toc206345292"/>
      <w:bookmarkStart w:id="30" w:name="_Toc207705241"/>
      <w:r w:rsidR="00046959" w:rsidRPr="000E05FD">
        <w:rPr>
          <w:rFonts w:ascii="Arial" w:hAnsi="Arial" w:cs="Arial"/>
          <w:i/>
          <w:iCs/>
          <w:color w:val="auto"/>
          <w:sz w:val="22"/>
          <w:szCs w:val="22"/>
        </w:rPr>
        <w:t>Mean and standard deviation of perceived benefits items (Students)</w:t>
      </w:r>
      <w:bookmarkEnd w:id="29"/>
      <w:bookmarkEnd w:id="30"/>
    </w:p>
    <w:p w14:paraId="1F9E262B" w14:textId="56C3E043" w:rsidR="009E1C7C" w:rsidRPr="000E05FD" w:rsidRDefault="009E1C7C" w:rsidP="006F633E">
      <w:pPr>
        <w:pStyle w:val="Heading1"/>
        <w:spacing w:before="0" w:line="276" w:lineRule="auto"/>
        <w:jc w:val="both"/>
        <w:rPr>
          <w:rFonts w:ascii="Arial" w:hAnsi="Arial" w:cs="Arial"/>
          <w:i/>
          <w:iCs/>
          <w:color w:val="auto"/>
          <w:sz w:val="22"/>
          <w:szCs w:val="22"/>
        </w:rPr>
      </w:pPr>
    </w:p>
    <w:tbl>
      <w:tblPr>
        <w:tblStyle w:val="TableGrid"/>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1"/>
        <w:gridCol w:w="1050"/>
        <w:gridCol w:w="1050"/>
        <w:gridCol w:w="1509"/>
      </w:tblGrid>
      <w:tr w:rsidR="002124B4" w:rsidRPr="000E05FD" w14:paraId="6BCC2ADA" w14:textId="77777777">
        <w:trPr>
          <w:trHeight w:val="300"/>
        </w:trPr>
        <w:tc>
          <w:tcPr>
            <w:tcW w:w="3071" w:type="pct"/>
            <w:tcBorders>
              <w:top w:val="single" w:sz="4" w:space="0" w:color="auto"/>
              <w:left w:val="nil"/>
              <w:bottom w:val="single" w:sz="4" w:space="0" w:color="auto"/>
              <w:right w:val="nil"/>
            </w:tcBorders>
            <w:noWrap/>
            <w:hideMark/>
          </w:tcPr>
          <w:p w14:paraId="112AFAF8" w14:textId="77777777" w:rsidR="009E1C7C" w:rsidRPr="000E05FD" w:rsidRDefault="009E1C7C" w:rsidP="006F633E">
            <w:pPr>
              <w:spacing w:line="276" w:lineRule="auto"/>
              <w:jc w:val="both"/>
              <w:rPr>
                <w:rFonts w:ascii="Arial" w:hAnsi="Arial" w:cs="Arial"/>
              </w:rPr>
            </w:pPr>
            <w:r w:rsidRPr="000E05FD">
              <w:rPr>
                <w:rFonts w:ascii="Arial" w:hAnsi="Arial" w:cs="Arial"/>
              </w:rPr>
              <w:t>Statements</w:t>
            </w:r>
          </w:p>
        </w:tc>
        <w:tc>
          <w:tcPr>
            <w:tcW w:w="561" w:type="pct"/>
            <w:tcBorders>
              <w:top w:val="single" w:sz="4" w:space="0" w:color="auto"/>
              <w:left w:val="nil"/>
              <w:bottom w:val="single" w:sz="4" w:space="0" w:color="auto"/>
              <w:right w:val="nil"/>
            </w:tcBorders>
            <w:noWrap/>
            <w:hideMark/>
          </w:tcPr>
          <w:p w14:paraId="38EAAA2D" w14:textId="77777777" w:rsidR="009E1C7C" w:rsidRPr="000E05FD" w:rsidRDefault="009E1C7C" w:rsidP="006F633E">
            <w:pPr>
              <w:spacing w:line="276" w:lineRule="auto"/>
              <w:jc w:val="both"/>
              <w:rPr>
                <w:rFonts w:ascii="Arial" w:hAnsi="Arial" w:cs="Arial"/>
              </w:rPr>
            </w:pPr>
            <w:r w:rsidRPr="000E05FD">
              <w:rPr>
                <w:rFonts w:ascii="Arial" w:hAnsi="Arial" w:cs="Arial"/>
              </w:rPr>
              <w:t>n</w:t>
            </w:r>
          </w:p>
        </w:tc>
        <w:tc>
          <w:tcPr>
            <w:tcW w:w="561" w:type="pct"/>
            <w:tcBorders>
              <w:top w:val="single" w:sz="4" w:space="0" w:color="auto"/>
              <w:left w:val="nil"/>
              <w:bottom w:val="single" w:sz="4" w:space="0" w:color="auto"/>
              <w:right w:val="nil"/>
            </w:tcBorders>
            <w:noWrap/>
            <w:hideMark/>
          </w:tcPr>
          <w:p w14:paraId="1D8F4F06" w14:textId="77777777" w:rsidR="009E1C7C" w:rsidRPr="000E05FD" w:rsidRDefault="009E1C7C" w:rsidP="006F633E">
            <w:pPr>
              <w:spacing w:line="276" w:lineRule="auto"/>
              <w:jc w:val="both"/>
              <w:rPr>
                <w:rFonts w:ascii="Arial" w:hAnsi="Arial" w:cs="Arial"/>
              </w:rPr>
            </w:pPr>
            <w:r w:rsidRPr="000E05FD">
              <w:rPr>
                <w:rFonts w:ascii="Arial" w:hAnsi="Arial" w:cs="Arial"/>
              </w:rPr>
              <w:t>Mean</w:t>
            </w:r>
          </w:p>
        </w:tc>
        <w:tc>
          <w:tcPr>
            <w:tcW w:w="806" w:type="pct"/>
            <w:tcBorders>
              <w:top w:val="single" w:sz="4" w:space="0" w:color="auto"/>
              <w:left w:val="nil"/>
              <w:bottom w:val="single" w:sz="4" w:space="0" w:color="auto"/>
              <w:right w:val="nil"/>
            </w:tcBorders>
            <w:noWrap/>
            <w:hideMark/>
          </w:tcPr>
          <w:p w14:paraId="1DD76862" w14:textId="77777777" w:rsidR="009E1C7C" w:rsidRPr="000E05FD" w:rsidRDefault="009E1C7C" w:rsidP="006F633E">
            <w:pPr>
              <w:spacing w:line="276" w:lineRule="auto"/>
              <w:jc w:val="both"/>
              <w:rPr>
                <w:rFonts w:ascii="Arial" w:hAnsi="Arial" w:cs="Arial"/>
              </w:rPr>
            </w:pPr>
            <w:r w:rsidRPr="000E05FD">
              <w:rPr>
                <w:rFonts w:ascii="Arial" w:hAnsi="Arial" w:cs="Arial"/>
              </w:rPr>
              <w:t>SD</w:t>
            </w:r>
          </w:p>
        </w:tc>
      </w:tr>
      <w:tr w:rsidR="002124B4" w:rsidRPr="000E05FD" w14:paraId="1EB9CDBF" w14:textId="77777777">
        <w:trPr>
          <w:trHeight w:val="300"/>
        </w:trPr>
        <w:tc>
          <w:tcPr>
            <w:tcW w:w="3071" w:type="pct"/>
            <w:tcBorders>
              <w:top w:val="single" w:sz="4" w:space="0" w:color="auto"/>
              <w:left w:val="nil"/>
              <w:bottom w:val="nil"/>
              <w:right w:val="nil"/>
            </w:tcBorders>
            <w:noWrap/>
            <w:hideMark/>
          </w:tcPr>
          <w:p w14:paraId="1294D054" w14:textId="77777777" w:rsidR="009E1C7C" w:rsidRPr="000E05FD" w:rsidRDefault="009E1C7C" w:rsidP="006F633E">
            <w:pPr>
              <w:spacing w:line="276" w:lineRule="auto"/>
              <w:jc w:val="both"/>
              <w:rPr>
                <w:rFonts w:ascii="Arial" w:hAnsi="Arial" w:cs="Arial"/>
              </w:rPr>
            </w:pPr>
            <w:r w:rsidRPr="000E05FD">
              <w:rPr>
                <w:rFonts w:ascii="Arial" w:hAnsi="Arial" w:cs="Arial"/>
              </w:rPr>
              <w:t>Students cheat because they think it helps.</w:t>
            </w:r>
          </w:p>
        </w:tc>
        <w:tc>
          <w:tcPr>
            <w:tcW w:w="561" w:type="pct"/>
            <w:tcBorders>
              <w:top w:val="single" w:sz="4" w:space="0" w:color="auto"/>
              <w:left w:val="nil"/>
              <w:bottom w:val="nil"/>
              <w:right w:val="nil"/>
            </w:tcBorders>
            <w:noWrap/>
            <w:hideMark/>
          </w:tcPr>
          <w:p w14:paraId="7208E5FA"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c>
          <w:tcPr>
            <w:tcW w:w="561" w:type="pct"/>
            <w:tcBorders>
              <w:top w:val="single" w:sz="4" w:space="0" w:color="auto"/>
              <w:left w:val="nil"/>
              <w:bottom w:val="nil"/>
              <w:right w:val="nil"/>
            </w:tcBorders>
            <w:noWrap/>
            <w:hideMark/>
          </w:tcPr>
          <w:p w14:paraId="5A6BA240" w14:textId="77777777" w:rsidR="009E1C7C" w:rsidRPr="000E05FD" w:rsidRDefault="009E1C7C" w:rsidP="006F633E">
            <w:pPr>
              <w:spacing w:line="276" w:lineRule="auto"/>
              <w:jc w:val="both"/>
              <w:rPr>
                <w:rFonts w:ascii="Arial" w:hAnsi="Arial" w:cs="Arial"/>
              </w:rPr>
            </w:pPr>
            <w:r w:rsidRPr="000E05FD">
              <w:rPr>
                <w:rFonts w:ascii="Arial" w:hAnsi="Arial" w:cs="Arial"/>
              </w:rPr>
              <w:t>3.08</w:t>
            </w:r>
          </w:p>
        </w:tc>
        <w:tc>
          <w:tcPr>
            <w:tcW w:w="806" w:type="pct"/>
            <w:tcBorders>
              <w:top w:val="single" w:sz="4" w:space="0" w:color="auto"/>
              <w:left w:val="nil"/>
              <w:bottom w:val="nil"/>
              <w:right w:val="nil"/>
            </w:tcBorders>
            <w:noWrap/>
            <w:hideMark/>
          </w:tcPr>
          <w:p w14:paraId="6E3C69F5" w14:textId="77777777" w:rsidR="009E1C7C" w:rsidRPr="000E05FD" w:rsidRDefault="009E1C7C" w:rsidP="006F633E">
            <w:pPr>
              <w:spacing w:line="276" w:lineRule="auto"/>
              <w:jc w:val="both"/>
              <w:rPr>
                <w:rFonts w:ascii="Arial" w:hAnsi="Arial" w:cs="Arial"/>
              </w:rPr>
            </w:pPr>
            <w:r w:rsidRPr="000E05FD">
              <w:rPr>
                <w:rFonts w:ascii="Arial" w:hAnsi="Arial" w:cs="Arial"/>
              </w:rPr>
              <w:t>0.691</w:t>
            </w:r>
          </w:p>
        </w:tc>
      </w:tr>
      <w:tr w:rsidR="002124B4" w:rsidRPr="000E05FD" w14:paraId="6652FBDD" w14:textId="77777777">
        <w:trPr>
          <w:trHeight w:val="300"/>
        </w:trPr>
        <w:tc>
          <w:tcPr>
            <w:tcW w:w="3071" w:type="pct"/>
            <w:tcBorders>
              <w:top w:val="nil"/>
              <w:left w:val="nil"/>
              <w:bottom w:val="nil"/>
              <w:right w:val="nil"/>
            </w:tcBorders>
            <w:noWrap/>
            <w:hideMark/>
          </w:tcPr>
          <w:p w14:paraId="5916E809" w14:textId="77777777" w:rsidR="009E1C7C" w:rsidRPr="000E05FD" w:rsidRDefault="009E1C7C" w:rsidP="006F633E">
            <w:pPr>
              <w:spacing w:line="276" w:lineRule="auto"/>
              <w:jc w:val="both"/>
              <w:rPr>
                <w:rFonts w:ascii="Arial" w:hAnsi="Arial" w:cs="Arial"/>
              </w:rPr>
            </w:pPr>
            <w:r w:rsidRPr="000E05FD">
              <w:rPr>
                <w:rFonts w:ascii="Arial" w:hAnsi="Arial" w:cs="Arial"/>
              </w:rPr>
              <w:t>Students cheat to get into better careers.</w:t>
            </w:r>
          </w:p>
        </w:tc>
        <w:tc>
          <w:tcPr>
            <w:tcW w:w="561" w:type="pct"/>
            <w:tcBorders>
              <w:top w:val="nil"/>
              <w:left w:val="nil"/>
              <w:bottom w:val="nil"/>
              <w:right w:val="nil"/>
            </w:tcBorders>
            <w:noWrap/>
            <w:hideMark/>
          </w:tcPr>
          <w:p w14:paraId="5ED07E54"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c>
          <w:tcPr>
            <w:tcW w:w="561" w:type="pct"/>
            <w:tcBorders>
              <w:top w:val="nil"/>
              <w:left w:val="nil"/>
              <w:bottom w:val="nil"/>
              <w:right w:val="nil"/>
            </w:tcBorders>
            <w:noWrap/>
            <w:hideMark/>
          </w:tcPr>
          <w:p w14:paraId="7F8B4D47" w14:textId="77777777" w:rsidR="009E1C7C" w:rsidRPr="000E05FD" w:rsidRDefault="009E1C7C" w:rsidP="006F633E">
            <w:pPr>
              <w:spacing w:line="276" w:lineRule="auto"/>
              <w:jc w:val="both"/>
              <w:rPr>
                <w:rFonts w:ascii="Arial" w:hAnsi="Arial" w:cs="Arial"/>
              </w:rPr>
            </w:pPr>
            <w:r w:rsidRPr="000E05FD">
              <w:rPr>
                <w:rFonts w:ascii="Arial" w:hAnsi="Arial" w:cs="Arial"/>
              </w:rPr>
              <w:t>3.42</w:t>
            </w:r>
          </w:p>
        </w:tc>
        <w:tc>
          <w:tcPr>
            <w:tcW w:w="806" w:type="pct"/>
            <w:tcBorders>
              <w:top w:val="nil"/>
              <w:left w:val="nil"/>
              <w:bottom w:val="nil"/>
              <w:right w:val="nil"/>
            </w:tcBorders>
            <w:noWrap/>
            <w:hideMark/>
          </w:tcPr>
          <w:p w14:paraId="1E20AB29" w14:textId="77777777" w:rsidR="009E1C7C" w:rsidRPr="000E05FD" w:rsidRDefault="009E1C7C" w:rsidP="006F633E">
            <w:pPr>
              <w:spacing w:line="276" w:lineRule="auto"/>
              <w:jc w:val="both"/>
              <w:rPr>
                <w:rFonts w:ascii="Arial" w:hAnsi="Arial" w:cs="Arial"/>
              </w:rPr>
            </w:pPr>
            <w:r w:rsidRPr="000E05FD">
              <w:rPr>
                <w:rFonts w:ascii="Arial" w:hAnsi="Arial" w:cs="Arial"/>
              </w:rPr>
              <w:t>0.759</w:t>
            </w:r>
          </w:p>
        </w:tc>
      </w:tr>
      <w:tr w:rsidR="002124B4" w:rsidRPr="000E05FD" w14:paraId="3F5E6A57" w14:textId="77777777">
        <w:trPr>
          <w:trHeight w:val="300"/>
        </w:trPr>
        <w:tc>
          <w:tcPr>
            <w:tcW w:w="3071" w:type="pct"/>
            <w:tcBorders>
              <w:top w:val="nil"/>
              <w:left w:val="nil"/>
              <w:bottom w:val="nil"/>
              <w:right w:val="nil"/>
            </w:tcBorders>
            <w:noWrap/>
            <w:hideMark/>
          </w:tcPr>
          <w:p w14:paraId="1895416D" w14:textId="77777777" w:rsidR="009E1C7C" w:rsidRPr="000E05FD" w:rsidRDefault="009E1C7C" w:rsidP="006F633E">
            <w:pPr>
              <w:spacing w:line="276" w:lineRule="auto"/>
              <w:jc w:val="both"/>
              <w:rPr>
                <w:rFonts w:ascii="Arial" w:hAnsi="Arial" w:cs="Arial"/>
              </w:rPr>
            </w:pPr>
            <w:r w:rsidRPr="000E05FD">
              <w:rPr>
                <w:rFonts w:ascii="Arial" w:hAnsi="Arial" w:cs="Arial"/>
              </w:rPr>
              <w:t>Fair competition discourages cheating.</w:t>
            </w:r>
          </w:p>
        </w:tc>
        <w:tc>
          <w:tcPr>
            <w:tcW w:w="561" w:type="pct"/>
            <w:tcBorders>
              <w:top w:val="nil"/>
              <w:left w:val="nil"/>
              <w:bottom w:val="nil"/>
              <w:right w:val="nil"/>
            </w:tcBorders>
            <w:noWrap/>
            <w:hideMark/>
          </w:tcPr>
          <w:p w14:paraId="30FBBAE8"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c>
          <w:tcPr>
            <w:tcW w:w="561" w:type="pct"/>
            <w:tcBorders>
              <w:top w:val="nil"/>
              <w:left w:val="nil"/>
              <w:bottom w:val="nil"/>
              <w:right w:val="nil"/>
            </w:tcBorders>
            <w:noWrap/>
            <w:hideMark/>
          </w:tcPr>
          <w:p w14:paraId="443E149F" w14:textId="77777777" w:rsidR="009E1C7C" w:rsidRPr="000E05FD" w:rsidRDefault="009E1C7C" w:rsidP="006F633E">
            <w:pPr>
              <w:spacing w:line="276" w:lineRule="auto"/>
              <w:jc w:val="both"/>
              <w:rPr>
                <w:rFonts w:ascii="Arial" w:hAnsi="Arial" w:cs="Arial"/>
              </w:rPr>
            </w:pPr>
            <w:r w:rsidRPr="000E05FD">
              <w:rPr>
                <w:rFonts w:ascii="Arial" w:hAnsi="Arial" w:cs="Arial"/>
              </w:rPr>
              <w:t>3.62</w:t>
            </w:r>
          </w:p>
        </w:tc>
        <w:tc>
          <w:tcPr>
            <w:tcW w:w="806" w:type="pct"/>
            <w:tcBorders>
              <w:top w:val="nil"/>
              <w:left w:val="nil"/>
              <w:bottom w:val="nil"/>
              <w:right w:val="nil"/>
            </w:tcBorders>
            <w:noWrap/>
            <w:hideMark/>
          </w:tcPr>
          <w:p w14:paraId="1CA9F666" w14:textId="77777777" w:rsidR="009E1C7C" w:rsidRPr="000E05FD" w:rsidRDefault="009E1C7C" w:rsidP="006F633E">
            <w:pPr>
              <w:spacing w:line="276" w:lineRule="auto"/>
              <w:jc w:val="both"/>
              <w:rPr>
                <w:rFonts w:ascii="Arial" w:hAnsi="Arial" w:cs="Arial"/>
              </w:rPr>
            </w:pPr>
            <w:r w:rsidRPr="000E05FD">
              <w:rPr>
                <w:rFonts w:ascii="Arial" w:hAnsi="Arial" w:cs="Arial"/>
              </w:rPr>
              <w:t>0.604</w:t>
            </w:r>
          </w:p>
        </w:tc>
      </w:tr>
      <w:tr w:rsidR="002124B4" w:rsidRPr="000E05FD" w14:paraId="0EEACA53" w14:textId="77777777">
        <w:trPr>
          <w:trHeight w:val="300"/>
        </w:trPr>
        <w:tc>
          <w:tcPr>
            <w:tcW w:w="3071" w:type="pct"/>
            <w:tcBorders>
              <w:top w:val="nil"/>
              <w:left w:val="nil"/>
              <w:bottom w:val="nil"/>
              <w:right w:val="nil"/>
            </w:tcBorders>
            <w:noWrap/>
            <w:hideMark/>
          </w:tcPr>
          <w:p w14:paraId="242269CB" w14:textId="77777777" w:rsidR="009E1C7C" w:rsidRPr="000E05FD" w:rsidRDefault="009E1C7C" w:rsidP="006F633E">
            <w:pPr>
              <w:spacing w:line="276" w:lineRule="auto"/>
              <w:jc w:val="both"/>
              <w:rPr>
                <w:rFonts w:ascii="Arial" w:hAnsi="Arial" w:cs="Arial"/>
              </w:rPr>
            </w:pPr>
            <w:r w:rsidRPr="000E05FD">
              <w:rPr>
                <w:rFonts w:ascii="Arial" w:hAnsi="Arial" w:cs="Arial"/>
              </w:rPr>
              <w:t>Students who want fairness avoid cheating.</w:t>
            </w:r>
          </w:p>
        </w:tc>
        <w:tc>
          <w:tcPr>
            <w:tcW w:w="561" w:type="pct"/>
            <w:tcBorders>
              <w:top w:val="nil"/>
              <w:left w:val="nil"/>
              <w:bottom w:val="nil"/>
              <w:right w:val="nil"/>
            </w:tcBorders>
            <w:noWrap/>
            <w:hideMark/>
          </w:tcPr>
          <w:p w14:paraId="57415095"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c>
          <w:tcPr>
            <w:tcW w:w="561" w:type="pct"/>
            <w:tcBorders>
              <w:top w:val="nil"/>
              <w:left w:val="nil"/>
              <w:bottom w:val="nil"/>
              <w:right w:val="nil"/>
            </w:tcBorders>
            <w:noWrap/>
            <w:hideMark/>
          </w:tcPr>
          <w:p w14:paraId="7FBD5B09" w14:textId="77777777" w:rsidR="009E1C7C" w:rsidRPr="000E05FD" w:rsidRDefault="009E1C7C" w:rsidP="006F633E">
            <w:pPr>
              <w:spacing w:line="276" w:lineRule="auto"/>
              <w:jc w:val="both"/>
              <w:rPr>
                <w:rFonts w:ascii="Arial" w:hAnsi="Arial" w:cs="Arial"/>
              </w:rPr>
            </w:pPr>
            <w:r w:rsidRPr="000E05FD">
              <w:rPr>
                <w:rFonts w:ascii="Arial" w:hAnsi="Arial" w:cs="Arial"/>
              </w:rPr>
              <w:t>3.69</w:t>
            </w:r>
          </w:p>
        </w:tc>
        <w:tc>
          <w:tcPr>
            <w:tcW w:w="806" w:type="pct"/>
            <w:tcBorders>
              <w:top w:val="nil"/>
              <w:left w:val="nil"/>
              <w:bottom w:val="nil"/>
              <w:right w:val="nil"/>
            </w:tcBorders>
            <w:noWrap/>
            <w:hideMark/>
          </w:tcPr>
          <w:p w14:paraId="1E5A7297" w14:textId="77777777" w:rsidR="009E1C7C" w:rsidRPr="000E05FD" w:rsidRDefault="009E1C7C" w:rsidP="006F633E">
            <w:pPr>
              <w:spacing w:line="276" w:lineRule="auto"/>
              <w:jc w:val="both"/>
              <w:rPr>
                <w:rFonts w:ascii="Arial" w:hAnsi="Arial" w:cs="Arial"/>
              </w:rPr>
            </w:pPr>
            <w:r w:rsidRPr="000E05FD">
              <w:rPr>
                <w:rFonts w:ascii="Arial" w:hAnsi="Arial" w:cs="Arial"/>
              </w:rPr>
              <w:t>0.330</w:t>
            </w:r>
          </w:p>
        </w:tc>
      </w:tr>
      <w:tr w:rsidR="002124B4" w:rsidRPr="000E05FD" w14:paraId="432466CD" w14:textId="77777777">
        <w:trPr>
          <w:trHeight w:val="300"/>
        </w:trPr>
        <w:tc>
          <w:tcPr>
            <w:tcW w:w="3071" w:type="pct"/>
            <w:tcBorders>
              <w:top w:val="nil"/>
              <w:left w:val="nil"/>
              <w:bottom w:val="single" w:sz="4" w:space="0" w:color="auto"/>
              <w:right w:val="nil"/>
            </w:tcBorders>
            <w:noWrap/>
            <w:hideMark/>
          </w:tcPr>
          <w:p w14:paraId="60607FDB" w14:textId="77777777" w:rsidR="009E1C7C" w:rsidRPr="000E05FD" w:rsidRDefault="009E1C7C" w:rsidP="006F633E">
            <w:pPr>
              <w:spacing w:line="276" w:lineRule="auto"/>
              <w:jc w:val="both"/>
              <w:rPr>
                <w:rFonts w:ascii="Arial" w:hAnsi="Arial" w:cs="Arial"/>
              </w:rPr>
            </w:pPr>
            <w:r w:rsidRPr="000E05FD">
              <w:rPr>
                <w:rFonts w:ascii="Arial" w:hAnsi="Arial" w:cs="Arial"/>
              </w:rPr>
              <w:t>Good grades = better jobs, so students cheat.</w:t>
            </w:r>
          </w:p>
        </w:tc>
        <w:tc>
          <w:tcPr>
            <w:tcW w:w="561" w:type="pct"/>
            <w:tcBorders>
              <w:top w:val="nil"/>
              <w:left w:val="nil"/>
              <w:bottom w:val="single" w:sz="4" w:space="0" w:color="auto"/>
              <w:right w:val="nil"/>
            </w:tcBorders>
            <w:noWrap/>
            <w:hideMark/>
          </w:tcPr>
          <w:p w14:paraId="7115ED1E"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c>
          <w:tcPr>
            <w:tcW w:w="561" w:type="pct"/>
            <w:tcBorders>
              <w:top w:val="nil"/>
              <w:left w:val="nil"/>
              <w:bottom w:val="single" w:sz="4" w:space="0" w:color="auto"/>
              <w:right w:val="nil"/>
            </w:tcBorders>
            <w:noWrap/>
            <w:hideMark/>
          </w:tcPr>
          <w:p w14:paraId="71367BB3" w14:textId="77777777" w:rsidR="009E1C7C" w:rsidRPr="000E05FD" w:rsidRDefault="009E1C7C" w:rsidP="006F633E">
            <w:pPr>
              <w:spacing w:line="276" w:lineRule="auto"/>
              <w:jc w:val="both"/>
              <w:rPr>
                <w:rFonts w:ascii="Arial" w:hAnsi="Arial" w:cs="Arial"/>
              </w:rPr>
            </w:pPr>
            <w:r w:rsidRPr="000E05FD">
              <w:rPr>
                <w:rFonts w:ascii="Arial" w:hAnsi="Arial" w:cs="Arial"/>
              </w:rPr>
              <w:t>3.41</w:t>
            </w:r>
          </w:p>
        </w:tc>
        <w:tc>
          <w:tcPr>
            <w:tcW w:w="806" w:type="pct"/>
            <w:tcBorders>
              <w:top w:val="nil"/>
              <w:left w:val="nil"/>
              <w:bottom w:val="single" w:sz="4" w:space="0" w:color="auto"/>
              <w:right w:val="nil"/>
            </w:tcBorders>
            <w:noWrap/>
            <w:hideMark/>
          </w:tcPr>
          <w:p w14:paraId="52348022" w14:textId="77777777" w:rsidR="009E1C7C" w:rsidRPr="000E05FD" w:rsidRDefault="009E1C7C" w:rsidP="006F633E">
            <w:pPr>
              <w:spacing w:line="276" w:lineRule="auto"/>
              <w:jc w:val="both"/>
              <w:rPr>
                <w:rFonts w:ascii="Arial" w:hAnsi="Arial" w:cs="Arial"/>
              </w:rPr>
            </w:pPr>
            <w:r w:rsidRPr="000E05FD">
              <w:rPr>
                <w:rFonts w:ascii="Arial" w:hAnsi="Arial" w:cs="Arial"/>
              </w:rPr>
              <w:t>0.577</w:t>
            </w:r>
          </w:p>
        </w:tc>
      </w:tr>
    </w:tbl>
    <w:p w14:paraId="6688A721" w14:textId="71AB2CDF" w:rsidR="009E1C7C" w:rsidRPr="000E05FD" w:rsidRDefault="009E1C7C" w:rsidP="006F633E">
      <w:pPr>
        <w:spacing w:line="276" w:lineRule="auto"/>
        <w:jc w:val="both"/>
        <w:rPr>
          <w:rFonts w:ascii="Arial" w:hAnsi="Arial" w:cs="Arial"/>
          <w:i/>
          <w:iCs/>
          <w:sz w:val="22"/>
          <w:szCs w:val="22"/>
        </w:rPr>
      </w:pPr>
      <w:r w:rsidRPr="000E05FD">
        <w:rPr>
          <w:rFonts w:ascii="Arial" w:hAnsi="Arial" w:cs="Arial"/>
          <w:i/>
          <w:iCs/>
          <w:sz w:val="22"/>
          <w:szCs w:val="22"/>
        </w:rPr>
        <w:t>Source: Researcher 202</w:t>
      </w:r>
      <w:r w:rsidR="001E6AC6" w:rsidRPr="000E05FD">
        <w:rPr>
          <w:rFonts w:ascii="Arial" w:hAnsi="Arial" w:cs="Arial"/>
          <w:i/>
          <w:iCs/>
          <w:sz w:val="22"/>
          <w:szCs w:val="22"/>
        </w:rPr>
        <w:t>5</w:t>
      </w:r>
    </w:p>
    <w:p w14:paraId="238082F8" w14:textId="77777777" w:rsidR="009E1C7C" w:rsidRPr="000E05FD" w:rsidRDefault="009E1C7C" w:rsidP="006F633E">
      <w:pPr>
        <w:spacing w:before="240" w:line="276" w:lineRule="auto"/>
        <w:jc w:val="both"/>
        <w:rPr>
          <w:rFonts w:ascii="Arial" w:hAnsi="Arial" w:cs="Arial"/>
          <w:sz w:val="22"/>
          <w:szCs w:val="22"/>
        </w:rPr>
      </w:pPr>
      <w:r w:rsidRPr="000E05FD">
        <w:rPr>
          <w:rFonts w:ascii="Arial" w:hAnsi="Arial" w:cs="Arial"/>
          <w:sz w:val="22"/>
          <w:szCs w:val="22"/>
        </w:rPr>
        <w:t>The Table shows that students moderately agree that cheating is driven by the belief that it can help them, secure better careers, or improve job prospects through good grades. They also recognize that fair competition discourages cheating, with the strongest agreement that students who value fairness tend to avoid such behavior.</w:t>
      </w:r>
    </w:p>
    <w:p w14:paraId="142D1FBD" w14:textId="6142B39F" w:rsidR="009E1C7C" w:rsidRPr="000E05FD" w:rsidRDefault="009E1C7C" w:rsidP="006F633E">
      <w:pPr>
        <w:spacing w:before="240" w:line="276" w:lineRule="auto"/>
        <w:jc w:val="both"/>
        <w:rPr>
          <w:rFonts w:ascii="Arial" w:hAnsi="Arial" w:cs="Arial"/>
          <w:b/>
          <w:sz w:val="22"/>
          <w:szCs w:val="22"/>
        </w:rPr>
      </w:pPr>
      <w:r w:rsidRPr="000E05FD">
        <w:rPr>
          <w:rFonts w:ascii="Arial" w:hAnsi="Arial" w:cs="Arial"/>
          <w:b/>
          <w:sz w:val="22"/>
          <w:szCs w:val="22"/>
        </w:rPr>
        <w:t>Hypothesis</w:t>
      </w:r>
      <w:r w:rsidR="006F7D1B" w:rsidRPr="000E05FD">
        <w:rPr>
          <w:rFonts w:ascii="Arial" w:hAnsi="Arial" w:cs="Arial"/>
          <w:b/>
          <w:sz w:val="22"/>
          <w:szCs w:val="22"/>
        </w:rPr>
        <w:t xml:space="preserve"> (H</w:t>
      </w:r>
      <w:r w:rsidR="006F7D1B" w:rsidRPr="000E05FD">
        <w:rPr>
          <w:rFonts w:ascii="Arial" w:hAnsi="Arial" w:cs="Arial"/>
          <w:b/>
          <w:sz w:val="22"/>
          <w:szCs w:val="22"/>
          <w:vertAlign w:val="subscript"/>
        </w:rPr>
        <w:t>0</w:t>
      </w:r>
      <w:r w:rsidR="006F7D1B" w:rsidRPr="000E05FD">
        <w:rPr>
          <w:rFonts w:ascii="Arial" w:hAnsi="Arial" w:cs="Arial"/>
          <w:b/>
          <w:sz w:val="22"/>
          <w:szCs w:val="22"/>
        </w:rPr>
        <w:t>)</w:t>
      </w:r>
    </w:p>
    <w:p w14:paraId="22275F9E" w14:textId="7008E789" w:rsidR="009E1C7C" w:rsidRPr="000E05FD" w:rsidRDefault="006F7D1B" w:rsidP="006F633E">
      <w:pPr>
        <w:pStyle w:val="NormalWeb"/>
        <w:spacing w:before="0" w:beforeAutospacing="0" w:line="276" w:lineRule="auto"/>
        <w:jc w:val="both"/>
        <w:rPr>
          <w:rFonts w:ascii="Arial" w:hAnsi="Arial" w:cs="Arial"/>
          <w:bCs/>
          <w:sz w:val="22"/>
          <w:szCs w:val="22"/>
        </w:rPr>
      </w:pPr>
      <w:r w:rsidRPr="000E05FD">
        <w:rPr>
          <w:rFonts w:ascii="Arial" w:hAnsi="Arial" w:cs="Arial"/>
          <w:bCs/>
          <w:sz w:val="22"/>
          <w:szCs w:val="22"/>
        </w:rPr>
        <w:t>Hypothesis</w:t>
      </w:r>
      <w:r w:rsidR="009E1C7C" w:rsidRPr="000E05FD">
        <w:rPr>
          <w:rFonts w:ascii="Arial" w:hAnsi="Arial" w:cs="Arial"/>
          <w:bCs/>
          <w:sz w:val="22"/>
          <w:szCs w:val="22"/>
        </w:rPr>
        <w:t xml:space="preserve"> of the study stated that </w:t>
      </w:r>
      <w:r w:rsidR="009E1C7C" w:rsidRPr="000E05FD">
        <w:rPr>
          <w:rFonts w:ascii="Arial" w:hAnsi="Arial" w:cs="Arial"/>
          <w:i/>
          <w:iCs/>
          <w:sz w:val="22"/>
          <w:szCs w:val="22"/>
        </w:rPr>
        <w:t xml:space="preserve">There is no significant relationship between perceived benefits and academic integrity and examination malpractices in secondary schools in Garissa Township Sub County. </w:t>
      </w:r>
      <w:r w:rsidR="009E1C7C" w:rsidRPr="000E05FD">
        <w:rPr>
          <w:rFonts w:ascii="Arial" w:hAnsi="Arial" w:cs="Arial"/>
          <w:bCs/>
          <w:sz w:val="22"/>
          <w:szCs w:val="22"/>
        </w:rPr>
        <w:t xml:space="preserve">Pearson (r) correlation coefficient and the associated p value were computed to test hypothesis three. Table </w:t>
      </w:r>
      <w:r w:rsidR="001E6AC6" w:rsidRPr="000E05FD">
        <w:rPr>
          <w:rFonts w:ascii="Arial" w:hAnsi="Arial" w:cs="Arial"/>
          <w:bCs/>
          <w:sz w:val="22"/>
          <w:szCs w:val="22"/>
        </w:rPr>
        <w:t>5</w:t>
      </w:r>
      <w:r w:rsidR="009E1C7C" w:rsidRPr="000E05FD">
        <w:rPr>
          <w:rFonts w:ascii="Arial" w:hAnsi="Arial" w:cs="Arial"/>
          <w:bCs/>
          <w:sz w:val="22"/>
          <w:szCs w:val="22"/>
        </w:rPr>
        <w:t xml:space="preserve"> and </w:t>
      </w:r>
      <w:r w:rsidR="001E6AC6" w:rsidRPr="000E05FD">
        <w:rPr>
          <w:rFonts w:ascii="Arial" w:hAnsi="Arial" w:cs="Arial"/>
          <w:bCs/>
          <w:sz w:val="22"/>
          <w:szCs w:val="22"/>
        </w:rPr>
        <w:t>6</w:t>
      </w:r>
      <w:r w:rsidR="009E1C7C" w:rsidRPr="000E05FD">
        <w:rPr>
          <w:rFonts w:ascii="Arial" w:hAnsi="Arial" w:cs="Arial"/>
          <w:bCs/>
          <w:sz w:val="22"/>
          <w:szCs w:val="22"/>
        </w:rPr>
        <w:t xml:space="preserve"> presents the results of the correlation analysis.</w:t>
      </w:r>
    </w:p>
    <w:p w14:paraId="5B8BEE96" w14:textId="4708CC06" w:rsidR="009E1C7C" w:rsidRPr="000E05FD" w:rsidRDefault="009E1C7C" w:rsidP="006F633E">
      <w:pPr>
        <w:pStyle w:val="Heading1"/>
        <w:spacing w:before="0" w:line="276" w:lineRule="auto"/>
        <w:jc w:val="both"/>
        <w:rPr>
          <w:rFonts w:ascii="Arial" w:hAnsi="Arial" w:cs="Arial"/>
          <w:color w:val="auto"/>
          <w:sz w:val="22"/>
          <w:szCs w:val="22"/>
        </w:rPr>
      </w:pPr>
      <w:bookmarkStart w:id="31" w:name="_Toc198038923"/>
      <w:bookmarkStart w:id="32" w:name="_Toc206345293"/>
      <w:bookmarkStart w:id="33" w:name="_Toc207705242"/>
      <w:r w:rsidRPr="000E05FD">
        <w:rPr>
          <w:rFonts w:ascii="Arial" w:hAnsi="Arial" w:cs="Arial"/>
          <w:color w:val="auto"/>
          <w:sz w:val="22"/>
          <w:szCs w:val="22"/>
        </w:rPr>
        <w:t xml:space="preserve">Table </w:t>
      </w:r>
      <w:r w:rsidR="001E6AC6" w:rsidRPr="000E05FD">
        <w:rPr>
          <w:rFonts w:ascii="Arial" w:hAnsi="Arial" w:cs="Arial"/>
          <w:color w:val="auto"/>
          <w:sz w:val="22"/>
          <w:szCs w:val="22"/>
        </w:rPr>
        <w:t>5</w:t>
      </w:r>
      <w:r w:rsidRPr="000E05FD">
        <w:rPr>
          <w:rFonts w:ascii="Arial" w:hAnsi="Arial" w:cs="Arial"/>
          <w:color w:val="auto"/>
          <w:sz w:val="22"/>
          <w:szCs w:val="22"/>
        </w:rPr>
        <w:t>:</w:t>
      </w:r>
      <w:bookmarkEnd w:id="31"/>
      <w:bookmarkEnd w:id="32"/>
      <w:bookmarkEnd w:id="33"/>
      <w:r w:rsidR="00046959">
        <w:rPr>
          <w:rFonts w:ascii="Arial" w:hAnsi="Arial" w:cs="Arial"/>
          <w:color w:val="auto"/>
          <w:sz w:val="22"/>
          <w:szCs w:val="22"/>
        </w:rPr>
        <w:t xml:space="preserve"> </w:t>
      </w:r>
      <w:bookmarkStart w:id="34" w:name="_Toc198038924"/>
      <w:bookmarkStart w:id="35" w:name="_Toc206345294"/>
      <w:bookmarkStart w:id="36" w:name="_Toc207705243"/>
      <w:r w:rsidR="00046959" w:rsidRPr="000E05FD">
        <w:rPr>
          <w:rFonts w:ascii="Arial" w:hAnsi="Arial" w:cs="Arial"/>
          <w:i/>
          <w:iCs/>
          <w:color w:val="auto"/>
          <w:sz w:val="22"/>
          <w:szCs w:val="22"/>
        </w:rPr>
        <w:t>Correlation Analysis of Perceived Benefits and the Level of Academic Integrity and Exam Malpractices in KCSE</w:t>
      </w:r>
      <w:bookmarkEnd w:id="34"/>
      <w:r w:rsidR="00046959" w:rsidRPr="000E05FD">
        <w:rPr>
          <w:rFonts w:ascii="Arial" w:hAnsi="Arial" w:cs="Arial"/>
          <w:i/>
          <w:iCs/>
          <w:color w:val="auto"/>
          <w:sz w:val="22"/>
          <w:szCs w:val="22"/>
        </w:rPr>
        <w:t xml:space="preserve"> (Teachers)</w:t>
      </w:r>
      <w:bookmarkEnd w:id="35"/>
      <w:bookmarkEnd w:id="36"/>
    </w:p>
    <w:p w14:paraId="224CE78E" w14:textId="7EEF65CF" w:rsidR="009E1C7C" w:rsidRPr="000E05FD" w:rsidRDefault="009E1C7C" w:rsidP="006F633E">
      <w:pPr>
        <w:pStyle w:val="Heading1"/>
        <w:spacing w:before="0" w:after="240" w:line="276" w:lineRule="auto"/>
        <w:jc w:val="both"/>
        <w:rPr>
          <w:rFonts w:ascii="Arial" w:hAnsi="Arial" w:cs="Arial"/>
          <w:i/>
          <w:iCs/>
          <w:color w:val="auto"/>
          <w:sz w:val="22"/>
          <w:szCs w:val="22"/>
        </w:rPr>
      </w:pPr>
    </w:p>
    <w:tbl>
      <w:tblPr>
        <w:tblStyle w:val="TableGrid"/>
        <w:tblW w:w="10339"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7"/>
        <w:gridCol w:w="2198"/>
        <w:gridCol w:w="1804"/>
        <w:gridCol w:w="2780"/>
      </w:tblGrid>
      <w:tr w:rsidR="002124B4" w:rsidRPr="000E05FD" w14:paraId="57E00919" w14:textId="77777777" w:rsidTr="00351EA6">
        <w:trPr>
          <w:trHeight w:val="312"/>
        </w:trPr>
        <w:tc>
          <w:tcPr>
            <w:tcW w:w="3557" w:type="dxa"/>
            <w:tcBorders>
              <w:top w:val="single" w:sz="4" w:space="0" w:color="auto"/>
              <w:left w:val="nil"/>
              <w:bottom w:val="single" w:sz="4" w:space="0" w:color="auto"/>
              <w:right w:val="nil"/>
            </w:tcBorders>
            <w:noWrap/>
            <w:hideMark/>
          </w:tcPr>
          <w:p w14:paraId="7B5BFE1C" w14:textId="77777777" w:rsidR="009E1C7C" w:rsidRPr="000E05FD" w:rsidRDefault="009E1C7C" w:rsidP="006F633E">
            <w:pPr>
              <w:spacing w:line="276" w:lineRule="auto"/>
              <w:jc w:val="both"/>
              <w:rPr>
                <w:rFonts w:ascii="Arial" w:hAnsi="Arial" w:cs="Arial"/>
              </w:rPr>
            </w:pPr>
            <w:r w:rsidRPr="000E05FD">
              <w:rPr>
                <w:rFonts w:ascii="Arial" w:hAnsi="Arial" w:cs="Arial"/>
              </w:rPr>
              <w:t>Variables</w:t>
            </w:r>
          </w:p>
        </w:tc>
        <w:tc>
          <w:tcPr>
            <w:tcW w:w="2198" w:type="dxa"/>
            <w:tcBorders>
              <w:top w:val="single" w:sz="4" w:space="0" w:color="auto"/>
              <w:left w:val="nil"/>
              <w:bottom w:val="single" w:sz="4" w:space="0" w:color="auto"/>
              <w:right w:val="nil"/>
            </w:tcBorders>
            <w:noWrap/>
            <w:hideMark/>
          </w:tcPr>
          <w:p w14:paraId="13307BF9" w14:textId="77777777" w:rsidR="009E1C7C" w:rsidRPr="000E05FD" w:rsidRDefault="009E1C7C" w:rsidP="006F633E">
            <w:pPr>
              <w:spacing w:line="276" w:lineRule="auto"/>
              <w:jc w:val="both"/>
              <w:rPr>
                <w:rFonts w:ascii="Arial" w:hAnsi="Arial" w:cs="Arial"/>
              </w:rPr>
            </w:pPr>
          </w:p>
        </w:tc>
        <w:tc>
          <w:tcPr>
            <w:tcW w:w="1804" w:type="dxa"/>
            <w:tcBorders>
              <w:top w:val="single" w:sz="4" w:space="0" w:color="auto"/>
              <w:left w:val="nil"/>
              <w:bottom w:val="single" w:sz="4" w:space="0" w:color="auto"/>
              <w:right w:val="nil"/>
            </w:tcBorders>
            <w:noWrap/>
            <w:hideMark/>
          </w:tcPr>
          <w:p w14:paraId="4610C66A" w14:textId="77777777" w:rsidR="009E1C7C" w:rsidRPr="000E05FD" w:rsidRDefault="009E1C7C" w:rsidP="006F633E">
            <w:pPr>
              <w:spacing w:line="276" w:lineRule="auto"/>
              <w:jc w:val="both"/>
              <w:rPr>
                <w:rFonts w:ascii="Arial" w:hAnsi="Arial" w:cs="Arial"/>
              </w:rPr>
            </w:pPr>
            <w:r w:rsidRPr="000E05FD">
              <w:rPr>
                <w:rFonts w:ascii="Arial" w:hAnsi="Arial" w:cs="Arial"/>
              </w:rPr>
              <w:t>Perceived benefits</w:t>
            </w:r>
          </w:p>
        </w:tc>
        <w:tc>
          <w:tcPr>
            <w:tcW w:w="2780" w:type="dxa"/>
            <w:tcBorders>
              <w:top w:val="single" w:sz="4" w:space="0" w:color="auto"/>
              <w:left w:val="nil"/>
              <w:bottom w:val="single" w:sz="4" w:space="0" w:color="auto"/>
              <w:right w:val="nil"/>
            </w:tcBorders>
            <w:noWrap/>
            <w:hideMark/>
          </w:tcPr>
          <w:p w14:paraId="0C98AAE0" w14:textId="77777777" w:rsidR="009E1C7C" w:rsidRPr="000E05FD" w:rsidRDefault="009E1C7C" w:rsidP="006F633E">
            <w:pPr>
              <w:spacing w:line="276" w:lineRule="auto"/>
              <w:jc w:val="both"/>
              <w:rPr>
                <w:rFonts w:ascii="Arial" w:hAnsi="Arial" w:cs="Arial"/>
              </w:rPr>
            </w:pPr>
            <w:r w:rsidRPr="000E05FD">
              <w:rPr>
                <w:rFonts w:ascii="Arial" w:hAnsi="Arial" w:cs="Arial"/>
              </w:rPr>
              <w:t>Level of Exam Malpractices in KCSE</w:t>
            </w:r>
          </w:p>
        </w:tc>
      </w:tr>
      <w:tr w:rsidR="002124B4" w:rsidRPr="000E05FD" w14:paraId="3AF23C05" w14:textId="77777777" w:rsidTr="00351EA6">
        <w:trPr>
          <w:trHeight w:val="312"/>
        </w:trPr>
        <w:tc>
          <w:tcPr>
            <w:tcW w:w="3557" w:type="dxa"/>
            <w:tcBorders>
              <w:top w:val="single" w:sz="4" w:space="0" w:color="auto"/>
              <w:left w:val="nil"/>
              <w:bottom w:val="nil"/>
              <w:right w:val="nil"/>
            </w:tcBorders>
            <w:noWrap/>
            <w:hideMark/>
          </w:tcPr>
          <w:p w14:paraId="48C9E6FD" w14:textId="77777777" w:rsidR="009E1C7C" w:rsidRPr="000E05FD" w:rsidRDefault="009E1C7C" w:rsidP="006F633E">
            <w:pPr>
              <w:spacing w:line="276" w:lineRule="auto"/>
              <w:jc w:val="both"/>
              <w:rPr>
                <w:rFonts w:ascii="Arial" w:hAnsi="Arial" w:cs="Arial"/>
              </w:rPr>
            </w:pPr>
            <w:r w:rsidRPr="000E05FD">
              <w:rPr>
                <w:rFonts w:ascii="Arial" w:hAnsi="Arial" w:cs="Arial"/>
              </w:rPr>
              <w:t>Perceived benefits</w:t>
            </w:r>
          </w:p>
        </w:tc>
        <w:tc>
          <w:tcPr>
            <w:tcW w:w="2198" w:type="dxa"/>
            <w:tcBorders>
              <w:top w:val="single" w:sz="4" w:space="0" w:color="auto"/>
              <w:left w:val="nil"/>
              <w:bottom w:val="nil"/>
              <w:right w:val="nil"/>
            </w:tcBorders>
            <w:noWrap/>
            <w:hideMark/>
          </w:tcPr>
          <w:p w14:paraId="04AF48C3" w14:textId="77777777" w:rsidR="009E1C7C" w:rsidRPr="000E05FD" w:rsidRDefault="009E1C7C" w:rsidP="006F633E">
            <w:pPr>
              <w:spacing w:line="276" w:lineRule="auto"/>
              <w:jc w:val="both"/>
              <w:rPr>
                <w:rFonts w:ascii="Arial" w:hAnsi="Arial" w:cs="Arial"/>
              </w:rPr>
            </w:pPr>
            <w:r w:rsidRPr="000E05FD">
              <w:rPr>
                <w:rFonts w:ascii="Arial" w:hAnsi="Arial" w:cs="Arial"/>
              </w:rPr>
              <w:t>Correlation Coefficient</w:t>
            </w:r>
          </w:p>
        </w:tc>
        <w:tc>
          <w:tcPr>
            <w:tcW w:w="1804" w:type="dxa"/>
            <w:tcBorders>
              <w:top w:val="single" w:sz="4" w:space="0" w:color="auto"/>
              <w:left w:val="nil"/>
              <w:bottom w:val="nil"/>
              <w:right w:val="nil"/>
            </w:tcBorders>
            <w:noWrap/>
            <w:hideMark/>
          </w:tcPr>
          <w:p w14:paraId="538713F1" w14:textId="77777777" w:rsidR="009E1C7C" w:rsidRPr="000E05FD" w:rsidRDefault="009E1C7C" w:rsidP="006F633E">
            <w:pPr>
              <w:spacing w:line="276" w:lineRule="auto"/>
              <w:jc w:val="both"/>
              <w:rPr>
                <w:rFonts w:ascii="Arial" w:hAnsi="Arial" w:cs="Arial"/>
              </w:rPr>
            </w:pPr>
            <w:r w:rsidRPr="000E05FD">
              <w:rPr>
                <w:rFonts w:ascii="Arial" w:hAnsi="Arial" w:cs="Arial"/>
              </w:rPr>
              <w:t>1</w:t>
            </w:r>
          </w:p>
        </w:tc>
        <w:tc>
          <w:tcPr>
            <w:tcW w:w="2780" w:type="dxa"/>
            <w:tcBorders>
              <w:top w:val="single" w:sz="4" w:space="0" w:color="auto"/>
              <w:left w:val="nil"/>
              <w:bottom w:val="nil"/>
              <w:right w:val="nil"/>
            </w:tcBorders>
            <w:noWrap/>
            <w:hideMark/>
          </w:tcPr>
          <w:p w14:paraId="0014D9C0" w14:textId="77777777" w:rsidR="009E1C7C" w:rsidRPr="000E05FD" w:rsidRDefault="009E1C7C" w:rsidP="006F633E">
            <w:pPr>
              <w:spacing w:line="276" w:lineRule="auto"/>
              <w:jc w:val="both"/>
              <w:rPr>
                <w:rFonts w:ascii="Arial" w:hAnsi="Arial" w:cs="Arial"/>
              </w:rPr>
            </w:pPr>
            <w:r w:rsidRPr="000E05FD">
              <w:rPr>
                <w:rFonts w:ascii="Arial" w:hAnsi="Arial" w:cs="Arial"/>
              </w:rPr>
              <w:t>.329**</w:t>
            </w:r>
          </w:p>
        </w:tc>
      </w:tr>
      <w:tr w:rsidR="002124B4" w:rsidRPr="000E05FD" w14:paraId="65BC7B56" w14:textId="77777777" w:rsidTr="00351EA6">
        <w:trPr>
          <w:trHeight w:val="312"/>
        </w:trPr>
        <w:tc>
          <w:tcPr>
            <w:tcW w:w="3557" w:type="dxa"/>
            <w:tcBorders>
              <w:top w:val="nil"/>
              <w:left w:val="nil"/>
              <w:bottom w:val="nil"/>
              <w:right w:val="nil"/>
            </w:tcBorders>
            <w:noWrap/>
            <w:hideMark/>
          </w:tcPr>
          <w:p w14:paraId="79F5582B" w14:textId="77777777" w:rsidR="009E1C7C" w:rsidRPr="000E05FD" w:rsidRDefault="009E1C7C" w:rsidP="006F633E">
            <w:pPr>
              <w:spacing w:line="276" w:lineRule="auto"/>
              <w:jc w:val="both"/>
              <w:rPr>
                <w:rFonts w:ascii="Arial" w:hAnsi="Arial" w:cs="Arial"/>
              </w:rPr>
            </w:pPr>
          </w:p>
        </w:tc>
        <w:tc>
          <w:tcPr>
            <w:tcW w:w="2198" w:type="dxa"/>
            <w:tcBorders>
              <w:top w:val="nil"/>
              <w:left w:val="nil"/>
              <w:bottom w:val="nil"/>
              <w:right w:val="nil"/>
            </w:tcBorders>
            <w:noWrap/>
            <w:hideMark/>
          </w:tcPr>
          <w:p w14:paraId="5444549E" w14:textId="77777777" w:rsidR="009E1C7C" w:rsidRPr="000E05FD" w:rsidRDefault="009E1C7C" w:rsidP="006F633E">
            <w:pPr>
              <w:spacing w:line="276" w:lineRule="auto"/>
              <w:jc w:val="both"/>
              <w:rPr>
                <w:rFonts w:ascii="Arial" w:hAnsi="Arial" w:cs="Arial"/>
              </w:rPr>
            </w:pPr>
            <w:r w:rsidRPr="000E05FD">
              <w:rPr>
                <w:rFonts w:ascii="Arial" w:hAnsi="Arial" w:cs="Arial"/>
              </w:rPr>
              <w:t>Sig. (2-tailed)</w:t>
            </w:r>
          </w:p>
        </w:tc>
        <w:tc>
          <w:tcPr>
            <w:tcW w:w="1804" w:type="dxa"/>
            <w:tcBorders>
              <w:top w:val="nil"/>
              <w:left w:val="nil"/>
              <w:bottom w:val="nil"/>
              <w:right w:val="nil"/>
            </w:tcBorders>
            <w:noWrap/>
            <w:hideMark/>
          </w:tcPr>
          <w:p w14:paraId="5C6F19EC" w14:textId="77777777" w:rsidR="009E1C7C" w:rsidRPr="000E05FD" w:rsidRDefault="009E1C7C" w:rsidP="006F633E">
            <w:pPr>
              <w:spacing w:line="276" w:lineRule="auto"/>
              <w:jc w:val="both"/>
              <w:rPr>
                <w:rFonts w:ascii="Arial" w:hAnsi="Arial" w:cs="Arial"/>
              </w:rPr>
            </w:pPr>
            <w:r w:rsidRPr="000E05FD">
              <w:rPr>
                <w:rFonts w:ascii="Arial" w:hAnsi="Arial" w:cs="Arial"/>
              </w:rPr>
              <w:t>.0</w:t>
            </w:r>
          </w:p>
        </w:tc>
        <w:tc>
          <w:tcPr>
            <w:tcW w:w="2780" w:type="dxa"/>
            <w:tcBorders>
              <w:top w:val="nil"/>
              <w:left w:val="nil"/>
              <w:bottom w:val="nil"/>
              <w:right w:val="nil"/>
            </w:tcBorders>
            <w:noWrap/>
            <w:hideMark/>
          </w:tcPr>
          <w:p w14:paraId="2D425B7C" w14:textId="77777777" w:rsidR="009E1C7C" w:rsidRPr="000E05FD" w:rsidRDefault="009E1C7C" w:rsidP="006F633E">
            <w:pPr>
              <w:spacing w:line="276" w:lineRule="auto"/>
              <w:jc w:val="both"/>
              <w:rPr>
                <w:rFonts w:ascii="Arial" w:hAnsi="Arial" w:cs="Arial"/>
              </w:rPr>
            </w:pPr>
            <w:r w:rsidRPr="000E05FD">
              <w:rPr>
                <w:rFonts w:ascii="Arial" w:hAnsi="Arial" w:cs="Arial"/>
              </w:rPr>
              <w:t>0</w:t>
            </w:r>
          </w:p>
        </w:tc>
      </w:tr>
      <w:tr w:rsidR="002124B4" w:rsidRPr="000E05FD" w14:paraId="0F045157" w14:textId="77777777" w:rsidTr="00351EA6">
        <w:trPr>
          <w:trHeight w:val="312"/>
        </w:trPr>
        <w:tc>
          <w:tcPr>
            <w:tcW w:w="3557" w:type="dxa"/>
            <w:tcBorders>
              <w:top w:val="nil"/>
              <w:left w:val="nil"/>
              <w:bottom w:val="nil"/>
              <w:right w:val="nil"/>
            </w:tcBorders>
            <w:noWrap/>
            <w:hideMark/>
          </w:tcPr>
          <w:p w14:paraId="0AD4838A" w14:textId="77777777" w:rsidR="009E1C7C" w:rsidRPr="000E05FD" w:rsidRDefault="009E1C7C" w:rsidP="006F633E">
            <w:pPr>
              <w:spacing w:line="276" w:lineRule="auto"/>
              <w:jc w:val="both"/>
              <w:rPr>
                <w:rFonts w:ascii="Arial" w:hAnsi="Arial" w:cs="Arial"/>
              </w:rPr>
            </w:pPr>
          </w:p>
        </w:tc>
        <w:tc>
          <w:tcPr>
            <w:tcW w:w="2198" w:type="dxa"/>
            <w:tcBorders>
              <w:top w:val="nil"/>
              <w:left w:val="nil"/>
              <w:bottom w:val="nil"/>
              <w:right w:val="nil"/>
            </w:tcBorders>
            <w:noWrap/>
            <w:hideMark/>
          </w:tcPr>
          <w:p w14:paraId="15C6EAD3" w14:textId="77777777" w:rsidR="009E1C7C" w:rsidRPr="000E05FD" w:rsidRDefault="009E1C7C" w:rsidP="006F633E">
            <w:pPr>
              <w:spacing w:line="276" w:lineRule="auto"/>
              <w:jc w:val="both"/>
              <w:rPr>
                <w:rFonts w:ascii="Arial" w:hAnsi="Arial" w:cs="Arial"/>
              </w:rPr>
            </w:pPr>
            <w:r w:rsidRPr="000E05FD">
              <w:rPr>
                <w:rFonts w:ascii="Arial" w:hAnsi="Arial" w:cs="Arial"/>
              </w:rPr>
              <w:t>N</w:t>
            </w:r>
          </w:p>
        </w:tc>
        <w:tc>
          <w:tcPr>
            <w:tcW w:w="1804" w:type="dxa"/>
            <w:tcBorders>
              <w:top w:val="nil"/>
              <w:left w:val="nil"/>
              <w:bottom w:val="nil"/>
              <w:right w:val="nil"/>
            </w:tcBorders>
            <w:noWrap/>
            <w:hideMark/>
          </w:tcPr>
          <w:p w14:paraId="0B2B6225"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c>
          <w:tcPr>
            <w:tcW w:w="2780" w:type="dxa"/>
            <w:tcBorders>
              <w:top w:val="nil"/>
              <w:left w:val="nil"/>
              <w:bottom w:val="nil"/>
              <w:right w:val="nil"/>
            </w:tcBorders>
            <w:noWrap/>
            <w:hideMark/>
          </w:tcPr>
          <w:p w14:paraId="1A60CF7B"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r>
      <w:tr w:rsidR="002124B4" w:rsidRPr="000E05FD" w14:paraId="516793BC" w14:textId="77777777" w:rsidTr="00351EA6">
        <w:trPr>
          <w:trHeight w:val="312"/>
        </w:trPr>
        <w:tc>
          <w:tcPr>
            <w:tcW w:w="3557" w:type="dxa"/>
            <w:tcBorders>
              <w:top w:val="nil"/>
              <w:left w:val="nil"/>
              <w:bottom w:val="nil"/>
              <w:right w:val="nil"/>
            </w:tcBorders>
            <w:noWrap/>
            <w:hideMark/>
          </w:tcPr>
          <w:p w14:paraId="33B13E2A" w14:textId="77777777" w:rsidR="009E1C7C" w:rsidRPr="000E05FD" w:rsidRDefault="009E1C7C" w:rsidP="006F633E">
            <w:pPr>
              <w:spacing w:line="276" w:lineRule="auto"/>
              <w:jc w:val="both"/>
              <w:rPr>
                <w:rFonts w:ascii="Arial" w:hAnsi="Arial" w:cs="Arial"/>
              </w:rPr>
            </w:pPr>
            <w:r w:rsidRPr="000E05FD">
              <w:rPr>
                <w:rFonts w:ascii="Arial" w:hAnsi="Arial" w:cs="Arial"/>
              </w:rPr>
              <w:t>Level of Exam Malpractices in KCSE</w:t>
            </w:r>
          </w:p>
        </w:tc>
        <w:tc>
          <w:tcPr>
            <w:tcW w:w="2198" w:type="dxa"/>
            <w:tcBorders>
              <w:top w:val="nil"/>
              <w:left w:val="nil"/>
              <w:bottom w:val="nil"/>
              <w:right w:val="nil"/>
            </w:tcBorders>
            <w:noWrap/>
            <w:hideMark/>
          </w:tcPr>
          <w:p w14:paraId="31AA96A5" w14:textId="77777777" w:rsidR="009E1C7C" w:rsidRPr="000E05FD" w:rsidRDefault="009E1C7C" w:rsidP="006F633E">
            <w:pPr>
              <w:spacing w:line="276" w:lineRule="auto"/>
              <w:jc w:val="both"/>
              <w:rPr>
                <w:rFonts w:ascii="Arial" w:hAnsi="Arial" w:cs="Arial"/>
              </w:rPr>
            </w:pPr>
            <w:r w:rsidRPr="000E05FD">
              <w:rPr>
                <w:rFonts w:ascii="Arial" w:hAnsi="Arial" w:cs="Arial"/>
              </w:rPr>
              <w:t>Correlation Coefficient</w:t>
            </w:r>
          </w:p>
        </w:tc>
        <w:tc>
          <w:tcPr>
            <w:tcW w:w="1804" w:type="dxa"/>
            <w:tcBorders>
              <w:top w:val="nil"/>
              <w:left w:val="nil"/>
              <w:bottom w:val="nil"/>
              <w:right w:val="nil"/>
            </w:tcBorders>
            <w:noWrap/>
            <w:hideMark/>
          </w:tcPr>
          <w:p w14:paraId="7861F30F" w14:textId="77777777" w:rsidR="009E1C7C" w:rsidRPr="000E05FD" w:rsidRDefault="009E1C7C" w:rsidP="006F633E">
            <w:pPr>
              <w:spacing w:line="276" w:lineRule="auto"/>
              <w:jc w:val="both"/>
              <w:rPr>
                <w:rFonts w:ascii="Arial" w:hAnsi="Arial" w:cs="Arial"/>
              </w:rPr>
            </w:pPr>
            <w:r w:rsidRPr="000E05FD">
              <w:rPr>
                <w:rFonts w:ascii="Arial" w:hAnsi="Arial" w:cs="Arial"/>
              </w:rPr>
              <w:t>.329**</w:t>
            </w:r>
          </w:p>
        </w:tc>
        <w:tc>
          <w:tcPr>
            <w:tcW w:w="2780" w:type="dxa"/>
            <w:tcBorders>
              <w:top w:val="nil"/>
              <w:left w:val="nil"/>
              <w:bottom w:val="nil"/>
              <w:right w:val="nil"/>
            </w:tcBorders>
            <w:noWrap/>
            <w:hideMark/>
          </w:tcPr>
          <w:p w14:paraId="60B66C5A" w14:textId="77777777" w:rsidR="009E1C7C" w:rsidRPr="000E05FD" w:rsidRDefault="009E1C7C" w:rsidP="006F633E">
            <w:pPr>
              <w:spacing w:line="276" w:lineRule="auto"/>
              <w:jc w:val="both"/>
              <w:rPr>
                <w:rFonts w:ascii="Arial" w:hAnsi="Arial" w:cs="Arial"/>
              </w:rPr>
            </w:pPr>
            <w:r w:rsidRPr="000E05FD">
              <w:rPr>
                <w:rFonts w:ascii="Arial" w:hAnsi="Arial" w:cs="Arial"/>
              </w:rPr>
              <w:t>1</w:t>
            </w:r>
          </w:p>
        </w:tc>
      </w:tr>
      <w:tr w:rsidR="002124B4" w:rsidRPr="000E05FD" w14:paraId="325D6857" w14:textId="77777777" w:rsidTr="00351EA6">
        <w:trPr>
          <w:trHeight w:val="312"/>
        </w:trPr>
        <w:tc>
          <w:tcPr>
            <w:tcW w:w="3557" w:type="dxa"/>
            <w:tcBorders>
              <w:top w:val="nil"/>
              <w:left w:val="nil"/>
              <w:bottom w:val="nil"/>
              <w:right w:val="nil"/>
            </w:tcBorders>
            <w:noWrap/>
            <w:hideMark/>
          </w:tcPr>
          <w:p w14:paraId="0D9B6160" w14:textId="77777777" w:rsidR="009E1C7C" w:rsidRPr="000E05FD" w:rsidRDefault="009E1C7C" w:rsidP="006F633E">
            <w:pPr>
              <w:spacing w:line="276" w:lineRule="auto"/>
              <w:jc w:val="both"/>
              <w:rPr>
                <w:rFonts w:ascii="Arial" w:hAnsi="Arial" w:cs="Arial"/>
              </w:rPr>
            </w:pPr>
          </w:p>
        </w:tc>
        <w:tc>
          <w:tcPr>
            <w:tcW w:w="2198" w:type="dxa"/>
            <w:tcBorders>
              <w:top w:val="nil"/>
              <w:left w:val="nil"/>
              <w:bottom w:val="nil"/>
              <w:right w:val="nil"/>
            </w:tcBorders>
            <w:noWrap/>
            <w:hideMark/>
          </w:tcPr>
          <w:p w14:paraId="1CF35DB1" w14:textId="77777777" w:rsidR="009E1C7C" w:rsidRPr="000E05FD" w:rsidRDefault="009E1C7C" w:rsidP="006F633E">
            <w:pPr>
              <w:spacing w:line="276" w:lineRule="auto"/>
              <w:jc w:val="both"/>
              <w:rPr>
                <w:rFonts w:ascii="Arial" w:hAnsi="Arial" w:cs="Arial"/>
              </w:rPr>
            </w:pPr>
            <w:r w:rsidRPr="000E05FD">
              <w:rPr>
                <w:rFonts w:ascii="Arial" w:hAnsi="Arial" w:cs="Arial"/>
              </w:rPr>
              <w:t>Sig. (2-tailed)</w:t>
            </w:r>
          </w:p>
        </w:tc>
        <w:tc>
          <w:tcPr>
            <w:tcW w:w="1804" w:type="dxa"/>
            <w:tcBorders>
              <w:top w:val="nil"/>
              <w:left w:val="nil"/>
              <w:bottom w:val="nil"/>
              <w:right w:val="nil"/>
            </w:tcBorders>
            <w:noWrap/>
            <w:hideMark/>
          </w:tcPr>
          <w:p w14:paraId="3F5E2385" w14:textId="77777777" w:rsidR="009E1C7C" w:rsidRPr="000E05FD" w:rsidRDefault="009E1C7C" w:rsidP="006F633E">
            <w:pPr>
              <w:spacing w:line="276" w:lineRule="auto"/>
              <w:jc w:val="both"/>
              <w:rPr>
                <w:rFonts w:ascii="Arial" w:hAnsi="Arial" w:cs="Arial"/>
              </w:rPr>
            </w:pPr>
            <w:r w:rsidRPr="000E05FD">
              <w:rPr>
                <w:rFonts w:ascii="Arial" w:hAnsi="Arial" w:cs="Arial"/>
              </w:rPr>
              <w:t>0</w:t>
            </w:r>
          </w:p>
        </w:tc>
        <w:tc>
          <w:tcPr>
            <w:tcW w:w="2780" w:type="dxa"/>
            <w:tcBorders>
              <w:top w:val="nil"/>
              <w:left w:val="nil"/>
              <w:bottom w:val="nil"/>
              <w:right w:val="nil"/>
            </w:tcBorders>
            <w:noWrap/>
            <w:hideMark/>
          </w:tcPr>
          <w:p w14:paraId="19858574" w14:textId="77777777" w:rsidR="009E1C7C" w:rsidRPr="000E05FD" w:rsidRDefault="009E1C7C" w:rsidP="006F633E">
            <w:pPr>
              <w:spacing w:line="276" w:lineRule="auto"/>
              <w:jc w:val="both"/>
              <w:rPr>
                <w:rFonts w:ascii="Arial" w:hAnsi="Arial" w:cs="Arial"/>
              </w:rPr>
            </w:pPr>
            <w:r w:rsidRPr="000E05FD">
              <w:rPr>
                <w:rFonts w:ascii="Arial" w:hAnsi="Arial" w:cs="Arial"/>
              </w:rPr>
              <w:t>.</w:t>
            </w:r>
          </w:p>
        </w:tc>
      </w:tr>
      <w:tr w:rsidR="002124B4" w:rsidRPr="000E05FD" w14:paraId="73C40020" w14:textId="77777777" w:rsidTr="00351EA6">
        <w:trPr>
          <w:trHeight w:val="437"/>
        </w:trPr>
        <w:tc>
          <w:tcPr>
            <w:tcW w:w="3557" w:type="dxa"/>
            <w:tcBorders>
              <w:top w:val="nil"/>
              <w:left w:val="nil"/>
              <w:bottom w:val="single" w:sz="4" w:space="0" w:color="auto"/>
              <w:right w:val="nil"/>
            </w:tcBorders>
            <w:noWrap/>
            <w:hideMark/>
          </w:tcPr>
          <w:p w14:paraId="4478AA19" w14:textId="77777777" w:rsidR="009E1C7C" w:rsidRPr="000E05FD" w:rsidRDefault="009E1C7C" w:rsidP="006F633E">
            <w:pPr>
              <w:spacing w:line="276" w:lineRule="auto"/>
              <w:jc w:val="both"/>
              <w:rPr>
                <w:rFonts w:ascii="Arial" w:hAnsi="Arial" w:cs="Arial"/>
              </w:rPr>
            </w:pPr>
          </w:p>
        </w:tc>
        <w:tc>
          <w:tcPr>
            <w:tcW w:w="2198" w:type="dxa"/>
            <w:tcBorders>
              <w:top w:val="nil"/>
              <w:left w:val="nil"/>
              <w:bottom w:val="single" w:sz="4" w:space="0" w:color="auto"/>
              <w:right w:val="nil"/>
            </w:tcBorders>
            <w:noWrap/>
            <w:hideMark/>
          </w:tcPr>
          <w:p w14:paraId="64224869" w14:textId="77777777" w:rsidR="009E1C7C" w:rsidRPr="000E05FD" w:rsidRDefault="009E1C7C" w:rsidP="006F633E">
            <w:pPr>
              <w:spacing w:line="276" w:lineRule="auto"/>
              <w:jc w:val="both"/>
              <w:rPr>
                <w:rFonts w:ascii="Arial" w:hAnsi="Arial" w:cs="Arial"/>
              </w:rPr>
            </w:pPr>
            <w:r w:rsidRPr="000E05FD">
              <w:rPr>
                <w:rFonts w:ascii="Arial" w:hAnsi="Arial" w:cs="Arial"/>
              </w:rPr>
              <w:t>N</w:t>
            </w:r>
          </w:p>
        </w:tc>
        <w:tc>
          <w:tcPr>
            <w:tcW w:w="1804" w:type="dxa"/>
            <w:tcBorders>
              <w:top w:val="nil"/>
              <w:left w:val="nil"/>
              <w:bottom w:val="single" w:sz="4" w:space="0" w:color="auto"/>
              <w:right w:val="nil"/>
            </w:tcBorders>
            <w:noWrap/>
            <w:hideMark/>
          </w:tcPr>
          <w:p w14:paraId="1240E15A"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c>
          <w:tcPr>
            <w:tcW w:w="2780" w:type="dxa"/>
            <w:tcBorders>
              <w:top w:val="nil"/>
              <w:left w:val="nil"/>
              <w:bottom w:val="single" w:sz="4" w:space="0" w:color="auto"/>
              <w:right w:val="nil"/>
            </w:tcBorders>
            <w:noWrap/>
            <w:hideMark/>
          </w:tcPr>
          <w:p w14:paraId="5E12012D" w14:textId="77777777" w:rsidR="009E1C7C" w:rsidRPr="000E05FD" w:rsidRDefault="009E1C7C" w:rsidP="006F633E">
            <w:pPr>
              <w:spacing w:line="276" w:lineRule="auto"/>
              <w:jc w:val="both"/>
              <w:rPr>
                <w:rFonts w:ascii="Arial" w:hAnsi="Arial" w:cs="Arial"/>
              </w:rPr>
            </w:pPr>
            <w:r w:rsidRPr="000E05FD">
              <w:rPr>
                <w:rFonts w:ascii="Arial" w:hAnsi="Arial" w:cs="Arial"/>
              </w:rPr>
              <w:t>54</w:t>
            </w:r>
          </w:p>
        </w:tc>
      </w:tr>
    </w:tbl>
    <w:p w14:paraId="4145B13A" w14:textId="586BF2BF" w:rsidR="009E1C7C" w:rsidRPr="000E05FD" w:rsidRDefault="009E1C7C" w:rsidP="006F633E">
      <w:pPr>
        <w:spacing w:line="276" w:lineRule="auto"/>
        <w:jc w:val="both"/>
        <w:rPr>
          <w:rFonts w:ascii="Arial" w:hAnsi="Arial" w:cs="Arial"/>
          <w:i/>
          <w:iCs/>
          <w:sz w:val="22"/>
          <w:szCs w:val="22"/>
        </w:rPr>
      </w:pPr>
      <w:r w:rsidRPr="000E05FD">
        <w:rPr>
          <w:rFonts w:ascii="Arial" w:hAnsi="Arial" w:cs="Arial"/>
          <w:i/>
          <w:iCs/>
          <w:sz w:val="22"/>
          <w:szCs w:val="22"/>
        </w:rPr>
        <w:t>Source: Researcher 202</w:t>
      </w:r>
      <w:r w:rsidR="00566639">
        <w:rPr>
          <w:rFonts w:ascii="Arial" w:hAnsi="Arial" w:cs="Arial"/>
          <w:i/>
          <w:iCs/>
          <w:sz w:val="22"/>
          <w:szCs w:val="22"/>
        </w:rPr>
        <w:t>5</w:t>
      </w:r>
    </w:p>
    <w:p w14:paraId="29ACE39A" w14:textId="77777777"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 xml:space="preserve">The correlation analysis examines the relationship between perceived benefits of cheating and the level of integrity observed in Kenya Certificate of Secondary Education (KCSE) examinations. The results reveal a statistically significant positive correlation coefficient of .329** between these two variables. This indicates a moderate positive relationship, suggesting that higher levels of </w:t>
      </w:r>
      <w:r w:rsidRPr="000E05FD">
        <w:rPr>
          <w:rFonts w:ascii="Arial" w:hAnsi="Arial" w:cs="Arial"/>
          <w:sz w:val="22"/>
          <w:szCs w:val="22"/>
        </w:rPr>
        <w:lastRenderedPageBreak/>
        <w:t xml:space="preserve">perceived benefits of cheating are associated with lower levels of integrity in KCSE examinations. Similarly, data from the students portrays the same trend as the teachers. </w:t>
      </w:r>
    </w:p>
    <w:p w14:paraId="68A44324" w14:textId="3439E212" w:rsidR="009E1C7C" w:rsidRPr="000E05FD" w:rsidRDefault="009E1C7C" w:rsidP="006F633E">
      <w:pPr>
        <w:pStyle w:val="Heading1"/>
        <w:spacing w:after="240" w:line="276" w:lineRule="auto"/>
        <w:jc w:val="both"/>
        <w:rPr>
          <w:rFonts w:ascii="Arial" w:hAnsi="Arial" w:cs="Arial"/>
          <w:color w:val="auto"/>
          <w:sz w:val="22"/>
          <w:szCs w:val="22"/>
        </w:rPr>
      </w:pPr>
      <w:bookmarkStart w:id="37" w:name="_Toc206345295"/>
      <w:bookmarkStart w:id="38" w:name="_Toc207705244"/>
      <w:r w:rsidRPr="000E05FD">
        <w:rPr>
          <w:rFonts w:ascii="Arial" w:hAnsi="Arial" w:cs="Arial"/>
          <w:color w:val="auto"/>
          <w:sz w:val="22"/>
          <w:szCs w:val="22"/>
        </w:rPr>
        <w:t xml:space="preserve">Table </w:t>
      </w:r>
      <w:r w:rsidR="001E6AC6" w:rsidRPr="000E05FD">
        <w:rPr>
          <w:rFonts w:ascii="Arial" w:hAnsi="Arial" w:cs="Arial"/>
          <w:color w:val="auto"/>
          <w:sz w:val="22"/>
          <w:szCs w:val="22"/>
        </w:rPr>
        <w:t>6</w:t>
      </w:r>
      <w:r w:rsidRPr="000E05FD">
        <w:rPr>
          <w:rFonts w:ascii="Arial" w:hAnsi="Arial" w:cs="Arial"/>
          <w:color w:val="auto"/>
          <w:sz w:val="22"/>
          <w:szCs w:val="22"/>
        </w:rPr>
        <w:t>:</w:t>
      </w:r>
      <w:bookmarkEnd w:id="37"/>
      <w:bookmarkEnd w:id="38"/>
      <w:r w:rsidR="00046959">
        <w:rPr>
          <w:rFonts w:ascii="Arial" w:hAnsi="Arial" w:cs="Arial"/>
          <w:color w:val="auto"/>
          <w:sz w:val="22"/>
          <w:szCs w:val="22"/>
        </w:rPr>
        <w:t xml:space="preserve"> </w:t>
      </w:r>
      <w:bookmarkStart w:id="39" w:name="_Toc206345296"/>
      <w:bookmarkStart w:id="40" w:name="_Toc207705245"/>
      <w:r w:rsidR="00046959" w:rsidRPr="000E05FD">
        <w:rPr>
          <w:rFonts w:ascii="Arial" w:hAnsi="Arial" w:cs="Arial"/>
          <w:i/>
          <w:iCs/>
          <w:color w:val="auto"/>
          <w:sz w:val="22"/>
          <w:szCs w:val="22"/>
        </w:rPr>
        <w:t>Correlation Analysis of Perceived Benefits and the Level of Academic Integrity and Exam Malpractices in KCSE (Student)</w:t>
      </w:r>
      <w:bookmarkEnd w:id="39"/>
      <w:bookmarkEnd w:id="40"/>
    </w:p>
    <w:p w14:paraId="00B09EC3" w14:textId="5DE67C9A" w:rsidR="009E1C7C" w:rsidRPr="000E05FD" w:rsidRDefault="009E1C7C" w:rsidP="006F633E">
      <w:pPr>
        <w:pStyle w:val="Heading1"/>
        <w:spacing w:before="0" w:after="240" w:line="276" w:lineRule="auto"/>
        <w:jc w:val="both"/>
        <w:rPr>
          <w:rFonts w:ascii="Arial" w:hAnsi="Arial" w:cs="Arial"/>
          <w:i/>
          <w:iCs/>
          <w:color w:val="auto"/>
          <w:sz w:val="22"/>
          <w:szCs w:val="22"/>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1874"/>
        <w:gridCol w:w="1595"/>
        <w:gridCol w:w="2945"/>
      </w:tblGrid>
      <w:tr w:rsidR="002124B4" w:rsidRPr="000E05FD" w14:paraId="3E04A8C7" w14:textId="77777777">
        <w:trPr>
          <w:trHeight w:val="300"/>
        </w:trPr>
        <w:tc>
          <w:tcPr>
            <w:tcW w:w="1578" w:type="pct"/>
            <w:tcBorders>
              <w:top w:val="single" w:sz="4" w:space="0" w:color="auto"/>
              <w:left w:val="nil"/>
              <w:bottom w:val="single" w:sz="4" w:space="0" w:color="auto"/>
              <w:right w:val="nil"/>
            </w:tcBorders>
            <w:noWrap/>
            <w:hideMark/>
          </w:tcPr>
          <w:p w14:paraId="12C75AC9" w14:textId="77777777" w:rsidR="009E1C7C" w:rsidRPr="000E05FD" w:rsidRDefault="009E1C7C" w:rsidP="006F633E">
            <w:pPr>
              <w:spacing w:line="276" w:lineRule="auto"/>
              <w:jc w:val="both"/>
              <w:rPr>
                <w:rFonts w:ascii="Arial" w:hAnsi="Arial" w:cs="Arial"/>
              </w:rPr>
            </w:pPr>
            <w:r w:rsidRPr="000E05FD">
              <w:rPr>
                <w:rFonts w:ascii="Arial" w:hAnsi="Arial" w:cs="Arial"/>
              </w:rPr>
              <w:t>Variables</w:t>
            </w:r>
          </w:p>
        </w:tc>
        <w:tc>
          <w:tcPr>
            <w:tcW w:w="1015" w:type="pct"/>
            <w:tcBorders>
              <w:top w:val="single" w:sz="4" w:space="0" w:color="auto"/>
              <w:left w:val="nil"/>
              <w:bottom w:val="single" w:sz="4" w:space="0" w:color="auto"/>
              <w:right w:val="nil"/>
            </w:tcBorders>
            <w:noWrap/>
            <w:hideMark/>
          </w:tcPr>
          <w:p w14:paraId="04F2907D" w14:textId="77777777" w:rsidR="009E1C7C" w:rsidRPr="000E05FD" w:rsidRDefault="009E1C7C" w:rsidP="006F633E">
            <w:pPr>
              <w:spacing w:line="276" w:lineRule="auto"/>
              <w:jc w:val="both"/>
              <w:rPr>
                <w:rFonts w:ascii="Arial" w:hAnsi="Arial" w:cs="Arial"/>
              </w:rPr>
            </w:pPr>
          </w:p>
        </w:tc>
        <w:tc>
          <w:tcPr>
            <w:tcW w:w="829" w:type="pct"/>
            <w:tcBorders>
              <w:top w:val="single" w:sz="4" w:space="0" w:color="auto"/>
              <w:left w:val="nil"/>
              <w:bottom w:val="single" w:sz="4" w:space="0" w:color="auto"/>
              <w:right w:val="nil"/>
            </w:tcBorders>
            <w:noWrap/>
            <w:hideMark/>
          </w:tcPr>
          <w:p w14:paraId="689DC49E" w14:textId="77777777" w:rsidR="009E1C7C" w:rsidRPr="000E05FD" w:rsidRDefault="009E1C7C" w:rsidP="006F633E">
            <w:pPr>
              <w:spacing w:line="276" w:lineRule="auto"/>
              <w:jc w:val="both"/>
              <w:rPr>
                <w:rFonts w:ascii="Arial" w:hAnsi="Arial" w:cs="Arial"/>
              </w:rPr>
            </w:pPr>
            <w:r w:rsidRPr="000E05FD">
              <w:rPr>
                <w:rFonts w:ascii="Arial" w:hAnsi="Arial" w:cs="Arial"/>
              </w:rPr>
              <w:t>Perceived benefits</w:t>
            </w:r>
          </w:p>
        </w:tc>
        <w:tc>
          <w:tcPr>
            <w:tcW w:w="1578" w:type="pct"/>
            <w:tcBorders>
              <w:top w:val="single" w:sz="4" w:space="0" w:color="auto"/>
              <w:left w:val="nil"/>
              <w:bottom w:val="single" w:sz="4" w:space="0" w:color="auto"/>
              <w:right w:val="nil"/>
            </w:tcBorders>
            <w:noWrap/>
            <w:hideMark/>
          </w:tcPr>
          <w:p w14:paraId="078CC23F" w14:textId="77777777" w:rsidR="009E1C7C" w:rsidRPr="000E05FD" w:rsidRDefault="009E1C7C" w:rsidP="006F633E">
            <w:pPr>
              <w:spacing w:line="276" w:lineRule="auto"/>
              <w:jc w:val="both"/>
              <w:rPr>
                <w:rFonts w:ascii="Arial" w:hAnsi="Arial" w:cs="Arial"/>
              </w:rPr>
            </w:pPr>
            <w:r w:rsidRPr="000E05FD">
              <w:rPr>
                <w:rFonts w:ascii="Arial" w:hAnsi="Arial" w:cs="Arial"/>
              </w:rPr>
              <w:t>Level of Exam Malpractices in KCSE</w:t>
            </w:r>
          </w:p>
        </w:tc>
      </w:tr>
      <w:tr w:rsidR="002124B4" w:rsidRPr="000E05FD" w14:paraId="3BAB3119" w14:textId="77777777">
        <w:trPr>
          <w:trHeight w:val="300"/>
        </w:trPr>
        <w:tc>
          <w:tcPr>
            <w:tcW w:w="1578" w:type="pct"/>
            <w:tcBorders>
              <w:top w:val="single" w:sz="4" w:space="0" w:color="auto"/>
              <w:left w:val="nil"/>
              <w:bottom w:val="nil"/>
              <w:right w:val="nil"/>
            </w:tcBorders>
            <w:noWrap/>
            <w:hideMark/>
          </w:tcPr>
          <w:p w14:paraId="53CBB57B" w14:textId="77777777" w:rsidR="009E1C7C" w:rsidRPr="000E05FD" w:rsidRDefault="009E1C7C" w:rsidP="006F633E">
            <w:pPr>
              <w:spacing w:line="276" w:lineRule="auto"/>
              <w:jc w:val="both"/>
              <w:rPr>
                <w:rFonts w:ascii="Arial" w:hAnsi="Arial" w:cs="Arial"/>
              </w:rPr>
            </w:pPr>
            <w:r w:rsidRPr="000E05FD">
              <w:rPr>
                <w:rFonts w:ascii="Arial" w:hAnsi="Arial" w:cs="Arial"/>
              </w:rPr>
              <w:t>Perceived benefits</w:t>
            </w:r>
          </w:p>
        </w:tc>
        <w:tc>
          <w:tcPr>
            <w:tcW w:w="1015" w:type="pct"/>
            <w:tcBorders>
              <w:top w:val="single" w:sz="4" w:space="0" w:color="auto"/>
              <w:left w:val="nil"/>
              <w:bottom w:val="nil"/>
              <w:right w:val="nil"/>
            </w:tcBorders>
            <w:noWrap/>
            <w:hideMark/>
          </w:tcPr>
          <w:p w14:paraId="48FE0BB2" w14:textId="77777777" w:rsidR="009E1C7C" w:rsidRPr="000E05FD" w:rsidRDefault="009E1C7C" w:rsidP="006F633E">
            <w:pPr>
              <w:spacing w:line="276" w:lineRule="auto"/>
              <w:jc w:val="both"/>
              <w:rPr>
                <w:rFonts w:ascii="Arial" w:hAnsi="Arial" w:cs="Arial"/>
              </w:rPr>
            </w:pPr>
            <w:r w:rsidRPr="000E05FD">
              <w:rPr>
                <w:rFonts w:ascii="Arial" w:hAnsi="Arial" w:cs="Arial"/>
              </w:rPr>
              <w:t>Correlation Coefficient</w:t>
            </w:r>
          </w:p>
        </w:tc>
        <w:tc>
          <w:tcPr>
            <w:tcW w:w="829" w:type="pct"/>
            <w:tcBorders>
              <w:top w:val="single" w:sz="4" w:space="0" w:color="auto"/>
              <w:left w:val="nil"/>
              <w:bottom w:val="nil"/>
              <w:right w:val="nil"/>
            </w:tcBorders>
            <w:noWrap/>
            <w:hideMark/>
          </w:tcPr>
          <w:p w14:paraId="5513879A" w14:textId="77777777" w:rsidR="009E1C7C" w:rsidRPr="000E05FD" w:rsidRDefault="009E1C7C" w:rsidP="006F633E">
            <w:pPr>
              <w:spacing w:line="276" w:lineRule="auto"/>
              <w:jc w:val="both"/>
              <w:rPr>
                <w:rFonts w:ascii="Arial" w:hAnsi="Arial" w:cs="Arial"/>
              </w:rPr>
            </w:pPr>
            <w:r w:rsidRPr="000E05FD">
              <w:rPr>
                <w:rFonts w:ascii="Arial" w:hAnsi="Arial" w:cs="Arial"/>
              </w:rPr>
              <w:t>1</w:t>
            </w:r>
          </w:p>
        </w:tc>
        <w:tc>
          <w:tcPr>
            <w:tcW w:w="1578" w:type="pct"/>
            <w:tcBorders>
              <w:top w:val="single" w:sz="4" w:space="0" w:color="auto"/>
              <w:left w:val="nil"/>
              <w:bottom w:val="nil"/>
              <w:right w:val="nil"/>
            </w:tcBorders>
            <w:noWrap/>
            <w:hideMark/>
          </w:tcPr>
          <w:p w14:paraId="6945F3E9" w14:textId="77777777" w:rsidR="009E1C7C" w:rsidRPr="000E05FD" w:rsidRDefault="009E1C7C" w:rsidP="006F633E">
            <w:pPr>
              <w:spacing w:line="276" w:lineRule="auto"/>
              <w:jc w:val="both"/>
              <w:rPr>
                <w:rFonts w:ascii="Arial" w:hAnsi="Arial" w:cs="Arial"/>
              </w:rPr>
            </w:pPr>
            <w:r w:rsidRPr="000E05FD">
              <w:rPr>
                <w:rFonts w:ascii="Arial" w:hAnsi="Arial" w:cs="Arial"/>
              </w:rPr>
              <w:t>.423**</w:t>
            </w:r>
          </w:p>
        </w:tc>
      </w:tr>
      <w:tr w:rsidR="002124B4" w:rsidRPr="000E05FD" w14:paraId="79F3D9D5" w14:textId="77777777">
        <w:trPr>
          <w:trHeight w:val="300"/>
        </w:trPr>
        <w:tc>
          <w:tcPr>
            <w:tcW w:w="1578" w:type="pct"/>
            <w:noWrap/>
            <w:hideMark/>
          </w:tcPr>
          <w:p w14:paraId="318764CC" w14:textId="77777777" w:rsidR="009E1C7C" w:rsidRPr="000E05FD" w:rsidRDefault="009E1C7C" w:rsidP="006F633E">
            <w:pPr>
              <w:spacing w:line="276" w:lineRule="auto"/>
              <w:jc w:val="both"/>
              <w:rPr>
                <w:rFonts w:ascii="Arial" w:hAnsi="Arial" w:cs="Arial"/>
              </w:rPr>
            </w:pPr>
          </w:p>
        </w:tc>
        <w:tc>
          <w:tcPr>
            <w:tcW w:w="1015" w:type="pct"/>
            <w:noWrap/>
            <w:hideMark/>
          </w:tcPr>
          <w:p w14:paraId="3232C259" w14:textId="77777777" w:rsidR="009E1C7C" w:rsidRPr="000E05FD" w:rsidRDefault="009E1C7C" w:rsidP="006F633E">
            <w:pPr>
              <w:spacing w:line="276" w:lineRule="auto"/>
              <w:jc w:val="both"/>
              <w:rPr>
                <w:rFonts w:ascii="Arial" w:hAnsi="Arial" w:cs="Arial"/>
              </w:rPr>
            </w:pPr>
            <w:r w:rsidRPr="000E05FD">
              <w:rPr>
                <w:rFonts w:ascii="Arial" w:hAnsi="Arial" w:cs="Arial"/>
              </w:rPr>
              <w:t>Sig. (2-tailed)</w:t>
            </w:r>
          </w:p>
        </w:tc>
        <w:tc>
          <w:tcPr>
            <w:tcW w:w="829" w:type="pct"/>
            <w:noWrap/>
            <w:hideMark/>
          </w:tcPr>
          <w:p w14:paraId="60569ACF" w14:textId="77777777" w:rsidR="009E1C7C" w:rsidRPr="000E05FD" w:rsidRDefault="009E1C7C" w:rsidP="006F633E">
            <w:pPr>
              <w:spacing w:line="276" w:lineRule="auto"/>
              <w:jc w:val="both"/>
              <w:rPr>
                <w:rFonts w:ascii="Arial" w:hAnsi="Arial" w:cs="Arial"/>
              </w:rPr>
            </w:pPr>
            <w:r w:rsidRPr="000E05FD">
              <w:rPr>
                <w:rFonts w:ascii="Arial" w:hAnsi="Arial" w:cs="Arial"/>
              </w:rPr>
              <w:t>0</w:t>
            </w:r>
          </w:p>
        </w:tc>
        <w:tc>
          <w:tcPr>
            <w:tcW w:w="1578" w:type="pct"/>
            <w:noWrap/>
            <w:hideMark/>
          </w:tcPr>
          <w:p w14:paraId="757DE62A" w14:textId="77777777" w:rsidR="009E1C7C" w:rsidRPr="000E05FD" w:rsidRDefault="009E1C7C" w:rsidP="006F633E">
            <w:pPr>
              <w:spacing w:line="276" w:lineRule="auto"/>
              <w:jc w:val="both"/>
              <w:rPr>
                <w:rFonts w:ascii="Arial" w:hAnsi="Arial" w:cs="Arial"/>
              </w:rPr>
            </w:pPr>
            <w:r w:rsidRPr="000E05FD">
              <w:rPr>
                <w:rFonts w:ascii="Arial" w:hAnsi="Arial" w:cs="Arial"/>
              </w:rPr>
              <w:t>0</w:t>
            </w:r>
          </w:p>
        </w:tc>
      </w:tr>
      <w:tr w:rsidR="002124B4" w:rsidRPr="000E05FD" w14:paraId="094E8DFC" w14:textId="77777777">
        <w:trPr>
          <w:trHeight w:val="300"/>
        </w:trPr>
        <w:tc>
          <w:tcPr>
            <w:tcW w:w="1578" w:type="pct"/>
            <w:noWrap/>
            <w:hideMark/>
          </w:tcPr>
          <w:p w14:paraId="1AF8B4E5" w14:textId="77777777" w:rsidR="009E1C7C" w:rsidRPr="000E05FD" w:rsidRDefault="009E1C7C" w:rsidP="006F633E">
            <w:pPr>
              <w:spacing w:line="276" w:lineRule="auto"/>
              <w:jc w:val="both"/>
              <w:rPr>
                <w:rFonts w:ascii="Arial" w:hAnsi="Arial" w:cs="Arial"/>
              </w:rPr>
            </w:pPr>
          </w:p>
        </w:tc>
        <w:tc>
          <w:tcPr>
            <w:tcW w:w="1015" w:type="pct"/>
            <w:noWrap/>
            <w:hideMark/>
          </w:tcPr>
          <w:p w14:paraId="52407A0D" w14:textId="77777777" w:rsidR="009E1C7C" w:rsidRPr="000E05FD" w:rsidRDefault="009E1C7C" w:rsidP="006F633E">
            <w:pPr>
              <w:spacing w:line="276" w:lineRule="auto"/>
              <w:jc w:val="both"/>
              <w:rPr>
                <w:rFonts w:ascii="Arial" w:hAnsi="Arial" w:cs="Arial"/>
              </w:rPr>
            </w:pPr>
            <w:r w:rsidRPr="000E05FD">
              <w:rPr>
                <w:rFonts w:ascii="Arial" w:hAnsi="Arial" w:cs="Arial"/>
              </w:rPr>
              <w:t>N</w:t>
            </w:r>
          </w:p>
        </w:tc>
        <w:tc>
          <w:tcPr>
            <w:tcW w:w="829" w:type="pct"/>
            <w:noWrap/>
            <w:hideMark/>
          </w:tcPr>
          <w:p w14:paraId="0E971BCB"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c>
          <w:tcPr>
            <w:tcW w:w="1578" w:type="pct"/>
            <w:noWrap/>
            <w:hideMark/>
          </w:tcPr>
          <w:p w14:paraId="5611F0C5"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r>
      <w:tr w:rsidR="002124B4" w:rsidRPr="000E05FD" w14:paraId="2D8300F0" w14:textId="77777777">
        <w:trPr>
          <w:trHeight w:val="300"/>
        </w:trPr>
        <w:tc>
          <w:tcPr>
            <w:tcW w:w="1578" w:type="pct"/>
            <w:noWrap/>
            <w:hideMark/>
          </w:tcPr>
          <w:p w14:paraId="25A9BCEA" w14:textId="77777777" w:rsidR="009E1C7C" w:rsidRPr="000E05FD" w:rsidRDefault="009E1C7C" w:rsidP="006F633E">
            <w:pPr>
              <w:spacing w:line="276" w:lineRule="auto"/>
              <w:jc w:val="both"/>
              <w:rPr>
                <w:rFonts w:ascii="Arial" w:hAnsi="Arial" w:cs="Arial"/>
              </w:rPr>
            </w:pPr>
            <w:r w:rsidRPr="000E05FD">
              <w:rPr>
                <w:rFonts w:ascii="Arial" w:hAnsi="Arial" w:cs="Arial"/>
              </w:rPr>
              <w:t>Level of Exam Malpractices in KCSE</w:t>
            </w:r>
          </w:p>
        </w:tc>
        <w:tc>
          <w:tcPr>
            <w:tcW w:w="1015" w:type="pct"/>
            <w:noWrap/>
            <w:hideMark/>
          </w:tcPr>
          <w:p w14:paraId="7BC1119B" w14:textId="77777777" w:rsidR="009E1C7C" w:rsidRPr="000E05FD" w:rsidRDefault="009E1C7C" w:rsidP="006F633E">
            <w:pPr>
              <w:spacing w:line="276" w:lineRule="auto"/>
              <w:jc w:val="both"/>
              <w:rPr>
                <w:rFonts w:ascii="Arial" w:hAnsi="Arial" w:cs="Arial"/>
              </w:rPr>
            </w:pPr>
            <w:r w:rsidRPr="000E05FD">
              <w:rPr>
                <w:rFonts w:ascii="Arial" w:hAnsi="Arial" w:cs="Arial"/>
              </w:rPr>
              <w:t>Correlation Coefficient</w:t>
            </w:r>
          </w:p>
        </w:tc>
        <w:tc>
          <w:tcPr>
            <w:tcW w:w="829" w:type="pct"/>
            <w:noWrap/>
            <w:hideMark/>
          </w:tcPr>
          <w:p w14:paraId="38CD54C8" w14:textId="77777777" w:rsidR="009E1C7C" w:rsidRPr="000E05FD" w:rsidRDefault="009E1C7C" w:rsidP="006F633E">
            <w:pPr>
              <w:spacing w:line="276" w:lineRule="auto"/>
              <w:jc w:val="both"/>
              <w:rPr>
                <w:rFonts w:ascii="Arial" w:hAnsi="Arial" w:cs="Arial"/>
              </w:rPr>
            </w:pPr>
            <w:r w:rsidRPr="000E05FD">
              <w:rPr>
                <w:rFonts w:ascii="Arial" w:hAnsi="Arial" w:cs="Arial"/>
              </w:rPr>
              <w:t>.423**</w:t>
            </w:r>
          </w:p>
        </w:tc>
        <w:tc>
          <w:tcPr>
            <w:tcW w:w="1578" w:type="pct"/>
            <w:noWrap/>
            <w:hideMark/>
          </w:tcPr>
          <w:p w14:paraId="383A3EAB" w14:textId="77777777" w:rsidR="009E1C7C" w:rsidRPr="000E05FD" w:rsidRDefault="009E1C7C" w:rsidP="006F633E">
            <w:pPr>
              <w:spacing w:line="276" w:lineRule="auto"/>
              <w:jc w:val="both"/>
              <w:rPr>
                <w:rFonts w:ascii="Arial" w:hAnsi="Arial" w:cs="Arial"/>
              </w:rPr>
            </w:pPr>
            <w:r w:rsidRPr="000E05FD">
              <w:rPr>
                <w:rFonts w:ascii="Arial" w:hAnsi="Arial" w:cs="Arial"/>
              </w:rPr>
              <w:t>1</w:t>
            </w:r>
          </w:p>
        </w:tc>
      </w:tr>
      <w:tr w:rsidR="002124B4" w:rsidRPr="000E05FD" w14:paraId="18A2F982" w14:textId="77777777">
        <w:trPr>
          <w:trHeight w:val="576"/>
        </w:trPr>
        <w:tc>
          <w:tcPr>
            <w:tcW w:w="1578" w:type="pct"/>
            <w:tcBorders>
              <w:top w:val="nil"/>
              <w:left w:val="nil"/>
              <w:bottom w:val="single" w:sz="4" w:space="0" w:color="auto"/>
              <w:right w:val="nil"/>
            </w:tcBorders>
            <w:noWrap/>
            <w:hideMark/>
          </w:tcPr>
          <w:p w14:paraId="15C7B05C" w14:textId="77777777" w:rsidR="009E1C7C" w:rsidRPr="000E05FD" w:rsidRDefault="009E1C7C" w:rsidP="006F633E">
            <w:pPr>
              <w:spacing w:line="276" w:lineRule="auto"/>
              <w:jc w:val="both"/>
              <w:rPr>
                <w:rFonts w:ascii="Arial" w:hAnsi="Arial" w:cs="Arial"/>
              </w:rPr>
            </w:pPr>
          </w:p>
        </w:tc>
        <w:tc>
          <w:tcPr>
            <w:tcW w:w="1015" w:type="pct"/>
            <w:tcBorders>
              <w:top w:val="nil"/>
              <w:left w:val="nil"/>
              <w:bottom w:val="single" w:sz="4" w:space="0" w:color="auto"/>
              <w:right w:val="nil"/>
            </w:tcBorders>
            <w:noWrap/>
            <w:hideMark/>
          </w:tcPr>
          <w:p w14:paraId="28C5839A" w14:textId="77777777" w:rsidR="009E1C7C" w:rsidRPr="000E05FD" w:rsidRDefault="009E1C7C" w:rsidP="006F633E">
            <w:pPr>
              <w:spacing w:line="276" w:lineRule="auto"/>
              <w:jc w:val="both"/>
              <w:rPr>
                <w:rFonts w:ascii="Arial" w:hAnsi="Arial" w:cs="Arial"/>
              </w:rPr>
            </w:pPr>
            <w:r w:rsidRPr="000E05FD">
              <w:rPr>
                <w:rFonts w:ascii="Arial" w:hAnsi="Arial" w:cs="Arial"/>
              </w:rPr>
              <w:t>Sig. (2-tailed)</w:t>
            </w:r>
          </w:p>
          <w:p w14:paraId="3C567E0B" w14:textId="77777777" w:rsidR="009E1C7C" w:rsidRPr="000E05FD" w:rsidRDefault="009E1C7C" w:rsidP="006F633E">
            <w:pPr>
              <w:spacing w:line="276" w:lineRule="auto"/>
              <w:jc w:val="both"/>
              <w:rPr>
                <w:rFonts w:ascii="Arial" w:hAnsi="Arial" w:cs="Arial"/>
              </w:rPr>
            </w:pPr>
            <w:r w:rsidRPr="000E05FD">
              <w:rPr>
                <w:rFonts w:ascii="Arial" w:hAnsi="Arial" w:cs="Arial"/>
              </w:rPr>
              <w:t>N</w:t>
            </w:r>
          </w:p>
        </w:tc>
        <w:tc>
          <w:tcPr>
            <w:tcW w:w="829" w:type="pct"/>
            <w:tcBorders>
              <w:top w:val="nil"/>
              <w:left w:val="nil"/>
              <w:bottom w:val="single" w:sz="4" w:space="0" w:color="auto"/>
              <w:right w:val="nil"/>
            </w:tcBorders>
            <w:noWrap/>
            <w:hideMark/>
          </w:tcPr>
          <w:p w14:paraId="5D2E3054" w14:textId="77777777" w:rsidR="009E1C7C" w:rsidRPr="000E05FD" w:rsidRDefault="009E1C7C" w:rsidP="006F633E">
            <w:pPr>
              <w:spacing w:line="276" w:lineRule="auto"/>
              <w:jc w:val="both"/>
              <w:rPr>
                <w:rFonts w:ascii="Arial" w:hAnsi="Arial" w:cs="Arial"/>
              </w:rPr>
            </w:pPr>
            <w:r w:rsidRPr="000E05FD">
              <w:rPr>
                <w:rFonts w:ascii="Arial" w:hAnsi="Arial" w:cs="Arial"/>
              </w:rPr>
              <w:t>0</w:t>
            </w:r>
          </w:p>
          <w:p w14:paraId="5000F988"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c>
          <w:tcPr>
            <w:tcW w:w="1578" w:type="pct"/>
            <w:tcBorders>
              <w:top w:val="nil"/>
              <w:left w:val="nil"/>
              <w:bottom w:val="single" w:sz="4" w:space="0" w:color="auto"/>
              <w:right w:val="nil"/>
            </w:tcBorders>
            <w:noWrap/>
            <w:hideMark/>
          </w:tcPr>
          <w:p w14:paraId="5071A947" w14:textId="77777777" w:rsidR="009E1C7C" w:rsidRPr="000E05FD" w:rsidRDefault="009E1C7C" w:rsidP="006F633E">
            <w:pPr>
              <w:spacing w:line="276" w:lineRule="auto"/>
              <w:jc w:val="both"/>
              <w:rPr>
                <w:rFonts w:ascii="Arial" w:hAnsi="Arial" w:cs="Arial"/>
              </w:rPr>
            </w:pPr>
            <w:r w:rsidRPr="000E05FD">
              <w:rPr>
                <w:rFonts w:ascii="Arial" w:hAnsi="Arial" w:cs="Arial"/>
              </w:rPr>
              <w:t>.</w:t>
            </w:r>
          </w:p>
          <w:p w14:paraId="3377DE96" w14:textId="77777777" w:rsidR="009E1C7C" w:rsidRPr="000E05FD" w:rsidRDefault="009E1C7C" w:rsidP="006F633E">
            <w:pPr>
              <w:spacing w:line="276" w:lineRule="auto"/>
              <w:jc w:val="both"/>
              <w:rPr>
                <w:rFonts w:ascii="Arial" w:hAnsi="Arial" w:cs="Arial"/>
              </w:rPr>
            </w:pPr>
            <w:r w:rsidRPr="000E05FD">
              <w:rPr>
                <w:rFonts w:ascii="Arial" w:hAnsi="Arial" w:cs="Arial"/>
              </w:rPr>
              <w:t>74</w:t>
            </w:r>
          </w:p>
        </w:tc>
      </w:tr>
    </w:tbl>
    <w:p w14:paraId="3F4AC1F9" w14:textId="57B8BD60" w:rsidR="009E1C7C" w:rsidRPr="000E05FD" w:rsidRDefault="009E1C7C" w:rsidP="006F633E">
      <w:pPr>
        <w:spacing w:line="276" w:lineRule="auto"/>
        <w:jc w:val="both"/>
        <w:rPr>
          <w:rFonts w:ascii="Arial" w:hAnsi="Arial" w:cs="Arial"/>
          <w:i/>
          <w:iCs/>
          <w:sz w:val="22"/>
          <w:szCs w:val="22"/>
        </w:rPr>
      </w:pPr>
      <w:r w:rsidRPr="000E05FD">
        <w:rPr>
          <w:rFonts w:ascii="Arial" w:hAnsi="Arial" w:cs="Arial"/>
          <w:i/>
          <w:iCs/>
          <w:sz w:val="22"/>
          <w:szCs w:val="22"/>
        </w:rPr>
        <w:t>Source: Researcher 202</w:t>
      </w:r>
      <w:r w:rsidR="00634BC7">
        <w:rPr>
          <w:rFonts w:ascii="Arial" w:hAnsi="Arial" w:cs="Arial"/>
          <w:i/>
          <w:iCs/>
          <w:sz w:val="22"/>
          <w:szCs w:val="22"/>
        </w:rPr>
        <w:t>5</w:t>
      </w:r>
    </w:p>
    <w:p w14:paraId="32004DD1" w14:textId="77777777" w:rsidR="009E1C7C" w:rsidRPr="000E05FD" w:rsidRDefault="009E1C7C" w:rsidP="006F633E">
      <w:pPr>
        <w:spacing w:line="276" w:lineRule="auto"/>
        <w:jc w:val="both"/>
        <w:rPr>
          <w:rFonts w:ascii="Arial" w:hAnsi="Arial" w:cs="Arial"/>
          <w:sz w:val="22"/>
          <w:szCs w:val="22"/>
        </w:rPr>
      </w:pPr>
      <w:r w:rsidRPr="000E05FD">
        <w:rPr>
          <w:rFonts w:ascii="Arial" w:hAnsi="Arial" w:cs="Arial"/>
          <w:sz w:val="22"/>
          <w:szCs w:val="22"/>
        </w:rPr>
        <w:t xml:space="preserve">The significance level (Sig. 2-tailed) of 0.00 gives strong evidence to reject hypothesis three. This study aligns with existing research on the link between perceived cheating benefits and exam integrity. This study's finding of a positive correlation between perceived benefits of cheating and lower integrity in KCSE exams aligns with some existing research. Similar to a Nigerian study by </w:t>
      </w:r>
      <w:proofErr w:type="spellStart"/>
      <w:r w:rsidRPr="000E05FD">
        <w:rPr>
          <w:rFonts w:ascii="Arial" w:hAnsi="Arial" w:cs="Arial"/>
          <w:sz w:val="22"/>
          <w:szCs w:val="22"/>
        </w:rPr>
        <w:t>Okorodudu</w:t>
      </w:r>
      <w:proofErr w:type="spellEnd"/>
      <w:r w:rsidRPr="000E05FD">
        <w:rPr>
          <w:rFonts w:ascii="Arial" w:hAnsi="Arial" w:cs="Arial"/>
          <w:sz w:val="22"/>
          <w:szCs w:val="22"/>
        </w:rPr>
        <w:t xml:space="preserve"> (2013), which found a connection between a student's willingness to cheat and their perception of its advantages, this study suggests students who see cheating as beneficial are more likely to engage in it. However, it's important to acknowledge recent studies highlighting the influence of social contexts. For instance, Bassey and </w:t>
      </w:r>
      <w:proofErr w:type="spellStart"/>
      <w:r w:rsidRPr="000E05FD">
        <w:rPr>
          <w:rFonts w:ascii="Arial" w:hAnsi="Arial" w:cs="Arial"/>
          <w:sz w:val="22"/>
          <w:szCs w:val="22"/>
        </w:rPr>
        <w:t>Iruonje</w:t>
      </w:r>
      <w:proofErr w:type="spellEnd"/>
      <w:r w:rsidRPr="000E05FD">
        <w:rPr>
          <w:rFonts w:ascii="Arial" w:hAnsi="Arial" w:cs="Arial"/>
          <w:sz w:val="22"/>
          <w:szCs w:val="22"/>
        </w:rPr>
        <w:t xml:space="preserve"> (2017) showed that peer pressure can discourage cheating. This suggests social norms and peer group dynamics can influence how students perceive the benefits of cheating.</w:t>
      </w:r>
    </w:p>
    <w:p w14:paraId="50B61507" w14:textId="77777777" w:rsidR="009E1C7C" w:rsidRPr="000E05FD" w:rsidRDefault="009E1C7C" w:rsidP="006F633E">
      <w:pPr>
        <w:spacing w:before="240" w:line="276" w:lineRule="auto"/>
        <w:jc w:val="both"/>
        <w:rPr>
          <w:rFonts w:ascii="Arial" w:hAnsi="Arial" w:cs="Arial"/>
          <w:sz w:val="22"/>
          <w:szCs w:val="22"/>
        </w:rPr>
      </w:pPr>
      <w:r w:rsidRPr="000E05FD">
        <w:rPr>
          <w:rFonts w:ascii="Arial" w:hAnsi="Arial" w:cs="Arial"/>
          <w:sz w:val="22"/>
          <w:szCs w:val="22"/>
        </w:rPr>
        <w:t xml:space="preserve">The interviews with Principals in Garissa Township Sub County illuminate the pervasive issue of exam malpractice, with a notable factor being the perceived benefits associated with cheating. All the eleven principals' observations suggest that students may view cheating as a shortcut to meeting high parental expectations or societal pressures for academic success. This perception could stem from a desire to avoid failure or secure advantageous career opportunities, as academic achievements are often equated with future success in the job market. Additionally, the desire to make their families proud may drive students to resort to unethical means in exams, as academic success is perceived as a source of pride and validation within the family unit. </w:t>
      </w:r>
    </w:p>
    <w:p w14:paraId="7451A008" w14:textId="77777777" w:rsidR="009E1C7C" w:rsidRPr="000E05FD" w:rsidRDefault="009E1C7C" w:rsidP="006F633E">
      <w:pPr>
        <w:spacing w:before="240" w:line="276" w:lineRule="auto"/>
        <w:jc w:val="both"/>
        <w:rPr>
          <w:rFonts w:ascii="Arial" w:hAnsi="Arial" w:cs="Arial"/>
          <w:sz w:val="22"/>
          <w:szCs w:val="22"/>
        </w:rPr>
      </w:pPr>
      <w:r w:rsidRPr="000E05FD">
        <w:rPr>
          <w:rFonts w:ascii="Arial" w:hAnsi="Arial" w:cs="Arial"/>
          <w:sz w:val="22"/>
          <w:szCs w:val="22"/>
        </w:rPr>
        <w:t xml:space="preserve">As one principal noted, </w:t>
      </w:r>
      <w:r w:rsidRPr="000E05FD">
        <w:rPr>
          <w:rFonts w:ascii="Arial" w:hAnsi="Arial" w:cs="Arial"/>
          <w:i/>
          <w:iCs/>
          <w:sz w:val="22"/>
          <w:szCs w:val="22"/>
        </w:rPr>
        <w:t>"Students may believe that cheating offers a quick solution to the pressure they face to excel academically and fulfill their family's expectations."</w:t>
      </w:r>
      <w:r w:rsidRPr="000E05FD">
        <w:rPr>
          <w:rFonts w:ascii="Arial" w:hAnsi="Arial" w:cs="Arial"/>
          <w:sz w:val="22"/>
          <w:szCs w:val="22"/>
        </w:rPr>
        <w:t xml:space="preserve"> This highlights how the perceived benefits of cheating contribute to the erosion of examination integrity, perpetuating a cycle of dishonest behavior among students.</w:t>
      </w:r>
      <w:r w:rsidRPr="000E05FD">
        <w:rPr>
          <w:rFonts w:ascii="Arial" w:hAnsi="Arial" w:cs="Arial"/>
          <w:b/>
          <w:bCs/>
          <w:sz w:val="22"/>
          <w:szCs w:val="22"/>
        </w:rPr>
        <w:t xml:space="preserve"> </w:t>
      </w:r>
      <w:r w:rsidRPr="000E05FD">
        <w:rPr>
          <w:rFonts w:ascii="Arial" w:hAnsi="Arial" w:cs="Arial"/>
          <w:sz w:val="22"/>
          <w:szCs w:val="22"/>
        </w:rPr>
        <w:t xml:space="preserve">Moreover, the link between academic performance and employability was emphasized as a key contributing factor to the prevalence of exam </w:t>
      </w:r>
      <w:r w:rsidRPr="000E05FD">
        <w:rPr>
          <w:rFonts w:ascii="Arial" w:hAnsi="Arial" w:cs="Arial"/>
          <w:sz w:val="22"/>
          <w:szCs w:val="22"/>
        </w:rPr>
        <w:lastRenderedPageBreak/>
        <w:t>malpractice. School administrators highlighted how the increasingly competitive job market places a premium on academic achievements, thereby heightening the stakes associated with examination outcomes. As one principal remarked, "</w:t>
      </w:r>
      <w:r w:rsidRPr="000E05FD">
        <w:rPr>
          <w:rFonts w:ascii="Arial" w:hAnsi="Arial" w:cs="Arial"/>
          <w:i/>
          <w:iCs/>
          <w:sz w:val="22"/>
          <w:szCs w:val="22"/>
        </w:rPr>
        <w:t>In our society, there is a prevailing belief that academic success is directly correlated with employability prospects. As a result, students feel immense pressure to excel in examinations, often resorting to unethical means to secure favorable outcomes</w:t>
      </w:r>
      <w:r w:rsidRPr="000E05FD">
        <w:rPr>
          <w:rFonts w:ascii="Arial" w:hAnsi="Arial" w:cs="Arial"/>
          <w:sz w:val="22"/>
          <w:szCs w:val="22"/>
        </w:rPr>
        <w:t>." This sentiment underscores the broader socio-economic implications associated with academic performance and the pressures exerted on students to succeed at all costs.</w:t>
      </w:r>
    </w:p>
    <w:p w14:paraId="648852CC" w14:textId="1016F9AE" w:rsidR="00F50EE5" w:rsidRPr="000E05FD" w:rsidRDefault="00A71DE9" w:rsidP="006F633E">
      <w:pPr>
        <w:pStyle w:val="ListParagraph"/>
        <w:numPr>
          <w:ilvl w:val="0"/>
          <w:numId w:val="3"/>
        </w:numPr>
        <w:spacing w:before="240" w:after="200" w:line="276" w:lineRule="auto"/>
        <w:ind w:left="540" w:hanging="540"/>
        <w:jc w:val="both"/>
        <w:rPr>
          <w:rFonts w:ascii="Arial" w:hAnsi="Arial" w:cs="Arial"/>
          <w:b/>
          <w:bCs/>
          <w:sz w:val="22"/>
          <w:szCs w:val="22"/>
        </w:rPr>
      </w:pPr>
      <w:r w:rsidRPr="000E05FD">
        <w:rPr>
          <w:rFonts w:ascii="Arial" w:hAnsi="Arial" w:cs="Arial"/>
          <w:b/>
          <w:bCs/>
          <w:sz w:val="22"/>
          <w:szCs w:val="22"/>
        </w:rPr>
        <w:t>CONCLUSION</w:t>
      </w:r>
    </w:p>
    <w:p w14:paraId="7CB15538" w14:textId="29AD559E" w:rsidR="00C565B9" w:rsidRPr="000E05FD" w:rsidRDefault="001E6AC6" w:rsidP="006F633E">
      <w:pPr>
        <w:spacing w:before="240" w:line="276" w:lineRule="auto"/>
        <w:jc w:val="both"/>
        <w:rPr>
          <w:rFonts w:ascii="Arial" w:hAnsi="Arial" w:cs="Arial"/>
          <w:sz w:val="22"/>
          <w:szCs w:val="22"/>
        </w:rPr>
      </w:pPr>
      <w:r w:rsidRPr="000E05FD">
        <w:rPr>
          <w:rFonts w:ascii="Arial" w:hAnsi="Arial" w:cs="Arial"/>
          <w:sz w:val="22"/>
          <w:szCs w:val="22"/>
        </w:rPr>
        <w:t xml:space="preserve">Some principals expressed that collusion in exams requires </w:t>
      </w:r>
      <w:proofErr w:type="spellStart"/>
      <w:r w:rsidRPr="000E05FD">
        <w:rPr>
          <w:rFonts w:ascii="Arial" w:hAnsi="Arial" w:cs="Arial"/>
          <w:sz w:val="22"/>
          <w:szCs w:val="22"/>
        </w:rPr>
        <w:t>alot</w:t>
      </w:r>
      <w:proofErr w:type="spellEnd"/>
      <w:r w:rsidRPr="000E05FD">
        <w:rPr>
          <w:rFonts w:ascii="Arial" w:hAnsi="Arial" w:cs="Arial"/>
          <w:sz w:val="22"/>
          <w:szCs w:val="22"/>
        </w:rPr>
        <w:t xml:space="preserve"> of organization, preparation and money. It doesn't involve principals and supervisors only, it involves school directors, principals, deputy principals, teachers, cooks, watchmen, parents, invigilators, supervisors, security officers, students and sometimes even education officials who have interests in that school. </w:t>
      </w:r>
      <w:r w:rsidR="00C565B9" w:rsidRPr="000E05FD">
        <w:rPr>
          <w:rFonts w:ascii="Arial" w:hAnsi="Arial" w:cs="Arial"/>
          <w:sz w:val="22"/>
          <w:szCs w:val="22"/>
        </w:rPr>
        <w:t>Results attract population, population attract funds and funds attract infrastructure. For a school to be considered 'big' it must have good results and many students. This pushes Principals to do anything possible to get the results.</w:t>
      </w:r>
    </w:p>
    <w:p w14:paraId="39FC83E9" w14:textId="118D8198" w:rsidR="001E6AC6" w:rsidRPr="000E05FD" w:rsidRDefault="001E6AC6" w:rsidP="006F633E">
      <w:pPr>
        <w:spacing w:before="240" w:line="276" w:lineRule="auto"/>
        <w:jc w:val="both"/>
        <w:rPr>
          <w:rFonts w:ascii="Arial" w:hAnsi="Arial" w:cs="Arial"/>
          <w:sz w:val="22"/>
          <w:szCs w:val="22"/>
        </w:rPr>
      </w:pPr>
      <w:r w:rsidRPr="000E05FD">
        <w:rPr>
          <w:rFonts w:ascii="Arial" w:hAnsi="Arial" w:cs="Arial"/>
          <w:sz w:val="22"/>
          <w:szCs w:val="22"/>
        </w:rPr>
        <w:t>Cultivating a belief in fair competition and implementing measures that reinforce this mindset, educational institutions can strengthen academic integrity and examination malpractices and create an environment where academic honesty is valued above all else. Addressing the perception that academic success is solely tied to career opportunities and promoting a broader view of success, educational institutions can create an environment where academic integrity is valued, and the temptation to cheat is reduced</w:t>
      </w:r>
      <w:r w:rsidR="00C565B9" w:rsidRPr="000E05FD">
        <w:rPr>
          <w:rFonts w:ascii="Arial" w:hAnsi="Arial" w:cs="Arial"/>
          <w:sz w:val="22"/>
          <w:szCs w:val="22"/>
        </w:rPr>
        <w:t xml:space="preserve">. </w:t>
      </w:r>
    </w:p>
    <w:p w14:paraId="4D5A1772" w14:textId="77777777" w:rsidR="00F50EE5" w:rsidRPr="000E05FD" w:rsidRDefault="00F50EE5" w:rsidP="006F633E">
      <w:pPr>
        <w:pStyle w:val="ListParagraph"/>
        <w:numPr>
          <w:ilvl w:val="1"/>
          <w:numId w:val="3"/>
        </w:numPr>
        <w:spacing w:before="240" w:after="200" w:line="276" w:lineRule="auto"/>
        <w:ind w:left="540" w:hanging="540"/>
        <w:jc w:val="both"/>
        <w:rPr>
          <w:rFonts w:ascii="Arial" w:hAnsi="Arial" w:cs="Arial"/>
          <w:b/>
          <w:bCs/>
          <w:sz w:val="22"/>
          <w:szCs w:val="22"/>
        </w:rPr>
      </w:pPr>
      <w:r w:rsidRPr="000E05FD">
        <w:rPr>
          <w:rFonts w:ascii="Arial" w:hAnsi="Arial" w:cs="Arial"/>
          <w:b/>
          <w:bCs/>
          <w:sz w:val="22"/>
          <w:szCs w:val="22"/>
        </w:rPr>
        <w:t>Recommendations</w:t>
      </w:r>
    </w:p>
    <w:p w14:paraId="042586B4" w14:textId="77777777" w:rsidR="00C565B9" w:rsidRPr="000E05FD" w:rsidRDefault="00C565B9" w:rsidP="006F633E">
      <w:pPr>
        <w:spacing w:after="200" w:line="276" w:lineRule="auto"/>
        <w:jc w:val="both"/>
        <w:rPr>
          <w:rFonts w:ascii="Arial" w:hAnsi="Arial" w:cs="Arial"/>
          <w:sz w:val="22"/>
          <w:szCs w:val="22"/>
        </w:rPr>
      </w:pPr>
      <w:r w:rsidRPr="000E05FD">
        <w:rPr>
          <w:rFonts w:ascii="Arial" w:hAnsi="Arial" w:cs="Arial"/>
          <w:sz w:val="22"/>
          <w:szCs w:val="22"/>
        </w:rPr>
        <w:t>Academic integrity and examination malpractices in secondary schools is crucial to ensuring fair assessments and maintaining academic standards. The following recommendations can help promote a culture of academic honesty and reduce examination malpractices:</w:t>
      </w:r>
    </w:p>
    <w:p w14:paraId="2E4C118C" w14:textId="77777777" w:rsidR="00C565B9" w:rsidRPr="000E05FD" w:rsidRDefault="00C565B9" w:rsidP="006F633E">
      <w:pPr>
        <w:pStyle w:val="ListParagraph"/>
        <w:numPr>
          <w:ilvl w:val="0"/>
          <w:numId w:val="16"/>
        </w:numPr>
        <w:spacing w:after="200" w:line="276" w:lineRule="auto"/>
        <w:jc w:val="both"/>
        <w:rPr>
          <w:rFonts w:ascii="Arial" w:hAnsi="Arial" w:cs="Arial"/>
          <w:sz w:val="22"/>
          <w:szCs w:val="22"/>
        </w:rPr>
      </w:pPr>
      <w:r w:rsidRPr="000E05FD">
        <w:rPr>
          <w:rFonts w:ascii="Arial" w:hAnsi="Arial" w:cs="Arial"/>
          <w:sz w:val="22"/>
          <w:szCs w:val="22"/>
        </w:rPr>
        <w:t>Address the perceived benefits of cheating by promoting a culture that cultivates belief in fair competition and creating a supportive environment.</w:t>
      </w:r>
    </w:p>
    <w:p w14:paraId="04299D68" w14:textId="77777777" w:rsidR="00C565B9" w:rsidRPr="000E05FD" w:rsidRDefault="00C565B9" w:rsidP="006F633E">
      <w:pPr>
        <w:pStyle w:val="ListParagraph"/>
        <w:numPr>
          <w:ilvl w:val="0"/>
          <w:numId w:val="16"/>
        </w:numPr>
        <w:spacing w:after="200" w:line="276" w:lineRule="auto"/>
        <w:jc w:val="both"/>
        <w:rPr>
          <w:rFonts w:ascii="Arial" w:hAnsi="Arial" w:cs="Arial"/>
          <w:sz w:val="22"/>
          <w:szCs w:val="22"/>
        </w:rPr>
      </w:pPr>
      <w:r w:rsidRPr="000E05FD">
        <w:rPr>
          <w:rFonts w:ascii="Arial" w:hAnsi="Arial" w:cs="Arial"/>
          <w:sz w:val="22"/>
          <w:szCs w:val="22"/>
        </w:rPr>
        <w:t>CCTV cameras to be mandatory in schools. Live images to be monitored from a central place while the students are doing KCSE inside the exam room.</w:t>
      </w:r>
    </w:p>
    <w:p w14:paraId="66DD8413" w14:textId="669C39EE" w:rsidR="00C565B9" w:rsidRPr="000E05FD" w:rsidRDefault="00C565B9" w:rsidP="006F633E">
      <w:pPr>
        <w:pStyle w:val="ListParagraph"/>
        <w:numPr>
          <w:ilvl w:val="0"/>
          <w:numId w:val="16"/>
        </w:numPr>
        <w:spacing w:before="240" w:line="276" w:lineRule="auto"/>
        <w:jc w:val="both"/>
        <w:rPr>
          <w:rFonts w:ascii="Arial" w:hAnsi="Arial" w:cs="Arial"/>
          <w:sz w:val="22"/>
          <w:szCs w:val="22"/>
        </w:rPr>
      </w:pPr>
      <w:r w:rsidRPr="000E05FD">
        <w:rPr>
          <w:rFonts w:ascii="Arial" w:hAnsi="Arial" w:cs="Arial"/>
          <w:sz w:val="22"/>
          <w:szCs w:val="22"/>
        </w:rPr>
        <w:t xml:space="preserve">Minimize examination </w:t>
      </w:r>
      <w:proofErr w:type="spellStart"/>
      <w:r w:rsidRPr="000E05FD">
        <w:rPr>
          <w:rFonts w:ascii="Arial" w:hAnsi="Arial" w:cs="Arial"/>
          <w:sz w:val="22"/>
          <w:szCs w:val="22"/>
        </w:rPr>
        <w:t>centres</w:t>
      </w:r>
      <w:proofErr w:type="spellEnd"/>
      <w:r w:rsidRPr="000E05FD">
        <w:rPr>
          <w:rFonts w:ascii="Arial" w:hAnsi="Arial" w:cs="Arial"/>
          <w:sz w:val="22"/>
          <w:szCs w:val="22"/>
        </w:rPr>
        <w:t xml:space="preserve"> for proper monitoring of KNEC officials by merging schools or only using public schools as examination </w:t>
      </w:r>
      <w:proofErr w:type="spellStart"/>
      <w:r w:rsidRPr="000E05FD">
        <w:rPr>
          <w:rFonts w:ascii="Arial" w:hAnsi="Arial" w:cs="Arial"/>
          <w:sz w:val="22"/>
          <w:szCs w:val="22"/>
        </w:rPr>
        <w:t>centres</w:t>
      </w:r>
      <w:proofErr w:type="spellEnd"/>
      <w:r w:rsidRPr="000E05FD">
        <w:rPr>
          <w:rFonts w:ascii="Arial" w:hAnsi="Arial" w:cs="Arial"/>
          <w:sz w:val="22"/>
          <w:szCs w:val="22"/>
        </w:rPr>
        <w:t>.</w:t>
      </w:r>
    </w:p>
    <w:p w14:paraId="03577CB0" w14:textId="77777777" w:rsidR="00FF5726" w:rsidRPr="000E05FD" w:rsidRDefault="00FF5726" w:rsidP="006F633E">
      <w:pPr>
        <w:pStyle w:val="ListParagraph"/>
        <w:numPr>
          <w:ilvl w:val="0"/>
          <w:numId w:val="16"/>
        </w:numPr>
        <w:spacing w:before="240" w:line="276" w:lineRule="auto"/>
        <w:jc w:val="both"/>
        <w:rPr>
          <w:rFonts w:ascii="Arial" w:hAnsi="Arial" w:cs="Arial"/>
          <w:sz w:val="22"/>
          <w:szCs w:val="22"/>
        </w:rPr>
      </w:pPr>
    </w:p>
    <w:p w14:paraId="4A4FC16E" w14:textId="77777777" w:rsidR="00F50EE5" w:rsidRPr="000E05FD" w:rsidRDefault="00F50EE5" w:rsidP="006F633E">
      <w:pPr>
        <w:pStyle w:val="ListParagraph"/>
        <w:numPr>
          <w:ilvl w:val="1"/>
          <w:numId w:val="3"/>
        </w:numPr>
        <w:spacing w:before="240" w:after="0" w:line="276" w:lineRule="auto"/>
        <w:ind w:left="540" w:hanging="540"/>
        <w:jc w:val="both"/>
        <w:rPr>
          <w:rFonts w:ascii="Arial" w:hAnsi="Arial" w:cs="Arial"/>
          <w:b/>
          <w:bCs/>
          <w:sz w:val="22"/>
          <w:szCs w:val="22"/>
        </w:rPr>
      </w:pPr>
      <w:r w:rsidRPr="000E05FD">
        <w:rPr>
          <w:rFonts w:ascii="Arial" w:hAnsi="Arial" w:cs="Arial"/>
          <w:b/>
          <w:bCs/>
          <w:sz w:val="22"/>
          <w:szCs w:val="22"/>
        </w:rPr>
        <w:t>Suggestions for Future Research</w:t>
      </w:r>
    </w:p>
    <w:p w14:paraId="497787C7" w14:textId="30CDB5A8" w:rsidR="00C565B9" w:rsidRDefault="00C565B9" w:rsidP="006F633E">
      <w:pPr>
        <w:spacing w:before="100" w:beforeAutospacing="1" w:line="276" w:lineRule="auto"/>
        <w:jc w:val="both"/>
        <w:rPr>
          <w:rFonts w:ascii="Arial" w:hAnsi="Arial" w:cs="Arial"/>
          <w:sz w:val="22"/>
          <w:szCs w:val="22"/>
        </w:rPr>
      </w:pPr>
      <w:r w:rsidRPr="000E05FD">
        <w:rPr>
          <w:rFonts w:ascii="Arial" w:eastAsia="Times New Roman" w:hAnsi="Arial" w:cs="Arial"/>
          <w:sz w:val="22"/>
          <w:szCs w:val="22"/>
        </w:rPr>
        <w:t>The Impact of Perceived</w:t>
      </w:r>
      <w:r w:rsidRPr="000E05FD">
        <w:rPr>
          <w:rFonts w:ascii="Arial" w:hAnsi="Arial" w:cs="Arial"/>
          <w:sz w:val="22"/>
          <w:szCs w:val="22"/>
        </w:rPr>
        <w:t xml:space="preserve"> Benefits of Cheating on </w:t>
      </w:r>
      <w:r w:rsidRPr="000E05FD">
        <w:rPr>
          <w:rFonts w:ascii="Arial" w:eastAsia="Times New Roman" w:hAnsi="Arial" w:cs="Arial"/>
          <w:sz w:val="22"/>
          <w:szCs w:val="22"/>
        </w:rPr>
        <w:t>Examination</w:t>
      </w:r>
      <w:r w:rsidRPr="000E05FD">
        <w:rPr>
          <w:rFonts w:ascii="Arial" w:hAnsi="Arial" w:cs="Arial"/>
          <w:sz w:val="22"/>
          <w:szCs w:val="22"/>
        </w:rPr>
        <w:t xml:space="preserve"> Integrity. </w:t>
      </w:r>
    </w:p>
    <w:p w14:paraId="49D47DC0" w14:textId="77777777" w:rsidR="00634BC7" w:rsidRPr="000E05FD" w:rsidRDefault="00634BC7" w:rsidP="006F633E">
      <w:pPr>
        <w:spacing w:before="100" w:beforeAutospacing="1" w:line="276" w:lineRule="auto"/>
        <w:jc w:val="both"/>
        <w:rPr>
          <w:rFonts w:ascii="Arial" w:eastAsia="Times New Roman" w:hAnsi="Arial" w:cs="Arial"/>
          <w:sz w:val="22"/>
          <w:szCs w:val="22"/>
        </w:rPr>
      </w:pPr>
    </w:p>
    <w:p w14:paraId="024431B3" w14:textId="532EAAA1" w:rsidR="00F50EE5" w:rsidRPr="000E05FD" w:rsidRDefault="00A71DE9" w:rsidP="006F633E">
      <w:pPr>
        <w:pStyle w:val="ListParagraph"/>
        <w:spacing w:line="276" w:lineRule="auto"/>
        <w:ind w:left="360"/>
        <w:jc w:val="both"/>
        <w:rPr>
          <w:rFonts w:ascii="Arial" w:hAnsi="Arial" w:cs="Arial"/>
          <w:b/>
          <w:bCs/>
          <w:sz w:val="22"/>
          <w:szCs w:val="22"/>
        </w:rPr>
      </w:pPr>
      <w:r w:rsidRPr="000E05FD">
        <w:rPr>
          <w:rFonts w:ascii="Arial" w:hAnsi="Arial" w:cs="Arial"/>
          <w:b/>
          <w:bCs/>
          <w:sz w:val="22"/>
          <w:szCs w:val="22"/>
        </w:rPr>
        <w:t>REFERENCES</w:t>
      </w:r>
    </w:p>
    <w:p w14:paraId="66468DC3" w14:textId="3A82B233"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lastRenderedPageBreak/>
        <w:t xml:space="preserve">Anderman, E. M. and Murdock, T. B. (2007). </w:t>
      </w:r>
      <w:r w:rsidRPr="00CE461E">
        <w:rPr>
          <w:rFonts w:ascii="Arial" w:hAnsi="Arial" w:cs="Arial"/>
          <w:i/>
          <w:iCs/>
          <w:sz w:val="22"/>
          <w:szCs w:val="22"/>
        </w:rPr>
        <w:t>The Psychology of Academic Cheating</w:t>
      </w:r>
      <w:r w:rsidRPr="00CE461E">
        <w:rPr>
          <w:rFonts w:ascii="Arial" w:hAnsi="Arial" w:cs="Arial"/>
          <w:b/>
          <w:bCs/>
          <w:sz w:val="22"/>
          <w:szCs w:val="22"/>
        </w:rPr>
        <w:t xml:space="preserve">. </w:t>
      </w:r>
      <w:r w:rsidRPr="00CE461E">
        <w:rPr>
          <w:rFonts w:ascii="Arial" w:hAnsi="Arial" w:cs="Arial"/>
          <w:sz w:val="22"/>
          <w:szCs w:val="22"/>
        </w:rPr>
        <w:t>Ohio: The Ohio State University.</w:t>
      </w:r>
      <w:r w:rsidR="00E80A5F" w:rsidRPr="00CE461E">
        <w:rPr>
          <w:rFonts w:ascii="Arial" w:hAnsi="Arial" w:cs="Arial"/>
          <w:sz w:val="22"/>
          <w:szCs w:val="22"/>
        </w:rPr>
        <w:t xml:space="preserve"> </w:t>
      </w:r>
      <w:hyperlink r:id="rId7" w:history="1">
        <w:r w:rsidR="00E80A5F" w:rsidRPr="00CE461E">
          <w:rPr>
            <w:rStyle w:val="Hyperlink"/>
            <w:rFonts w:ascii="Arial" w:hAnsi="Arial" w:cs="Arial"/>
            <w:sz w:val="22"/>
            <w:szCs w:val="22"/>
          </w:rPr>
          <w:t>https://doi.org/10.1016/B978-012372541-7/50002-4</w:t>
        </w:r>
      </w:hyperlink>
      <w:r w:rsidR="00E80A5F" w:rsidRPr="00CE461E">
        <w:rPr>
          <w:rFonts w:ascii="Arial" w:hAnsi="Arial" w:cs="Arial"/>
          <w:sz w:val="22"/>
          <w:szCs w:val="22"/>
        </w:rPr>
        <w:t xml:space="preserve"> </w:t>
      </w:r>
    </w:p>
    <w:p w14:paraId="3BB9550C" w14:textId="3CFAAD19"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Bassey, B. A., &amp; </w:t>
      </w:r>
      <w:proofErr w:type="spellStart"/>
      <w:r w:rsidRPr="00CE461E">
        <w:rPr>
          <w:rFonts w:ascii="Arial" w:hAnsi="Arial" w:cs="Arial"/>
          <w:sz w:val="22"/>
          <w:szCs w:val="22"/>
        </w:rPr>
        <w:t>Iruoje</w:t>
      </w:r>
      <w:proofErr w:type="spellEnd"/>
      <w:r w:rsidRPr="00CE461E">
        <w:rPr>
          <w:rFonts w:ascii="Arial" w:hAnsi="Arial" w:cs="Arial"/>
          <w:sz w:val="22"/>
          <w:szCs w:val="22"/>
        </w:rPr>
        <w:t>, J. (2017). Test anxiety, attitude to schooling, parental influence, and peer pressure as predictors of students cheating tendencies in examination in Edo state, Nigeria. </w:t>
      </w:r>
      <w:r w:rsidRPr="00CE461E">
        <w:rPr>
          <w:rFonts w:ascii="Arial" w:hAnsi="Arial" w:cs="Arial"/>
          <w:i/>
          <w:iCs/>
          <w:sz w:val="22"/>
          <w:szCs w:val="22"/>
        </w:rPr>
        <w:t>Global journal of social sciences</w:t>
      </w:r>
      <w:r w:rsidRPr="00CE461E">
        <w:rPr>
          <w:rFonts w:ascii="Arial" w:hAnsi="Arial" w:cs="Arial"/>
          <w:sz w:val="22"/>
          <w:szCs w:val="22"/>
        </w:rPr>
        <w:t>, </w:t>
      </w:r>
      <w:r w:rsidRPr="00CE461E">
        <w:rPr>
          <w:rFonts w:ascii="Arial" w:hAnsi="Arial" w:cs="Arial"/>
          <w:i/>
          <w:iCs/>
          <w:sz w:val="22"/>
          <w:szCs w:val="22"/>
        </w:rPr>
        <w:t>15</w:t>
      </w:r>
      <w:r w:rsidRPr="00CE461E">
        <w:rPr>
          <w:rFonts w:ascii="Arial" w:hAnsi="Arial" w:cs="Arial"/>
          <w:sz w:val="22"/>
          <w:szCs w:val="22"/>
        </w:rPr>
        <w:t>(1), 39-46.</w:t>
      </w:r>
      <w:r w:rsidR="00E80A5F" w:rsidRPr="00CE461E">
        <w:rPr>
          <w:rFonts w:ascii="Arial" w:hAnsi="Arial" w:cs="Arial"/>
          <w:sz w:val="22"/>
          <w:szCs w:val="22"/>
        </w:rPr>
        <w:t xml:space="preserve"> </w:t>
      </w:r>
      <w:hyperlink r:id="rId8" w:history="1">
        <w:r w:rsidR="00E80A5F" w:rsidRPr="00CE461E">
          <w:rPr>
            <w:rStyle w:val="Hyperlink"/>
            <w:rFonts w:ascii="Arial" w:hAnsi="Arial" w:cs="Arial"/>
            <w:sz w:val="22"/>
            <w:szCs w:val="22"/>
          </w:rPr>
          <w:t>https://doi.org/10.4314/gjss.v15i1.4</w:t>
        </w:r>
      </w:hyperlink>
      <w:r w:rsidR="00E80A5F" w:rsidRPr="00CE461E">
        <w:rPr>
          <w:rFonts w:ascii="Arial" w:hAnsi="Arial" w:cs="Arial"/>
          <w:sz w:val="22"/>
          <w:szCs w:val="22"/>
        </w:rPr>
        <w:t xml:space="preserve"> </w:t>
      </w:r>
    </w:p>
    <w:p w14:paraId="500073B7" w14:textId="65014401"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Blog Articles (2024). By the Numbers: Academic Integrity in Higher Education. </w:t>
      </w:r>
      <w:r w:rsidRPr="00CE461E">
        <w:rPr>
          <w:rFonts w:ascii="Arial" w:hAnsi="Arial" w:cs="Arial"/>
          <w:i/>
          <w:iCs/>
          <w:sz w:val="22"/>
          <w:szCs w:val="22"/>
        </w:rPr>
        <w:t>Blog Articles</w:t>
      </w:r>
      <w:r w:rsidR="005972E9" w:rsidRPr="00CE461E">
        <w:rPr>
          <w:rFonts w:ascii="Arial" w:hAnsi="Arial" w:cs="Arial"/>
          <w:i/>
          <w:iCs/>
          <w:sz w:val="22"/>
          <w:szCs w:val="22"/>
        </w:rPr>
        <w:t xml:space="preserve"> </w:t>
      </w:r>
      <w:hyperlink r:id="rId9" w:history="1">
        <w:r w:rsidR="005972E9" w:rsidRPr="00CE461E">
          <w:rPr>
            <w:rStyle w:val="Hyperlink"/>
            <w:rFonts w:ascii="Arial" w:hAnsi="Arial" w:cs="Arial"/>
            <w:i/>
            <w:iCs/>
            <w:sz w:val="22"/>
            <w:szCs w:val="22"/>
          </w:rPr>
          <w:t>https://www.meazurelearning.com/resources/by-the-numbers-academic-integrity-in-higher-education</w:t>
        </w:r>
      </w:hyperlink>
      <w:r w:rsidR="005972E9" w:rsidRPr="00CE461E">
        <w:rPr>
          <w:rFonts w:ascii="Arial" w:hAnsi="Arial" w:cs="Arial"/>
          <w:i/>
          <w:iCs/>
          <w:sz w:val="22"/>
          <w:szCs w:val="22"/>
        </w:rPr>
        <w:t xml:space="preserve"> </w:t>
      </w:r>
    </w:p>
    <w:p w14:paraId="3C6422D3" w14:textId="35A1E799" w:rsidR="00F342A1" w:rsidRPr="00CE461E" w:rsidRDefault="00F342A1" w:rsidP="00CE461E">
      <w:pPr>
        <w:spacing w:before="240" w:line="240" w:lineRule="auto"/>
        <w:jc w:val="both"/>
        <w:rPr>
          <w:rFonts w:ascii="Arial" w:hAnsi="Arial" w:cs="Arial"/>
          <w:i/>
          <w:iCs/>
          <w:sz w:val="22"/>
          <w:szCs w:val="22"/>
        </w:rPr>
      </w:pPr>
      <w:proofErr w:type="spellStart"/>
      <w:r w:rsidRPr="00CE461E">
        <w:rPr>
          <w:rFonts w:ascii="Arial" w:hAnsi="Arial" w:cs="Arial"/>
          <w:sz w:val="22"/>
          <w:szCs w:val="22"/>
        </w:rPr>
        <w:t>Ceceilia</w:t>
      </w:r>
      <w:proofErr w:type="spellEnd"/>
      <w:r w:rsidRPr="00CE461E">
        <w:rPr>
          <w:rFonts w:ascii="Arial" w:hAnsi="Arial" w:cs="Arial"/>
          <w:sz w:val="22"/>
          <w:szCs w:val="22"/>
        </w:rPr>
        <w:t xml:space="preserve"> </w:t>
      </w:r>
      <w:proofErr w:type="spellStart"/>
      <w:r w:rsidRPr="00CE461E">
        <w:rPr>
          <w:rFonts w:ascii="Arial" w:hAnsi="Arial" w:cs="Arial"/>
          <w:sz w:val="22"/>
          <w:szCs w:val="22"/>
        </w:rPr>
        <w:t>Parnther</w:t>
      </w:r>
      <w:proofErr w:type="spellEnd"/>
      <w:r w:rsidRPr="00CE461E">
        <w:rPr>
          <w:rFonts w:ascii="Arial" w:hAnsi="Arial" w:cs="Arial"/>
          <w:sz w:val="22"/>
          <w:szCs w:val="22"/>
        </w:rPr>
        <w:t xml:space="preserve"> (2022). International Students and Academic Misconduct: Considering Culture, Community, and Context. </w:t>
      </w:r>
      <w:hyperlink r:id="rId10" w:history="1">
        <w:r w:rsidRPr="00CE461E">
          <w:rPr>
            <w:rStyle w:val="Hyperlink"/>
            <w:rFonts w:ascii="Arial" w:hAnsi="Arial" w:cs="Arial"/>
            <w:i/>
            <w:iCs/>
            <w:color w:val="auto"/>
            <w:sz w:val="22"/>
            <w:szCs w:val="22"/>
          </w:rPr>
          <w:t xml:space="preserve">Journal of </w:t>
        </w:r>
        <w:hyperlink r:id="rId11" w:history="1">
          <w:r w:rsidRPr="00CE461E">
            <w:rPr>
              <w:rStyle w:val="Hyperlink"/>
              <w:rFonts w:ascii="Arial" w:hAnsi="Arial" w:cs="Arial"/>
              <w:i/>
              <w:iCs/>
              <w:color w:val="auto"/>
              <w:sz w:val="22"/>
              <w:szCs w:val="22"/>
            </w:rPr>
            <w:t>Le Moyne College</w:t>
          </w:r>
        </w:hyperlink>
        <w:r w:rsidRPr="00CE461E">
          <w:rPr>
            <w:rStyle w:val="Hyperlink"/>
            <w:rFonts w:ascii="Arial" w:hAnsi="Arial" w:cs="Arial"/>
            <w:i/>
            <w:iCs/>
            <w:color w:val="auto"/>
            <w:sz w:val="22"/>
            <w:szCs w:val="22"/>
          </w:rPr>
          <w:t xml:space="preserve"> and Character</w:t>
        </w:r>
      </w:hyperlink>
      <w:r w:rsidRPr="00CE461E">
        <w:rPr>
          <w:rFonts w:ascii="Arial" w:hAnsi="Arial" w:cs="Arial"/>
          <w:sz w:val="22"/>
          <w:szCs w:val="22"/>
        </w:rPr>
        <w:t xml:space="preserve"> 23(1):60-75 </w:t>
      </w:r>
      <w:hyperlink r:id="rId12" w:history="1">
        <w:r w:rsidR="00FE5990" w:rsidRPr="00CE461E">
          <w:rPr>
            <w:rStyle w:val="Hyperlink"/>
            <w:rFonts w:ascii="Arial" w:hAnsi="Arial" w:cs="Arial"/>
            <w:sz w:val="22"/>
            <w:szCs w:val="22"/>
          </w:rPr>
          <w:t>https://doi.org/10.1080/2194587X.2021.2017978</w:t>
        </w:r>
      </w:hyperlink>
      <w:r w:rsidR="00FE5990" w:rsidRPr="00CE461E">
        <w:rPr>
          <w:rFonts w:ascii="Arial" w:hAnsi="Arial" w:cs="Arial"/>
          <w:sz w:val="22"/>
          <w:szCs w:val="22"/>
        </w:rPr>
        <w:t xml:space="preserve"> </w:t>
      </w:r>
    </w:p>
    <w:p w14:paraId="6898CF58" w14:textId="3CBDB709" w:rsidR="00F342A1" w:rsidRPr="00CE461E" w:rsidRDefault="00F342A1" w:rsidP="00CE461E">
      <w:pPr>
        <w:spacing w:before="240" w:line="240" w:lineRule="auto"/>
        <w:jc w:val="both"/>
        <w:rPr>
          <w:rFonts w:ascii="Arial" w:hAnsi="Arial" w:cs="Arial"/>
          <w:sz w:val="22"/>
          <w:szCs w:val="22"/>
        </w:rPr>
      </w:pPr>
      <w:bookmarkStart w:id="41" w:name="_Hlk212453680"/>
      <w:r w:rsidRPr="00CE461E">
        <w:rPr>
          <w:rFonts w:ascii="Arial" w:hAnsi="Arial" w:cs="Arial"/>
          <w:sz w:val="22"/>
          <w:szCs w:val="22"/>
        </w:rPr>
        <w:t xml:space="preserve">Crisis Group Africa Briefing N°159, (22 July 2020). How to shield education from Al-Shabaab in Kenya’s North East. </w:t>
      </w:r>
      <w:r w:rsidRPr="00CE461E">
        <w:rPr>
          <w:rFonts w:ascii="Arial" w:hAnsi="Arial" w:cs="Arial"/>
          <w:i/>
          <w:iCs/>
          <w:sz w:val="22"/>
          <w:szCs w:val="22"/>
        </w:rPr>
        <w:t>Nairobi/Brussels, International Crisis Group</w:t>
      </w:r>
      <w:r w:rsidRPr="00CE461E">
        <w:rPr>
          <w:rFonts w:ascii="Arial" w:hAnsi="Arial" w:cs="Arial"/>
          <w:sz w:val="22"/>
          <w:szCs w:val="22"/>
        </w:rPr>
        <w:t xml:space="preserve">. Retrieved from </w:t>
      </w:r>
      <w:hyperlink r:id="rId13" w:history="1">
        <w:r w:rsidR="003F68DD" w:rsidRPr="00CE461E">
          <w:rPr>
            <w:rStyle w:val="Hyperlink"/>
            <w:rFonts w:ascii="Arial" w:hAnsi="Arial" w:cs="Arial"/>
            <w:sz w:val="22"/>
            <w:szCs w:val="22"/>
          </w:rPr>
          <w:t>https://www.crisisgroup.org/africa/horn-africa/kenya/b159-how-shield-education-al-shabaab-kenyas-north-east</w:t>
        </w:r>
      </w:hyperlink>
      <w:r w:rsidR="003F68DD" w:rsidRPr="00CE461E">
        <w:rPr>
          <w:rFonts w:ascii="Arial" w:hAnsi="Arial" w:cs="Arial"/>
          <w:sz w:val="22"/>
          <w:szCs w:val="22"/>
        </w:rPr>
        <w:t xml:space="preserve"> </w:t>
      </w:r>
    </w:p>
    <w:bookmarkEnd w:id="41"/>
    <w:p w14:paraId="495742E0" w14:textId="0FC7C00D"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Daro, Abdullahi Woche (2021). </w:t>
      </w:r>
      <w:r w:rsidRPr="00CE461E">
        <w:rPr>
          <w:rFonts w:ascii="Arial" w:hAnsi="Arial" w:cs="Arial"/>
          <w:i/>
          <w:iCs/>
          <w:sz w:val="22"/>
          <w:szCs w:val="22"/>
        </w:rPr>
        <w:t xml:space="preserve">Determinants of examination malpractices among students in public secondary schools in Garissa County, Kenya. </w:t>
      </w:r>
      <w:r w:rsidRPr="00CE461E">
        <w:rPr>
          <w:rFonts w:ascii="Arial" w:hAnsi="Arial" w:cs="Arial"/>
          <w:sz w:val="22"/>
          <w:szCs w:val="22"/>
        </w:rPr>
        <w:t>A research project submitted to the school of education. Kenyatta University. Nairobi</w:t>
      </w:r>
      <w:r w:rsidR="00946863" w:rsidRPr="00CE461E">
        <w:rPr>
          <w:rFonts w:ascii="Arial" w:hAnsi="Arial" w:cs="Arial"/>
          <w:sz w:val="22"/>
          <w:szCs w:val="22"/>
        </w:rPr>
        <w:t xml:space="preserve"> </w:t>
      </w:r>
      <w:hyperlink r:id="rId14" w:history="1">
        <w:r w:rsidR="00946863" w:rsidRPr="00CE461E">
          <w:rPr>
            <w:rStyle w:val="Hyperlink"/>
            <w:rFonts w:ascii="Arial" w:hAnsi="Arial" w:cs="Arial"/>
            <w:sz w:val="22"/>
            <w:szCs w:val="22"/>
          </w:rPr>
          <w:t>https://ku.dspace.or.ke/handle/123456789/22646</w:t>
        </w:r>
      </w:hyperlink>
      <w:r w:rsidR="00946863" w:rsidRPr="00CE461E">
        <w:rPr>
          <w:rFonts w:ascii="Arial" w:hAnsi="Arial" w:cs="Arial"/>
          <w:sz w:val="22"/>
          <w:szCs w:val="22"/>
        </w:rPr>
        <w:t xml:space="preserve"> </w:t>
      </w:r>
    </w:p>
    <w:p w14:paraId="33AD7866"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David Rettinger (2023). New Insights into Academic Integrity. </w:t>
      </w:r>
      <w:r w:rsidRPr="00CE461E">
        <w:rPr>
          <w:rFonts w:ascii="Arial" w:hAnsi="Arial" w:cs="Arial"/>
          <w:i/>
          <w:iCs/>
          <w:sz w:val="22"/>
          <w:szCs w:val="22"/>
        </w:rPr>
        <w:t>Wiley</w:t>
      </w:r>
      <w:r w:rsidRPr="00CE461E">
        <w:rPr>
          <w:rFonts w:ascii="Arial" w:hAnsi="Arial" w:cs="Arial"/>
          <w:sz w:val="22"/>
          <w:szCs w:val="22"/>
        </w:rPr>
        <w:t xml:space="preserve"> </w:t>
      </w:r>
    </w:p>
    <w:p w14:paraId="20F09F8C" w14:textId="4EB1AF06" w:rsidR="00F342A1" w:rsidRPr="00CE461E" w:rsidRDefault="00F342A1" w:rsidP="00CE461E">
      <w:pPr>
        <w:spacing w:before="240" w:line="240" w:lineRule="auto"/>
        <w:jc w:val="both"/>
        <w:rPr>
          <w:rFonts w:ascii="Arial" w:hAnsi="Arial" w:cs="Arial"/>
          <w:b/>
          <w:bCs/>
          <w:sz w:val="22"/>
          <w:szCs w:val="22"/>
        </w:rPr>
      </w:pPr>
      <w:r w:rsidRPr="00CE461E">
        <w:rPr>
          <w:rFonts w:ascii="Arial" w:hAnsi="Arial" w:cs="Arial"/>
          <w:sz w:val="22"/>
          <w:szCs w:val="22"/>
        </w:rPr>
        <w:t>Davis, J. (2013). </w:t>
      </w:r>
      <w:r w:rsidRPr="00CE461E">
        <w:rPr>
          <w:rFonts w:ascii="Arial" w:hAnsi="Arial" w:cs="Arial"/>
          <w:i/>
          <w:iCs/>
          <w:sz w:val="22"/>
          <w:szCs w:val="22"/>
        </w:rPr>
        <w:t>Educational legitimation and parental aspiration:</w:t>
      </w:r>
      <w:r w:rsidRPr="00CE461E">
        <w:rPr>
          <w:rFonts w:ascii="Arial" w:hAnsi="Arial" w:cs="Arial"/>
          <w:sz w:val="22"/>
          <w:szCs w:val="22"/>
        </w:rPr>
        <w:t xml:space="preserve"> Private tutoring in Perth, Western Australia (Doctoral dissertation, University of Western Australia).</w:t>
      </w:r>
      <w:r w:rsidR="00CE534B" w:rsidRPr="00CE461E">
        <w:rPr>
          <w:rFonts w:ascii="Arial" w:hAnsi="Arial" w:cs="Arial"/>
          <w:sz w:val="22"/>
          <w:szCs w:val="22"/>
        </w:rPr>
        <w:t xml:space="preserve"> </w:t>
      </w:r>
      <w:hyperlink r:id="rId15" w:history="1">
        <w:r w:rsidR="00CE534B" w:rsidRPr="00CE461E">
          <w:rPr>
            <w:rStyle w:val="Hyperlink"/>
            <w:rFonts w:ascii="Arial" w:hAnsi="Arial" w:cs="Arial"/>
            <w:sz w:val="22"/>
            <w:szCs w:val="22"/>
          </w:rPr>
          <w:t>https://research-repository.uwa.edu.au/en/publications/educational-legitimation-and-parental-aspiration-private-tutoring</w:t>
        </w:r>
      </w:hyperlink>
      <w:r w:rsidR="00CE534B" w:rsidRPr="00CE461E">
        <w:rPr>
          <w:rFonts w:ascii="Arial" w:hAnsi="Arial" w:cs="Arial"/>
          <w:sz w:val="22"/>
          <w:szCs w:val="22"/>
        </w:rPr>
        <w:t xml:space="preserve"> </w:t>
      </w:r>
    </w:p>
    <w:p w14:paraId="4A258411" w14:textId="52D8B87A"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Fisher, K. (2015). </w:t>
      </w:r>
      <w:r w:rsidRPr="00CE461E">
        <w:rPr>
          <w:rFonts w:ascii="Arial" w:hAnsi="Arial" w:cs="Arial"/>
          <w:i/>
          <w:iCs/>
          <w:sz w:val="22"/>
          <w:szCs w:val="22"/>
        </w:rPr>
        <w:t>The Psychology of Fraud: What Motivates to Commit Crime?</w:t>
      </w:r>
      <w:r w:rsidRPr="00CE461E">
        <w:rPr>
          <w:rFonts w:ascii="Arial" w:hAnsi="Arial" w:cs="Arial"/>
          <w:sz w:val="22"/>
          <w:szCs w:val="22"/>
        </w:rPr>
        <w:t xml:space="preserve"> Texas Woman’s University, Graduate School of Management. </w:t>
      </w:r>
      <w:hyperlink r:id="rId16" w:history="1">
        <w:r w:rsidR="005C2A5F" w:rsidRPr="00CE461E">
          <w:rPr>
            <w:rStyle w:val="Hyperlink"/>
            <w:rFonts w:ascii="Arial" w:hAnsi="Arial" w:cs="Arial"/>
            <w:sz w:val="22"/>
            <w:szCs w:val="22"/>
          </w:rPr>
          <w:t>https://doi.org/10.2139/ssrn.2596825</w:t>
        </w:r>
      </w:hyperlink>
      <w:r w:rsidR="005C2A5F" w:rsidRPr="00CE461E">
        <w:rPr>
          <w:rFonts w:ascii="Arial" w:hAnsi="Arial" w:cs="Arial"/>
          <w:sz w:val="22"/>
          <w:szCs w:val="22"/>
        </w:rPr>
        <w:t xml:space="preserve"> </w:t>
      </w:r>
      <w:hyperlink r:id="rId17" w:history="1">
        <w:r w:rsidR="005C2A5F" w:rsidRPr="00CE461E">
          <w:rPr>
            <w:rStyle w:val="Hyperlink"/>
            <w:rFonts w:ascii="Arial" w:hAnsi="Arial" w:cs="Arial"/>
            <w:sz w:val="22"/>
            <w:szCs w:val="22"/>
          </w:rPr>
          <w:t>https://doi.org/10.2139/ssrn.2596825</w:t>
        </w:r>
      </w:hyperlink>
      <w:r w:rsidR="005C2A5F" w:rsidRPr="00CE461E">
        <w:rPr>
          <w:rFonts w:ascii="Arial" w:hAnsi="Arial" w:cs="Arial"/>
          <w:sz w:val="22"/>
          <w:szCs w:val="22"/>
        </w:rPr>
        <w:t xml:space="preserve"> </w:t>
      </w:r>
    </w:p>
    <w:p w14:paraId="1C486196" w14:textId="2C8DDAEE"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Ford, C. J. (2018). </w:t>
      </w:r>
      <w:r w:rsidRPr="00CE461E">
        <w:rPr>
          <w:rFonts w:ascii="Arial" w:hAnsi="Arial" w:cs="Arial"/>
          <w:i/>
          <w:iCs/>
          <w:sz w:val="22"/>
          <w:szCs w:val="22"/>
        </w:rPr>
        <w:t>The beliefs of secondary teachers on personalized learning for students through the use of instructional technology</w:t>
      </w:r>
      <w:r w:rsidRPr="00CE461E">
        <w:rPr>
          <w:rFonts w:ascii="Arial" w:hAnsi="Arial" w:cs="Arial"/>
          <w:sz w:val="22"/>
          <w:szCs w:val="22"/>
        </w:rPr>
        <w:t>. Doctoral dissertation, Lindenwood University.</w:t>
      </w:r>
      <w:r w:rsidR="00A70AB3" w:rsidRPr="00CE461E">
        <w:rPr>
          <w:rFonts w:ascii="Arial" w:hAnsi="Arial" w:cs="Arial"/>
          <w:sz w:val="22"/>
          <w:szCs w:val="22"/>
        </w:rPr>
        <w:t xml:space="preserve"> </w:t>
      </w:r>
      <w:hyperlink r:id="rId18" w:history="1">
        <w:r w:rsidR="00A70AB3" w:rsidRPr="00CE461E">
          <w:rPr>
            <w:rStyle w:val="Hyperlink"/>
            <w:rFonts w:ascii="Arial" w:hAnsi="Arial" w:cs="Arial"/>
            <w:sz w:val="22"/>
            <w:szCs w:val="22"/>
          </w:rPr>
          <w:t>https://digitalcommons.lindenwood.edu/dissertations/152</w:t>
        </w:r>
      </w:hyperlink>
      <w:r w:rsidR="00A70AB3" w:rsidRPr="00CE461E">
        <w:rPr>
          <w:rFonts w:ascii="Arial" w:hAnsi="Arial" w:cs="Arial"/>
          <w:sz w:val="22"/>
          <w:szCs w:val="22"/>
        </w:rPr>
        <w:t xml:space="preserve"> </w:t>
      </w:r>
    </w:p>
    <w:p w14:paraId="1FD47011"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Green, E., &amp; Wilson, L. (2019). Exam malpractice: Understanding the role of financial stress. </w:t>
      </w:r>
      <w:r w:rsidRPr="00CE461E">
        <w:rPr>
          <w:rFonts w:ascii="Arial" w:hAnsi="Arial" w:cs="Arial"/>
          <w:i/>
          <w:iCs/>
          <w:sz w:val="22"/>
          <w:szCs w:val="22"/>
        </w:rPr>
        <w:t>Journal of Educational Studies</w:t>
      </w:r>
      <w:r w:rsidRPr="00CE461E">
        <w:rPr>
          <w:rFonts w:ascii="Arial" w:hAnsi="Arial" w:cs="Arial"/>
          <w:sz w:val="22"/>
          <w:szCs w:val="22"/>
        </w:rPr>
        <w:t>, 18(1), 89-99.</w:t>
      </w:r>
    </w:p>
    <w:p w14:paraId="33DBF4F9" w14:textId="6426DE55"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Hamid A. B., &amp; Siti. H. B. (2018). </w:t>
      </w:r>
      <w:r w:rsidRPr="00CE461E">
        <w:rPr>
          <w:rFonts w:ascii="Arial" w:hAnsi="Arial" w:cs="Arial"/>
          <w:i/>
          <w:iCs/>
          <w:sz w:val="22"/>
          <w:szCs w:val="22"/>
        </w:rPr>
        <w:t>Determinants of international Muslim tourists’ empowerment and attitude, and their impact on loyalty</w:t>
      </w:r>
      <w:r w:rsidRPr="00CE461E">
        <w:rPr>
          <w:rFonts w:ascii="Arial" w:hAnsi="Arial" w:cs="Arial"/>
          <w:sz w:val="22"/>
          <w:szCs w:val="22"/>
        </w:rPr>
        <w:t xml:space="preserve">. Thesis submitted to the school of graduate studies. </w:t>
      </w:r>
      <w:proofErr w:type="spellStart"/>
      <w:r w:rsidRPr="00CE461E">
        <w:rPr>
          <w:rFonts w:ascii="Arial" w:hAnsi="Arial" w:cs="Arial"/>
          <w:sz w:val="22"/>
          <w:szCs w:val="22"/>
        </w:rPr>
        <w:t>Universiti</w:t>
      </w:r>
      <w:proofErr w:type="spellEnd"/>
      <w:r w:rsidRPr="00CE461E">
        <w:rPr>
          <w:rFonts w:ascii="Arial" w:hAnsi="Arial" w:cs="Arial"/>
          <w:sz w:val="22"/>
          <w:szCs w:val="22"/>
        </w:rPr>
        <w:t xml:space="preserve"> Putra Malaysia.</w:t>
      </w:r>
      <w:r w:rsidR="00CF1A17" w:rsidRPr="00CE461E">
        <w:rPr>
          <w:rFonts w:ascii="Arial" w:hAnsi="Arial" w:cs="Arial"/>
          <w:sz w:val="22"/>
          <w:szCs w:val="22"/>
        </w:rPr>
        <w:t xml:space="preserve"> </w:t>
      </w:r>
      <w:hyperlink r:id="rId19" w:history="1">
        <w:r w:rsidR="00CF1A17" w:rsidRPr="00CE461E">
          <w:rPr>
            <w:rStyle w:val="Hyperlink"/>
            <w:rFonts w:ascii="Arial" w:hAnsi="Arial" w:cs="Arial"/>
            <w:sz w:val="22"/>
            <w:szCs w:val="22"/>
          </w:rPr>
          <w:t>http://psasir.upm.edu.my/id/eprint/69522/1/fep%202018%2032%20ir.pdf</w:t>
        </w:r>
      </w:hyperlink>
      <w:r w:rsidR="00CF1A17" w:rsidRPr="00CE461E">
        <w:rPr>
          <w:rFonts w:ascii="Arial" w:hAnsi="Arial" w:cs="Arial"/>
          <w:sz w:val="22"/>
          <w:szCs w:val="22"/>
        </w:rPr>
        <w:t xml:space="preserve"> </w:t>
      </w:r>
    </w:p>
    <w:p w14:paraId="1851C229" w14:textId="039A0864"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Hasnan, S., Abdul-Rahman, R., &amp; Mahenthiran, S. (2013). Management Motive, Weak Governance, Earnings Management, and Fraudulent Financial Reporting: </w:t>
      </w:r>
      <w:r w:rsidRPr="00CE461E">
        <w:rPr>
          <w:rFonts w:ascii="Arial" w:hAnsi="Arial" w:cs="Arial"/>
          <w:i/>
          <w:iCs/>
          <w:sz w:val="22"/>
          <w:szCs w:val="22"/>
        </w:rPr>
        <w:t>Journal of International Accounting Research, 12</w:t>
      </w:r>
      <w:r w:rsidRPr="00CE461E">
        <w:rPr>
          <w:rFonts w:ascii="Arial" w:hAnsi="Arial" w:cs="Arial"/>
          <w:sz w:val="22"/>
          <w:szCs w:val="22"/>
        </w:rPr>
        <w:t>(1), 1-27.</w:t>
      </w:r>
      <w:r w:rsidR="004865DC" w:rsidRPr="00CE461E">
        <w:rPr>
          <w:rFonts w:ascii="Arial" w:hAnsi="Arial" w:cs="Arial"/>
          <w:sz w:val="22"/>
          <w:szCs w:val="22"/>
        </w:rPr>
        <w:t xml:space="preserve"> </w:t>
      </w:r>
      <w:hyperlink r:id="rId20" w:history="1">
        <w:r w:rsidR="004865DC" w:rsidRPr="00CE461E">
          <w:rPr>
            <w:rStyle w:val="Hyperlink"/>
            <w:rFonts w:ascii="Arial" w:hAnsi="Arial" w:cs="Arial"/>
            <w:sz w:val="22"/>
            <w:szCs w:val="22"/>
          </w:rPr>
          <w:t>https://doi.org/10.2308/jiar-50353</w:t>
        </w:r>
      </w:hyperlink>
      <w:r w:rsidR="004865DC" w:rsidRPr="00CE461E">
        <w:rPr>
          <w:rFonts w:ascii="Arial" w:hAnsi="Arial" w:cs="Arial"/>
          <w:sz w:val="22"/>
          <w:szCs w:val="22"/>
        </w:rPr>
        <w:t xml:space="preserve"> </w:t>
      </w:r>
    </w:p>
    <w:p w14:paraId="1392603C" w14:textId="35F0B2E8"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lastRenderedPageBreak/>
        <w:t xml:space="preserve">Hooper, M. J. &amp; </w:t>
      </w:r>
      <w:proofErr w:type="spellStart"/>
      <w:r w:rsidRPr="00CE461E">
        <w:rPr>
          <w:rFonts w:ascii="Arial" w:hAnsi="Arial" w:cs="Arial"/>
          <w:sz w:val="22"/>
          <w:szCs w:val="22"/>
        </w:rPr>
        <w:t>Pornelli</w:t>
      </w:r>
      <w:proofErr w:type="spellEnd"/>
      <w:r w:rsidRPr="00CE461E">
        <w:rPr>
          <w:rFonts w:ascii="Arial" w:hAnsi="Arial" w:cs="Arial"/>
          <w:sz w:val="22"/>
          <w:szCs w:val="22"/>
        </w:rPr>
        <w:t xml:space="preserve">, C. M. (2010). </w:t>
      </w:r>
      <w:r w:rsidRPr="00CE461E">
        <w:rPr>
          <w:rFonts w:ascii="Arial" w:hAnsi="Arial" w:cs="Arial"/>
          <w:i/>
          <w:iCs/>
          <w:sz w:val="22"/>
          <w:szCs w:val="22"/>
        </w:rPr>
        <w:t xml:space="preserve">Deterring and detecting financial fraud: A platform for action. </w:t>
      </w:r>
      <w:hyperlink r:id="rId21" w:history="1">
        <w:r w:rsidR="00690F01" w:rsidRPr="00CE461E">
          <w:rPr>
            <w:rStyle w:val="Hyperlink"/>
            <w:rFonts w:ascii="Arial" w:hAnsi="Arial" w:cs="Arial"/>
            <w:sz w:val="22"/>
            <w:szCs w:val="22"/>
          </w:rPr>
          <w:t>http://www.thecaq.org/docs/reports-and-publications/deterring-and-detecting%20financial-reportingfraud-a-platform-foraction.pdf</w:t>
        </w:r>
      </w:hyperlink>
      <w:r w:rsidR="00690F01" w:rsidRPr="00CE461E">
        <w:rPr>
          <w:rFonts w:ascii="Arial" w:hAnsi="Arial" w:cs="Arial"/>
          <w:sz w:val="22"/>
          <w:szCs w:val="22"/>
        </w:rPr>
        <w:t xml:space="preserve">? </w:t>
      </w:r>
    </w:p>
    <w:p w14:paraId="7182A041" w14:textId="51BF7BF4" w:rsidR="00F342A1" w:rsidRPr="00CE461E" w:rsidRDefault="00F342A1" w:rsidP="00CE461E">
      <w:pPr>
        <w:spacing w:before="240" w:line="240" w:lineRule="auto"/>
        <w:jc w:val="both"/>
        <w:rPr>
          <w:rFonts w:ascii="Arial" w:hAnsi="Arial" w:cs="Arial"/>
          <w:sz w:val="22"/>
          <w:szCs w:val="22"/>
        </w:rPr>
      </w:pPr>
      <w:proofErr w:type="spellStart"/>
      <w:r w:rsidRPr="00CE461E">
        <w:rPr>
          <w:rFonts w:ascii="Arial" w:hAnsi="Arial" w:cs="Arial"/>
          <w:sz w:val="22"/>
          <w:szCs w:val="22"/>
        </w:rPr>
        <w:t>Hosotani</w:t>
      </w:r>
      <w:proofErr w:type="spellEnd"/>
      <w:r w:rsidRPr="00CE461E">
        <w:rPr>
          <w:rFonts w:ascii="Arial" w:hAnsi="Arial" w:cs="Arial"/>
          <w:sz w:val="22"/>
          <w:szCs w:val="22"/>
        </w:rPr>
        <w:t xml:space="preserve">, R., &amp; Imai-Matsumura, K. (2011). Emotional experience, expression, and regulation of high-quality Japanese elementary school teachers. </w:t>
      </w:r>
      <w:r w:rsidRPr="00CE461E">
        <w:rPr>
          <w:rFonts w:ascii="Arial" w:hAnsi="Arial" w:cs="Arial"/>
          <w:i/>
          <w:iCs/>
          <w:sz w:val="22"/>
          <w:szCs w:val="22"/>
        </w:rPr>
        <w:t>Teaching and Teacher Education, 27</w:t>
      </w:r>
      <w:r w:rsidRPr="00CE461E">
        <w:rPr>
          <w:rFonts w:ascii="Arial" w:hAnsi="Arial" w:cs="Arial"/>
          <w:sz w:val="22"/>
          <w:szCs w:val="22"/>
        </w:rPr>
        <w:t>(6), 1039-1048.</w:t>
      </w:r>
      <w:r w:rsidR="00FB3CEA" w:rsidRPr="00CE461E">
        <w:rPr>
          <w:rFonts w:ascii="Arial" w:hAnsi="Arial" w:cs="Arial"/>
          <w:sz w:val="22"/>
          <w:szCs w:val="22"/>
        </w:rPr>
        <w:t xml:space="preserve"> </w:t>
      </w:r>
      <w:r w:rsidR="004E56C8" w:rsidRPr="00CE461E">
        <w:rPr>
          <w:rFonts w:ascii="Arial" w:hAnsi="Arial" w:cs="Arial"/>
          <w:sz w:val="22"/>
          <w:szCs w:val="22"/>
        </w:rPr>
        <w:t xml:space="preserve"> </w:t>
      </w:r>
      <w:hyperlink r:id="rId22" w:history="1">
        <w:r w:rsidR="004E56C8" w:rsidRPr="00CE461E">
          <w:rPr>
            <w:rStyle w:val="Hyperlink"/>
            <w:rFonts w:ascii="Arial" w:hAnsi="Arial" w:cs="Arial"/>
            <w:sz w:val="22"/>
            <w:szCs w:val="22"/>
          </w:rPr>
          <w:t>https://doi.org/10.1016/j.tate.2011.03.010</w:t>
        </w:r>
      </w:hyperlink>
      <w:r w:rsidR="004E56C8" w:rsidRPr="00CE461E">
        <w:rPr>
          <w:rFonts w:ascii="Arial" w:hAnsi="Arial" w:cs="Arial"/>
          <w:sz w:val="22"/>
          <w:szCs w:val="22"/>
        </w:rPr>
        <w:t xml:space="preserve"> </w:t>
      </w:r>
    </w:p>
    <w:p w14:paraId="3B4AE23D"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Jones, A., Smith, B., &amp; Johnson, C. (2016). Peer influence significantly impacts students' decisions to cheat. </w:t>
      </w:r>
      <w:r w:rsidRPr="00CE461E">
        <w:rPr>
          <w:rFonts w:ascii="Arial" w:hAnsi="Arial" w:cs="Arial"/>
          <w:i/>
          <w:iCs/>
          <w:sz w:val="22"/>
          <w:szCs w:val="22"/>
        </w:rPr>
        <w:t>*Journal of Academic Integrity*, 15</w:t>
      </w:r>
      <w:r w:rsidRPr="00CE461E">
        <w:rPr>
          <w:rFonts w:ascii="Arial" w:hAnsi="Arial" w:cs="Arial"/>
          <w:sz w:val="22"/>
          <w:szCs w:val="22"/>
        </w:rPr>
        <w:t xml:space="preserve">(2), 123-130. </w:t>
      </w:r>
    </w:p>
    <w:p w14:paraId="42D6051E" w14:textId="6F46D8EB"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Jones, Emily I., et al. (2015): "Cheaters must prosper: reconciling theoretical and empirical perspectives on cheating in mutualism." </w:t>
      </w:r>
      <w:r w:rsidRPr="00CE461E">
        <w:rPr>
          <w:rFonts w:ascii="Arial" w:hAnsi="Arial" w:cs="Arial"/>
          <w:i/>
          <w:iCs/>
          <w:sz w:val="22"/>
          <w:szCs w:val="22"/>
        </w:rPr>
        <w:t>Ecology letters</w:t>
      </w:r>
      <w:r w:rsidRPr="00CE461E">
        <w:rPr>
          <w:rFonts w:ascii="Arial" w:hAnsi="Arial" w:cs="Arial"/>
          <w:sz w:val="22"/>
          <w:szCs w:val="22"/>
        </w:rPr>
        <w:t> </w:t>
      </w:r>
      <w:r w:rsidRPr="00CE461E">
        <w:rPr>
          <w:rFonts w:ascii="Arial" w:hAnsi="Arial" w:cs="Arial"/>
          <w:i/>
          <w:iCs/>
          <w:sz w:val="22"/>
          <w:szCs w:val="22"/>
        </w:rPr>
        <w:t>18</w:t>
      </w:r>
      <w:r w:rsidRPr="00CE461E">
        <w:rPr>
          <w:rFonts w:ascii="Arial" w:hAnsi="Arial" w:cs="Arial"/>
          <w:sz w:val="22"/>
          <w:szCs w:val="22"/>
        </w:rPr>
        <w:t>.11: 1270-1284.</w:t>
      </w:r>
      <w:r w:rsidR="00675C0A" w:rsidRPr="00CE461E">
        <w:rPr>
          <w:rFonts w:ascii="Arial" w:hAnsi="Arial" w:cs="Arial"/>
          <w:sz w:val="22"/>
          <w:szCs w:val="22"/>
        </w:rPr>
        <w:t xml:space="preserve"> </w:t>
      </w:r>
      <w:hyperlink r:id="rId23" w:history="1">
        <w:r w:rsidR="00675C0A" w:rsidRPr="00CE461E">
          <w:rPr>
            <w:rStyle w:val="Hyperlink"/>
            <w:rFonts w:ascii="Arial" w:hAnsi="Arial" w:cs="Arial"/>
            <w:sz w:val="22"/>
            <w:szCs w:val="22"/>
          </w:rPr>
          <w:t>https://doi.org/10.1111/ele.12507</w:t>
        </w:r>
      </w:hyperlink>
      <w:r w:rsidR="00675C0A" w:rsidRPr="00CE461E">
        <w:rPr>
          <w:rFonts w:ascii="Arial" w:hAnsi="Arial" w:cs="Arial"/>
          <w:sz w:val="22"/>
          <w:szCs w:val="22"/>
        </w:rPr>
        <w:t xml:space="preserve"> </w:t>
      </w:r>
    </w:p>
    <w:p w14:paraId="278F2A44" w14:textId="4917E934"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Jones, Emily I., et al. (2015): "Cheaters must prosper: reconciling theoretical and empirical perspectives on cheating in mutualism." </w:t>
      </w:r>
      <w:r w:rsidRPr="00CE461E">
        <w:rPr>
          <w:rFonts w:ascii="Arial" w:hAnsi="Arial" w:cs="Arial"/>
          <w:i/>
          <w:iCs/>
          <w:sz w:val="22"/>
          <w:szCs w:val="22"/>
        </w:rPr>
        <w:t>Ecology letters</w:t>
      </w:r>
      <w:r w:rsidRPr="00CE461E">
        <w:rPr>
          <w:rFonts w:ascii="Arial" w:hAnsi="Arial" w:cs="Arial"/>
          <w:sz w:val="22"/>
          <w:szCs w:val="22"/>
        </w:rPr>
        <w:t> </w:t>
      </w:r>
      <w:r w:rsidRPr="00CE461E">
        <w:rPr>
          <w:rFonts w:ascii="Arial" w:hAnsi="Arial" w:cs="Arial"/>
          <w:i/>
          <w:iCs/>
          <w:sz w:val="22"/>
          <w:szCs w:val="22"/>
        </w:rPr>
        <w:t>18</w:t>
      </w:r>
      <w:r w:rsidRPr="00CE461E">
        <w:rPr>
          <w:rFonts w:ascii="Arial" w:hAnsi="Arial" w:cs="Arial"/>
          <w:sz w:val="22"/>
          <w:szCs w:val="22"/>
        </w:rPr>
        <w:t>.11: 1270-1284.</w:t>
      </w:r>
      <w:r w:rsidR="004A105F" w:rsidRPr="00CE461E">
        <w:rPr>
          <w:rFonts w:ascii="Arial" w:hAnsi="Arial" w:cs="Arial"/>
          <w:sz w:val="22"/>
          <w:szCs w:val="22"/>
        </w:rPr>
        <w:t xml:space="preserve"> </w:t>
      </w:r>
      <w:hyperlink r:id="rId24" w:history="1">
        <w:r w:rsidR="004A105F" w:rsidRPr="00CE461E">
          <w:rPr>
            <w:rStyle w:val="Hyperlink"/>
            <w:rFonts w:ascii="Arial" w:hAnsi="Arial" w:cs="Arial"/>
            <w:sz w:val="22"/>
            <w:szCs w:val="22"/>
          </w:rPr>
          <w:t>https://doi.org/10.1111/ele.12507</w:t>
        </w:r>
      </w:hyperlink>
      <w:r w:rsidR="004A105F" w:rsidRPr="00CE461E">
        <w:rPr>
          <w:rFonts w:ascii="Arial" w:hAnsi="Arial" w:cs="Arial"/>
          <w:sz w:val="22"/>
          <w:szCs w:val="22"/>
        </w:rPr>
        <w:t xml:space="preserve"> </w:t>
      </w:r>
    </w:p>
    <w:p w14:paraId="3A55286D" w14:textId="3E2025B1"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Kelly, P. and Hartley, C. A. (2010). Casino gambling and workplace fraud: a cautionary tale for managers. </w:t>
      </w:r>
      <w:r w:rsidRPr="00CE461E">
        <w:rPr>
          <w:rFonts w:ascii="Arial" w:hAnsi="Arial" w:cs="Arial"/>
          <w:i/>
          <w:iCs/>
          <w:sz w:val="22"/>
          <w:szCs w:val="22"/>
        </w:rPr>
        <w:t>Management Research Review, Vol. 33</w:t>
      </w:r>
      <w:r w:rsidRPr="00CE461E">
        <w:rPr>
          <w:rFonts w:ascii="Arial" w:hAnsi="Arial" w:cs="Arial"/>
          <w:sz w:val="22"/>
          <w:szCs w:val="22"/>
        </w:rPr>
        <w:t>, No. 3, 224-239.</w:t>
      </w:r>
      <w:r w:rsidR="00F51BB6" w:rsidRPr="00CE461E">
        <w:rPr>
          <w:rFonts w:ascii="Arial" w:hAnsi="Arial" w:cs="Arial"/>
          <w:sz w:val="22"/>
          <w:szCs w:val="22"/>
        </w:rPr>
        <w:t xml:space="preserve"> </w:t>
      </w:r>
      <w:hyperlink r:id="rId25" w:history="1">
        <w:r w:rsidR="00645CEB" w:rsidRPr="00CE461E">
          <w:rPr>
            <w:rStyle w:val="Hyperlink"/>
            <w:rFonts w:ascii="Arial" w:hAnsi="Arial" w:cs="Arial"/>
            <w:sz w:val="22"/>
            <w:szCs w:val="22"/>
          </w:rPr>
          <w:t>https://doi.org/10.1108/01409171011030381</w:t>
        </w:r>
      </w:hyperlink>
      <w:r w:rsidR="00645CEB" w:rsidRPr="00CE461E">
        <w:rPr>
          <w:rFonts w:ascii="Arial" w:hAnsi="Arial" w:cs="Arial"/>
          <w:sz w:val="22"/>
          <w:szCs w:val="22"/>
        </w:rPr>
        <w:t xml:space="preserve"> </w:t>
      </w:r>
    </w:p>
    <w:p w14:paraId="6FFCC080" w14:textId="195B34FD" w:rsidR="00F342A1" w:rsidRPr="00CE461E" w:rsidRDefault="00F342A1" w:rsidP="00CE461E">
      <w:pPr>
        <w:spacing w:before="240" w:line="240" w:lineRule="auto"/>
        <w:jc w:val="both"/>
        <w:rPr>
          <w:rFonts w:ascii="Arial" w:hAnsi="Arial" w:cs="Arial"/>
          <w:sz w:val="22"/>
          <w:szCs w:val="22"/>
        </w:rPr>
      </w:pPr>
      <w:proofErr w:type="spellStart"/>
      <w:r w:rsidRPr="00CE461E">
        <w:rPr>
          <w:rFonts w:ascii="Arial" w:hAnsi="Arial" w:cs="Arial"/>
          <w:sz w:val="22"/>
          <w:szCs w:val="22"/>
        </w:rPr>
        <w:t>Kirugua</w:t>
      </w:r>
      <w:proofErr w:type="spellEnd"/>
      <w:r w:rsidRPr="00CE461E">
        <w:rPr>
          <w:rFonts w:ascii="Arial" w:hAnsi="Arial" w:cs="Arial"/>
          <w:sz w:val="22"/>
          <w:szCs w:val="22"/>
        </w:rPr>
        <w:t xml:space="preserve">, J. M. (2019). </w:t>
      </w:r>
      <w:r w:rsidRPr="00CE461E">
        <w:rPr>
          <w:rFonts w:ascii="Arial" w:hAnsi="Arial" w:cs="Arial"/>
          <w:i/>
          <w:iCs/>
          <w:sz w:val="22"/>
          <w:szCs w:val="22"/>
        </w:rPr>
        <w:t>Inculcation of Societal Norms in School System in Meru</w:t>
      </w:r>
      <w:r w:rsidRPr="00CE461E">
        <w:rPr>
          <w:rFonts w:ascii="Arial" w:hAnsi="Arial" w:cs="Arial"/>
          <w:i/>
          <w:iCs/>
          <w:sz w:val="22"/>
          <w:szCs w:val="22"/>
        </w:rPr>
        <w:br/>
        <w:t>County, Kenya: An Afrocentric Perspective</w:t>
      </w:r>
      <w:r w:rsidRPr="00CE461E">
        <w:rPr>
          <w:rFonts w:ascii="Arial" w:hAnsi="Arial" w:cs="Arial"/>
          <w:sz w:val="22"/>
          <w:szCs w:val="22"/>
        </w:rPr>
        <w:t>. A Thesis dissertation. Chuka University. Chuka.</w:t>
      </w:r>
      <w:r w:rsidR="00645CEB" w:rsidRPr="00CE461E">
        <w:rPr>
          <w:rFonts w:ascii="Arial" w:hAnsi="Arial" w:cs="Arial"/>
          <w:sz w:val="22"/>
          <w:szCs w:val="22"/>
        </w:rPr>
        <w:t xml:space="preserve"> </w:t>
      </w:r>
      <w:hyperlink r:id="rId26" w:history="1">
        <w:r w:rsidR="00645CEB" w:rsidRPr="00CE461E">
          <w:rPr>
            <w:rStyle w:val="Hyperlink"/>
            <w:rFonts w:ascii="Arial" w:hAnsi="Arial" w:cs="Arial"/>
            <w:sz w:val="22"/>
            <w:szCs w:val="22"/>
          </w:rPr>
          <w:t>http://repository.chuka.ac.ke/handle/chuka/316</w:t>
        </w:r>
      </w:hyperlink>
      <w:r w:rsidR="00645CEB" w:rsidRPr="00CE461E">
        <w:rPr>
          <w:rFonts w:ascii="Arial" w:hAnsi="Arial" w:cs="Arial"/>
          <w:sz w:val="22"/>
          <w:szCs w:val="22"/>
        </w:rPr>
        <w:t xml:space="preserve"> </w:t>
      </w:r>
    </w:p>
    <w:p w14:paraId="4E71E5B6" w14:textId="457AF716" w:rsidR="00F342A1" w:rsidRPr="00CE461E" w:rsidRDefault="00F342A1" w:rsidP="00CE461E">
      <w:pPr>
        <w:spacing w:before="240" w:line="240" w:lineRule="auto"/>
        <w:jc w:val="both"/>
        <w:rPr>
          <w:rFonts w:ascii="Arial" w:hAnsi="Arial" w:cs="Arial"/>
          <w:sz w:val="22"/>
          <w:szCs w:val="22"/>
        </w:rPr>
      </w:pPr>
      <w:proofErr w:type="spellStart"/>
      <w:r w:rsidRPr="00CE461E">
        <w:rPr>
          <w:rFonts w:ascii="Arial" w:hAnsi="Arial" w:cs="Arial"/>
          <w:sz w:val="22"/>
          <w:szCs w:val="22"/>
        </w:rPr>
        <w:t>Lamorte</w:t>
      </w:r>
      <w:proofErr w:type="spellEnd"/>
      <w:r w:rsidRPr="00CE461E">
        <w:rPr>
          <w:rFonts w:ascii="Arial" w:hAnsi="Arial" w:cs="Arial"/>
          <w:sz w:val="22"/>
          <w:szCs w:val="22"/>
        </w:rPr>
        <w:t xml:space="preserve">, W. W. (2016). </w:t>
      </w:r>
      <w:r w:rsidRPr="00CE461E">
        <w:rPr>
          <w:rFonts w:ascii="Arial" w:hAnsi="Arial" w:cs="Arial"/>
          <w:i/>
          <w:iCs/>
          <w:sz w:val="22"/>
          <w:szCs w:val="22"/>
        </w:rPr>
        <w:t>Social Norms Theory.</w:t>
      </w:r>
      <w:r w:rsidRPr="00CE461E">
        <w:rPr>
          <w:rFonts w:ascii="Arial" w:hAnsi="Arial" w:cs="Arial"/>
          <w:sz w:val="22"/>
          <w:szCs w:val="22"/>
        </w:rPr>
        <w:t xml:space="preserve"> Boston: Boston University School of Public Health.</w:t>
      </w:r>
      <w:r w:rsidR="00E557B4" w:rsidRPr="00CE461E">
        <w:rPr>
          <w:rFonts w:ascii="Arial" w:hAnsi="Arial" w:cs="Arial"/>
          <w:sz w:val="22"/>
          <w:szCs w:val="22"/>
        </w:rPr>
        <w:t xml:space="preserve"> </w:t>
      </w:r>
      <w:hyperlink r:id="rId27" w:history="1">
        <w:r w:rsidR="00E557B4" w:rsidRPr="00CE461E">
          <w:rPr>
            <w:rStyle w:val="Hyperlink"/>
            <w:rFonts w:ascii="Arial" w:hAnsi="Arial" w:cs="Arial"/>
            <w:sz w:val="22"/>
            <w:szCs w:val="22"/>
          </w:rPr>
          <w:t>https://sphweb.bumc.bu.edu/otlt/mph-modules/sb/behavioralchangetheories/BehavioralChangeTheories3.html</w:t>
        </w:r>
      </w:hyperlink>
      <w:r w:rsidR="00E557B4" w:rsidRPr="00CE461E">
        <w:rPr>
          <w:rFonts w:ascii="Arial" w:hAnsi="Arial" w:cs="Arial"/>
          <w:sz w:val="22"/>
          <w:szCs w:val="22"/>
        </w:rPr>
        <w:t xml:space="preserve"> </w:t>
      </w:r>
    </w:p>
    <w:p w14:paraId="028650A9" w14:textId="6CF6F385"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Leming-Lee, S., Crutcher, T. D., &amp; Kennedy, B. B. (2017). The lean methodology course: Transformational learning. </w:t>
      </w:r>
      <w:r w:rsidRPr="00CE461E">
        <w:rPr>
          <w:rFonts w:ascii="Arial" w:hAnsi="Arial" w:cs="Arial"/>
          <w:i/>
          <w:iCs/>
          <w:sz w:val="22"/>
          <w:szCs w:val="22"/>
        </w:rPr>
        <w:t>The Journal for Nurse Practitioners</w:t>
      </w:r>
      <w:r w:rsidRPr="00CE461E">
        <w:rPr>
          <w:rFonts w:ascii="Arial" w:hAnsi="Arial" w:cs="Arial"/>
          <w:sz w:val="22"/>
          <w:szCs w:val="22"/>
        </w:rPr>
        <w:t>, </w:t>
      </w:r>
      <w:r w:rsidRPr="00CE461E">
        <w:rPr>
          <w:rFonts w:ascii="Arial" w:hAnsi="Arial" w:cs="Arial"/>
          <w:i/>
          <w:iCs/>
          <w:sz w:val="22"/>
          <w:szCs w:val="22"/>
        </w:rPr>
        <w:t>13</w:t>
      </w:r>
      <w:r w:rsidRPr="00CE461E">
        <w:rPr>
          <w:rFonts w:ascii="Arial" w:hAnsi="Arial" w:cs="Arial"/>
          <w:sz w:val="22"/>
          <w:szCs w:val="22"/>
        </w:rPr>
        <w:t>(9), e415-e421.</w:t>
      </w:r>
      <w:r w:rsidR="00E557B4" w:rsidRPr="00CE461E">
        <w:rPr>
          <w:rFonts w:ascii="Arial" w:hAnsi="Arial" w:cs="Arial"/>
          <w:sz w:val="22"/>
          <w:szCs w:val="22"/>
        </w:rPr>
        <w:t xml:space="preserve"> </w:t>
      </w:r>
      <w:hyperlink r:id="rId28" w:history="1">
        <w:r w:rsidR="00E557B4" w:rsidRPr="00CE461E">
          <w:rPr>
            <w:rStyle w:val="Hyperlink"/>
            <w:rFonts w:ascii="Arial" w:hAnsi="Arial" w:cs="Arial"/>
            <w:sz w:val="22"/>
            <w:szCs w:val="22"/>
          </w:rPr>
          <w:t>https://doi.org/10.1016/j.nurpra.2017.06.022</w:t>
        </w:r>
      </w:hyperlink>
      <w:r w:rsidR="00E557B4" w:rsidRPr="00CE461E">
        <w:rPr>
          <w:rFonts w:ascii="Arial" w:hAnsi="Arial" w:cs="Arial"/>
          <w:sz w:val="22"/>
          <w:szCs w:val="22"/>
        </w:rPr>
        <w:t xml:space="preserve"> </w:t>
      </w:r>
    </w:p>
    <w:p w14:paraId="75D11931" w14:textId="2867FE4E"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Ma et al. (2019). "Effects of honor code reminders on university students’ cheating in </w:t>
      </w:r>
      <w:proofErr w:type="spellStart"/>
      <w:r w:rsidRPr="00CE461E">
        <w:rPr>
          <w:rFonts w:ascii="Arial" w:hAnsi="Arial" w:cs="Arial"/>
          <w:sz w:val="22"/>
          <w:szCs w:val="22"/>
        </w:rPr>
        <w:t>unproctored</w:t>
      </w:r>
      <w:proofErr w:type="spellEnd"/>
      <w:r w:rsidRPr="00CE461E">
        <w:rPr>
          <w:rFonts w:ascii="Arial" w:hAnsi="Arial" w:cs="Arial"/>
          <w:sz w:val="22"/>
          <w:szCs w:val="22"/>
        </w:rPr>
        <w:t xml:space="preserve"> exams: A double-blind randomized controlled field study." </w:t>
      </w:r>
      <w:r w:rsidRPr="00CE461E">
        <w:rPr>
          <w:rFonts w:ascii="Arial" w:hAnsi="Arial" w:cs="Arial"/>
          <w:i/>
          <w:iCs/>
          <w:sz w:val="22"/>
          <w:szCs w:val="22"/>
        </w:rPr>
        <w:t>Contemporary Educational Psychology</w:t>
      </w:r>
      <w:r w:rsidRPr="00CE461E">
        <w:rPr>
          <w:rFonts w:ascii="Arial" w:hAnsi="Arial" w:cs="Arial"/>
          <w:sz w:val="22"/>
          <w:szCs w:val="22"/>
        </w:rPr>
        <w:t> </w:t>
      </w:r>
      <w:r w:rsidRPr="00CE461E">
        <w:rPr>
          <w:rFonts w:ascii="Arial" w:hAnsi="Arial" w:cs="Arial"/>
          <w:i/>
          <w:iCs/>
          <w:sz w:val="22"/>
          <w:szCs w:val="22"/>
        </w:rPr>
        <w:t>75</w:t>
      </w:r>
      <w:r w:rsidRPr="00CE461E">
        <w:rPr>
          <w:rFonts w:ascii="Arial" w:hAnsi="Arial" w:cs="Arial"/>
          <w:sz w:val="22"/>
          <w:szCs w:val="22"/>
        </w:rPr>
        <w:t>: 102213.</w:t>
      </w:r>
      <w:r w:rsidR="004B355E" w:rsidRPr="00CE461E">
        <w:rPr>
          <w:rFonts w:ascii="Arial" w:hAnsi="Arial" w:cs="Arial"/>
          <w:sz w:val="22"/>
          <w:szCs w:val="22"/>
        </w:rPr>
        <w:t xml:space="preserve"> </w:t>
      </w:r>
      <w:hyperlink r:id="rId29" w:history="1">
        <w:r w:rsidR="004B355E" w:rsidRPr="00CE461E">
          <w:rPr>
            <w:rStyle w:val="Hyperlink"/>
            <w:rFonts w:ascii="Arial" w:hAnsi="Arial" w:cs="Arial"/>
            <w:sz w:val="22"/>
            <w:szCs w:val="22"/>
          </w:rPr>
          <w:t>https://doi.org/10.1016/j.cedpsych.2023.102213</w:t>
        </w:r>
      </w:hyperlink>
      <w:r w:rsidR="004B355E" w:rsidRPr="00CE461E">
        <w:rPr>
          <w:rFonts w:ascii="Arial" w:hAnsi="Arial" w:cs="Arial"/>
          <w:sz w:val="22"/>
          <w:szCs w:val="22"/>
        </w:rPr>
        <w:t xml:space="preserve"> </w:t>
      </w:r>
      <w:r w:rsidR="008951F7" w:rsidRPr="00CE461E">
        <w:rPr>
          <w:rFonts w:ascii="Arial" w:hAnsi="Arial" w:cs="Arial"/>
          <w:sz w:val="22"/>
          <w:szCs w:val="22"/>
        </w:rPr>
        <w:t xml:space="preserve"> </w:t>
      </w:r>
    </w:p>
    <w:p w14:paraId="71C056AD" w14:textId="2EB3ADF9"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Okorodudu, G. N. (2013). Peer pressure and socioeconomic status as predictors of student's attitude to examination malpractice in Nigeria. </w:t>
      </w:r>
      <w:r w:rsidRPr="00CE461E">
        <w:rPr>
          <w:rFonts w:ascii="Arial" w:hAnsi="Arial" w:cs="Arial"/>
          <w:i/>
          <w:iCs/>
          <w:sz w:val="22"/>
          <w:szCs w:val="22"/>
        </w:rPr>
        <w:t>International Journal of Education</w:t>
      </w:r>
      <w:r w:rsidRPr="00CE461E">
        <w:rPr>
          <w:rFonts w:ascii="Arial" w:hAnsi="Arial" w:cs="Arial"/>
          <w:sz w:val="22"/>
          <w:szCs w:val="22"/>
        </w:rPr>
        <w:t>, </w:t>
      </w:r>
      <w:r w:rsidRPr="00CE461E">
        <w:rPr>
          <w:rFonts w:ascii="Arial" w:hAnsi="Arial" w:cs="Arial"/>
          <w:i/>
          <w:iCs/>
          <w:sz w:val="22"/>
          <w:szCs w:val="22"/>
        </w:rPr>
        <w:t>5</w:t>
      </w:r>
      <w:r w:rsidRPr="00CE461E">
        <w:rPr>
          <w:rFonts w:ascii="Arial" w:hAnsi="Arial" w:cs="Arial"/>
          <w:sz w:val="22"/>
          <w:szCs w:val="22"/>
        </w:rPr>
        <w:t>(1), 36.</w:t>
      </w:r>
      <w:r w:rsidR="008951F7" w:rsidRPr="00CE461E">
        <w:rPr>
          <w:rFonts w:ascii="Arial" w:hAnsi="Arial" w:cs="Arial"/>
          <w:sz w:val="22"/>
          <w:szCs w:val="22"/>
        </w:rPr>
        <w:t xml:space="preserve"> https://doi.org/10.5296/ije.v5i1.2532</w:t>
      </w:r>
    </w:p>
    <w:p w14:paraId="7ACA0E93" w14:textId="77777777" w:rsidR="00F342A1" w:rsidRPr="000E05FD" w:rsidRDefault="00F342A1" w:rsidP="00CE461E">
      <w:pPr>
        <w:pStyle w:val="BodyText"/>
        <w:spacing w:before="240" w:after="160"/>
        <w:jc w:val="both"/>
        <w:rPr>
          <w:rFonts w:ascii="Arial" w:hAnsi="Arial" w:cs="Arial"/>
          <w:sz w:val="22"/>
          <w:szCs w:val="22"/>
        </w:rPr>
      </w:pPr>
      <w:proofErr w:type="spellStart"/>
      <w:r w:rsidRPr="000E05FD">
        <w:rPr>
          <w:rFonts w:ascii="Arial" w:hAnsi="Arial" w:cs="Arial"/>
          <w:sz w:val="22"/>
          <w:szCs w:val="22"/>
        </w:rPr>
        <w:t>Orodho</w:t>
      </w:r>
      <w:proofErr w:type="spellEnd"/>
      <w:r w:rsidRPr="000E05FD">
        <w:rPr>
          <w:rFonts w:ascii="Arial" w:hAnsi="Arial" w:cs="Arial"/>
          <w:sz w:val="22"/>
          <w:szCs w:val="22"/>
        </w:rPr>
        <w:t xml:space="preserve">, J. A. (2009). </w:t>
      </w:r>
      <w:r w:rsidRPr="000E05FD">
        <w:rPr>
          <w:rFonts w:ascii="Arial" w:hAnsi="Arial" w:cs="Arial"/>
          <w:i/>
          <w:iCs/>
          <w:sz w:val="22"/>
          <w:szCs w:val="22"/>
        </w:rPr>
        <w:t>Element of Education and Social Science Research Methods</w:t>
      </w:r>
      <w:r w:rsidRPr="000E05FD">
        <w:rPr>
          <w:rFonts w:ascii="Arial" w:hAnsi="Arial" w:cs="Arial"/>
          <w:sz w:val="22"/>
          <w:szCs w:val="22"/>
        </w:rPr>
        <w:t xml:space="preserve">. </w:t>
      </w:r>
      <w:proofErr w:type="spellStart"/>
      <w:r w:rsidRPr="000E05FD">
        <w:rPr>
          <w:rFonts w:ascii="Arial" w:hAnsi="Arial" w:cs="Arial"/>
          <w:sz w:val="22"/>
          <w:szCs w:val="22"/>
        </w:rPr>
        <w:t>Maseno</w:t>
      </w:r>
      <w:proofErr w:type="spellEnd"/>
      <w:r w:rsidRPr="000E05FD">
        <w:rPr>
          <w:rFonts w:ascii="Arial" w:hAnsi="Arial" w:cs="Arial"/>
          <w:sz w:val="22"/>
          <w:szCs w:val="22"/>
        </w:rPr>
        <w:t xml:space="preserve">: </w:t>
      </w:r>
      <w:proofErr w:type="spellStart"/>
      <w:r w:rsidRPr="000E05FD">
        <w:rPr>
          <w:rFonts w:ascii="Arial" w:hAnsi="Arial" w:cs="Arial"/>
          <w:sz w:val="22"/>
          <w:szCs w:val="22"/>
        </w:rPr>
        <w:t>Kanezja</w:t>
      </w:r>
      <w:proofErr w:type="spellEnd"/>
      <w:r w:rsidRPr="000E05FD">
        <w:rPr>
          <w:rFonts w:ascii="Arial" w:hAnsi="Arial" w:cs="Arial"/>
          <w:sz w:val="22"/>
          <w:szCs w:val="22"/>
        </w:rPr>
        <w:t xml:space="preserve"> publisher. </w:t>
      </w:r>
    </w:p>
    <w:p w14:paraId="349E149D" w14:textId="05ED009B"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PWPER (2023). </w:t>
      </w:r>
      <w:r w:rsidRPr="00CE461E">
        <w:rPr>
          <w:rFonts w:ascii="Arial" w:hAnsi="Arial" w:cs="Arial"/>
          <w:i/>
          <w:iCs/>
          <w:sz w:val="22"/>
          <w:szCs w:val="22"/>
        </w:rPr>
        <w:t>Transforming education, training and research for sustainable development in Kenya</w:t>
      </w:r>
      <w:r w:rsidRPr="00CE461E">
        <w:rPr>
          <w:rFonts w:ascii="Arial" w:hAnsi="Arial" w:cs="Arial"/>
          <w:sz w:val="22"/>
          <w:szCs w:val="22"/>
        </w:rPr>
        <w:t>. Nairobi: Government Printers.</w:t>
      </w:r>
      <w:r w:rsidR="00936B00" w:rsidRPr="00CE461E">
        <w:rPr>
          <w:rFonts w:ascii="Arial" w:hAnsi="Arial" w:cs="Arial"/>
          <w:sz w:val="22"/>
          <w:szCs w:val="22"/>
        </w:rPr>
        <w:t xml:space="preserve"> </w:t>
      </w:r>
      <w:hyperlink r:id="rId30" w:history="1">
        <w:r w:rsidR="00936B00" w:rsidRPr="00CE461E">
          <w:rPr>
            <w:rStyle w:val="Hyperlink"/>
            <w:rFonts w:ascii="Arial" w:hAnsi="Arial" w:cs="Arial"/>
            <w:sz w:val="22"/>
            <w:szCs w:val="22"/>
          </w:rPr>
          <w:t>https://www.education.go.ke/index.php/downloads/category/2-reports?download=166:report-of-the-presidential-working-party-on-education-reform</w:t>
        </w:r>
      </w:hyperlink>
      <w:r w:rsidR="00936B00" w:rsidRPr="00CE461E">
        <w:rPr>
          <w:rFonts w:ascii="Arial" w:hAnsi="Arial" w:cs="Arial"/>
          <w:sz w:val="22"/>
          <w:szCs w:val="22"/>
        </w:rPr>
        <w:t xml:space="preserve"> </w:t>
      </w:r>
    </w:p>
    <w:p w14:paraId="2F89A493"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lastRenderedPageBreak/>
        <w:t xml:space="preserve">Rogers, E., &amp; Wright, L. (2020). Exam integrity and the pressure of career aspirations. </w:t>
      </w:r>
      <w:r w:rsidRPr="00CE461E">
        <w:rPr>
          <w:rFonts w:ascii="Arial" w:hAnsi="Arial" w:cs="Arial"/>
          <w:i/>
          <w:iCs/>
          <w:sz w:val="22"/>
          <w:szCs w:val="22"/>
        </w:rPr>
        <w:t>Journal of Educational Studies</w:t>
      </w:r>
      <w:r w:rsidRPr="00CE461E">
        <w:rPr>
          <w:rFonts w:ascii="Arial" w:hAnsi="Arial" w:cs="Arial"/>
          <w:sz w:val="22"/>
          <w:szCs w:val="22"/>
        </w:rPr>
        <w:t>,</w:t>
      </w:r>
      <w:r w:rsidRPr="00CE461E">
        <w:rPr>
          <w:rFonts w:ascii="Arial" w:hAnsi="Arial" w:cs="Arial"/>
          <w:i/>
          <w:iCs/>
          <w:sz w:val="22"/>
          <w:szCs w:val="22"/>
        </w:rPr>
        <w:t xml:space="preserve"> 21</w:t>
      </w:r>
      <w:r w:rsidRPr="00CE461E">
        <w:rPr>
          <w:rFonts w:ascii="Arial" w:hAnsi="Arial" w:cs="Arial"/>
          <w:sz w:val="22"/>
          <w:szCs w:val="22"/>
        </w:rPr>
        <w:t>(1), 67-78.</w:t>
      </w:r>
    </w:p>
    <w:p w14:paraId="4E7B7790"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Romney, M. and P. </w:t>
      </w:r>
      <w:proofErr w:type="spellStart"/>
      <w:r w:rsidRPr="00CE461E">
        <w:rPr>
          <w:rFonts w:ascii="Arial" w:hAnsi="Arial" w:cs="Arial"/>
          <w:sz w:val="22"/>
          <w:szCs w:val="22"/>
        </w:rPr>
        <w:t>Steinbart</w:t>
      </w:r>
      <w:proofErr w:type="spellEnd"/>
      <w:r w:rsidRPr="00CE461E">
        <w:rPr>
          <w:rFonts w:ascii="Arial" w:hAnsi="Arial" w:cs="Arial"/>
          <w:sz w:val="22"/>
          <w:szCs w:val="22"/>
        </w:rPr>
        <w:t xml:space="preserve"> (2013). Accounting Information Systems Ninth edition, Prentice Hall. Upper Saddle River, NJ, 2003.Safety. </w:t>
      </w:r>
      <w:r w:rsidRPr="00CE461E">
        <w:rPr>
          <w:rFonts w:ascii="Arial" w:hAnsi="Arial" w:cs="Arial"/>
          <w:i/>
          <w:iCs/>
          <w:sz w:val="22"/>
          <w:szCs w:val="22"/>
        </w:rPr>
        <w:t>Proceedings of the National Academy of Sciences, 108</w:t>
      </w:r>
      <w:r w:rsidRPr="00CE461E">
        <w:rPr>
          <w:rFonts w:ascii="Arial" w:hAnsi="Arial" w:cs="Arial"/>
          <w:sz w:val="22"/>
          <w:szCs w:val="22"/>
        </w:rPr>
        <w:t>(7), 2693-2698.</w:t>
      </w:r>
    </w:p>
    <w:p w14:paraId="71A6B92F"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Smith, A., &amp; Johnson, B. (2017). Academic success and its impact on future career opportunities. </w:t>
      </w:r>
      <w:r w:rsidRPr="00CE461E">
        <w:rPr>
          <w:rFonts w:ascii="Arial" w:hAnsi="Arial" w:cs="Arial"/>
          <w:i/>
          <w:iCs/>
          <w:sz w:val="22"/>
          <w:szCs w:val="22"/>
        </w:rPr>
        <w:t>Journal of Academic Integrity</w:t>
      </w:r>
      <w:r w:rsidRPr="00CE461E">
        <w:rPr>
          <w:rFonts w:ascii="Arial" w:hAnsi="Arial" w:cs="Arial"/>
          <w:sz w:val="22"/>
          <w:szCs w:val="22"/>
        </w:rPr>
        <w:t xml:space="preserve">, </w:t>
      </w:r>
      <w:r w:rsidRPr="00CE461E">
        <w:rPr>
          <w:rFonts w:ascii="Arial" w:hAnsi="Arial" w:cs="Arial"/>
          <w:i/>
          <w:iCs/>
          <w:sz w:val="22"/>
          <w:szCs w:val="22"/>
        </w:rPr>
        <w:t>14</w:t>
      </w:r>
      <w:r w:rsidRPr="00CE461E">
        <w:rPr>
          <w:rFonts w:ascii="Arial" w:hAnsi="Arial" w:cs="Arial"/>
          <w:sz w:val="22"/>
          <w:szCs w:val="22"/>
        </w:rPr>
        <w:t>(2), 45-56.</w:t>
      </w:r>
    </w:p>
    <w:p w14:paraId="241B332B"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Smith, A., &amp; Johnson, B. (2017). Students' perceived benefits of cheating and their correlation to exam integrity. </w:t>
      </w:r>
      <w:r w:rsidRPr="00CE461E">
        <w:rPr>
          <w:rFonts w:ascii="Arial" w:hAnsi="Arial" w:cs="Arial"/>
          <w:i/>
          <w:iCs/>
          <w:sz w:val="22"/>
          <w:szCs w:val="22"/>
        </w:rPr>
        <w:t>Journal of Academic Integrity</w:t>
      </w:r>
      <w:r w:rsidRPr="00CE461E">
        <w:rPr>
          <w:rFonts w:ascii="Arial" w:hAnsi="Arial" w:cs="Arial"/>
          <w:sz w:val="22"/>
          <w:szCs w:val="22"/>
        </w:rPr>
        <w:t xml:space="preserve">, </w:t>
      </w:r>
      <w:r w:rsidRPr="00CE461E">
        <w:rPr>
          <w:rFonts w:ascii="Arial" w:hAnsi="Arial" w:cs="Arial"/>
          <w:i/>
          <w:iCs/>
          <w:sz w:val="22"/>
          <w:szCs w:val="22"/>
        </w:rPr>
        <w:t>13</w:t>
      </w:r>
      <w:r w:rsidRPr="00CE461E">
        <w:rPr>
          <w:rFonts w:ascii="Arial" w:hAnsi="Arial" w:cs="Arial"/>
          <w:sz w:val="22"/>
          <w:szCs w:val="22"/>
        </w:rPr>
        <w:t>(2), 34-45.</w:t>
      </w:r>
    </w:p>
    <w:p w14:paraId="4286AC19"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Smith, A., &amp; Johnson, B. (2018). Cheating in exams: The influence of career aspirations. </w:t>
      </w:r>
      <w:r w:rsidRPr="00CE461E">
        <w:rPr>
          <w:rFonts w:ascii="Arial" w:hAnsi="Arial" w:cs="Arial"/>
          <w:i/>
          <w:iCs/>
          <w:sz w:val="22"/>
          <w:szCs w:val="22"/>
        </w:rPr>
        <w:t>Journal of Academic Integrity</w:t>
      </w:r>
      <w:r w:rsidRPr="00CE461E">
        <w:rPr>
          <w:rFonts w:ascii="Arial" w:hAnsi="Arial" w:cs="Arial"/>
          <w:sz w:val="22"/>
          <w:szCs w:val="22"/>
        </w:rPr>
        <w:t xml:space="preserve">, </w:t>
      </w:r>
      <w:r w:rsidRPr="00CE461E">
        <w:rPr>
          <w:rFonts w:ascii="Arial" w:hAnsi="Arial" w:cs="Arial"/>
          <w:i/>
          <w:iCs/>
          <w:sz w:val="22"/>
          <w:szCs w:val="22"/>
        </w:rPr>
        <w:t>15</w:t>
      </w:r>
      <w:r w:rsidRPr="00CE461E">
        <w:rPr>
          <w:rFonts w:ascii="Arial" w:hAnsi="Arial" w:cs="Arial"/>
          <w:sz w:val="22"/>
          <w:szCs w:val="22"/>
        </w:rPr>
        <w:t>(3), 45-56.</w:t>
      </w:r>
    </w:p>
    <w:p w14:paraId="43850CC1"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Smith, A., &amp; Johnson, B. (2018). The importance of a level playing field in education. </w:t>
      </w:r>
      <w:r w:rsidRPr="00CE461E">
        <w:rPr>
          <w:rFonts w:ascii="Arial" w:hAnsi="Arial" w:cs="Arial"/>
          <w:i/>
          <w:iCs/>
          <w:sz w:val="22"/>
          <w:szCs w:val="22"/>
        </w:rPr>
        <w:t>Journal of Educational Integrity</w:t>
      </w:r>
      <w:r w:rsidRPr="00CE461E">
        <w:rPr>
          <w:rFonts w:ascii="Arial" w:hAnsi="Arial" w:cs="Arial"/>
          <w:sz w:val="22"/>
          <w:szCs w:val="22"/>
        </w:rPr>
        <w:t xml:space="preserve">, </w:t>
      </w:r>
      <w:r w:rsidRPr="00CE461E">
        <w:rPr>
          <w:rFonts w:ascii="Arial" w:hAnsi="Arial" w:cs="Arial"/>
          <w:i/>
          <w:iCs/>
          <w:sz w:val="22"/>
          <w:szCs w:val="22"/>
        </w:rPr>
        <w:t>15</w:t>
      </w:r>
      <w:r w:rsidRPr="00CE461E">
        <w:rPr>
          <w:rFonts w:ascii="Arial" w:hAnsi="Arial" w:cs="Arial"/>
          <w:sz w:val="22"/>
          <w:szCs w:val="22"/>
        </w:rPr>
        <w:t>(2), 34-45.</w:t>
      </w:r>
    </w:p>
    <w:p w14:paraId="62472180" w14:textId="3F4F47D1"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Wells, Joseph T. (2005). </w:t>
      </w:r>
      <w:r w:rsidRPr="00CE461E">
        <w:rPr>
          <w:rFonts w:ascii="Arial" w:hAnsi="Arial" w:cs="Arial"/>
          <w:i/>
          <w:iCs/>
          <w:sz w:val="22"/>
          <w:szCs w:val="22"/>
        </w:rPr>
        <w:t>Principles of Fraud Examination</w:t>
      </w:r>
      <w:r w:rsidRPr="00CE461E">
        <w:rPr>
          <w:rFonts w:ascii="Arial" w:hAnsi="Arial" w:cs="Arial"/>
          <w:sz w:val="22"/>
          <w:szCs w:val="22"/>
        </w:rPr>
        <w:t>. New Jersey: John Wiley &amp; Sons, Inc., Hoboken.</w:t>
      </w:r>
      <w:r w:rsidR="004263A1" w:rsidRPr="00CE461E">
        <w:rPr>
          <w:rFonts w:ascii="Arial" w:hAnsi="Arial" w:cs="Arial"/>
          <w:sz w:val="22"/>
          <w:szCs w:val="22"/>
        </w:rPr>
        <w:t xml:space="preserve"> </w:t>
      </w:r>
      <w:hyperlink r:id="rId31" w:history="1">
        <w:r w:rsidR="004263A1" w:rsidRPr="00CE461E">
          <w:rPr>
            <w:rStyle w:val="Hyperlink"/>
            <w:rFonts w:ascii="Arial" w:hAnsi="Arial" w:cs="Arial"/>
            <w:sz w:val="22"/>
            <w:szCs w:val="22"/>
          </w:rPr>
          <w:t>https://archive.org/details/principlesoffrau00well</w:t>
        </w:r>
      </w:hyperlink>
      <w:r w:rsidR="004263A1" w:rsidRPr="00CE461E">
        <w:rPr>
          <w:rFonts w:ascii="Arial" w:hAnsi="Arial" w:cs="Arial"/>
          <w:sz w:val="22"/>
          <w:szCs w:val="22"/>
        </w:rPr>
        <w:t xml:space="preserve"> </w:t>
      </w:r>
    </w:p>
    <w:p w14:paraId="5DDD2016" w14:textId="77777777" w:rsidR="00F342A1" w:rsidRPr="00CE461E" w:rsidRDefault="00F342A1" w:rsidP="00CE461E">
      <w:pPr>
        <w:spacing w:before="240" w:line="240" w:lineRule="auto"/>
        <w:jc w:val="both"/>
        <w:rPr>
          <w:rFonts w:ascii="Arial" w:hAnsi="Arial" w:cs="Arial"/>
          <w:sz w:val="22"/>
          <w:szCs w:val="22"/>
        </w:rPr>
      </w:pPr>
      <w:r w:rsidRPr="00CE461E">
        <w:rPr>
          <w:rFonts w:ascii="Arial" w:hAnsi="Arial" w:cs="Arial"/>
          <w:sz w:val="22"/>
          <w:szCs w:val="22"/>
        </w:rPr>
        <w:t xml:space="preserve">Williams, T., &amp; Davis, M. (2021). Strategies to reduce cheating driven by career aspirations. </w:t>
      </w:r>
      <w:r w:rsidRPr="00CE461E">
        <w:rPr>
          <w:rFonts w:ascii="Arial" w:hAnsi="Arial" w:cs="Arial"/>
          <w:i/>
          <w:iCs/>
          <w:sz w:val="22"/>
          <w:szCs w:val="22"/>
        </w:rPr>
        <w:t>Journal of Academic Ethics</w:t>
      </w:r>
      <w:r w:rsidRPr="00CE461E">
        <w:rPr>
          <w:rFonts w:ascii="Arial" w:hAnsi="Arial" w:cs="Arial"/>
          <w:sz w:val="22"/>
          <w:szCs w:val="22"/>
        </w:rPr>
        <w:t xml:space="preserve">, </w:t>
      </w:r>
      <w:r w:rsidRPr="00CE461E">
        <w:rPr>
          <w:rFonts w:ascii="Arial" w:hAnsi="Arial" w:cs="Arial"/>
          <w:i/>
          <w:iCs/>
          <w:sz w:val="22"/>
          <w:szCs w:val="22"/>
        </w:rPr>
        <w:t>18</w:t>
      </w:r>
      <w:r w:rsidRPr="00CE461E">
        <w:rPr>
          <w:rFonts w:ascii="Arial" w:hAnsi="Arial" w:cs="Arial"/>
          <w:sz w:val="22"/>
          <w:szCs w:val="22"/>
        </w:rPr>
        <w:t>(2), 34-45.</w:t>
      </w:r>
    </w:p>
    <w:p w14:paraId="0C55517F" w14:textId="77777777" w:rsidR="00F6081B" w:rsidRPr="000E05FD" w:rsidRDefault="00F6081B" w:rsidP="006F633E">
      <w:pPr>
        <w:spacing w:line="276" w:lineRule="auto"/>
        <w:jc w:val="both"/>
        <w:rPr>
          <w:rFonts w:ascii="Arial" w:hAnsi="Arial" w:cs="Arial"/>
          <w:sz w:val="22"/>
          <w:szCs w:val="22"/>
        </w:rPr>
      </w:pPr>
    </w:p>
    <w:p w14:paraId="3BF4FB94" w14:textId="77777777" w:rsidR="005A7536" w:rsidRPr="000E05FD" w:rsidRDefault="005A7536" w:rsidP="006F633E">
      <w:pPr>
        <w:spacing w:line="276" w:lineRule="auto"/>
        <w:jc w:val="both"/>
        <w:rPr>
          <w:rFonts w:ascii="Arial" w:hAnsi="Arial" w:cs="Arial"/>
          <w:sz w:val="22"/>
          <w:szCs w:val="22"/>
        </w:rPr>
      </w:pPr>
    </w:p>
    <w:sectPr w:rsidR="005A7536" w:rsidRPr="000E05FD" w:rsidSect="000B394A">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C32CD" w14:textId="77777777" w:rsidR="003E5828" w:rsidRDefault="003E5828" w:rsidP="00EC1EF8">
      <w:pPr>
        <w:spacing w:after="0" w:line="240" w:lineRule="auto"/>
      </w:pPr>
      <w:r>
        <w:separator/>
      </w:r>
    </w:p>
  </w:endnote>
  <w:endnote w:type="continuationSeparator" w:id="0">
    <w:p w14:paraId="4D3E3390" w14:textId="77777777" w:rsidR="003E5828" w:rsidRDefault="003E5828" w:rsidP="00EC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C300" w14:textId="77777777" w:rsidR="005E77D0" w:rsidRDefault="005E7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602227"/>
      <w:docPartObj>
        <w:docPartGallery w:val="Page Numbers (Bottom of Page)"/>
        <w:docPartUnique/>
      </w:docPartObj>
    </w:sdtPr>
    <w:sdtEndPr>
      <w:rPr>
        <w:noProof/>
      </w:rPr>
    </w:sdtEndPr>
    <w:sdtContent>
      <w:p w14:paraId="611F1B18" w14:textId="5E1A853A" w:rsidR="00EC1EF8" w:rsidRDefault="00EC1E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E267B" w14:textId="77777777" w:rsidR="00EC1EF8" w:rsidRDefault="00EC1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4E1A" w14:textId="77777777" w:rsidR="005E77D0" w:rsidRDefault="005E7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5C9E7" w14:textId="77777777" w:rsidR="003E5828" w:rsidRDefault="003E5828" w:rsidP="00EC1EF8">
      <w:pPr>
        <w:spacing w:after="0" w:line="240" w:lineRule="auto"/>
      </w:pPr>
      <w:r>
        <w:separator/>
      </w:r>
    </w:p>
  </w:footnote>
  <w:footnote w:type="continuationSeparator" w:id="0">
    <w:p w14:paraId="244276EF" w14:textId="77777777" w:rsidR="003E5828" w:rsidRDefault="003E5828" w:rsidP="00EC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7E90" w14:textId="774B27C8" w:rsidR="005E77D0" w:rsidRDefault="005E77D0">
    <w:pPr>
      <w:pStyle w:val="Header"/>
    </w:pPr>
    <w:r>
      <w:rPr>
        <w:noProof/>
      </w:rPr>
      <w:pict w14:anchorId="1276E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659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7408" w14:textId="77686786" w:rsidR="005E77D0" w:rsidRDefault="005E77D0">
    <w:pPr>
      <w:pStyle w:val="Header"/>
    </w:pPr>
    <w:r>
      <w:rPr>
        <w:noProof/>
      </w:rPr>
      <w:pict w14:anchorId="54B67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659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FB44A" w14:textId="43F42D3B" w:rsidR="005E77D0" w:rsidRDefault="005E77D0">
    <w:pPr>
      <w:pStyle w:val="Header"/>
    </w:pPr>
    <w:r>
      <w:rPr>
        <w:noProof/>
      </w:rPr>
      <w:pict w14:anchorId="3DBAD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659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48C"/>
    <w:multiLevelType w:val="hybridMultilevel"/>
    <w:tmpl w:val="ED1AC384"/>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18C579C6"/>
    <w:multiLevelType w:val="hybridMultilevel"/>
    <w:tmpl w:val="D39EF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D69CB"/>
    <w:multiLevelType w:val="hybridMultilevel"/>
    <w:tmpl w:val="E20A53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62174C"/>
    <w:multiLevelType w:val="multilevel"/>
    <w:tmpl w:val="D7BE28F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873257"/>
    <w:multiLevelType w:val="hybridMultilevel"/>
    <w:tmpl w:val="E94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E1344"/>
    <w:multiLevelType w:val="hybridMultilevel"/>
    <w:tmpl w:val="2D60231A"/>
    <w:lvl w:ilvl="0" w:tplc="5DE6C498">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30694B"/>
    <w:multiLevelType w:val="multilevel"/>
    <w:tmpl w:val="64B4A670"/>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0D36D2"/>
    <w:multiLevelType w:val="multilevel"/>
    <w:tmpl w:val="AEF224FE"/>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FDF1918"/>
    <w:multiLevelType w:val="hybridMultilevel"/>
    <w:tmpl w:val="3C4A59AA"/>
    <w:lvl w:ilvl="0" w:tplc="5C7A3B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D6105"/>
    <w:multiLevelType w:val="hybridMultilevel"/>
    <w:tmpl w:val="6380C486"/>
    <w:lvl w:ilvl="0" w:tplc="C05AE666">
      <w:start w:val="1"/>
      <w:numFmt w:val="lowerRoman"/>
      <w:lvlText w:val="%1)"/>
      <w:lvlJc w:val="left"/>
      <w:pPr>
        <w:ind w:left="1080" w:hanging="72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C4EBA"/>
    <w:multiLevelType w:val="hybridMultilevel"/>
    <w:tmpl w:val="0484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B024D8F"/>
    <w:multiLevelType w:val="hybridMultilevel"/>
    <w:tmpl w:val="6582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71541"/>
    <w:multiLevelType w:val="hybridMultilevel"/>
    <w:tmpl w:val="EB523508"/>
    <w:lvl w:ilvl="0" w:tplc="4C3E4F32">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4717D8B"/>
    <w:multiLevelType w:val="multilevel"/>
    <w:tmpl w:val="4C1C40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495584"/>
    <w:multiLevelType w:val="hybridMultilevel"/>
    <w:tmpl w:val="CABAC5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5F5789"/>
    <w:multiLevelType w:val="hybridMultilevel"/>
    <w:tmpl w:val="BD7CF9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6C44D7"/>
    <w:multiLevelType w:val="multilevel"/>
    <w:tmpl w:val="92D0D1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DCF4331"/>
    <w:multiLevelType w:val="hybridMultilevel"/>
    <w:tmpl w:val="C79C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6395B"/>
    <w:multiLevelType w:val="hybridMultilevel"/>
    <w:tmpl w:val="2B72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6"/>
  </w:num>
  <w:num w:numId="4">
    <w:abstractNumId w:val="9"/>
  </w:num>
  <w:num w:numId="5">
    <w:abstractNumId w:val="11"/>
  </w:num>
  <w:num w:numId="6">
    <w:abstractNumId w:val="17"/>
  </w:num>
  <w:num w:numId="7">
    <w:abstractNumId w:val="4"/>
  </w:num>
  <w:num w:numId="8">
    <w:abstractNumId w:val="2"/>
  </w:num>
  <w:num w:numId="9">
    <w:abstractNumId w:val="18"/>
  </w:num>
  <w:num w:numId="10">
    <w:abstractNumId w:val="13"/>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8"/>
  </w:num>
  <w:num w:numId="17">
    <w:abstractNumId w:val="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36"/>
    <w:rsid w:val="00005E3C"/>
    <w:rsid w:val="00046959"/>
    <w:rsid w:val="000473DC"/>
    <w:rsid w:val="00060AF8"/>
    <w:rsid w:val="00062A81"/>
    <w:rsid w:val="00066EF8"/>
    <w:rsid w:val="00081249"/>
    <w:rsid w:val="00093E9B"/>
    <w:rsid w:val="000A0436"/>
    <w:rsid w:val="000A6803"/>
    <w:rsid w:val="000B394A"/>
    <w:rsid w:val="000D09C4"/>
    <w:rsid w:val="000D4CE9"/>
    <w:rsid w:val="000E05FD"/>
    <w:rsid w:val="000E294C"/>
    <w:rsid w:val="000F33A6"/>
    <w:rsid w:val="00106866"/>
    <w:rsid w:val="00130818"/>
    <w:rsid w:val="00141184"/>
    <w:rsid w:val="00157D33"/>
    <w:rsid w:val="00190FF3"/>
    <w:rsid w:val="0019343F"/>
    <w:rsid w:val="001957A6"/>
    <w:rsid w:val="001A1725"/>
    <w:rsid w:val="001B3DD7"/>
    <w:rsid w:val="001B5567"/>
    <w:rsid w:val="001B6E5F"/>
    <w:rsid w:val="001D32FD"/>
    <w:rsid w:val="001D420A"/>
    <w:rsid w:val="001E6AC6"/>
    <w:rsid w:val="001F1DB0"/>
    <w:rsid w:val="00204248"/>
    <w:rsid w:val="00211BFB"/>
    <w:rsid w:val="002124B4"/>
    <w:rsid w:val="00233E1C"/>
    <w:rsid w:val="00235EAC"/>
    <w:rsid w:val="002409C8"/>
    <w:rsid w:val="00246D0B"/>
    <w:rsid w:val="00280AA6"/>
    <w:rsid w:val="002B552B"/>
    <w:rsid w:val="002C6499"/>
    <w:rsid w:val="002D6259"/>
    <w:rsid w:val="002E06EC"/>
    <w:rsid w:val="002F142C"/>
    <w:rsid w:val="003063E3"/>
    <w:rsid w:val="00311D4F"/>
    <w:rsid w:val="00313601"/>
    <w:rsid w:val="00351EA6"/>
    <w:rsid w:val="00361D73"/>
    <w:rsid w:val="003770CF"/>
    <w:rsid w:val="00384523"/>
    <w:rsid w:val="00391678"/>
    <w:rsid w:val="00397A3F"/>
    <w:rsid w:val="003A5B8E"/>
    <w:rsid w:val="003A66A0"/>
    <w:rsid w:val="003C30CD"/>
    <w:rsid w:val="003D0549"/>
    <w:rsid w:val="003E5828"/>
    <w:rsid w:val="003F084A"/>
    <w:rsid w:val="003F4B97"/>
    <w:rsid w:val="003F68DD"/>
    <w:rsid w:val="00412EF9"/>
    <w:rsid w:val="004168BE"/>
    <w:rsid w:val="004174F3"/>
    <w:rsid w:val="004263A1"/>
    <w:rsid w:val="00432ABA"/>
    <w:rsid w:val="0043476D"/>
    <w:rsid w:val="004532DB"/>
    <w:rsid w:val="0046248B"/>
    <w:rsid w:val="004706B0"/>
    <w:rsid w:val="004719E9"/>
    <w:rsid w:val="004865DC"/>
    <w:rsid w:val="004A103B"/>
    <w:rsid w:val="004A105F"/>
    <w:rsid w:val="004A711D"/>
    <w:rsid w:val="004B355E"/>
    <w:rsid w:val="004C09A6"/>
    <w:rsid w:val="004C7C34"/>
    <w:rsid w:val="004E07A2"/>
    <w:rsid w:val="004E56C8"/>
    <w:rsid w:val="004F72CE"/>
    <w:rsid w:val="005315E8"/>
    <w:rsid w:val="00533524"/>
    <w:rsid w:val="00542D6A"/>
    <w:rsid w:val="005462C6"/>
    <w:rsid w:val="00560500"/>
    <w:rsid w:val="00566639"/>
    <w:rsid w:val="00566C50"/>
    <w:rsid w:val="00576311"/>
    <w:rsid w:val="005806A8"/>
    <w:rsid w:val="005972E9"/>
    <w:rsid w:val="005A7536"/>
    <w:rsid w:val="005B2FBC"/>
    <w:rsid w:val="005B610B"/>
    <w:rsid w:val="005B64A5"/>
    <w:rsid w:val="005C2A5F"/>
    <w:rsid w:val="005E2102"/>
    <w:rsid w:val="005E77D0"/>
    <w:rsid w:val="005F6565"/>
    <w:rsid w:val="0062487E"/>
    <w:rsid w:val="00624FB4"/>
    <w:rsid w:val="0062640F"/>
    <w:rsid w:val="00634BC7"/>
    <w:rsid w:val="0064057C"/>
    <w:rsid w:val="006437FC"/>
    <w:rsid w:val="006453E4"/>
    <w:rsid w:val="00645CEB"/>
    <w:rsid w:val="006647B3"/>
    <w:rsid w:val="00675C0A"/>
    <w:rsid w:val="00690F01"/>
    <w:rsid w:val="006A009D"/>
    <w:rsid w:val="006A47FA"/>
    <w:rsid w:val="006E624B"/>
    <w:rsid w:val="006E63BA"/>
    <w:rsid w:val="006F374F"/>
    <w:rsid w:val="006F633E"/>
    <w:rsid w:val="006F7D1B"/>
    <w:rsid w:val="00714470"/>
    <w:rsid w:val="0073029F"/>
    <w:rsid w:val="0073658D"/>
    <w:rsid w:val="00736EEE"/>
    <w:rsid w:val="0075256D"/>
    <w:rsid w:val="00760F59"/>
    <w:rsid w:val="0076317E"/>
    <w:rsid w:val="00765E7F"/>
    <w:rsid w:val="00766F13"/>
    <w:rsid w:val="007743B9"/>
    <w:rsid w:val="0078292F"/>
    <w:rsid w:val="007923D0"/>
    <w:rsid w:val="007B625A"/>
    <w:rsid w:val="007C0EDF"/>
    <w:rsid w:val="007D59A4"/>
    <w:rsid w:val="007E1EAF"/>
    <w:rsid w:val="00815C57"/>
    <w:rsid w:val="00817E95"/>
    <w:rsid w:val="008414F7"/>
    <w:rsid w:val="00856EF3"/>
    <w:rsid w:val="0088011C"/>
    <w:rsid w:val="00883883"/>
    <w:rsid w:val="008951F7"/>
    <w:rsid w:val="008E5750"/>
    <w:rsid w:val="008F7252"/>
    <w:rsid w:val="00912E3D"/>
    <w:rsid w:val="009143DA"/>
    <w:rsid w:val="0091450A"/>
    <w:rsid w:val="00936B00"/>
    <w:rsid w:val="00943CE9"/>
    <w:rsid w:val="00946863"/>
    <w:rsid w:val="0095262B"/>
    <w:rsid w:val="0095285B"/>
    <w:rsid w:val="00965D6C"/>
    <w:rsid w:val="009A3C71"/>
    <w:rsid w:val="009C506A"/>
    <w:rsid w:val="009E1C7C"/>
    <w:rsid w:val="009E2B8E"/>
    <w:rsid w:val="009E4CE6"/>
    <w:rsid w:val="00A0344A"/>
    <w:rsid w:val="00A05078"/>
    <w:rsid w:val="00A14D12"/>
    <w:rsid w:val="00A349DE"/>
    <w:rsid w:val="00A4516A"/>
    <w:rsid w:val="00A4545F"/>
    <w:rsid w:val="00A52204"/>
    <w:rsid w:val="00A70AB3"/>
    <w:rsid w:val="00A71600"/>
    <w:rsid w:val="00A71DE9"/>
    <w:rsid w:val="00A86199"/>
    <w:rsid w:val="00AC0462"/>
    <w:rsid w:val="00AC22C9"/>
    <w:rsid w:val="00AE0E17"/>
    <w:rsid w:val="00AE39D9"/>
    <w:rsid w:val="00AF0C08"/>
    <w:rsid w:val="00B16D6B"/>
    <w:rsid w:val="00B23774"/>
    <w:rsid w:val="00B27767"/>
    <w:rsid w:val="00B4004F"/>
    <w:rsid w:val="00B46F9F"/>
    <w:rsid w:val="00B6689A"/>
    <w:rsid w:val="00B718B7"/>
    <w:rsid w:val="00B9249E"/>
    <w:rsid w:val="00BC50B6"/>
    <w:rsid w:val="00BE1EA7"/>
    <w:rsid w:val="00BE21E1"/>
    <w:rsid w:val="00BF6F15"/>
    <w:rsid w:val="00C01E70"/>
    <w:rsid w:val="00C03110"/>
    <w:rsid w:val="00C2089C"/>
    <w:rsid w:val="00C20FF8"/>
    <w:rsid w:val="00C30674"/>
    <w:rsid w:val="00C565B9"/>
    <w:rsid w:val="00C61534"/>
    <w:rsid w:val="00C62E9F"/>
    <w:rsid w:val="00C722C2"/>
    <w:rsid w:val="00C960B0"/>
    <w:rsid w:val="00C973D2"/>
    <w:rsid w:val="00CC05F6"/>
    <w:rsid w:val="00CE2DA1"/>
    <w:rsid w:val="00CE461E"/>
    <w:rsid w:val="00CE534B"/>
    <w:rsid w:val="00CF1A17"/>
    <w:rsid w:val="00D116B4"/>
    <w:rsid w:val="00D14C09"/>
    <w:rsid w:val="00D21A56"/>
    <w:rsid w:val="00D266C0"/>
    <w:rsid w:val="00D36979"/>
    <w:rsid w:val="00D4648E"/>
    <w:rsid w:val="00D5230F"/>
    <w:rsid w:val="00DD37D9"/>
    <w:rsid w:val="00E05548"/>
    <w:rsid w:val="00E22888"/>
    <w:rsid w:val="00E3237B"/>
    <w:rsid w:val="00E3325F"/>
    <w:rsid w:val="00E3484E"/>
    <w:rsid w:val="00E4583E"/>
    <w:rsid w:val="00E5001F"/>
    <w:rsid w:val="00E557B4"/>
    <w:rsid w:val="00E574BE"/>
    <w:rsid w:val="00E57FEF"/>
    <w:rsid w:val="00E80A5F"/>
    <w:rsid w:val="00E87EEE"/>
    <w:rsid w:val="00E93608"/>
    <w:rsid w:val="00EB2ED5"/>
    <w:rsid w:val="00EC1EF8"/>
    <w:rsid w:val="00ED3C7C"/>
    <w:rsid w:val="00EF45D5"/>
    <w:rsid w:val="00EF4BA0"/>
    <w:rsid w:val="00F032FF"/>
    <w:rsid w:val="00F27E89"/>
    <w:rsid w:val="00F342A1"/>
    <w:rsid w:val="00F50EE5"/>
    <w:rsid w:val="00F51BB6"/>
    <w:rsid w:val="00F6081B"/>
    <w:rsid w:val="00F72A5A"/>
    <w:rsid w:val="00F769EE"/>
    <w:rsid w:val="00F96055"/>
    <w:rsid w:val="00FA4505"/>
    <w:rsid w:val="00FB3CEA"/>
    <w:rsid w:val="00FD795F"/>
    <w:rsid w:val="00FE1D4A"/>
    <w:rsid w:val="00FE5990"/>
    <w:rsid w:val="00FF270A"/>
    <w:rsid w:val="00FF3495"/>
    <w:rsid w:val="00FF5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3AA15D"/>
  <w15:chartTrackingRefBased/>
  <w15:docId w15:val="{A7146676-380A-48DF-9C02-67A731D3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536"/>
    <w:rPr>
      <w:rFonts w:eastAsiaTheme="majorEastAsia" w:cstheme="majorBidi"/>
      <w:color w:val="272727" w:themeColor="text1" w:themeTint="D8"/>
    </w:rPr>
  </w:style>
  <w:style w:type="paragraph" w:styleId="Title">
    <w:name w:val="Title"/>
    <w:basedOn w:val="Normal"/>
    <w:next w:val="Normal"/>
    <w:link w:val="TitleChar"/>
    <w:uiPriority w:val="10"/>
    <w:qFormat/>
    <w:rsid w:val="005A7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536"/>
    <w:pPr>
      <w:spacing w:before="160"/>
      <w:jc w:val="center"/>
    </w:pPr>
    <w:rPr>
      <w:i/>
      <w:iCs/>
      <w:color w:val="404040" w:themeColor="text1" w:themeTint="BF"/>
    </w:rPr>
  </w:style>
  <w:style w:type="character" w:customStyle="1" w:styleId="QuoteChar">
    <w:name w:val="Quote Char"/>
    <w:basedOn w:val="DefaultParagraphFont"/>
    <w:link w:val="Quote"/>
    <w:uiPriority w:val="29"/>
    <w:rsid w:val="005A7536"/>
    <w:rPr>
      <w:i/>
      <w:iCs/>
      <w:color w:val="404040" w:themeColor="text1" w:themeTint="BF"/>
    </w:rPr>
  </w:style>
  <w:style w:type="paragraph" w:styleId="ListParagraph">
    <w:name w:val="List Paragraph"/>
    <w:basedOn w:val="Normal"/>
    <w:uiPriority w:val="34"/>
    <w:qFormat/>
    <w:rsid w:val="005A7536"/>
    <w:pPr>
      <w:ind w:left="720"/>
      <w:contextualSpacing/>
    </w:pPr>
  </w:style>
  <w:style w:type="character" w:styleId="IntenseEmphasis">
    <w:name w:val="Intense Emphasis"/>
    <w:basedOn w:val="DefaultParagraphFont"/>
    <w:uiPriority w:val="21"/>
    <w:qFormat/>
    <w:rsid w:val="005A7536"/>
    <w:rPr>
      <w:i/>
      <w:iCs/>
      <w:color w:val="2F5496" w:themeColor="accent1" w:themeShade="BF"/>
    </w:rPr>
  </w:style>
  <w:style w:type="paragraph" w:styleId="IntenseQuote">
    <w:name w:val="Intense Quote"/>
    <w:basedOn w:val="Normal"/>
    <w:next w:val="Normal"/>
    <w:link w:val="IntenseQuoteChar"/>
    <w:uiPriority w:val="30"/>
    <w:qFormat/>
    <w:rsid w:val="005A7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536"/>
    <w:rPr>
      <w:i/>
      <w:iCs/>
      <w:color w:val="2F5496" w:themeColor="accent1" w:themeShade="BF"/>
    </w:rPr>
  </w:style>
  <w:style w:type="character" w:styleId="IntenseReference">
    <w:name w:val="Intense Reference"/>
    <w:basedOn w:val="DefaultParagraphFont"/>
    <w:uiPriority w:val="32"/>
    <w:qFormat/>
    <w:rsid w:val="005A7536"/>
    <w:rPr>
      <w:b/>
      <w:bCs/>
      <w:smallCaps/>
      <w:color w:val="2F5496" w:themeColor="accent1" w:themeShade="BF"/>
      <w:spacing w:val="5"/>
    </w:rPr>
  </w:style>
  <w:style w:type="paragraph" w:styleId="NormalWeb">
    <w:name w:val="Normal (Web)"/>
    <w:basedOn w:val="Normal"/>
    <w:uiPriority w:val="99"/>
    <w:unhideWhenUsed/>
    <w:rsid w:val="005A75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7536"/>
    <w:rPr>
      <w:b/>
      <w:bCs/>
    </w:rPr>
  </w:style>
  <w:style w:type="paragraph" w:styleId="BodyText">
    <w:name w:val="Body Text"/>
    <w:basedOn w:val="Normal"/>
    <w:link w:val="BodyTextChar"/>
    <w:rsid w:val="001D32FD"/>
    <w:pPr>
      <w:widowControl w:val="0"/>
      <w:suppressAutoHyphens/>
      <w:spacing w:after="120" w:line="240" w:lineRule="auto"/>
    </w:pPr>
    <w:rPr>
      <w:rFonts w:ascii="Times New Roman" w:eastAsia="Lucida Sans Unicode" w:hAnsi="Times New Roman" w:cs="Times New Roman"/>
      <w:kern w:val="0"/>
      <w14:ligatures w14:val="none"/>
    </w:rPr>
  </w:style>
  <w:style w:type="character" w:customStyle="1" w:styleId="BodyTextChar">
    <w:name w:val="Body Text Char"/>
    <w:basedOn w:val="DefaultParagraphFont"/>
    <w:link w:val="BodyText"/>
    <w:rsid w:val="001D32FD"/>
    <w:rPr>
      <w:rFonts w:ascii="Times New Roman" w:eastAsia="Lucida Sans Unicode" w:hAnsi="Times New Roman" w:cs="Times New Roman"/>
      <w:kern w:val="0"/>
      <w14:ligatures w14:val="none"/>
    </w:rPr>
  </w:style>
  <w:style w:type="table" w:styleId="TableGrid">
    <w:name w:val="Table Grid"/>
    <w:basedOn w:val="TableNormal"/>
    <w:uiPriority w:val="39"/>
    <w:rsid w:val="009E1C7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311"/>
    <w:rPr>
      <w:color w:val="0563C1" w:themeColor="hyperlink"/>
      <w:u w:val="single"/>
    </w:rPr>
  </w:style>
  <w:style w:type="character" w:styleId="UnresolvedMention">
    <w:name w:val="Unresolved Mention"/>
    <w:basedOn w:val="DefaultParagraphFont"/>
    <w:uiPriority w:val="99"/>
    <w:semiHidden/>
    <w:unhideWhenUsed/>
    <w:rsid w:val="00576311"/>
    <w:rPr>
      <w:color w:val="605E5C"/>
      <w:shd w:val="clear" w:color="auto" w:fill="E1DFDD"/>
    </w:rPr>
  </w:style>
  <w:style w:type="paragraph" w:styleId="Header">
    <w:name w:val="header"/>
    <w:basedOn w:val="Normal"/>
    <w:link w:val="HeaderChar"/>
    <w:uiPriority w:val="99"/>
    <w:unhideWhenUsed/>
    <w:rsid w:val="00EC1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EF8"/>
  </w:style>
  <w:style w:type="paragraph" w:styleId="Footer">
    <w:name w:val="footer"/>
    <w:basedOn w:val="Normal"/>
    <w:link w:val="FooterChar"/>
    <w:uiPriority w:val="99"/>
    <w:unhideWhenUsed/>
    <w:rsid w:val="00EC1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isisgroup.org/africa/horn-africa/kenya/b159-how-shield-education-al-shabaab-kenyas-north-east" TargetMode="External"/><Relationship Id="rId18" Type="http://schemas.openxmlformats.org/officeDocument/2006/relationships/hyperlink" Target="https://digitalcommons.lindenwood.edu/dissertations/152" TargetMode="External"/><Relationship Id="rId26" Type="http://schemas.openxmlformats.org/officeDocument/2006/relationships/hyperlink" Target="http://repository.chuka.ac.ke/handle/chuka/316" TargetMode="External"/><Relationship Id="rId39" Type="http://schemas.openxmlformats.org/officeDocument/2006/relationships/theme" Target="theme/theme1.xml"/><Relationship Id="rId21" Type="http://schemas.openxmlformats.org/officeDocument/2006/relationships/hyperlink" Target="http://www.thecaq.org/docs/reports-and-publications/deterring-and-detecting%20financial-reportingfraud-a-platform-foraction.pdf" TargetMode="External"/><Relationship Id="rId34" Type="http://schemas.openxmlformats.org/officeDocument/2006/relationships/footer" Target="footer1.xml"/><Relationship Id="rId7" Type="http://schemas.openxmlformats.org/officeDocument/2006/relationships/hyperlink" Target="https://doi.org/10.1016/B978-012372541-7/50002-4" TargetMode="External"/><Relationship Id="rId12" Type="http://schemas.openxmlformats.org/officeDocument/2006/relationships/hyperlink" Target="https://doi.org/10.1080/2194587X.2021.2017978" TargetMode="External"/><Relationship Id="rId17" Type="http://schemas.openxmlformats.org/officeDocument/2006/relationships/hyperlink" Target="https://doi.org/10.2139/ssrn.2596825" TargetMode="External"/><Relationship Id="rId25" Type="http://schemas.openxmlformats.org/officeDocument/2006/relationships/hyperlink" Target="https://doi.org/10.1108/0140917101103038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139/ssrn.2596825" TargetMode="External"/><Relationship Id="rId20" Type="http://schemas.openxmlformats.org/officeDocument/2006/relationships/hyperlink" Target="https://doi.org/10.2308/jiar-50353" TargetMode="External"/><Relationship Id="rId29" Type="http://schemas.openxmlformats.org/officeDocument/2006/relationships/hyperlink" Target="https://doi.org/10.1016/j.cedpsych.2023.1022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institution/Le-Moyne-College" TargetMode="External"/><Relationship Id="rId24" Type="http://schemas.openxmlformats.org/officeDocument/2006/relationships/hyperlink" Target="https://doi.org/10.1111/ele.1250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esearch-repository.uwa.edu.au/en/publications/educational-legitimation-and-parental-aspiration-private-tutoring" TargetMode="External"/><Relationship Id="rId23" Type="http://schemas.openxmlformats.org/officeDocument/2006/relationships/hyperlink" Target="https://doi.org/10.1111/ele.12507" TargetMode="External"/><Relationship Id="rId28" Type="http://schemas.openxmlformats.org/officeDocument/2006/relationships/hyperlink" Target="https://doi.org/10.1016/j.nurpra.2017.06.022" TargetMode="External"/><Relationship Id="rId36" Type="http://schemas.openxmlformats.org/officeDocument/2006/relationships/header" Target="header3.xml"/><Relationship Id="rId10" Type="http://schemas.openxmlformats.org/officeDocument/2006/relationships/hyperlink" Target="https://www.researchgate.net/journal/Journal-of-College-and-Character-1940-1639" TargetMode="External"/><Relationship Id="rId19" Type="http://schemas.openxmlformats.org/officeDocument/2006/relationships/hyperlink" Target="http://psasir.upm.edu.my/id/eprint/69522/1/fep%202018%2032%20ir.pdf" TargetMode="External"/><Relationship Id="rId31" Type="http://schemas.openxmlformats.org/officeDocument/2006/relationships/hyperlink" Target="https://archive.org/details/principlesoffrau00well" TargetMode="External"/><Relationship Id="rId4" Type="http://schemas.openxmlformats.org/officeDocument/2006/relationships/webSettings" Target="webSettings.xml"/><Relationship Id="rId9" Type="http://schemas.openxmlformats.org/officeDocument/2006/relationships/hyperlink" Target="https://www.meazurelearning.com/resources/by-the-numbers-academic-integrity-in-higher-education" TargetMode="External"/><Relationship Id="rId14" Type="http://schemas.openxmlformats.org/officeDocument/2006/relationships/hyperlink" Target="https://ku.dspace.or.ke/handle/123456789/22646" TargetMode="External"/><Relationship Id="rId22" Type="http://schemas.openxmlformats.org/officeDocument/2006/relationships/hyperlink" Target="https://doi.org/10.1016/j.tate.2011.03.010" TargetMode="External"/><Relationship Id="rId27" Type="http://schemas.openxmlformats.org/officeDocument/2006/relationships/hyperlink" Target="https://sphweb.bumc.bu.edu/otlt/mph-modules/sb/behavioralchangetheories/BehavioralChangeTheories3.html" TargetMode="External"/><Relationship Id="rId30" Type="http://schemas.openxmlformats.org/officeDocument/2006/relationships/hyperlink" Target="https://www.education.go.ke/index.php/downloads/category/2-reports?download=166:report-of-the-presidential-working-party-on-education-reform" TargetMode="External"/><Relationship Id="rId35" Type="http://schemas.openxmlformats.org/officeDocument/2006/relationships/footer" Target="footer2.xml"/><Relationship Id="rId8" Type="http://schemas.openxmlformats.org/officeDocument/2006/relationships/hyperlink" Target="https://doi.org/10.4314/gjss.v15i1.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16</Pages>
  <Words>7182</Words>
  <Characters>40944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ariaash2015@gmail.com</dc:creator>
  <cp:keywords/>
  <dc:description/>
  <cp:lastModifiedBy>SDI 1084</cp:lastModifiedBy>
  <cp:revision>227</cp:revision>
  <dcterms:created xsi:type="dcterms:W3CDTF">2025-10-08T08:46:00Z</dcterms:created>
  <dcterms:modified xsi:type="dcterms:W3CDTF">2025-11-25T14:03:00Z</dcterms:modified>
</cp:coreProperties>
</file>