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D6B77" w14:textId="77777777" w:rsidR="001744E2" w:rsidRPr="00C9677F" w:rsidRDefault="001744E2" w:rsidP="00C9677F">
      <w:pPr>
        <w:jc w:val="center"/>
        <w:rPr>
          <w:rFonts w:ascii="Times New Roman" w:eastAsia="KaiTi_GB2312" w:hAnsi="Times New Roman" w:cs="Times New Roman"/>
          <w:b/>
          <w:bCs/>
          <w:spacing w:val="70"/>
          <w:sz w:val="24"/>
          <w:szCs w:val="24"/>
          <w:lang w:eastAsia="zh-CN"/>
        </w:rPr>
      </w:pPr>
      <w:r w:rsidRPr="00C9677F">
        <w:rPr>
          <w:rFonts w:ascii="Times New Roman" w:hAnsi="Times New Roman" w:cs="Times New Roman"/>
          <w:b/>
          <w:sz w:val="24"/>
          <w:szCs w:val="24"/>
        </w:rPr>
        <w:t xml:space="preserve">THE ADAPTABILITY OF </w:t>
      </w:r>
      <w:r w:rsidR="00BE0B79" w:rsidRPr="00C9677F">
        <w:rPr>
          <w:rFonts w:ascii="Times New Roman" w:hAnsi="Times New Roman" w:cs="Times New Roman"/>
          <w:b/>
          <w:sz w:val="24"/>
          <w:szCs w:val="24"/>
        </w:rPr>
        <w:t xml:space="preserve">VOCATIONAL </w:t>
      </w:r>
      <w:r w:rsidRPr="00C9677F">
        <w:rPr>
          <w:rFonts w:ascii="Times New Roman" w:hAnsi="Times New Roman" w:cs="Times New Roman"/>
          <w:b/>
          <w:sz w:val="24"/>
          <w:szCs w:val="24"/>
        </w:rPr>
        <w:t>EDUCATION CURRICULA TO THE EVOLVING LABOR MARKET NEEDS IN CHINA: CHALLENGES AND STRATEGIES</w:t>
      </w:r>
    </w:p>
    <w:p w14:paraId="0F1FAFBD" w14:textId="77777777" w:rsidR="0075458A" w:rsidRPr="0096339E" w:rsidRDefault="0075458A" w:rsidP="0096339E">
      <w:pPr>
        <w:jc w:val="both"/>
        <w:rPr>
          <w:rFonts w:ascii="Times New Roman" w:hAnsi="Times New Roman" w:cs="Times New Roman"/>
          <w:sz w:val="24"/>
          <w:szCs w:val="24"/>
        </w:rPr>
      </w:pPr>
    </w:p>
    <w:p w14:paraId="4DA5ABF1" w14:textId="77777777" w:rsidR="001744E2" w:rsidRPr="00F94DB0" w:rsidRDefault="00F94DB0" w:rsidP="00F94DB0">
      <w:pPr>
        <w:pStyle w:val="Heading2"/>
        <w:tabs>
          <w:tab w:val="left" w:pos="2025"/>
          <w:tab w:val="center" w:pos="4680"/>
        </w:tabs>
        <w:jc w:val="lef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F51E6B" w:rsidRPr="00F94DB0">
        <w:rPr>
          <w:rFonts w:ascii="Times New Roman" w:hAnsi="Times New Roman" w:cs="Times New Roman"/>
          <w:color w:val="000000" w:themeColor="text1"/>
          <w:sz w:val="24"/>
          <w:szCs w:val="24"/>
        </w:rPr>
        <w:t>Abstract</w:t>
      </w:r>
    </w:p>
    <w:p w14:paraId="67C224EC" w14:textId="77777777" w:rsidR="00C76D0B" w:rsidRPr="0096339E" w:rsidRDefault="00C76D0B" w:rsidP="0096339E">
      <w:pPr>
        <w:jc w:val="both"/>
        <w:rPr>
          <w:rFonts w:ascii="Times New Roman" w:hAnsi="Times New Roman" w:cs="Times New Roman"/>
          <w:sz w:val="24"/>
          <w:szCs w:val="24"/>
        </w:rPr>
      </w:pPr>
      <w:r w:rsidRPr="0096339E">
        <w:rPr>
          <w:rFonts w:ascii="Times New Roman" w:hAnsi="Times New Roman" w:cs="Times New Roman"/>
          <w:sz w:val="24"/>
          <w:szCs w:val="24"/>
        </w:rPr>
        <w:t>In recent years, vocational education reform has become an issue of common concern for the government, academia, and the education sector, as the difficulty in finding employment for Chinese university students and the labor shortag</w:t>
      </w:r>
      <w:bookmarkStart w:id="0" w:name="_GoBack"/>
      <w:bookmarkEnd w:id="0"/>
      <w:r w:rsidRPr="0096339E">
        <w:rPr>
          <w:rFonts w:ascii="Times New Roman" w:hAnsi="Times New Roman" w:cs="Times New Roman"/>
          <w:sz w:val="24"/>
          <w:szCs w:val="24"/>
        </w:rPr>
        <w:t>e of senior technical personnel continue to intensify. This study conducted a systematic review of the literature on the adaptability of vocational education curricula to the rapidly evolving labor market needs in China, analyzing findings from diverse sources including academic journals, industry reports, and government publication</w:t>
      </w:r>
      <w:r w:rsidR="00D30720">
        <w:rPr>
          <w:rFonts w:ascii="Times New Roman" w:hAnsi="Times New Roman" w:cs="Times New Roman"/>
          <w:sz w:val="24"/>
          <w:szCs w:val="24"/>
        </w:rPr>
        <w:t>s during the period of 2010–2024</w:t>
      </w:r>
      <w:r w:rsidRPr="0096339E">
        <w:rPr>
          <w:rFonts w:ascii="Times New Roman" w:hAnsi="Times New Roman" w:cs="Times New Roman"/>
          <w:sz w:val="24"/>
          <w:szCs w:val="24"/>
        </w:rPr>
        <w:t>.</w:t>
      </w:r>
    </w:p>
    <w:p w14:paraId="1E0F72EA" w14:textId="77777777" w:rsidR="00C76D0B" w:rsidRPr="0096339E" w:rsidRDefault="00C76D0B" w:rsidP="0096339E">
      <w:pPr>
        <w:jc w:val="both"/>
        <w:rPr>
          <w:rFonts w:ascii="Times New Roman" w:hAnsi="Times New Roman" w:cs="Times New Roman"/>
          <w:sz w:val="24"/>
          <w:szCs w:val="24"/>
        </w:rPr>
      </w:pPr>
      <w:r w:rsidRPr="0096339E">
        <w:rPr>
          <w:rFonts w:ascii="Times New Roman" w:hAnsi="Times New Roman" w:cs="Times New Roman"/>
          <w:sz w:val="24"/>
          <w:szCs w:val="24"/>
        </w:rPr>
        <w:t>The results of the analyses show that the current major directions of vocational education reform are enhancing curriculum responsiveness through regular industry input, fostering partnerships between educational institutions and businesses, and integrating advanced technologies and soft skills training into vocational programs. The main research objects include the gap in curriculum updates, insufficient industry-education collaboration, and inadequate skill training for emerging industries.</w:t>
      </w:r>
    </w:p>
    <w:p w14:paraId="51B8342D" w14:textId="77777777" w:rsidR="00C76D0B" w:rsidRDefault="00C76D0B"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To address these challenges, the study suggests strategies such as improving the alignment of vocational education with market demands, developing multi-skilled training programs, enhancing teacher capabilities, and implementing supportive policy reforms. The findings </w:t>
      </w:r>
      <w:r w:rsidRPr="0096339E">
        <w:rPr>
          <w:rFonts w:ascii="Times New Roman" w:hAnsi="Times New Roman" w:cs="Times New Roman"/>
          <w:sz w:val="24"/>
          <w:szCs w:val="24"/>
        </w:rPr>
        <w:lastRenderedPageBreak/>
        <w:t>underscore the need for a dynamic and proactive approach to vocational education reform in China to ensure the workforce remains competitive and adaptable in a globalized economy.</w:t>
      </w:r>
    </w:p>
    <w:p w14:paraId="22B692E4" w14:textId="77777777" w:rsidR="0075458A" w:rsidRPr="0041319E" w:rsidRDefault="0075458A" w:rsidP="0096339E">
      <w:pPr>
        <w:jc w:val="both"/>
        <w:rPr>
          <w:rFonts w:ascii="Times New Roman" w:hAnsi="Times New Roman" w:cs="Times New Roman"/>
          <w:b/>
          <w:sz w:val="24"/>
          <w:szCs w:val="24"/>
        </w:rPr>
      </w:pPr>
      <w:r w:rsidRPr="0041319E">
        <w:rPr>
          <w:rFonts w:ascii="Times New Roman" w:hAnsi="Times New Roman" w:cs="Times New Roman"/>
          <w:b/>
          <w:sz w:val="24"/>
          <w:szCs w:val="24"/>
        </w:rPr>
        <w:t xml:space="preserve">Key words: </w:t>
      </w:r>
      <w:r w:rsidR="0041319E">
        <w:rPr>
          <w:rFonts w:ascii="Times New Roman" w:hAnsi="Times New Roman" w:cs="Times New Roman"/>
          <w:b/>
          <w:sz w:val="24"/>
          <w:szCs w:val="24"/>
        </w:rPr>
        <w:t xml:space="preserve">Vocational education reforms, Curricula adaptability, Labor market needs, Industry-education collaboration  </w:t>
      </w:r>
    </w:p>
    <w:p w14:paraId="512E07EC" w14:textId="77777777" w:rsidR="005D6237" w:rsidRPr="00B07ACC" w:rsidRDefault="005D6237" w:rsidP="005B5601">
      <w:pPr>
        <w:pStyle w:val="Heading1"/>
        <w:rPr>
          <w:rFonts w:ascii="Times New Roman" w:hAnsi="Times New Roman" w:cs="Times New Roman"/>
          <w:color w:val="000000" w:themeColor="text1"/>
          <w:sz w:val="24"/>
          <w:szCs w:val="24"/>
        </w:rPr>
      </w:pPr>
      <w:r w:rsidRPr="00B07ACC">
        <w:rPr>
          <w:rFonts w:ascii="Times New Roman" w:hAnsi="Times New Roman" w:cs="Times New Roman"/>
          <w:color w:val="000000" w:themeColor="text1"/>
          <w:sz w:val="24"/>
          <w:szCs w:val="24"/>
        </w:rPr>
        <w:t>Introduction</w:t>
      </w:r>
    </w:p>
    <w:p w14:paraId="6DF2D36E" w14:textId="77777777"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Vocational education in China has a rich and multifaceted history, reflecting the country's dynamic socio-economic landscape. Its origins can be traced back to the late Qing Dynasty (1644-1912), when it began to take shape under the influence of Western educational models. This period marked the beginning of a structured approach to technical and vocational training, aimed at equipping individuals with the skills needed to support the bu</w:t>
      </w:r>
      <w:r w:rsidR="00AD4F10" w:rsidRPr="0096339E">
        <w:rPr>
          <w:rFonts w:ascii="Times New Roman" w:hAnsi="Times New Roman" w:cs="Times New Roman"/>
          <w:sz w:val="24"/>
          <w:szCs w:val="24"/>
        </w:rPr>
        <w:t xml:space="preserve">rgeoning industries of the time </w:t>
      </w:r>
      <w:r w:rsidR="00AD4F10" w:rsidRPr="0096339E">
        <w:rPr>
          <w:rFonts w:ascii="Times New Roman" w:hAnsi="Times New Roman" w:cs="Times New Roman"/>
          <w:sz w:val="24"/>
          <w:szCs w:val="24"/>
        </w:rPr>
        <w:fldChar w:fldCharType="begin" w:fldLock="1"/>
      </w:r>
      <w:r w:rsidR="00AD4F10" w:rsidRPr="0096339E">
        <w:rPr>
          <w:rFonts w:ascii="Times New Roman" w:hAnsi="Times New Roman" w:cs="Times New Roman"/>
          <w:sz w:val="24"/>
          <w:szCs w:val="24"/>
        </w:rPr>
        <w:instrText>ADDIN CSL_CITATION {"citationItems":[{"id":"ITEM-1","itemData":{"DOI":"10.1016/j.chieco.2017.04.003","ISSN":"1043951X","author":[{"dropping-particle":"","family":"Xu","given":"Mingli","non-dropping-particle":"","parse-names":false,"suffix":""},{"dropping-particle":"","family":"Kong","given":"Gaowen","non-dropping-particle":"","parse-names":false,"suffix":""},{"dropping-particle":"","family":"Kong","given":"Dongmin","non-dropping-particle":"","parse-names":false,"suffix":""}],"container-title":"China Economic Review","id":"ITEM-1","issued":{"date-parts":[["2017","7"]]},"page":"186-202","title":"Does wage justice hamper creativity? Pay gap and firm innovation in China","type":"article-journal","volume":"44"},"uris":["http://www.mendeley.com/documents/?uuid=22d33d54-e0c4-429a-ac30-ebefba178fc3"]}],"mendeley":{"formattedCitation":"(M. Xu et al., 2017)","plainTextFormattedCitation":"(M. Xu et al., 2017)","previouslyFormattedCitation":"(M. Xu et al., 2017)"},"properties":{"noteIndex":0},"schema":"https://github.com/citation-style-language/schema/raw/master/csl-citation.json"}</w:instrText>
      </w:r>
      <w:r w:rsidR="00AD4F10" w:rsidRPr="0096339E">
        <w:rPr>
          <w:rFonts w:ascii="Times New Roman" w:hAnsi="Times New Roman" w:cs="Times New Roman"/>
          <w:sz w:val="24"/>
          <w:szCs w:val="24"/>
        </w:rPr>
        <w:fldChar w:fldCharType="separate"/>
      </w:r>
      <w:r w:rsidR="00AD4F10" w:rsidRPr="0096339E">
        <w:rPr>
          <w:rFonts w:ascii="Times New Roman" w:hAnsi="Times New Roman" w:cs="Times New Roman"/>
          <w:noProof/>
          <w:sz w:val="24"/>
          <w:szCs w:val="24"/>
        </w:rPr>
        <w:t>(M. Xu et al., 2017)</w:t>
      </w:r>
      <w:r w:rsidR="00AD4F10" w:rsidRPr="0096339E">
        <w:rPr>
          <w:rFonts w:ascii="Times New Roman" w:hAnsi="Times New Roman" w:cs="Times New Roman"/>
          <w:sz w:val="24"/>
          <w:szCs w:val="24"/>
        </w:rPr>
        <w:fldChar w:fldCharType="end"/>
      </w:r>
      <w:r w:rsidR="00AD4F10" w:rsidRPr="0096339E">
        <w:rPr>
          <w:rFonts w:ascii="Times New Roman" w:hAnsi="Times New Roman" w:cs="Times New Roman"/>
          <w:sz w:val="24"/>
          <w:szCs w:val="24"/>
        </w:rPr>
        <w:t>.</w:t>
      </w:r>
    </w:p>
    <w:p w14:paraId="17A615FB" w14:textId="77777777"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The development of vocational education continued during the Republican era (1912-1949), with the establishment of numerous schools dedicated to technical training. These institutions played a crucial role in providing the workforce with the practical skills necessary to sustain industrial growth. However, the trajectory of vocational education underwent significant changes with the founding of the People's Republic of China in 1949. The new government prioritized a planned economy, and vocational education was redirected to meet the needs of this economic model. The 1950’s and 1960’s saw the establishment of many technical and vocational schools, reflecting the government's commitment to building a skilled workforce to support national development.</w:t>
      </w:r>
    </w:p>
    <w:p w14:paraId="59A5EAC4" w14:textId="77777777" w:rsidR="003372E6" w:rsidRPr="0096339E" w:rsidRDefault="005B1D8C" w:rsidP="0096339E">
      <w:pPr>
        <w:jc w:val="both"/>
        <w:rPr>
          <w:rFonts w:ascii="Times New Roman" w:hAnsi="Times New Roman" w:cs="Times New Roman"/>
          <w:sz w:val="24"/>
          <w:szCs w:val="24"/>
        </w:rPr>
      </w:pPr>
      <w:r>
        <w:rPr>
          <w:rFonts w:ascii="Times New Roman" w:hAnsi="Times New Roman" w:cs="Times New Roman"/>
          <w:sz w:val="24"/>
          <w:szCs w:val="24"/>
        </w:rPr>
        <w:lastRenderedPageBreak/>
        <w:t xml:space="preserve">However, the </w:t>
      </w:r>
      <w:r w:rsidR="003372E6" w:rsidRPr="0096339E">
        <w:rPr>
          <w:rFonts w:ascii="Times New Roman" w:hAnsi="Times New Roman" w:cs="Times New Roman"/>
          <w:sz w:val="24"/>
          <w:szCs w:val="24"/>
        </w:rPr>
        <w:t>Cultural Revolution (1966-1976) posed a significant disruption to the education system, including vocational education. Many schools were closed, and the focus shifted to political education and labor, sidelining the technical and vocational training that had been prioritized earlier. This period of upheaval had long-lasting effects on the vocational education system, creating gaps that needed to be addressed in the subsequent decades.</w:t>
      </w:r>
    </w:p>
    <w:p w14:paraId="4D2C3DF7" w14:textId="77777777"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The reform and opening-up policies initiated in 1978 marked a turning point for vocational education in China. These reforms emphasized modernization and economic development, renewing the focus on vocational training as a critical component of national growth. The 1985 educational reform further highlighted the necessity of vocational education in meeting the demands of an increasingly market-oriented economy. This period saw significant expansion and improvement in vocational education institutions, aligning them more closely with the needs of the labor market.</w:t>
      </w:r>
    </w:p>
    <w:p w14:paraId="355201A0" w14:textId="77777777"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In the 21st century, vocational education in China has continued to evolve, with a strong emphasis on technology and innovation. The government has implemented various policies to enhance the quality and relevance of vocational training. For example, the 2014 plan to build a modern vocational education system aimed to create a more responsive and adaptive framework. Efforts have also been made to elevate the status of vocational education, making it a more attractive option for students and reducing societal biases that traditionally favor academic education.</w:t>
      </w:r>
    </w:p>
    <w:p w14:paraId="26152940" w14:textId="77777777" w:rsidR="003372E6" w:rsidRPr="0096339E"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Despite these advancements, several challenges remain. One of the primary concerns is the adaptability of vocational education curricula to the rapidly changing labor market in China. The integration of new technologies, shifts in industrial demands, and the emergence of new job </w:t>
      </w:r>
      <w:r w:rsidRPr="0096339E">
        <w:rPr>
          <w:rFonts w:ascii="Times New Roman" w:hAnsi="Times New Roman" w:cs="Times New Roman"/>
          <w:sz w:val="24"/>
          <w:szCs w:val="24"/>
        </w:rPr>
        <w:lastRenderedPageBreak/>
        <w:t>sectors require a continual reassessment and updating of vocational training programs. Ensuring that curricula are relevant and effective in preparing students for the current and future job market is a complex task that involves collaboration between educational institutions</w:t>
      </w:r>
      <w:r w:rsidR="00AD4F10" w:rsidRPr="0096339E">
        <w:rPr>
          <w:rFonts w:ascii="Times New Roman" w:hAnsi="Times New Roman" w:cs="Times New Roman"/>
          <w:sz w:val="24"/>
          <w:szCs w:val="24"/>
        </w:rPr>
        <w:t xml:space="preserve">, industries, and policymaker </w:t>
      </w:r>
      <w:r w:rsidR="00AD4F10" w:rsidRPr="0096339E">
        <w:rPr>
          <w:rFonts w:ascii="Times New Roman" w:hAnsi="Times New Roman" w:cs="Times New Roman"/>
          <w:sz w:val="24"/>
          <w:szCs w:val="24"/>
        </w:rPr>
        <w:fldChar w:fldCharType="begin" w:fldLock="1"/>
      </w:r>
      <w:r w:rsidR="001F3124" w:rsidRPr="0096339E">
        <w:rPr>
          <w:rFonts w:ascii="Times New Roman" w:hAnsi="Times New Roman" w:cs="Times New Roman"/>
          <w:sz w:val="24"/>
          <w:szCs w:val="24"/>
        </w:rPr>
        <w:instrText>ADDIN CSL_CITATION {"citationItems":[{"id":"ITEM-1","itemData":{"DOI":"10.1016/j.ijedudev.2019.02.002","ISSN":"07380593","author":[{"dropping-particle":"","family":"Agbaria","given":"Ayman","non-dropping-particle":"","parse-names":false,"suffix":""},{"dropping-particle":"","family":"Shmueli","given":"Zach","non-dropping-particle":"","parse-names":false,"suffix":""}],"container-title":"International Journal of Educational Development","id":"ITEM-1","issued":{"date-parts":[["2019","4"]]},"page":"88-95","title":"The “social soldier” and the mission to “retrieve the lost honor”: An ideal image of the desired graduate of an Israeli general pre-military academy","type":"article-journal","volume":"66"},"uris":["http://www.mendeley.com/documents/?uuid=4ece7b3c-16e7-414b-88a1-513076ee32fa"]}],"mendeley":{"formattedCitation":"(Agbaria &amp; Shmueli, 2019)","plainTextFormattedCitation":"(Agbaria &amp; Shmueli, 2019)","previouslyFormattedCitation":"(Agbaria &amp; Shmueli, 2019)"},"properties":{"noteIndex":0},"schema":"https://github.com/citation-style-language/schema/raw/master/csl-citation.json"}</w:instrText>
      </w:r>
      <w:r w:rsidR="00AD4F10" w:rsidRPr="0096339E">
        <w:rPr>
          <w:rFonts w:ascii="Times New Roman" w:hAnsi="Times New Roman" w:cs="Times New Roman"/>
          <w:sz w:val="24"/>
          <w:szCs w:val="24"/>
        </w:rPr>
        <w:fldChar w:fldCharType="separate"/>
      </w:r>
      <w:r w:rsidR="00AD4F10" w:rsidRPr="0096339E">
        <w:rPr>
          <w:rFonts w:ascii="Times New Roman" w:hAnsi="Times New Roman" w:cs="Times New Roman"/>
          <w:noProof/>
          <w:sz w:val="24"/>
          <w:szCs w:val="24"/>
        </w:rPr>
        <w:t>(Agbaria &amp; Shmueli, 2019)</w:t>
      </w:r>
      <w:r w:rsidR="00AD4F10" w:rsidRPr="0096339E">
        <w:rPr>
          <w:rFonts w:ascii="Times New Roman" w:hAnsi="Times New Roman" w:cs="Times New Roman"/>
          <w:sz w:val="24"/>
          <w:szCs w:val="24"/>
        </w:rPr>
        <w:fldChar w:fldCharType="end"/>
      </w:r>
      <w:r w:rsidR="00AD4F10" w:rsidRPr="0096339E">
        <w:rPr>
          <w:rFonts w:ascii="Times New Roman" w:hAnsi="Times New Roman" w:cs="Times New Roman"/>
          <w:sz w:val="24"/>
          <w:szCs w:val="24"/>
        </w:rPr>
        <w:t>.</w:t>
      </w:r>
    </w:p>
    <w:p w14:paraId="14DC32BA" w14:textId="77777777" w:rsidR="003372E6" w:rsidRDefault="003372E6" w:rsidP="0096339E">
      <w:pPr>
        <w:jc w:val="both"/>
        <w:rPr>
          <w:rFonts w:ascii="Times New Roman" w:hAnsi="Times New Roman" w:cs="Times New Roman"/>
          <w:sz w:val="24"/>
          <w:szCs w:val="24"/>
        </w:rPr>
      </w:pPr>
      <w:r w:rsidRPr="0096339E">
        <w:rPr>
          <w:rFonts w:ascii="Times New Roman" w:hAnsi="Times New Roman" w:cs="Times New Roman"/>
          <w:sz w:val="24"/>
          <w:szCs w:val="24"/>
        </w:rPr>
        <w:t>This study, "The Adaptability of Vocational Education Curricula to the Evolving Labor Market Needs in China: Challenges and Strategies," delve</w:t>
      </w:r>
      <w:r w:rsidR="00C242FF" w:rsidRPr="0096339E">
        <w:rPr>
          <w:rFonts w:ascii="Times New Roman" w:hAnsi="Times New Roman" w:cs="Times New Roman"/>
          <w:sz w:val="24"/>
          <w:szCs w:val="24"/>
        </w:rPr>
        <w:t>d into these issues. It identified</w:t>
      </w:r>
      <w:r w:rsidRPr="0096339E">
        <w:rPr>
          <w:rFonts w:ascii="Times New Roman" w:hAnsi="Times New Roman" w:cs="Times New Roman"/>
          <w:sz w:val="24"/>
          <w:szCs w:val="24"/>
        </w:rPr>
        <w:t xml:space="preserve"> the key challenges faced by vocational education in maintaining its relevance and propose</w:t>
      </w:r>
      <w:r w:rsidR="00C242FF" w:rsidRPr="0096339E">
        <w:rPr>
          <w:rFonts w:ascii="Times New Roman" w:hAnsi="Times New Roman" w:cs="Times New Roman"/>
          <w:sz w:val="24"/>
          <w:szCs w:val="24"/>
        </w:rPr>
        <w:t>d</w:t>
      </w:r>
      <w:r w:rsidRPr="0096339E">
        <w:rPr>
          <w:rFonts w:ascii="Times New Roman" w:hAnsi="Times New Roman" w:cs="Times New Roman"/>
          <w:sz w:val="24"/>
          <w:szCs w:val="24"/>
        </w:rPr>
        <w:t xml:space="preserve"> effective strategies to address them. </w:t>
      </w:r>
    </w:p>
    <w:p w14:paraId="5E92BF11" w14:textId="77777777" w:rsidR="003372E6" w:rsidRPr="00B07ACC" w:rsidRDefault="003372E6" w:rsidP="0096339E">
      <w:pPr>
        <w:pStyle w:val="Heading2"/>
        <w:rPr>
          <w:rFonts w:ascii="Times New Roman" w:hAnsi="Times New Roman" w:cs="Times New Roman"/>
          <w:color w:val="000000" w:themeColor="text1"/>
          <w:sz w:val="24"/>
          <w:szCs w:val="24"/>
        </w:rPr>
      </w:pPr>
      <w:r w:rsidRPr="00B07ACC">
        <w:rPr>
          <w:rFonts w:ascii="Times New Roman" w:hAnsi="Times New Roman" w:cs="Times New Roman"/>
          <w:color w:val="000000" w:themeColor="text1"/>
          <w:sz w:val="24"/>
          <w:szCs w:val="24"/>
        </w:rPr>
        <w:t xml:space="preserve">Problem  </w:t>
      </w:r>
    </w:p>
    <w:p w14:paraId="3EB8E38A" w14:textId="77777777" w:rsidR="005D6237"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The rapid transformation of global economies, driven by technological advancements and shifting market demands, necessitates a corresponding evolution in vocational education systems. In China, the need to align vocational education curricula with the dynamic requirements of the labor market has become increasingly critical. As the country transitions from a manufacturing-based economy to one driven by innovation and services, the skills and competencies demanded by employers are evolving at an unprecedented pace </w:t>
      </w:r>
      <w:r w:rsidRPr="0096339E">
        <w:rPr>
          <w:rFonts w:ascii="Times New Roman" w:hAnsi="Times New Roman" w:cs="Times New Roman"/>
          <w:sz w:val="24"/>
          <w:szCs w:val="24"/>
        </w:rPr>
        <w:fldChar w:fldCharType="begin" w:fldLock="1"/>
      </w:r>
      <w:r w:rsidR="00536A23">
        <w:rPr>
          <w:rFonts w:ascii="Times New Roman" w:hAnsi="Times New Roman" w:cs="Times New Roman"/>
          <w:sz w:val="24"/>
          <w:szCs w:val="24"/>
        </w:rPr>
        <w:instrText>ADDIN CSL_CITATION {"citationItems":[{"id":"ITEM-1","itemData":{"DOI":"10.3389/fpsyg.2020.01168","ISSN":"1664-1078","author":[{"dropping-particle":"","family":"Wang","given":"Chongying","non-dropping-particle":"","parse-names":false,"suffix":""},{"dropping-particle":"","family":"Zhao","given":"Hong","non-dropping-particle":"","parse-names":false,"suffix":""}],"container-title":"Frontiers in Psychology","id":"ITEM-1","issued":{"date-parts":[["2020","5","22"]]},"title":"The Impact of COVID-19 on Anxiety in Chinese University Students","type":"article-journal","volume":"11"},"uris":["http://www.mendeley.com/documents/?uuid=e13248e3-7df9-422d-b8fb-d97c25914400"]}],"mendeley":{"formattedCitation":"(C. Wang &amp; Zhao, 2020)","plainTextFormattedCitation":"(C. Wang &amp; Zhao, 2020)","previouslyFormattedCitation":"(C. Wang &amp; Zhao, 2020)"},"properties":{"noteIndex":0},"schema":"https://github.com/citation-style-language/schema/raw/master/csl-citation.json"}</w:instrText>
      </w:r>
      <w:r w:rsidRPr="0096339E">
        <w:rPr>
          <w:rFonts w:ascii="Times New Roman" w:hAnsi="Times New Roman" w:cs="Times New Roman"/>
          <w:sz w:val="24"/>
          <w:szCs w:val="24"/>
        </w:rPr>
        <w:fldChar w:fldCharType="separate"/>
      </w:r>
      <w:r w:rsidR="00536A23" w:rsidRPr="00536A23">
        <w:rPr>
          <w:rFonts w:ascii="Times New Roman" w:hAnsi="Times New Roman" w:cs="Times New Roman"/>
          <w:noProof/>
          <w:sz w:val="24"/>
          <w:szCs w:val="24"/>
        </w:rPr>
        <w:t>(C. Wang &amp; Zhao, 2020)</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w:t>
      </w:r>
    </w:p>
    <w:p w14:paraId="55FE0258" w14:textId="77777777" w:rsidR="005D6237"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t>Vocational education in China has traditionally focused on imparting practical skills for specific trades and industries. However, this focus has often resulted in curricula that are slow to adapt to new technological developments and emerging industry needs</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{"citationItems":[{"id":"ITEM-1","itemData":{"DOI":"10.33736/jcshd.4497.2022","ISSN":"2462-1153","abstract":"Vocational education plays an essential role in developing diverse human talents, passing on technical skills, and promoting employment, innovation, and entrepreneurship. As a critical part of the national education system and the development of human resources, vocational education in China plays a crucial role in the development of diverse talents, the transfer of technical skills, and the promotion of employment and entrepreneurship. This paper aims to explore the history, roles, challenges, and the way forward for vocational education in China. It is found that vocational education in China has gone through a series of name changes before settling on its current nomenclature. Although vocational education is essential to complement general academic education to build a nation, it faces an uphill battle to gain the same status and recognition bestowed on general education. These challenges include curriculum design, poor linkages with industries, public perception, and other structural issues. This paper also discusses how to overcome these challenges to improve vocational education in China.","author":[{"dropping-particle":"","family":"Jing","given":"Tian","non-dropping-particle":"","parse-names":false,"suffix":""},{"dropping-particle":"","family":"Chung","given":"Ellen","non-dropping-particle":"","parse-names":false,"suffix":""},{"dropping-particle":"","family":"Gregory","given":"Margaret Lucy","non-dropping-particle":"","parse-names":false,"suffix":""}],"container-title":"Journal of Cognitive Sciences and Human Development","id":"ITEM-1","issue":"1","issued":{"date-parts":[["2022","3","31"]]},"page":"112-121","title":"Vocational Education in China: Its History, Roles, Challenges and the Way Forward","type":"article-journal","volume":"8"},"uris":["http://www.mendeley.com/documents/?uuid=26ecca03-8df7-4a57-bd52-d55ac88ec22e"]}],"mendeley":{"formattedCitation":"(Jing et al., 2022)","plainTextFormattedCitation":"(Jing et al., 2022)","previouslyFormattedCitation":"(Jing et al., 2022)"},"properties":{"noteIndex":0},"schema":"https://github.com/citation-style-language/schema/raw/master/csl-citation.json"}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(Jing et al., 2022)</w:t>
      </w:r>
      <w:r w:rsidR="00A1161C" w:rsidRPr="0096339E">
        <w:rPr>
          <w:rFonts w:ascii="Times New Roman" w:hAnsi="Times New Roman" w:cs="Times New Roman"/>
          <w:sz w:val="24"/>
          <w:szCs w:val="24"/>
        </w:rPr>
        <w:fldChar w:fldCharType="end"/>
      </w:r>
      <w:r w:rsidR="00115780" w:rsidRPr="0096339E">
        <w:rPr>
          <w:rFonts w:ascii="Times New Roman" w:hAnsi="Times New Roman" w:cs="Times New Roman"/>
          <w:sz w:val="24"/>
          <w:szCs w:val="24"/>
        </w:rPr>
        <w:t xml:space="preserve">. </w:t>
      </w:r>
      <w:r w:rsidRPr="0096339E">
        <w:rPr>
          <w:rFonts w:ascii="Times New Roman" w:hAnsi="Times New Roman" w:cs="Times New Roman"/>
          <w:sz w:val="24"/>
          <w:szCs w:val="24"/>
        </w:rPr>
        <w:t>This misalignment poses significant challenges, as outdated curricula can lead to a skills gap, where graduates are ill-prepared for the contempora</w:t>
      </w:r>
      <w:r w:rsidR="00115780" w:rsidRPr="0096339E">
        <w:rPr>
          <w:rFonts w:ascii="Times New Roman" w:hAnsi="Times New Roman" w:cs="Times New Roman"/>
          <w:sz w:val="24"/>
          <w:szCs w:val="24"/>
        </w:rPr>
        <w:t xml:space="preserve">ry job market </w:t>
      </w:r>
      <w:r w:rsidR="00115780" w:rsidRPr="0096339E">
        <w:rPr>
          <w:rFonts w:ascii="Times New Roman" w:hAnsi="Times New Roman" w:cs="Times New Roman"/>
          <w:sz w:val="24"/>
          <w:szCs w:val="24"/>
        </w:rPr>
        <w:fldChar w:fldCharType="begin" w:fldLock="1"/>
      </w:r>
      <w:r w:rsidR="00AD4F10" w:rsidRPr="0096339E">
        <w:rPr>
          <w:rFonts w:ascii="Times New Roman" w:hAnsi="Times New Roman" w:cs="Times New Roman"/>
          <w:sz w:val="24"/>
          <w:szCs w:val="24"/>
        </w:rPr>
        <w:instrText>ADDIN CSL_CITATION {"citationItems":[{"id":"ITEM-1","itemData":{"DOI":"10.1007/978-981-19-6887-7_57","author":[{"dropping-particle":"","family":"Xu","given":"Jing","non-dropping-particle":"","parse-names":false,"suffix":""},{"dropping-particle":"","family":"Po","given":"Yang","non-dropping-particle":"","parse-names":false,"suffix":""}],"container-title":"International Handbook on Education Development in the Asia-Pacific","id":"ITEM-1","issued":{"date-parts":[["2023"]]},"page":"837-857","publisher":"Springer Nature Singapore","publisher-place":"Singapore","title":"The Future of “Applied” Education, Employability, and the Labor Market in China","type":"chapter"},"uris":["http://www.mendeley.com/documents/?uuid=70ef6e6b-11d1-45a3-8631-f2f8079a1f2c"]}],"mendeley":{"formattedCitation":"(J. Xu &amp; Po, 2023)","plainTextFormattedCitation":"(J. Xu &amp; Po, 2023)","previouslyFormattedCitation":"(J. Xu &amp; Po, 2023)"},"properties":{"noteIndex":0},"schema":"https://github.com/citation-style-language/schema/raw/master/csl-citation.json"}</w:instrText>
      </w:r>
      <w:r w:rsidR="00115780" w:rsidRPr="0096339E">
        <w:rPr>
          <w:rFonts w:ascii="Times New Roman" w:hAnsi="Times New Roman" w:cs="Times New Roman"/>
          <w:sz w:val="24"/>
          <w:szCs w:val="24"/>
        </w:rPr>
        <w:fldChar w:fldCharType="separate"/>
      </w:r>
      <w:r w:rsidR="00AD4F10" w:rsidRPr="0096339E">
        <w:rPr>
          <w:rFonts w:ascii="Times New Roman" w:hAnsi="Times New Roman" w:cs="Times New Roman"/>
          <w:noProof/>
          <w:sz w:val="24"/>
          <w:szCs w:val="24"/>
        </w:rPr>
        <w:t>(J. Xu &amp; Po, 2023)</w:t>
      </w:r>
      <w:r w:rsidR="00115780" w:rsidRPr="0096339E">
        <w:rPr>
          <w:rFonts w:ascii="Times New Roman" w:hAnsi="Times New Roman" w:cs="Times New Roman"/>
          <w:sz w:val="24"/>
          <w:szCs w:val="24"/>
        </w:rPr>
        <w:fldChar w:fldCharType="end"/>
      </w:r>
    </w:p>
    <w:p w14:paraId="0CACC250" w14:textId="77777777" w:rsidR="005D6237"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lastRenderedPageBreak/>
        <w:t xml:space="preserve">Several scholars have highlighted the importance of updating vocational education to better match labor market needs. For instance,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{"citationItems":[{"id":"ITEM-1","itemData":{"DOI":"10.5430/ijhe.v12n5p162","ISSN":"1927-6052","abstract":"The objectives of this research were: 1) to study the current situation and knowledge management strategies for organizational management of higher vocational education administrators in Liaoning province, China, and 2) to provide knowledge management strategies for improving organizational management of higher vocational education administrators in Liaoning province, China. 3) to evaluate the adaptability and feasibility of knowledge management strategies for improving the organizational management of higher vocational education administrators in Liaoning Province, China. The sample group for this research was 205 administrators from 10 vocational universities in Liaoning by simple random sampling. The interview group was 10 high-level administrators, and five experts evaluated the adaptability and feasibility of higher vocational education administrators' knowledge management strategies and organizational management. The research Instruments include 1) a questionnaire, 2) a structured interview, and 3) an evaluation form. Data analyses were frequency, percentage, mean, standard deviation, and content analysis.The results showed that 1) the current situation of knowledge management strategies for organizational management of higher vocational educational administrators is divided into three aspects: management effectiveness, knowledge management, and organizational culture; and 2) the knowledge management strategies for improving organizational management are divided into three aspects as follows: 12 measures for knowledge management, 11 measures for organizational culture, and 10 measures for management effectiveness. 3) The results of evaluating the adaptability and feasibility of the knowledge management strategies for improving organizational management were at the highest level.","author":[{"dropping-particle":"","family":"Yinglun","given":"Qin","non-dropping-particle":"","parse-names":false,"suffix":""},{"dropping-particle":"","family":"Keyuraphan","given":"Luxana","non-dropping-particle":"","parse-names":false,"suffix":""},{"dropping-particle":"","family":"Sutheeniran","given":"Niran","non-dropping-particle":"","parse-names":false,"suffix":""},{"dropping-particle":"","family":"Sawangcharoen","given":"Kanakorn","non-dropping-particle":"","parse-names":false,"suffix":""}],"container-title":"International Journal of Higher Education","id":"ITEM-1","issue":"5","issued":{"date-parts":[["2023","9","19"]]},"page":"162","title":"Knowledge Management Strategies for Organizational Management of Higher Vocational Education Administrators in Liaoning Province, China","type":"article-journal","volume":"12"},"uris":["http://www.mendeley.com/documents/?uuid=2c81cc99-7c0c-4623-bd68-9eca095d803e"]}],"mendeley":{"formattedCitation":"(Yinglun et al., 2023)","plainTextFormattedCitation":"(Yinglun et al., 2023)","previouslyFormattedCitation":"(Yinglun et al., 2023)"},"properties":{"noteIndex":0},"schema":"https://github.com/citation-style-language/schema/raw/master/csl-citation.json"}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(Yinglun et al., 2023)</w:t>
      </w:r>
      <w:r w:rsidR="00A1161C" w:rsidRPr="0096339E">
        <w:rPr>
          <w:rFonts w:ascii="Times New Roman" w:hAnsi="Times New Roman" w:cs="Times New Roman"/>
          <w:sz w:val="24"/>
          <w:szCs w:val="24"/>
        </w:rPr>
        <w:fldChar w:fldCharType="end"/>
      </w:r>
      <w:r w:rsidR="00A1161C" w:rsidRPr="0096339E">
        <w:rPr>
          <w:rFonts w:ascii="Times New Roman" w:hAnsi="Times New Roman" w:cs="Times New Roman"/>
          <w:sz w:val="24"/>
          <w:szCs w:val="24"/>
        </w:rPr>
        <w:t xml:space="preserve">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{"citationItems":[{"id":"ITEM-1","itemData":{"author":[{"dropping-particle":"","family":"Jessica Yu","given":"Graphics: Caroline Yee","non-dropping-particle":"","parse-names":false,"suffix":""}],"container-title":"BRB Bottomline","id":"ITEM-1","issued":{"date-parts":[["2022"]]},"title":"The Past, Present, and Future of China’s “Vocational Schools\"","type":"article-journal"},"uris":["http://www.mendeley.com/documents/?uuid=5d067f33-8f19-4ec0-9b47-3cb79357eda3"]}],"mendeley":{"formattedCitation":"(Jessica Yu, 2022)","plainTextFormattedCitation":"(Jessica Yu, 2022)","previouslyFormattedCitation":"(Jessica Yu, 2022)"},"properties":{"noteIndex":0},"schema":"https://github.com/citation-style-language/schema/raw/master/csl-citation.json"}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(Jessica Yu, 2022)</w:t>
      </w:r>
      <w:r w:rsidR="00A1161C" w:rsidRPr="0096339E">
        <w:rPr>
          <w:rFonts w:ascii="Times New Roman" w:hAnsi="Times New Roman" w:cs="Times New Roman"/>
          <w:sz w:val="24"/>
          <w:szCs w:val="24"/>
        </w:rPr>
        <w:fldChar w:fldCharType="end"/>
      </w:r>
      <w:r w:rsidR="00A1161C" w:rsidRPr="0096339E">
        <w:rPr>
          <w:rFonts w:ascii="Times New Roman" w:hAnsi="Times New Roman" w:cs="Times New Roman"/>
          <w:sz w:val="24"/>
          <w:szCs w:val="24"/>
        </w:rPr>
        <w:t xml:space="preserve">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{"citationItems":[{"id":"ITEM-1","itemData":{"DOI":"10.52562/jdle.v4i1.975","ISSN":"2776-4060","abstract":"This study explores into the dynamic landscape of vocational education, spotlighting the pivotal role played by emerging technologies in shaping pedagogy and skill development. The swiftly changing world of work demands educational adaptability, and emerging technologies offer innovative avenues to meet this imperative. Examining cutting-edge innovations such as Virtual Reality (VR), Augmented Reality (AR), Artificial Intelligence (AI), Machine Learning (ML), Internet of Things (IoT), Robotics, Automation, Big Data, Analytics, Blockchain, 3D printing, and Gamification, this research explores their application in vocational education. Drawing on a comprehensive literature review and diverse global case studies, the paper explores the transformative potential of these technologies and associated challenges. Despite cost and training concerns, the study suggests solutions like affordable access, educator training programs, and equitable technology distribution. It concludes by underscoring the necessity for strategic investments in professional development, technology accessibility, and inclusive educational programs to ensure responsible integration of emerging technologies, positioning vocational education as a catalyst for societal and economic advancement.","author":[{"dropping-particle":"","family":"Ghosh","given":"Lisa","non-dropping-particle":"","parse-names":false,"suffix":""},{"dropping-particle":"","family":"Ravichandran","given":"R.","non-dropping-particle":"","parse-names":false,"suffix":""}],"container-title":"Journal of Digital Learning and Education","id":"ITEM-1","issue":"1","issued":{"date-parts":[["2024","4","29"]]},"page":"41-49","title":"Emerging Technologies in Vocational Education and Training","type":"article-journal","volume":"4"},"uris":["http://www.mendeley.com/documents/?uuid=fad4261c-1373-4819-a0d8-e8c2e0d4202b"]}],"mendeley":{"formattedCitation":"(Ghosh &amp; Ravichandran, 2024)","plainTextFormattedCitation":"(Ghosh &amp; Ravichandran, 2024)","previouslyFormattedCitation":"(Ghosh &amp; Ravichandran, 2024)"},"properties":{"noteIndex":0},"schema":"https://github.com/citation-style-language/schema/raw/master/csl-citation.json"}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(Ghosh &amp; Ravichandran, 2024)</w:t>
      </w:r>
      <w:r w:rsidR="00A1161C"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emphasizes the necessity of integrating modern technologies and innovative teaching methods into vocational training programs. Similarly, </w:t>
      </w:r>
      <w:r w:rsidR="00A1161C" w:rsidRPr="0096339E">
        <w:rPr>
          <w:rFonts w:ascii="Times New Roman" w:hAnsi="Times New Roman" w:cs="Times New Roman"/>
          <w:sz w:val="24"/>
          <w:szCs w:val="24"/>
        </w:rPr>
        <w:fldChar w:fldCharType="begin" w:fldLock="1"/>
      </w:r>
      <w:r w:rsidR="00A1161C" w:rsidRPr="0096339E">
        <w:rPr>
          <w:rFonts w:ascii="Times New Roman" w:hAnsi="Times New Roman" w:cs="Times New Roman"/>
          <w:sz w:val="24"/>
          <w:szCs w:val="24"/>
        </w:rPr>
        <w:instrText>ADDIN CSL_CITATION {"citationItems":[{"id":"ITEM-1","itemData":{"DOI":"10.1080/2331186X.2024.2343525","ISSN":"2331-186X","author":[{"dropping-particle":"","family":"Zhao","given":"Dexia","non-dropping-particle":"","parse-names":false,"suffix":""},{"dropping-particle":"","family":"Selvaratnam","given":"Doris Padmini","non-dropping-particle":"","parse-names":false,"suffix":""}],"container-title":"Cogent Education","id":"ITEM-1","issue":"1","issued":{"date-parts":[["2024","12","31"]]},"title":"A systematic literature review on the reform of vocational education in China","type":"article-journal","volume":"11"},"uris":["http://www.mendeley.com/documents/?uuid=aab83a34-607c-47d8-8a94-96c180bf790e"]}],"mendeley":{"formattedCitation":"(Zhao &amp; Selvaratnam, 2024)","plainTextFormattedCitation":"(Zhao &amp; Selvaratnam, 2024)","previouslyFormattedCitation":"(Zhao &amp; Selvaratnam, 2024)"},"properties":{"noteIndex":0},"schema":"https://github.com/citation-style-language/schema/raw/master/csl-citation.json"}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(Zhao &amp; Selvaratnam, 2024)</w:t>
      </w:r>
      <w:r w:rsidR="00A1161C"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argue for the importance of fostering closer collaborations between educational institutions and industries to ensure that curric</w:t>
      </w:r>
      <w:r w:rsidR="00A1161C" w:rsidRPr="0096339E">
        <w:rPr>
          <w:rFonts w:ascii="Times New Roman" w:hAnsi="Times New Roman" w:cs="Times New Roman"/>
          <w:sz w:val="24"/>
          <w:szCs w:val="24"/>
        </w:rPr>
        <w:t>ula remain relevant and respons</w:t>
      </w:r>
      <w:r w:rsidRPr="0096339E">
        <w:rPr>
          <w:rFonts w:ascii="Times New Roman" w:hAnsi="Times New Roman" w:cs="Times New Roman"/>
          <w:sz w:val="24"/>
          <w:szCs w:val="24"/>
        </w:rPr>
        <w:t>e.</w:t>
      </w:r>
    </w:p>
    <w:p w14:paraId="5AA73075" w14:textId="77777777" w:rsidR="00B07ACC" w:rsidRPr="0096339E" w:rsidRDefault="005D6237"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Despite these calls for reform, significant obstacles remain. These include bureaucratic inertia, a lack of industry-education partnerships, and insufficient investment in teacher training and curriculum development </w:t>
      </w:r>
      <w:r w:rsidR="00A1161C" w:rsidRPr="0096339E">
        <w:rPr>
          <w:rFonts w:ascii="Times New Roman" w:hAnsi="Times New Roman" w:cs="Times New Roman"/>
          <w:sz w:val="24"/>
          <w:szCs w:val="24"/>
        </w:rPr>
        <w:fldChar w:fldCharType="begin" w:fldLock="1"/>
      </w:r>
      <w:r w:rsidR="00AD4F10" w:rsidRPr="0096339E">
        <w:rPr>
          <w:rFonts w:ascii="Times New Roman" w:hAnsi="Times New Roman" w:cs="Times New Roman"/>
          <w:sz w:val="24"/>
          <w:szCs w:val="24"/>
        </w:rPr>
        <w:instrText>ADDIN CSL_CITATION {"citationItems":[{"id":"ITEM-1","itemData":{"DOI":"10.1080/2331186X.2024.2343525","ISSN":"2331-186X","author":[{"dropping-particle":"","family":"Zhao","given":"Dexia","non-dropping-particle":"","parse-names":false,"suffix":""},{"dropping-particle":"","family":"Selvaratnam","given":"Doris Padmini","non-dropping-particle":"","parse-names":false,"suffix":""}],"container-title":"Cogent Education","id":"ITEM-1","issue":"1","issued":{"date-parts":[["2024","12","31"]]},"title":"A systematic literature review on the reform of vocational education in China","type":"article-journal","volume":"11"},"uris":["http://www.mendeley.com/documents/?uuid=aab83a34-607c-47d8-8a94-96c180bf790e"]}],"mendeley":{"formattedCitation":"(Zhao &amp; Selvaratnam, 2024)","plainTextFormattedCitation":"(Zhao &amp; Selvaratnam, 2024)","previouslyFormattedCitation":"(Zhao &amp; Selvaratnam, 2024)"},"properties":{"noteIndex":0},"schema":"https://github.com/citation-style-language/schema/raw/master/csl-citation.json"}</w:instrText>
      </w:r>
      <w:r w:rsidR="00A1161C" w:rsidRPr="0096339E">
        <w:rPr>
          <w:rFonts w:ascii="Times New Roman" w:hAnsi="Times New Roman" w:cs="Times New Roman"/>
          <w:sz w:val="24"/>
          <w:szCs w:val="24"/>
        </w:rPr>
        <w:fldChar w:fldCharType="separate"/>
      </w:r>
      <w:r w:rsidR="00A1161C" w:rsidRPr="0096339E">
        <w:rPr>
          <w:rFonts w:ascii="Times New Roman" w:hAnsi="Times New Roman" w:cs="Times New Roman"/>
          <w:noProof/>
          <w:sz w:val="24"/>
          <w:szCs w:val="24"/>
        </w:rPr>
        <w:t>(Zhao &amp; Selvaratnam, 2024)</w:t>
      </w:r>
      <w:r w:rsidR="00A1161C" w:rsidRPr="0096339E">
        <w:rPr>
          <w:rFonts w:ascii="Times New Roman" w:hAnsi="Times New Roman" w:cs="Times New Roman"/>
          <w:sz w:val="24"/>
          <w:szCs w:val="24"/>
        </w:rPr>
        <w:fldChar w:fldCharType="end"/>
      </w:r>
      <w:r w:rsidRPr="0096339E">
        <w:rPr>
          <w:rFonts w:ascii="Times New Roman" w:hAnsi="Times New Roman" w:cs="Times New Roman"/>
          <w:sz w:val="24"/>
          <w:szCs w:val="24"/>
        </w:rPr>
        <w:t>. Addressing these challenges requires a comprehensive strategy that not only revises the content of vocational education but also rethinks its delivery mechanism</w:t>
      </w:r>
      <w:r w:rsidR="00A1161C" w:rsidRPr="0096339E">
        <w:rPr>
          <w:rFonts w:ascii="Times New Roman" w:hAnsi="Times New Roman" w:cs="Times New Roman"/>
          <w:sz w:val="24"/>
          <w:szCs w:val="24"/>
        </w:rPr>
        <w:t>s and institutional frameworks.</w:t>
      </w:r>
      <w:r w:rsidR="00C242FF" w:rsidRPr="0096339E">
        <w:rPr>
          <w:rFonts w:ascii="Times New Roman" w:hAnsi="Times New Roman" w:cs="Times New Roman"/>
          <w:sz w:val="24"/>
          <w:szCs w:val="24"/>
        </w:rPr>
        <w:t xml:space="preserve"> </w:t>
      </w:r>
      <w:r w:rsidR="00A1161C" w:rsidRPr="0096339E">
        <w:rPr>
          <w:rFonts w:ascii="Times New Roman" w:hAnsi="Times New Roman" w:cs="Times New Roman"/>
          <w:sz w:val="24"/>
          <w:szCs w:val="24"/>
        </w:rPr>
        <w:t xml:space="preserve">Therefore, the </w:t>
      </w:r>
      <w:r w:rsidR="008F6038">
        <w:rPr>
          <w:rFonts w:ascii="Times New Roman" w:hAnsi="Times New Roman" w:cs="Times New Roman"/>
          <w:sz w:val="24"/>
          <w:szCs w:val="24"/>
        </w:rPr>
        <w:t xml:space="preserve">importance of this study needed </w:t>
      </w:r>
      <w:r w:rsidR="00A1161C" w:rsidRPr="0096339E">
        <w:rPr>
          <w:rFonts w:ascii="Times New Roman" w:hAnsi="Times New Roman" w:cs="Times New Roman"/>
          <w:sz w:val="24"/>
          <w:szCs w:val="24"/>
        </w:rPr>
        <w:t>not to be over emphasized</w:t>
      </w:r>
      <w:r w:rsidR="00B07ACC">
        <w:rPr>
          <w:rFonts w:ascii="Times New Roman" w:hAnsi="Times New Roman" w:cs="Times New Roman"/>
          <w:sz w:val="24"/>
          <w:szCs w:val="24"/>
        </w:rPr>
        <w:t>.</w:t>
      </w:r>
    </w:p>
    <w:p w14:paraId="5AFAD796" w14:textId="77777777" w:rsidR="00CD72E9" w:rsidRPr="00B07ACC" w:rsidRDefault="005B5601" w:rsidP="005B5601">
      <w:pPr>
        <w:pStyle w:val="Heading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Methods</w:t>
      </w:r>
    </w:p>
    <w:p w14:paraId="642D8296" w14:textId="77777777" w:rsidR="005757DE" w:rsidRPr="0096339E" w:rsidRDefault="005757DE"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To answer the </w:t>
      </w:r>
      <w:r w:rsidR="00C1407B">
        <w:rPr>
          <w:rFonts w:ascii="Times New Roman" w:hAnsi="Times New Roman" w:cs="Times New Roman"/>
          <w:sz w:val="24"/>
          <w:szCs w:val="24"/>
        </w:rPr>
        <w:t xml:space="preserve">primary question which was </w:t>
      </w:r>
      <w:r w:rsidR="00C1407B" w:rsidRPr="0096339E">
        <w:rPr>
          <w:rFonts w:ascii="Times New Roman" w:eastAsia="Times New Roman" w:hAnsi="Times New Roman" w:cs="Times New Roman"/>
          <w:sz w:val="24"/>
          <w:szCs w:val="24"/>
        </w:rPr>
        <w:t>how well does the current vocational education curriculum in China align with the evolving labor market needs</w:t>
      </w:r>
      <w:r w:rsidR="00C1407B">
        <w:rPr>
          <w:rFonts w:ascii="Times New Roman" w:hAnsi="Times New Roman" w:cs="Times New Roman"/>
          <w:sz w:val="24"/>
          <w:szCs w:val="24"/>
        </w:rPr>
        <w:t>?</w:t>
      </w:r>
      <w:r w:rsidRPr="0096339E">
        <w:rPr>
          <w:rFonts w:ascii="Times New Roman" w:hAnsi="Times New Roman" w:cs="Times New Roman"/>
          <w:sz w:val="24"/>
          <w:szCs w:val="24"/>
        </w:rPr>
        <w:t xml:space="preserve">, a systematic literature review was conducted, combining primary research studies related to the adaptability of vocational education curricula to the rapidly evolving labor market needs in China. According to </w:t>
      </w:r>
      <w:r w:rsidR="001F3124" w:rsidRPr="0096339E">
        <w:rPr>
          <w:rFonts w:ascii="Times New Roman" w:hAnsi="Times New Roman" w:cs="Times New Roman"/>
          <w:sz w:val="24"/>
          <w:szCs w:val="24"/>
        </w:rPr>
        <w:fldChar w:fldCharType="begin" w:fldLock="1"/>
      </w:r>
      <w:r w:rsidR="001F3124" w:rsidRPr="0096339E">
        <w:rPr>
          <w:rFonts w:ascii="Times New Roman" w:hAnsi="Times New Roman" w:cs="Times New Roman"/>
          <w:sz w:val="24"/>
          <w:szCs w:val="24"/>
        </w:rPr>
        <w:instrText>ADDIN CSL_CITATION {"citationItems":[{"id":"ITEM-1","itemData":{"DOI":"10.2991/978-2-38476-082-4_24","author":[{"dropping-particle":"","family":"Saleh","given":"Choirul","non-dropping-particle":"","parse-names":false,"suffix":""},{"dropping-particle":"","family":"Hidayati","given":"Firda","non-dropping-particle":"","parse-names":false,"suffix":""},{"dropping-particle":"","family":"Ar Rasyid","given":"Nur Halim","non-dropping-particle":"","parse-names":false,"suffix":""}],"id":"ITEM-1","issued":{"date-parts":[["2023"]]},"page":"249-262","title":"Public Human Resources Development Systematic Literature Review","type":"chapter"},"uris":["http://www.mendeley.com/documents/?uuid=c5b842d2-b02c-42d9-a268-43cbb3e5c3fe"]}],"mendeley":{"formattedCitation":"(Saleh et al., 2023)","plainTextFormattedCitation":"(Saleh et al., 2023)","previouslyFormattedCitation":"(Saleh et al., 2023)"},"properties":{"noteIndex":0},"schema":"https://github.com/citation-style-language/schema/raw/master/csl-citation.json"}</w:instrText>
      </w:r>
      <w:r w:rsidR="001F3124" w:rsidRPr="0096339E">
        <w:rPr>
          <w:rFonts w:ascii="Times New Roman" w:hAnsi="Times New Roman" w:cs="Times New Roman"/>
          <w:sz w:val="24"/>
          <w:szCs w:val="24"/>
        </w:rPr>
        <w:fldChar w:fldCharType="separate"/>
      </w:r>
      <w:r w:rsidR="001F3124" w:rsidRPr="0096339E">
        <w:rPr>
          <w:rFonts w:ascii="Times New Roman" w:hAnsi="Times New Roman" w:cs="Times New Roman"/>
          <w:noProof/>
          <w:sz w:val="24"/>
          <w:szCs w:val="24"/>
        </w:rPr>
        <w:t>(Saleh et al., 2023)</w:t>
      </w:r>
      <w:r w:rsidR="001F3124" w:rsidRPr="0096339E">
        <w:rPr>
          <w:rFonts w:ascii="Times New Roman" w:hAnsi="Times New Roman" w:cs="Times New Roman"/>
          <w:sz w:val="24"/>
          <w:szCs w:val="24"/>
        </w:rPr>
        <w:fldChar w:fldCharType="end"/>
      </w:r>
      <w:r w:rsidR="001F3124" w:rsidRPr="0096339E">
        <w:rPr>
          <w:rFonts w:ascii="Times New Roman" w:hAnsi="Times New Roman" w:cs="Times New Roman"/>
          <w:sz w:val="24"/>
          <w:szCs w:val="24"/>
        </w:rPr>
        <w:t xml:space="preserve">, a systematic literature review is a methodical review approach that follows specific guidelines for identifying, selecting, and synthesizing relevant research articles to address a clearly defined research question. </w:t>
      </w:r>
      <w:r w:rsidRPr="0096339E">
        <w:rPr>
          <w:rFonts w:ascii="Times New Roman" w:hAnsi="Times New Roman" w:cs="Times New Roman"/>
          <w:sz w:val="24"/>
          <w:szCs w:val="24"/>
        </w:rPr>
        <w:t>It is a structured approach to research, aiding researchers in analyzing selected literature through systematic procedures</w:t>
      </w:r>
      <w:r w:rsidR="001F3124" w:rsidRPr="0096339E">
        <w:rPr>
          <w:rFonts w:ascii="Times New Roman" w:hAnsi="Times New Roman" w:cs="Times New Roman"/>
          <w:sz w:val="24"/>
          <w:szCs w:val="24"/>
        </w:rPr>
        <w:t xml:space="preserve"> </w:t>
      </w:r>
      <w:r w:rsidR="001F3124" w:rsidRPr="0096339E">
        <w:rPr>
          <w:rFonts w:ascii="Times New Roman" w:hAnsi="Times New Roman" w:cs="Times New Roman"/>
          <w:sz w:val="24"/>
          <w:szCs w:val="24"/>
        </w:rPr>
        <w:fldChar w:fldCharType="begin" w:fldLock="1"/>
      </w:r>
      <w:r w:rsidR="004C16C9" w:rsidRPr="0096339E">
        <w:rPr>
          <w:rFonts w:ascii="Times New Roman" w:hAnsi="Times New Roman" w:cs="Times New Roman"/>
          <w:sz w:val="24"/>
          <w:szCs w:val="24"/>
        </w:rPr>
        <w:instrText>ADDIN CSL_CITATION {"citationItems":[{"id":"ITEM-1","itemData":{"DOI":"10.31258/ijsteame.v2i1.17","ISSN":"2986-0954","abstract":"This research was conducted in order to analyze literature related to the development of E-Modules with the SETS approach to increase students' scientific literacy. The purpose of this research is to select articles that are feasible for analysis related to the development of E-Modules with the SETS approach to increase students' scientific literacy. The benefit of this research is to facilitate researchers in obtaining proper literature to be analyzed related to the title of the research to be conducted by researchers. The method of this study is using the Systematic Literature Review (SLR) method, which is a method that has steps consisting of identification, screening, eligibility and inclusion. The conclusion of this study is the systematic literature review (SLR) method which aims to facilitate researchers in conducting research whose research results are based on the results of literature analysis that have been selected in stages through several systematic procedures. Based on the results of the systematic literature review (SLR) method that has been carried out by researchers, 21 literatures are feasible for analysis. The results of the systematic literature review (SLR) method that has been carried out to select some literature, the total amount of literature that is issued or not feasible for analysis is 1,597 literature.","author":[{"dropping-particle":"","family":"Sholihan","given":"Tika Nabila","non-dropping-particle":"","parse-names":false,"suffix":""},{"dropping-particle":"","family":"Susilawati","given":"Susilawati","non-dropping-particle":"","parse-names":false,"suffix":""},{"dropping-particle":"","family":"Ilhami","given":"Aldeva","non-dropping-particle":"","parse-names":false,"suffix":""}],"container-title":"Indonesian Journal of Science, Technology, Engineering, Art, and Mathematics Education","id":"ITEM-1","issue":"1","issued":{"date-parts":[["2023","5","29"]]},"page":"34-48","title":"Pengembangan E-Modul dengan Pendekatan SETS untuk Meningkatkan Literasi Sains Siswa SMP/MTs pada Materi Pemanasan Global: Systematic Literature Review","type":"article-journal","volume":"2"},"uris":["http://www.mendeley.com/documents/?uuid=60978205-8fef-43d7-8d5e-f688bee82da6"]}],"mendeley":{"formattedCitation":"(Sholihan et al., 2023)","plainTextFormattedCitation":"(Sholihan et al., 2023)","previouslyFormattedCitation":"(Sholihan et al., 2023)"},"properties":{"noteIndex":0},"schema":"https://github.com/citation-style-language/schema/raw/master/csl-citation.json"}</w:instrText>
      </w:r>
      <w:r w:rsidR="001F3124" w:rsidRPr="0096339E">
        <w:rPr>
          <w:rFonts w:ascii="Times New Roman" w:hAnsi="Times New Roman" w:cs="Times New Roman"/>
          <w:sz w:val="24"/>
          <w:szCs w:val="24"/>
        </w:rPr>
        <w:fldChar w:fldCharType="separate"/>
      </w:r>
      <w:r w:rsidR="001F3124" w:rsidRPr="0096339E">
        <w:rPr>
          <w:rFonts w:ascii="Times New Roman" w:hAnsi="Times New Roman" w:cs="Times New Roman"/>
          <w:noProof/>
          <w:sz w:val="24"/>
          <w:szCs w:val="24"/>
        </w:rPr>
        <w:t>(Sholihan et al., 2023)</w:t>
      </w:r>
      <w:r w:rsidR="001F3124"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This </w:t>
      </w:r>
      <w:r w:rsidRPr="0096339E">
        <w:rPr>
          <w:rFonts w:ascii="Times New Roman" w:hAnsi="Times New Roman" w:cs="Times New Roman"/>
          <w:sz w:val="24"/>
          <w:szCs w:val="24"/>
        </w:rPr>
        <w:lastRenderedPageBreak/>
        <w:t>approach helps provide evidence-based insights for decision-makers, including faculty m</w:t>
      </w:r>
      <w:r w:rsidR="001F3124" w:rsidRPr="0096339E">
        <w:rPr>
          <w:rFonts w:ascii="Times New Roman" w:hAnsi="Times New Roman" w:cs="Times New Roman"/>
          <w:sz w:val="24"/>
          <w:szCs w:val="24"/>
        </w:rPr>
        <w:t>embers and educational leaders.</w:t>
      </w:r>
    </w:p>
    <w:p w14:paraId="40F7A050" w14:textId="77777777" w:rsidR="005757DE" w:rsidRDefault="005757DE" w:rsidP="0096339E">
      <w:pPr>
        <w:jc w:val="both"/>
        <w:rPr>
          <w:rFonts w:ascii="Times New Roman" w:hAnsi="Times New Roman" w:cs="Times New Roman"/>
          <w:sz w:val="24"/>
          <w:szCs w:val="24"/>
        </w:rPr>
      </w:pPr>
      <w:r w:rsidRPr="0096339E">
        <w:rPr>
          <w:rFonts w:ascii="Times New Roman" w:hAnsi="Times New Roman" w:cs="Times New Roman"/>
          <w:sz w:val="24"/>
          <w:szCs w:val="24"/>
        </w:rPr>
        <w:t>In the context of this study, the systematic literature review blends findings from diverse sources, including academic journals, industry reports, and government publications. This comprehensive analysis identifies key challenges in aligning vocational education with market demands, such as a gap in curriculum updates, insufficient industry-education collaboration, and inadequate skill training for emerging industries. The study suggests strategies to address these challenges, emphasizing the need for a dynamic and proactive approach to vocational education reform in China to ensure the workforce remains competitive and adaptable in a globalized economy.</w:t>
      </w:r>
    </w:p>
    <w:p w14:paraId="76CE0582" w14:textId="77777777" w:rsidR="00B07ACC" w:rsidRPr="0096339E" w:rsidRDefault="00B07ACC" w:rsidP="0096339E">
      <w:pPr>
        <w:jc w:val="both"/>
        <w:rPr>
          <w:rFonts w:ascii="Times New Roman" w:hAnsi="Times New Roman" w:cs="Times New Roman"/>
          <w:sz w:val="24"/>
          <w:szCs w:val="24"/>
        </w:rPr>
      </w:pPr>
    </w:p>
    <w:p w14:paraId="58B6545F" w14:textId="77777777" w:rsidR="004C16C9" w:rsidRPr="00B07ACC" w:rsidRDefault="004C16C9" w:rsidP="0096339E">
      <w:pPr>
        <w:pStyle w:val="Heading2"/>
        <w:rPr>
          <w:rFonts w:ascii="Times New Roman" w:hAnsi="Times New Roman" w:cs="Times New Roman"/>
          <w:color w:val="000000" w:themeColor="text1"/>
          <w:sz w:val="24"/>
          <w:szCs w:val="24"/>
        </w:rPr>
      </w:pPr>
      <w:r w:rsidRPr="00B07ACC">
        <w:rPr>
          <w:rFonts w:ascii="Times New Roman" w:hAnsi="Times New Roman" w:cs="Times New Roman"/>
          <w:color w:val="000000" w:themeColor="text1"/>
          <w:sz w:val="24"/>
          <w:szCs w:val="24"/>
        </w:rPr>
        <w:t xml:space="preserve">Literature search and Identification </w:t>
      </w:r>
    </w:p>
    <w:p w14:paraId="65CF9BFF" w14:textId="77777777" w:rsidR="004C16C9" w:rsidRPr="0096339E" w:rsidRDefault="004C16C9"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This study followed the principles and guidelines of the Preferred Reporting Items for Systematic Reviews and Meta-Analyses (PRISMA), which is a set of guidelines designed to help researchers report systematic reviews and meta-analyses clearly and transparently. This method according to </w:t>
      </w:r>
      <w:r w:rsidRPr="0096339E">
        <w:rPr>
          <w:rFonts w:ascii="Times New Roman" w:hAnsi="Times New Roman" w:cs="Times New Roman"/>
          <w:sz w:val="24"/>
          <w:szCs w:val="24"/>
        </w:rPr>
        <w:fldChar w:fldCharType="begin" w:fldLock="1"/>
      </w:r>
      <w:r w:rsidR="0012094B" w:rsidRPr="0096339E">
        <w:rPr>
          <w:rFonts w:ascii="Times New Roman" w:hAnsi="Times New Roman" w:cs="Times New Roman"/>
          <w:sz w:val="24"/>
          <w:szCs w:val="24"/>
        </w:rPr>
        <w:instrText>ADDIN CSL_CITATION {"citationItems":[{"id":"ITEM-1","itemData":{"DOI":"10.1186/s13643-015-0174-4","ISSN":"2046-4053","author":[{"dropping-particle":"","family":"Lee","given":"Andrew W.","non-dropping-particle":"","parse-names":false,"suffix":""}],"container-title":"Systematic Reviews","id":"ITEM-1","issue":"1","issued":{"date-parts":[["2016","12","19"]]},"page":"8","title":"Use of network meta-analysis in systematic reviews: a survey of authors","type":"article-journal","volume":"5"},"uris":["http://www.mendeley.com/documents/?uuid=26c1fcad-7000-44a2-a256-ddb0d64eac87"]}],"mendeley":{"formattedCitation":"(Lee, 2016)","plainTextFormattedCitation":"(Lee, 2016)","previouslyFormattedCitation":"(Lee, 2016)"},"properties":{"noteIndex":0},"schema":"https://github.com/citation-style-language/schema/raw/master/csl-citation.json"}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(Lee, 2016)</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ensures that studies are accurately and comprehensively presented, allowing readers to assess the quality and reliability of the findings.</w:t>
      </w:r>
    </w:p>
    <w:p w14:paraId="68A07D85" w14:textId="77777777" w:rsidR="00A10486" w:rsidRPr="0096339E" w:rsidRDefault="00A10486" w:rsidP="0096339E">
      <w:pPr>
        <w:jc w:val="both"/>
        <w:rPr>
          <w:rFonts w:ascii="Times New Roman" w:hAnsi="Times New Roman" w:cs="Times New Roman"/>
          <w:sz w:val="24"/>
          <w:szCs w:val="24"/>
        </w:rPr>
      </w:pPr>
      <w:r w:rsidRPr="0096339E">
        <w:rPr>
          <w:rFonts w:ascii="Times New Roman" w:hAnsi="Times New Roman" w:cs="Times New Roman"/>
          <w:sz w:val="24"/>
          <w:szCs w:val="24"/>
        </w:rPr>
        <w:t xml:space="preserve">The literature search was conducted on Web of Science and </w:t>
      </w:r>
      <w:proofErr w:type="spellStart"/>
      <w:r w:rsidRPr="0096339E">
        <w:rPr>
          <w:rFonts w:ascii="Times New Roman" w:hAnsi="Times New Roman" w:cs="Times New Roman"/>
          <w:sz w:val="24"/>
          <w:szCs w:val="24"/>
        </w:rPr>
        <w:t>Ebscore</w:t>
      </w:r>
      <w:proofErr w:type="spellEnd"/>
      <w:r w:rsidRPr="0096339E">
        <w:rPr>
          <w:rFonts w:ascii="Times New Roman" w:hAnsi="Times New Roman" w:cs="Times New Roman"/>
          <w:sz w:val="24"/>
          <w:szCs w:val="24"/>
        </w:rPr>
        <w:t>, using the following methods and keywords for the search: title, abstract, and keywords including vocational education or training, curriculum OR program OR syllabus, adaptability OR flexibility OR responsiveness, and China. The literatu</w:t>
      </w:r>
      <w:r w:rsidR="005A1D2E" w:rsidRPr="0096339E">
        <w:rPr>
          <w:rFonts w:ascii="Times New Roman" w:hAnsi="Times New Roman" w:cs="Times New Roman"/>
          <w:sz w:val="24"/>
          <w:szCs w:val="24"/>
        </w:rPr>
        <w:t>re search i</w:t>
      </w:r>
      <w:r w:rsidR="00D30720">
        <w:rPr>
          <w:rFonts w:ascii="Times New Roman" w:hAnsi="Times New Roman" w:cs="Times New Roman"/>
          <w:sz w:val="24"/>
          <w:szCs w:val="24"/>
        </w:rPr>
        <w:t>nterval was from 2010 to October 2024</w:t>
      </w:r>
      <w:r w:rsidRPr="0096339E">
        <w:rPr>
          <w:rFonts w:ascii="Times New Roman" w:hAnsi="Times New Roman" w:cs="Times New Roman"/>
          <w:sz w:val="24"/>
          <w:szCs w:val="24"/>
        </w:rPr>
        <w:t>, generating 735 abstracts.</w:t>
      </w:r>
    </w:p>
    <w:p w14:paraId="6FFC4921" w14:textId="77777777" w:rsidR="00A10486" w:rsidRPr="0096339E" w:rsidRDefault="00A10486" w:rsidP="0096339E">
      <w:pPr>
        <w:jc w:val="both"/>
        <w:rPr>
          <w:rFonts w:ascii="Times New Roman" w:hAnsi="Times New Roman" w:cs="Times New Roman"/>
          <w:sz w:val="24"/>
          <w:szCs w:val="24"/>
        </w:rPr>
      </w:pPr>
      <w:r w:rsidRPr="0096339E">
        <w:rPr>
          <w:rFonts w:ascii="Times New Roman" w:hAnsi="Times New Roman" w:cs="Times New Roman"/>
          <w:sz w:val="24"/>
          <w:szCs w:val="24"/>
        </w:rPr>
        <w:lastRenderedPageBreak/>
        <w:t>The relevant literature</w:t>
      </w:r>
      <w:r w:rsidR="00B01426">
        <w:rPr>
          <w:rFonts w:ascii="Times New Roman" w:hAnsi="Times New Roman" w:cs="Times New Roman"/>
          <w:sz w:val="24"/>
          <w:szCs w:val="24"/>
        </w:rPr>
        <w:t>s were</w:t>
      </w:r>
      <w:r w:rsidRPr="0096339E">
        <w:rPr>
          <w:rFonts w:ascii="Times New Roman" w:hAnsi="Times New Roman" w:cs="Times New Roman"/>
          <w:sz w:val="24"/>
          <w:szCs w:val="24"/>
        </w:rPr>
        <w:t xml:space="preserve"> screened according to the </w:t>
      </w:r>
      <w:r w:rsidR="00B01426">
        <w:rPr>
          <w:rFonts w:ascii="Times New Roman" w:hAnsi="Times New Roman" w:cs="Times New Roman"/>
          <w:sz w:val="24"/>
          <w:szCs w:val="24"/>
        </w:rPr>
        <w:t>process shown in Figure 1 below</w:t>
      </w:r>
      <w:r w:rsidRPr="0096339E">
        <w:rPr>
          <w:rFonts w:ascii="Times New Roman" w:hAnsi="Times New Roman" w:cs="Times New Roman"/>
          <w:sz w:val="24"/>
          <w:szCs w:val="24"/>
        </w:rPr>
        <w:t>. The screening was then carried out in the following steps:</w:t>
      </w:r>
    </w:p>
    <w:p w14:paraId="3C8E73D2" w14:textId="77777777" w:rsidR="00A10486" w:rsidRPr="0096339E" w:rsidRDefault="00A10486" w:rsidP="0096339E">
      <w:pPr>
        <w:pStyle w:val="ListParagraph"/>
        <w:numPr>
          <w:ilvl w:val="0"/>
          <w:numId w:val="3"/>
        </w:numPr>
        <w:rPr>
          <w:rFonts w:ascii="Times New Roman" w:hAnsi="Times New Roman" w:cs="Times New Roman"/>
          <w:sz w:val="24"/>
          <w:szCs w:val="24"/>
        </w:rPr>
      </w:pPr>
      <w:r w:rsidRPr="0096339E">
        <w:rPr>
          <w:rFonts w:ascii="Times New Roman" w:hAnsi="Times New Roman" w:cs="Times New Roman"/>
          <w:sz w:val="24"/>
          <w:szCs w:val="24"/>
        </w:rPr>
        <w:t>The topic of the study was the adaptability of vocational education curricula to the evolving labor market needs.</w:t>
      </w:r>
    </w:p>
    <w:p w14:paraId="3FFE0A71" w14:textId="77777777" w:rsidR="00A10486" w:rsidRPr="0096339E" w:rsidRDefault="00A10486" w:rsidP="0096339E">
      <w:pPr>
        <w:pStyle w:val="ListParagraph"/>
        <w:numPr>
          <w:ilvl w:val="0"/>
          <w:numId w:val="3"/>
        </w:numPr>
        <w:rPr>
          <w:rFonts w:ascii="Times New Roman" w:hAnsi="Times New Roman" w:cs="Times New Roman"/>
          <w:sz w:val="24"/>
          <w:szCs w:val="24"/>
        </w:rPr>
      </w:pPr>
      <w:r w:rsidRPr="0096339E">
        <w:rPr>
          <w:rFonts w:ascii="Times New Roman" w:hAnsi="Times New Roman" w:cs="Times New Roman"/>
          <w:sz w:val="24"/>
          <w:szCs w:val="24"/>
        </w:rPr>
        <w:t>The content of the study was highly relevant to vocational education curriculum.</w:t>
      </w:r>
    </w:p>
    <w:p w14:paraId="0FE37203" w14:textId="77777777" w:rsidR="00A10486" w:rsidRPr="0096339E" w:rsidRDefault="00A10486" w:rsidP="0096339E">
      <w:pPr>
        <w:pStyle w:val="ListParagraph"/>
        <w:numPr>
          <w:ilvl w:val="0"/>
          <w:numId w:val="3"/>
        </w:numPr>
        <w:rPr>
          <w:rFonts w:ascii="Times New Roman" w:hAnsi="Times New Roman" w:cs="Times New Roman"/>
          <w:sz w:val="24"/>
          <w:szCs w:val="24"/>
        </w:rPr>
      </w:pPr>
      <w:r w:rsidRPr="0096339E">
        <w:rPr>
          <w:rFonts w:ascii="Times New Roman" w:hAnsi="Times New Roman" w:cs="Times New Roman"/>
          <w:sz w:val="24"/>
          <w:szCs w:val="24"/>
        </w:rPr>
        <w:t>The object of the study was highly relevant to vocational education in China.</w:t>
      </w:r>
    </w:p>
    <w:p w14:paraId="23999237" w14:textId="77777777" w:rsidR="00A10486" w:rsidRPr="0096339E" w:rsidRDefault="00B01426" w:rsidP="0096339E">
      <w:pPr>
        <w:jc w:val="both"/>
        <w:rPr>
          <w:rFonts w:ascii="Times New Roman" w:hAnsi="Times New Roman" w:cs="Times New Roman"/>
          <w:sz w:val="24"/>
          <w:szCs w:val="24"/>
        </w:rPr>
      </w:pPr>
      <w:r>
        <w:rPr>
          <w:rFonts w:ascii="Times New Roman" w:hAnsi="Times New Roman" w:cs="Times New Roman"/>
          <w:sz w:val="24"/>
          <w:szCs w:val="24"/>
        </w:rPr>
        <w:t xml:space="preserve">Through the above screening; </w:t>
      </w:r>
      <w:r w:rsidR="00A10486" w:rsidRPr="0096339E">
        <w:rPr>
          <w:rFonts w:ascii="Times New Roman" w:hAnsi="Times New Roman" w:cs="Times New Roman"/>
          <w:sz w:val="24"/>
          <w:szCs w:val="24"/>
        </w:rPr>
        <w:t>301 articles were excluded for not being rele</w:t>
      </w:r>
      <w:r>
        <w:rPr>
          <w:rFonts w:ascii="Times New Roman" w:hAnsi="Times New Roman" w:cs="Times New Roman"/>
          <w:sz w:val="24"/>
          <w:szCs w:val="24"/>
        </w:rPr>
        <w:t xml:space="preserve">vant to curriculum adaptability, </w:t>
      </w:r>
      <w:r w:rsidR="00A10486" w:rsidRPr="0096339E">
        <w:rPr>
          <w:rFonts w:ascii="Times New Roman" w:hAnsi="Times New Roman" w:cs="Times New Roman"/>
          <w:sz w:val="24"/>
          <w:szCs w:val="24"/>
        </w:rPr>
        <w:t>177 articles were excluded for not being in the research settings.</w:t>
      </w:r>
      <w:r>
        <w:rPr>
          <w:rFonts w:ascii="Times New Roman" w:hAnsi="Times New Roman" w:cs="Times New Roman"/>
          <w:sz w:val="24"/>
          <w:szCs w:val="24"/>
        </w:rPr>
        <w:t xml:space="preserve"> </w:t>
      </w:r>
      <w:r w:rsidR="00A10486" w:rsidRPr="0096339E">
        <w:rPr>
          <w:rFonts w:ascii="Times New Roman" w:hAnsi="Times New Roman" w:cs="Times New Roman"/>
          <w:sz w:val="24"/>
          <w:szCs w:val="24"/>
        </w:rPr>
        <w:t>After a full-text review of the remaining 54 abstracts, 18 secondary source studies were excluded, resulting in 36 publications for detailed evaluation.</w:t>
      </w:r>
    </w:p>
    <w:p w14:paraId="558B1980" w14:textId="77777777" w:rsidR="007B6B36" w:rsidRPr="0096339E" w:rsidRDefault="005A1D2E" w:rsidP="0096339E">
      <w:pPr>
        <w:keepNext/>
        <w:jc w:val="both"/>
        <w:rPr>
          <w:rFonts w:ascii="Times New Roman" w:hAnsi="Times New Roman" w:cs="Times New Roman"/>
          <w:sz w:val="24"/>
          <w:szCs w:val="24"/>
        </w:rPr>
      </w:pPr>
      <w:r w:rsidRPr="0096339E">
        <w:rPr>
          <w:rFonts w:ascii="Times New Roman" w:hAnsi="Times New Roman" w:cs="Times New Roman"/>
          <w:noProof/>
          <w:sz w:val="24"/>
          <w:szCs w:val="24"/>
        </w:rPr>
        <w:drawing>
          <wp:inline distT="0" distB="0" distL="0" distR="0" wp14:anchorId="03C6D88B" wp14:editId="7E6DEC43">
            <wp:extent cx="5943600" cy="3010507"/>
            <wp:effectExtent l="76200" t="57150" r="76200" b="9525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45E3551" w14:textId="77777777" w:rsidR="005A1D2E" w:rsidRPr="00F10001" w:rsidRDefault="007B6B36" w:rsidP="0096339E">
      <w:pPr>
        <w:pStyle w:val="Caption"/>
        <w:jc w:val="both"/>
        <w:rPr>
          <w:rFonts w:ascii="Times New Roman" w:hAnsi="Times New Roman" w:cs="Times New Roman"/>
          <w:i/>
          <w:color w:val="000000" w:themeColor="text1"/>
        </w:rPr>
      </w:pPr>
      <w:r w:rsidRPr="00F10001">
        <w:rPr>
          <w:rFonts w:ascii="Times New Roman" w:hAnsi="Times New Roman" w:cs="Times New Roman"/>
          <w:i/>
          <w:color w:val="000000" w:themeColor="text1"/>
        </w:rPr>
        <w:t xml:space="preserve">Figure </w:t>
      </w:r>
      <w:r w:rsidRPr="00F10001">
        <w:rPr>
          <w:rFonts w:ascii="Times New Roman" w:hAnsi="Times New Roman" w:cs="Times New Roman"/>
          <w:i/>
          <w:color w:val="000000" w:themeColor="text1"/>
        </w:rPr>
        <w:fldChar w:fldCharType="begin"/>
      </w:r>
      <w:r w:rsidRPr="00F10001">
        <w:rPr>
          <w:rFonts w:ascii="Times New Roman" w:hAnsi="Times New Roman" w:cs="Times New Roman"/>
          <w:i/>
          <w:color w:val="000000" w:themeColor="text1"/>
        </w:rPr>
        <w:instrText xml:space="preserve"> SEQ Figure \* ARABIC </w:instrText>
      </w:r>
      <w:r w:rsidRPr="00F10001">
        <w:rPr>
          <w:rFonts w:ascii="Times New Roman" w:hAnsi="Times New Roman" w:cs="Times New Roman"/>
          <w:i/>
          <w:color w:val="000000" w:themeColor="text1"/>
        </w:rPr>
        <w:fldChar w:fldCharType="separate"/>
      </w:r>
      <w:r w:rsidR="00A747C9" w:rsidRPr="00F10001">
        <w:rPr>
          <w:rFonts w:ascii="Times New Roman" w:hAnsi="Times New Roman" w:cs="Times New Roman"/>
          <w:i/>
          <w:noProof/>
          <w:color w:val="000000" w:themeColor="text1"/>
        </w:rPr>
        <w:t>1</w:t>
      </w:r>
      <w:r w:rsidRPr="00F10001">
        <w:rPr>
          <w:rFonts w:ascii="Times New Roman" w:hAnsi="Times New Roman" w:cs="Times New Roman"/>
          <w:i/>
          <w:color w:val="000000" w:themeColor="text1"/>
        </w:rPr>
        <w:fldChar w:fldCharType="end"/>
      </w:r>
      <w:r w:rsidRPr="00F10001">
        <w:rPr>
          <w:rFonts w:ascii="Times New Roman" w:hAnsi="Times New Roman" w:cs="Times New Roman"/>
          <w:i/>
          <w:color w:val="000000" w:themeColor="text1"/>
        </w:rPr>
        <w:t xml:space="preserve"> Flowchart of literature search and selection</w:t>
      </w:r>
    </w:p>
    <w:p w14:paraId="3D303AE5" w14:textId="77777777" w:rsidR="007B6B36" w:rsidRPr="00F51E6B" w:rsidRDefault="007B6B36" w:rsidP="005B5601">
      <w:pPr>
        <w:pStyle w:val="Heading1"/>
        <w:rPr>
          <w:rFonts w:ascii="Times New Roman" w:hAnsi="Times New Roman" w:cs="Times New Roman"/>
          <w:color w:val="000000" w:themeColor="text1"/>
          <w:sz w:val="24"/>
          <w:szCs w:val="24"/>
        </w:rPr>
      </w:pPr>
      <w:r w:rsidRPr="00F51E6B">
        <w:rPr>
          <w:rFonts w:ascii="Times New Roman" w:hAnsi="Times New Roman" w:cs="Times New Roman"/>
          <w:color w:val="000000" w:themeColor="text1"/>
          <w:sz w:val="24"/>
          <w:szCs w:val="24"/>
        </w:rPr>
        <w:lastRenderedPageBreak/>
        <w:t>Findings</w:t>
      </w:r>
    </w:p>
    <w:p w14:paraId="7E502E31" w14:textId="77777777" w:rsidR="007B6B36" w:rsidRPr="00F51E6B" w:rsidRDefault="009D5152" w:rsidP="0096339E">
      <w:pPr>
        <w:pStyle w:val="Heading2"/>
        <w:rPr>
          <w:rFonts w:ascii="Times New Roman" w:hAnsi="Times New Roman" w:cs="Times New Roman"/>
          <w:color w:val="000000" w:themeColor="text1"/>
          <w:sz w:val="24"/>
          <w:szCs w:val="24"/>
        </w:rPr>
      </w:pPr>
      <w:r w:rsidRPr="00F51E6B">
        <w:rPr>
          <w:rFonts w:ascii="Times New Roman" w:hAnsi="Times New Roman" w:cs="Times New Roman"/>
          <w:color w:val="000000" w:themeColor="text1"/>
          <w:sz w:val="24"/>
          <w:szCs w:val="24"/>
        </w:rPr>
        <w:t>Current State of Vocational Education in China</w:t>
      </w:r>
    </w:p>
    <w:p w14:paraId="6509072F" w14:textId="77777777" w:rsidR="0012094B" w:rsidRPr="0096339E" w:rsidRDefault="0012094B" w:rsidP="0096339E">
      <w:pPr>
        <w:jc w:val="both"/>
        <w:rPr>
          <w:rFonts w:ascii="Times New Roman" w:hAnsi="Times New Roman" w:cs="Times New Roman"/>
          <w:sz w:val="24"/>
          <w:szCs w:val="24"/>
        </w:rPr>
      </w:pPr>
      <w:r w:rsidRPr="0096339E">
        <w:rPr>
          <w:rFonts w:ascii="Times New Roman" w:hAnsi="Times New Roman" w:cs="Times New Roman"/>
          <w:sz w:val="24"/>
          <w:szCs w:val="24"/>
        </w:rPr>
        <w:t>Vocational and technical education and training (TVET) in China has undergone significant changes, particularly since the reforms and opening up in 1978. According to</w:t>
      </w:r>
      <w:r w:rsidR="00B01426">
        <w:rPr>
          <w:rFonts w:ascii="Times New Roman" w:hAnsi="Times New Roman" w:cs="Times New Roman"/>
          <w:sz w:val="24"/>
          <w:szCs w:val="24"/>
        </w:rPr>
        <w:t xml:space="preserve"> </w:t>
      </w:r>
      <w:r w:rsidRPr="0096339E">
        <w:rPr>
          <w:rFonts w:ascii="Times New Roman" w:hAnsi="Times New Roman" w:cs="Times New Roman"/>
          <w:sz w:val="24"/>
          <w:szCs w:val="24"/>
        </w:rPr>
        <w:fldChar w:fldCharType="begin" w:fldLock="1"/>
      </w:r>
      <w:r w:rsidRPr="0096339E">
        <w:rPr>
          <w:rFonts w:ascii="Times New Roman" w:hAnsi="Times New Roman" w:cs="Times New Roman"/>
          <w:sz w:val="24"/>
          <w:szCs w:val="24"/>
        </w:rPr>
        <w:instrText>ADDIN CSL_CITATION {"citationItems":[{"id":"ITEM-1","itemData":{"DOI":"10.53894/ijirss.v7i1.2606","ISSN":"2617-6548","abstract":"Vocational and technical education and training (TVET) in China is a key pathway to enhance labor productivity and drive economic development. Since the initiation of reforms and opening up, under the high attention of the Chinese government, we have experienced rapid development, from quantity expansion to quality improvement. This article delves into the current status and development trends of vocational and technical education in China, analyzing it from various aspects such as the legal environment, infrastructure, teacher enhancement, teaching methods, and cultural context. This paper conducts macro-research and analysis through policies and regulations and refers to relevant papers from Google Scholar and CNKI for micro-analysis. A telephonic interview was carried out with a total of 38 participants from four different vocational schools, industries, and enterprises. The user conducted similarity and differentiation comparisons using both Excel and Mind Mapping software. The research shows that China's vocational education market has entered a phase of rapid growth, and online education has also seen substantial development. However, due to China's vast territory and constraints arising from economic development and regional disparities, as well as diverse ethnic and cultural factors, vocational education and training (TVET) still faces numerous challenges, such as uneven economic and industry development, urban-rural disparities, teacher shortages, and the separation of schools and enterprises. This article aims to provide insights into the development of vocational and technical education and training from the perspectives of personalized education, talent cultivation, and talent needs. It is intended to expand and enhance the influence of vocational education development and broaden the perspective of vocational and technical talents.","author":[{"dropping-particle":"","family":"Fan","given":"Yinghui","non-dropping-particle":"","parse-names":false,"suffix":""},{"dropping-particle":"","family":"Zheng","given":"Haiyan","non-dropping-particle":"","parse-names":false,"suffix":""},{"dropping-particle":"","family":"Ebonite","given":"Romeo Salvo","non-dropping-particle":"","parse-names":false,"suffix":""},{"dropping-particle":"De","family":"Asis","given":"Werson Role","non-dropping-particle":"","parse-names":false,"suffix":""},{"dropping-particle":"","family":"Juanatas","given":"Ronaldo Antalan","non-dropping-particle":"","parse-names":false,"suffix":""}],"container-title":"International Journal of Innovative Research and Scientific Studies","id":"ITEM-1","issue":"1","issued":{"date-parts":[["2024","1","19"]]},"page":"251-260","title":"Overview and developmental analysis of China's technical and vocational education and training","type":"article-journal","volume":"7"},"uris":["http://www.mendeley.com/documents/?uuid=355dea48-a240-4fad-9b84-1ec973df6ba1"]}],"mendeley":{"formattedCitation":"(Fan et al., 2024)","plainTextFormattedCitation":"(Fan et al., 2024)","previouslyFormattedCitation":"(Fan et al., 2024)"},"properties":{"noteIndex":0},"schema":"https://github.com/citation-style-language/schema/raw/master/csl-citation.json"}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(Fan et al., 2024)</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these reforms have led to a rapid transition from quantity expansion to quality improvement in vocational education. Initially, the focus was on increasing the number of vocational schools, but over time, the emphasis has shifted to ensuring the quality of education provided. This shift has positively impacted the workforce and the economy by enhancing labor productivity and driving economic development.</w:t>
      </w:r>
    </w:p>
    <w:p w14:paraId="266579CE" w14:textId="77777777" w:rsidR="0012094B" w:rsidRPr="0096339E" w:rsidRDefault="0012094B" w:rsidP="0096339E">
      <w:pPr>
        <w:jc w:val="both"/>
        <w:rPr>
          <w:rFonts w:ascii="Times New Roman" w:hAnsi="Times New Roman" w:cs="Times New Roman"/>
          <w:sz w:val="24"/>
          <w:szCs w:val="24"/>
        </w:rPr>
      </w:pPr>
      <w:r w:rsidRPr="0096339E">
        <w:rPr>
          <w:rFonts w:ascii="Times New Roman" w:hAnsi="Times New Roman" w:cs="Times New Roman"/>
          <w:sz w:val="24"/>
          <w:szCs w:val="24"/>
        </w:rPr>
        <w:fldChar w:fldCharType="begin" w:fldLock="1"/>
      </w:r>
      <w:r w:rsidRPr="0096339E">
        <w:rPr>
          <w:rFonts w:ascii="Times New Roman" w:hAnsi="Times New Roman" w:cs="Times New Roman"/>
          <w:sz w:val="24"/>
          <w:szCs w:val="24"/>
        </w:rPr>
        <w:instrText>ADDIN CSL_CITATION {"citationItems":[{"id":"ITEM-1","itemData":{"DOI":"10.54254/2753-7048/52/20241598","ISSN":"2753-7048","abstract":"In recent years, although the state has increased support for vocational education from multiple aspects, China's vocational education development still faces some challenges. This research aims to explore the significance of VET and the development pathway for VET in an employment-oriented context. This paper argues that it is necessary to adhere to the development direction of \"employment and entrepreneurship\" and provide innovative development and operation mechanisms for vocational education products or services in the field of vocational education. Its essence is the deep integration of industry and education, school-enterprise cooperation, and an innovative measure to cultivate qualified technical and skilled talents to meet the talent needs of the labor market. This paper emphasizes that to better adapt to the pressures brought about by changes in the employment environment, it is necessary to accelerate the construction of a high-quality vocational education system, effectively improve the quality of vocational education and training, and ensure that vocational education closely aligns with the economic and social development needs and seamlessly meets the actual employment standards of industries and enterprises.","author":[{"dropping-particle":"","family":"Xu","given":"Ziyi","non-dropping-particle":"","parse-names":false,"suffix":""}],"container-title":"Lecture Notes in Education Psychology and Public Media","id":"ITEM-1","issue":"1","issued":{"date-parts":[["2024","6","4"]]},"page":"212-218","title":"Development Pathways for Vocational Education and Training (VET) in China","type":"article-journal","volume":"52"},"uris":["http://www.mendeley.com/documents/?uuid=e870700d-7093-4bc5-86ce-004aa7d4cac6"]}],"mendeley":{"formattedCitation":"(Z. Xu, 2024)","plainTextFormattedCitation":"(Z. Xu, 2024)","previouslyFormattedCitation":"(Z. Xu, 2024)"},"properties":{"noteIndex":0},"schema":"https://github.com/citation-style-language/schema/raw/master/csl-citation.json"}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(Z. Xu, 2024)</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highlights that the current state of vocational education in China is characterized by increased government support.</w:t>
      </w:r>
      <w:r w:rsidR="0096339E" w:rsidRPr="0096339E">
        <w:rPr>
          <w:rFonts w:ascii="Times New Roman" w:hAnsi="Times New Roman" w:cs="Times New Roman"/>
          <w:sz w:val="24"/>
          <w:szCs w:val="24"/>
        </w:rPr>
        <w:t xml:space="preserve"> This means that vocational education at the moment is one of the government's top priorities which has been receiving various forms of support ranging from finance, equipment, infrastructure and the like.</w:t>
      </w:r>
      <w:r w:rsidRPr="0096339E">
        <w:rPr>
          <w:rFonts w:ascii="Times New Roman" w:hAnsi="Times New Roman" w:cs="Times New Roman"/>
          <w:sz w:val="24"/>
          <w:szCs w:val="24"/>
        </w:rPr>
        <w:t xml:space="preserve"> Vocational education is a key part of the national education system, playing a significant role in preparing individuals for specific careers. This is akin to how traditional schools teach subjects like math and science, but with a focus on imparting specific job-related skills.</w:t>
      </w:r>
    </w:p>
    <w:p w14:paraId="1DFEA49C" w14:textId="77777777" w:rsidR="00F51E6B" w:rsidRPr="0096339E" w:rsidRDefault="0012094B" w:rsidP="0096339E">
      <w:pPr>
        <w:jc w:val="both"/>
        <w:rPr>
          <w:rFonts w:ascii="Times New Roman" w:hAnsi="Times New Roman" w:cs="Times New Roman"/>
          <w:sz w:val="24"/>
          <w:szCs w:val="24"/>
        </w:rPr>
      </w:pPr>
      <w:r w:rsidRPr="0096339E">
        <w:rPr>
          <w:rFonts w:ascii="Times New Roman" w:hAnsi="Times New Roman" w:cs="Times New Roman"/>
          <w:sz w:val="24"/>
          <w:szCs w:val="24"/>
        </w:rPr>
        <w:fldChar w:fldCharType="begin" w:fldLock="1"/>
      </w:r>
      <w:r w:rsidR="00536A23">
        <w:rPr>
          <w:rFonts w:ascii="Times New Roman" w:hAnsi="Times New Roman" w:cs="Times New Roman"/>
          <w:sz w:val="24"/>
          <w:szCs w:val="24"/>
        </w:rPr>
        <w:instrText>ADDIN CSL_CITATION {"citationItems":[{"id":"ITEM-1","itemData":{"DOI":"10.52783/jes.3259","ISSN":"1112-5209","abstract":"Wenzhou City, one of the key areas in China for private economic development, has been actively pushing for the deep integration of the private sector and vocational education in recent years, seizing the chance presented by the \"Ministry and Province Co-constructing\" National Highland of Vocational Education Innovation pilot project. This study attempts to investigate the creative growth path by using the integration of the private business and vocational education in Wenzhou City as the research object and the \"four-chain-driven\" model as the theoretical foundation. This study determines the research status, issues, and influencing factors of the industry and education integration mode by methodically arranging the academic history and dynamics of related research both domestically and internationally. It also incorporates the chain theory into the relevant research on the evolution of the integration of industry and education, which offers the theoretical foundation for this investigation. Research on the current state of Wenzhou's integration of the private sector and vocational education, research on influencing factors, and research on the \"four-chain-driven\" model are all included in the study. In order to provide references for governmental decision-making, this study aims to thoroughly analyse the current state of affairs, issues, and potential mechanisms of the integration of the private economy and vocational education in Wenzhou from multiple dimensions through empirical investigation, statistical analysis, and case studies. In the end, this research seeks to create an innovative \"four-chain-driven\" model of industry-education integration and development that is in line with Wenzhou's real circumstances. It also offers theoretical direction and doable avenues for Wenzhou to achieve superior industry-education integration development.","author":[{"dropping-particle":"","family":"Xin Lin","given":"","non-dropping-particle":"","parse-names":false,"suffix":""}],"container-title":"Journal of Electrical Systems","id":"ITEM-1","issue":"7s","issued":{"date-parts":[["2024","5","4"]]},"page":"160-170","title":"The Development Path of Wenzhou's Integration of the Private Economy and Vocational Education Under the \"Four Chain Drive\" Model","type":"article-journal","volume":"20"},"uris":["http://www.mendeley.com/documents/?uuid=878a86f4-8407-4f23-95b1-c233679d433e"]}],"mendeley":{"formattedCitation":"(Xin Lin, 2024)","plainTextFormattedCitation":"(Xin Lin, 2024)","previouslyFormattedCitation":"(Xin Lin, 2024)"},"properties":{"noteIndex":0},"schema":"https://github.com/citation-style-language/schema/raw/master/csl-citation.json"}</w:instrText>
      </w:r>
      <w:r w:rsidRPr="0096339E">
        <w:rPr>
          <w:rFonts w:ascii="Times New Roman" w:hAnsi="Times New Roman" w:cs="Times New Roman"/>
          <w:sz w:val="24"/>
          <w:szCs w:val="24"/>
        </w:rPr>
        <w:fldChar w:fldCharType="separate"/>
      </w:r>
      <w:r w:rsidRPr="0096339E">
        <w:rPr>
          <w:rFonts w:ascii="Times New Roman" w:hAnsi="Times New Roman" w:cs="Times New Roman"/>
          <w:noProof/>
          <w:sz w:val="24"/>
          <w:szCs w:val="24"/>
        </w:rPr>
        <w:t>(Xin Lin, 2024)</w:t>
      </w:r>
      <w:r w:rsidRPr="0096339E">
        <w:rPr>
          <w:rFonts w:ascii="Times New Roman" w:hAnsi="Times New Roman" w:cs="Times New Roman"/>
          <w:sz w:val="24"/>
          <w:szCs w:val="24"/>
        </w:rPr>
        <w:fldChar w:fldCharType="end"/>
      </w:r>
      <w:r w:rsidRPr="0096339E">
        <w:rPr>
          <w:rFonts w:ascii="Times New Roman" w:hAnsi="Times New Roman" w:cs="Times New Roman"/>
          <w:sz w:val="24"/>
          <w:szCs w:val="24"/>
        </w:rPr>
        <w:t xml:space="preserve"> further elaborates on the development of vocational education, particularly in regions like Wenzhou City. The integration of the private sector with vocational education is seen as crucial for enhancing technical skills, promoting industrial advancement, and driving economic growth. This integration aligns with the increasing importance of the private economy in China, highlighting the role of vocational education in supporting economic development through the cultivation of a skilled workforce.</w:t>
      </w:r>
    </w:p>
    <w:p w14:paraId="4CFDC72B" w14:textId="77777777" w:rsidR="009D5152" w:rsidRPr="00F51E6B" w:rsidRDefault="00F51E6B" w:rsidP="0013482E">
      <w:pPr>
        <w:pStyle w:val="Heading2"/>
        <w:rPr>
          <w:color w:val="000000" w:themeColor="text1"/>
        </w:rPr>
      </w:pPr>
      <w:r>
        <w:rPr>
          <w:color w:val="000000" w:themeColor="text1"/>
        </w:rPr>
        <w:lastRenderedPageBreak/>
        <w:t>Key Policies and Ref</w:t>
      </w:r>
      <w:r w:rsidR="00C1407B">
        <w:rPr>
          <w:color w:val="000000" w:themeColor="text1"/>
        </w:rPr>
        <w:t>orms</w:t>
      </w:r>
    </w:p>
    <w:p w14:paraId="3ECE95F0" w14:textId="77777777" w:rsidR="0013482E" w:rsidRPr="00837A86" w:rsidRDefault="00F80FE5" w:rsidP="0013482E">
      <w:pPr>
        <w:rPr>
          <w:rFonts w:ascii="Times New Roman" w:hAnsi="Times New Roman" w:cs="Times New Roman"/>
          <w:sz w:val="24"/>
          <w:szCs w:val="24"/>
        </w:rPr>
      </w:pPr>
      <w:r w:rsidRPr="00837A86">
        <w:rPr>
          <w:rFonts w:ascii="Times New Roman" w:hAnsi="Times New Roman" w:cs="Times New Roman"/>
          <w:sz w:val="24"/>
          <w:szCs w:val="24"/>
        </w:rPr>
        <w:t>Several key policies and reforms have significantly influenced the development and current state of vocational education in China. The major game changers are highlighted in the table below:</w:t>
      </w:r>
    </w:p>
    <w:p w14:paraId="165ADF72" w14:textId="77777777" w:rsidR="005B5601" w:rsidRPr="005B5601" w:rsidRDefault="00F10001" w:rsidP="005B5601">
      <w:pPr>
        <w:pStyle w:val="Caption"/>
        <w:keepNext/>
        <w:rPr>
          <w:rFonts w:ascii="Times New Roman" w:hAnsi="Times New Roman" w:cs="Times New Roman"/>
          <w:i/>
          <w:color w:val="auto"/>
        </w:rPr>
      </w:pPr>
      <w:r>
        <w:rPr>
          <w:rFonts w:ascii="Times New Roman" w:hAnsi="Times New Roman" w:cs="Times New Roman"/>
          <w:i/>
          <w:color w:val="auto"/>
        </w:rPr>
        <w:t xml:space="preserve">Table </w:t>
      </w:r>
      <w:r w:rsidR="005B5601" w:rsidRPr="005B5601">
        <w:rPr>
          <w:rFonts w:ascii="Times New Roman" w:hAnsi="Times New Roman" w:cs="Times New Roman"/>
          <w:i/>
          <w:color w:val="auto"/>
        </w:rPr>
        <w:fldChar w:fldCharType="begin"/>
      </w:r>
      <w:r w:rsidR="005B5601" w:rsidRPr="005B5601">
        <w:rPr>
          <w:rFonts w:ascii="Times New Roman" w:hAnsi="Times New Roman" w:cs="Times New Roman"/>
          <w:i/>
          <w:color w:val="auto"/>
        </w:rPr>
        <w:instrText xml:space="preserve"> SEQ Table \* ARABIC \s 1 </w:instrText>
      </w:r>
      <w:r w:rsidR="005B5601" w:rsidRPr="005B5601">
        <w:rPr>
          <w:rFonts w:ascii="Times New Roman" w:hAnsi="Times New Roman" w:cs="Times New Roman"/>
          <w:i/>
          <w:color w:val="auto"/>
        </w:rPr>
        <w:fldChar w:fldCharType="separate"/>
      </w:r>
      <w:r w:rsidR="005B5601" w:rsidRPr="005B5601">
        <w:rPr>
          <w:rFonts w:ascii="Times New Roman" w:hAnsi="Times New Roman" w:cs="Times New Roman"/>
          <w:i/>
          <w:noProof/>
          <w:color w:val="auto"/>
        </w:rPr>
        <w:t>1</w:t>
      </w:r>
      <w:r w:rsidR="005B5601" w:rsidRPr="005B5601">
        <w:rPr>
          <w:rFonts w:ascii="Times New Roman" w:hAnsi="Times New Roman" w:cs="Times New Roman"/>
          <w:i/>
          <w:color w:val="auto"/>
        </w:rPr>
        <w:fldChar w:fldCharType="end"/>
      </w:r>
      <w:r w:rsidR="005B5601" w:rsidRPr="005B5601">
        <w:rPr>
          <w:rFonts w:ascii="Times New Roman" w:hAnsi="Times New Roman" w:cs="Times New Roman"/>
          <w:i/>
          <w:color w:val="auto"/>
        </w:rPr>
        <w:t>: Key Policies and Reforms Shaping Vocational Education in China</w:t>
      </w:r>
    </w:p>
    <w:tbl>
      <w:tblPr>
        <w:tblStyle w:val="LightGrid-Accent1"/>
        <w:tblpPr w:leftFromText="180" w:rightFromText="180" w:vertAnchor="text" w:tblpXSpec="center" w:tblpY="1"/>
        <w:tblW w:w="0" w:type="auto"/>
        <w:tblLook w:val="04A0" w:firstRow="1" w:lastRow="0" w:firstColumn="1" w:lastColumn="0" w:noHBand="0" w:noVBand="1"/>
      </w:tblPr>
      <w:tblGrid>
        <w:gridCol w:w="2880"/>
        <w:gridCol w:w="3192"/>
        <w:gridCol w:w="3192"/>
      </w:tblGrid>
      <w:tr w:rsidR="00F80FE5" w:rsidRPr="00837A86" w14:paraId="788413E6" w14:textId="77777777" w:rsidTr="005B56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73AE84A" w14:textId="77777777" w:rsidR="00F80FE5" w:rsidRPr="005B5601" w:rsidRDefault="00F80FE5" w:rsidP="00CD51C2">
            <w:pPr>
              <w:jc w:val="center"/>
              <w:rPr>
                <w:rFonts w:ascii="Times New Roman" w:hAnsi="Times New Roman" w:cs="Times New Roman"/>
                <w:sz w:val="20"/>
                <w:szCs w:val="20"/>
              </w:rPr>
            </w:pPr>
            <w:r w:rsidRPr="005B5601">
              <w:rPr>
                <w:rFonts w:ascii="Times New Roman" w:hAnsi="Times New Roman" w:cs="Times New Roman"/>
                <w:sz w:val="20"/>
                <w:szCs w:val="20"/>
              </w:rPr>
              <w:t>Policy/Reform</w:t>
            </w:r>
          </w:p>
        </w:tc>
        <w:tc>
          <w:tcPr>
            <w:tcW w:w="3192" w:type="dxa"/>
          </w:tcPr>
          <w:p w14:paraId="69EE2A7C" w14:textId="77777777" w:rsidR="00F80FE5" w:rsidRPr="005B5601" w:rsidRDefault="00F80FE5" w:rsidP="00CD51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5601">
              <w:rPr>
                <w:rFonts w:ascii="Times New Roman" w:hAnsi="Times New Roman" w:cs="Times New Roman"/>
                <w:sz w:val="20"/>
                <w:szCs w:val="20"/>
              </w:rPr>
              <w:t>Description</w:t>
            </w:r>
          </w:p>
        </w:tc>
        <w:tc>
          <w:tcPr>
            <w:tcW w:w="3192" w:type="dxa"/>
          </w:tcPr>
          <w:p w14:paraId="70E0BB73" w14:textId="77777777" w:rsidR="00F80FE5" w:rsidRPr="005B5601" w:rsidRDefault="00F80FE5" w:rsidP="00CD51C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B5601">
              <w:rPr>
                <w:rFonts w:ascii="Times New Roman" w:hAnsi="Times New Roman" w:cs="Times New Roman"/>
                <w:sz w:val="20"/>
                <w:szCs w:val="20"/>
              </w:rPr>
              <w:t>Impacts</w:t>
            </w:r>
          </w:p>
        </w:tc>
      </w:tr>
      <w:tr w:rsidR="00F80FE5" w:rsidRPr="00837A86" w14:paraId="0E78DEEF" w14:textId="77777777" w:rsidTr="005B5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DFC58C2" w14:textId="77777777" w:rsidR="00F80FE5" w:rsidRPr="00837A86" w:rsidRDefault="00F80FE5" w:rsidP="00CD51C2">
            <w:pPr>
              <w:jc w:val="center"/>
              <w:rPr>
                <w:rFonts w:ascii="Times New Roman" w:hAnsi="Times New Roman" w:cs="Times New Roman"/>
                <w:sz w:val="18"/>
                <w:szCs w:val="18"/>
              </w:rPr>
            </w:pPr>
            <w:r w:rsidRPr="00837A86">
              <w:rPr>
                <w:rFonts w:ascii="Times New Roman" w:hAnsi="Times New Roman" w:cs="Times New Roman"/>
                <w:sz w:val="18"/>
                <w:szCs w:val="18"/>
              </w:rPr>
              <w:t>Reforms and Opening Up (1978)</w:t>
            </w:r>
          </w:p>
        </w:tc>
        <w:tc>
          <w:tcPr>
            <w:tcW w:w="3192" w:type="dxa"/>
          </w:tcPr>
          <w:p w14:paraId="54E61492" w14:textId="77777777" w:rsidR="00F80FE5" w:rsidRPr="00837A86" w:rsidRDefault="00F80FE5"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Economic reforms that opened China to global markets and investment.</w:t>
            </w:r>
          </w:p>
        </w:tc>
        <w:tc>
          <w:tcPr>
            <w:tcW w:w="3192" w:type="dxa"/>
          </w:tcPr>
          <w:p w14:paraId="19AFF5E4" w14:textId="77777777" w:rsidR="00F80FE5" w:rsidRPr="00837A86" w:rsidRDefault="00F80FE5"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Initiated the transition from quantity expansion to quality improvement in vocational education.</w:t>
            </w:r>
          </w:p>
        </w:tc>
      </w:tr>
      <w:tr w:rsidR="00F80FE5" w:rsidRPr="00837A86" w14:paraId="5276CA88" w14:textId="77777777" w:rsidTr="005B5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E0D25A7" w14:textId="77777777" w:rsidR="00F80FE5" w:rsidRPr="00837A86" w:rsidRDefault="00F80FE5" w:rsidP="00CD51C2">
            <w:pPr>
              <w:jc w:val="center"/>
              <w:rPr>
                <w:rFonts w:ascii="Times New Roman" w:hAnsi="Times New Roman" w:cs="Times New Roman"/>
                <w:sz w:val="18"/>
                <w:szCs w:val="18"/>
              </w:rPr>
            </w:pPr>
            <w:r w:rsidRPr="00837A86">
              <w:rPr>
                <w:rFonts w:ascii="Times New Roman" w:hAnsi="Times New Roman" w:cs="Times New Roman"/>
                <w:sz w:val="18"/>
                <w:szCs w:val="18"/>
              </w:rPr>
              <w:t>National Vocational Education Reform Implementation Plan (2019)</w:t>
            </w:r>
          </w:p>
        </w:tc>
        <w:tc>
          <w:tcPr>
            <w:tcW w:w="3192" w:type="dxa"/>
          </w:tcPr>
          <w:p w14:paraId="696A65A9" w14:textId="77777777" w:rsidR="00F80FE5" w:rsidRPr="00837A86" w:rsidRDefault="00F80FE5"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A comprehensive plan to modernize vocational education, including curriculum updates and industry collaboration.</w:t>
            </w:r>
          </w:p>
        </w:tc>
        <w:tc>
          <w:tcPr>
            <w:tcW w:w="3192" w:type="dxa"/>
          </w:tcPr>
          <w:p w14:paraId="31CAF71C" w14:textId="77777777" w:rsidR="00F80FE5" w:rsidRPr="00837A86" w:rsidRDefault="00F80FE5"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Enhanced the quality and relevance of vocational education, fostering industry-education integration.</w:t>
            </w:r>
          </w:p>
        </w:tc>
      </w:tr>
      <w:tr w:rsidR="00F80FE5" w:rsidRPr="00837A86" w14:paraId="1EC6877E" w14:textId="77777777" w:rsidTr="005B5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3244A9AF"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t>Vocational Education Law (2020)</w:t>
            </w:r>
          </w:p>
        </w:tc>
        <w:tc>
          <w:tcPr>
            <w:tcW w:w="3192" w:type="dxa"/>
          </w:tcPr>
          <w:p w14:paraId="0F2E7618"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Legislation to provide legal support for the development of vocational education.</w:t>
            </w:r>
          </w:p>
        </w:tc>
        <w:tc>
          <w:tcPr>
            <w:tcW w:w="3192" w:type="dxa"/>
          </w:tcPr>
          <w:p w14:paraId="04753031"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Strengthened the legal framework, ensuring sustainable development and government support.</w:t>
            </w:r>
          </w:p>
        </w:tc>
      </w:tr>
      <w:tr w:rsidR="00F80FE5" w:rsidRPr="00837A86" w14:paraId="08C1A5D0" w14:textId="77777777" w:rsidTr="005B5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148AF63"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t>Dual System Pilot Programs</w:t>
            </w:r>
          </w:p>
        </w:tc>
        <w:tc>
          <w:tcPr>
            <w:tcW w:w="3192" w:type="dxa"/>
          </w:tcPr>
          <w:p w14:paraId="1C7D2ECD" w14:textId="77777777"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Programs modeled after Germany’s dual system, combining classroom instruction with hands-on training.</w:t>
            </w:r>
          </w:p>
        </w:tc>
        <w:tc>
          <w:tcPr>
            <w:tcW w:w="3192" w:type="dxa"/>
          </w:tcPr>
          <w:p w14:paraId="09792D0B" w14:textId="77777777"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Improved practical skills and employability of students by integrating theoretical and practical learning.</w:t>
            </w:r>
          </w:p>
        </w:tc>
      </w:tr>
      <w:tr w:rsidR="00F80FE5" w:rsidRPr="00837A86" w14:paraId="38B78533" w14:textId="77777777" w:rsidTr="005B56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0802D37D"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t>Private Sector Integration Policies</w:t>
            </w:r>
          </w:p>
        </w:tc>
        <w:tc>
          <w:tcPr>
            <w:tcW w:w="3192" w:type="dxa"/>
          </w:tcPr>
          <w:p w14:paraId="6F781B5A"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Encouraged collaboration between private enterprises and vocational institutions.</w:t>
            </w:r>
          </w:p>
        </w:tc>
        <w:tc>
          <w:tcPr>
            <w:tcW w:w="3192" w:type="dxa"/>
          </w:tcPr>
          <w:p w14:paraId="6DBE4DB2" w14:textId="77777777" w:rsidR="00F80FE5" w:rsidRPr="00837A86" w:rsidRDefault="00837A86" w:rsidP="00CD51C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Promoted industrial advancement and economic growth through enhanced technical skills training</w:t>
            </w:r>
          </w:p>
        </w:tc>
      </w:tr>
      <w:tr w:rsidR="00F80FE5" w:rsidRPr="00837A86" w14:paraId="06224E02" w14:textId="77777777" w:rsidTr="005B560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37DBFC7" w14:textId="77777777" w:rsidR="00F80FE5" w:rsidRPr="00837A86" w:rsidRDefault="00837A86" w:rsidP="00CD51C2">
            <w:pPr>
              <w:jc w:val="center"/>
              <w:rPr>
                <w:rFonts w:ascii="Times New Roman" w:hAnsi="Times New Roman" w:cs="Times New Roman"/>
                <w:sz w:val="18"/>
                <w:szCs w:val="18"/>
              </w:rPr>
            </w:pPr>
            <w:r w:rsidRPr="00837A86">
              <w:rPr>
                <w:rFonts w:ascii="Times New Roman" w:hAnsi="Times New Roman" w:cs="Times New Roman"/>
                <w:sz w:val="18"/>
                <w:szCs w:val="18"/>
              </w:rPr>
              <w:t>Internet Plus Vocational Education (2021)</w:t>
            </w:r>
          </w:p>
        </w:tc>
        <w:tc>
          <w:tcPr>
            <w:tcW w:w="3192" w:type="dxa"/>
          </w:tcPr>
          <w:p w14:paraId="3A3335B9" w14:textId="77777777"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Initiative to incorporate digital technology in vocational training.</w:t>
            </w:r>
          </w:p>
        </w:tc>
        <w:tc>
          <w:tcPr>
            <w:tcW w:w="3192" w:type="dxa"/>
          </w:tcPr>
          <w:p w14:paraId="59A0BA92" w14:textId="77777777" w:rsidR="00F80FE5" w:rsidRPr="00837A86" w:rsidRDefault="00837A86" w:rsidP="00CD51C2">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18"/>
                <w:szCs w:val="18"/>
              </w:rPr>
            </w:pPr>
            <w:r w:rsidRPr="00837A86">
              <w:rPr>
                <w:rFonts w:ascii="Times New Roman" w:hAnsi="Times New Roman" w:cs="Times New Roman"/>
                <w:sz w:val="18"/>
                <w:szCs w:val="18"/>
              </w:rPr>
              <w:t>Expanded access to high-quality vocational education through online platforms and resources.</w:t>
            </w:r>
          </w:p>
        </w:tc>
      </w:tr>
    </w:tbl>
    <w:p w14:paraId="6D174378" w14:textId="77777777" w:rsidR="00F80FE5" w:rsidRDefault="00CD51C2" w:rsidP="0013482E">
      <w:pPr>
        <w:rPr>
          <w:rFonts w:ascii="Times New Roman" w:hAnsi="Times New Roman" w:cs="Times New Roman"/>
          <w:sz w:val="18"/>
          <w:szCs w:val="18"/>
        </w:rPr>
      </w:pPr>
      <w:r>
        <w:rPr>
          <w:rFonts w:ascii="Times New Roman" w:hAnsi="Times New Roman" w:cs="Times New Roman"/>
          <w:sz w:val="18"/>
          <w:szCs w:val="18"/>
        </w:rPr>
        <w:t xml:space="preserve">  </w:t>
      </w:r>
    </w:p>
    <w:p w14:paraId="30843AE5" w14:textId="77777777" w:rsidR="00112FE7" w:rsidRDefault="00536A23" w:rsidP="00536A23">
      <w:pPr>
        <w:jc w:val="both"/>
        <w:rPr>
          <w:rFonts w:ascii="Times New Roman" w:hAnsi="Times New Roman" w:cs="Times New Roman"/>
          <w:sz w:val="24"/>
          <w:szCs w:val="24"/>
        </w:rPr>
      </w:pPr>
      <w:r w:rsidRPr="00536A23">
        <w:rPr>
          <w:rFonts w:ascii="Times New Roman" w:hAnsi="Times New Roman" w:cs="Times New Roman"/>
          <w:sz w:val="24"/>
          <w:szCs w:val="24"/>
        </w:rPr>
        <w:lastRenderedPageBreak/>
        <w:t>The</w:t>
      </w:r>
      <w:r w:rsidR="00112FE7" w:rsidRPr="00536A23">
        <w:rPr>
          <w:rFonts w:ascii="Times New Roman" w:hAnsi="Times New Roman" w:cs="Times New Roman"/>
          <w:sz w:val="24"/>
          <w:szCs w:val="24"/>
        </w:rPr>
        <w:t xml:space="preserve"> table above depicts that China's vocational education system has evolved significantly due to a series of pivotal policies and reforms. The Reforms and Opening Up of 1978 marked the shift from merely expanding the number of vocational schools to enhancing their quality, initiating the modernization of vocational education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10.1108/IJCED-06-2022-0047","ISSN":"2396-7404","author":[{"dropping-particle":"","family":"Wang","given":"Qiu","non-dropping-particle":"","parse-names":false,"suffix":""},{"dropping-particle":"","family":"Langager","given":"Mark W.","non-dropping-particle":"","parse-names":false,"suffix":""}],"container-title":"International Journal of Comparative Education and Development","id":"ITEM-1","issue":"1","issued":{"date-parts":[["2023","3","13"]]},"page":"40-53","title":"Curricular flexibility: a comparative case study of homeschooling curriculum adjusting in the USA and China","type":"article-journal","volume":"25"},"uris":["http://www.mendeley.com/documents/?uuid=bacdaa45-5047-406d-bf93-0e5c8dde2591"]}],"mendeley":{"formattedCitation":"(Q. Wang &amp; Langager, 2023)","plainTextFormattedCitation":"(Q. Wang &amp; Langager, 2023)","previouslyFormattedCitation":"(Q. Wang &amp; Langager, 2023)"},"properties":{"noteIndex":0},"schema":"https://github.com/citation-style-language/schema/raw/master/csl-citation.json"}</w:instrText>
      </w:r>
      <w:r>
        <w:rPr>
          <w:rFonts w:ascii="Times New Roman" w:hAnsi="Times New Roman" w:cs="Times New Roman"/>
          <w:sz w:val="24"/>
          <w:szCs w:val="24"/>
        </w:rPr>
        <w:fldChar w:fldCharType="separate"/>
      </w:r>
      <w:r w:rsidRPr="00536A23">
        <w:rPr>
          <w:rFonts w:ascii="Times New Roman" w:hAnsi="Times New Roman" w:cs="Times New Roman"/>
          <w:noProof/>
          <w:sz w:val="24"/>
          <w:szCs w:val="24"/>
        </w:rPr>
        <w:t>(Q. Wang &amp; Langager, 2023)</w:t>
      </w:r>
      <w:r>
        <w:rPr>
          <w:rFonts w:ascii="Times New Roman" w:hAnsi="Times New Roman" w:cs="Times New Roman"/>
          <w:sz w:val="24"/>
          <w:szCs w:val="24"/>
        </w:rPr>
        <w:fldChar w:fldCharType="end"/>
      </w:r>
      <w:r w:rsidR="00112FE7" w:rsidRPr="00536A23">
        <w:rPr>
          <w:rFonts w:ascii="Times New Roman" w:hAnsi="Times New Roman" w:cs="Times New Roman"/>
          <w:sz w:val="24"/>
          <w:szCs w:val="24"/>
        </w:rPr>
        <w:t>. The National Vocational Education Reform Implementation Plan of 2019 aimed at updating curricula and fostering collaboration with industries, significantly enhancing the quality and relevance of vocational education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E31131">
        <w:rPr>
          <w:rFonts w:ascii="Times New Roman" w:hAnsi="Times New Roman" w:cs="Times New Roman"/>
          <w:sz w:val="24"/>
          <w:szCs w:val="24"/>
        </w:rPr>
        <w:instrText>ADDIN CSL_CITATION {"citationItems":[{"id":"ITEM-1","itemData":{"DOI":"10.26549/jetm.v7i1.12525","ISSN":"25917102","abstract":"This study delves into the current state and challenges of vocational education through a comparative study of cross-national vocational education and an analysis of the Zhaixing Academy case. The research reveals that vocational education reform can draw on the experiences of the German dual system, American community colleges, and Chinese vocational education reforms, with a focus on informal education pathways, practice-oriented teaching, and flexible training methods. The Zhaixing Academy case demonstrates the application of practice-oriented teaching approaches in the field of vocational education, emphasizing individual student development needs and the advantages of education outside formal institutions, offering new insights and references for the current Chinese education system. The study proposes that governments and education departments should increase investment in vocational education, encourage collaboration between enterprises and vocational education institutions, and support innovative practice-oriented education. In the future, Zhaixing Academy can continue to focus on education reform, expand the realm of practice-oriented education, promote its educational philosophy and methods, and contribute to the diversification and sustainable development of education.","author":[{"dropping-particle":"","family":"Li","given":"Xiyan","non-dropping-particle":"","parse-names":false,"suffix":""},{"dropping-particle":"","family":"Chen","given":"Chen","non-dropping-particle":"","parse-names":false,"suffix":""},{"dropping-particle":"","family":"Wu","given":"Peishi","non-dropping-particle":"","parse-names":false,"suffix":""}],"container-title":"Journal of Educational Theory and Management","id":"ITEM-1","issue":"1","issued":{"date-parts":[["2023","4","24"]]},"page":"21","title":"Vocational Education from a Cross-national Perspective: Comparative Analysis of China, Germany, and the United States, with a Case Study of Zhaixing Academy","type":"article-journal","volume":"7"},"uris":["http://www.mendeley.com/documents/?uuid=c12e1276-71fb-4706-87d8-621ddb986170"]}],"mendeley":{"formattedCitation":"(X. Li et al., 2023)","plainTextFormattedCitation":"(X. Li et al., 2023)","previouslyFormattedCitation":"(X. Li et al., 2023)"},"properties":{"noteIndex":0},"schema":"https://github.com/citation-style-language/schema/raw/master/csl-citation.json"}</w:instrText>
      </w:r>
      <w:r>
        <w:rPr>
          <w:rFonts w:ascii="Times New Roman" w:hAnsi="Times New Roman" w:cs="Times New Roman"/>
          <w:sz w:val="24"/>
          <w:szCs w:val="24"/>
        </w:rPr>
        <w:fldChar w:fldCharType="separate"/>
      </w:r>
      <w:r w:rsidR="00E31131" w:rsidRPr="00E31131">
        <w:rPr>
          <w:rFonts w:ascii="Times New Roman" w:hAnsi="Times New Roman" w:cs="Times New Roman"/>
          <w:noProof/>
          <w:sz w:val="24"/>
          <w:szCs w:val="24"/>
        </w:rPr>
        <w:t>(X. Li et al., 2023)</w:t>
      </w:r>
      <w:r>
        <w:rPr>
          <w:rFonts w:ascii="Times New Roman" w:hAnsi="Times New Roman" w:cs="Times New Roman"/>
          <w:sz w:val="24"/>
          <w:szCs w:val="24"/>
        </w:rPr>
        <w:fldChar w:fldCharType="end"/>
      </w:r>
      <w:r w:rsidR="00112FE7" w:rsidRPr="00536A23">
        <w:rPr>
          <w:rFonts w:ascii="Times New Roman" w:hAnsi="Times New Roman" w:cs="Times New Roman"/>
          <w:sz w:val="24"/>
          <w:szCs w:val="24"/>
        </w:rPr>
        <w:t>. The Vocational Education Law of 2020 provided a robust legal framework for vocational education, ensuring sustainable development and solid government support</w:t>
      </w:r>
      <w:r>
        <w:rPr>
          <w:rFonts w:ascii="Times New Roman" w:hAnsi="Times New Roman" w:cs="Times New Roman"/>
          <w:sz w:val="24"/>
          <w:szCs w:val="24"/>
        </w:rPr>
        <w:fldChar w:fldCharType="begin" w:fldLock="1"/>
      </w:r>
      <w:r w:rsidR="00A63F24">
        <w:rPr>
          <w:rFonts w:ascii="Times New Roman" w:hAnsi="Times New Roman" w:cs="Times New Roman"/>
          <w:sz w:val="24"/>
          <w:szCs w:val="24"/>
        </w:rPr>
        <w:instrText>ADDIN CSL_CITATION {"citationItems":[{"id":"ITEM-1","itemData":{"DOI":"10.6007/IJARBSS/v14-i3/21143","ISSN":"2222-6990","author":[{"dropping-particle":"","family":"Liu","given":"Xuguang","non-dropping-particle":"","parse-names":false,"suffix":""},{"dropping-particle":"Bin","family":"Abd Hamid","given":"Mohd Zolkifli","non-dropping-particle":"","parse-names":false,"suffix":""},{"dropping-particle":"","family":"Royo","given":"Mohamad Abdillah","non-dropping-particle":"Bin","parse-names":false,"suffix":""}],"container-title":"International Journal of Academic Research in Business and Social Sciences","id":"ITEM-1","issue":"3","issued":{"date-parts":[["2024","3","17"]]},"title":"Construction and Validation of A Conceptual Entrepreneurship Competency Model for Politics and Law Majors","type":"article-journal","volume":"14"},"uris":["http://www.mendeley.com/documents/?uuid=fd6e7ac4-9d0d-444e-aa01-3537619a252a"]}],"mendeley":{"formattedCitation":"(Liu et al., 2024)","plainTextFormattedCitation":"(Liu et al., 2024)","previouslyFormattedCitation":"(Liu et al., 2024)"},"properties":{"noteIndex":0},"schema":"https://github.com/citation-style-language/schema/raw/master/csl-citation.json"}</w:instrText>
      </w:r>
      <w:r>
        <w:rPr>
          <w:rFonts w:ascii="Times New Roman" w:hAnsi="Times New Roman" w:cs="Times New Roman"/>
          <w:sz w:val="24"/>
          <w:szCs w:val="24"/>
        </w:rPr>
        <w:fldChar w:fldCharType="separate"/>
      </w:r>
      <w:r w:rsidRPr="00536A23">
        <w:rPr>
          <w:rFonts w:ascii="Times New Roman" w:hAnsi="Times New Roman" w:cs="Times New Roman"/>
          <w:noProof/>
          <w:sz w:val="24"/>
          <w:szCs w:val="24"/>
        </w:rPr>
        <w:t>(Liu et al., 2024)</w:t>
      </w:r>
      <w:r>
        <w:rPr>
          <w:rFonts w:ascii="Times New Roman" w:hAnsi="Times New Roman" w:cs="Times New Roman"/>
          <w:sz w:val="24"/>
          <w:szCs w:val="24"/>
        </w:rPr>
        <w:fldChar w:fldCharType="end"/>
      </w:r>
      <w:r w:rsidR="00A63F24">
        <w:rPr>
          <w:rFonts w:ascii="Times New Roman" w:hAnsi="Times New Roman" w:cs="Times New Roman"/>
          <w:sz w:val="24"/>
          <w:szCs w:val="24"/>
        </w:rPr>
        <w:t xml:space="preserve">. </w:t>
      </w:r>
      <w:r w:rsidR="00112FE7" w:rsidRPr="00536A23">
        <w:rPr>
          <w:rFonts w:ascii="Times New Roman" w:hAnsi="Times New Roman" w:cs="Times New Roman"/>
          <w:sz w:val="24"/>
          <w:szCs w:val="24"/>
        </w:rPr>
        <w:t xml:space="preserve">The Dual System Pilot Programs, inspired by Germany’s dual system, combine classroom instruction with hands-on training, improving the practical skills and employability of students </w:t>
      </w:r>
      <w:r w:rsidR="00A63F24">
        <w:rPr>
          <w:rFonts w:ascii="Times New Roman" w:hAnsi="Times New Roman" w:cs="Times New Roman"/>
          <w:sz w:val="24"/>
          <w:szCs w:val="24"/>
        </w:rPr>
        <w:fldChar w:fldCharType="begin" w:fldLock="1"/>
      </w:r>
      <w:r w:rsidR="00994634">
        <w:rPr>
          <w:rFonts w:ascii="Times New Roman" w:hAnsi="Times New Roman" w:cs="Times New Roman"/>
          <w:sz w:val="24"/>
          <w:szCs w:val="24"/>
        </w:rPr>
        <w:instrText>ADDIN CSL_CITATION {"citationItems":[{"id":"ITEM-1","itemData":{"DOI":"10.3389/fpsyg.2023.1341928","ISSN":"1664-1078","author":[{"dropping-particle":"","family":"Wang","given":"Guantao","non-dropping-particle":"","parse-names":false,"suffix":""},{"dropping-particle":"","family":"Shi","given":"Jinyu","non-dropping-particle":"","parse-names":false,"suffix":""}],"container-title":"Frontiers in Psychology","id":"ITEM-1","issued":{"date-parts":[["2024","1","12"]]},"title":"Testing a chain mediation model of effort-reward imbalance, Confucian values, job satisfaction, and intention to quit among Chinese vocational education teachers","type":"article-journal","volume":"14"},"uris":["http://www.mendeley.com/documents/?uuid=e0a687d6-a774-45e8-a38b-42ee553fc0c8"]}],"mendeley":{"formattedCitation":"(G. Wang &amp; Shi, 2024)","plainTextFormattedCitation":"(G. Wang &amp; Shi, 2024)","previouslyFormattedCitation":"(G. Wang &amp; Shi, 2024)"},"properties":{"noteIndex":0},"schema":"https://github.com/citation-style-language/schema/raw/master/csl-citation.json"}</w:instrText>
      </w:r>
      <w:r w:rsidR="00A63F24">
        <w:rPr>
          <w:rFonts w:ascii="Times New Roman" w:hAnsi="Times New Roman" w:cs="Times New Roman"/>
          <w:sz w:val="24"/>
          <w:szCs w:val="24"/>
        </w:rPr>
        <w:fldChar w:fldCharType="separate"/>
      </w:r>
      <w:r w:rsidR="00A63F24" w:rsidRPr="00A63F24">
        <w:rPr>
          <w:rFonts w:ascii="Times New Roman" w:hAnsi="Times New Roman" w:cs="Times New Roman"/>
          <w:noProof/>
          <w:sz w:val="24"/>
          <w:szCs w:val="24"/>
        </w:rPr>
        <w:t>(G. Wang &amp; Shi, 2024)</w:t>
      </w:r>
      <w:r w:rsidR="00A63F24">
        <w:rPr>
          <w:rFonts w:ascii="Times New Roman" w:hAnsi="Times New Roman" w:cs="Times New Roman"/>
          <w:sz w:val="24"/>
          <w:szCs w:val="24"/>
        </w:rPr>
        <w:fldChar w:fldCharType="end"/>
      </w:r>
      <w:r w:rsidR="00112FE7" w:rsidRPr="00536A23">
        <w:rPr>
          <w:rFonts w:ascii="Times New Roman" w:hAnsi="Times New Roman" w:cs="Times New Roman"/>
          <w:sz w:val="24"/>
          <w:szCs w:val="24"/>
        </w:rPr>
        <w:t>. Private Sector Integration Policies encourage collaboration between private enterprises and vocational institutions, promoting industrial advancement and economic growth through enhanced techn</w:t>
      </w:r>
      <w:r w:rsidR="00994634">
        <w:rPr>
          <w:rFonts w:ascii="Times New Roman" w:hAnsi="Times New Roman" w:cs="Times New Roman"/>
          <w:sz w:val="24"/>
          <w:szCs w:val="24"/>
        </w:rPr>
        <w:t>ical skills training</w:t>
      </w:r>
      <w:r w:rsidR="00112FE7" w:rsidRPr="00536A23">
        <w:rPr>
          <w:rFonts w:ascii="Times New Roman" w:hAnsi="Times New Roman" w:cs="Times New Roman"/>
          <w:sz w:val="24"/>
          <w:szCs w:val="24"/>
        </w:rPr>
        <w:t xml:space="preserve">. The Internet Plus Vocational Education initiative of 2021 incorporates digital technology into vocational training, expanding access to high-quality vocational education through online platforms and resources </w:t>
      </w:r>
      <w:r w:rsidR="00994634">
        <w:rPr>
          <w:rFonts w:ascii="Times New Roman" w:hAnsi="Times New Roman" w:cs="Times New Roman"/>
          <w:sz w:val="24"/>
          <w:szCs w:val="24"/>
        </w:rPr>
        <w:fldChar w:fldCharType="begin" w:fldLock="1"/>
      </w:r>
      <w:r w:rsidR="00CD63F3">
        <w:rPr>
          <w:rFonts w:ascii="Times New Roman" w:hAnsi="Times New Roman" w:cs="Times New Roman"/>
          <w:sz w:val="24"/>
          <w:szCs w:val="24"/>
        </w:rPr>
        <w:instrText>ADDIN CSL_CITATION {"citationItems":[{"id":"ITEM-1","itemData":{"DOI":"10.1177/20594364231202203","ISSN":"2059-4364","abstract":"In the People’s Republic of China, the development of information infrastructures has been a cardinal component of the national modernization project for more than four decades. While most discussions of digital infrastructure in the country focus on the ‘Chinese internet,' framed by architectures of control like the Great Firewall and governmental initiatives like Internet Plus, this special issue contends that China’s digital infrastructure extends from the physical cables laid under urban streets to the ideological capture of surveillance systems, and from the smart home devices domesticated by elderly citizens to the QR codes plastered on everyday life surfaces. Through their interdisciplinary and innovative studies, this issue’s contributors push discussions of China’s digital infrastructure beyond the reduction to authoritarian control and the triumphal rhetorics of governmental imaginaries. Given the breadth of analytical scale and the variety of research methods featured in this collection, the nine contributions to this special issue are organized in three clusters, each centered around one of three key terms from infrastructure studies: networks, systems, and standards. By accounting for heterogeneous scales and relationships through which China’s digital infrastructure emerges, consolidates, and falls apart, these articles produce original knowledge about complex sociotechnical processes and develop productive concepts for future scholarship.","author":[{"dropping-particle":"","family":"Seta","given":"Gabriele","non-dropping-particle":"de","parse-names":false,"suffix":""}],"container-title":"Global Media and China","id":"ITEM-1","issue":"3","issued":{"date-parts":[["2023","9","7"]]},"page":"245-253","title":"China’s digital infrastructure: Networks, systems, standards","type":"article-journal","volume":"8"},"uris":["http://www.mendeley.com/documents/?uuid=e5babb23-adaf-4cf2-bc84-f0a045f63aca"]}],"mendeley":{"formattedCitation":"(de Seta, 2023)","plainTextFormattedCitation":"(de Seta, 2023)","previouslyFormattedCitation":"(de Seta, 2023)"},"properties":{"noteIndex":0},"schema":"https://github.com/citation-style-language/schema/raw/master/csl-citation.json"}</w:instrText>
      </w:r>
      <w:r w:rsidR="00994634">
        <w:rPr>
          <w:rFonts w:ascii="Times New Roman" w:hAnsi="Times New Roman" w:cs="Times New Roman"/>
          <w:sz w:val="24"/>
          <w:szCs w:val="24"/>
        </w:rPr>
        <w:fldChar w:fldCharType="separate"/>
      </w:r>
      <w:r w:rsidR="00994634" w:rsidRPr="00994634">
        <w:rPr>
          <w:rFonts w:ascii="Times New Roman" w:hAnsi="Times New Roman" w:cs="Times New Roman"/>
          <w:noProof/>
          <w:sz w:val="24"/>
          <w:szCs w:val="24"/>
        </w:rPr>
        <w:t>(de Seta, 2023)</w:t>
      </w:r>
      <w:r w:rsidR="00994634">
        <w:rPr>
          <w:rFonts w:ascii="Times New Roman" w:hAnsi="Times New Roman" w:cs="Times New Roman"/>
          <w:sz w:val="24"/>
          <w:szCs w:val="24"/>
        </w:rPr>
        <w:fldChar w:fldCharType="end"/>
      </w:r>
      <w:r w:rsidR="00994634">
        <w:rPr>
          <w:rFonts w:ascii="Times New Roman" w:hAnsi="Times New Roman" w:cs="Times New Roman"/>
          <w:sz w:val="24"/>
          <w:szCs w:val="24"/>
        </w:rPr>
        <w:t xml:space="preserve">. </w:t>
      </w:r>
      <w:r w:rsidR="00763781" w:rsidRPr="00763781">
        <w:rPr>
          <w:rFonts w:ascii="Times New Roman" w:hAnsi="Times New Roman" w:cs="Times New Roman"/>
          <w:sz w:val="24"/>
          <w:szCs w:val="24"/>
        </w:rPr>
        <w:t>In the realm of vocational education, the implementation of Internet Plus strategies has led to the development of online open courses in independent colleges, expanding access to educational resources and fostering innovation in teaching methods</w:t>
      </w:r>
      <w:r w:rsidR="00CD63F3">
        <w:rPr>
          <w:rFonts w:ascii="Times New Roman" w:hAnsi="Times New Roman" w:cs="Times New Roman"/>
          <w:sz w:val="24"/>
          <w:szCs w:val="24"/>
        </w:rPr>
        <w:fldChar w:fldCharType="begin" w:fldLock="1"/>
      </w:r>
      <w:r w:rsidR="00CD63F3">
        <w:rPr>
          <w:rFonts w:ascii="Times New Roman" w:hAnsi="Times New Roman" w:cs="Times New Roman"/>
          <w:sz w:val="24"/>
          <w:szCs w:val="24"/>
        </w:rPr>
        <w:instrText>ADDIN CSL_CITATION {"citationItems":[{"id":"ITEM-1","itemData":{"DOI":"10.2991/aebmr.k.191225.221","ISBN":"978-94-6252-878-9","author":[{"dropping-particle":"","family":"Wang","given":"Songchun","non-dropping-particle":"","parse-names":false,"suffix":""},{"dropping-particle":"","family":"Qin","given":"Ting","non-dropping-particle":"","parse-names":false,"suffix":""}],"container-title":"Proceedings of the 5th International Conference on Economics, Management, Law and Education (EMLE 2019)","id":"ITEM-1","issued":{"date-parts":[["2019"]]},"publisher":"Atlantis Press","publisher-place":"Paris, France","title":"Construction and Application of Online Open Courses in Independent Colleges Against the Background of “Internet Plus Education”","type":"paper-conference"},"uris":["http://www.mendeley.com/documents/?uuid=cc420e74-afb0-4355-8e2a-62cf5aa851bd"]}],"mendeley":{"formattedCitation":"(S. Wang &amp; Qin, 2019)","plainTextFormattedCitation":"(S. Wang &amp; Qin, 2019)","previouslyFormattedCitation":"(S. Wang &amp; Qin, 2019)"},"properties":{"noteIndex":0},"schema":"https://github.com/citation-style-language/schema/raw/master/csl-citation.json"}</w:instrText>
      </w:r>
      <w:r w:rsidR="00CD63F3">
        <w:rPr>
          <w:rFonts w:ascii="Times New Roman" w:hAnsi="Times New Roman" w:cs="Times New Roman"/>
          <w:sz w:val="24"/>
          <w:szCs w:val="24"/>
        </w:rPr>
        <w:fldChar w:fldCharType="separate"/>
      </w:r>
      <w:r w:rsidR="00CD63F3" w:rsidRPr="00CD63F3">
        <w:rPr>
          <w:rFonts w:ascii="Times New Roman" w:hAnsi="Times New Roman" w:cs="Times New Roman"/>
          <w:noProof/>
          <w:sz w:val="24"/>
          <w:szCs w:val="24"/>
        </w:rPr>
        <w:t>(S. Wang &amp; Qin, 2019)</w:t>
      </w:r>
      <w:r w:rsidR="00CD63F3">
        <w:rPr>
          <w:rFonts w:ascii="Times New Roman" w:hAnsi="Times New Roman" w:cs="Times New Roman"/>
          <w:sz w:val="24"/>
          <w:szCs w:val="24"/>
        </w:rPr>
        <w:fldChar w:fldCharType="end"/>
      </w:r>
      <w:r w:rsidR="00763781" w:rsidRPr="00763781">
        <w:rPr>
          <w:rFonts w:ascii="Times New Roman" w:hAnsi="Times New Roman" w:cs="Times New Roman"/>
          <w:sz w:val="24"/>
          <w:szCs w:val="24"/>
        </w:rPr>
        <w:t xml:space="preserve">. The integration of Internet technologies has played a key role in curriculum reforms, particularly in modern agricultural specialties, enhancing agricultural technology development and skills training </w:t>
      </w:r>
      <w:r w:rsidR="00CD63F3">
        <w:rPr>
          <w:rFonts w:ascii="Times New Roman" w:hAnsi="Times New Roman" w:cs="Times New Roman"/>
          <w:sz w:val="24"/>
          <w:szCs w:val="24"/>
        </w:rPr>
        <w:fldChar w:fldCharType="begin" w:fldLock="1"/>
      </w:r>
      <w:r w:rsidR="005961A3">
        <w:rPr>
          <w:rFonts w:ascii="Times New Roman" w:hAnsi="Times New Roman" w:cs="Times New Roman"/>
          <w:sz w:val="24"/>
          <w:szCs w:val="24"/>
        </w:rPr>
        <w:instrText>ADDIN CSL_CITATION {"citationItems":[{"id":"ITEM-1","itemData":{"DOI":"10.2991/snce-18.2018.191","ISBN":"978-94-6252-505-4","author":[{"dropping-particle":"","family":"Sun","given":"Cuihua","non-dropping-particle":"","parse-names":false,"suffix":""},{"dropping-particle":"","family":"Wang","given":"Feng","non-dropping-particle":"","parse-names":false,"suffix":""},{"dropping-particle":"","family":"Yu","given":"Zhaoxiao","non-dropping-particle":"","parse-names":false,"suffix":""},{"dropping-particle":"","family":"Xue","given":"Liang","non-dropping-particle":"","parse-names":false,"suffix":""}],"container-title":"Proceedings of the 8th International Conference on Social Network, Communication and Education (SNCE 2018)","id":"ITEM-1","issued":{"date-parts":[["2018"]]},"publisher":"Atlantis Press","publisher-place":"Paris, France","title":"Research on qInternet Plusq Curriculum Reform for Modern Agricultural Specialty Group in Higher Vocational Education","type":"paper-conference"},"uris":["http://www.mendeley.com/documents/?uuid=7858028a-cb34-4c51-bb4c-6f5f61643fc9"]}],"mendeley":{"formattedCitation":"(C. Sun et al., 2018)","plainTextFormattedCitation":"(C. Sun et al., 2018)","previouslyFormattedCitation":"(C. Sun et al., 2018)"},"properties":{"noteIndex":0},"schema":"https://github.com/citation-style-language/schema/raw/master/csl-citation.json"}</w:instrText>
      </w:r>
      <w:r w:rsidR="00CD63F3">
        <w:rPr>
          <w:rFonts w:ascii="Times New Roman" w:hAnsi="Times New Roman" w:cs="Times New Roman"/>
          <w:sz w:val="24"/>
          <w:szCs w:val="24"/>
        </w:rPr>
        <w:fldChar w:fldCharType="separate"/>
      </w:r>
      <w:r w:rsidR="005961A3" w:rsidRPr="005961A3">
        <w:rPr>
          <w:rFonts w:ascii="Times New Roman" w:hAnsi="Times New Roman" w:cs="Times New Roman"/>
          <w:noProof/>
          <w:sz w:val="24"/>
          <w:szCs w:val="24"/>
        </w:rPr>
        <w:t>(C. Sun et al., 2018)</w:t>
      </w:r>
      <w:r w:rsidR="00CD63F3">
        <w:rPr>
          <w:rFonts w:ascii="Times New Roman" w:hAnsi="Times New Roman" w:cs="Times New Roman"/>
          <w:sz w:val="24"/>
          <w:szCs w:val="24"/>
        </w:rPr>
        <w:fldChar w:fldCharType="end"/>
      </w:r>
      <w:r w:rsidR="00CD63F3">
        <w:rPr>
          <w:rFonts w:ascii="Times New Roman" w:hAnsi="Times New Roman" w:cs="Times New Roman"/>
          <w:sz w:val="24"/>
          <w:szCs w:val="24"/>
        </w:rPr>
        <w:t xml:space="preserve">. </w:t>
      </w:r>
      <w:r w:rsidR="00112FE7" w:rsidRPr="00536A23">
        <w:rPr>
          <w:rFonts w:ascii="Times New Roman" w:hAnsi="Times New Roman" w:cs="Times New Roman"/>
          <w:sz w:val="24"/>
          <w:szCs w:val="24"/>
        </w:rPr>
        <w:t>These policies and reforms have collectively transformed China's vocational education landscape, aligning it more closely with market demands and technological advancements.</w:t>
      </w:r>
    </w:p>
    <w:p w14:paraId="5BD43709" w14:textId="77777777" w:rsidR="00420E49" w:rsidRPr="00EB4E16" w:rsidRDefault="00B636EF" w:rsidP="00BC3754">
      <w:pPr>
        <w:pStyle w:val="Heading2"/>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lastRenderedPageBreak/>
        <w:t>Structure and Organization of Vocational Education I</w:t>
      </w:r>
      <w:r w:rsidR="00BC3754" w:rsidRPr="00EB4E16">
        <w:rPr>
          <w:rFonts w:ascii="Times New Roman" w:hAnsi="Times New Roman" w:cs="Times New Roman"/>
          <w:color w:val="000000" w:themeColor="text1"/>
          <w:sz w:val="24"/>
          <w:szCs w:val="24"/>
        </w:rPr>
        <w:t>nstitutions</w:t>
      </w:r>
    </w:p>
    <w:p w14:paraId="775037EC" w14:textId="77777777" w:rsidR="00BC3754" w:rsidRPr="00EB4E16" w:rsidRDefault="00BC3754" w:rsidP="00B636EF">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Vocational education in China is structured and organized to meet the demands of the labor market and to support the country's economic </w:t>
      </w:r>
      <w:r w:rsidR="00B636EF" w:rsidRPr="00EB4E16">
        <w:rPr>
          <w:rFonts w:ascii="Times New Roman" w:hAnsi="Times New Roman" w:cs="Times New Roman"/>
          <w:color w:val="000000" w:themeColor="text1"/>
          <w:sz w:val="24"/>
          <w:szCs w:val="24"/>
        </w:rPr>
        <w:t xml:space="preserve">development </w:t>
      </w:r>
      <w:r w:rsidR="00A80D9C" w:rsidRPr="00EB4E16">
        <w:rPr>
          <w:rFonts w:ascii="Times New Roman" w:hAnsi="Times New Roman" w:cs="Times New Roman"/>
          <w:color w:val="000000" w:themeColor="text1"/>
          <w:sz w:val="24"/>
          <w:szCs w:val="24"/>
        </w:rPr>
        <w:fldChar w:fldCharType="begin" w:fldLock="1"/>
      </w:r>
      <w:r w:rsidR="005961A3" w:rsidRPr="00EB4E16">
        <w:rPr>
          <w:rFonts w:ascii="Times New Roman" w:hAnsi="Times New Roman" w:cs="Times New Roman"/>
          <w:color w:val="000000" w:themeColor="text1"/>
          <w:sz w:val="24"/>
          <w:szCs w:val="24"/>
        </w:rPr>
        <w:instrText>ADDIN CSL_CITATION {"citationItems":[{"id":"ITEM-1","itemData":{"DOI":"10.1371/journal.pone.0293132","ISSN":"1932-6203","abstract":"The imbalanced regional development of higher vocational education, particularly the disparity between the supply and demand of educational resources, has emerged as the primary factor impeding the provision of high-quality higher education in China during the establishment of a universal education system. Based on the 1,482 higher vocational education institutions recognized by the Ministry of Education of China in 2021 as the research objects, the development of higher vocational education in China was explored from the perspective of supply and demand using the entropy weight TOPSIS method and coupling coordination degree model. It was found that China’s higher vocational institutions were mainly located in provincial capitals, representing a point distribution pattern. From a comprehensive evaluation of the supply level, areas such as the Beijing-Tianjin-Hebei region, Yangtze River Delta, and central Henan Province have become the catchment areas for the development of higher vocational education, laying the foundation for regional network cooperation. From the perspective of educational equality, the higher vocational education in China was found to be sufficient to match the supply and demand, and a balance between supply and demand was apparent in provincial capitals. The coupling degree between supply and demand exhibited an “olive-type” spatial structure pattern, indicating that the development of higher vocational education in most cities in China is still in the transformation stage. The results provide a scientific basis for optimizing resources in the provision of higher vocational education.","author":[{"dropping-particle":"","family":"Han","given":"Yong","non-dropping-particle":"","parse-names":false,"suffix":""},{"dropping-particle":"","family":"Ni","given":"Ruixing","non-dropping-particle":"","parse-names":false,"suffix":""},{"dropping-particle":"","family":"Deng","given":"Yating","non-dropping-particle":"","parse-names":false,"suffix":""},{"dropping-particle":"","family":"Zhu","given":"Yuanyuan","non-dropping-particle":"","parse-names":false,"suffix":""}],"container-title":"PLOS ONE","editor":[{"dropping-particle":"","family":"Anantsuksomsri","given":"Sutee","non-dropping-particle":"","parse-names":false,"suffix":""}],"id":"ITEM-1","issue":"10","issued":{"date-parts":[["2023","10","19"]]},"page":"e0293132","title":"Supply and demand of higher vocational education in China: Comprehensive evaluation and geographical representation from the perspective of educational equality","type":"article-journal","volume":"18"},"uris":["http://www.mendeley.com/documents/?uuid=606ce2dc-513b-460f-bda0-76030820739a"]}],"mendeley":{"formattedCitation":"(Han et al., 2023)","plainTextFormattedCitation":"(Han et al., 2023)","previouslyFormattedCitation":"(Han et al., 2023)"},"properties":{"noteIndex":0},"schema":"https://github.com/citation-style-language/schema/raw/master/csl-citation.json"}</w:instrText>
      </w:r>
      <w:r w:rsidR="00A80D9C" w:rsidRPr="00EB4E16">
        <w:rPr>
          <w:rFonts w:ascii="Times New Roman" w:hAnsi="Times New Roman" w:cs="Times New Roman"/>
          <w:color w:val="000000" w:themeColor="text1"/>
          <w:sz w:val="24"/>
          <w:szCs w:val="24"/>
        </w:rPr>
        <w:fldChar w:fldCharType="separate"/>
      </w:r>
      <w:r w:rsidR="00A80D9C" w:rsidRPr="00EB4E16">
        <w:rPr>
          <w:rFonts w:ascii="Times New Roman" w:hAnsi="Times New Roman" w:cs="Times New Roman"/>
          <w:noProof/>
          <w:color w:val="000000" w:themeColor="text1"/>
          <w:sz w:val="24"/>
          <w:szCs w:val="24"/>
        </w:rPr>
        <w:t>(Han et al., 2023)</w:t>
      </w:r>
      <w:r w:rsidR="00A80D9C"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The system includes various types of institutions and follows specific policies and frameworks set by the government. Here’s an overview of how vocational education institutions in China are structured and organized:</w:t>
      </w:r>
    </w:p>
    <w:p w14:paraId="5B7E48E7" w14:textId="77777777" w:rsidR="002B217A" w:rsidRPr="00EB4E16" w:rsidRDefault="00D861C2" w:rsidP="002B217A">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Secondary Vocational Schools:</w:t>
      </w:r>
      <w:r w:rsidR="002B217A" w:rsidRPr="00EB4E16">
        <w:rPr>
          <w:rFonts w:ascii="Times New Roman" w:hAnsi="Times New Roman" w:cs="Times New Roman"/>
          <w:color w:val="000000" w:themeColor="text1"/>
          <w:sz w:val="24"/>
          <w:szCs w:val="24"/>
        </w:rPr>
        <w:t xml:space="preserve"> These schools focus on teaching students practical skills that they can use in various jobs. They are different from regular high schools, which mainly prepare students for college</w:t>
      </w:r>
      <w:r w:rsidR="005961A3" w:rsidRPr="00EB4E16">
        <w:rPr>
          <w:rFonts w:ascii="Times New Roman" w:hAnsi="Times New Roman" w:cs="Times New Roman"/>
          <w:color w:val="000000" w:themeColor="text1"/>
          <w:sz w:val="24"/>
          <w:szCs w:val="24"/>
        </w:rPr>
        <w:t xml:space="preserve"> </w:t>
      </w:r>
      <w:r w:rsidR="005961A3" w:rsidRPr="00EB4E16">
        <w:rPr>
          <w:rFonts w:ascii="Times New Roman" w:hAnsi="Times New Roman" w:cs="Times New Roman"/>
          <w:color w:val="000000" w:themeColor="text1"/>
          <w:sz w:val="24"/>
          <w:szCs w:val="24"/>
        </w:rPr>
        <w:fldChar w:fldCharType="begin" w:fldLock="1"/>
      </w:r>
      <w:r w:rsidR="005961A3" w:rsidRPr="00EB4E16">
        <w:rPr>
          <w:rFonts w:ascii="Times New Roman" w:hAnsi="Times New Roman" w:cs="Times New Roman"/>
          <w:color w:val="000000" w:themeColor="text1"/>
          <w:sz w:val="24"/>
          <w:szCs w:val="24"/>
        </w:rPr>
        <w:instrText>ADDIN CSL_CITATION {"citationItems":[{"id":"ITEM-1","itemData":{"DOI":"10.54254/2753-7048/19/20231401","ISSN":"2753-7048","abstract":"China has given secondary vocational education more and more priority in recent years. In Chinas education community, topics such as student types and training methods are frequently discussed. The nation has released an increasing number of secondary vocational education policies in recent years. This study examines the secondary vocational education policies passed by The State Council of China from 2018 to 2022 in an effort to better understand the development orientation of Chinas secondary vocational education. 364 policies pertaining to secondary vocational education were acquired and coded by Nvivo screening. A questionnaire was created based on the coding results, and it was broken down into six dimensions: the professional teaching degree in the classroom, Internet use, 1+x certificate penetration level, educational resources, the schools promotion of students overall development, and the integration of industry and education. At the same time, special education, which involves the education of the disabled but is rarely included in the policy, is treated as a separate component. For the questionnaire survey, 153 secondary vocational students in total were chosen and dispersed around the nation. Spss and Amos tested the questionnaire. The test passed, and more analysis of the survey results was done.It is determined that while policy implementation is generally going well, there are still issues with student development overall, certificate penetration, and the integration of business and education. This study suggests remedies based on this, such as expanding practical operation training and enhancing school-business collaboration.","author":[{"dropping-particle":"","family":"Sun","given":"Fangshuo","non-dropping-particle":"","parse-names":false,"suffix":""}],"container-title":"Lecture Notes in Education Psychology and Public Media","id":"ITEM-1","issue":"1","issued":{"date-parts":[["2023","10","26"]]},"page":"114-132","title":"An Overview of Chinas Vocational Education Practices and Implementation Policies from 2018 to 2022","type":"article-journal","volume":"19"},"uris":["http://www.mendeley.com/documents/?uuid=96b609fe-c92a-4d5c-b172-74c736aee376"]}],"mendeley":{"formattedCitation":"(F. Sun, 2023)","plainTextFormattedCitation":"(F. Sun, 2023)","previouslyFormattedCitation":"(F. Sun, 2023)"},"properties":{"noteIndex":0},"schema":"https://github.com/citation-style-language/schema/raw/master/csl-citation.json"}</w:instrText>
      </w:r>
      <w:r w:rsidR="005961A3" w:rsidRPr="00EB4E16">
        <w:rPr>
          <w:rFonts w:ascii="Times New Roman" w:hAnsi="Times New Roman" w:cs="Times New Roman"/>
          <w:color w:val="000000" w:themeColor="text1"/>
          <w:sz w:val="24"/>
          <w:szCs w:val="24"/>
        </w:rPr>
        <w:fldChar w:fldCharType="separate"/>
      </w:r>
      <w:r w:rsidR="005961A3" w:rsidRPr="00EB4E16">
        <w:rPr>
          <w:rFonts w:ascii="Times New Roman" w:hAnsi="Times New Roman" w:cs="Times New Roman"/>
          <w:noProof/>
          <w:color w:val="000000" w:themeColor="text1"/>
          <w:sz w:val="24"/>
          <w:szCs w:val="24"/>
        </w:rPr>
        <w:t>(F. Sun, 2023)</w:t>
      </w:r>
      <w:r w:rsidR="005961A3" w:rsidRPr="00EB4E16">
        <w:rPr>
          <w:rFonts w:ascii="Times New Roman" w:hAnsi="Times New Roman" w:cs="Times New Roman"/>
          <w:color w:val="000000" w:themeColor="text1"/>
          <w:sz w:val="24"/>
          <w:szCs w:val="24"/>
        </w:rPr>
        <w:fldChar w:fldCharType="end"/>
      </w:r>
      <w:r w:rsidR="002B217A" w:rsidRPr="00EB4E16">
        <w:rPr>
          <w:rFonts w:ascii="Times New Roman" w:hAnsi="Times New Roman" w:cs="Times New Roman"/>
          <w:color w:val="000000" w:themeColor="text1"/>
          <w:sz w:val="24"/>
          <w:szCs w:val="24"/>
        </w:rPr>
        <w:t xml:space="preserve">. Instead, </w:t>
      </w:r>
      <w:r w:rsidR="00B636EF" w:rsidRPr="00EB4E16">
        <w:rPr>
          <w:rFonts w:ascii="Times New Roman" w:hAnsi="Times New Roman" w:cs="Times New Roman"/>
          <w:color w:val="000000" w:themeColor="text1"/>
          <w:sz w:val="24"/>
          <w:szCs w:val="24"/>
        </w:rPr>
        <w:t xml:space="preserve">secondary </w:t>
      </w:r>
      <w:r w:rsidR="002B217A" w:rsidRPr="00EB4E16">
        <w:rPr>
          <w:rFonts w:ascii="Times New Roman" w:hAnsi="Times New Roman" w:cs="Times New Roman"/>
          <w:color w:val="000000" w:themeColor="text1"/>
          <w:sz w:val="24"/>
          <w:szCs w:val="24"/>
        </w:rPr>
        <w:t>vocational schools train students for specific careers, like plumbing, cooking, or computer repair. In China, Students usually go to secondary vocational schools after they finish nine years of compulsory education. Programs at these schools typically last for three years</w:t>
      </w:r>
      <w:r w:rsidR="005961A3" w:rsidRPr="00EB4E16">
        <w:rPr>
          <w:rFonts w:ascii="Times New Roman" w:hAnsi="Times New Roman" w:cs="Times New Roman"/>
          <w:color w:val="000000" w:themeColor="text1"/>
          <w:sz w:val="24"/>
          <w:szCs w:val="24"/>
        </w:rPr>
        <w:t xml:space="preserve"> </w:t>
      </w:r>
      <w:r w:rsidR="005961A3" w:rsidRPr="00EB4E16">
        <w:rPr>
          <w:rFonts w:ascii="Times New Roman" w:hAnsi="Times New Roman" w:cs="Times New Roman"/>
          <w:color w:val="000000" w:themeColor="text1"/>
          <w:sz w:val="24"/>
          <w:szCs w:val="24"/>
        </w:rPr>
        <w:fldChar w:fldCharType="begin" w:fldLock="1"/>
      </w:r>
      <w:r w:rsidR="00D93CF6" w:rsidRPr="00EB4E16">
        <w:rPr>
          <w:rFonts w:ascii="Times New Roman" w:hAnsi="Times New Roman" w:cs="Times New Roman"/>
          <w:color w:val="000000" w:themeColor="text1"/>
          <w:sz w:val="24"/>
          <w:szCs w:val="24"/>
        </w:rPr>
        <w:instrText>ADDIN CSL_CITATION {"citationItems":[{"id":"ITEM-1","itemData":{"DOI":"10.3390/bs14020129","ISSN":"2076-328X","abstract":"School bullying is widespread in countries around the world and has a continuous negative impact on the physical and mental health of students. However, few studies have explored the influence mechanism of a competitive school climate on school bullying among Chinese secondary vocational school students. This study aims to explore the relationship between a competitive school climate and bullying in secondary vocational schools in the Chinese context, as well as the mediating role of school belonging and the moderating role of gender. Logit regression analysis and a moderated mediation model were used to analyze 1964 secondary vocational students from China based on PISA 2018 data from Beijing, Shanghai, Zhejiang, and Jiangsu, China. (1) The detection rate of school bullying in secondary vocational schools in China is 17.8%, lower than the world average. (2) A competitive school climate is significantly and positively correlated with secondary vocational school students’ exposure to school bullying. (3) A moderated mediation model suggests that school belonging is an important mechanism by which a competitive school climate influences the occurrence of school bullying, whereas gender moderates the direct effect of a competitive school climate and the indirect effect of school belonging, which mitigates the negative effects of a competitive school climate to some extent. The research results show that creating a healthy competitive climate in schools, cultivating students’ sense of belonging, and facing up to gender differences are helpful to prevent school bullying in secondary vocational schools.","author":[{"dropping-particle":"","family":"Huang","given":"Xuzhong","non-dropping-particle":"","parse-names":false,"suffix":""},{"dropping-particle":"","family":"Li","given":"Qianyu","non-dropping-particle":"","parse-names":false,"suffix":""},{"dropping-particle":"","family":"Hao","given":"Yipu","non-dropping-particle":"","parse-names":false,"suffix":""},{"dropping-particle":"","family":"An","given":"Ni","non-dropping-particle":"","parse-names":false,"suffix":""}],"container-title":"Behavioral Sciences","id":"ITEM-1","issue":"2","issued":{"date-parts":[["2024","2","10"]]},"page":"129","title":"The Relationship between a Competitive School Climate and School Bullying among Secondary Vocational School Students in China: A Moderated Mediation Model","type":"article-journal","volume":"14"},"uris":["http://www.mendeley.com/documents/?uuid=8d0e508c-a6b5-4f90-ac4d-42039bf9dd48"]}],"mendeley":{"formattedCitation":"(Huang et al., 2024)","plainTextFormattedCitation":"(Huang et al., 2024)","previouslyFormattedCitation":"(Huang et al., 2024)"},"properties":{"noteIndex":0},"schema":"https://github.com/citation-style-language/schema/raw/master/csl-citation.json"}</w:instrText>
      </w:r>
      <w:r w:rsidR="005961A3" w:rsidRPr="00EB4E16">
        <w:rPr>
          <w:rFonts w:ascii="Times New Roman" w:hAnsi="Times New Roman" w:cs="Times New Roman"/>
          <w:color w:val="000000" w:themeColor="text1"/>
          <w:sz w:val="24"/>
          <w:szCs w:val="24"/>
        </w:rPr>
        <w:fldChar w:fldCharType="separate"/>
      </w:r>
      <w:r w:rsidR="005961A3" w:rsidRPr="00EB4E16">
        <w:rPr>
          <w:rFonts w:ascii="Times New Roman" w:hAnsi="Times New Roman" w:cs="Times New Roman"/>
          <w:noProof/>
          <w:color w:val="000000" w:themeColor="text1"/>
          <w:sz w:val="24"/>
          <w:szCs w:val="24"/>
        </w:rPr>
        <w:t>(Huang et al., 2024)</w:t>
      </w:r>
      <w:r w:rsidR="005961A3" w:rsidRPr="00EB4E16">
        <w:rPr>
          <w:rFonts w:ascii="Times New Roman" w:hAnsi="Times New Roman" w:cs="Times New Roman"/>
          <w:color w:val="000000" w:themeColor="text1"/>
          <w:sz w:val="24"/>
          <w:szCs w:val="24"/>
        </w:rPr>
        <w:fldChar w:fldCharType="end"/>
      </w:r>
      <w:r w:rsidR="002B217A" w:rsidRPr="00EB4E16">
        <w:rPr>
          <w:rFonts w:ascii="Times New Roman" w:hAnsi="Times New Roman" w:cs="Times New Roman"/>
          <w:color w:val="000000" w:themeColor="text1"/>
          <w:sz w:val="24"/>
          <w:szCs w:val="24"/>
        </w:rPr>
        <w:t>. This means that students spend three years learning and practicing the skills they need for their future jobs. During this time, they also do internships or hands-on training in real work environments.</w:t>
      </w:r>
    </w:p>
    <w:p w14:paraId="16BF9C9D" w14:textId="77777777" w:rsidR="00E44A4B" w:rsidRPr="00EB4E16" w:rsidRDefault="00E44A4B" w:rsidP="002B217A">
      <w:pPr>
        <w:jc w:val="both"/>
        <w:rPr>
          <w:rFonts w:ascii="Times New Roman" w:hAnsi="Times New Roman" w:cs="Times New Roman"/>
          <w:b/>
          <w:color w:val="000000" w:themeColor="text1"/>
          <w:sz w:val="24"/>
          <w:szCs w:val="24"/>
        </w:rPr>
      </w:pPr>
      <w:r w:rsidRPr="00EB4E16">
        <w:rPr>
          <w:rFonts w:ascii="Times New Roman" w:hAnsi="Times New Roman" w:cs="Times New Roman"/>
          <w:b/>
          <w:color w:val="000000" w:themeColor="text1"/>
          <w:sz w:val="24"/>
          <w:szCs w:val="24"/>
        </w:rPr>
        <w:t xml:space="preserve">Technical Schools: </w:t>
      </w:r>
      <w:r w:rsidRPr="00EB4E16">
        <w:rPr>
          <w:rFonts w:ascii="Times New Roman" w:hAnsi="Times New Roman" w:cs="Times New Roman"/>
          <w:color w:val="000000" w:themeColor="text1"/>
          <w:sz w:val="24"/>
          <w:szCs w:val="24"/>
        </w:rPr>
        <w:t>These schools offer specialized technical training and are similar to secondary vocational schools but with a stronger emphasis on technical skills</w:t>
      </w:r>
      <w:r w:rsidR="00730F48" w:rsidRPr="00EB4E16">
        <w:rPr>
          <w:rFonts w:ascii="Times New Roman" w:hAnsi="Times New Roman" w:cs="Times New Roman"/>
          <w:color w:val="000000" w:themeColor="text1"/>
          <w:sz w:val="24"/>
          <w:szCs w:val="24"/>
        </w:rPr>
        <w:t xml:space="preserve"> and knowledge in areas such as electronics, telecommunications, advanced manufacturing, and information technology</w:t>
      </w:r>
      <w:r w:rsidRPr="00EB4E16">
        <w:rPr>
          <w:rFonts w:ascii="Times New Roman" w:hAnsi="Times New Roman" w:cs="Times New Roman"/>
          <w:color w:val="000000" w:themeColor="text1"/>
          <w:sz w:val="24"/>
          <w:szCs w:val="24"/>
        </w:rPr>
        <w:t>. Both types of schools aim to prepare students for careers. However, technical schools place a stronger emphasis on technical skills. This means they focus more on teaching students how to use tools and t</w:t>
      </w:r>
      <w:r w:rsidR="00730F48" w:rsidRPr="00EB4E16">
        <w:rPr>
          <w:rFonts w:ascii="Times New Roman" w:hAnsi="Times New Roman" w:cs="Times New Roman"/>
          <w:color w:val="000000" w:themeColor="text1"/>
          <w:sz w:val="24"/>
          <w:szCs w:val="24"/>
        </w:rPr>
        <w:t xml:space="preserve">echnology related to their jobs </w:t>
      </w:r>
      <w:r w:rsidR="00730F48" w:rsidRPr="00EB4E16">
        <w:rPr>
          <w:rFonts w:ascii="Times New Roman" w:hAnsi="Times New Roman" w:cs="Times New Roman"/>
          <w:color w:val="000000" w:themeColor="text1"/>
          <w:sz w:val="24"/>
          <w:szCs w:val="24"/>
        </w:rPr>
        <w:fldChar w:fldCharType="begin" w:fldLock="1"/>
      </w:r>
      <w:r w:rsidR="00016087" w:rsidRPr="00EB4E16">
        <w:rPr>
          <w:rFonts w:ascii="Times New Roman" w:hAnsi="Times New Roman" w:cs="Times New Roman"/>
          <w:color w:val="000000" w:themeColor="text1"/>
          <w:sz w:val="24"/>
          <w:szCs w:val="24"/>
        </w:rPr>
        <w:instrText>ADDIN CSL_CITATION {"citationItems":[{"id":"ITEM-1","itemData":{"DOI":"10.1086/684360","ISSN":"0010-4086","author":[{"dropping-particle":"","family":"Johnston","given":"Jamie","non-dropping-particle":"","parse-names":false,"suffix":""},{"dropping-particle":"","family":"Loyalka","given":"Prashant","non-dropping-particle":"","parse-names":false,"suffix":""},{"dropping-particle":"","family":"Chu","given":"James","non-dropping-particle":"","parse-names":false,"suffix":""},{"dropping-particle":"","family":"Song","given":"Yingquan","non-dropping-particle":"","parse-names":false,"suffix":""},{"dropping-particle":"","family":"Yi","given":"Hongmei","non-dropping-particle":"","parse-names":false,"suffix":""},{"dropping-particle":"","family":"Huang","given":"Xiaoting","non-dropping-particle":"","parse-names":false,"suffix":""}],"container-title":"Comparative Education Review","id":"ITEM-1","issue":"1","issued":{"date-parts":[["2016","2"]]},"page":"131-150","title":"The Impact of Vocational Teachers on Student Learning in Developing Countries","type":"article-journal","volume":"60"},"uris":["http://www.mendeley.com/documents/?uuid=d902c398-8b0d-45fb-b3e9-2fcb709c7b75"]}],"mendeley":{"formattedCitation":"(Johnston et al., 2016)","plainTextFormattedCitation":"(Johnston et al., 2016)","previouslyFormattedCitation":"(Johnston et al., 2016)"},"properties":{"noteIndex":0},"schema":"https://github.com/citation-style-language/schema/raw/master/csl-citation.json"}</w:instrText>
      </w:r>
      <w:r w:rsidR="00730F48" w:rsidRPr="00EB4E16">
        <w:rPr>
          <w:rFonts w:ascii="Times New Roman" w:hAnsi="Times New Roman" w:cs="Times New Roman"/>
          <w:color w:val="000000" w:themeColor="text1"/>
          <w:sz w:val="24"/>
          <w:szCs w:val="24"/>
        </w:rPr>
        <w:fldChar w:fldCharType="separate"/>
      </w:r>
      <w:r w:rsidR="00730F48" w:rsidRPr="00EB4E16">
        <w:rPr>
          <w:rFonts w:ascii="Times New Roman" w:hAnsi="Times New Roman" w:cs="Times New Roman"/>
          <w:noProof/>
          <w:color w:val="000000" w:themeColor="text1"/>
          <w:sz w:val="24"/>
          <w:szCs w:val="24"/>
        </w:rPr>
        <w:t>(Johnston et al., 2016)</w:t>
      </w:r>
      <w:r w:rsidR="00730F48" w:rsidRPr="00EB4E16">
        <w:rPr>
          <w:rFonts w:ascii="Times New Roman" w:hAnsi="Times New Roman" w:cs="Times New Roman"/>
          <w:color w:val="000000" w:themeColor="text1"/>
          <w:sz w:val="24"/>
          <w:szCs w:val="24"/>
        </w:rPr>
        <w:fldChar w:fldCharType="end"/>
      </w:r>
      <w:r w:rsidR="00730F48" w:rsidRPr="00EB4E16">
        <w:rPr>
          <w:rFonts w:ascii="Times New Roman" w:hAnsi="Times New Roman" w:cs="Times New Roman"/>
          <w:color w:val="000000" w:themeColor="text1"/>
          <w:sz w:val="24"/>
          <w:szCs w:val="24"/>
        </w:rPr>
        <w:t>. Similarly, programs in these schools last between 2 to 3 years and graduates receive an associate degree or equivalent certification, preparing them for technical and engineering roles in various industries.</w:t>
      </w:r>
    </w:p>
    <w:p w14:paraId="4FE7EC94" w14:textId="77777777" w:rsidR="00BF41F1" w:rsidRPr="00EB4E16" w:rsidRDefault="00D861C2" w:rsidP="002B217A">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lastRenderedPageBreak/>
        <w:t xml:space="preserve">Post-secondary Vocational Schools: </w:t>
      </w:r>
      <w:r w:rsidR="00BF41F1" w:rsidRPr="00EB4E16">
        <w:rPr>
          <w:rFonts w:ascii="Times New Roman" w:hAnsi="Times New Roman" w:cs="Times New Roman"/>
          <w:color w:val="000000" w:themeColor="text1"/>
          <w:sz w:val="24"/>
          <w:szCs w:val="24"/>
        </w:rPr>
        <w:t>These are also called higher vocational colleges that offer vocational education at the tertiary level. They include vocational colleges and technical institutes and they offer programs in diverse fields such as engineering, manufacturing, healthcare, information technology, finance, and service industries. Their curriculum is designed to meet the needs of various industries and includes both classroom instruction and hands-on training</w:t>
      </w:r>
      <w:r w:rsidR="00D93CF6" w:rsidRPr="00EB4E16">
        <w:rPr>
          <w:rFonts w:ascii="Times New Roman" w:hAnsi="Times New Roman" w:cs="Times New Roman"/>
          <w:color w:val="000000" w:themeColor="text1"/>
          <w:sz w:val="24"/>
          <w:szCs w:val="24"/>
        </w:rPr>
        <w:fldChar w:fldCharType="begin" w:fldLock="1"/>
      </w:r>
      <w:r w:rsidR="007475B1" w:rsidRPr="00EB4E16">
        <w:rPr>
          <w:rFonts w:ascii="Times New Roman" w:hAnsi="Times New Roman" w:cs="Times New Roman"/>
          <w:color w:val="000000" w:themeColor="text1"/>
          <w:sz w:val="24"/>
          <w:szCs w:val="24"/>
        </w:rPr>
        <w:instrText>ADDIN CSL_CITATION {"citationItems":[{"id":"ITEM-1","itemData":{"DOI":"10.12783/dtetr/amma2017/13401","ISSN":"2475-885X","author":[{"dropping-particle":"","family":"XIA","given":"Jiang-hua","non-dropping-particle":"","parse-names":false,"suffix":""},{"dropping-particle":"","family":"YANG","given":"Li","non-dropping-particle":"","parse-names":false,"suffix":""}],"container-title":"DEStech Transactions on Engineering and Technology Research","id":"ITEM-1","issue":"amma","issued":{"date-parts":[["2017","9","19"]]},"title":"On the Construction of Teaching Staff in Higher Vocational Colleges under the Background of Innovation and Entrepreneurship","type":"article-journal"},"uris":["http://www.mendeley.com/documents/?uuid=c3f1167f-8a69-47b1-9449-b39d006d70d0"]}],"mendeley":{"formattedCitation":"(XIA &amp; YANG, 2017)","plainTextFormattedCitation":"(XIA &amp; YANG, 2017)","previouslyFormattedCitation":"(XIA &amp; YANG, 2017)"},"properties":{"noteIndex":0},"schema":"https://github.com/citation-style-language/schema/raw/master/csl-citation.json"}</w:instrText>
      </w:r>
      <w:r w:rsidR="00D93CF6" w:rsidRPr="00EB4E16">
        <w:rPr>
          <w:rFonts w:ascii="Times New Roman" w:hAnsi="Times New Roman" w:cs="Times New Roman"/>
          <w:color w:val="000000" w:themeColor="text1"/>
          <w:sz w:val="24"/>
          <w:szCs w:val="24"/>
        </w:rPr>
        <w:fldChar w:fldCharType="separate"/>
      </w:r>
      <w:r w:rsidR="00D93CF6" w:rsidRPr="00EB4E16">
        <w:rPr>
          <w:rFonts w:ascii="Times New Roman" w:hAnsi="Times New Roman" w:cs="Times New Roman"/>
          <w:noProof/>
          <w:color w:val="000000" w:themeColor="text1"/>
          <w:sz w:val="24"/>
          <w:szCs w:val="24"/>
        </w:rPr>
        <w:t>(XIA &amp; YANG, 2017)</w:t>
      </w:r>
      <w:r w:rsidR="00D93CF6" w:rsidRPr="00EB4E16">
        <w:rPr>
          <w:rFonts w:ascii="Times New Roman" w:hAnsi="Times New Roman" w:cs="Times New Roman"/>
          <w:color w:val="000000" w:themeColor="text1"/>
          <w:sz w:val="24"/>
          <w:szCs w:val="24"/>
        </w:rPr>
        <w:fldChar w:fldCharType="end"/>
      </w:r>
      <w:r w:rsidR="00BF41F1" w:rsidRPr="00EB4E16">
        <w:rPr>
          <w:rFonts w:ascii="Times New Roman" w:hAnsi="Times New Roman" w:cs="Times New Roman"/>
          <w:color w:val="000000" w:themeColor="text1"/>
          <w:sz w:val="24"/>
          <w:szCs w:val="24"/>
        </w:rPr>
        <w:t>.</w:t>
      </w:r>
      <w:r w:rsidR="009263E4" w:rsidRPr="00EB4E16">
        <w:rPr>
          <w:rFonts w:ascii="Times New Roman" w:hAnsi="Times New Roman" w:cs="Times New Roman"/>
          <w:color w:val="000000" w:themeColor="text1"/>
          <w:sz w:val="24"/>
          <w:szCs w:val="24"/>
        </w:rPr>
        <w:t xml:space="preserve"> </w:t>
      </w:r>
      <w:r w:rsidR="00D93CF6" w:rsidRPr="00EB4E16">
        <w:rPr>
          <w:rFonts w:ascii="Times New Roman" w:hAnsi="Times New Roman" w:cs="Times New Roman"/>
          <w:color w:val="000000" w:themeColor="text1"/>
          <w:sz w:val="24"/>
          <w:szCs w:val="24"/>
        </w:rPr>
        <w:t>Students who go to post-secondary vocational schools have usually finished high school. This means they have completed their basic education and are ready to learn more specialized skills</w:t>
      </w:r>
      <w:r w:rsidR="007475B1" w:rsidRPr="00EB4E16">
        <w:rPr>
          <w:rFonts w:ascii="Times New Roman" w:hAnsi="Times New Roman" w:cs="Times New Roman"/>
          <w:color w:val="000000" w:themeColor="text1"/>
          <w:sz w:val="24"/>
          <w:szCs w:val="24"/>
        </w:rPr>
        <w:t xml:space="preserve"> </w:t>
      </w:r>
      <w:r w:rsidR="007475B1" w:rsidRPr="00EB4E16">
        <w:rPr>
          <w:rFonts w:ascii="Times New Roman" w:hAnsi="Times New Roman" w:cs="Times New Roman"/>
          <w:color w:val="000000" w:themeColor="text1"/>
          <w:sz w:val="24"/>
          <w:szCs w:val="24"/>
        </w:rPr>
        <w:fldChar w:fldCharType="begin" w:fldLock="1"/>
      </w:r>
      <w:r w:rsidR="00B8121E" w:rsidRPr="00EB4E16">
        <w:rPr>
          <w:rFonts w:ascii="Times New Roman" w:hAnsi="Times New Roman" w:cs="Times New Roman"/>
          <w:color w:val="000000" w:themeColor="text1"/>
          <w:sz w:val="24"/>
          <w:szCs w:val="24"/>
        </w:rPr>
        <w:instrText>ADDIN CSL_CITATION {"citationItems":[{"id":"ITEM-1","itemData":{"DOI":"10.26689/jcer.v5i1.1794","ISSN":"2208-8474","abstract":"Training talents for the society is the responsibility of colleges and universities. The society needs applied and innovative art design majors. In order to cultivate talents needed by society and keep up with the development plan of the Ministry of Education, higher vocational colleges need to reform. This paper adopts the method of theoretical analysis to elaborate from the four aspects of focusing equally on science and education, promote learning by competition; integrating industry and education, nurturing talents together; keeping the mission in mind while serving students; and finding the right positioning, giving full play to the advantages.","author":[{"dropping-particle":"","family":"Zhang","given":"Xin","non-dropping-particle":"","parse-names":false,"suffix":""}],"container-title":"Journal of Contemporary Educational Research","id":"ITEM-1","issue":"1","issued":{"date-parts":[["2021","2","4"]]},"title":"Teaching Reform and Research on Art Design Majors in Higher Vocational Colleges under the Background of “Double High Plan”","type":"article-journal","volume":"5"},"uris":["http://www.mendeley.com/documents/?uuid=e2629015-0cee-4dc5-97c6-27259786de7e"]}],"mendeley":{"formattedCitation":"(X. Zhang, 2021)","plainTextFormattedCitation":"(X. Zhang, 2021)","previouslyFormattedCitation":"(X. Zhang, 2021)"},"properties":{"noteIndex":0},"schema":"https://github.com/citation-style-language/schema/raw/master/csl-citation.json"}</w:instrText>
      </w:r>
      <w:r w:rsidR="007475B1" w:rsidRPr="00EB4E16">
        <w:rPr>
          <w:rFonts w:ascii="Times New Roman" w:hAnsi="Times New Roman" w:cs="Times New Roman"/>
          <w:color w:val="000000" w:themeColor="text1"/>
          <w:sz w:val="24"/>
          <w:szCs w:val="24"/>
        </w:rPr>
        <w:fldChar w:fldCharType="separate"/>
      </w:r>
      <w:r w:rsidR="00B8121E" w:rsidRPr="00EB4E16">
        <w:rPr>
          <w:rFonts w:ascii="Times New Roman" w:hAnsi="Times New Roman" w:cs="Times New Roman"/>
          <w:noProof/>
          <w:color w:val="000000" w:themeColor="text1"/>
          <w:sz w:val="24"/>
          <w:szCs w:val="24"/>
        </w:rPr>
        <w:t>(X. Zhang, 2021)</w:t>
      </w:r>
      <w:r w:rsidR="007475B1" w:rsidRPr="00EB4E16">
        <w:rPr>
          <w:rFonts w:ascii="Times New Roman" w:hAnsi="Times New Roman" w:cs="Times New Roman"/>
          <w:color w:val="000000" w:themeColor="text1"/>
          <w:sz w:val="24"/>
          <w:szCs w:val="24"/>
        </w:rPr>
        <w:fldChar w:fldCharType="end"/>
      </w:r>
      <w:r w:rsidR="00D93CF6" w:rsidRPr="00EB4E16">
        <w:rPr>
          <w:rFonts w:ascii="Times New Roman" w:hAnsi="Times New Roman" w:cs="Times New Roman"/>
          <w:color w:val="000000" w:themeColor="text1"/>
          <w:sz w:val="24"/>
          <w:szCs w:val="24"/>
        </w:rPr>
        <w:t>.  The programs at these schools typ</w:t>
      </w:r>
      <w:r w:rsidR="007475B1" w:rsidRPr="00EB4E16">
        <w:rPr>
          <w:rFonts w:ascii="Times New Roman" w:hAnsi="Times New Roman" w:cs="Times New Roman"/>
          <w:color w:val="000000" w:themeColor="text1"/>
          <w:sz w:val="24"/>
          <w:szCs w:val="24"/>
        </w:rPr>
        <w:t xml:space="preserve">ically last two to three years. This </w:t>
      </w:r>
      <w:r w:rsidR="00D93CF6" w:rsidRPr="00EB4E16">
        <w:rPr>
          <w:rFonts w:ascii="Times New Roman" w:hAnsi="Times New Roman" w:cs="Times New Roman"/>
          <w:color w:val="000000" w:themeColor="text1"/>
          <w:sz w:val="24"/>
          <w:szCs w:val="24"/>
        </w:rPr>
        <w:t>is shorter than many university degrees, which can take four years or more</w:t>
      </w:r>
      <w:r w:rsidR="007475B1" w:rsidRPr="00EB4E16">
        <w:rPr>
          <w:rFonts w:ascii="Times New Roman" w:hAnsi="Times New Roman" w:cs="Times New Roman"/>
          <w:color w:val="000000" w:themeColor="text1"/>
          <w:sz w:val="24"/>
          <w:szCs w:val="24"/>
        </w:rPr>
        <w:t>.</w:t>
      </w:r>
      <w:r w:rsidR="00D93CF6" w:rsidRPr="00EB4E16">
        <w:rPr>
          <w:rFonts w:ascii="Times New Roman" w:hAnsi="Times New Roman" w:cs="Times New Roman"/>
          <w:color w:val="000000" w:themeColor="text1"/>
          <w:sz w:val="24"/>
          <w:szCs w:val="24"/>
        </w:rPr>
        <w:t xml:space="preserve"> The shorter duration allows students to enter the workforce more quickly. For instance, a student studying to be a mechanic might complete their training in two years and start working immediately.</w:t>
      </w:r>
    </w:p>
    <w:p w14:paraId="0F6BD6CA" w14:textId="77777777" w:rsidR="008917FD" w:rsidRPr="00EB4E16" w:rsidRDefault="00F47AFB" w:rsidP="008917FD">
      <w:pPr>
        <w:jc w:val="both"/>
        <w:rPr>
          <w:rFonts w:ascii="Times New Roman" w:hAnsi="Times New Roman" w:cs="Times New Roman"/>
          <w:b/>
          <w:color w:val="000000" w:themeColor="text1"/>
          <w:sz w:val="24"/>
          <w:szCs w:val="24"/>
        </w:rPr>
      </w:pPr>
      <w:r w:rsidRPr="00EB4E16">
        <w:rPr>
          <w:rFonts w:ascii="Times New Roman" w:hAnsi="Times New Roman" w:cs="Times New Roman"/>
          <w:b/>
          <w:color w:val="000000" w:themeColor="text1"/>
          <w:sz w:val="24"/>
          <w:szCs w:val="24"/>
        </w:rPr>
        <w:t xml:space="preserve">Adult Vocational Schools: </w:t>
      </w:r>
      <w:r w:rsidR="006E27C1" w:rsidRPr="00EB4E16">
        <w:rPr>
          <w:rFonts w:ascii="Times New Roman" w:hAnsi="Times New Roman" w:cs="Times New Roman"/>
          <w:color w:val="000000" w:themeColor="text1"/>
          <w:sz w:val="24"/>
          <w:szCs w:val="24"/>
        </w:rPr>
        <w:t>In China, adult vocational e</w:t>
      </w:r>
      <w:r w:rsidR="008917FD" w:rsidRPr="00EB4E16">
        <w:rPr>
          <w:rFonts w:ascii="Times New Roman" w:hAnsi="Times New Roman" w:cs="Times New Roman"/>
          <w:color w:val="000000" w:themeColor="text1"/>
          <w:sz w:val="24"/>
          <w:szCs w:val="24"/>
        </w:rPr>
        <w:t>ducation is designed specifically to cater to the needs of adults seeking to acquire new skills or enhance their existing ones. This type of education aims to provide flexible and accessible learning opportunities for working adults, allowing them to balance their education with other responsibilities such as work and family.</w:t>
      </w:r>
    </w:p>
    <w:p w14:paraId="371BC1E0" w14:textId="77777777" w:rsidR="008917FD" w:rsidRPr="00EB4E16" w:rsidRDefault="008917FD" w:rsidP="008917FD">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The duration of programs in adult vocational institutions varies depending on the specific course and its objectives. Typically, these programs are shorter compared to those offered in traditional vocational schools. This is to ensure that adults can complete their education and training without a significant time commitment, making it more feasible for them to c</w:t>
      </w:r>
      <w:r w:rsidR="00016087" w:rsidRPr="00EB4E16">
        <w:rPr>
          <w:rFonts w:ascii="Times New Roman" w:hAnsi="Times New Roman" w:cs="Times New Roman"/>
          <w:color w:val="000000" w:themeColor="text1"/>
          <w:sz w:val="24"/>
          <w:szCs w:val="24"/>
        </w:rPr>
        <w:t xml:space="preserve">ontinue working while studying. </w:t>
      </w:r>
      <w:r w:rsidRPr="00EB4E16">
        <w:rPr>
          <w:rFonts w:ascii="Times New Roman" w:hAnsi="Times New Roman" w:cs="Times New Roman"/>
          <w:color w:val="000000" w:themeColor="text1"/>
          <w:sz w:val="24"/>
          <w:szCs w:val="24"/>
        </w:rPr>
        <w:t xml:space="preserve">To accommodate the schedules of working adults, Adult Vocational Schools often offer part-time, evening, and weekend classes. These flexible scheduling options enable </w:t>
      </w:r>
      <w:r w:rsidRPr="00EB4E16">
        <w:rPr>
          <w:rFonts w:ascii="Times New Roman" w:hAnsi="Times New Roman" w:cs="Times New Roman"/>
          <w:color w:val="000000" w:themeColor="text1"/>
          <w:sz w:val="24"/>
          <w:szCs w:val="24"/>
        </w:rPr>
        <w:lastRenderedPageBreak/>
        <w:t>learners to attend classes at times that best fit their busy lives, thereby making vocational education more accessible and practical for a wider audience</w:t>
      </w:r>
      <w:r w:rsidR="00016087" w:rsidRPr="00EB4E16">
        <w:rPr>
          <w:rFonts w:ascii="Times New Roman" w:hAnsi="Times New Roman" w:cs="Times New Roman"/>
          <w:color w:val="000000" w:themeColor="text1"/>
          <w:sz w:val="24"/>
          <w:szCs w:val="24"/>
        </w:rPr>
        <w:t xml:space="preserve"> </w:t>
      </w:r>
      <w:r w:rsidR="00016087" w:rsidRPr="00EB4E16">
        <w:rPr>
          <w:rFonts w:ascii="Times New Roman" w:hAnsi="Times New Roman" w:cs="Times New Roman"/>
          <w:color w:val="000000" w:themeColor="text1"/>
          <w:sz w:val="24"/>
          <w:szCs w:val="24"/>
        </w:rPr>
        <w:fldChar w:fldCharType="begin" w:fldLock="1"/>
      </w:r>
      <w:r w:rsidR="00B8121E" w:rsidRPr="00EB4E16">
        <w:rPr>
          <w:rFonts w:ascii="Times New Roman" w:hAnsi="Times New Roman" w:cs="Times New Roman"/>
          <w:color w:val="000000" w:themeColor="text1"/>
          <w:sz w:val="24"/>
          <w:szCs w:val="24"/>
        </w:rPr>
        <w:instrText>ADDIN CSL_CITATION {"citationItems":[{"id":"ITEM-1","itemData":{"DOI":"10.6007/IJARPED/v11-i3/14258","ISSN":"2226-6348","author":[{"dropping-particle":"","family":"Qiong","given":"Jiang","non-dropping-particle":"","parse-names":false,"suffix":""},{"dropping-particle":"","family":"Kamis","given":"Arasinah","non-dropping-particle":"","parse-names":false,"suffix":""},{"dropping-particle":"","family":"Mei","given":"Suo Yan","non-dropping-particle":"","parse-names":false,"suffix":""},{"dropping-particle":"","family":"Rus","given":"Ridzwan Bin Che","non-dropping-particle":"","parse-names":false,"suffix":""}],"container-title":"International Journal of Academic Research in Progressive Education and Development","id":"ITEM-1","issue":"3","issued":{"date-parts":[["2022","8","5"]]},"title":"A Review on Sustainable Development of Technical and Vocational Education and Training among the Students from China","type":"article-journal","volume":"11"},"uris":["http://www.mendeley.com/documents/?uuid=f4a7ce58-6d23-45d3-b8e6-0df199c930a1"]}],"mendeley":{"formattedCitation":"(Qiong et al., 2022)","plainTextFormattedCitation":"(Qiong et al., 2022)","previouslyFormattedCitation":"(Qiong et al., 2022)"},"properties":{"noteIndex":0},"schema":"https://github.com/citation-style-language/schema/raw/master/csl-citation.json"}</w:instrText>
      </w:r>
      <w:r w:rsidR="00016087" w:rsidRPr="00EB4E16">
        <w:rPr>
          <w:rFonts w:ascii="Times New Roman" w:hAnsi="Times New Roman" w:cs="Times New Roman"/>
          <w:color w:val="000000" w:themeColor="text1"/>
          <w:sz w:val="24"/>
          <w:szCs w:val="24"/>
        </w:rPr>
        <w:fldChar w:fldCharType="separate"/>
      </w:r>
      <w:r w:rsidR="00016087" w:rsidRPr="00EB4E16">
        <w:rPr>
          <w:rFonts w:ascii="Times New Roman" w:hAnsi="Times New Roman" w:cs="Times New Roman"/>
          <w:noProof/>
          <w:color w:val="000000" w:themeColor="text1"/>
          <w:sz w:val="24"/>
          <w:szCs w:val="24"/>
        </w:rPr>
        <w:t>(Qiong et al., 2022)</w:t>
      </w:r>
      <w:r w:rsidR="00016087"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w:t>
      </w:r>
    </w:p>
    <w:p w14:paraId="3EE97495" w14:textId="77777777" w:rsidR="008917FD" w:rsidRPr="00EB4E16" w:rsidRDefault="008917FD" w:rsidP="008917FD">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Moreover, Adult Vocational Education programs in China cover a broad range of subjects and industries, including technology, healthcare, business, and manufacturing. These programs are designed to meet the evolving demands of the job market and to equip learners with the relevant skills needed to advance their careers or transition into new fields.</w:t>
      </w:r>
    </w:p>
    <w:p w14:paraId="1D2A598A" w14:textId="77777777" w:rsidR="00016087" w:rsidRPr="00EB4E16" w:rsidRDefault="00016087" w:rsidP="00016087">
      <w:pPr>
        <w:pStyle w:val="Heading3"/>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Governance and Administration</w:t>
      </w:r>
    </w:p>
    <w:p w14:paraId="7CB9BBB3"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Though China is a centralized state, each province has its own autonomous jurisdiction. The central and local governments issue regulations that guide vocational education programs across the country.</w:t>
      </w:r>
    </w:p>
    <w:p w14:paraId="7C62C78C" w14:textId="77777777" w:rsidR="00B8121E" w:rsidRPr="00EB4E16" w:rsidRDefault="00B8121E" w:rsidP="00B8121E">
      <w:pPr>
        <w:jc w:val="both"/>
        <w:rPr>
          <w:rFonts w:ascii="Times New Roman" w:hAnsi="Times New Roman" w:cs="Times New Roman"/>
          <w:color w:val="000000" w:themeColor="text1"/>
          <w:sz w:val="24"/>
          <w:szCs w:val="24"/>
        </w:rPr>
      </w:pPr>
    </w:p>
    <w:p w14:paraId="748E3A12"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At the central level, technical and vocational education is administered by various departments of the Government of China. The State Education Commission is responsible for the formulation of policies, overall planning, and the comprehensive arrangement of reforms and development. Several other government departments are involved in different aspects of vocational education, including the State Planning Committee, which is involved in forecasting human resource needs and planning placements for graduates; the Ministry of Labor, which focuses on labor market integration and workforce development; the Ministry of Personnel, which handles issues related to human resource management and development; and the Ministry of Finance, which provides financial resources and funding for vocational education programs</w:t>
      </w:r>
      <w:r w:rsidRPr="00EB4E16">
        <w:rPr>
          <w:rFonts w:ascii="Times New Roman" w:hAnsi="Times New Roman" w:cs="Times New Roman"/>
          <w:color w:val="000000" w:themeColor="text1"/>
          <w:sz w:val="24"/>
          <w:szCs w:val="24"/>
        </w:rPr>
        <w:fldChar w:fldCharType="begin" w:fldLock="1"/>
      </w:r>
      <w:r w:rsidRPr="00EB4E16">
        <w:rPr>
          <w:rFonts w:ascii="Times New Roman" w:hAnsi="Times New Roman" w:cs="Times New Roman"/>
          <w:color w:val="000000" w:themeColor="text1"/>
          <w:sz w:val="24"/>
          <w:szCs w:val="24"/>
        </w:rPr>
        <w:instrText>ADDIN CSL_CITATION {"citationItems":[{"id":"ITEM-1","itemData":{"DOI":"10.26689/jcer.v8i3.6388","ISSN":"2208-8474","abstract":"Vocational education and training are an important part of China’s national education system. The two essential characteristics of employment orientation and social service determine that vocational education has a closer connection with social production than other types of education. At present, China’s economic development is in a new stage of transformation and upgrading. The new normal of the economy will inevitably require a corresponding new normal of vocational education and training. The transformation of social needs will eventually lead to changes in the composition of the workforce. Vocational education and training should be aligned with the characteristics of the new normal economy. Using mixed research methods, this study focuses on vocational education and training and explores how it contributes to industrial development in China.","author":[{"dropping-particle":"","family":"Zhang","given":"Xiu Wen","non-dropping-particle":"","parse-names":false,"suffix":""},{"dropping-particle":"","family":"Ayob","given":"Adenan","non-dropping-particle":"","parse-names":false,"suffix":""}],"container-title":"Journal of Contemporary Educational Research","id":"ITEM-1","issue":"3","issued":{"date-parts":[["2024","3","29"]]},"page":"221-226","title":"A Study on the Contribution of Vocational Education and Training to the Industrial Development in China","type":"article-journal","volume":"8"},"uris":["http://www.mendeley.com/documents/?uuid=d784b291-8277-40ea-8b10-d14b8240ae0e"]}],"mendeley":{"formattedCitation":"(X. W. Zhang &amp; Ayob, 2024)","plainTextFormattedCitation":"(X. W. Zhang &amp; Ayob, 2024)","previouslyFormattedCitation":"(X. W. Zhang &amp; Ayob, 2024)"},"properties":{"noteIndex":0},"schema":"https://github.com/citation-style-language/schema/raw/master/csl-citation.json"}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(X. W. Zhang &amp; Ayob, 2024)</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w:t>
      </w:r>
    </w:p>
    <w:p w14:paraId="0F56BA41"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lastRenderedPageBreak/>
        <w:t>The Ministry of Education (MOE) is the primary body responsible for policy formulation, overall planning, and regulation of vocational education. Other ministries, such as the Ministry of Human Resources and Social Security, also play significant roles in vocational training and workforce development.</w:t>
      </w:r>
    </w:p>
    <w:p w14:paraId="0D3410E1"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Local governments, including provincial, municipal, and county authorities, take major responsibility for the development of vocational education at the district level. They handle various aspects such as the location of schools, managing the enrollment process for vocational programs, and assisting in the job placement of vocational school graduates. Local governments often form coordinating agencies comprising local educational authorities, labor departments, and professional departments. These agencies work together to ensure that vocational training meets regional economic needs. At the school level, boards of management are established to oversee the day-to-day affairs of different departments.</w:t>
      </w:r>
    </w:p>
    <w:p w14:paraId="2178433C" w14:textId="77777777" w:rsidR="00B8121E" w:rsidRPr="00EB4E16" w:rsidRDefault="00B8121E" w:rsidP="00B8121E">
      <w:pPr>
        <w:jc w:val="both"/>
        <w:rPr>
          <w:rFonts w:ascii="Times New Roman" w:hAnsi="Times New Roman" w:cs="Times New Roman"/>
          <w:color w:val="000000" w:themeColor="text1"/>
          <w:sz w:val="24"/>
          <w:szCs w:val="24"/>
        </w:rPr>
      </w:pPr>
    </w:p>
    <w:p w14:paraId="1DB810D1"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Different types of vocational schools are managed by different departments. Specialized secondary schools are mainly administered by trade or professional departments. Vocational schools are managed by educational authorities and professional departments or enterprises that run the schools. Skilled workers schools are managed by labor departments.</w:t>
      </w:r>
    </w:p>
    <w:p w14:paraId="3969E85C"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At the tertiary level, there are two types of vocational institutions: vocational universities and vocational teachers colleges. Both are run by local governments. Vocational universities provide advanced vocational education and training, while vocational teachers colleges focus on training educators for vocational schools.</w:t>
      </w:r>
    </w:p>
    <w:p w14:paraId="2F03E15F" w14:textId="77777777" w:rsidR="00B8121E"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lastRenderedPageBreak/>
        <w:t xml:space="preserve">According to </w:t>
      </w:r>
      <w:r w:rsidRPr="00EB4E16">
        <w:rPr>
          <w:rFonts w:ascii="Times New Roman" w:hAnsi="Times New Roman" w:cs="Times New Roman"/>
          <w:color w:val="000000" w:themeColor="text1"/>
          <w:sz w:val="24"/>
          <w:szCs w:val="24"/>
        </w:rPr>
        <w:fldChar w:fldCharType="begin" w:fldLock="1"/>
      </w:r>
      <w:r w:rsidR="00C94BA4" w:rsidRPr="00EB4E16">
        <w:rPr>
          <w:rFonts w:ascii="Times New Roman" w:hAnsi="Times New Roman" w:cs="Times New Roman"/>
          <w:color w:val="000000" w:themeColor="text1"/>
          <w:sz w:val="24"/>
          <w:szCs w:val="24"/>
        </w:rPr>
        <w:instrText>ADDIN CSL_CITATION {"citationItems":[{"id":"ITEM-1","itemData":{"DOI":"10.53894/ijirss.v7i1.2606","ISSN":"2617-6548","abstract":"Vocational and technical education and training (TVET) in China is a key pathway to enhance labor productivity and drive economic development. Since the initiation of reforms and opening up, under the high attention of the Chinese government, we have experienced rapid development, from quantity expansion to quality improvement. This article delves into the current status and development trends of vocational and technical education in China, analyzing it from various aspects such as the legal environment, infrastructure, teacher enhancement, teaching methods, and cultural context. This paper conducts macro-research and analysis through policies and regulations and refers to relevant papers from Google Scholar and CNKI for micro-analysis. A telephonic interview was carried out with a total of 38 participants from four different vocational schools, industries, and enterprises. The user conducted similarity and differentiation comparisons using both Excel and Mind Mapping software. The research shows that China's vocational education market has entered a phase of rapid growth, and online education has also seen substantial development. However, due to China's vast territory and constraints arising from economic development and regional disparities, as well as diverse ethnic and cultural factors, vocational education and training (TVET) still faces numerous challenges, such as uneven economic and industry development, urban-rural disparities, teacher shortages, and the separation of schools and enterprises. This article aims to provide insights into the development of vocational and technical education and training from the perspectives of personalized education, talent cultivation, and talent needs. It is intended to expand and enhance the influence of vocational education development and broaden the perspective of vocational and technical talents.","author":[{"dropping-particle":"","family":"Fan","given":"Yinghui","non-dropping-particle":"","parse-names":false,"suffix":""},{"dropping-particle":"","family":"Zheng","given":"Haiyan","non-dropping-particle":"","parse-names":false,"suffix":""},{"dropping-particle":"","family":"Ebonite","given":"Romeo Salvo","non-dropping-particle":"","parse-names":false,"suffix":""},{"dropping-particle":"De","family":"Asis","given":"Werson Role","non-dropping-particle":"","parse-names":false,"suffix":""},{"dropping-particle":"","family":"Juanatas","given":"Ronaldo Antalan","non-dropping-particle":"","parse-names":false,"suffix":""}],"container-title":"International Journal of Innovative Research and Scientific Studies","id":"ITEM-1","issue":"1","issued":{"date-parts":[["2024","1","19"]]},"page":"251-260","title":"Overview and developmental analysis of China's technical and vocational education and training","type":"article-journal","volume":"7"},"uris":["http://www.mendeley.com/documents/?uuid=8313dd04-184f-48df-98e4-f5df84564513"]}],"mendeley":{"formattedCitation":"(Fan et al., 2024)","plainTextFormattedCitation":"(Fan et al., 2024)","previouslyFormattedCitation":"(Fan et al., 2024)"},"properties":{"noteIndex":0},"schema":"https://github.com/citation-style-language/schema/raw/master/csl-citation.json"}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(Fan et al., 2024)</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the organization of vocational education in China involves collaborative models with industries, enhancing the effectiveness and relevance of vocational training. Key features include school-enterprise cooperation, where vocational schools collaborate with enterprises to provide practical training and internships, aligning training programs with market demands; the dual system model, which combines classroom instruction with hands-on training in enterprises, improving practical skills and employability; and the Internet Plus Vocational Education initiative, which incorporates digital technologies and online platforms into vocational training, expanding access and flexibility.</w:t>
      </w:r>
    </w:p>
    <w:p w14:paraId="42E9CC15" w14:textId="77777777" w:rsidR="00016087" w:rsidRPr="00EB4E16" w:rsidRDefault="00B8121E" w:rsidP="00B8121E">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The management of vocational education in China is multifaceted, involving various levels of education, governance structures, and collaborative industry models</w:t>
      </w:r>
      <w:r w:rsidR="00C94BA4" w:rsidRPr="00EB4E16">
        <w:rPr>
          <w:rFonts w:ascii="Times New Roman" w:hAnsi="Times New Roman" w:cs="Times New Roman"/>
          <w:color w:val="000000" w:themeColor="text1"/>
          <w:sz w:val="24"/>
          <w:szCs w:val="24"/>
        </w:rPr>
        <w:fldChar w:fldCharType="begin" w:fldLock="1"/>
      </w:r>
      <w:r w:rsidR="007855F7" w:rsidRPr="00EB4E16">
        <w:rPr>
          <w:rFonts w:ascii="Times New Roman" w:hAnsi="Times New Roman" w:cs="Times New Roman"/>
          <w:color w:val="000000" w:themeColor="text1"/>
          <w:sz w:val="24"/>
          <w:szCs w:val="24"/>
        </w:rPr>
        <w:instrText>ADDIN CSL_CITATION {"citationItems":[{"id":"ITEM-1","itemData":{"DOI":"10.52783/jes.3259","ISSN":"1112-5209","abstract":"Wenzhou City, one of the key areas in China for private economic development, has been actively pushing for the deep integration of the private sector and vocational education in recent years, seizing the chance presented by the \"Ministry and Province Co-constructing\" National Highland of Vocational Education Innovation pilot project. This study attempts to investigate the creative growth path by using the integration of the private business and vocational education in Wenzhou City as the research object and the \"four-chain-driven\" model as the theoretical foundation. This study determines the research status, issues, and influencing factors of the industry and education integration mode by methodically arranging the academic history and dynamics of related research both domestically and internationally. It also incorporates the chain theory into the relevant research on the evolution of the integration of industry and education, which offers the theoretical foundation for this investigation. Research on the current state of Wenzhou's integration of the private sector and vocational education, research on influencing factors, and research on the \"four-chain-driven\" model are all included in the study. In order to provide references for governmental decision-making, this study aims to thoroughly analyse the current state of affairs, issues, and potential mechanisms of the integration of the private economy and vocational education in Wenzhou from multiple dimensions through empirical investigation, statistical analysis, and case studies. In the end, this research seeks to create an innovative \"four-chain-driven\" model of industry-education integration and development that is in line with Wenzhou's real circumstances. It also offers theoretical direction and doable avenues for Wenzhou to achieve superior industry-education integration development.","author":[{"dropping-particle":"","family":"Xin Lin","given":"","non-dropping-particle":"","parse-names":false,"suffix":""}],"container-title":"Journal of Electrical Systems","id":"ITEM-1","issue":"7s","issued":{"date-parts":[["2024","5","4"]]},"page":"160-170","title":"The Development Path of Wenzhou's Integration of the Private Economy and Vocational Education Under the \"Four Chain Drive\" Model","type":"article-journal","volume":"20"},"uris":["http://www.mendeley.com/documents/?uuid=878a86f4-8407-4f23-95b1-c233679d433e"]}],"mendeley":{"formattedCitation":"(Xin Lin, 2024)","plainTextFormattedCitation":"(Xin Lin, 2024)","previouslyFormattedCitation":"(Xin Lin, 2024)"},"properties":{"noteIndex":0},"schema":"https://github.com/citation-style-language/schema/raw/master/csl-citation.json"}</w:instrText>
      </w:r>
      <w:r w:rsidR="00C94BA4" w:rsidRPr="00EB4E16">
        <w:rPr>
          <w:rFonts w:ascii="Times New Roman" w:hAnsi="Times New Roman" w:cs="Times New Roman"/>
          <w:color w:val="000000" w:themeColor="text1"/>
          <w:sz w:val="24"/>
          <w:szCs w:val="24"/>
        </w:rPr>
        <w:fldChar w:fldCharType="separate"/>
      </w:r>
      <w:r w:rsidR="00C94BA4" w:rsidRPr="00EB4E16">
        <w:rPr>
          <w:rFonts w:ascii="Times New Roman" w:hAnsi="Times New Roman" w:cs="Times New Roman"/>
          <w:noProof/>
          <w:color w:val="000000" w:themeColor="text1"/>
          <w:sz w:val="24"/>
          <w:szCs w:val="24"/>
        </w:rPr>
        <w:t>(Xin Lin, 2024)</w:t>
      </w:r>
      <w:r w:rsidR="00C94BA4"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Central and local governments play crucial roles in policy-making and administration, ensuring that vocational training meets both national and regional economic needs. This comprehensive structure aims to equip the workforce with the necessary skills to support China's economic development and industrial advancement.</w:t>
      </w:r>
    </w:p>
    <w:p w14:paraId="1E4721EA" w14:textId="77777777" w:rsidR="00A747C9" w:rsidRPr="00EB4E16" w:rsidRDefault="00A747C9" w:rsidP="00A747C9">
      <w:pPr>
        <w:keepNext/>
        <w:jc w:val="both"/>
        <w:rPr>
          <w:rFonts w:ascii="Times New Roman" w:hAnsi="Times New Roman" w:cs="Times New Roman"/>
          <w:color w:val="000000" w:themeColor="text1"/>
          <w:sz w:val="24"/>
          <w:szCs w:val="24"/>
        </w:rPr>
      </w:pPr>
      <w:r w:rsidRPr="00EB4E16">
        <w:rPr>
          <w:rFonts w:ascii="Times New Roman" w:hAnsi="Times New Roman" w:cs="Times New Roman"/>
          <w:noProof/>
          <w:color w:val="000000" w:themeColor="text1"/>
          <w:sz w:val="24"/>
          <w:szCs w:val="24"/>
        </w:rPr>
        <w:lastRenderedPageBreak/>
        <w:drawing>
          <wp:inline distT="0" distB="0" distL="0" distR="0" wp14:anchorId="5A0DC724" wp14:editId="5D9D9335">
            <wp:extent cx="4257675" cy="2628900"/>
            <wp:effectExtent l="0" t="0" r="0" b="0"/>
            <wp:docPr id="14"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9ECD125" w14:textId="77777777" w:rsidR="005B5601" w:rsidRPr="005B5601" w:rsidRDefault="005B5601" w:rsidP="005B5601">
      <w:pPr>
        <w:spacing w:before="100" w:beforeAutospacing="1" w:after="100" w:afterAutospacing="1" w:line="240" w:lineRule="auto"/>
        <w:rPr>
          <w:rFonts w:ascii="Times New Roman" w:eastAsia="Times New Roman" w:hAnsi="Times New Roman" w:cs="Times New Roman"/>
          <w:i/>
          <w:sz w:val="18"/>
          <w:szCs w:val="18"/>
        </w:rPr>
      </w:pPr>
      <w:r w:rsidRPr="0006022C">
        <w:rPr>
          <w:rFonts w:ascii="Times New Roman" w:eastAsia="Times New Roman" w:hAnsi="Times New Roman" w:cs="Times New Roman"/>
          <w:b/>
          <w:bCs/>
          <w:i/>
          <w:sz w:val="18"/>
          <w:szCs w:val="18"/>
        </w:rPr>
        <w:t>Table 2</w:t>
      </w:r>
      <w:r w:rsidR="0006022C">
        <w:rPr>
          <w:rFonts w:ascii="Times New Roman" w:eastAsia="Times New Roman" w:hAnsi="Times New Roman" w:cs="Times New Roman"/>
          <w:b/>
          <w:bCs/>
          <w:i/>
          <w:sz w:val="18"/>
          <w:szCs w:val="18"/>
        </w:rPr>
        <w:t>:</w:t>
      </w:r>
      <w:r w:rsidRPr="0006022C">
        <w:rPr>
          <w:rFonts w:ascii="Times New Roman" w:eastAsia="Times New Roman" w:hAnsi="Times New Roman" w:cs="Times New Roman"/>
          <w:b/>
          <w:bCs/>
          <w:i/>
          <w:sz w:val="18"/>
          <w:szCs w:val="18"/>
        </w:rPr>
        <w:t xml:space="preserve"> Structure of Vocational Education in China</w:t>
      </w:r>
    </w:p>
    <w:tbl>
      <w:tblPr>
        <w:tblStyle w:val="ColorfulGrid-Accent1"/>
        <w:tblW w:w="0" w:type="auto"/>
        <w:tblLook w:val="04A0" w:firstRow="1" w:lastRow="0" w:firstColumn="1" w:lastColumn="0" w:noHBand="0" w:noVBand="1"/>
      </w:tblPr>
      <w:tblGrid>
        <w:gridCol w:w="9576"/>
      </w:tblGrid>
      <w:tr w:rsidR="005B5601" w:rsidRPr="005B5601" w14:paraId="5A907674" w14:textId="77777777" w:rsidTr="00231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Style w:val="ColorfulGrid-Accent5"/>
              <w:tblW w:w="9600" w:type="dxa"/>
              <w:tblLook w:val="04A0" w:firstRow="1" w:lastRow="0" w:firstColumn="1" w:lastColumn="0" w:noHBand="0" w:noVBand="1"/>
            </w:tblPr>
            <w:tblGrid>
              <w:gridCol w:w="1642"/>
              <w:gridCol w:w="2901"/>
              <w:gridCol w:w="5057"/>
            </w:tblGrid>
            <w:tr w:rsidR="00231F96" w:rsidRPr="005B5601" w14:paraId="134CBCCC" w14:textId="77777777" w:rsidTr="00231F96">
              <w:trPr>
                <w:cnfStyle w:val="100000000000" w:firstRow="1" w:lastRow="0" w:firstColumn="0" w:lastColumn="0" w:oddVBand="0" w:evenVBand="0" w:oddHBand="0"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7D2048B0" w14:textId="77777777" w:rsidR="005B5601" w:rsidRPr="005B5601" w:rsidRDefault="005B5601" w:rsidP="00186899">
                  <w:pPr>
                    <w:spacing w:before="0" w:line="240" w:lineRule="auto"/>
                    <w:jc w:val="center"/>
                    <w:rPr>
                      <w:rFonts w:ascii="Times New Roman" w:eastAsia="Times New Roman" w:hAnsi="Times New Roman" w:cs="Times New Roman"/>
                      <w:sz w:val="18"/>
                      <w:szCs w:val="18"/>
                    </w:rPr>
                  </w:pPr>
                  <w:r w:rsidRPr="0006022C">
                    <w:rPr>
                      <w:rFonts w:ascii="Times New Roman" w:eastAsia="Times New Roman" w:hAnsi="Times New Roman" w:cs="Times New Roman"/>
                      <w:sz w:val="18"/>
                      <w:szCs w:val="18"/>
                    </w:rPr>
                    <w:t>Level</w:t>
                  </w:r>
                </w:p>
              </w:tc>
              <w:tc>
                <w:tcPr>
                  <w:tcW w:w="0" w:type="auto"/>
                  <w:hideMark/>
                </w:tcPr>
                <w:p w14:paraId="5A917661" w14:textId="77777777" w:rsidR="005B5601" w:rsidRPr="005B5601" w:rsidRDefault="005B5601" w:rsidP="0018689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6022C">
                    <w:rPr>
                      <w:rFonts w:ascii="Times New Roman" w:eastAsia="Times New Roman" w:hAnsi="Times New Roman" w:cs="Times New Roman"/>
                      <w:sz w:val="18"/>
                      <w:szCs w:val="18"/>
                    </w:rPr>
                    <w:t>Main Bodies / Institutions</w:t>
                  </w:r>
                </w:p>
              </w:tc>
              <w:tc>
                <w:tcPr>
                  <w:tcW w:w="0" w:type="auto"/>
                  <w:hideMark/>
                </w:tcPr>
                <w:p w14:paraId="19775D8D" w14:textId="77777777" w:rsidR="005B5601" w:rsidRPr="005B5601" w:rsidRDefault="005B5601" w:rsidP="00186899">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06022C">
                    <w:rPr>
                      <w:rFonts w:ascii="Times New Roman" w:eastAsia="Times New Roman" w:hAnsi="Times New Roman" w:cs="Times New Roman"/>
                      <w:sz w:val="18"/>
                      <w:szCs w:val="18"/>
                    </w:rPr>
                    <w:t>Key Roles &amp; Responsibilities</w:t>
                  </w:r>
                </w:p>
              </w:tc>
            </w:tr>
            <w:tr w:rsidR="00231F96" w:rsidRPr="005B5601" w14:paraId="4BF14BF8" w14:textId="77777777" w:rsidTr="00231F96">
              <w:trPr>
                <w:cnfStyle w:val="000000100000" w:firstRow="0" w:lastRow="0" w:firstColumn="0" w:lastColumn="0" w:oddVBand="0" w:evenVBand="0" w:oddHBand="1" w:evenHBand="0" w:firstRowFirstColumn="0" w:firstRowLastColumn="0" w:lastRowFirstColumn="0" w:lastRowLastColumn="0"/>
                <w:trHeight w:val="1704"/>
              </w:trPr>
              <w:tc>
                <w:tcPr>
                  <w:cnfStyle w:val="001000000000" w:firstRow="0" w:lastRow="0" w:firstColumn="1" w:lastColumn="0" w:oddVBand="0" w:evenVBand="0" w:oddHBand="0" w:evenHBand="0" w:firstRowFirstColumn="0" w:firstRowLastColumn="0" w:lastRowFirstColumn="0" w:lastRowLastColumn="0"/>
                  <w:tcW w:w="0" w:type="auto"/>
                  <w:hideMark/>
                </w:tcPr>
                <w:p w14:paraId="01F39808"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National</w:t>
                  </w:r>
                </w:p>
              </w:tc>
              <w:tc>
                <w:tcPr>
                  <w:tcW w:w="0" w:type="auto"/>
                  <w:hideMark/>
                </w:tcPr>
                <w:p w14:paraId="791C2E0A"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State Council </w:t>
                  </w:r>
                  <w:r w:rsidRPr="005B5601">
                    <w:rPr>
                      <w:rFonts w:ascii="Times New Roman" w:eastAsia="Times New Roman" w:hAnsi="Times New Roman" w:cs="Times New Roman"/>
                      <w:sz w:val="18"/>
                      <w:szCs w:val="18"/>
                    </w:rPr>
                    <w:br/>
                    <w:t xml:space="preserve">• Ministry of Education (MOE) </w:t>
                  </w:r>
                  <w:r w:rsidRPr="005B5601">
                    <w:rPr>
                      <w:rFonts w:ascii="Times New Roman" w:eastAsia="Times New Roman" w:hAnsi="Times New Roman" w:cs="Times New Roman"/>
                      <w:sz w:val="18"/>
                      <w:szCs w:val="18"/>
                    </w:rPr>
                    <w:br/>
                    <w:t>• Ministry of Human Resources &amp; Social Security (MOHRSS)</w:t>
                  </w:r>
                </w:p>
              </w:tc>
              <w:tc>
                <w:tcPr>
                  <w:tcW w:w="0" w:type="auto"/>
                  <w:hideMark/>
                </w:tcPr>
                <w:p w14:paraId="491F2C3F"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Sets overall policies, national curricula and standards; allocates central funding; coordinates vocational training with labor-market needs.</w:t>
                  </w:r>
                </w:p>
              </w:tc>
            </w:tr>
            <w:tr w:rsidR="00231F96" w:rsidRPr="005B5601" w14:paraId="27FEDD62" w14:textId="77777777" w:rsidTr="00231F96">
              <w:trPr>
                <w:trHeight w:val="1426"/>
              </w:trPr>
              <w:tc>
                <w:tcPr>
                  <w:cnfStyle w:val="001000000000" w:firstRow="0" w:lastRow="0" w:firstColumn="1" w:lastColumn="0" w:oddVBand="0" w:evenVBand="0" w:oddHBand="0" w:evenHBand="0" w:firstRowFirstColumn="0" w:firstRowLastColumn="0" w:lastRowFirstColumn="0" w:lastRowLastColumn="0"/>
                  <w:tcW w:w="0" w:type="auto"/>
                  <w:hideMark/>
                </w:tcPr>
                <w:p w14:paraId="02FC5632"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Provincial</w:t>
                  </w:r>
                </w:p>
              </w:tc>
              <w:tc>
                <w:tcPr>
                  <w:tcW w:w="0" w:type="auto"/>
                  <w:hideMark/>
                </w:tcPr>
                <w:p w14:paraId="25835B43"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Provincial Education Departments </w:t>
                  </w:r>
                  <w:r w:rsidRPr="005B5601">
                    <w:rPr>
                      <w:rFonts w:ascii="Times New Roman" w:eastAsia="Times New Roman" w:hAnsi="Times New Roman" w:cs="Times New Roman"/>
                      <w:sz w:val="18"/>
                      <w:szCs w:val="18"/>
                    </w:rPr>
                    <w:br/>
                    <w:t>• Provincial Human Resources &amp; Social Security Departments</w:t>
                  </w:r>
                </w:p>
              </w:tc>
              <w:tc>
                <w:tcPr>
                  <w:tcW w:w="0" w:type="auto"/>
                  <w:hideMark/>
                </w:tcPr>
                <w:p w14:paraId="3B50DB6E"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Adapt national policies to local conditions; approve and fund vocational schools/colleges; manage teacher training and certification.</w:t>
                  </w:r>
                </w:p>
              </w:tc>
            </w:tr>
            <w:tr w:rsidR="00231F96" w:rsidRPr="005B5601" w14:paraId="7D6E0B58" w14:textId="77777777" w:rsidTr="00231F96">
              <w:trPr>
                <w:cnfStyle w:val="000000100000" w:firstRow="0" w:lastRow="0" w:firstColumn="0" w:lastColumn="0" w:oddVBand="0" w:evenVBand="0" w:oddHBand="1" w:evenHBand="0" w:firstRowFirstColumn="0" w:firstRowLastColumn="0" w:lastRowFirstColumn="0" w:lastRowLastColumn="0"/>
                <w:trHeight w:val="1131"/>
              </w:trPr>
              <w:tc>
                <w:tcPr>
                  <w:cnfStyle w:val="001000000000" w:firstRow="0" w:lastRow="0" w:firstColumn="1" w:lastColumn="0" w:oddVBand="0" w:evenVBand="0" w:oddHBand="0" w:evenHBand="0" w:firstRowFirstColumn="0" w:firstRowLastColumn="0" w:lastRowFirstColumn="0" w:lastRowLastColumn="0"/>
                  <w:tcW w:w="0" w:type="auto"/>
                  <w:hideMark/>
                </w:tcPr>
                <w:p w14:paraId="777FCAF2"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Municipal / County</w:t>
                  </w:r>
                </w:p>
              </w:tc>
              <w:tc>
                <w:tcPr>
                  <w:tcW w:w="0" w:type="auto"/>
                  <w:hideMark/>
                </w:tcPr>
                <w:p w14:paraId="7C9997A7"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Municipal Education Bureaus </w:t>
                  </w:r>
                  <w:r w:rsidRPr="005B5601">
                    <w:rPr>
                      <w:rFonts w:ascii="Times New Roman" w:eastAsia="Times New Roman" w:hAnsi="Times New Roman" w:cs="Times New Roman"/>
                      <w:sz w:val="18"/>
                      <w:szCs w:val="18"/>
                    </w:rPr>
                    <w:br/>
                    <w:t>• County/District Education Bureaus</w:t>
                  </w:r>
                </w:p>
              </w:tc>
              <w:tc>
                <w:tcPr>
                  <w:tcW w:w="0" w:type="auto"/>
                  <w:hideMark/>
                </w:tcPr>
                <w:p w14:paraId="2B5BD7AE"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Oversee day-to-day management of vocational institutions; monitor quality and compliance with provincial directives.</w:t>
                  </w:r>
                </w:p>
              </w:tc>
            </w:tr>
            <w:tr w:rsidR="00231F96" w:rsidRPr="005B5601" w14:paraId="0CB80B56" w14:textId="77777777" w:rsidTr="00231F96">
              <w:trPr>
                <w:trHeight w:val="1704"/>
              </w:trPr>
              <w:tc>
                <w:tcPr>
                  <w:cnfStyle w:val="001000000000" w:firstRow="0" w:lastRow="0" w:firstColumn="1" w:lastColumn="0" w:oddVBand="0" w:evenVBand="0" w:oddHBand="0" w:evenHBand="0" w:firstRowFirstColumn="0" w:firstRowLastColumn="0" w:lastRowFirstColumn="0" w:lastRowLastColumn="0"/>
                  <w:tcW w:w="0" w:type="auto"/>
                  <w:hideMark/>
                </w:tcPr>
                <w:p w14:paraId="01B626B5"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Institutional</w:t>
                  </w:r>
                </w:p>
              </w:tc>
              <w:tc>
                <w:tcPr>
                  <w:tcW w:w="0" w:type="auto"/>
                  <w:hideMark/>
                </w:tcPr>
                <w:p w14:paraId="43F7AB6C"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Secondary Vocational Schools </w:t>
                  </w:r>
                  <w:r w:rsidRPr="005B5601">
                    <w:rPr>
                      <w:rFonts w:ascii="Times New Roman" w:eastAsia="Times New Roman" w:hAnsi="Times New Roman" w:cs="Times New Roman"/>
                      <w:sz w:val="18"/>
                      <w:szCs w:val="18"/>
                    </w:rPr>
                    <w:br/>
                    <w:t xml:space="preserve">• Higher Vocational Colleges </w:t>
                  </w:r>
                  <w:r w:rsidRPr="005B5601">
                    <w:rPr>
                      <w:rFonts w:ascii="Times New Roman" w:eastAsia="Times New Roman" w:hAnsi="Times New Roman" w:cs="Times New Roman"/>
                      <w:sz w:val="18"/>
                      <w:szCs w:val="18"/>
                    </w:rPr>
                    <w:br/>
                    <w:t>• Adult/Continuing Education Centers</w:t>
                  </w:r>
                </w:p>
              </w:tc>
              <w:tc>
                <w:tcPr>
                  <w:tcW w:w="0" w:type="auto"/>
                  <w:hideMark/>
                </w:tcPr>
                <w:p w14:paraId="0F781486" w14:textId="77777777" w:rsidR="005B5601" w:rsidRPr="005B5601" w:rsidRDefault="005B5601" w:rsidP="00186899">
                  <w:pPr>
                    <w:spacing w:before="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Deliver vocational curricula, skills training, and assessment; maintain partnerships with industry for internships and apprenticeships.</w:t>
                  </w:r>
                </w:p>
              </w:tc>
            </w:tr>
            <w:tr w:rsidR="00231F96" w:rsidRPr="005B5601" w14:paraId="1F91124C" w14:textId="77777777" w:rsidTr="00231F96">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0" w:type="auto"/>
                  <w:hideMark/>
                </w:tcPr>
                <w:p w14:paraId="0B978DA1" w14:textId="77777777" w:rsidR="005B5601" w:rsidRPr="005B5601" w:rsidRDefault="005B5601" w:rsidP="00186899">
                  <w:pPr>
                    <w:spacing w:before="0" w:line="240" w:lineRule="auto"/>
                    <w:rPr>
                      <w:rFonts w:ascii="Times New Roman" w:eastAsia="Times New Roman" w:hAnsi="Times New Roman" w:cs="Times New Roman"/>
                      <w:sz w:val="18"/>
                      <w:szCs w:val="18"/>
                    </w:rPr>
                  </w:pPr>
                  <w:r w:rsidRPr="0006022C">
                    <w:rPr>
                      <w:rFonts w:ascii="Times New Roman" w:eastAsia="Times New Roman" w:hAnsi="Times New Roman" w:cs="Times New Roman"/>
                      <w:b/>
                      <w:bCs/>
                      <w:sz w:val="18"/>
                      <w:szCs w:val="18"/>
                    </w:rPr>
                    <w:t>Industry &amp; Social Partners</w:t>
                  </w:r>
                </w:p>
              </w:tc>
              <w:tc>
                <w:tcPr>
                  <w:tcW w:w="0" w:type="auto"/>
                  <w:hideMark/>
                </w:tcPr>
                <w:p w14:paraId="5021137B"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 xml:space="preserve">• Enterprises and Employers </w:t>
                  </w:r>
                  <w:r w:rsidRPr="005B5601">
                    <w:rPr>
                      <w:rFonts w:ascii="Times New Roman" w:eastAsia="Times New Roman" w:hAnsi="Times New Roman" w:cs="Times New Roman"/>
                      <w:sz w:val="18"/>
                      <w:szCs w:val="18"/>
                    </w:rPr>
                    <w:br/>
                    <w:t xml:space="preserve">• Industry Associations </w:t>
                  </w:r>
                  <w:r w:rsidRPr="005B5601">
                    <w:rPr>
                      <w:rFonts w:ascii="Times New Roman" w:eastAsia="Times New Roman" w:hAnsi="Times New Roman" w:cs="Times New Roman"/>
                      <w:sz w:val="18"/>
                      <w:szCs w:val="18"/>
                    </w:rPr>
                    <w:br/>
                    <w:t>• NGOs/Community Groups</w:t>
                  </w:r>
                </w:p>
              </w:tc>
              <w:tc>
                <w:tcPr>
                  <w:tcW w:w="0" w:type="auto"/>
                  <w:hideMark/>
                </w:tcPr>
                <w:p w14:paraId="1FF54627" w14:textId="77777777" w:rsidR="005B5601" w:rsidRPr="005B5601" w:rsidRDefault="005B5601" w:rsidP="00186899">
                  <w:pPr>
                    <w:spacing w:before="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rPr>
                  </w:pPr>
                  <w:r w:rsidRPr="005B5601">
                    <w:rPr>
                      <w:rFonts w:ascii="Times New Roman" w:eastAsia="Times New Roman" w:hAnsi="Times New Roman" w:cs="Times New Roman"/>
                      <w:sz w:val="18"/>
                      <w:szCs w:val="18"/>
                    </w:rPr>
                    <w:t>Collaborate on curriculum design, provide workplace training and apprenticeship opportunities, support lifelong learning initiatives.</w:t>
                  </w:r>
                </w:p>
              </w:tc>
            </w:tr>
          </w:tbl>
          <w:p w14:paraId="1B77B611" w14:textId="77777777" w:rsidR="005B5601" w:rsidRPr="005B5601" w:rsidRDefault="005B5601" w:rsidP="00A747C9">
            <w:pPr>
              <w:pStyle w:val="Caption"/>
              <w:jc w:val="both"/>
              <w:rPr>
                <w:rFonts w:ascii="Times New Roman" w:hAnsi="Times New Roman" w:cs="Times New Roman"/>
                <w:color w:val="000000" w:themeColor="text1"/>
                <w:sz w:val="24"/>
                <w:szCs w:val="24"/>
              </w:rPr>
            </w:pPr>
          </w:p>
        </w:tc>
      </w:tr>
    </w:tbl>
    <w:p w14:paraId="731D1688" w14:textId="77777777" w:rsidR="005B5601" w:rsidRDefault="005B5601" w:rsidP="00A747C9">
      <w:pPr>
        <w:pStyle w:val="Caption"/>
        <w:jc w:val="both"/>
        <w:rPr>
          <w:rFonts w:ascii="Times New Roman" w:hAnsi="Times New Roman" w:cs="Times New Roman"/>
          <w:color w:val="000000" w:themeColor="text1"/>
          <w:sz w:val="24"/>
          <w:szCs w:val="24"/>
        </w:rPr>
      </w:pPr>
    </w:p>
    <w:p w14:paraId="3DF649CE" w14:textId="77777777" w:rsidR="0055307C" w:rsidRPr="00EB4E16" w:rsidRDefault="0006022C" w:rsidP="006E27C1">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curriculum</w:t>
      </w:r>
    </w:p>
    <w:p w14:paraId="2C7A3AFB" w14:textId="77777777" w:rsidR="007855F7" w:rsidRPr="00EB4E16" w:rsidRDefault="00F607AF"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Generally, v</w:t>
      </w:r>
      <w:r w:rsidR="006E27C1" w:rsidRPr="00EB4E16">
        <w:rPr>
          <w:rFonts w:ascii="Times New Roman" w:hAnsi="Times New Roman" w:cs="Times New Roman"/>
          <w:color w:val="000000" w:themeColor="text1"/>
          <w:sz w:val="24"/>
          <w:szCs w:val="24"/>
        </w:rPr>
        <w:t xml:space="preserve">ocational education in China </w:t>
      </w:r>
      <w:r w:rsidR="00686497" w:rsidRPr="00EB4E16">
        <w:rPr>
          <w:rFonts w:ascii="Times New Roman" w:hAnsi="Times New Roman" w:cs="Times New Roman"/>
          <w:color w:val="000000" w:themeColor="text1"/>
          <w:sz w:val="24"/>
          <w:szCs w:val="24"/>
        </w:rPr>
        <w:t xml:space="preserve">like in every other country </w:t>
      </w:r>
      <w:r w:rsidR="006E27C1" w:rsidRPr="00EB4E16">
        <w:rPr>
          <w:rFonts w:ascii="Times New Roman" w:hAnsi="Times New Roman" w:cs="Times New Roman"/>
          <w:color w:val="000000" w:themeColor="text1"/>
          <w:sz w:val="24"/>
          <w:szCs w:val="24"/>
        </w:rPr>
        <w:t xml:space="preserve">is designed to address the skills required by various industries and to bridge the gap between theoretical knowledge and practical application. In secondary vocational schools, the curriculum includes general education subjects like Chinese, mathematics, and foreign languages to ensure a well-rounded education. Vocational training is provided in specific trades such as automotive repair, culinary arts, welding, and agriculture, with a focus on practical skills. </w:t>
      </w:r>
      <w:r w:rsidR="007855F7" w:rsidRPr="00EB4E16">
        <w:rPr>
          <w:rFonts w:ascii="Times New Roman" w:hAnsi="Times New Roman" w:cs="Times New Roman"/>
          <w:color w:val="000000" w:themeColor="text1"/>
          <w:sz w:val="24"/>
          <w:szCs w:val="24"/>
        </w:rPr>
        <w:fldChar w:fldCharType="begin" w:fldLock="1"/>
      </w:r>
      <w:r w:rsidR="00FD5968" w:rsidRPr="00EB4E16">
        <w:rPr>
          <w:rFonts w:ascii="Times New Roman" w:hAnsi="Times New Roman" w:cs="Times New Roman"/>
          <w:color w:val="000000" w:themeColor="text1"/>
          <w:sz w:val="24"/>
          <w:szCs w:val="24"/>
        </w:rPr>
        <w:instrText>ADDIN CSL_CITATION {"citationItems":[{"id":"ITEM-1","itemData":{"DOI":"10.33736/jcshd.4497.2022","ISSN":"2462-1153","abstract":"Vocational education plays an essential role in developing diverse human talents, passing on technical skills, and promoting employment, innovation, and entrepreneurship. As a critical part of the national education system and the development of human resources, vocational education in China plays a crucial role in the development of diverse talents, the transfer of technical skills, and the promotion of employment and entrepreneurship. This paper aims to explore the history, roles, challenges, and the way forward for vocational education in China. It is found that vocational education in China has gone through a series of name changes before settling on its current nomenclature. Although vocational education is essential to complement general academic education to build a nation, it faces an uphill battle to gain the same status and recognition bestowed on general education. These challenges include curriculum design, poor linkages with industries, public perception, and other structural issues. This paper also discusses how to overcome these challenges to improve vocational education in China.","author":[{"dropping-particle":"","family":"Jing","given":"Tian","non-dropping-particle":"","parse-names":false,"suffix":""},{"dropping-particle":"","family":"Chung","given":"Ellen","non-dropping-particle":"","parse-names":false,"suffix":""},{"dropping-particle":"","family":"Gregory","given":"Margaret Lucy","non-dropping-particle":"","parse-names":false,"suffix":""}],"container-title":"Journal of Cognitive Sciences and Human Development","id":"ITEM-1","issue":"1","issued":{"date-parts":[["2022","3","31"]]},"page":"112-121","title":"Vocational Education in China: Its History, Roles, Challenges and the Way Forward","type":"article-journal","volume":"8"},"uris":["http://www.mendeley.com/documents/?uuid=26ecca03-8df7-4a57-bd52-d55ac88ec22e"]}],"mendeley":{"formattedCitation":"(Jing et al., 2022)","plainTextFormattedCitation":"(Jing et al., 2022)","previouslyFormattedCitation":"(Jing et al., 2022)"},"properties":{"noteIndex":0},"schema":"https://github.com/citation-style-language/schema/raw/master/csl-citation.json"}</w:instrText>
      </w:r>
      <w:r w:rsidR="007855F7" w:rsidRPr="00EB4E16">
        <w:rPr>
          <w:rFonts w:ascii="Times New Roman" w:hAnsi="Times New Roman" w:cs="Times New Roman"/>
          <w:color w:val="000000" w:themeColor="text1"/>
          <w:sz w:val="24"/>
          <w:szCs w:val="24"/>
        </w:rPr>
        <w:fldChar w:fldCharType="separate"/>
      </w:r>
      <w:r w:rsidR="007855F7" w:rsidRPr="00EB4E16">
        <w:rPr>
          <w:rFonts w:ascii="Times New Roman" w:hAnsi="Times New Roman" w:cs="Times New Roman"/>
          <w:noProof/>
          <w:color w:val="000000" w:themeColor="text1"/>
          <w:sz w:val="24"/>
          <w:szCs w:val="24"/>
        </w:rPr>
        <w:t>(Jing et al., 2022)</w:t>
      </w:r>
      <w:r w:rsidR="007855F7" w:rsidRPr="00EB4E16">
        <w:rPr>
          <w:rFonts w:ascii="Times New Roman" w:hAnsi="Times New Roman" w:cs="Times New Roman"/>
          <w:color w:val="000000" w:themeColor="text1"/>
          <w:sz w:val="24"/>
          <w:szCs w:val="24"/>
        </w:rPr>
        <w:fldChar w:fldCharType="end"/>
      </w:r>
      <w:r w:rsidR="007855F7" w:rsidRPr="00EB4E16">
        <w:rPr>
          <w:rFonts w:ascii="Times New Roman" w:hAnsi="Times New Roman" w:cs="Times New Roman"/>
          <w:color w:val="000000" w:themeColor="text1"/>
          <w:sz w:val="24"/>
          <w:szCs w:val="24"/>
        </w:rPr>
        <w:t xml:space="preserve"> in their work “Vocational Education in China: Its History, Roles, Challenges and the Way Forward” </w:t>
      </w:r>
      <w:r w:rsidR="006E27C1" w:rsidRPr="00EB4E16">
        <w:rPr>
          <w:rFonts w:ascii="Times New Roman" w:hAnsi="Times New Roman" w:cs="Times New Roman"/>
          <w:color w:val="000000" w:themeColor="text1"/>
          <w:sz w:val="24"/>
          <w:szCs w:val="24"/>
        </w:rPr>
        <w:t>discuss the structure and content of vocational education in China, highlighting the combination of general education and s</w:t>
      </w:r>
      <w:r w:rsidR="007855F7" w:rsidRPr="00EB4E16">
        <w:rPr>
          <w:rFonts w:ascii="Times New Roman" w:hAnsi="Times New Roman" w:cs="Times New Roman"/>
          <w:color w:val="000000" w:themeColor="text1"/>
          <w:sz w:val="24"/>
          <w:szCs w:val="24"/>
        </w:rPr>
        <w:t xml:space="preserve">pecialized vocational training. </w:t>
      </w:r>
    </w:p>
    <w:p w14:paraId="68356C2C" w14:textId="77777777"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Higher vocational colleges offer advanced technical courses in fields like engineering, healthcare, IT, business, and manufacturing, blending theoretical instruction with hands-on training. Students gain practical experience through internships and industry-based projects. </w:t>
      </w:r>
      <w:r w:rsidR="00FD5968" w:rsidRPr="00EB4E16">
        <w:rPr>
          <w:rFonts w:ascii="Times New Roman" w:hAnsi="Times New Roman" w:cs="Times New Roman"/>
          <w:color w:val="000000" w:themeColor="text1"/>
          <w:sz w:val="24"/>
          <w:szCs w:val="24"/>
        </w:rPr>
        <w:t xml:space="preserve">Zhao et al </w:t>
      </w:r>
      <w:r w:rsidRPr="00EB4E16">
        <w:rPr>
          <w:rFonts w:ascii="Times New Roman" w:hAnsi="Times New Roman" w:cs="Times New Roman"/>
          <w:color w:val="000000" w:themeColor="text1"/>
          <w:sz w:val="24"/>
          <w:szCs w:val="24"/>
        </w:rPr>
        <w:t xml:space="preserve">in </w:t>
      </w:r>
      <w:r w:rsidR="00FD5968" w:rsidRPr="00EB4E16">
        <w:rPr>
          <w:rFonts w:ascii="Times New Roman" w:hAnsi="Times New Roman" w:cs="Times New Roman"/>
          <w:color w:val="000000" w:themeColor="text1"/>
          <w:sz w:val="24"/>
          <w:szCs w:val="24"/>
        </w:rPr>
        <w:fldChar w:fldCharType="begin" w:fldLock="1"/>
      </w:r>
      <w:r w:rsidR="00A177E4" w:rsidRPr="00EB4E16">
        <w:rPr>
          <w:rFonts w:ascii="Times New Roman" w:hAnsi="Times New Roman" w:cs="Times New Roman"/>
          <w:color w:val="000000" w:themeColor="text1"/>
          <w:sz w:val="24"/>
          <w:szCs w:val="24"/>
        </w:rPr>
        <w:instrText>ADDIN CSL_CITATION {"citationItems":[{"id":"ITEM-1","itemData":{"DOI":"10.25236/IJNDE.2023.051716","ISSN":"26638169","container-title":"International Journal of New Developments in Education","id":"ITEM-1","issue":"17","issued":{"date-parts":[["2023"]]},"title":"Reform and Innovation in Higher Vocational Education","type":"article-journal","volume":"5"},"uris":["http://www.mendeley.com/documents/?uuid=a11946f7-dec6-467c-9db7-40d385945c7a"]}],"mendeley":{"formattedCitation":"(“Reform and Innovation in Higher Vocational Education,” 2023)","plainTextFormattedCitation":"(“Reform and Innovation in Higher Vocational Education,” 2023)","previouslyFormattedCitation":"(“Reform and Innovation in Higher Vocational Education,” 2023)"},"properties":{"noteIndex":0},"schema":"https://github.com/citation-style-language/schema/raw/master/csl-citation.json"}</w:instrText>
      </w:r>
      <w:r w:rsidR="00FD5968" w:rsidRPr="00EB4E16">
        <w:rPr>
          <w:rFonts w:ascii="Times New Roman" w:hAnsi="Times New Roman" w:cs="Times New Roman"/>
          <w:color w:val="000000" w:themeColor="text1"/>
          <w:sz w:val="24"/>
          <w:szCs w:val="24"/>
        </w:rPr>
        <w:fldChar w:fldCharType="separate"/>
      </w:r>
      <w:r w:rsidR="00FD5968" w:rsidRPr="00EB4E16">
        <w:rPr>
          <w:rFonts w:ascii="Times New Roman" w:hAnsi="Times New Roman" w:cs="Times New Roman"/>
          <w:noProof/>
          <w:color w:val="000000" w:themeColor="text1"/>
          <w:sz w:val="24"/>
          <w:szCs w:val="24"/>
        </w:rPr>
        <w:t>(“Reform and Innovation in Higher Vocational Education,” 2023)</w:t>
      </w:r>
      <w:r w:rsidR="00FD5968"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explores the curriculum of higher vocational colleges, emphasizing the integration of advanced technical education and industry partnerships.</w:t>
      </w:r>
    </w:p>
    <w:p w14:paraId="6483CEA4" w14:textId="77777777"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Technical institutes focus on specialized technical courses in areas such as electronics, telecommunications, advanced manufacturing, and IT. They provide extensive hands-on experience in state-of-the-art facilities. </w:t>
      </w:r>
      <w:r w:rsidR="00A177E4" w:rsidRPr="00EB4E16">
        <w:rPr>
          <w:rFonts w:ascii="Times New Roman" w:hAnsi="Times New Roman" w:cs="Times New Roman"/>
          <w:color w:val="000000" w:themeColor="text1"/>
          <w:sz w:val="24"/>
          <w:szCs w:val="24"/>
        </w:rPr>
        <w:fldChar w:fldCharType="begin" w:fldLock="1"/>
      </w:r>
      <w:r w:rsidR="00E31131" w:rsidRPr="00EB4E16">
        <w:rPr>
          <w:rFonts w:ascii="Times New Roman" w:hAnsi="Times New Roman" w:cs="Times New Roman"/>
          <w:color w:val="000000" w:themeColor="text1"/>
          <w:sz w:val="24"/>
          <w:szCs w:val="24"/>
        </w:rPr>
        <w:instrText>ADDIN CSL_CITATION {"citationItems":[{"id":"ITEM-1","itemData":{"DOI":"10.26549/jetm.v7i1.12525","ISSN":"25917102","abstract":"This study delves into the current state and challenges of vocational education through a comparative study of cross-national vocational education and an analysis of the Zhaixing Academy case. The research reveals that vocational education reform can draw on the experiences of the German dual system, American community colleges, and Chinese vocational education reforms, with a focus on informal education pathways, practice-oriented teaching, and flexible training methods. The Zhaixing Academy case demonstrates the application of practice-oriented teaching approaches in the field of vocational education, emphasizing individual student development needs and the advantages of education outside formal institutions, offering new insights and references for the current Chinese education system. The study proposes that governments and education departments should increase investment in vocational education, encourage collaboration between enterprises and vocational education institutions, and support innovative practice-oriented education. In the future, Zhaixing Academy can continue to focus on education reform, expand the realm of practice-oriented education, promote its educational philosophy and methods, and contribute to the diversification and sustainable development of education.","author":[{"dropping-particle":"","family":"Li","given":"Xiyan","non-dropping-particle":"","parse-names":false,"suffix":""},{"dropping-particle":"","family":"Chen","given":"Chen","non-dropping-particle":"","parse-names":false,"suffix":""},{"dropping-particle":"","family":"Wu","given":"Peishi","non-dropping-particle":"","parse-names":false,"suffix":""}],"container-title":"Journal of Educational Theory and Management","id":"ITEM-1","issue":"1","issued":{"date-parts":[["2023","4","24"]]},"page":"21","title":"Vocational Education from a Cross-national Perspective: Comparative Analysis of China, Germany, and the United States, with a Case Study of Zhaixing Academy","type":"article-journal","volume":"7"},"uris":["http://www.mendeley.com/documents/?uuid=c12e1276-71fb-4706-87d8-621ddb986170"]}],"mendeley":{"formattedCitation":"(X. Li et al., 2023)","plainTextFormattedCitation":"(X. Li et al., 2023)","previouslyFormattedCitation":"(X. Li et al., 2023)"},"properties":{"noteIndex":0},"schema":"https://github.com/citation-style-language/schema/raw/master/csl-citation.json"}</w:instrText>
      </w:r>
      <w:r w:rsidR="00A177E4" w:rsidRPr="00EB4E16">
        <w:rPr>
          <w:rFonts w:ascii="Times New Roman" w:hAnsi="Times New Roman" w:cs="Times New Roman"/>
          <w:color w:val="000000" w:themeColor="text1"/>
          <w:sz w:val="24"/>
          <w:szCs w:val="24"/>
        </w:rPr>
        <w:fldChar w:fldCharType="separate"/>
      </w:r>
      <w:r w:rsidR="00E31131" w:rsidRPr="00EB4E16">
        <w:rPr>
          <w:rFonts w:ascii="Times New Roman" w:hAnsi="Times New Roman" w:cs="Times New Roman"/>
          <w:noProof/>
          <w:color w:val="000000" w:themeColor="text1"/>
          <w:sz w:val="24"/>
          <w:szCs w:val="24"/>
        </w:rPr>
        <w:t>(X. Li et al., 2023)</w:t>
      </w:r>
      <w:r w:rsidR="00A177E4" w:rsidRPr="00EB4E16">
        <w:rPr>
          <w:rFonts w:ascii="Times New Roman" w:hAnsi="Times New Roman" w:cs="Times New Roman"/>
          <w:color w:val="000000" w:themeColor="text1"/>
          <w:sz w:val="24"/>
          <w:szCs w:val="24"/>
        </w:rPr>
        <w:fldChar w:fldCharType="end"/>
      </w:r>
      <w:r w:rsidR="00A177E4" w:rsidRPr="00EB4E16">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detail the specialized courses offered at technical institutes and the importance of practical training.</w:t>
      </w:r>
    </w:p>
    <w:p w14:paraId="2F9B50AE" w14:textId="77777777"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Adult vocational schools offer flexible learning options such as part-time, evening, and weekend classes tailored to working adults. They provide practical training designed to meet the </w:t>
      </w:r>
      <w:r w:rsidRPr="00EB4E16">
        <w:rPr>
          <w:rFonts w:ascii="Times New Roman" w:hAnsi="Times New Roman" w:cs="Times New Roman"/>
          <w:color w:val="000000" w:themeColor="text1"/>
          <w:sz w:val="24"/>
          <w:szCs w:val="24"/>
        </w:rPr>
        <w:lastRenderedPageBreak/>
        <w:t xml:space="preserve">immediate needs of the job market. </w:t>
      </w:r>
      <w:r w:rsidR="00614A7F" w:rsidRPr="00EB4E16">
        <w:rPr>
          <w:rFonts w:ascii="Times New Roman" w:hAnsi="Times New Roman" w:cs="Times New Roman"/>
          <w:color w:val="000000" w:themeColor="text1"/>
          <w:sz w:val="24"/>
          <w:szCs w:val="24"/>
        </w:rPr>
        <w:fldChar w:fldCharType="begin" w:fldLock="1"/>
      </w:r>
      <w:r w:rsidR="00CD0B4D" w:rsidRPr="00EB4E16">
        <w:rPr>
          <w:rFonts w:ascii="Times New Roman" w:hAnsi="Times New Roman" w:cs="Times New Roman"/>
          <w:color w:val="000000" w:themeColor="text1"/>
          <w:sz w:val="24"/>
          <w:szCs w:val="24"/>
        </w:rPr>
        <w:instrText>ADDIN CSL_CITATION {"citationItems":[{"id":"ITEM-1","itemData":{"DOI":"10.1002/ace.20330","ISSN":"1052-2891","abstract":"This research examines the role of adult and lifelong learning in facilitating successful aging among Chinese older adults. A life history research is adopted to conduct the study. By analyzing narratives of research participants’ learning stories, the study explores the provision of lifelong learning programs, Chinese perspectives on successful aging, and contributions of lifelong learning to successful aging and active citizenship among Chinese retired older adults. The findings show that the Chinese perspective on successful aging is closely connected to Chinese culture and traditions. Learning contributes to successful aging by bringing out older adults who are healthier and more independent, open‐minded, and socially active. The rich descriptions of historical and political events, Chinese traditions, moralities, and social values contribute to the understanding of Chinese older adults’ pursuit of lifelong learning and perspectives on successful aging. The detailed discussion of the motives and activities of older adults volunteering advances our extant knowledge about Chinese older adults’ volunteerism.","author":[{"dropping-particle":"","family":"Guo","given":"Shibao","non-dropping-particle":"","parse-names":false,"suffix":""},{"dropping-particle":"","family":"Shan","given":"Wei","non-dropping-particle":"","parse-names":false,"suffix":""}],"container-title":"New Directions for Adult and Continuing Education","id":"ITEM-1","issue":"162","issued":{"date-parts":[["2019","6","18"]]},"page":"111-124","title":"Adult Education in China: Exploring the Lifelong Learning Experience of Older Adults in Beijing","type":"article-journal","volume":"2019"},"uris":["http://www.mendeley.com/documents/?uuid=8459654e-b2b0-4d91-ac79-906f24e56586"]}],"mendeley":{"formattedCitation":"(S. Guo &amp; Shan, 2019)","plainTextFormattedCitation":"(S. Guo &amp; Shan, 2019)","previouslyFormattedCitation":"(S. Guo &amp; Shan, 2019)"},"properties":{"noteIndex":0},"schema":"https://github.com/citation-style-language/schema/raw/master/csl-citation.json"}</w:instrText>
      </w:r>
      <w:r w:rsidR="00614A7F" w:rsidRPr="00EB4E16">
        <w:rPr>
          <w:rFonts w:ascii="Times New Roman" w:hAnsi="Times New Roman" w:cs="Times New Roman"/>
          <w:color w:val="000000" w:themeColor="text1"/>
          <w:sz w:val="24"/>
          <w:szCs w:val="24"/>
        </w:rPr>
        <w:fldChar w:fldCharType="separate"/>
      </w:r>
      <w:r w:rsidR="00C21028" w:rsidRPr="00EB4E16">
        <w:rPr>
          <w:rFonts w:ascii="Times New Roman" w:hAnsi="Times New Roman" w:cs="Times New Roman"/>
          <w:noProof/>
          <w:color w:val="000000" w:themeColor="text1"/>
          <w:sz w:val="24"/>
          <w:szCs w:val="24"/>
        </w:rPr>
        <w:t>(S. Guo &amp; Shan, 2019)</w:t>
      </w:r>
      <w:r w:rsidR="00614A7F" w:rsidRPr="00EB4E16">
        <w:rPr>
          <w:rFonts w:ascii="Times New Roman" w:hAnsi="Times New Roman" w:cs="Times New Roman"/>
          <w:color w:val="000000" w:themeColor="text1"/>
          <w:sz w:val="24"/>
          <w:szCs w:val="24"/>
        </w:rPr>
        <w:fldChar w:fldCharType="end"/>
      </w:r>
      <w:r w:rsidR="00614A7F" w:rsidRPr="00EB4E16">
        <w:rPr>
          <w:rFonts w:ascii="Times New Roman" w:hAnsi="Times New Roman" w:cs="Times New Roman"/>
          <w:color w:val="000000" w:themeColor="text1"/>
          <w:sz w:val="24"/>
          <w:szCs w:val="24"/>
        </w:rPr>
        <w:t xml:space="preserve"> “Adult Education in China: Exploring the Lifelong Learning Experience of Older Adults in Beijing: Adult Education in China” </w:t>
      </w:r>
      <w:r w:rsidRPr="00EB4E16">
        <w:rPr>
          <w:rFonts w:ascii="Times New Roman" w:hAnsi="Times New Roman" w:cs="Times New Roman"/>
          <w:color w:val="000000" w:themeColor="text1"/>
          <w:sz w:val="24"/>
          <w:szCs w:val="24"/>
        </w:rPr>
        <w:t>discusses the curriculum and flexible learning options in adult vocational schools, highlighting their role in continuous skill development.</w:t>
      </w:r>
    </w:p>
    <w:p w14:paraId="7472FAA6" w14:textId="77777777"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Assessment criteria across these vocational schools include exams and coursework to gauge theoretical understanding, practical skills assessments to evaluate hands-on skills through practical exams and projects, and final projects and internships to assess the application of knowledge in real-world settings.</w:t>
      </w:r>
    </w:p>
    <w:p w14:paraId="7A06B188" w14:textId="77777777" w:rsidR="006E27C1" w:rsidRPr="00EB4E16" w:rsidRDefault="006E27C1" w:rsidP="006E27C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Industry partnerships are crucial for vocational education in China. Local industry collaborations provide practical training and internships, joint training programs are co-developed to align education with industry needs, and job placement services assist with job placements and recruitment.</w:t>
      </w:r>
    </w:p>
    <w:p w14:paraId="6DD598BA" w14:textId="77777777" w:rsidR="006E27C1" w:rsidRPr="00EB4E16" w:rsidRDefault="0006022C" w:rsidP="0047444C">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Labor Market</w:t>
      </w:r>
    </w:p>
    <w:p w14:paraId="36510E2F" w14:textId="77777777"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The labor market in China is dynamic and continuously evolving, influenced by various factors such as economic policies, technological advancements, and demographic changes. China has one of the largest labor forces in the world, but it is also aging due to low birth rates and increasing life expectancy </w:t>
      </w:r>
      <w:r w:rsidRPr="00EB4E16">
        <w:rPr>
          <w:rFonts w:ascii="Times New Roman" w:hAnsi="Times New Roman" w:cs="Times New Roman"/>
          <w:color w:val="000000" w:themeColor="text1"/>
          <w:sz w:val="24"/>
          <w:szCs w:val="24"/>
        </w:rPr>
        <w:fldChar w:fldCharType="begin" w:fldLock="1"/>
      </w:r>
      <w:r w:rsidR="002F11C6" w:rsidRPr="00EB4E16">
        <w:rPr>
          <w:rFonts w:ascii="Times New Roman" w:hAnsi="Times New Roman" w:cs="Times New Roman"/>
          <w:color w:val="000000" w:themeColor="text1"/>
          <w:sz w:val="24"/>
          <w:szCs w:val="24"/>
        </w:rPr>
        <w:instrText>ADDIN CSL_CITATION {"citationItems":[{"id":"ITEM-1","itemData":{"DOI":"10.5089/9781513570693.001","ISSN":"1018-5941","author":[{"dropping-particle":"","family":"Lam","given":"Raphael","non-dropping-particle":"","parse-names":false,"suffix":""},{"dropping-particle":"","family":"Liu","given":"Xiaoguang","non-dropping-particle":"","parse-names":false,"suffix":""},{"dropping-particle":"","family":"Schipke","given":"Alfred","non-dropping-particle":"","parse-names":false,"suffix":""}],"container-title":"IMF Working Papers","id":"ITEM-1","issue":"151","issued":{"date-parts":[["2015"]]},"page":"1","title":"China’s Labor Market in the “New Normal”","type":"article-journal","volume":"15"},"uris":["http://www.mendeley.com/documents/?uuid=9478909f-bea4-411f-9417-5770fa7518f6"]}],"mendeley":{"formattedCitation":"(Lam et al., 2015)","plainTextFormattedCitation":"(Lam et al., 2015)","previouslyFormattedCitation":"(Lam et al., 2015)"},"properties":{"noteIndex":0},"schema":"https://github.com/citation-style-language/schema/raw/master/csl-citation.json"}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(Lam et al., 2015)</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Rapid urbanization has led to significant migration from rural to urban areas, where more diverse employment opportunities and higher wages ar</w:t>
      </w:r>
      <w:r w:rsidR="002F11C6" w:rsidRPr="00EB4E16">
        <w:rPr>
          <w:rFonts w:ascii="Times New Roman" w:hAnsi="Times New Roman" w:cs="Times New Roman"/>
          <w:color w:val="000000" w:themeColor="text1"/>
          <w:sz w:val="24"/>
          <w:szCs w:val="24"/>
        </w:rPr>
        <w:t>e available</w:t>
      </w:r>
      <w:r w:rsidRPr="00EB4E16">
        <w:rPr>
          <w:rFonts w:ascii="Times New Roman" w:hAnsi="Times New Roman" w:cs="Times New Roman"/>
          <w:color w:val="000000" w:themeColor="text1"/>
          <w:sz w:val="24"/>
          <w:szCs w:val="24"/>
        </w:rPr>
        <w:t xml:space="preserve">. The labor market is dominated by the manufacturing and services sectors, with a decline in agricultural employment due to mechanization and urban migration </w:t>
      </w:r>
      <w:r w:rsidR="002F11C6" w:rsidRPr="00EB4E16">
        <w:rPr>
          <w:rFonts w:ascii="Times New Roman" w:hAnsi="Times New Roman" w:cs="Times New Roman"/>
          <w:color w:val="000000" w:themeColor="text1"/>
          <w:sz w:val="24"/>
          <w:szCs w:val="24"/>
        </w:rPr>
        <w:fldChar w:fldCharType="begin" w:fldLock="1"/>
      </w:r>
      <w:r w:rsidR="002F11C6" w:rsidRPr="00EB4E16">
        <w:rPr>
          <w:rFonts w:ascii="Times New Roman" w:hAnsi="Times New Roman" w:cs="Times New Roman"/>
          <w:color w:val="000000" w:themeColor="text1"/>
          <w:sz w:val="24"/>
          <w:szCs w:val="24"/>
        </w:rPr>
        <w:instrText>ADDIN CSL_CITATION {"citationItems":[{"id":"ITEM-1","itemData":{"DOI":"10.1016/j.jrurstud.2019.06.001","ISSN":"07430167","author":[{"dropping-particle":"","family":"Dias","given":"Claudia S.L.","non-dropping-particle":"","parse-names":false,"suffix":""},{"dropping-particle":"","family":"Rodrigues","given":"Ricardo Gouveia","non-dropping-particle":"","parse-names":false,"suffix":""},{"dropping-particle":"","family":"Ferreira","given":"João J.","non-dropping-particle":"","parse-names":false,"suffix":""}],"container-title":"Journal of Rural Studies","id":"ITEM-1","issued":{"date-parts":[["2019","8"]]},"page":"125-138","title":"Agricultural entrepreneurship: Going back to the basics","type":"article-journal","volume":"70"},"uris":["http://www.mendeley.com/documents/?uuid=4afa24d4-8eea-4fa2-905d-cb008aa99590"]}],"mendeley":{"formattedCitation":"(Dias et al., 2019)","plainTextFormattedCitation":"(Dias et al., 2019)","previouslyFormattedCitation":"(Dias et al., 2019)"},"properties":{"noteIndex":0},"schema":"https://github.com/citation-style-language/schema/raw/master/csl-citation.json"}</w:instrText>
      </w:r>
      <w:r w:rsidR="002F11C6" w:rsidRPr="00EB4E16">
        <w:rPr>
          <w:rFonts w:ascii="Times New Roman" w:hAnsi="Times New Roman" w:cs="Times New Roman"/>
          <w:color w:val="000000" w:themeColor="text1"/>
          <w:sz w:val="24"/>
          <w:szCs w:val="24"/>
        </w:rPr>
        <w:fldChar w:fldCharType="separate"/>
      </w:r>
      <w:r w:rsidR="002F11C6" w:rsidRPr="00EB4E16">
        <w:rPr>
          <w:rFonts w:ascii="Times New Roman" w:hAnsi="Times New Roman" w:cs="Times New Roman"/>
          <w:noProof/>
          <w:color w:val="000000" w:themeColor="text1"/>
          <w:sz w:val="24"/>
          <w:szCs w:val="24"/>
        </w:rPr>
        <w:t>(Dias et al., 2019)</w:t>
      </w:r>
      <w:r w:rsidR="002F11C6" w:rsidRPr="00EB4E16">
        <w:rPr>
          <w:rFonts w:ascii="Times New Roman" w:hAnsi="Times New Roman" w:cs="Times New Roman"/>
          <w:color w:val="000000" w:themeColor="text1"/>
          <w:sz w:val="24"/>
          <w:szCs w:val="24"/>
        </w:rPr>
        <w:fldChar w:fldCharType="end"/>
      </w:r>
      <w:r w:rsidR="002F11C6" w:rsidRPr="00EB4E16">
        <w:rPr>
          <w:rFonts w:ascii="Times New Roman" w:hAnsi="Times New Roman" w:cs="Times New Roman"/>
          <w:color w:val="000000" w:themeColor="text1"/>
          <w:sz w:val="24"/>
          <w:szCs w:val="24"/>
        </w:rPr>
        <w:t>.</w:t>
      </w:r>
    </w:p>
    <w:p w14:paraId="5E99E93B" w14:textId="77777777"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The Chinese economy is transitioning from a manufacturing-based economy to a more service-oriented one, with significant growth in high-tech industries, e-commerce, and financial services </w:t>
      </w:r>
      <w:r w:rsidR="002F11C6" w:rsidRPr="00EB4E16">
        <w:rPr>
          <w:rFonts w:ascii="Times New Roman" w:hAnsi="Times New Roman" w:cs="Times New Roman"/>
          <w:color w:val="000000" w:themeColor="text1"/>
          <w:sz w:val="24"/>
          <w:szCs w:val="24"/>
        </w:rPr>
        <w:lastRenderedPageBreak/>
        <w:fldChar w:fldCharType="begin" w:fldLock="1"/>
      </w:r>
      <w:r w:rsidR="002F11C6" w:rsidRPr="00EB4E16">
        <w:rPr>
          <w:rFonts w:ascii="Times New Roman" w:hAnsi="Times New Roman" w:cs="Times New Roman"/>
          <w:color w:val="000000" w:themeColor="text1"/>
          <w:sz w:val="24"/>
          <w:szCs w:val="24"/>
        </w:rPr>
        <w:instrText>ADDIN CSL_CITATION {"citationItems":[{"id":"ITEM-1","itemData":{"DOI":"10.1016/j.techfore.2018.06.030","ISSN":"00401625","author":[{"dropping-particle":"","family":"Gupta","given":"Shivam","non-dropping-particle":"","parse-names":false,"suffix":""},{"dropping-particle":"","family":"Chen","given":"Haozhe","non-dropping-particle":"","parse-names":false,"suffix":""},{"dropping-particle":"","family":"Hazen","given":"Benjamin T.","non-dropping-particle":"","parse-names":false,"suffix":""},{"dropping-particle":"","family":"Kaur","given":"Sarabjot","non-dropping-particle":"","parse-names":false,"suffix":""},{"dropping-particle":"","family":"Santibañez Gonzalez","given":"Ernesto D.R.","non-dropping-particle":"","parse-names":false,"suffix":""}],"container-title":"Technological Forecasting and Social Change","id":"ITEM-1","issued":{"date-parts":[["2019","7"]]},"page":"466-474","title":"Circular economy and big data analytics: A stakeholder perspective","type":"article-journal","volume":"144"},"uris":["http://www.mendeley.com/documents/?uuid=9dba5ae9-90fb-465c-a646-a81404b09c45"]}],"mendeley":{"formattedCitation":"(Gupta et al., 2019)","plainTextFormattedCitation":"(Gupta et al., 2019)","previouslyFormattedCitation":"(Gupta et al., 2019)"},"properties":{"noteIndex":0},"schema":"https://github.com/citation-style-language/schema/raw/master/csl-citation.json"}</w:instrText>
      </w:r>
      <w:r w:rsidR="002F11C6" w:rsidRPr="00EB4E16">
        <w:rPr>
          <w:rFonts w:ascii="Times New Roman" w:hAnsi="Times New Roman" w:cs="Times New Roman"/>
          <w:color w:val="000000" w:themeColor="text1"/>
          <w:sz w:val="24"/>
          <w:szCs w:val="24"/>
        </w:rPr>
        <w:fldChar w:fldCharType="separate"/>
      </w:r>
      <w:r w:rsidR="002F11C6" w:rsidRPr="00EB4E16">
        <w:rPr>
          <w:rFonts w:ascii="Times New Roman" w:hAnsi="Times New Roman" w:cs="Times New Roman"/>
          <w:noProof/>
          <w:color w:val="000000" w:themeColor="text1"/>
          <w:sz w:val="24"/>
          <w:szCs w:val="24"/>
        </w:rPr>
        <w:t>(Gupta et al., 2019)</w:t>
      </w:r>
      <w:r w:rsidR="002F11C6"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Technological advancements, such as automation and artificial intelligence, are transforming industries and increasing the demand for skilled workers in technology, engineering, and data analysis </w:t>
      </w:r>
      <w:r w:rsidR="002F11C6" w:rsidRPr="00EB4E16">
        <w:rPr>
          <w:rFonts w:ascii="Times New Roman" w:hAnsi="Times New Roman" w:cs="Times New Roman"/>
          <w:color w:val="000000" w:themeColor="text1"/>
          <w:sz w:val="24"/>
          <w:szCs w:val="24"/>
        </w:rPr>
        <w:fldChar w:fldCharType="begin" w:fldLock="1"/>
      </w:r>
      <w:r w:rsidR="001C073F" w:rsidRPr="00EB4E16">
        <w:rPr>
          <w:rFonts w:ascii="Times New Roman" w:hAnsi="Times New Roman" w:cs="Times New Roman"/>
          <w:color w:val="000000" w:themeColor="text1"/>
          <w:sz w:val="24"/>
          <w:szCs w:val="24"/>
        </w:rPr>
        <w:instrText>ADDIN CSL_CITATION {"citationItems":[{"id":"ITEM-1","itemData":{"DOI":"10.1016/j.techfore.2020.120348","ISSN":"00401625","author":[{"dropping-particle":"","family":"Ballestar","given":"María Teresa","non-dropping-particle":"","parse-names":false,"suffix":""},{"dropping-particle":"","family":"Díaz-Chao","given":"Ángel","non-dropping-particle":"","parse-names":false,"suffix":""},{"dropping-particle":"","family":"Sainz","given":"Jorge","non-dropping-particle":"","parse-names":false,"suffix":""},{"dropping-particle":"","family":"Torrent-Sellens","given":"Joan","non-dropping-particle":"","parse-names":false,"suffix":""}],"container-title":"Technological Forecasting and Social Change","id":"ITEM-1","issued":{"date-parts":[["2021","1"]]},"page":"120348","title":"Impact of robotics on manufacturing: A longitudinal machine learning perspective","type":"article-journal","volume":"162"},"uris":["http://www.mendeley.com/documents/?uuid=1c4ade4b-12d8-4957-801f-587d34d41f00"]}],"mendeley":{"formattedCitation":"(Ballestar et al., 2021)","plainTextFormattedCitation":"(Ballestar et al., 2021)","previouslyFormattedCitation":"(Ballestar et al., 2021)"},"properties":{"noteIndex":0},"schema":"https://github.com/citation-style-language/schema/raw/master/csl-citation.json"}</w:instrText>
      </w:r>
      <w:r w:rsidR="002F11C6" w:rsidRPr="00EB4E16">
        <w:rPr>
          <w:rFonts w:ascii="Times New Roman" w:hAnsi="Times New Roman" w:cs="Times New Roman"/>
          <w:color w:val="000000" w:themeColor="text1"/>
          <w:sz w:val="24"/>
          <w:szCs w:val="24"/>
        </w:rPr>
        <w:fldChar w:fldCharType="separate"/>
      </w:r>
      <w:r w:rsidR="002F11C6" w:rsidRPr="00EB4E16">
        <w:rPr>
          <w:rFonts w:ascii="Times New Roman" w:hAnsi="Times New Roman" w:cs="Times New Roman"/>
          <w:noProof/>
          <w:color w:val="000000" w:themeColor="text1"/>
          <w:sz w:val="24"/>
          <w:szCs w:val="24"/>
        </w:rPr>
        <w:t>(Ballestar et al., 2021)</w:t>
      </w:r>
      <w:r w:rsidR="002F11C6"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To meet these demands, there is an increasing emphasis on vocational education and training, supported by government initiatives to improve workforce skills a</w:t>
      </w:r>
      <w:r w:rsidR="002F11C6" w:rsidRPr="00EB4E16">
        <w:rPr>
          <w:rFonts w:ascii="Times New Roman" w:hAnsi="Times New Roman" w:cs="Times New Roman"/>
          <w:color w:val="000000" w:themeColor="text1"/>
          <w:sz w:val="24"/>
          <w:szCs w:val="24"/>
        </w:rPr>
        <w:t xml:space="preserve">nd adaptability </w:t>
      </w:r>
      <w:r w:rsidR="001C073F" w:rsidRPr="00EB4E16">
        <w:rPr>
          <w:rFonts w:ascii="Times New Roman" w:hAnsi="Times New Roman" w:cs="Times New Roman"/>
          <w:color w:val="000000" w:themeColor="text1"/>
          <w:sz w:val="24"/>
          <w:szCs w:val="24"/>
        </w:rPr>
        <w:fldChar w:fldCharType="begin" w:fldLock="1"/>
      </w:r>
      <w:r w:rsidR="00973ABD" w:rsidRPr="00EB4E16">
        <w:rPr>
          <w:rFonts w:ascii="Times New Roman" w:hAnsi="Times New Roman" w:cs="Times New Roman"/>
          <w:color w:val="000000" w:themeColor="text1"/>
          <w:sz w:val="24"/>
          <w:szCs w:val="24"/>
        </w:rPr>
        <w:instrText>ADDIN CSL_CITATION {"citationItems":[{"id":"ITEM-1","itemData":{"DOI":"10.53894/ijirss.v7i1.2606","ISSN":"2617-6548","abstract":"Vocational and technical education and training (TVET) in China is a key pathway to enhance labor productivity and drive economic development. Since the initiation of reforms and opening up, under the high attention of the Chinese government, we have experienced rapid development, from quantity expansion to quality improvement. This article delves into the current status and development trends of vocational and technical education in China, analyzing it from various aspects such as the legal environment, infrastructure, teacher enhancement, teaching methods, and cultural context. This paper conducts macro-research and analysis through policies and regulations and refers to relevant papers from Google Scholar and CNKI for micro-analysis. A telephonic interview was carried out with a total of 38 participants from four different vocational schools, industries, and enterprises. The user conducted similarity and differentiation comparisons using both Excel and Mind Mapping software. The research shows that China's vocational education market has entered a phase of rapid growth, and online education has also seen substantial development. However, due to China's vast territory and constraints arising from economic development and regional disparities, as well as diverse ethnic and cultural factors, vocational education and training (TVET) still faces numerous challenges, such as uneven economic and industry development, urban-rural disparities, teacher shortages, and the separation of schools and enterprises. This article aims to provide insights into the development of vocational and technical education and training from the perspectives of personalized education, talent cultivation, and talent needs. It is intended to expand and enhance the influence of vocational education development and broaden the perspective of vocational and technical talents.","author":[{"dropping-particle":"","family":"Fan","given":"Yinghui","non-dropping-particle":"","parse-names":false,"suffix":""},{"dropping-particle":"","family":"Zheng","given":"Haiyan","non-dropping-particle":"","parse-names":false,"suffix":""},{"dropping-particle":"","family":"Ebonite","given":"Romeo Salvo","non-dropping-particle":"","parse-names":false,"suffix":""},{"dropping-particle":"De","family":"Asis","given":"Werson Role","non-dropping-particle":"","parse-names":false,"suffix":""},{"dropping-particle":"","family":"Juanatas","given":"Ronaldo Antalan","non-dropping-particle":"","parse-names":false,"suffix":""}],"container-title":"International Journal of Innovative Research and Scientific Studies","id":"ITEM-1","issue":"1","issued":{"date-parts":[["2024","1","19"]]},"page":"251-260","title":"Overview and developmental analysis of China's technical and vocational education and training","type":"article-journal","volume":"7"},"uris":["http://www.mendeley.com/documents/?uuid=355dea48-a240-4fad-9b84-1ec973df6ba1"]}],"mendeley":{"formattedCitation":"(Fan et al., 2024)","plainTextFormattedCitation":"(Fan et al., 2024)","previouslyFormattedCitation":"(Fan et al., 2024)"},"properties":{"noteIndex":0},"schema":"https://github.com/citation-style-language/schema/raw/master/csl-citation.json"}</w:instrText>
      </w:r>
      <w:r w:rsidR="001C073F" w:rsidRPr="00EB4E16">
        <w:rPr>
          <w:rFonts w:ascii="Times New Roman" w:hAnsi="Times New Roman" w:cs="Times New Roman"/>
          <w:color w:val="000000" w:themeColor="text1"/>
          <w:sz w:val="24"/>
          <w:szCs w:val="24"/>
        </w:rPr>
        <w:fldChar w:fldCharType="separate"/>
      </w:r>
      <w:r w:rsidR="001C073F" w:rsidRPr="00EB4E16">
        <w:rPr>
          <w:rFonts w:ascii="Times New Roman" w:hAnsi="Times New Roman" w:cs="Times New Roman"/>
          <w:noProof/>
          <w:color w:val="000000" w:themeColor="text1"/>
          <w:sz w:val="24"/>
          <w:szCs w:val="24"/>
        </w:rPr>
        <w:t>(Fan et al., 2024)</w:t>
      </w:r>
      <w:r w:rsidR="001C073F"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As wages rise, particularly in urban areas and high-demand sectors, there are also efforts to improve working conditions and labor rights </w:t>
      </w:r>
      <w:r w:rsidR="00973ABD" w:rsidRPr="00EB4E16">
        <w:rPr>
          <w:rFonts w:ascii="Times New Roman" w:hAnsi="Times New Roman" w:cs="Times New Roman"/>
          <w:color w:val="000000" w:themeColor="text1"/>
          <w:sz w:val="24"/>
          <w:szCs w:val="24"/>
        </w:rPr>
        <w:fldChar w:fldCharType="begin" w:fldLock="1"/>
      </w:r>
      <w:r w:rsidR="00973ABD" w:rsidRPr="00EB4E16">
        <w:rPr>
          <w:rFonts w:ascii="Times New Roman" w:hAnsi="Times New Roman" w:cs="Times New Roman"/>
          <w:color w:val="000000" w:themeColor="text1"/>
          <w:sz w:val="24"/>
          <w:szCs w:val="24"/>
        </w:rPr>
        <w:instrText>ADDIN CSL_CITATION {"citationItems":[{"id":"ITEM-1","itemData":{"author":[{"dropping-particle":"","family":"Yang","given":"Dennis Tao","non-dropping-particle":"","parse-names":false,"suffix":""},{"dropping-particle":"","family":"Chen","given":"Vivian","non-dropping-particle":"","parse-names":false,"suffix":""},{"dropping-particle":"","family":"Monarch","given":"Ryan","non-dropping-particle":"","parse-names":false,"suffix":""}],"container-title":"Institute for the Study of Labor (IZA), Bonn","id":"ITEM-1","issue":"5008","issued":{"date-parts":[["2010"]]},"title":"Rising Wages: Has China Lost Its Global Labor Advantage?","type":"article-journal"},"uris":["http://www.mendeley.com/documents/?uuid=d0864918-dab8-458d-b162-caaa597dc8ae"]}],"mendeley":{"formattedCitation":"(Yang et al., 2010)","plainTextFormattedCitation":"(Yang et al., 2010)","previouslyFormattedCitation":"(Yang et al., 2010)"},"properties":{"noteIndex":0},"schema":"https://github.com/citation-style-language/schema/raw/master/csl-citation.json"}</w:instrText>
      </w:r>
      <w:r w:rsidR="00973ABD" w:rsidRPr="00EB4E16">
        <w:rPr>
          <w:rFonts w:ascii="Times New Roman" w:hAnsi="Times New Roman" w:cs="Times New Roman"/>
          <w:color w:val="000000" w:themeColor="text1"/>
          <w:sz w:val="24"/>
          <w:szCs w:val="24"/>
        </w:rPr>
        <w:fldChar w:fldCharType="separate"/>
      </w:r>
      <w:r w:rsidR="00973ABD" w:rsidRPr="00EB4E16">
        <w:rPr>
          <w:rFonts w:ascii="Times New Roman" w:hAnsi="Times New Roman" w:cs="Times New Roman"/>
          <w:noProof/>
          <w:color w:val="000000" w:themeColor="text1"/>
          <w:sz w:val="24"/>
          <w:szCs w:val="24"/>
        </w:rPr>
        <w:t>(Yang et al., 2010)</w:t>
      </w:r>
      <w:r w:rsidR="00973ABD"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w:t>
      </w:r>
    </w:p>
    <w:p w14:paraId="51955333" w14:textId="77777777"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However, the labor market faces several challenges. An aging population could lead to potential labor shortages in the future and increase the demand for healthcare and retirement services </w:t>
      </w:r>
      <w:r w:rsidR="00973ABD" w:rsidRPr="00EB4E16">
        <w:rPr>
          <w:rFonts w:ascii="Times New Roman" w:hAnsi="Times New Roman" w:cs="Times New Roman"/>
          <w:color w:val="000000" w:themeColor="text1"/>
          <w:sz w:val="24"/>
          <w:szCs w:val="24"/>
        </w:rPr>
        <w:fldChar w:fldCharType="begin" w:fldLock="1"/>
      </w:r>
      <w:r w:rsidR="00973ABD" w:rsidRPr="00EB4E16">
        <w:rPr>
          <w:rFonts w:ascii="Times New Roman" w:hAnsi="Times New Roman" w:cs="Times New Roman"/>
          <w:color w:val="000000" w:themeColor="text1"/>
          <w:sz w:val="24"/>
          <w:szCs w:val="24"/>
        </w:rPr>
        <w:instrText>ADDIN CSL_CITATION {"citationItems":[{"id":"ITEM-1","itemData":{"DOI":"10.1126/science.1209396","ISSN":"0036-8075","abstract":"On 28 April 2011, China’s state statistics bureau released its first report on the country’s 2010 population census. The report states that the total population of mainland China reached 1.3397 billion in 2010, with an annual average population growth rate of 0.57% during the previous 10 years. The share of the total population aged 0 to 14 declined from 22.9% in 2000 to 16.6% in 2010, whereas the proportion aged 65 and above grew from 7.0% to 8.9% during the same period. This indicates that China’s population is aging rapidly. The report also shows that China is urbanizing, with nearly half of the population—665.57 million people, or 49.7%—living in urban areas, an increase of 13 percentage points over the 2000 figure. Moreover, about 260 million Chinese people are living away from where they are formally registered, and the overwhelming majority of them (about 220 million) are rural migrants living and working in urban areas but without formal urban household registration status. China is at a demographic turning point: It is changing from an agricultural society into an urban one, from a young society to an old one, and from a society attached to the land to one that is very much on the move.","author":[{"dropping-particle":"","family":"Peng","given":"Xizhe","non-dropping-particle":"","parse-names":false,"suffix":""}],"container-title":"Science","id":"ITEM-1","issue":"6042","issued":{"date-parts":[["2011","7","29"]]},"page":"581-587","title":"China’s Demographic History and Future Challenges","type":"article-journal","volume":"333"},"uris":["http://www.mendeley.com/documents/?uuid=0d1f97f5-26c9-4811-bef9-53a2152d7d8c"]}],"mendeley":{"formattedCitation":"(Peng, 2011)","plainTextFormattedCitation":"(Peng, 2011)","previouslyFormattedCitation":"(Peng, 2011)"},"properties":{"noteIndex":0},"schema":"https://github.com/citation-style-language/schema/raw/master/csl-citation.json"}</w:instrText>
      </w:r>
      <w:r w:rsidR="00973ABD" w:rsidRPr="00EB4E16">
        <w:rPr>
          <w:rFonts w:ascii="Times New Roman" w:hAnsi="Times New Roman" w:cs="Times New Roman"/>
          <w:color w:val="000000" w:themeColor="text1"/>
          <w:sz w:val="24"/>
          <w:szCs w:val="24"/>
        </w:rPr>
        <w:fldChar w:fldCharType="separate"/>
      </w:r>
      <w:r w:rsidR="00973ABD" w:rsidRPr="00EB4E16">
        <w:rPr>
          <w:rFonts w:ascii="Times New Roman" w:hAnsi="Times New Roman" w:cs="Times New Roman"/>
          <w:noProof/>
          <w:color w:val="000000" w:themeColor="text1"/>
          <w:sz w:val="24"/>
          <w:szCs w:val="24"/>
        </w:rPr>
        <w:t>(Peng, 2011)</w:t>
      </w:r>
      <w:r w:rsidR="00973ABD"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There are significant differences in income and employment opportunities between rural and urban areas, necessitating ongoing rural development and poverty alleviati</w:t>
      </w:r>
      <w:r w:rsidR="00973ABD" w:rsidRPr="00EB4E16">
        <w:rPr>
          <w:rFonts w:ascii="Times New Roman" w:hAnsi="Times New Roman" w:cs="Times New Roman"/>
          <w:color w:val="000000" w:themeColor="text1"/>
          <w:sz w:val="24"/>
          <w:szCs w:val="24"/>
        </w:rPr>
        <w:t>on efforts</w:t>
      </w:r>
      <w:r w:rsidRPr="00EB4E16">
        <w:rPr>
          <w:rFonts w:ascii="Times New Roman" w:hAnsi="Times New Roman" w:cs="Times New Roman"/>
          <w:color w:val="000000" w:themeColor="text1"/>
          <w:sz w:val="24"/>
          <w:szCs w:val="24"/>
        </w:rPr>
        <w:t xml:space="preserve">. Structural unemployment is also a concern, as there is often a mismatch between skills and job requirements, leading to efforts to create more high-quality jobs and reduce underemployment </w:t>
      </w:r>
      <w:r w:rsidR="00973ABD" w:rsidRPr="00EB4E16">
        <w:rPr>
          <w:rFonts w:ascii="Times New Roman" w:hAnsi="Times New Roman" w:cs="Times New Roman"/>
          <w:color w:val="000000" w:themeColor="text1"/>
          <w:sz w:val="24"/>
          <w:szCs w:val="24"/>
        </w:rPr>
        <w:fldChar w:fldCharType="begin" w:fldLock="1"/>
      </w:r>
      <w:r w:rsidR="00E31131" w:rsidRPr="00EB4E16">
        <w:rPr>
          <w:rFonts w:ascii="Times New Roman" w:hAnsi="Times New Roman" w:cs="Times New Roman"/>
          <w:color w:val="000000" w:themeColor="text1"/>
          <w:sz w:val="24"/>
          <w:szCs w:val="24"/>
        </w:rPr>
        <w:instrText>ADDIN CSL_CITATION {"citationItems":[{"id":"ITEM-1","itemData":{"DOI":"10.2139/ssrn.1486093","ISSN":"1556-5068","author":[{"dropping-particle":"","family":"Saccone","given":"Donatella","non-dropping-particle":"","parse-names":false,"suffix":""},{"dropping-particle":"","family":"Valli","given":"Vittorio","non-dropping-particle":"","parse-names":false,"suffix":""}],"container-title":"SSRN Electronic Journal","id":"ITEM-1","issued":{"date-parts":[["2009"]]},"title":"Structural Change and Economic Development in China and India","type":"article-journal"},"uris":["http://www.mendeley.com/documents/?uuid=04d81275-973e-4b14-ad3b-d8322d10c139"]}],"mendeley":{"formattedCitation":"(Saccone &amp; Valli, 2009)","plainTextFormattedCitation":"(Saccone &amp; Valli, 2009)","previouslyFormattedCitation":"(Saccone &amp; Valli, 2009)"},"properties":{"noteIndex":0},"schema":"https://github.com/citation-style-language/schema/raw/master/csl-citation.json"}</w:instrText>
      </w:r>
      <w:r w:rsidR="00973ABD" w:rsidRPr="00EB4E16">
        <w:rPr>
          <w:rFonts w:ascii="Times New Roman" w:hAnsi="Times New Roman" w:cs="Times New Roman"/>
          <w:color w:val="000000" w:themeColor="text1"/>
          <w:sz w:val="24"/>
          <w:szCs w:val="24"/>
        </w:rPr>
        <w:fldChar w:fldCharType="separate"/>
      </w:r>
      <w:r w:rsidR="00973ABD" w:rsidRPr="00EB4E16">
        <w:rPr>
          <w:rFonts w:ascii="Times New Roman" w:hAnsi="Times New Roman" w:cs="Times New Roman"/>
          <w:noProof/>
          <w:color w:val="000000" w:themeColor="text1"/>
          <w:sz w:val="24"/>
          <w:szCs w:val="24"/>
        </w:rPr>
        <w:t>(Saccone &amp; Valli, 2009)</w:t>
      </w:r>
      <w:r w:rsidR="00973ABD" w:rsidRPr="00EB4E16">
        <w:rPr>
          <w:rFonts w:ascii="Times New Roman" w:hAnsi="Times New Roman" w:cs="Times New Roman"/>
          <w:color w:val="000000" w:themeColor="text1"/>
          <w:sz w:val="24"/>
          <w:szCs w:val="24"/>
        </w:rPr>
        <w:fldChar w:fldCharType="end"/>
      </w:r>
      <w:r w:rsidR="005B0E48" w:rsidRPr="00EB4E16">
        <w:rPr>
          <w:rFonts w:ascii="Times New Roman" w:hAnsi="Times New Roman" w:cs="Times New Roman"/>
          <w:color w:val="000000" w:themeColor="text1"/>
          <w:sz w:val="24"/>
          <w:szCs w:val="24"/>
        </w:rPr>
        <w:t>.</w:t>
      </w:r>
    </w:p>
    <w:p w14:paraId="68A5B267" w14:textId="77777777" w:rsidR="0047444C"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Government policies play a crucial role in addressing these challenges and shaping the labor market. Job creation policies aim to stimulate employment, especially in emerging industries, and support small and medium-sized enterprises (SMEs) as key job creators </w:t>
      </w:r>
      <w:r w:rsidR="00E31131" w:rsidRPr="00EB4E16">
        <w:rPr>
          <w:rFonts w:ascii="Times New Roman" w:hAnsi="Times New Roman" w:cs="Times New Roman"/>
          <w:color w:val="000000" w:themeColor="text1"/>
          <w:sz w:val="24"/>
          <w:szCs w:val="24"/>
        </w:rPr>
        <w:fldChar w:fldCharType="begin" w:fldLock="1"/>
      </w:r>
      <w:r w:rsidR="00E31131" w:rsidRPr="00EB4E16">
        <w:rPr>
          <w:rFonts w:ascii="Times New Roman" w:hAnsi="Times New Roman" w:cs="Times New Roman"/>
          <w:color w:val="000000" w:themeColor="text1"/>
          <w:sz w:val="24"/>
          <w:szCs w:val="24"/>
        </w:rPr>
        <w:instrText>ADDIN CSL_CITATION {"citationItems":[{"id":"ITEM-1","itemData":{"DOI":"10.5367/0000000053123637","ISSN":"0950-4222","abstract":"In contemporary China, there are two far-reaching developments that impact directly on graduate employment: (a) a highly entrepreneurial and rapidly growing small business sector and (b) a rapidly expanding higher education sector. Paradoxically, while the small business sector continues to suffer from acute skills shortages, new graduates are still reluctant to seek employment in smaller firms. The attitudes of Chinese graduates are not unusual, and most tend to perceive employment and promotion prospects as significantly better in larger organizations. Competition for jobs in China is increasing and there is growing pressure on new graduates to consider smaller firms as a viable and long-term career option. The authors argue that it is necessary to take a holistic view of graduate employment issues and to facilitate better and closer linkages between small and medium-sized enterprises (SMEs) and higher education institutions. This article highlights the need of the Chinese small business sector for a better qualified and more dynamic graduate labour force to help sustain the momentum of rapid growth experienced in recent years. It highlights specific areas in which the higher education sector could make a significant contribution to the long-term competitiveness of SMEs in China. The scope and direction of further research are identified and discussed.","author":[{"dropping-particle":"","family":"Li","given":"Jun","non-dropping-particle":"","parse-names":false,"suffix":""},{"dropping-particle":"","family":"Matlay","given":"Harry","non-dropping-particle":"","parse-names":false,"suffix":""}],"container-title":"Industry and Higher Education","id":"ITEM-1","issue":"1","issued":{"date-parts":[["2005","2","4"]]},"page":"45-54","title":"Graduate Employment and Small Businesses in China","type":"article-journal","volume":"19"},"uris":["http://www.mendeley.com/documents/?uuid=27b87871-4ed2-4b91-b6e4-0ae62876c2bd"]}],"mendeley":{"formattedCitation":"(J. Li &amp; Matlay, 2005)","plainTextFormattedCitation":"(J. Li &amp; Matlay, 2005)","previouslyFormattedCitation":"(J. Li &amp; Matlay, 2005)"},"properties":{"noteIndex":0},"schema":"https://github.com/citation-style-language/schema/raw/master/csl-citation.json"}</w:instrText>
      </w:r>
      <w:r w:rsidR="00E31131" w:rsidRPr="00EB4E16">
        <w:rPr>
          <w:rFonts w:ascii="Times New Roman" w:hAnsi="Times New Roman" w:cs="Times New Roman"/>
          <w:color w:val="000000" w:themeColor="text1"/>
          <w:sz w:val="24"/>
          <w:szCs w:val="24"/>
        </w:rPr>
        <w:fldChar w:fldCharType="separate"/>
      </w:r>
      <w:r w:rsidR="00E31131" w:rsidRPr="00EB4E16">
        <w:rPr>
          <w:rFonts w:ascii="Times New Roman" w:hAnsi="Times New Roman" w:cs="Times New Roman"/>
          <w:noProof/>
          <w:color w:val="000000" w:themeColor="text1"/>
          <w:sz w:val="24"/>
          <w:szCs w:val="24"/>
        </w:rPr>
        <w:t>(J. Li &amp; Matlay, 2005)</w:t>
      </w:r>
      <w:r w:rsidR="00E31131"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Reforms to the hukou (household registration) system are intended to improve labor mobility, with incentives for rural migrants to settle in smaller cities and towns </w:t>
      </w:r>
      <w:r w:rsidR="00E31131" w:rsidRPr="00EB4E16">
        <w:rPr>
          <w:rFonts w:ascii="Times New Roman" w:hAnsi="Times New Roman" w:cs="Times New Roman"/>
          <w:color w:val="000000" w:themeColor="text1"/>
          <w:sz w:val="24"/>
          <w:szCs w:val="24"/>
        </w:rPr>
        <w:fldChar w:fldCharType="begin" w:fldLock="1"/>
      </w:r>
      <w:r w:rsidR="00900F32" w:rsidRPr="00EB4E16">
        <w:rPr>
          <w:rFonts w:ascii="Times New Roman" w:hAnsi="Times New Roman" w:cs="Times New Roman"/>
          <w:color w:val="000000" w:themeColor="text1"/>
          <w:sz w:val="24"/>
          <w:szCs w:val="24"/>
        </w:rPr>
        <w:instrText>ADDIN CSL_CITATION {"citationItems":[{"id":"ITEM-1","itemData":{"DOI":"10.1017/S0305741008000787","ISSN":"0305-7410","abstract":"In recent years, China has instituted a variety of reforms to its hukou system, an institution with the power to restrict population mobility and access to state-sponsored benefits for the majority of China's rural population. A wave of newspaper stories published in late 2005 understood the latest round of reform initiatives to suggest that the hukou is set to be abolished, and that rural residents will soon be “granted urban rights.” This article clarifies the basic operations of the hukou system in light of recent reforms to examine the validity of these claims. We point out that confusion over the functional operations of the hukou system and the nuances of the hukou lexicon have contributed to the overstated interpretation of the initiative. The cumulative effect of these reforms is not abolition of the hukou , but devolution of responsibility for hukou policies to local governments, which in many cases actually makes permanent migration of peasants to cities harder than before. At the broader level, the hukou system, as a major divide between the rural and urban population, remains potent and intact.","author":[{"dropping-particle":"","family":"Wing Chan","given":"Kam","non-dropping-particle":"","parse-names":false,"suffix":""},{"dropping-particle":"","family":"Buckingham","given":"Will","non-dropping-particle":"","parse-names":false,"suffix":""}],"container-title":"The China Quarterly","id":"ITEM-1","issued":{"date-parts":[["2008","9","5"]]},"page":"582-606","title":"Is China Abolishing the Hukou System?","type":"article-journal","volume":"195"},"uris":["http://www.mendeley.com/documents/?uuid=c281152d-62c3-4d03-a407-214c132b2e68"]}],"mendeley":{"formattedCitation":"(Wing Chan &amp; Buckingham, 2008)","plainTextFormattedCitation":"(Wing Chan &amp; Buckingham, 2008)","previouslyFormattedCitation":"(Wing Chan &amp; Buckingham, 2008)"},"properties":{"noteIndex":0},"schema":"https://github.com/citation-style-language/schema/raw/master/csl-citation.json"}</w:instrText>
      </w:r>
      <w:r w:rsidR="00E31131" w:rsidRPr="00EB4E16">
        <w:rPr>
          <w:rFonts w:ascii="Times New Roman" w:hAnsi="Times New Roman" w:cs="Times New Roman"/>
          <w:color w:val="000000" w:themeColor="text1"/>
          <w:sz w:val="24"/>
          <w:szCs w:val="24"/>
        </w:rPr>
        <w:fldChar w:fldCharType="separate"/>
      </w:r>
      <w:r w:rsidR="00E31131" w:rsidRPr="00EB4E16">
        <w:rPr>
          <w:rFonts w:ascii="Times New Roman" w:hAnsi="Times New Roman" w:cs="Times New Roman"/>
          <w:noProof/>
          <w:color w:val="000000" w:themeColor="text1"/>
          <w:sz w:val="24"/>
          <w:szCs w:val="24"/>
        </w:rPr>
        <w:t>(Wing Chan &amp; Buckingham, 2008)</w:t>
      </w:r>
      <w:r w:rsidR="00E31131"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The expansion of social security and pension systems, along with efforts to provide better healthcare and unemployment b</w:t>
      </w:r>
      <w:r w:rsidR="00E31131" w:rsidRPr="00EB4E16">
        <w:rPr>
          <w:rFonts w:ascii="Times New Roman" w:hAnsi="Times New Roman" w:cs="Times New Roman"/>
          <w:color w:val="000000" w:themeColor="text1"/>
          <w:sz w:val="24"/>
          <w:szCs w:val="24"/>
        </w:rPr>
        <w:t xml:space="preserve">enefits, is also a priority. </w:t>
      </w:r>
      <w:r w:rsidRPr="00EB4E16">
        <w:rPr>
          <w:rFonts w:ascii="Times New Roman" w:hAnsi="Times New Roman" w:cs="Times New Roman"/>
          <w:color w:val="000000" w:themeColor="text1"/>
          <w:sz w:val="24"/>
          <w:szCs w:val="24"/>
        </w:rPr>
        <w:t xml:space="preserve">Additionally, significant investment is being made in education and vocational training to promote lifelong learning and continuous professional development </w:t>
      </w:r>
      <w:r w:rsidR="00900F32" w:rsidRPr="00EB4E16">
        <w:rPr>
          <w:rFonts w:ascii="Times New Roman" w:hAnsi="Times New Roman" w:cs="Times New Roman"/>
          <w:color w:val="000000" w:themeColor="text1"/>
          <w:sz w:val="24"/>
          <w:szCs w:val="24"/>
        </w:rPr>
        <w:fldChar w:fldCharType="begin" w:fldLock="1"/>
      </w:r>
      <w:r w:rsidR="00900F32" w:rsidRPr="00EB4E16">
        <w:rPr>
          <w:rFonts w:ascii="Times New Roman" w:hAnsi="Times New Roman" w:cs="Times New Roman"/>
          <w:color w:val="000000" w:themeColor="text1"/>
          <w:sz w:val="24"/>
          <w:szCs w:val="24"/>
        </w:rPr>
        <w:instrText>ADDIN CSL_CITATION {"citationItems":[{"id":"ITEM-1","itemData":{"DOI":"10.1016/j.jebo.2021.11.021","ISSN":"01672681","author":[{"dropping-particle":"","family":"Glewwe","given":"Paul","non-dropping-particle":"","parse-names":false,"suffix":""},{"dropping-particle":"","family":"Song","given":"Yang","non-dropping-particle":"","parse-names":false,"suffix":""},{"dropping-particle":"","family":"Zou","given":"Xianqiang","non-dropping-particle":"","parse-names":false,"suffix":""}],"container-title":"Journal of Economic Behavior &amp; Organization","id":"ITEM-1","issued":{"date-parts":[["2022","1"]]},"page":"294-311","title":"Labor market outcomes, cognitive skills, and noncognitive skills in rural China","type":"article-journal","volume":"193"},"uris":["http://www.mendeley.com/documents/?uuid=fa66544e-10bd-42d5-8478-05ebdaf3f32d"]}],"mendeley":{"formattedCitation":"(Glewwe et al., 2022)","plainTextFormattedCitation":"(Glewwe et al., 2022)","previouslyFormattedCitation":"(Glewwe et al., 2022)"},"properties":{"noteIndex":0},"schema":"https://github.com/citation-style-language/schema/raw/master/csl-citation.json"}</w:instrText>
      </w:r>
      <w:r w:rsidR="00900F32" w:rsidRPr="00EB4E16">
        <w:rPr>
          <w:rFonts w:ascii="Times New Roman" w:hAnsi="Times New Roman" w:cs="Times New Roman"/>
          <w:color w:val="000000" w:themeColor="text1"/>
          <w:sz w:val="24"/>
          <w:szCs w:val="24"/>
        </w:rPr>
        <w:fldChar w:fldCharType="separate"/>
      </w:r>
      <w:r w:rsidR="00900F32" w:rsidRPr="00EB4E16">
        <w:rPr>
          <w:rFonts w:ascii="Times New Roman" w:hAnsi="Times New Roman" w:cs="Times New Roman"/>
          <w:noProof/>
          <w:color w:val="000000" w:themeColor="text1"/>
          <w:sz w:val="24"/>
          <w:szCs w:val="24"/>
        </w:rPr>
        <w:t>(Glewwe et al., 2022)</w:t>
      </w:r>
      <w:r w:rsidR="00900F32" w:rsidRPr="00EB4E16">
        <w:rPr>
          <w:rFonts w:ascii="Times New Roman" w:hAnsi="Times New Roman" w:cs="Times New Roman"/>
          <w:color w:val="000000" w:themeColor="text1"/>
          <w:sz w:val="24"/>
          <w:szCs w:val="24"/>
        </w:rPr>
        <w:fldChar w:fldCharType="end"/>
      </w:r>
      <w:r w:rsidR="00900F32" w:rsidRPr="00EB4E16">
        <w:rPr>
          <w:rFonts w:ascii="Times New Roman" w:hAnsi="Times New Roman" w:cs="Times New Roman"/>
          <w:color w:val="000000" w:themeColor="text1"/>
          <w:sz w:val="24"/>
          <w:szCs w:val="24"/>
        </w:rPr>
        <w:t>.</w:t>
      </w:r>
    </w:p>
    <w:p w14:paraId="37BA0252" w14:textId="77777777" w:rsidR="00900F32" w:rsidRPr="00EB4E16" w:rsidRDefault="0047444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lastRenderedPageBreak/>
        <w:t xml:space="preserve">In conclusion, China's labor market offers significant opportunities, particularly in urban and high-tech sectors, but it also faces challenges such as an aging population, rural-urban disparities, and the need for skills development. Government policies focused on job creation, labor mobility, social security, and skills development are essential to ensure sustainable economic growth and social stability </w:t>
      </w:r>
      <w:r w:rsidR="00900F32" w:rsidRPr="00EB4E16">
        <w:rPr>
          <w:rFonts w:ascii="Times New Roman" w:hAnsi="Times New Roman" w:cs="Times New Roman"/>
          <w:color w:val="000000" w:themeColor="text1"/>
          <w:sz w:val="24"/>
          <w:szCs w:val="24"/>
        </w:rPr>
        <w:fldChar w:fldCharType="begin" w:fldLock="1"/>
      </w:r>
      <w:r w:rsidR="00C21028" w:rsidRPr="00EB4E16">
        <w:rPr>
          <w:rFonts w:ascii="Times New Roman" w:hAnsi="Times New Roman" w:cs="Times New Roman"/>
          <w:color w:val="000000" w:themeColor="text1"/>
          <w:sz w:val="24"/>
          <w:szCs w:val="24"/>
        </w:rPr>
        <w:instrText>ADDIN CSL_CITATION {"citationItems":[{"id":"ITEM-1","itemData":{"DOI":"10.1093/ijnp/pyac032.035","ISSN":"1461-1457","author":[{"dropping-particle":"","family":"Kan","given":"Daxue","non-dropping-particle":"","parse-names":false,"suffix":""},{"dropping-particle":"","family":"Lyu","given":"Lianju","non-dropping-particle":"","parse-names":false,"suffix":""},{"dropping-particle":"","family":"Yao","given":"Wenqing","non-dropping-particle":"","parse-names":false,"suffix":""},{"dropping-particle":"","family":"Ye","given":"Xinya","non-dropping-particle":"","parse-names":false,"suffix":""},{"dropping-particle":"","family":"Zan","given":"Bing","non-dropping-particle":"","parse-names":false,"suffix":""},{"dropping-particle":"","family":"Li","given":"Danyang","non-dropping-particle":"","parse-names":false,"suffix":""},{"dropping-particle":"","family":"Yan","given":"Xiaoya","non-dropping-particle":"","parse-names":false,"suffix":""},{"dropping-particle":"","family":"Huang","given":"Weichiao","non-dropping-particle":"","parse-names":false,"suffix":""}],"container-title":"International Journal of Neuropsychopharmacology","id":"ITEM-1","issue":"Supplement_1","issued":{"date-parts":[["2022","7","8"]]},"page":"A26-A26","title":"THE IMPACT OF CHINESE ENTREPRENEURS' EMOTIONAL LABOR AND WORK PRESSURE ON EXPORT PROFITABILITY: EVIDENCE FROM CHINA","type":"article-journal","volume":"25"},"uris":["http://www.mendeley.com/documents/?uuid=d09de62b-b562-463a-a731-d641ca24e9ad"]}],"mendeley":{"formattedCitation":"(Kan et al., 2022)","plainTextFormattedCitation":"(Kan et al., 2022)","previouslyFormattedCitation":"(Kan et al., 2022)"},"properties":{"noteIndex":0},"schema":"https://github.com/citation-style-language/schema/raw/master/csl-citation.json"}</w:instrText>
      </w:r>
      <w:r w:rsidR="00900F32" w:rsidRPr="00EB4E16">
        <w:rPr>
          <w:rFonts w:ascii="Times New Roman" w:hAnsi="Times New Roman" w:cs="Times New Roman"/>
          <w:color w:val="000000" w:themeColor="text1"/>
          <w:sz w:val="24"/>
          <w:szCs w:val="24"/>
        </w:rPr>
        <w:fldChar w:fldCharType="separate"/>
      </w:r>
      <w:r w:rsidR="00900F32" w:rsidRPr="00EB4E16">
        <w:rPr>
          <w:rFonts w:ascii="Times New Roman" w:hAnsi="Times New Roman" w:cs="Times New Roman"/>
          <w:noProof/>
          <w:color w:val="000000" w:themeColor="text1"/>
          <w:sz w:val="24"/>
          <w:szCs w:val="24"/>
        </w:rPr>
        <w:t>(Kan et al., 2022)</w:t>
      </w:r>
      <w:r w:rsidR="00900F32" w:rsidRPr="00EB4E16">
        <w:rPr>
          <w:rFonts w:ascii="Times New Roman" w:hAnsi="Times New Roman" w:cs="Times New Roman"/>
          <w:color w:val="000000" w:themeColor="text1"/>
          <w:sz w:val="24"/>
          <w:szCs w:val="24"/>
        </w:rPr>
        <w:fldChar w:fldCharType="end"/>
      </w:r>
      <w:r w:rsidR="00C21028" w:rsidRPr="00EB4E16">
        <w:rPr>
          <w:rFonts w:ascii="Times New Roman" w:hAnsi="Times New Roman" w:cs="Times New Roman"/>
          <w:color w:val="000000" w:themeColor="text1"/>
          <w:sz w:val="24"/>
          <w:szCs w:val="24"/>
        </w:rPr>
        <w:t>.</w:t>
      </w:r>
    </w:p>
    <w:p w14:paraId="75F7C2A7" w14:textId="77777777" w:rsidR="00C21028" w:rsidRPr="00EB4E16" w:rsidRDefault="00C21028" w:rsidP="0047444C">
      <w:pPr>
        <w:jc w:val="both"/>
        <w:rPr>
          <w:rFonts w:ascii="Times New Roman" w:hAnsi="Times New Roman" w:cs="Times New Roman"/>
          <w:color w:val="000000" w:themeColor="text1"/>
          <w:sz w:val="24"/>
          <w:szCs w:val="24"/>
        </w:rPr>
      </w:pPr>
    </w:p>
    <w:p w14:paraId="3CF369B8" w14:textId="77777777" w:rsidR="00C21028" w:rsidRPr="00EB4E16" w:rsidRDefault="00C21028" w:rsidP="00C21028">
      <w:pPr>
        <w:pStyle w:val="Heading3"/>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Chall</w:t>
      </w:r>
      <w:r w:rsidR="00C1407B">
        <w:rPr>
          <w:rFonts w:ascii="Times New Roman" w:hAnsi="Times New Roman" w:cs="Times New Roman"/>
          <w:color w:val="000000" w:themeColor="text1"/>
          <w:sz w:val="24"/>
          <w:szCs w:val="24"/>
        </w:rPr>
        <w:t>enges of Curricula Adaptability</w:t>
      </w:r>
    </w:p>
    <w:p w14:paraId="612B84CB" w14:textId="77777777" w:rsidR="00DC52FC" w:rsidRPr="00EB4E16" w:rsidRDefault="00F75C4B"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The rapid growth of industries, such as factories and technology companies, has led to the creation of new machines and methods, necessitating workers who can operate them.</w:t>
      </w:r>
      <w:r w:rsidR="00DC52FC" w:rsidRPr="00EB4E16">
        <w:rPr>
          <w:rFonts w:ascii="Times New Roman" w:hAnsi="Times New Roman" w:cs="Times New Roman"/>
          <w:color w:val="000000" w:themeColor="text1"/>
          <w:sz w:val="24"/>
          <w:szCs w:val="24"/>
        </w:rPr>
        <w:t xml:space="preserve"> Vocational education in this regard is held of high esteem, due to its role in training individuals fit for such purposes. However China like many other countries is grappling with the challenge aligning the curriculum of vocational education to her ever changing labor market demands. According to findings, the under mentioned are some of the current challenges;</w:t>
      </w:r>
    </w:p>
    <w:p w14:paraId="5D924E7D" w14:textId="77777777" w:rsidR="00DC52FC" w:rsidRPr="00EB4E16" w:rsidRDefault="00DC52FC" w:rsidP="0047444C">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 xml:space="preserve"> </w:t>
      </w:r>
      <w:r w:rsidR="00A30D5A" w:rsidRPr="00EB4E16">
        <w:rPr>
          <w:rFonts w:ascii="Times New Roman" w:hAnsi="Times New Roman" w:cs="Times New Roman"/>
          <w:color w:val="000000" w:themeColor="text1"/>
          <w:sz w:val="24"/>
          <w:szCs w:val="24"/>
        </w:rPr>
        <w:t xml:space="preserve"> </w:t>
      </w:r>
      <w:r w:rsidR="00A30D5A" w:rsidRPr="00EB4E16">
        <w:rPr>
          <w:rFonts w:ascii="Times New Roman" w:hAnsi="Times New Roman" w:cs="Times New Roman"/>
          <w:b/>
          <w:color w:val="000000" w:themeColor="text1"/>
          <w:sz w:val="24"/>
          <w:szCs w:val="24"/>
        </w:rPr>
        <w:t>Rapid Economic and Technological Changes</w:t>
      </w:r>
      <w:r w:rsidR="00A30D5A" w:rsidRPr="00EB4E16">
        <w:rPr>
          <w:rFonts w:ascii="Times New Roman" w:hAnsi="Times New Roman" w:cs="Times New Roman"/>
          <w:color w:val="000000" w:themeColor="text1"/>
          <w:sz w:val="24"/>
          <w:szCs w:val="24"/>
        </w:rPr>
        <w:t xml:space="preserve">: The pace of economic development and technological advancements in China is rapid. Vocational education curricula often struggle to keep up with these changes, leading to a mismatch between the skills taught and those required by the labor market. According to </w:t>
      </w:r>
      <w:r w:rsidR="00A30D5A" w:rsidRPr="00EB4E16">
        <w:rPr>
          <w:rFonts w:ascii="Times New Roman" w:hAnsi="Times New Roman" w:cs="Times New Roman"/>
          <w:color w:val="000000" w:themeColor="text1"/>
          <w:sz w:val="24"/>
          <w:szCs w:val="24"/>
        </w:rPr>
        <w:fldChar w:fldCharType="begin" w:fldLock="1"/>
      </w:r>
      <w:r w:rsidR="00CD0B4D" w:rsidRPr="00EB4E16">
        <w:rPr>
          <w:rFonts w:ascii="Times New Roman" w:hAnsi="Times New Roman" w:cs="Times New Roman"/>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00A30D5A" w:rsidRPr="00EB4E16">
        <w:rPr>
          <w:rFonts w:ascii="Times New Roman" w:hAnsi="Times New Roman" w:cs="Times New Roman"/>
          <w:color w:val="000000" w:themeColor="text1"/>
          <w:sz w:val="24"/>
          <w:szCs w:val="24"/>
        </w:rPr>
        <w:fldChar w:fldCharType="separate"/>
      </w:r>
      <w:r w:rsidR="00A30D5A" w:rsidRPr="00EB4E16">
        <w:rPr>
          <w:rFonts w:ascii="Times New Roman" w:hAnsi="Times New Roman" w:cs="Times New Roman"/>
          <w:noProof/>
          <w:color w:val="000000" w:themeColor="text1"/>
          <w:sz w:val="24"/>
          <w:szCs w:val="24"/>
        </w:rPr>
        <w:t>(Z. Guo, 2023)</w:t>
      </w:r>
      <w:r w:rsidR="00A30D5A" w:rsidRPr="00EB4E16">
        <w:rPr>
          <w:rFonts w:ascii="Times New Roman" w:hAnsi="Times New Roman" w:cs="Times New Roman"/>
          <w:color w:val="000000" w:themeColor="text1"/>
          <w:sz w:val="24"/>
          <w:szCs w:val="24"/>
        </w:rPr>
        <w:fldChar w:fldCharType="end"/>
      </w:r>
      <w:r w:rsidR="00A30D5A" w:rsidRPr="00EB4E16">
        <w:rPr>
          <w:rFonts w:ascii="Times New Roman" w:hAnsi="Times New Roman" w:cs="Times New Roman"/>
          <w:color w:val="000000" w:themeColor="text1"/>
          <w:sz w:val="24"/>
          <w:szCs w:val="24"/>
        </w:rPr>
        <w:t>, this misalignment can result in graduates who are not adequately prepared for the workforce.</w:t>
      </w:r>
    </w:p>
    <w:p w14:paraId="50D9FD15" w14:textId="77777777" w:rsidR="00CD0B4D" w:rsidRPr="00EB4E16" w:rsidRDefault="00CD0B4D" w:rsidP="0047444C">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Potential Reduction in Later Adaptability</w:t>
      </w:r>
      <w:r w:rsidRPr="00EB4E16">
        <w:rPr>
          <w:rFonts w:ascii="Times New Roman" w:hAnsi="Times New Roman" w:cs="Times New Roman"/>
          <w:color w:val="000000" w:themeColor="text1"/>
          <w:sz w:val="24"/>
          <w:szCs w:val="24"/>
        </w:rPr>
        <w:t xml:space="preserve">: According to </w:t>
      </w:r>
      <w:r w:rsidRPr="00EB4E16">
        <w:rPr>
          <w:rFonts w:ascii="Times New Roman" w:hAnsi="Times New Roman" w:cs="Times New Roman"/>
          <w:color w:val="000000" w:themeColor="text1"/>
          <w:sz w:val="24"/>
          <w:szCs w:val="24"/>
        </w:rPr>
        <w:fldChar w:fldCharType="begin" w:fldLock="1"/>
      </w:r>
      <w:r w:rsidR="00346DDF" w:rsidRPr="00EB4E16">
        <w:rPr>
          <w:rFonts w:ascii="Times New Roman" w:hAnsi="Times New Roman" w:cs="Times New Roman"/>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(Z. Guo, 2023)</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a major challenge is the potential reduction in later adaptability to changing environments. As vocational education becomes more specialized, the ability of graduates to adapt to new and evolving job markets may decrease, limiting their long-term career flexibility. The conflict between the quality of </w:t>
      </w:r>
      <w:r w:rsidRPr="00EB4E16">
        <w:rPr>
          <w:rFonts w:ascii="Times New Roman" w:hAnsi="Times New Roman" w:cs="Times New Roman"/>
          <w:color w:val="000000" w:themeColor="text1"/>
          <w:sz w:val="24"/>
          <w:szCs w:val="24"/>
        </w:rPr>
        <w:lastRenderedPageBreak/>
        <w:t>vocational education and the increasing demand for it also affects the status and attractiveness of vocational education.</w:t>
      </w:r>
    </w:p>
    <w:p w14:paraId="55CEE924" w14:textId="77777777" w:rsidR="00346DDF" w:rsidRPr="00EB4E16" w:rsidRDefault="00346DDF" w:rsidP="0047444C">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Regional Disparities and Uneven Resource Allocation:</w:t>
      </w:r>
      <w:r w:rsidRPr="00EB4E16">
        <w:rPr>
          <w:rFonts w:ascii="Times New Roman" w:hAnsi="Times New Roman" w:cs="Times New Roman"/>
          <w:color w:val="000000" w:themeColor="text1"/>
          <w:sz w:val="24"/>
          <w:szCs w:val="24"/>
        </w:rPr>
        <w:t xml:space="preserve"> There are significant regional disparities in economic development across China, leading to differing labor market needs. Vocational education often do not account for these regional differences, making it difficult to address local labor market demands. Additionally, </w:t>
      </w:r>
      <w:r w:rsidRPr="00EB4E16">
        <w:rPr>
          <w:rFonts w:ascii="Times New Roman" w:hAnsi="Times New Roman" w:cs="Times New Roman"/>
          <w:color w:val="000000" w:themeColor="text1"/>
          <w:sz w:val="24"/>
          <w:szCs w:val="24"/>
        </w:rPr>
        <w:fldChar w:fldCharType="begin" w:fldLock="1"/>
      </w:r>
      <w:r w:rsidR="00EB4E16">
        <w:rPr>
          <w:rFonts w:ascii="Times New Roman" w:hAnsi="Times New Roman" w:cs="Times New Roman"/>
          <w:color w:val="000000" w:themeColor="text1"/>
          <w:sz w:val="24"/>
          <w:szCs w:val="24"/>
        </w:rPr>
        <w:instrText>ADDIN CSL_CITATION {"citationItems":[{"id":"ITEM-1","itemData":{"DOI":"10.54097/ehss.v23i.13911","ISSN":"2771-2907","abstract":"This paper delves into the hurdles and prejudices encountered by vocational and technical education in China, employing Carol Bacchi's WPR (What's the Problem Represented to Be?) framework for analysis. It underscores the uneven allocation of resources, societal viewpoints, and the influence of economic disparities on access to education. Drawing inspiration from the vocational education paradigms in Switzerland and Germany, the paper proposes alternative solutions. It underscores the urgency for a holistic overhaul of the education system, amalgamation of general and vocational education, and a shift in societal attitudes. The paper concludes that tackling these issues will pave the way for equitable educational opportunities and brighter futures for all Chinese students.","author":[{"dropping-particle":"","family":"Wang","given":"Jinxuan","non-dropping-particle":"","parse-names":false,"suffix":""},{"dropping-particle":"","family":"Zhang","given":"Jinbao","non-dropping-particle":"","parse-names":false,"suffix":""}],"container-title":"Journal of Education, Humanities and Social Sciences","id":"ITEM-1","issued":{"date-parts":[["2023","12","13"]]},"page":"730-740","title":"Examining China's Secondary Vocational Diversion Policy: A WPR Framework Analysis","type":"article-journal","volume":"23"},"uris":["http://www.mendeley.com/documents/?uuid=2686d34e-65a4-4cef-8e95-35b2e427532d"]}],"mendeley":{"formattedCitation":"(J. Wang &amp; Zhang, 2023)","plainTextFormattedCitation":"(J. Wang &amp; Zhang, 2023)","previouslyFormattedCitation":"(J. Wang &amp; Zhang, 2023)"},"properties":{"noteIndex":0},"schema":"https://github.com/citation-style-language/schema/raw/master/csl-citation.json"}</w:instrText>
      </w:r>
      <w:r w:rsidRPr="00EB4E16">
        <w:rPr>
          <w:rFonts w:ascii="Times New Roman" w:hAnsi="Times New Roman" w:cs="Times New Roman"/>
          <w:color w:val="000000" w:themeColor="text1"/>
          <w:sz w:val="24"/>
          <w:szCs w:val="24"/>
        </w:rPr>
        <w:fldChar w:fldCharType="separate"/>
      </w:r>
      <w:r w:rsidRPr="00EB4E16">
        <w:rPr>
          <w:rFonts w:ascii="Times New Roman" w:hAnsi="Times New Roman" w:cs="Times New Roman"/>
          <w:noProof/>
          <w:color w:val="000000" w:themeColor="text1"/>
          <w:sz w:val="24"/>
          <w:szCs w:val="24"/>
        </w:rPr>
        <w:t>(J. Wang &amp; Zhang, 2023)</w:t>
      </w:r>
      <w:r w:rsidRPr="00EB4E16">
        <w:rPr>
          <w:rFonts w:ascii="Times New Roman" w:hAnsi="Times New Roman" w:cs="Times New Roman"/>
          <w:color w:val="000000" w:themeColor="text1"/>
          <w:sz w:val="24"/>
          <w:szCs w:val="24"/>
        </w:rPr>
        <w:fldChar w:fldCharType="end"/>
      </w:r>
      <w:r w:rsidRPr="00EB4E16">
        <w:rPr>
          <w:rFonts w:ascii="Times New Roman" w:hAnsi="Times New Roman" w:cs="Times New Roman"/>
          <w:color w:val="000000" w:themeColor="text1"/>
          <w:sz w:val="24"/>
          <w:szCs w:val="24"/>
        </w:rPr>
        <w:t xml:space="preserve"> highlights the uneven allocation of resources as a significant challenge, with educational resources not distributed equitably across different regions and institutions.</w:t>
      </w:r>
    </w:p>
    <w:p w14:paraId="7DD2F419" w14:textId="77777777" w:rsidR="00954044" w:rsidRPr="00EB4E16" w:rsidRDefault="00954044" w:rsidP="001F0E97">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Perception, Societal Biases, and Economic Disparities:</w:t>
      </w:r>
      <w:r w:rsidRPr="00EB4E16">
        <w:rPr>
          <w:rFonts w:ascii="Times New Roman" w:hAnsi="Times New Roman" w:cs="Times New Roman"/>
          <w:color w:val="000000" w:themeColor="text1"/>
          <w:sz w:val="24"/>
          <w:szCs w:val="24"/>
        </w:rPr>
        <w:t xml:space="preserve"> Vocational education is often perceived as less prestigious compared to academic education, leading to lower enrollment rates and a lack of motivation among students. Societal biases against vocational education persist, with many viewing it as a less desirable educational path. Economic disparities also affect access to vocational education, as students from lower-income backgrounds may face barriers to accessing high-quality training, further perpetuating inequality and limiting opportunities for social mobility.</w:t>
      </w:r>
      <w:r w:rsidR="00E45C16" w:rsidRPr="00EB4E16">
        <w:rPr>
          <w:rFonts w:ascii="Times New Roman" w:hAnsi="Times New Roman" w:cs="Times New Roman"/>
          <w:color w:val="000000" w:themeColor="text1"/>
          <w:sz w:val="24"/>
          <w:szCs w:val="24"/>
        </w:rPr>
        <w:t xml:space="preserve"> </w:t>
      </w:r>
      <w:r w:rsidR="00E45C16" w:rsidRPr="00EB4E16">
        <w:rPr>
          <w:rFonts w:ascii="Times New Roman" w:hAnsi="Times New Roman" w:cs="Times New Roman"/>
          <w:color w:val="000000" w:themeColor="text1"/>
          <w:sz w:val="24"/>
          <w:szCs w:val="24"/>
        </w:rPr>
        <w:fldChar w:fldCharType="begin" w:fldLock="1"/>
      </w:r>
      <w:r w:rsidR="00E45C16" w:rsidRPr="00EB4E16">
        <w:rPr>
          <w:rFonts w:ascii="Times New Roman" w:hAnsi="Times New Roman" w:cs="Times New Roman"/>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00E45C16" w:rsidRPr="00EB4E16">
        <w:rPr>
          <w:rFonts w:ascii="Times New Roman" w:hAnsi="Times New Roman" w:cs="Times New Roman"/>
          <w:color w:val="000000" w:themeColor="text1"/>
          <w:sz w:val="24"/>
          <w:szCs w:val="24"/>
        </w:rPr>
        <w:fldChar w:fldCharType="separate"/>
      </w:r>
      <w:r w:rsidR="00E45C16" w:rsidRPr="00EB4E16">
        <w:rPr>
          <w:rFonts w:ascii="Times New Roman" w:hAnsi="Times New Roman" w:cs="Times New Roman"/>
          <w:noProof/>
          <w:color w:val="000000" w:themeColor="text1"/>
          <w:sz w:val="24"/>
          <w:szCs w:val="24"/>
        </w:rPr>
        <w:t>(Z. Guo, 2023)</w:t>
      </w:r>
      <w:r w:rsidR="00E45C16" w:rsidRPr="00EB4E16">
        <w:rPr>
          <w:rFonts w:ascii="Times New Roman" w:hAnsi="Times New Roman" w:cs="Times New Roman"/>
          <w:color w:val="000000" w:themeColor="text1"/>
          <w:sz w:val="24"/>
          <w:szCs w:val="24"/>
        </w:rPr>
        <w:fldChar w:fldCharType="end"/>
      </w:r>
      <w:r w:rsidR="00E45C16" w:rsidRPr="00EB4E16">
        <w:rPr>
          <w:rFonts w:ascii="Times New Roman" w:hAnsi="Times New Roman" w:cs="Times New Roman"/>
          <w:color w:val="000000" w:themeColor="text1"/>
          <w:sz w:val="24"/>
          <w:szCs w:val="24"/>
        </w:rPr>
        <w:t xml:space="preserve"> </w:t>
      </w:r>
      <w:r w:rsidR="001F0E97" w:rsidRPr="00EB4E16">
        <w:rPr>
          <w:rFonts w:ascii="Times New Roman" w:hAnsi="Times New Roman" w:cs="Times New Roman"/>
          <w:color w:val="000000" w:themeColor="text1"/>
          <w:sz w:val="24"/>
          <w:szCs w:val="24"/>
        </w:rPr>
        <w:t>observed that, there is a general prejudice against this class of people, social disapproval, a low sense of self-identity, and a mismatch between giving and take is why people generally prefer the academic path.</w:t>
      </w:r>
    </w:p>
    <w:p w14:paraId="20EB641C" w14:textId="77777777" w:rsidR="001F0E97" w:rsidRPr="00EB4E16" w:rsidRDefault="001F0E97" w:rsidP="0047444C">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Policy, Governance, and Evaluation Mechanisms:</w:t>
      </w:r>
      <w:r w:rsidRPr="00EB4E16">
        <w:rPr>
          <w:rFonts w:ascii="Times New Roman" w:hAnsi="Times New Roman" w:cs="Times New Roman"/>
          <w:color w:val="000000" w:themeColor="text1"/>
          <w:sz w:val="24"/>
          <w:szCs w:val="24"/>
        </w:rPr>
        <w:t xml:space="preserve"> Inconsistencies in policies and governance at different levels of government can affect the implementation and adaptation of vocational education curricula. Effective coordination between various stakeholders, including government, educational institutions, and industries, is crucial but often challenging. Additionally, there is often a lack of effective mechanisms for evaluating the relevance and effectiveness of vocational </w:t>
      </w:r>
      <w:r w:rsidRPr="00EB4E16">
        <w:rPr>
          <w:rFonts w:ascii="Times New Roman" w:hAnsi="Times New Roman" w:cs="Times New Roman"/>
          <w:color w:val="000000" w:themeColor="text1"/>
          <w:sz w:val="24"/>
          <w:szCs w:val="24"/>
        </w:rPr>
        <w:lastRenderedPageBreak/>
        <w:t>education programs and for obtaining feedback from employers and graduates to inform curriculum updates.</w:t>
      </w:r>
    </w:p>
    <w:p w14:paraId="016C57EC" w14:textId="77777777" w:rsidR="001F0E97" w:rsidRPr="00EB4E16" w:rsidRDefault="0006022C" w:rsidP="001F0E97">
      <w:pPr>
        <w:pStyle w:val="Heading3"/>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Strategies</w:t>
      </w:r>
    </w:p>
    <w:p w14:paraId="3475B2BB" w14:textId="77777777" w:rsidR="001F0E97" w:rsidRPr="00EB4E16" w:rsidRDefault="007A5F41" w:rsidP="007A5F41">
      <w:pPr>
        <w:jc w:val="both"/>
        <w:rPr>
          <w:rFonts w:ascii="Times New Roman" w:hAnsi="Times New Roman" w:cs="Times New Roman"/>
          <w:color w:val="000000" w:themeColor="text1"/>
          <w:sz w:val="24"/>
          <w:szCs w:val="24"/>
        </w:rPr>
      </w:pPr>
      <w:r w:rsidRPr="00EB4E16">
        <w:rPr>
          <w:rFonts w:ascii="Times New Roman" w:hAnsi="Times New Roman" w:cs="Times New Roman"/>
          <w:color w:val="000000" w:themeColor="text1"/>
          <w:sz w:val="24"/>
          <w:szCs w:val="24"/>
        </w:rPr>
        <w:t>To address the challenges posed by rapid economic and technological changes, which have created a gap between the curriculum of vocational education in China and the labor market needs, several strategies have been proposed.</w:t>
      </w:r>
    </w:p>
    <w:p w14:paraId="22567A0A" w14:textId="77777777"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Cs w:val="0"/>
          <w:color w:val="000000" w:themeColor="text1"/>
          <w:sz w:val="24"/>
          <w:szCs w:val="24"/>
        </w:rPr>
        <w:t>Curriculum Reform and Update</w:t>
      </w:r>
      <w:r w:rsidRPr="00EB4E16">
        <w:rPr>
          <w:rStyle w:val="Strong"/>
          <w:rFonts w:ascii="Times New Roman" w:hAnsi="Times New Roman" w:cs="Times New Roman"/>
          <w:b w:val="0"/>
          <w:bCs w:val="0"/>
          <w:color w:val="000000" w:themeColor="text1"/>
          <w:sz w:val="24"/>
          <w:szCs w:val="24"/>
        </w:rPr>
        <w:t xml:space="preserve">:  </w:t>
      </w:r>
      <w:r w:rsidR="00C1407B">
        <w:rPr>
          <w:rStyle w:val="Strong"/>
          <w:rFonts w:ascii="Times New Roman" w:hAnsi="Times New Roman" w:cs="Times New Roman"/>
          <w:b w:val="0"/>
          <w:bCs w:val="0"/>
          <w:color w:val="000000" w:themeColor="text1"/>
          <w:sz w:val="24"/>
          <w:szCs w:val="24"/>
        </w:rPr>
        <w:t>(</w:t>
      </w:r>
      <w:r w:rsidR="00C1407B">
        <w:rPr>
          <w:rStyle w:val="Strong"/>
          <w:rFonts w:ascii="Times New Roman" w:hAnsi="Times New Roman" w:cs="Times New Roman"/>
          <w:b w:val="0"/>
          <w:color w:val="000000" w:themeColor="text1"/>
          <w:sz w:val="24"/>
          <w:szCs w:val="24"/>
        </w:rPr>
        <w:t xml:space="preserve">Liu et al., </w:t>
      </w:r>
      <w:r w:rsidRPr="00EB4E16">
        <w:rPr>
          <w:rStyle w:val="Strong"/>
          <w:rFonts w:ascii="Times New Roman" w:hAnsi="Times New Roman" w:cs="Times New Roman"/>
          <w:b w:val="0"/>
          <w:color w:val="000000" w:themeColor="text1"/>
          <w:sz w:val="24"/>
          <w:szCs w:val="24"/>
        </w:rPr>
        <w:t>2020)</w:t>
      </w:r>
      <w:r w:rsidRPr="00EB4E16">
        <w:rPr>
          <w:rFonts w:ascii="Times New Roman" w:hAnsi="Times New Roman" w:cs="Times New Roman"/>
          <w:color w:val="000000" w:themeColor="text1"/>
          <w:sz w:val="24"/>
          <w:szCs w:val="24"/>
        </w:rPr>
        <w:t xml:space="preserve"> suggest that continuous curriculum reform is essential to keep pace with technological advancements and industry demands. They propose that vocational education institutions should regularly update their curriculum to include the latest technological trends and industry practices. This can be achieved through collaboration with industry experts and professionals who can provide insights into current and future skill requirements.</w:t>
      </w:r>
    </w:p>
    <w:p w14:paraId="6A94A942" w14:textId="77777777" w:rsidR="007A5F41" w:rsidRPr="00EB4E16" w:rsidRDefault="007A5F41" w:rsidP="007A5F41">
      <w:pPr>
        <w:jc w:val="both"/>
        <w:rPr>
          <w:rFonts w:ascii="Times New Roman" w:hAnsi="Times New Roman" w:cs="Times New Roman"/>
          <w:color w:val="000000" w:themeColor="text1"/>
          <w:sz w:val="24"/>
          <w:szCs w:val="24"/>
        </w:rPr>
      </w:pPr>
      <w:r w:rsidRPr="00EB4E16">
        <w:rPr>
          <w:rFonts w:ascii="Times New Roman" w:hAnsi="Times New Roman" w:cs="Times New Roman"/>
          <w:b/>
          <w:color w:val="000000" w:themeColor="text1"/>
          <w:sz w:val="24"/>
          <w:szCs w:val="24"/>
        </w:rPr>
        <w:t>Industry-Academia Collaboration</w:t>
      </w:r>
      <w:r w:rsidRPr="00EB4E16">
        <w:rPr>
          <w:rFonts w:ascii="Times New Roman" w:hAnsi="Times New Roman" w:cs="Times New Roman"/>
          <w:color w:val="000000" w:themeColor="text1"/>
          <w:sz w:val="24"/>
          <w:szCs w:val="24"/>
        </w:rPr>
        <w:t xml:space="preserve">: </w:t>
      </w:r>
      <w:r w:rsidR="00C1407B">
        <w:rPr>
          <w:rFonts w:ascii="Times New Roman" w:hAnsi="Times New Roman" w:cs="Times New Roman"/>
          <w:color w:val="000000" w:themeColor="text1"/>
          <w:sz w:val="24"/>
          <w:szCs w:val="24"/>
        </w:rPr>
        <w:t xml:space="preserve">(Wang and Zhang, </w:t>
      </w:r>
      <w:r w:rsidRPr="00EB4E16">
        <w:rPr>
          <w:rFonts w:ascii="Times New Roman" w:hAnsi="Times New Roman" w:cs="Times New Roman"/>
          <w:color w:val="000000" w:themeColor="text1"/>
          <w:sz w:val="24"/>
          <w:szCs w:val="24"/>
        </w:rPr>
        <w:t>2018) emphasize the importance of establishing strong partnerships between vocational schools and industries. These collaborations can facilitate internships, apprenticeships, and on-the-job training programs, ensuring that students gain practical experience and are better prepared for the workforce. Such partnerships can also help in aligning the curriculum with industry standards.</w:t>
      </w:r>
    </w:p>
    <w:p w14:paraId="642E4671" w14:textId="77777777"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Cs w:val="0"/>
          <w:color w:val="000000" w:themeColor="text1"/>
          <w:sz w:val="24"/>
          <w:szCs w:val="24"/>
        </w:rPr>
        <w:t>Teacher Training and Professional Development:</w:t>
      </w:r>
      <w:r w:rsidRPr="00EB4E16">
        <w:rPr>
          <w:rStyle w:val="Strong"/>
          <w:rFonts w:ascii="Times New Roman" w:hAnsi="Times New Roman" w:cs="Times New Roman"/>
          <w:b w:val="0"/>
          <w:bCs w:val="0"/>
          <w:color w:val="000000" w:themeColor="text1"/>
          <w:sz w:val="24"/>
          <w:szCs w:val="24"/>
        </w:rPr>
        <w:t xml:space="preserve"> </w:t>
      </w:r>
      <w:r w:rsidRPr="00EB4E16">
        <w:rPr>
          <w:rFonts w:ascii="Times New Roman" w:hAnsi="Times New Roman" w:cs="Times New Roman"/>
          <w:color w:val="000000" w:themeColor="text1"/>
          <w:sz w:val="24"/>
          <w:szCs w:val="24"/>
        </w:rPr>
        <w:t xml:space="preserve">According to </w:t>
      </w:r>
      <w:r w:rsidR="00C1407B">
        <w:rPr>
          <w:rFonts w:ascii="Times New Roman" w:hAnsi="Times New Roman" w:cs="Times New Roman"/>
          <w:color w:val="000000" w:themeColor="text1"/>
          <w:sz w:val="24"/>
          <w:szCs w:val="24"/>
        </w:rPr>
        <w:t>(</w:t>
      </w:r>
      <w:r w:rsidR="00C1407B">
        <w:rPr>
          <w:rStyle w:val="Strong"/>
          <w:rFonts w:ascii="Times New Roman" w:hAnsi="Times New Roman" w:cs="Times New Roman"/>
          <w:b w:val="0"/>
          <w:color w:val="000000" w:themeColor="text1"/>
          <w:sz w:val="24"/>
          <w:szCs w:val="24"/>
        </w:rPr>
        <w:t>Chen et al.2</w:t>
      </w:r>
      <w:r w:rsidRPr="00EB4E16">
        <w:rPr>
          <w:rStyle w:val="Strong"/>
          <w:rFonts w:ascii="Times New Roman" w:hAnsi="Times New Roman" w:cs="Times New Roman"/>
          <w:b w:val="0"/>
          <w:color w:val="000000" w:themeColor="text1"/>
          <w:sz w:val="24"/>
          <w:szCs w:val="24"/>
        </w:rPr>
        <w:t>019)</w:t>
      </w:r>
      <w:r w:rsidRPr="00EB4E16">
        <w:rPr>
          <w:rFonts w:ascii="Times New Roman" w:hAnsi="Times New Roman" w:cs="Times New Roman"/>
          <w:b/>
          <w:color w:val="000000" w:themeColor="text1"/>
          <w:sz w:val="24"/>
          <w:szCs w:val="24"/>
        </w:rPr>
        <w:t>,</w:t>
      </w:r>
      <w:r w:rsidRPr="00EB4E16">
        <w:rPr>
          <w:rFonts w:ascii="Times New Roman" w:hAnsi="Times New Roman" w:cs="Times New Roman"/>
          <w:color w:val="000000" w:themeColor="text1"/>
          <w:sz w:val="24"/>
          <w:szCs w:val="24"/>
        </w:rPr>
        <w:t xml:space="preserve"> investing in the continuous professional development of vocational educators is crucial. Teachers need to be equipped with up-to-date knowledge and skills to effectively teach modern technologies and industry practices. Professional development programs, workshops, and exchange programs with industry professionals can enhance teachers' competencies.</w:t>
      </w:r>
    </w:p>
    <w:p w14:paraId="5E515024" w14:textId="77777777"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 w:val="0"/>
          <w:bCs w:val="0"/>
          <w:color w:val="000000" w:themeColor="text1"/>
          <w:sz w:val="24"/>
          <w:szCs w:val="24"/>
        </w:rPr>
        <w:lastRenderedPageBreak/>
        <w:t xml:space="preserve">Incorporating Soft Skills and Lifelong Learning: </w:t>
      </w:r>
      <w:r w:rsidR="00C1407B">
        <w:rPr>
          <w:rStyle w:val="Strong"/>
          <w:rFonts w:ascii="Times New Roman" w:hAnsi="Times New Roman" w:cs="Times New Roman"/>
          <w:b w:val="0"/>
          <w:color w:val="000000" w:themeColor="text1"/>
          <w:sz w:val="24"/>
          <w:szCs w:val="24"/>
        </w:rPr>
        <w:fldChar w:fldCharType="begin" w:fldLock="1"/>
      </w:r>
      <w:r w:rsidR="00C1407B">
        <w:rPr>
          <w:rStyle w:val="Strong"/>
          <w:rFonts w:ascii="Times New Roman" w:hAnsi="Times New Roman" w:cs="Times New Roman"/>
          <w:b w:val="0"/>
          <w:color w:val="000000" w:themeColor="text1"/>
          <w:sz w:val="24"/>
          <w:szCs w:val="24"/>
        </w:rPr>
        <w:instrText>ADDIN CSL_CITATION {"citationItems":[{"id":"ITEM-1","itemData":{"DOI":"10.1080/2331186X.2024.2343525","ISSN":"2331-186X","author":[{"dropping-particle":"","family":"Zhao","given":"Dexia","non-dropping-particle":"","parse-names":false,"suffix":""},{"dropping-particle":"","family":"Selvaratnam","given":"Doris Padmini","non-dropping-particle":"","parse-names":false,"suffix":""}],"container-title":"Cogent Education","id":"ITEM-1","issue":"1","issued":{"date-parts":[["2024","12","31"]]},"title":"A systematic literature review on the reform of vocational education in China","type":"article-journal","volume":"11"},"uris":["http://www.mendeley.com/documents/?uuid=aab83a34-607c-47d8-8a94-96c180bf790e"]}],"mendeley":{"formattedCitation":"(Zhao &amp; Selvaratnam, 2024)","plainTextFormattedCitation":"(Zhao &amp; Selvaratnam, 2024)","previouslyFormattedCitation":"(Zhao &amp; Selvaratnam, 2024)"},"properties":{"noteIndex":0},"schema":"https://github.com/citation-style-language/schema/raw/master/csl-citation.json"}</w:instrText>
      </w:r>
      <w:r w:rsidR="00C1407B">
        <w:rPr>
          <w:rStyle w:val="Strong"/>
          <w:rFonts w:ascii="Times New Roman" w:hAnsi="Times New Roman" w:cs="Times New Roman"/>
          <w:b w:val="0"/>
          <w:color w:val="000000" w:themeColor="text1"/>
          <w:sz w:val="24"/>
          <w:szCs w:val="24"/>
        </w:rPr>
        <w:fldChar w:fldCharType="separate"/>
      </w:r>
      <w:r w:rsidR="00C1407B" w:rsidRPr="00C1407B">
        <w:rPr>
          <w:rStyle w:val="Strong"/>
          <w:rFonts w:ascii="Times New Roman" w:hAnsi="Times New Roman" w:cs="Times New Roman"/>
          <w:b w:val="0"/>
          <w:noProof/>
          <w:color w:val="000000" w:themeColor="text1"/>
          <w:sz w:val="24"/>
          <w:szCs w:val="24"/>
        </w:rPr>
        <w:t>(Zhao &amp; Selvaratnam, 2024)</w:t>
      </w:r>
      <w:r w:rsidR="00C1407B">
        <w:rPr>
          <w:rStyle w:val="Strong"/>
          <w:rFonts w:ascii="Times New Roman" w:hAnsi="Times New Roman" w:cs="Times New Roman"/>
          <w:b w:val="0"/>
          <w:color w:val="000000" w:themeColor="text1"/>
          <w:sz w:val="24"/>
          <w:szCs w:val="24"/>
        </w:rPr>
        <w:fldChar w:fldCharType="end"/>
      </w:r>
      <w:r w:rsidR="00C1407B">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argues that vocational education should not only focus on technical skills but also on soft skills such as communication, teamwork, and problem-solving. Additionally, fostering a culture of lifelong learning can help students adapt to changing job requirements throughout their careers. Encouraging continuous learning and professional growth ensures that the workforce remains relevant and competitive.</w:t>
      </w:r>
    </w:p>
    <w:p w14:paraId="707C4EEA" w14:textId="77777777"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Cs w:val="0"/>
          <w:color w:val="000000" w:themeColor="text1"/>
          <w:sz w:val="24"/>
          <w:szCs w:val="24"/>
        </w:rPr>
        <w:t>Utilizing Technology and E-Learning:</w:t>
      </w:r>
      <w:r w:rsidRPr="00EB4E16">
        <w:rPr>
          <w:rStyle w:val="Strong"/>
          <w:rFonts w:ascii="Times New Roman" w:hAnsi="Times New Roman" w:cs="Times New Roman"/>
          <w:b w:val="0"/>
          <w:bCs w:val="0"/>
          <w:color w:val="000000" w:themeColor="text1"/>
          <w:sz w:val="24"/>
          <w:szCs w:val="24"/>
        </w:rPr>
        <w:t xml:space="preserve"> </w:t>
      </w:r>
      <w:r w:rsidR="0084598E">
        <w:rPr>
          <w:rStyle w:val="Strong"/>
          <w:rFonts w:ascii="Times New Roman" w:hAnsi="Times New Roman" w:cs="Times New Roman"/>
          <w:b w:val="0"/>
          <w:color w:val="000000" w:themeColor="text1"/>
          <w:sz w:val="24"/>
          <w:szCs w:val="24"/>
        </w:rPr>
        <w:fldChar w:fldCharType="begin" w:fldLock="1"/>
      </w:r>
      <w:r w:rsidR="0084598E">
        <w:rPr>
          <w:rStyle w:val="Strong"/>
          <w:rFonts w:ascii="Times New Roman" w:hAnsi="Times New Roman" w:cs="Times New Roman"/>
          <w:b w:val="0"/>
          <w:color w:val="000000" w:themeColor="text1"/>
          <w:sz w:val="24"/>
          <w:szCs w:val="24"/>
        </w:rPr>
        <w:instrText>ADDIN CSL_CITATION {"citationItems":[{"id":"ITEM-1","itemData":{"DOI":"10.2991/snce-18.2018.191","ISBN":"978-94-6252-505-4","author":[{"dropping-particle":"","family":"Sun","given":"Cuihua","non-dropping-particle":"","parse-names":false,"suffix":""},{"dropping-particle":"","family":"Wang","given":"Feng","non-dropping-particle":"","parse-names":false,"suffix":""},{"dropping-particle":"","family":"Yu","given":"Zhaoxiao","non-dropping-particle":"","parse-names":false,"suffix":""},{"dropping-particle":"","family":"Xue","given":"Liang","non-dropping-particle":"","parse-names":false,"suffix":""}],"container-title":"Proceedings of the 8th International Conference on Social Network, Communication and Education (SNCE 2018)","id":"ITEM-1","issued":{"date-parts":[["2018"]]},"publisher":"Atlantis Press","publisher-place":"Paris, France","title":"Research on qInternet Plusq Curriculum Reform for Modern Agricultural Specialty Group in Higher Vocational Education","type":"paper-conference"},"uris":["http://www.mendeley.com/documents/?uuid=7858028a-cb34-4c51-bb4c-6f5f61643fc9"]}],"mendeley":{"formattedCitation":"(C. Sun et al., 2018)","plainTextFormattedCitation":"(C. Sun et al., 2018)","previouslyFormattedCitation":"(C. Sun et al., 2018)"},"properties":{"noteIndex":0},"schema":"https://github.com/citation-style-language/schema/raw/master/csl-citation.json"}</w:instrText>
      </w:r>
      <w:r w:rsidR="0084598E">
        <w:rPr>
          <w:rStyle w:val="Strong"/>
          <w:rFonts w:ascii="Times New Roman" w:hAnsi="Times New Roman" w:cs="Times New Roman"/>
          <w:b w:val="0"/>
          <w:color w:val="000000" w:themeColor="text1"/>
          <w:sz w:val="24"/>
          <w:szCs w:val="24"/>
        </w:rPr>
        <w:fldChar w:fldCharType="separate"/>
      </w:r>
      <w:r w:rsidR="0084598E" w:rsidRPr="0084598E">
        <w:rPr>
          <w:rStyle w:val="Strong"/>
          <w:rFonts w:ascii="Times New Roman" w:hAnsi="Times New Roman" w:cs="Times New Roman"/>
          <w:b w:val="0"/>
          <w:noProof/>
          <w:color w:val="000000" w:themeColor="text1"/>
          <w:sz w:val="24"/>
          <w:szCs w:val="24"/>
        </w:rPr>
        <w:t>(C. Sun et al., 2018)</w:t>
      </w:r>
      <w:r w:rsidR="0084598E">
        <w:rPr>
          <w:rStyle w:val="Strong"/>
          <w:rFonts w:ascii="Times New Roman" w:hAnsi="Times New Roman" w:cs="Times New Roman"/>
          <w:b w:val="0"/>
          <w:color w:val="000000" w:themeColor="text1"/>
          <w:sz w:val="24"/>
          <w:szCs w:val="24"/>
        </w:rPr>
        <w:fldChar w:fldCharType="end"/>
      </w:r>
      <w:r w:rsidR="0084598E">
        <w:rPr>
          <w:rFonts w:ascii="Times New Roman" w:hAnsi="Times New Roman" w:cs="Times New Roman"/>
          <w:color w:val="000000" w:themeColor="text1"/>
          <w:sz w:val="24"/>
          <w:szCs w:val="24"/>
        </w:rPr>
        <w:t xml:space="preserve"> </w:t>
      </w:r>
      <w:r w:rsidRPr="00EB4E16">
        <w:rPr>
          <w:rFonts w:ascii="Times New Roman" w:hAnsi="Times New Roman" w:cs="Times New Roman"/>
          <w:color w:val="000000" w:themeColor="text1"/>
          <w:sz w:val="24"/>
          <w:szCs w:val="24"/>
        </w:rPr>
        <w:t>highlight the potential of technology and e-learning platforms in vocational education. Integrating digital tools and online resources can provide flexible learning opportunities and access to a broader range of educational materials. E-learning can also support remote and continuous education, which is particularly beneficial in adapting to rapid changes in technology and industry demands.</w:t>
      </w:r>
    </w:p>
    <w:p w14:paraId="6BEC5F0A" w14:textId="77777777" w:rsidR="007A5F41" w:rsidRPr="00EB4E16" w:rsidRDefault="007A5F41" w:rsidP="007A5F41">
      <w:pPr>
        <w:jc w:val="both"/>
        <w:rPr>
          <w:rFonts w:ascii="Times New Roman" w:hAnsi="Times New Roman" w:cs="Times New Roman"/>
          <w:color w:val="000000" w:themeColor="text1"/>
          <w:sz w:val="24"/>
          <w:szCs w:val="24"/>
        </w:rPr>
      </w:pPr>
      <w:r w:rsidRPr="00EB4E16">
        <w:rPr>
          <w:rStyle w:val="Strong"/>
          <w:rFonts w:ascii="Times New Roman" w:hAnsi="Times New Roman" w:cs="Times New Roman"/>
          <w:bCs w:val="0"/>
          <w:color w:val="000000" w:themeColor="text1"/>
          <w:sz w:val="24"/>
          <w:szCs w:val="24"/>
        </w:rPr>
        <w:t>Policy Support and Funding</w:t>
      </w:r>
      <w:r w:rsidRPr="00EB4E16">
        <w:rPr>
          <w:rStyle w:val="Strong"/>
          <w:rFonts w:ascii="Times New Roman" w:hAnsi="Times New Roman" w:cs="Times New Roman"/>
          <w:b w:val="0"/>
          <w:bCs w:val="0"/>
          <w:color w:val="000000" w:themeColor="text1"/>
          <w:sz w:val="24"/>
          <w:szCs w:val="24"/>
        </w:rPr>
        <w:t xml:space="preserve">: </w:t>
      </w:r>
      <w:r w:rsidR="0084598E">
        <w:rPr>
          <w:rStyle w:val="Strong"/>
          <w:rFonts w:ascii="Times New Roman" w:hAnsi="Times New Roman" w:cs="Times New Roman"/>
          <w:b w:val="0"/>
          <w:color w:val="000000" w:themeColor="text1"/>
          <w:sz w:val="24"/>
          <w:szCs w:val="24"/>
        </w:rPr>
        <w:fldChar w:fldCharType="begin" w:fldLock="1"/>
      </w:r>
      <w:r w:rsidR="0084598E">
        <w:rPr>
          <w:rStyle w:val="Strong"/>
          <w:rFonts w:ascii="Times New Roman" w:hAnsi="Times New Roman" w:cs="Times New Roman"/>
          <w:b w:val="0"/>
          <w:color w:val="000000" w:themeColor="text1"/>
          <w:sz w:val="24"/>
          <w:szCs w:val="24"/>
        </w:rPr>
        <w:instrText>ADDIN CSL_CITATION {"citationItems":[{"id":"ITEM-1","itemData":{"DOI":"10.2991/978-2-494069-05-3_45","author":[{"dropping-particle":"","family":"Guo","given":"Zijing","non-dropping-particle":"","parse-names":false,"suffix":""}],"container-title":"Proceedings of the 2022 International Conference on Science Education and Art Appreciation (SEAA 2022)","id":"ITEM-1","issued":{"date-parts":[["2023"]]},"page":"364-370","publisher":"Atlantis Press SARL","publisher-place":"Paris","title":"The Challenges and Dilemmas of Vocational Education in China","type":"chapter"},"uris":["http://www.mendeley.com/documents/?uuid=ded60d46-5984-43a7-a182-32428845494f"]}],"mendeley":{"formattedCitation":"(Z. Guo, 2023)","plainTextFormattedCitation":"(Z. Guo, 2023)","previouslyFormattedCitation":"(Z. Guo, 2023)"},"properties":{"noteIndex":0},"schema":"https://github.com/citation-style-language/schema/raw/master/csl-citation.json"}</w:instrText>
      </w:r>
      <w:r w:rsidR="0084598E">
        <w:rPr>
          <w:rStyle w:val="Strong"/>
          <w:rFonts w:ascii="Times New Roman" w:hAnsi="Times New Roman" w:cs="Times New Roman"/>
          <w:b w:val="0"/>
          <w:color w:val="000000" w:themeColor="text1"/>
          <w:sz w:val="24"/>
          <w:szCs w:val="24"/>
        </w:rPr>
        <w:fldChar w:fldCharType="separate"/>
      </w:r>
      <w:r w:rsidR="0084598E" w:rsidRPr="0084598E">
        <w:rPr>
          <w:rStyle w:val="Strong"/>
          <w:rFonts w:ascii="Times New Roman" w:hAnsi="Times New Roman" w:cs="Times New Roman"/>
          <w:b w:val="0"/>
          <w:noProof/>
          <w:color w:val="000000" w:themeColor="text1"/>
          <w:sz w:val="24"/>
          <w:szCs w:val="24"/>
        </w:rPr>
        <w:t>(Z. Guo, 2023)</w:t>
      </w:r>
      <w:r w:rsidR="0084598E">
        <w:rPr>
          <w:rStyle w:val="Strong"/>
          <w:rFonts w:ascii="Times New Roman" w:hAnsi="Times New Roman" w:cs="Times New Roman"/>
          <w:b w:val="0"/>
          <w:color w:val="000000" w:themeColor="text1"/>
          <w:sz w:val="24"/>
          <w:szCs w:val="24"/>
        </w:rPr>
        <w:fldChar w:fldCharType="end"/>
      </w:r>
      <w:r w:rsidR="0084598E">
        <w:rPr>
          <w:rStyle w:val="Strong"/>
          <w:rFonts w:ascii="Times New Roman" w:hAnsi="Times New Roman" w:cs="Times New Roman"/>
          <w:b w:val="0"/>
          <w:color w:val="000000" w:themeColor="text1"/>
          <w:sz w:val="24"/>
          <w:szCs w:val="24"/>
        </w:rPr>
        <w:t xml:space="preserve"> </w:t>
      </w:r>
      <w:r w:rsidRPr="00EB4E16">
        <w:rPr>
          <w:rFonts w:ascii="Times New Roman" w:hAnsi="Times New Roman" w:cs="Times New Roman"/>
          <w:color w:val="000000" w:themeColor="text1"/>
          <w:sz w:val="24"/>
          <w:szCs w:val="24"/>
        </w:rPr>
        <w:t>stresses the need for strong policy support and adequate funding from the government. Policies that promote vocational education and provide financial incentives for both institutions and students can enhance the quality and accessibility of vocational training. Government funding can support infrastructure development, curriculum updates, and teacher training programs.</w:t>
      </w:r>
    </w:p>
    <w:p w14:paraId="66070289" w14:textId="77777777" w:rsidR="007A5F41" w:rsidRPr="00EB4E16" w:rsidRDefault="007A5F41" w:rsidP="007A5F41">
      <w:pPr>
        <w:pStyle w:val="NormalWeb"/>
        <w:spacing w:line="480" w:lineRule="auto"/>
        <w:jc w:val="both"/>
        <w:rPr>
          <w:color w:val="000000" w:themeColor="text1"/>
        </w:rPr>
      </w:pPr>
      <w:r w:rsidRPr="00EB4E16">
        <w:rPr>
          <w:color w:val="000000" w:themeColor="text1"/>
        </w:rPr>
        <w:t xml:space="preserve"> </w:t>
      </w:r>
      <w:r w:rsidRPr="00EB4E16">
        <w:rPr>
          <w:rStyle w:val="Strong"/>
          <w:bCs w:val="0"/>
          <w:color w:val="000000" w:themeColor="text1"/>
        </w:rPr>
        <w:t>Enhanced Career Guidance and Job Placement Services</w:t>
      </w:r>
      <w:r w:rsidRPr="00EB4E16">
        <w:rPr>
          <w:color w:val="000000" w:themeColor="text1"/>
        </w:rPr>
        <w:t xml:space="preserve">: </w:t>
      </w:r>
      <w:r w:rsidR="0084598E">
        <w:rPr>
          <w:rStyle w:val="Strong"/>
          <w:b w:val="0"/>
          <w:color w:val="000000" w:themeColor="text1"/>
        </w:rPr>
        <w:fldChar w:fldCharType="begin" w:fldLock="1"/>
      </w:r>
      <w:r w:rsidR="0084598E">
        <w:rPr>
          <w:rStyle w:val="Strong"/>
          <w:b w:val="0"/>
          <w:color w:val="000000" w:themeColor="text1"/>
        </w:rPr>
        <w:instrText>ADDIN CSL_CITATION {"citationItems":[{"id":"ITEM-1","itemData":{"DOI":"10.1093/ijnp/pyac032.035","ISSN":"1461-1457","author":[{"dropping-particle":"","family":"Kan","given":"Daxue","non-dropping-particle":"","parse-names":false,"suffix":""},{"dropping-particle":"","family":"Lyu","given":"Lianju","non-dropping-particle":"","parse-names":false,"suffix":""},{"dropping-particle":"","family":"Yao","given":"Wenqing","non-dropping-particle":"","parse-names":false,"suffix":""},{"dropping-particle":"","family":"Ye","given":"Xinya","non-dropping-particle":"","parse-names":false,"suffix":""},{"dropping-particle":"","family":"Zan","given":"Bing","non-dropping-particle":"","parse-names":false,"suffix":""},{"dropping-particle":"","family":"Li","given":"Danyang","non-dropping-particle":"","parse-names":false,"suffix":""},{"dropping-particle":"","family":"Yan","given":"Xiaoya","non-dropping-particle":"","parse-names":false,"suffix":""},{"dropping-particle":"","family":"Huang","given":"Weichiao","non-dropping-particle":"","parse-names":false,"suffix":""}],"container-title":"International Journal of Neuropsychopharmacology","id":"ITEM-1","issue":"Supplement_1","issued":{"date-parts":[["2022","7","8"]]},"page":"A26-A26","title":"THE IMPACT OF CHINESE ENTREPRENEURS' EMOTIONAL LABOR AND WORK PRESSURE ON EXPORT PROFITABILITY: EVIDENCE FROM CHINA","type":"article-journal","volume":"25"},"uris":["http://www.mendeley.com/documents/?uuid=d09de62b-b562-463a-a731-d641ca24e9ad"]}],"mendeley":{"formattedCitation":"(Kan et al., 2022)","plainTextFormattedCitation":"(Kan et al., 2022)"},"properties":{"noteIndex":0},"schema":"https://github.com/citation-style-language/schema/raw/master/csl-citation.json"}</w:instrText>
      </w:r>
      <w:r w:rsidR="0084598E">
        <w:rPr>
          <w:rStyle w:val="Strong"/>
          <w:b w:val="0"/>
          <w:color w:val="000000" w:themeColor="text1"/>
        </w:rPr>
        <w:fldChar w:fldCharType="separate"/>
      </w:r>
      <w:r w:rsidR="0084598E" w:rsidRPr="0084598E">
        <w:rPr>
          <w:rStyle w:val="Strong"/>
          <w:b w:val="0"/>
          <w:noProof/>
          <w:color w:val="000000" w:themeColor="text1"/>
        </w:rPr>
        <w:t>(Kan et al., 2022)</w:t>
      </w:r>
      <w:r w:rsidR="0084598E">
        <w:rPr>
          <w:rStyle w:val="Strong"/>
          <w:b w:val="0"/>
          <w:color w:val="000000" w:themeColor="text1"/>
        </w:rPr>
        <w:fldChar w:fldCharType="end"/>
      </w:r>
      <w:r w:rsidR="0084598E">
        <w:rPr>
          <w:rStyle w:val="Strong"/>
          <w:b w:val="0"/>
          <w:color w:val="000000" w:themeColor="text1"/>
        </w:rPr>
        <w:t xml:space="preserve"> </w:t>
      </w:r>
      <w:r w:rsidRPr="00EB4E16">
        <w:rPr>
          <w:color w:val="000000" w:themeColor="text1"/>
        </w:rPr>
        <w:t>recommend improving career guidance and job placement services for vocational students. Effective career counseling can help students make informed decisions about their education and career paths. Job placement services can assist graduates in finding suitable employment, thereby bridging the gap between education and the labor market.</w:t>
      </w:r>
    </w:p>
    <w:p w14:paraId="35F91E02" w14:textId="77777777" w:rsidR="00EB4E16" w:rsidRDefault="00EB4E16" w:rsidP="007A5F41">
      <w:pPr>
        <w:jc w:val="both"/>
        <w:rPr>
          <w:rFonts w:ascii="Times New Roman" w:hAnsi="Times New Roman" w:cs="Times New Roman"/>
          <w:color w:val="000000" w:themeColor="text1"/>
          <w:sz w:val="24"/>
          <w:szCs w:val="24"/>
        </w:rPr>
      </w:pPr>
    </w:p>
    <w:p w14:paraId="3100FD35" w14:textId="77777777" w:rsidR="00EB4E16" w:rsidRPr="00F94DB0" w:rsidRDefault="00EB4E16" w:rsidP="00EB4E16">
      <w:pPr>
        <w:pStyle w:val="Heading2"/>
        <w:jc w:val="center"/>
        <w:rPr>
          <w:rFonts w:ascii="Times New Roman" w:hAnsi="Times New Roman" w:cs="Times New Roman"/>
          <w:color w:val="000000" w:themeColor="text1"/>
          <w:sz w:val="24"/>
          <w:szCs w:val="24"/>
        </w:rPr>
      </w:pPr>
      <w:r w:rsidRPr="00F94DB0">
        <w:rPr>
          <w:rFonts w:ascii="Times New Roman" w:hAnsi="Times New Roman" w:cs="Times New Roman"/>
          <w:color w:val="000000" w:themeColor="text1"/>
          <w:sz w:val="24"/>
          <w:szCs w:val="24"/>
        </w:rPr>
        <w:lastRenderedPageBreak/>
        <w:t>References</w:t>
      </w:r>
    </w:p>
    <w:p w14:paraId="0DFEA2DD" w14:textId="77777777" w:rsidR="00EB4E16" w:rsidRPr="00F94DB0" w:rsidRDefault="00EB4E16" w:rsidP="00EB4E16">
      <w:pPr>
        <w:rPr>
          <w:rFonts w:ascii="Times New Roman" w:hAnsi="Times New Roman" w:cs="Times New Roman"/>
          <w:sz w:val="24"/>
          <w:szCs w:val="24"/>
        </w:rPr>
      </w:pPr>
      <w:r w:rsidRPr="00F94DB0">
        <w:rPr>
          <w:rFonts w:ascii="Times New Roman" w:hAnsi="Times New Roman" w:cs="Times New Roman"/>
          <w:sz w:val="24"/>
          <w:szCs w:val="24"/>
        </w:rPr>
        <w:t>The works marked “#” Were selected and aptly used for this work.</w:t>
      </w:r>
    </w:p>
    <w:p w14:paraId="7CBAAC22" w14:textId="77777777" w:rsidR="0084598E" w:rsidRPr="0084598E" w:rsidRDefault="00EB4E16" w:rsidP="0084598E">
      <w:pPr>
        <w:widowControl w:val="0"/>
        <w:autoSpaceDE w:val="0"/>
        <w:autoSpaceDN w:val="0"/>
        <w:adjustRightInd w:val="0"/>
        <w:ind w:left="480" w:hanging="480"/>
        <w:rPr>
          <w:rFonts w:ascii="Times New Roman" w:hAnsi="Times New Roman" w:cs="Times New Roman"/>
          <w:noProof/>
          <w:sz w:val="24"/>
          <w:szCs w:val="24"/>
        </w:rPr>
      </w:pPr>
      <w:r w:rsidRPr="00F94DB0">
        <w:rPr>
          <w:rFonts w:ascii="Times New Roman" w:hAnsi="Times New Roman" w:cs="Times New Roman"/>
          <w:sz w:val="24"/>
          <w:szCs w:val="24"/>
        </w:rPr>
        <w:t xml:space="preserve"># </w:t>
      </w:r>
      <w:r w:rsidRPr="00F94DB0">
        <w:rPr>
          <w:rFonts w:ascii="Times New Roman" w:hAnsi="Times New Roman" w:cs="Times New Roman"/>
          <w:sz w:val="24"/>
          <w:szCs w:val="24"/>
        </w:rPr>
        <w:fldChar w:fldCharType="begin" w:fldLock="1"/>
      </w:r>
      <w:r w:rsidRPr="00F94DB0">
        <w:rPr>
          <w:rFonts w:ascii="Times New Roman" w:hAnsi="Times New Roman" w:cs="Times New Roman"/>
          <w:sz w:val="24"/>
          <w:szCs w:val="24"/>
        </w:rPr>
        <w:instrText xml:space="preserve">ADDIN Mendeley Bibliography CSL_BIBLIOGRAPHY </w:instrText>
      </w:r>
      <w:r w:rsidRPr="00F94DB0">
        <w:rPr>
          <w:rFonts w:ascii="Times New Roman" w:hAnsi="Times New Roman" w:cs="Times New Roman"/>
          <w:sz w:val="24"/>
          <w:szCs w:val="24"/>
        </w:rPr>
        <w:fldChar w:fldCharType="separate"/>
      </w:r>
      <w:r w:rsidR="0084598E" w:rsidRPr="0084598E">
        <w:rPr>
          <w:rFonts w:ascii="Times New Roman" w:hAnsi="Times New Roman" w:cs="Times New Roman"/>
          <w:noProof/>
          <w:sz w:val="24"/>
          <w:szCs w:val="24"/>
        </w:rPr>
        <w:t xml:space="preserve">Agbaria, A., &amp; Shmueli, Z. (2019). The “social soldier” and the mission to “retrieve the lost honor”: An ideal image of the desired graduate of an Israeli general pre-military academy. </w:t>
      </w:r>
      <w:r w:rsidR="0084598E" w:rsidRPr="0084598E">
        <w:rPr>
          <w:rFonts w:ascii="Times New Roman" w:hAnsi="Times New Roman" w:cs="Times New Roman"/>
          <w:i/>
          <w:iCs/>
          <w:noProof/>
          <w:sz w:val="24"/>
          <w:szCs w:val="24"/>
        </w:rPr>
        <w:t>International Journal of Educational Development</w:t>
      </w:r>
      <w:r w:rsidR="0084598E" w:rsidRPr="0084598E">
        <w:rPr>
          <w:rFonts w:ascii="Times New Roman" w:hAnsi="Times New Roman" w:cs="Times New Roman"/>
          <w:noProof/>
          <w:sz w:val="24"/>
          <w:szCs w:val="24"/>
        </w:rPr>
        <w:t xml:space="preserve">, </w:t>
      </w:r>
      <w:r w:rsidR="0084598E" w:rsidRPr="0084598E">
        <w:rPr>
          <w:rFonts w:ascii="Times New Roman" w:hAnsi="Times New Roman" w:cs="Times New Roman"/>
          <w:i/>
          <w:iCs/>
          <w:noProof/>
          <w:sz w:val="24"/>
          <w:szCs w:val="24"/>
        </w:rPr>
        <w:t>66</w:t>
      </w:r>
      <w:r w:rsidR="0084598E" w:rsidRPr="0084598E">
        <w:rPr>
          <w:rFonts w:ascii="Times New Roman" w:hAnsi="Times New Roman" w:cs="Times New Roman"/>
          <w:noProof/>
          <w:sz w:val="24"/>
          <w:szCs w:val="24"/>
        </w:rPr>
        <w:t>, 88–95. https://doi.org/10.1016/j.ijedudev.2019.02.002</w:t>
      </w:r>
    </w:p>
    <w:p w14:paraId="206A88DE"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Ballestar, M. T., Díaz-Chao, Á., Sainz, J., &amp; Torrent-Sellens, J. (2021). Impact of robotics on manufacturing: A longitudinal machine learning perspective. </w:t>
      </w:r>
      <w:r w:rsidRPr="0084598E">
        <w:rPr>
          <w:rFonts w:ascii="Times New Roman" w:hAnsi="Times New Roman" w:cs="Times New Roman"/>
          <w:i/>
          <w:iCs/>
          <w:noProof/>
          <w:sz w:val="24"/>
          <w:szCs w:val="24"/>
        </w:rPr>
        <w:t>Technological Forecasting and Social Change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162</w:t>
      </w:r>
      <w:r w:rsidRPr="0084598E">
        <w:rPr>
          <w:rFonts w:ascii="Times New Roman" w:hAnsi="Times New Roman" w:cs="Times New Roman"/>
          <w:noProof/>
          <w:sz w:val="24"/>
          <w:szCs w:val="24"/>
        </w:rPr>
        <w:t>, 120348. https://doi.org/10.1016/j.techfore.2020.120348</w:t>
      </w:r>
    </w:p>
    <w:p w14:paraId="32117182"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de Seta, G. (2023). China’s digital infrastructure: Networks, systems, standards. </w:t>
      </w:r>
      <w:r w:rsidRPr="0084598E">
        <w:rPr>
          <w:rFonts w:ascii="Times New Roman" w:hAnsi="Times New Roman" w:cs="Times New Roman"/>
          <w:i/>
          <w:iCs/>
          <w:noProof/>
          <w:sz w:val="24"/>
          <w:szCs w:val="24"/>
        </w:rPr>
        <w:t>Global Media and China</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8</w:t>
      </w:r>
      <w:r w:rsidRPr="0084598E">
        <w:rPr>
          <w:rFonts w:ascii="Times New Roman" w:hAnsi="Times New Roman" w:cs="Times New Roman"/>
          <w:noProof/>
          <w:sz w:val="24"/>
          <w:szCs w:val="24"/>
        </w:rPr>
        <w:t>(3), 245–253. https://doi.org/10.1177/20594364231202203</w:t>
      </w:r>
    </w:p>
    <w:p w14:paraId="623C5F4B"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Dias, C. S. L., Rodrigues, R. G., &amp; Ferreira, J. J. (2019). Agricultural entrepreneurship: Going back to the basics. </w:t>
      </w:r>
      <w:r w:rsidRPr="0084598E">
        <w:rPr>
          <w:rFonts w:ascii="Times New Roman" w:hAnsi="Times New Roman" w:cs="Times New Roman"/>
          <w:i/>
          <w:iCs/>
          <w:noProof/>
          <w:sz w:val="24"/>
          <w:szCs w:val="24"/>
        </w:rPr>
        <w:t>Journal of Rural Studies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70</w:t>
      </w:r>
      <w:r w:rsidRPr="0084598E">
        <w:rPr>
          <w:rFonts w:ascii="Times New Roman" w:hAnsi="Times New Roman" w:cs="Times New Roman"/>
          <w:noProof/>
          <w:sz w:val="24"/>
          <w:szCs w:val="24"/>
        </w:rPr>
        <w:t>, 125–138. https://doi.org/10.1016/j.jrurstud.2019.06.001</w:t>
      </w:r>
    </w:p>
    <w:p w14:paraId="41209CA2"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Fan, Y., Zheng, H., Ebonite, R. S., Asis, W. R. De, &amp; Juanatas, R. A. (2024). Overview and developmental analysis of China’s technical and vocational education and training. </w:t>
      </w:r>
      <w:r w:rsidRPr="0084598E">
        <w:rPr>
          <w:rFonts w:ascii="Times New Roman" w:hAnsi="Times New Roman" w:cs="Times New Roman"/>
          <w:i/>
          <w:iCs/>
          <w:noProof/>
          <w:sz w:val="24"/>
          <w:szCs w:val="24"/>
        </w:rPr>
        <w:t>International Journal of Innovative Research and Scientific Studies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7</w:t>
      </w:r>
      <w:r w:rsidRPr="0084598E">
        <w:rPr>
          <w:rFonts w:ascii="Times New Roman" w:hAnsi="Times New Roman" w:cs="Times New Roman"/>
          <w:noProof/>
          <w:sz w:val="24"/>
          <w:szCs w:val="24"/>
        </w:rPr>
        <w:t>(1), 251–260. https://doi.org/10.53894/ijirss.v7i1.2606</w:t>
      </w:r>
    </w:p>
    <w:p w14:paraId="1B25CB4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Ghosh, L., &amp; Ravichandran, R. (2024). Emerging Technologies in Vocational Education and Training. </w:t>
      </w:r>
      <w:r w:rsidRPr="0084598E">
        <w:rPr>
          <w:rFonts w:ascii="Times New Roman" w:hAnsi="Times New Roman" w:cs="Times New Roman"/>
          <w:i/>
          <w:iCs/>
          <w:noProof/>
          <w:sz w:val="24"/>
          <w:szCs w:val="24"/>
        </w:rPr>
        <w:t>Journal of Digital Learning and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4</w:t>
      </w:r>
      <w:r w:rsidRPr="0084598E">
        <w:rPr>
          <w:rFonts w:ascii="Times New Roman" w:hAnsi="Times New Roman" w:cs="Times New Roman"/>
          <w:noProof/>
          <w:sz w:val="24"/>
          <w:szCs w:val="24"/>
        </w:rPr>
        <w:t>(1), 41–49. https://doi.org/10.52562/jdle.v4i1.975</w:t>
      </w:r>
    </w:p>
    <w:p w14:paraId="13F3D66F"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lastRenderedPageBreak/>
        <w:t xml:space="preserve">Glewwe, P., Song, Y., &amp; Zou, X. (2022). Labor market outcomes, cognitive skills, and noncognitive skills in rural China. </w:t>
      </w:r>
      <w:r w:rsidRPr="0084598E">
        <w:rPr>
          <w:rFonts w:ascii="Times New Roman" w:hAnsi="Times New Roman" w:cs="Times New Roman"/>
          <w:i/>
          <w:iCs/>
          <w:noProof/>
          <w:sz w:val="24"/>
          <w:szCs w:val="24"/>
        </w:rPr>
        <w:t>Journal of Economic Behavior &amp; Organization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193</w:t>
      </w:r>
      <w:r w:rsidRPr="0084598E">
        <w:rPr>
          <w:rFonts w:ascii="Times New Roman" w:hAnsi="Times New Roman" w:cs="Times New Roman"/>
          <w:noProof/>
          <w:sz w:val="24"/>
          <w:szCs w:val="24"/>
        </w:rPr>
        <w:t>, 294–311. https://doi.org/10.1016/j.jebo.2021.11.021</w:t>
      </w:r>
    </w:p>
    <w:p w14:paraId="0C7614E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Guo, S., &amp; Shan, W. (2019). Adult Education in China: Exploring the Lifelong Learning Experience of Older Adults in Beijing. </w:t>
      </w:r>
      <w:r w:rsidRPr="0084598E">
        <w:rPr>
          <w:rFonts w:ascii="Times New Roman" w:hAnsi="Times New Roman" w:cs="Times New Roman"/>
          <w:i/>
          <w:iCs/>
          <w:noProof/>
          <w:sz w:val="24"/>
          <w:szCs w:val="24"/>
        </w:rPr>
        <w:t>New Directions for Adult and Continuing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2019</w:t>
      </w:r>
      <w:r w:rsidRPr="0084598E">
        <w:rPr>
          <w:rFonts w:ascii="Times New Roman" w:hAnsi="Times New Roman" w:cs="Times New Roman"/>
          <w:noProof/>
          <w:sz w:val="24"/>
          <w:szCs w:val="24"/>
        </w:rPr>
        <w:t>(162), 111–124. https://doi.org/10.1002/ace.20330</w:t>
      </w:r>
    </w:p>
    <w:p w14:paraId="290D8F3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Guo, Z. (2023). The Challenges and Dilemmas of Vocational Education in China. In </w:t>
      </w:r>
      <w:r w:rsidRPr="0084598E">
        <w:rPr>
          <w:rFonts w:ascii="Times New Roman" w:hAnsi="Times New Roman" w:cs="Times New Roman"/>
          <w:i/>
          <w:iCs/>
          <w:noProof/>
          <w:sz w:val="24"/>
          <w:szCs w:val="24"/>
        </w:rPr>
        <w:t>Proceedings of the 2022 International Conference on Science Education and Art Appreciation (SEAA 2022)</w:t>
      </w:r>
      <w:r w:rsidRPr="0084598E">
        <w:rPr>
          <w:rFonts w:ascii="Times New Roman" w:hAnsi="Times New Roman" w:cs="Times New Roman"/>
          <w:noProof/>
          <w:sz w:val="24"/>
          <w:szCs w:val="24"/>
        </w:rPr>
        <w:t xml:space="preserve"> (pp. 364–370). Atlantis Press SARL. https://doi.org/10.2991/978-2-494069-05-3_45</w:t>
      </w:r>
    </w:p>
    <w:p w14:paraId="083BA632"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Gupta, S., Chen, H., Hazen, B. T., Kaur, S., &amp; Santibañez Gonzalez, E. D. R. (2019). Circular economy and big data analytics: A stakeholder perspective. </w:t>
      </w:r>
      <w:r w:rsidRPr="0084598E">
        <w:rPr>
          <w:rFonts w:ascii="Times New Roman" w:hAnsi="Times New Roman" w:cs="Times New Roman"/>
          <w:i/>
          <w:iCs/>
          <w:noProof/>
          <w:sz w:val="24"/>
          <w:szCs w:val="24"/>
        </w:rPr>
        <w:t>Technological Forecasting and Social Change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144</w:t>
      </w:r>
      <w:r w:rsidRPr="0084598E">
        <w:rPr>
          <w:rFonts w:ascii="Times New Roman" w:hAnsi="Times New Roman" w:cs="Times New Roman"/>
          <w:noProof/>
          <w:sz w:val="24"/>
          <w:szCs w:val="24"/>
        </w:rPr>
        <w:t>, 466–474. https://doi.org/10.1016/j.techfore.2018.06.030</w:t>
      </w:r>
    </w:p>
    <w:p w14:paraId="736379A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Han, Y., Ni, R., Deng, Y., &amp; Zhu, Y. (2023). Supply and demand of higher vocational education in China: Comprehensive evaluation and geographical representation from the perspective of educational equality. </w:t>
      </w:r>
      <w:r w:rsidRPr="0084598E">
        <w:rPr>
          <w:rFonts w:ascii="Times New Roman" w:hAnsi="Times New Roman" w:cs="Times New Roman"/>
          <w:i/>
          <w:iCs/>
          <w:noProof/>
          <w:sz w:val="24"/>
          <w:szCs w:val="24"/>
        </w:rPr>
        <w:t>PLOS ONE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18</w:t>
      </w:r>
      <w:r w:rsidRPr="0084598E">
        <w:rPr>
          <w:rFonts w:ascii="Times New Roman" w:hAnsi="Times New Roman" w:cs="Times New Roman"/>
          <w:noProof/>
          <w:sz w:val="24"/>
          <w:szCs w:val="24"/>
        </w:rPr>
        <w:t>(10), e0293132. https://doi.org/10.1371/journal.pone.0293132</w:t>
      </w:r>
    </w:p>
    <w:p w14:paraId="4A3E929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Huang, X., Li, Q., Hao, Y., &amp; An, N. (2024). The Relationship between a Competitive School Climate and School Bullying among Secondary Vocational School Students in China: A Moderated Mediation Model. </w:t>
      </w:r>
      <w:r w:rsidRPr="0084598E">
        <w:rPr>
          <w:rFonts w:ascii="Times New Roman" w:hAnsi="Times New Roman" w:cs="Times New Roman"/>
          <w:i/>
          <w:iCs/>
          <w:noProof/>
          <w:sz w:val="24"/>
          <w:szCs w:val="24"/>
        </w:rPr>
        <w:t>Behavioral Sciences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w:t>
      </w:r>
      <w:r w:rsidRPr="0084598E">
        <w:rPr>
          <w:rFonts w:ascii="Times New Roman" w:hAnsi="Times New Roman" w:cs="Times New Roman"/>
          <w:noProof/>
          <w:sz w:val="24"/>
          <w:szCs w:val="24"/>
        </w:rPr>
        <w:t>(2), 129. https://doi.org/10.3390/bs14020129</w:t>
      </w:r>
    </w:p>
    <w:p w14:paraId="5D8AC18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lastRenderedPageBreak/>
        <w:t xml:space="preserve">Jessica Yu, G. C. Y. (2022). The Past, Present, and Future of China’s “Vocational Schools". </w:t>
      </w:r>
      <w:r w:rsidRPr="0084598E">
        <w:rPr>
          <w:rFonts w:ascii="Times New Roman" w:hAnsi="Times New Roman" w:cs="Times New Roman"/>
          <w:i/>
          <w:iCs/>
          <w:noProof/>
          <w:sz w:val="24"/>
          <w:szCs w:val="24"/>
        </w:rPr>
        <w:t>BRB Bottomline</w:t>
      </w:r>
      <w:r w:rsidRPr="0084598E">
        <w:rPr>
          <w:rFonts w:ascii="Times New Roman" w:hAnsi="Times New Roman" w:cs="Times New Roman"/>
          <w:noProof/>
          <w:sz w:val="24"/>
          <w:szCs w:val="24"/>
        </w:rPr>
        <w:t>.</w:t>
      </w:r>
    </w:p>
    <w:p w14:paraId="2F2F895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Jing, T., Chung, E., &amp; Gregory, M. L. (2022). Vocational Education in China: Its History, Roles, Challenges and the Way Forward. </w:t>
      </w:r>
      <w:r w:rsidRPr="0084598E">
        <w:rPr>
          <w:rFonts w:ascii="Times New Roman" w:hAnsi="Times New Roman" w:cs="Times New Roman"/>
          <w:i/>
          <w:iCs/>
          <w:noProof/>
          <w:sz w:val="24"/>
          <w:szCs w:val="24"/>
        </w:rPr>
        <w:t>Journal of Cognitive Sciences and Human Development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8</w:t>
      </w:r>
      <w:r w:rsidRPr="0084598E">
        <w:rPr>
          <w:rFonts w:ascii="Times New Roman" w:hAnsi="Times New Roman" w:cs="Times New Roman"/>
          <w:noProof/>
          <w:sz w:val="24"/>
          <w:szCs w:val="24"/>
        </w:rPr>
        <w:t>(1), 112–121. https://doi.org/10.33736/jcshd.4497.2022</w:t>
      </w:r>
    </w:p>
    <w:p w14:paraId="4DB405D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Johnston, J., Loyalka, P., Chu, J., Song, Y., Yi, H., &amp; Huang, X. (2016). The Impact of Vocational Teachers on Student Learning in Developing Countries. </w:t>
      </w:r>
      <w:r w:rsidRPr="0084598E">
        <w:rPr>
          <w:rFonts w:ascii="Times New Roman" w:hAnsi="Times New Roman" w:cs="Times New Roman"/>
          <w:i/>
          <w:iCs/>
          <w:noProof/>
          <w:sz w:val="24"/>
          <w:szCs w:val="24"/>
        </w:rPr>
        <w:t>Comparative Education Review</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60</w:t>
      </w:r>
      <w:r w:rsidRPr="0084598E">
        <w:rPr>
          <w:rFonts w:ascii="Times New Roman" w:hAnsi="Times New Roman" w:cs="Times New Roman"/>
          <w:noProof/>
          <w:sz w:val="24"/>
          <w:szCs w:val="24"/>
        </w:rPr>
        <w:t>(1), 131–150. https://doi.org/10.1086/684360</w:t>
      </w:r>
    </w:p>
    <w:p w14:paraId="0E5147BA"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Kan, D., Lyu, L., Yao, W., Ye, X., Zan, B., Li, D., Yan, X., &amp; Huang, W. (2022). THE IMPACT OF CHINESE ENTREPRENEURS’ EMOTIONAL LABOR AND WORK PRESSURE ON EXPORT PROFITABILITY: EVIDENCE FROM CHINA. </w:t>
      </w:r>
      <w:r w:rsidRPr="0084598E">
        <w:rPr>
          <w:rFonts w:ascii="Times New Roman" w:hAnsi="Times New Roman" w:cs="Times New Roman"/>
          <w:i/>
          <w:iCs/>
          <w:noProof/>
          <w:sz w:val="24"/>
          <w:szCs w:val="24"/>
        </w:rPr>
        <w:t>International Journal of Neuropsychopharmacology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25</w:t>
      </w:r>
      <w:r w:rsidRPr="0084598E">
        <w:rPr>
          <w:rFonts w:ascii="Times New Roman" w:hAnsi="Times New Roman" w:cs="Times New Roman"/>
          <w:noProof/>
          <w:sz w:val="24"/>
          <w:szCs w:val="24"/>
        </w:rPr>
        <w:t>(Supplement_1), A26–A26. https://doi.org/10.1093/ijnp/pyac032.035</w:t>
      </w:r>
    </w:p>
    <w:p w14:paraId="5F3961A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Lam, R., Liu, X., &amp; Schipke, A. (2015). China’s Labor Market in the “New Normal.” </w:t>
      </w:r>
      <w:r w:rsidRPr="0084598E">
        <w:rPr>
          <w:rFonts w:ascii="Times New Roman" w:hAnsi="Times New Roman" w:cs="Times New Roman"/>
          <w:i/>
          <w:iCs/>
          <w:noProof/>
          <w:sz w:val="24"/>
          <w:szCs w:val="24"/>
        </w:rPr>
        <w:t>IMF Working Papers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15</w:t>
      </w:r>
      <w:r w:rsidRPr="0084598E">
        <w:rPr>
          <w:rFonts w:ascii="Times New Roman" w:hAnsi="Times New Roman" w:cs="Times New Roman"/>
          <w:noProof/>
          <w:sz w:val="24"/>
          <w:szCs w:val="24"/>
        </w:rPr>
        <w:t>(151), 1. https://doi.org/10.5089/9781513570693.001</w:t>
      </w:r>
    </w:p>
    <w:p w14:paraId="3763BDD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Lee, A. W. (2016). Use of network meta-analysis in systematic reviews: a survey of authors. </w:t>
      </w:r>
      <w:r w:rsidRPr="0084598E">
        <w:rPr>
          <w:rFonts w:ascii="Times New Roman" w:hAnsi="Times New Roman" w:cs="Times New Roman"/>
          <w:i/>
          <w:iCs/>
          <w:noProof/>
          <w:sz w:val="24"/>
          <w:szCs w:val="24"/>
        </w:rPr>
        <w:t>Systematic Reviews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w:t>
      </w:r>
      <w:r w:rsidRPr="0084598E">
        <w:rPr>
          <w:rFonts w:ascii="Times New Roman" w:hAnsi="Times New Roman" w:cs="Times New Roman"/>
          <w:noProof/>
          <w:sz w:val="24"/>
          <w:szCs w:val="24"/>
        </w:rPr>
        <w:t>(1), 8. https://doi.org/10.1186/s13643-015-0174-4</w:t>
      </w:r>
    </w:p>
    <w:p w14:paraId="08761B0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Li, J., &amp; Matlay, H. (2005). Graduate Employment and Small Businesses in China. </w:t>
      </w:r>
      <w:r w:rsidRPr="0084598E">
        <w:rPr>
          <w:rFonts w:ascii="Times New Roman" w:hAnsi="Times New Roman" w:cs="Times New Roman"/>
          <w:i/>
          <w:iCs/>
          <w:noProof/>
          <w:sz w:val="24"/>
          <w:szCs w:val="24"/>
        </w:rPr>
        <w:t>Industry and Higher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w:t>
      </w:r>
      <w:r w:rsidRPr="0084598E">
        <w:rPr>
          <w:rFonts w:ascii="Times New Roman" w:hAnsi="Times New Roman" w:cs="Times New Roman"/>
          <w:noProof/>
          <w:sz w:val="24"/>
          <w:szCs w:val="24"/>
        </w:rPr>
        <w:t>(1), 45–54. https://doi.org/10.5367/0000000053123637</w:t>
      </w:r>
    </w:p>
    <w:p w14:paraId="35F87B91"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Li, X., Chen, C., &amp; Wu, P. (2023). Vocational Education from a Cross-national Perspective: Comparative Analysis of China, Germany, and the United States, with a Case Study of </w:t>
      </w:r>
      <w:r w:rsidRPr="0084598E">
        <w:rPr>
          <w:rFonts w:ascii="Times New Roman" w:hAnsi="Times New Roman" w:cs="Times New Roman"/>
          <w:noProof/>
          <w:sz w:val="24"/>
          <w:szCs w:val="24"/>
        </w:rPr>
        <w:lastRenderedPageBreak/>
        <w:t xml:space="preserve">Zhaixing Academy. </w:t>
      </w:r>
      <w:r w:rsidRPr="0084598E">
        <w:rPr>
          <w:rFonts w:ascii="Times New Roman" w:hAnsi="Times New Roman" w:cs="Times New Roman"/>
          <w:i/>
          <w:iCs/>
          <w:noProof/>
          <w:sz w:val="24"/>
          <w:szCs w:val="24"/>
        </w:rPr>
        <w:t>Journal of Educational Theory and Management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7</w:t>
      </w:r>
      <w:r w:rsidRPr="0084598E">
        <w:rPr>
          <w:rFonts w:ascii="Times New Roman" w:hAnsi="Times New Roman" w:cs="Times New Roman"/>
          <w:noProof/>
          <w:sz w:val="24"/>
          <w:szCs w:val="24"/>
        </w:rPr>
        <w:t>(1), 21. https://doi.org/10.26549/jetm.v7i1.12525</w:t>
      </w:r>
    </w:p>
    <w:p w14:paraId="18A94C36"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Liu, X., Abd Hamid, M. Z. Bin, &amp; Bin Royo, M. A. (2024). Construction and Validation of A Conceptual Entrepreneurship Competency Model for Politics and Law Majors. </w:t>
      </w:r>
      <w:r w:rsidRPr="0084598E">
        <w:rPr>
          <w:rFonts w:ascii="Times New Roman" w:hAnsi="Times New Roman" w:cs="Times New Roman"/>
          <w:i/>
          <w:iCs/>
          <w:noProof/>
          <w:sz w:val="24"/>
          <w:szCs w:val="24"/>
        </w:rPr>
        <w:t>International Journal of Academic Research in Business and Social Sciences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w:t>
      </w:r>
      <w:r w:rsidRPr="0084598E">
        <w:rPr>
          <w:rFonts w:ascii="Times New Roman" w:hAnsi="Times New Roman" w:cs="Times New Roman"/>
          <w:noProof/>
          <w:sz w:val="24"/>
          <w:szCs w:val="24"/>
        </w:rPr>
        <w:t>(3). https://doi.org/10.6007/IJARBSS/v14-i3/21143</w:t>
      </w:r>
    </w:p>
    <w:p w14:paraId="31DD61A0"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Peng, X. (2011). China’s Demographic History and Future Challenges. </w:t>
      </w:r>
      <w:r w:rsidRPr="0084598E">
        <w:rPr>
          <w:rFonts w:ascii="Times New Roman" w:hAnsi="Times New Roman" w:cs="Times New Roman"/>
          <w:i/>
          <w:iCs/>
          <w:noProof/>
          <w:sz w:val="24"/>
          <w:szCs w:val="24"/>
        </w:rPr>
        <w:t>Science</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333</w:t>
      </w:r>
      <w:r w:rsidRPr="0084598E">
        <w:rPr>
          <w:rFonts w:ascii="Times New Roman" w:hAnsi="Times New Roman" w:cs="Times New Roman"/>
          <w:noProof/>
          <w:sz w:val="24"/>
          <w:szCs w:val="24"/>
        </w:rPr>
        <w:t>(6042), 581–587. https://doi.org/10.1126/science.1209396</w:t>
      </w:r>
    </w:p>
    <w:p w14:paraId="14F6FED6"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Qiong, J., Kamis, A., Mei, S. Y., &amp; Rus, R. B. C. (2022). A Review on Sustainable Development of Technical and Vocational Education and Training among the Students from China. </w:t>
      </w:r>
      <w:r w:rsidRPr="0084598E">
        <w:rPr>
          <w:rFonts w:ascii="Times New Roman" w:hAnsi="Times New Roman" w:cs="Times New Roman"/>
          <w:i/>
          <w:iCs/>
          <w:noProof/>
          <w:sz w:val="24"/>
          <w:szCs w:val="24"/>
        </w:rPr>
        <w:t>International Journal of Academic Research in Progressive Education and Development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11</w:t>
      </w:r>
      <w:r w:rsidRPr="0084598E">
        <w:rPr>
          <w:rFonts w:ascii="Times New Roman" w:hAnsi="Times New Roman" w:cs="Times New Roman"/>
          <w:noProof/>
          <w:sz w:val="24"/>
          <w:szCs w:val="24"/>
        </w:rPr>
        <w:t>(3). https://doi.org/10.6007/IJARPED/v11-i3/14258</w:t>
      </w:r>
    </w:p>
    <w:p w14:paraId="629B04B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Reform and Innovation in Higher Vocational Education. (2023). </w:t>
      </w:r>
      <w:r w:rsidRPr="0084598E">
        <w:rPr>
          <w:rFonts w:ascii="Times New Roman" w:hAnsi="Times New Roman" w:cs="Times New Roman"/>
          <w:i/>
          <w:iCs/>
          <w:noProof/>
          <w:sz w:val="24"/>
          <w:szCs w:val="24"/>
        </w:rPr>
        <w:t>International Journal of New Developments in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w:t>
      </w:r>
      <w:r w:rsidRPr="0084598E">
        <w:rPr>
          <w:rFonts w:ascii="Times New Roman" w:hAnsi="Times New Roman" w:cs="Times New Roman"/>
          <w:noProof/>
          <w:sz w:val="24"/>
          <w:szCs w:val="24"/>
        </w:rPr>
        <w:t>(17). https://doi.org/10.25236/IJNDE.2023.051716</w:t>
      </w:r>
    </w:p>
    <w:p w14:paraId="7010204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Saccone, D., &amp; Valli, V. (2009). Structural Change and Economic Development in China and India. </w:t>
      </w:r>
      <w:r w:rsidRPr="0084598E">
        <w:rPr>
          <w:rFonts w:ascii="Times New Roman" w:hAnsi="Times New Roman" w:cs="Times New Roman"/>
          <w:i/>
          <w:iCs/>
          <w:noProof/>
          <w:sz w:val="24"/>
          <w:szCs w:val="24"/>
        </w:rPr>
        <w:t>SSRN Electronic Journal</w:t>
      </w:r>
      <w:r w:rsidRPr="0084598E">
        <w:rPr>
          <w:rFonts w:ascii="Times New Roman" w:hAnsi="Times New Roman" w:cs="Times New Roman"/>
          <w:noProof/>
          <w:sz w:val="24"/>
          <w:szCs w:val="24"/>
        </w:rPr>
        <w:t>. https://doi.org/10.2139/ssrn.1486093</w:t>
      </w:r>
    </w:p>
    <w:p w14:paraId="35B2B75B"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Saleh, C., Hidayati, F., &amp; Ar Rasyid, N. H. (2023). </w:t>
      </w:r>
      <w:r w:rsidRPr="0084598E">
        <w:rPr>
          <w:rFonts w:ascii="Times New Roman" w:hAnsi="Times New Roman" w:cs="Times New Roman"/>
          <w:i/>
          <w:iCs/>
          <w:noProof/>
          <w:sz w:val="24"/>
          <w:szCs w:val="24"/>
        </w:rPr>
        <w:t>Public Human Resources Development Systematic Literature Review</w:t>
      </w:r>
      <w:r w:rsidRPr="0084598E">
        <w:rPr>
          <w:rFonts w:ascii="Times New Roman" w:hAnsi="Times New Roman" w:cs="Times New Roman"/>
          <w:noProof/>
          <w:sz w:val="24"/>
          <w:szCs w:val="24"/>
        </w:rPr>
        <w:t xml:space="preserve"> (pp. 249–262). https://doi.org/10.2991/978-2-38476-082-4_24</w:t>
      </w:r>
    </w:p>
    <w:p w14:paraId="2430F23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Sholihan, T. N., Susilawati, S., &amp; Ilhami, A. (2023). Pengembangan E-Modul dengan Pendekatan SETS untuk Meningkatkan Literasi Sains Siswa SMP/MTs pada Materi Pemanasan Global: Systematic Literature Review. </w:t>
      </w:r>
      <w:r w:rsidRPr="0084598E">
        <w:rPr>
          <w:rFonts w:ascii="Times New Roman" w:hAnsi="Times New Roman" w:cs="Times New Roman"/>
          <w:i/>
          <w:iCs/>
          <w:noProof/>
          <w:sz w:val="24"/>
          <w:szCs w:val="24"/>
        </w:rPr>
        <w:t xml:space="preserve">Indonesian Journal of Science, </w:t>
      </w:r>
      <w:r w:rsidRPr="0084598E">
        <w:rPr>
          <w:rFonts w:ascii="Times New Roman" w:hAnsi="Times New Roman" w:cs="Times New Roman"/>
          <w:i/>
          <w:iCs/>
          <w:noProof/>
          <w:sz w:val="24"/>
          <w:szCs w:val="24"/>
        </w:rPr>
        <w:lastRenderedPageBreak/>
        <w:t>Technology, Engineering, Art, and Mathematics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w:t>
      </w:r>
      <w:r w:rsidRPr="0084598E">
        <w:rPr>
          <w:rFonts w:ascii="Times New Roman" w:hAnsi="Times New Roman" w:cs="Times New Roman"/>
          <w:noProof/>
          <w:sz w:val="24"/>
          <w:szCs w:val="24"/>
        </w:rPr>
        <w:t>(1), 34–48. https://doi.org/10.31258/ijsteame.v2i1.17</w:t>
      </w:r>
    </w:p>
    <w:p w14:paraId="04C88E0F"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Sun, C., Wang, F., Yu, Z., &amp; Xue, L. (2018). Research on qInternet Plusq Curriculum Reform for Modern Agricultural Specialty Group in Higher Vocational Education. </w:t>
      </w:r>
      <w:r w:rsidRPr="0084598E">
        <w:rPr>
          <w:rFonts w:ascii="Times New Roman" w:hAnsi="Times New Roman" w:cs="Times New Roman"/>
          <w:i/>
          <w:iCs/>
          <w:noProof/>
          <w:sz w:val="24"/>
          <w:szCs w:val="24"/>
        </w:rPr>
        <w:t>Proceedings of the 8th International Conference on Social Network, Communication and Education (SNCE 2018)</w:t>
      </w:r>
      <w:r w:rsidRPr="0084598E">
        <w:rPr>
          <w:rFonts w:ascii="Times New Roman" w:hAnsi="Times New Roman" w:cs="Times New Roman"/>
          <w:noProof/>
          <w:sz w:val="24"/>
          <w:szCs w:val="24"/>
        </w:rPr>
        <w:t>. https://doi.org/10.2991/snce-18.2018.191</w:t>
      </w:r>
    </w:p>
    <w:p w14:paraId="1CFE8EC6"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Sun, F. (2023). An Overview of Chinas Vocational Education Practices and Implementation Policies from 2018 to 2022. </w:t>
      </w:r>
      <w:r w:rsidRPr="0084598E">
        <w:rPr>
          <w:rFonts w:ascii="Times New Roman" w:hAnsi="Times New Roman" w:cs="Times New Roman"/>
          <w:i/>
          <w:iCs/>
          <w:noProof/>
          <w:sz w:val="24"/>
          <w:szCs w:val="24"/>
        </w:rPr>
        <w:t>Lecture Notes in Education Psychology and Public Media</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w:t>
      </w:r>
      <w:r w:rsidRPr="0084598E">
        <w:rPr>
          <w:rFonts w:ascii="Times New Roman" w:hAnsi="Times New Roman" w:cs="Times New Roman"/>
          <w:noProof/>
          <w:sz w:val="24"/>
          <w:szCs w:val="24"/>
        </w:rPr>
        <w:t>(1), 114–132. https://doi.org/10.54254/2753-7048/19/20231401</w:t>
      </w:r>
    </w:p>
    <w:p w14:paraId="6CB7F3AE"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C., &amp; Zhao, H. (2020). The Impact of COVID-19 on Anxiety in Chinese University Students. </w:t>
      </w:r>
      <w:r w:rsidRPr="0084598E">
        <w:rPr>
          <w:rFonts w:ascii="Times New Roman" w:hAnsi="Times New Roman" w:cs="Times New Roman"/>
          <w:i/>
          <w:iCs/>
          <w:noProof/>
          <w:sz w:val="24"/>
          <w:szCs w:val="24"/>
        </w:rPr>
        <w:t>Frontiers in Psychology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11</w:t>
      </w:r>
      <w:r w:rsidRPr="0084598E">
        <w:rPr>
          <w:rFonts w:ascii="Times New Roman" w:hAnsi="Times New Roman" w:cs="Times New Roman"/>
          <w:noProof/>
          <w:sz w:val="24"/>
          <w:szCs w:val="24"/>
        </w:rPr>
        <w:t>. https://doi.org/10.3389/fpsyg.2020.01168</w:t>
      </w:r>
    </w:p>
    <w:p w14:paraId="680C4B6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G., &amp; Shi, J. (2024). Testing a chain mediation model of effort-reward imbalance, Confucian values, job satisfaction, and intention to quit among Chinese vocational education teachers. </w:t>
      </w:r>
      <w:r w:rsidRPr="0084598E">
        <w:rPr>
          <w:rFonts w:ascii="Times New Roman" w:hAnsi="Times New Roman" w:cs="Times New Roman"/>
          <w:i/>
          <w:iCs/>
          <w:noProof/>
          <w:sz w:val="24"/>
          <w:szCs w:val="24"/>
        </w:rPr>
        <w:t>Frontiers in Psychology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14</w:t>
      </w:r>
      <w:r w:rsidRPr="0084598E">
        <w:rPr>
          <w:rFonts w:ascii="Times New Roman" w:hAnsi="Times New Roman" w:cs="Times New Roman"/>
          <w:noProof/>
          <w:sz w:val="24"/>
          <w:szCs w:val="24"/>
        </w:rPr>
        <w:t>. https://doi.org/10.3389/fpsyg.2023.1341928</w:t>
      </w:r>
    </w:p>
    <w:p w14:paraId="3AB6801F"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J., &amp; Zhang, J. (2023). Examining China’s Secondary Vocational Diversion Policy: A WPR Framework Analysis. </w:t>
      </w:r>
      <w:r w:rsidRPr="0084598E">
        <w:rPr>
          <w:rFonts w:ascii="Times New Roman" w:hAnsi="Times New Roman" w:cs="Times New Roman"/>
          <w:i/>
          <w:iCs/>
          <w:noProof/>
          <w:sz w:val="24"/>
          <w:szCs w:val="24"/>
        </w:rPr>
        <w:t>Journal of Education, Humanities and Social Sciences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23</w:t>
      </w:r>
      <w:r w:rsidRPr="0084598E">
        <w:rPr>
          <w:rFonts w:ascii="Times New Roman" w:hAnsi="Times New Roman" w:cs="Times New Roman"/>
          <w:noProof/>
          <w:sz w:val="24"/>
          <w:szCs w:val="24"/>
        </w:rPr>
        <w:t>, 730–740. https://doi.org/10.54097/ehss.v23i.13911</w:t>
      </w:r>
    </w:p>
    <w:p w14:paraId="065DF1D8"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Q., &amp; Langager, M. W. (2023). Curricular flexibility: a comparative case study of homeschooling curriculum adjusting in the USA and China. </w:t>
      </w:r>
      <w:r w:rsidRPr="0084598E">
        <w:rPr>
          <w:rFonts w:ascii="Times New Roman" w:hAnsi="Times New Roman" w:cs="Times New Roman"/>
          <w:i/>
          <w:iCs/>
          <w:noProof/>
          <w:sz w:val="24"/>
          <w:szCs w:val="24"/>
        </w:rPr>
        <w:t>International Journal of Comparative Education and Development</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25</w:t>
      </w:r>
      <w:r w:rsidRPr="0084598E">
        <w:rPr>
          <w:rFonts w:ascii="Times New Roman" w:hAnsi="Times New Roman" w:cs="Times New Roman"/>
          <w:noProof/>
          <w:sz w:val="24"/>
          <w:szCs w:val="24"/>
        </w:rPr>
        <w:t>(1), 40–53. https://doi.org/10.1108/IJCED-06-</w:t>
      </w:r>
      <w:r w:rsidRPr="0084598E">
        <w:rPr>
          <w:rFonts w:ascii="Times New Roman" w:hAnsi="Times New Roman" w:cs="Times New Roman"/>
          <w:noProof/>
          <w:sz w:val="24"/>
          <w:szCs w:val="24"/>
        </w:rPr>
        <w:lastRenderedPageBreak/>
        <w:t>2022-0047</w:t>
      </w:r>
    </w:p>
    <w:p w14:paraId="5D139102"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Wang, S., &amp; Qin, T. (2019). Construction and Application of Online Open Courses in Independent Colleges Against the Background of “Internet Plus Education.” </w:t>
      </w:r>
      <w:r w:rsidRPr="0084598E">
        <w:rPr>
          <w:rFonts w:ascii="Times New Roman" w:hAnsi="Times New Roman" w:cs="Times New Roman"/>
          <w:i/>
          <w:iCs/>
          <w:noProof/>
          <w:sz w:val="24"/>
          <w:szCs w:val="24"/>
        </w:rPr>
        <w:t>Proceedings of the 5th International Conference on Economics, Management, Law and Education (EMLE 2019)</w:t>
      </w:r>
      <w:r w:rsidRPr="0084598E">
        <w:rPr>
          <w:rFonts w:ascii="Times New Roman" w:hAnsi="Times New Roman" w:cs="Times New Roman"/>
          <w:noProof/>
          <w:sz w:val="24"/>
          <w:szCs w:val="24"/>
        </w:rPr>
        <w:t>. https://doi.org/10.2991/aebmr.k.191225.221</w:t>
      </w:r>
    </w:p>
    <w:p w14:paraId="52AED3A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Wing Chan, K., &amp; Buckingham, W. (2008). Is China Abolishing the Hukou System? </w:t>
      </w:r>
      <w:r w:rsidRPr="0084598E">
        <w:rPr>
          <w:rFonts w:ascii="Times New Roman" w:hAnsi="Times New Roman" w:cs="Times New Roman"/>
          <w:i/>
          <w:iCs/>
          <w:noProof/>
          <w:sz w:val="24"/>
          <w:szCs w:val="24"/>
        </w:rPr>
        <w:t>The China Quarterly</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195</w:t>
      </w:r>
      <w:r w:rsidRPr="0084598E">
        <w:rPr>
          <w:rFonts w:ascii="Times New Roman" w:hAnsi="Times New Roman" w:cs="Times New Roman"/>
          <w:noProof/>
          <w:sz w:val="24"/>
          <w:szCs w:val="24"/>
        </w:rPr>
        <w:t>, 582–606. https://doi.org/10.1017/S0305741008000787</w:t>
      </w:r>
    </w:p>
    <w:p w14:paraId="17FA133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XIA, J., &amp; YANG, L. (2017). On the Construction of Teaching Staff in Higher Vocational Colleges under the Background of Innovation and Entrepreneurship. </w:t>
      </w:r>
      <w:r w:rsidRPr="0084598E">
        <w:rPr>
          <w:rFonts w:ascii="Times New Roman" w:hAnsi="Times New Roman" w:cs="Times New Roman"/>
          <w:i/>
          <w:iCs/>
          <w:noProof/>
          <w:sz w:val="24"/>
          <w:szCs w:val="24"/>
        </w:rPr>
        <w:t>DEStech Transactions on Engineering and Technology Research</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amma</w:t>
      </w:r>
      <w:r w:rsidRPr="0084598E">
        <w:rPr>
          <w:rFonts w:ascii="Times New Roman" w:hAnsi="Times New Roman" w:cs="Times New Roman"/>
          <w:noProof/>
          <w:sz w:val="24"/>
          <w:szCs w:val="24"/>
        </w:rPr>
        <w:t>. https://doi.org/10.12783/dtetr/amma2017/13401</w:t>
      </w:r>
    </w:p>
    <w:p w14:paraId="6FC0209C"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Xin Lin. (2024). The Development Path of Wenzhou’s Integration of the Private Economy and Vocational Education Under the “Four Chain Drive” Model. </w:t>
      </w:r>
      <w:r w:rsidRPr="0084598E">
        <w:rPr>
          <w:rFonts w:ascii="Times New Roman" w:hAnsi="Times New Roman" w:cs="Times New Roman"/>
          <w:i/>
          <w:iCs/>
          <w:noProof/>
          <w:sz w:val="24"/>
          <w:szCs w:val="24"/>
        </w:rPr>
        <w:t>Journal of Electrical Systems</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20</w:t>
      </w:r>
      <w:r w:rsidRPr="0084598E">
        <w:rPr>
          <w:rFonts w:ascii="Times New Roman" w:hAnsi="Times New Roman" w:cs="Times New Roman"/>
          <w:noProof/>
          <w:sz w:val="24"/>
          <w:szCs w:val="24"/>
        </w:rPr>
        <w:t>(7s), 160–170. https://doi.org/10.52783/jes.3259</w:t>
      </w:r>
    </w:p>
    <w:p w14:paraId="38AFF5A3"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Xu, J., &amp; Po, Y. (2023). The Future of “Applied” Education, Employability, and the Labor Market in China. In </w:t>
      </w:r>
      <w:r w:rsidRPr="0084598E">
        <w:rPr>
          <w:rFonts w:ascii="Times New Roman" w:hAnsi="Times New Roman" w:cs="Times New Roman"/>
          <w:i/>
          <w:iCs/>
          <w:noProof/>
          <w:sz w:val="24"/>
          <w:szCs w:val="24"/>
        </w:rPr>
        <w:t>International Handbook on Education Development in the Asia-Pacific</w:t>
      </w:r>
      <w:r w:rsidRPr="0084598E">
        <w:rPr>
          <w:rFonts w:ascii="Times New Roman" w:hAnsi="Times New Roman" w:cs="Times New Roman"/>
          <w:noProof/>
          <w:sz w:val="24"/>
          <w:szCs w:val="24"/>
        </w:rPr>
        <w:t xml:space="preserve"> (pp. 837–857). Springer Nature Singapore. https://doi.org/10.1007/978-981-19-6887-7_57</w:t>
      </w:r>
    </w:p>
    <w:p w14:paraId="516F368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Xu, M., Kong, G., &amp; Kong, D. (2017). Does wage justice hamper creativity? Pay gap and firm innovation in China. </w:t>
      </w:r>
      <w:r w:rsidRPr="0084598E">
        <w:rPr>
          <w:rFonts w:ascii="Times New Roman" w:hAnsi="Times New Roman" w:cs="Times New Roman"/>
          <w:i/>
          <w:iCs/>
          <w:noProof/>
          <w:sz w:val="24"/>
          <w:szCs w:val="24"/>
        </w:rPr>
        <w:t>China Economic Review</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44</w:t>
      </w:r>
      <w:r w:rsidRPr="0084598E">
        <w:rPr>
          <w:rFonts w:ascii="Times New Roman" w:hAnsi="Times New Roman" w:cs="Times New Roman"/>
          <w:noProof/>
          <w:sz w:val="24"/>
          <w:szCs w:val="24"/>
        </w:rPr>
        <w:t>, 186–202. https://doi.org/10.1016/j.chieco.2017.04.003</w:t>
      </w:r>
    </w:p>
    <w:p w14:paraId="328B7105"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Xu, Z. (2024). Development Pathways for Vocational Education and Training (VET) in China. </w:t>
      </w:r>
      <w:r w:rsidRPr="0084598E">
        <w:rPr>
          <w:rFonts w:ascii="Times New Roman" w:hAnsi="Times New Roman" w:cs="Times New Roman"/>
          <w:i/>
          <w:iCs/>
          <w:noProof/>
          <w:sz w:val="24"/>
          <w:szCs w:val="24"/>
        </w:rPr>
        <w:lastRenderedPageBreak/>
        <w:t>Lecture Notes in Education Psychology and Public Media</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52</w:t>
      </w:r>
      <w:r w:rsidRPr="0084598E">
        <w:rPr>
          <w:rFonts w:ascii="Times New Roman" w:hAnsi="Times New Roman" w:cs="Times New Roman"/>
          <w:noProof/>
          <w:sz w:val="24"/>
          <w:szCs w:val="24"/>
        </w:rPr>
        <w:t>(1), 212–218. https://doi.org/10.54254/2753-7048/52/20241598</w:t>
      </w:r>
    </w:p>
    <w:p w14:paraId="2A7BAB74"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Yang, D. T., Chen, V., &amp; Monarch, R. (2010). Rising Wages: Has China Lost Its Global Labor Advantage? </w:t>
      </w:r>
      <w:r w:rsidRPr="0084598E">
        <w:rPr>
          <w:rFonts w:ascii="Times New Roman" w:hAnsi="Times New Roman" w:cs="Times New Roman"/>
          <w:i/>
          <w:iCs/>
          <w:noProof/>
          <w:sz w:val="24"/>
          <w:szCs w:val="24"/>
        </w:rPr>
        <w:t>Institute for the Study of Labor (IZA), Bonn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5008</w:t>
      </w:r>
      <w:r w:rsidRPr="0084598E">
        <w:rPr>
          <w:rFonts w:ascii="Times New Roman" w:hAnsi="Times New Roman" w:cs="Times New Roman"/>
          <w:noProof/>
          <w:sz w:val="24"/>
          <w:szCs w:val="24"/>
        </w:rPr>
        <w:t>.</w:t>
      </w:r>
    </w:p>
    <w:p w14:paraId="656D446D"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Yinglun, Q., Keyuraphan, L., Sutheeniran, N., &amp; Sawangcharoen, K. (2023). Knowledge Management Strategies for Organizational Management of Higher Vocational Education Administrators in Liaoning Province, China. </w:t>
      </w:r>
      <w:r w:rsidRPr="0084598E">
        <w:rPr>
          <w:rFonts w:ascii="Times New Roman" w:hAnsi="Times New Roman" w:cs="Times New Roman"/>
          <w:i/>
          <w:iCs/>
          <w:noProof/>
          <w:sz w:val="24"/>
          <w:szCs w:val="24"/>
        </w:rPr>
        <w:t>International Journal of Higher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12</w:t>
      </w:r>
      <w:r w:rsidRPr="0084598E">
        <w:rPr>
          <w:rFonts w:ascii="Times New Roman" w:hAnsi="Times New Roman" w:cs="Times New Roman"/>
          <w:noProof/>
          <w:sz w:val="24"/>
          <w:szCs w:val="24"/>
        </w:rPr>
        <w:t>(5), 162. https://doi.org/10.5430/ijhe.v12n5p162</w:t>
      </w:r>
    </w:p>
    <w:p w14:paraId="2BE6E7C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Zhang, X. (2021). Teaching Reform and Research on Art Design Majors in Higher Vocational Colleges under the Background of “Double High Plan.” </w:t>
      </w:r>
      <w:r w:rsidRPr="0084598E">
        <w:rPr>
          <w:rFonts w:ascii="Times New Roman" w:hAnsi="Times New Roman" w:cs="Times New Roman"/>
          <w:i/>
          <w:iCs/>
          <w:noProof/>
          <w:sz w:val="24"/>
          <w:szCs w:val="24"/>
        </w:rPr>
        <w:t>Journal of Contemporary Educational Research</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5</w:t>
      </w:r>
      <w:r w:rsidRPr="0084598E">
        <w:rPr>
          <w:rFonts w:ascii="Times New Roman" w:hAnsi="Times New Roman" w:cs="Times New Roman"/>
          <w:noProof/>
          <w:sz w:val="24"/>
          <w:szCs w:val="24"/>
        </w:rPr>
        <w:t>(1). https://doi.org/10.26689/jcer.v5i1.1794</w:t>
      </w:r>
    </w:p>
    <w:p w14:paraId="5456C9DC"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szCs w:val="24"/>
        </w:rPr>
      </w:pPr>
      <w:r w:rsidRPr="0084598E">
        <w:rPr>
          <w:rFonts w:ascii="Times New Roman" w:hAnsi="Times New Roman" w:cs="Times New Roman"/>
          <w:noProof/>
          <w:sz w:val="24"/>
          <w:szCs w:val="24"/>
        </w:rPr>
        <w:t xml:space="preserve">Zhang, X. W., &amp; Ayob, A. (2024). A Study on the Contribution of Vocational Education and Training to the Industrial Development in China. </w:t>
      </w:r>
      <w:r w:rsidRPr="0084598E">
        <w:rPr>
          <w:rFonts w:ascii="Times New Roman" w:hAnsi="Times New Roman" w:cs="Times New Roman"/>
          <w:i/>
          <w:iCs/>
          <w:noProof/>
          <w:sz w:val="24"/>
          <w:szCs w:val="24"/>
        </w:rPr>
        <w:t>Journal of Contemporary Educational Research</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8</w:t>
      </w:r>
      <w:r w:rsidRPr="0084598E">
        <w:rPr>
          <w:rFonts w:ascii="Times New Roman" w:hAnsi="Times New Roman" w:cs="Times New Roman"/>
          <w:noProof/>
          <w:sz w:val="24"/>
          <w:szCs w:val="24"/>
        </w:rPr>
        <w:t>(3), 221–226. https://doi.org/10.26689/jcer.v8i3.6388</w:t>
      </w:r>
    </w:p>
    <w:p w14:paraId="208ACD79" w14:textId="77777777" w:rsidR="0084598E" w:rsidRPr="0084598E" w:rsidRDefault="0084598E" w:rsidP="0084598E">
      <w:pPr>
        <w:widowControl w:val="0"/>
        <w:autoSpaceDE w:val="0"/>
        <w:autoSpaceDN w:val="0"/>
        <w:adjustRightInd w:val="0"/>
        <w:ind w:left="480" w:hanging="480"/>
        <w:rPr>
          <w:rFonts w:ascii="Times New Roman" w:hAnsi="Times New Roman" w:cs="Times New Roman"/>
          <w:noProof/>
          <w:sz w:val="24"/>
        </w:rPr>
      </w:pPr>
      <w:r w:rsidRPr="0084598E">
        <w:rPr>
          <w:rFonts w:ascii="Times New Roman" w:hAnsi="Times New Roman" w:cs="Times New Roman"/>
          <w:noProof/>
          <w:sz w:val="24"/>
          <w:szCs w:val="24"/>
        </w:rPr>
        <w:t xml:space="preserve">Zhao, D., &amp; Selvaratnam, D. P. (2024). A systematic literature review on the reform of vocational education in China. </w:t>
      </w:r>
      <w:r w:rsidRPr="0084598E">
        <w:rPr>
          <w:rFonts w:ascii="Times New Roman" w:hAnsi="Times New Roman" w:cs="Times New Roman"/>
          <w:i/>
          <w:iCs/>
          <w:noProof/>
          <w:sz w:val="24"/>
          <w:szCs w:val="24"/>
        </w:rPr>
        <w:t>Cogent Education</w:t>
      </w:r>
      <w:r w:rsidRPr="0084598E">
        <w:rPr>
          <w:rFonts w:ascii="Times New Roman" w:hAnsi="Times New Roman" w:cs="Times New Roman"/>
          <w:noProof/>
          <w:sz w:val="24"/>
          <w:szCs w:val="24"/>
        </w:rPr>
        <w:t xml:space="preserve">, </w:t>
      </w:r>
      <w:r w:rsidRPr="0084598E">
        <w:rPr>
          <w:rFonts w:ascii="Times New Roman" w:hAnsi="Times New Roman" w:cs="Times New Roman"/>
          <w:i/>
          <w:iCs/>
          <w:noProof/>
          <w:sz w:val="24"/>
          <w:szCs w:val="24"/>
        </w:rPr>
        <w:t>11</w:t>
      </w:r>
      <w:r w:rsidRPr="0084598E">
        <w:rPr>
          <w:rFonts w:ascii="Times New Roman" w:hAnsi="Times New Roman" w:cs="Times New Roman"/>
          <w:noProof/>
          <w:sz w:val="24"/>
          <w:szCs w:val="24"/>
        </w:rPr>
        <w:t>(1). https://doi.org/10.1080/2331186X.2024.2343525</w:t>
      </w:r>
    </w:p>
    <w:p w14:paraId="07F9588D" w14:textId="77777777" w:rsidR="00EB4E16" w:rsidRPr="00F94DB0" w:rsidRDefault="00EB4E16" w:rsidP="0084598E">
      <w:pPr>
        <w:widowControl w:val="0"/>
        <w:autoSpaceDE w:val="0"/>
        <w:autoSpaceDN w:val="0"/>
        <w:adjustRightInd w:val="0"/>
        <w:ind w:left="480" w:hanging="480"/>
        <w:rPr>
          <w:rFonts w:ascii="Times New Roman" w:hAnsi="Times New Roman" w:cs="Times New Roman"/>
          <w:sz w:val="24"/>
          <w:szCs w:val="24"/>
        </w:rPr>
      </w:pPr>
      <w:r w:rsidRPr="00F94DB0">
        <w:rPr>
          <w:rFonts w:ascii="Times New Roman" w:hAnsi="Times New Roman" w:cs="Times New Roman"/>
          <w:sz w:val="24"/>
          <w:szCs w:val="24"/>
        </w:rPr>
        <w:fldChar w:fldCharType="end"/>
      </w:r>
    </w:p>
    <w:sectPr w:rsidR="00EB4E16" w:rsidRPr="00F94DB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F1EEB" w14:textId="77777777" w:rsidR="00757979" w:rsidRDefault="00757979" w:rsidP="00F94DB0">
      <w:pPr>
        <w:spacing w:before="0" w:line="240" w:lineRule="auto"/>
      </w:pPr>
      <w:r>
        <w:separator/>
      </w:r>
    </w:p>
  </w:endnote>
  <w:endnote w:type="continuationSeparator" w:id="0">
    <w:p w14:paraId="2FDFE04D" w14:textId="77777777" w:rsidR="00757979" w:rsidRDefault="00757979" w:rsidP="00F94DB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aiTi_GB2312">
    <w:altName w:val="Microsoft YaHei"/>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EB892" w14:textId="77777777" w:rsidR="008F391C" w:rsidRDefault="008F39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0389613"/>
      <w:docPartObj>
        <w:docPartGallery w:val="Page Numbers (Bottom of Page)"/>
        <w:docPartUnique/>
      </w:docPartObj>
    </w:sdtPr>
    <w:sdtEndPr>
      <w:rPr>
        <w:noProof/>
      </w:rPr>
    </w:sdtEndPr>
    <w:sdtContent>
      <w:p w14:paraId="61793FE6" w14:textId="77777777" w:rsidR="00F94DB0" w:rsidRDefault="00F94DB0">
        <w:pPr>
          <w:pStyle w:val="Footer"/>
          <w:jc w:val="center"/>
        </w:pPr>
        <w:r>
          <w:fldChar w:fldCharType="begin"/>
        </w:r>
        <w:r>
          <w:instrText xml:space="preserve"> PAGE   \* MERGEFORMAT </w:instrText>
        </w:r>
        <w:r>
          <w:fldChar w:fldCharType="separate"/>
        </w:r>
        <w:r w:rsidR="00727996">
          <w:rPr>
            <w:noProof/>
          </w:rPr>
          <w:t>22</w:t>
        </w:r>
        <w:r>
          <w:rPr>
            <w:noProof/>
          </w:rPr>
          <w:fldChar w:fldCharType="end"/>
        </w:r>
      </w:p>
    </w:sdtContent>
  </w:sdt>
  <w:p w14:paraId="0395451B" w14:textId="77777777" w:rsidR="00F94DB0" w:rsidRDefault="00F94D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9A216" w14:textId="77777777" w:rsidR="008F391C" w:rsidRDefault="008F39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E43F9" w14:textId="77777777" w:rsidR="00757979" w:rsidRDefault="00757979" w:rsidP="00F94DB0">
      <w:pPr>
        <w:spacing w:before="0" w:line="240" w:lineRule="auto"/>
      </w:pPr>
      <w:r>
        <w:separator/>
      </w:r>
    </w:p>
  </w:footnote>
  <w:footnote w:type="continuationSeparator" w:id="0">
    <w:p w14:paraId="66456B7B" w14:textId="77777777" w:rsidR="00757979" w:rsidRDefault="00757979" w:rsidP="00F94DB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6A3B9" w14:textId="66E03EAA" w:rsidR="008F391C" w:rsidRDefault="008F391C">
    <w:pPr>
      <w:pStyle w:val="Header"/>
    </w:pPr>
    <w:r>
      <w:rPr>
        <w:noProof/>
      </w:rPr>
      <w:pict w14:anchorId="549EB0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72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CAB28" w14:textId="7B2177CF" w:rsidR="008F391C" w:rsidRDefault="008F391C">
    <w:pPr>
      <w:pStyle w:val="Header"/>
    </w:pPr>
    <w:r>
      <w:rPr>
        <w:noProof/>
      </w:rPr>
      <w:pict w14:anchorId="6C2C50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72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0053" w14:textId="1531E5A1" w:rsidR="008F391C" w:rsidRDefault="008F391C">
    <w:pPr>
      <w:pStyle w:val="Header"/>
    </w:pPr>
    <w:r>
      <w:rPr>
        <w:noProof/>
      </w:rPr>
      <w:pict w14:anchorId="4DE2E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72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BF0F42"/>
    <w:multiLevelType w:val="hybridMultilevel"/>
    <w:tmpl w:val="FE92E4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454A85"/>
    <w:multiLevelType w:val="hybridMultilevel"/>
    <w:tmpl w:val="11A426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FE4B7B"/>
    <w:multiLevelType w:val="hybridMultilevel"/>
    <w:tmpl w:val="E5EAD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44E2"/>
    <w:rsid w:val="00016087"/>
    <w:rsid w:val="00041BEF"/>
    <w:rsid w:val="0006022C"/>
    <w:rsid w:val="000B7A9E"/>
    <w:rsid w:val="000F3F47"/>
    <w:rsid w:val="00112FE7"/>
    <w:rsid w:val="00115780"/>
    <w:rsid w:val="0012094B"/>
    <w:rsid w:val="0013482E"/>
    <w:rsid w:val="00166079"/>
    <w:rsid w:val="001669D6"/>
    <w:rsid w:val="00173273"/>
    <w:rsid w:val="001744E2"/>
    <w:rsid w:val="001C073F"/>
    <w:rsid w:val="001F0E97"/>
    <w:rsid w:val="001F3124"/>
    <w:rsid w:val="00231F96"/>
    <w:rsid w:val="002B217A"/>
    <w:rsid w:val="002F11C6"/>
    <w:rsid w:val="003372E6"/>
    <w:rsid w:val="00346DDF"/>
    <w:rsid w:val="0041319E"/>
    <w:rsid w:val="00420E49"/>
    <w:rsid w:val="0047444C"/>
    <w:rsid w:val="004852DA"/>
    <w:rsid w:val="004C16C9"/>
    <w:rsid w:val="004C505C"/>
    <w:rsid w:val="004D6731"/>
    <w:rsid w:val="004E3A32"/>
    <w:rsid w:val="004E6ADF"/>
    <w:rsid w:val="00536A23"/>
    <w:rsid w:val="005402A5"/>
    <w:rsid w:val="0055307C"/>
    <w:rsid w:val="005757DE"/>
    <w:rsid w:val="005961A3"/>
    <w:rsid w:val="005A1D2E"/>
    <w:rsid w:val="005B0E48"/>
    <w:rsid w:val="005B1D8C"/>
    <w:rsid w:val="005B5601"/>
    <w:rsid w:val="005D6237"/>
    <w:rsid w:val="00614A7F"/>
    <w:rsid w:val="00646729"/>
    <w:rsid w:val="006542B4"/>
    <w:rsid w:val="00686497"/>
    <w:rsid w:val="006E27C1"/>
    <w:rsid w:val="0070419D"/>
    <w:rsid w:val="00727996"/>
    <w:rsid w:val="00730F48"/>
    <w:rsid w:val="007475B1"/>
    <w:rsid w:val="0075458A"/>
    <w:rsid w:val="00757979"/>
    <w:rsid w:val="00763781"/>
    <w:rsid w:val="007855F7"/>
    <w:rsid w:val="007A5F41"/>
    <w:rsid w:val="007B6B36"/>
    <w:rsid w:val="00837A86"/>
    <w:rsid w:val="0084598E"/>
    <w:rsid w:val="008917FD"/>
    <w:rsid w:val="008D15FA"/>
    <w:rsid w:val="008F391C"/>
    <w:rsid w:val="008F6038"/>
    <w:rsid w:val="00900F32"/>
    <w:rsid w:val="009263E4"/>
    <w:rsid w:val="00954044"/>
    <w:rsid w:val="0096339E"/>
    <w:rsid w:val="00973ABD"/>
    <w:rsid w:val="0099232B"/>
    <w:rsid w:val="00994634"/>
    <w:rsid w:val="009B395D"/>
    <w:rsid w:val="009D5152"/>
    <w:rsid w:val="00A10486"/>
    <w:rsid w:val="00A10B87"/>
    <w:rsid w:val="00A1161C"/>
    <w:rsid w:val="00A177E4"/>
    <w:rsid w:val="00A30D5A"/>
    <w:rsid w:val="00A63F24"/>
    <w:rsid w:val="00A729D9"/>
    <w:rsid w:val="00A747C9"/>
    <w:rsid w:val="00A80D9C"/>
    <w:rsid w:val="00AD4F10"/>
    <w:rsid w:val="00B01426"/>
    <w:rsid w:val="00B07ACC"/>
    <w:rsid w:val="00B53EFA"/>
    <w:rsid w:val="00B636EF"/>
    <w:rsid w:val="00B803CC"/>
    <w:rsid w:val="00B8121E"/>
    <w:rsid w:val="00BC3754"/>
    <w:rsid w:val="00BE0B79"/>
    <w:rsid w:val="00BF41F1"/>
    <w:rsid w:val="00C1407B"/>
    <w:rsid w:val="00C21028"/>
    <w:rsid w:val="00C242FF"/>
    <w:rsid w:val="00C76D0B"/>
    <w:rsid w:val="00C94BA4"/>
    <w:rsid w:val="00C9677F"/>
    <w:rsid w:val="00CD0B4D"/>
    <w:rsid w:val="00CD51C2"/>
    <w:rsid w:val="00CD63F3"/>
    <w:rsid w:val="00CD72E9"/>
    <w:rsid w:val="00D30720"/>
    <w:rsid w:val="00D861C2"/>
    <w:rsid w:val="00D93CF6"/>
    <w:rsid w:val="00DB292C"/>
    <w:rsid w:val="00DB63A3"/>
    <w:rsid w:val="00DC52FC"/>
    <w:rsid w:val="00DF6828"/>
    <w:rsid w:val="00E31131"/>
    <w:rsid w:val="00E44A4B"/>
    <w:rsid w:val="00E45C16"/>
    <w:rsid w:val="00E70D10"/>
    <w:rsid w:val="00EA1361"/>
    <w:rsid w:val="00EB4E16"/>
    <w:rsid w:val="00F10001"/>
    <w:rsid w:val="00F136DC"/>
    <w:rsid w:val="00F47AFB"/>
    <w:rsid w:val="00F51E6B"/>
    <w:rsid w:val="00F607AF"/>
    <w:rsid w:val="00F64F5B"/>
    <w:rsid w:val="00F6793B"/>
    <w:rsid w:val="00F75C4B"/>
    <w:rsid w:val="00F80FE5"/>
    <w:rsid w:val="00F84E85"/>
    <w:rsid w:val="00F94DB0"/>
    <w:rsid w:val="00FD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467B5F"/>
  <w15:docId w15:val="{B28702A4-3250-47DD-95B3-9C82DDD4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4E2"/>
    <w:pPr>
      <w:spacing w:before="200" w:after="0" w:line="480" w:lineRule="auto"/>
    </w:pPr>
    <w:rPr>
      <w:rFonts w:eastAsiaTheme="minorEastAsia"/>
    </w:rPr>
  </w:style>
  <w:style w:type="paragraph" w:styleId="Heading1">
    <w:name w:val="heading 1"/>
    <w:basedOn w:val="Normal"/>
    <w:next w:val="Normal"/>
    <w:link w:val="Heading1Char"/>
    <w:uiPriority w:val="9"/>
    <w:qFormat/>
    <w:rsid w:val="001744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D72E9"/>
    <w:pPr>
      <w:keepNext/>
      <w:keepLines/>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16087"/>
    <w:pPr>
      <w:keepNext/>
      <w:keepLines/>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4E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1744E2"/>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E2"/>
    <w:rPr>
      <w:rFonts w:ascii="Tahoma" w:eastAsiaTheme="minorEastAsia" w:hAnsi="Tahoma" w:cs="Tahoma"/>
      <w:sz w:val="16"/>
      <w:szCs w:val="16"/>
    </w:rPr>
  </w:style>
  <w:style w:type="character" w:customStyle="1" w:styleId="Heading2Char">
    <w:name w:val="Heading 2 Char"/>
    <w:basedOn w:val="DefaultParagraphFont"/>
    <w:link w:val="Heading2"/>
    <w:uiPriority w:val="9"/>
    <w:rsid w:val="00CD72E9"/>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D72E9"/>
    <w:pPr>
      <w:spacing w:before="0" w:after="200"/>
      <w:ind w:left="720"/>
      <w:contextualSpacing/>
      <w:jc w:val="both"/>
    </w:pPr>
    <w:rPr>
      <w:rFonts w:eastAsiaTheme="minorHAnsi"/>
    </w:rPr>
  </w:style>
  <w:style w:type="paragraph" w:styleId="Caption">
    <w:name w:val="caption"/>
    <w:basedOn w:val="Normal"/>
    <w:next w:val="Normal"/>
    <w:uiPriority w:val="35"/>
    <w:unhideWhenUsed/>
    <w:qFormat/>
    <w:rsid w:val="007B6B36"/>
    <w:pPr>
      <w:spacing w:before="0" w:after="200" w:line="240" w:lineRule="auto"/>
    </w:pPr>
    <w:rPr>
      <w:b/>
      <w:bCs/>
      <w:color w:val="4F81BD" w:themeColor="accent1"/>
      <w:sz w:val="18"/>
      <w:szCs w:val="18"/>
    </w:rPr>
  </w:style>
  <w:style w:type="table" w:styleId="TableGrid">
    <w:name w:val="Table Grid"/>
    <w:basedOn w:val="TableNormal"/>
    <w:uiPriority w:val="59"/>
    <w:rsid w:val="00F80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37A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01608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A5F41"/>
    <w:rPr>
      <w:b/>
      <w:bCs/>
    </w:rPr>
  </w:style>
  <w:style w:type="paragraph" w:styleId="NormalWeb">
    <w:name w:val="Normal (Web)"/>
    <w:basedOn w:val="Normal"/>
    <w:uiPriority w:val="99"/>
    <w:unhideWhenUsed/>
    <w:rsid w:val="007A5F41"/>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F94DB0"/>
    <w:pPr>
      <w:spacing w:line="276" w:lineRule="auto"/>
      <w:outlineLvl w:val="9"/>
    </w:pPr>
    <w:rPr>
      <w:lang w:eastAsia="ja-JP"/>
    </w:rPr>
  </w:style>
  <w:style w:type="paragraph" w:styleId="TOC1">
    <w:name w:val="toc 1"/>
    <w:basedOn w:val="Normal"/>
    <w:next w:val="Normal"/>
    <w:autoRedefine/>
    <w:uiPriority w:val="39"/>
    <w:unhideWhenUsed/>
    <w:rsid w:val="00F94DB0"/>
    <w:pPr>
      <w:spacing w:after="100"/>
    </w:pPr>
  </w:style>
  <w:style w:type="paragraph" w:styleId="TOC2">
    <w:name w:val="toc 2"/>
    <w:basedOn w:val="Normal"/>
    <w:next w:val="Normal"/>
    <w:autoRedefine/>
    <w:uiPriority w:val="39"/>
    <w:unhideWhenUsed/>
    <w:rsid w:val="00F94DB0"/>
    <w:pPr>
      <w:spacing w:after="100"/>
      <w:ind w:left="220"/>
    </w:pPr>
  </w:style>
  <w:style w:type="paragraph" w:styleId="TOC3">
    <w:name w:val="toc 3"/>
    <w:basedOn w:val="Normal"/>
    <w:next w:val="Normal"/>
    <w:autoRedefine/>
    <w:uiPriority w:val="39"/>
    <w:unhideWhenUsed/>
    <w:rsid w:val="00F94DB0"/>
    <w:pPr>
      <w:spacing w:after="100"/>
      <w:ind w:left="440"/>
    </w:pPr>
  </w:style>
  <w:style w:type="character" w:styleId="Hyperlink">
    <w:name w:val="Hyperlink"/>
    <w:basedOn w:val="DefaultParagraphFont"/>
    <w:uiPriority w:val="99"/>
    <w:unhideWhenUsed/>
    <w:rsid w:val="00F94DB0"/>
    <w:rPr>
      <w:color w:val="0000FF" w:themeColor="hyperlink"/>
      <w:u w:val="single"/>
    </w:rPr>
  </w:style>
  <w:style w:type="paragraph" w:styleId="Header">
    <w:name w:val="header"/>
    <w:basedOn w:val="Normal"/>
    <w:link w:val="HeaderChar"/>
    <w:uiPriority w:val="99"/>
    <w:unhideWhenUsed/>
    <w:rsid w:val="00F94DB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4DB0"/>
    <w:rPr>
      <w:rFonts w:eastAsiaTheme="minorEastAsia"/>
    </w:rPr>
  </w:style>
  <w:style w:type="paragraph" w:styleId="Footer">
    <w:name w:val="footer"/>
    <w:basedOn w:val="Normal"/>
    <w:link w:val="FooterChar"/>
    <w:uiPriority w:val="99"/>
    <w:unhideWhenUsed/>
    <w:rsid w:val="00F94DB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F94DB0"/>
    <w:rPr>
      <w:rFonts w:eastAsiaTheme="minorEastAsia"/>
    </w:rPr>
  </w:style>
  <w:style w:type="table" w:styleId="LightGrid-Accent1">
    <w:name w:val="Light Grid Accent 1"/>
    <w:basedOn w:val="TableNormal"/>
    <w:uiPriority w:val="62"/>
    <w:rsid w:val="005B560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Shading">
    <w:name w:val="Light Shading"/>
    <w:basedOn w:val="TableNormal"/>
    <w:uiPriority w:val="60"/>
    <w:rsid w:val="00231F9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231F9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231F9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231F9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231F9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ColorfulGrid-Accent1">
    <w:name w:val="Colorful Grid Accent 1"/>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List-Accent6">
    <w:name w:val="Colorful List Accent 6"/>
    <w:basedOn w:val="TableNormal"/>
    <w:uiPriority w:val="72"/>
    <w:rsid w:val="00231F9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4">
    <w:name w:val="Colorful Grid Accent 4"/>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231F9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styleId="UnresolvedMention">
    <w:name w:val="Unresolved Mention"/>
    <w:basedOn w:val="DefaultParagraphFont"/>
    <w:uiPriority w:val="99"/>
    <w:semiHidden/>
    <w:unhideWhenUsed/>
    <w:rsid w:val="005402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228242">
      <w:bodyDiv w:val="1"/>
      <w:marLeft w:val="0"/>
      <w:marRight w:val="0"/>
      <w:marTop w:val="0"/>
      <w:marBottom w:val="0"/>
      <w:divBdr>
        <w:top w:val="none" w:sz="0" w:space="0" w:color="auto"/>
        <w:left w:val="none" w:sz="0" w:space="0" w:color="auto"/>
        <w:bottom w:val="none" w:sz="0" w:space="0" w:color="auto"/>
        <w:right w:val="none" w:sz="0" w:space="0" w:color="auto"/>
      </w:divBdr>
      <w:divsChild>
        <w:div w:id="425464579">
          <w:marLeft w:val="0"/>
          <w:marRight w:val="0"/>
          <w:marTop w:val="0"/>
          <w:marBottom w:val="0"/>
          <w:divBdr>
            <w:top w:val="none" w:sz="0" w:space="0" w:color="auto"/>
            <w:left w:val="none" w:sz="0" w:space="0" w:color="auto"/>
            <w:bottom w:val="none" w:sz="0" w:space="0" w:color="auto"/>
            <w:right w:val="none" w:sz="0" w:space="0" w:color="auto"/>
          </w:divBdr>
          <w:divsChild>
            <w:div w:id="1592469177">
              <w:marLeft w:val="0"/>
              <w:marRight w:val="0"/>
              <w:marTop w:val="0"/>
              <w:marBottom w:val="0"/>
              <w:divBdr>
                <w:top w:val="none" w:sz="0" w:space="0" w:color="auto"/>
                <w:left w:val="none" w:sz="0" w:space="0" w:color="auto"/>
                <w:bottom w:val="none" w:sz="0" w:space="0" w:color="auto"/>
                <w:right w:val="none" w:sz="0" w:space="0" w:color="auto"/>
              </w:divBdr>
            </w:div>
          </w:divsChild>
        </w:div>
        <w:div w:id="995494963">
          <w:marLeft w:val="0"/>
          <w:marRight w:val="0"/>
          <w:marTop w:val="0"/>
          <w:marBottom w:val="0"/>
          <w:divBdr>
            <w:top w:val="none" w:sz="0" w:space="0" w:color="auto"/>
            <w:left w:val="none" w:sz="0" w:space="0" w:color="auto"/>
            <w:bottom w:val="none" w:sz="0" w:space="0" w:color="auto"/>
            <w:right w:val="none" w:sz="0" w:space="0" w:color="auto"/>
          </w:divBdr>
          <w:divsChild>
            <w:div w:id="539635793">
              <w:marLeft w:val="0"/>
              <w:marRight w:val="0"/>
              <w:marTop w:val="0"/>
              <w:marBottom w:val="0"/>
              <w:divBdr>
                <w:top w:val="none" w:sz="0" w:space="0" w:color="auto"/>
                <w:left w:val="none" w:sz="0" w:space="0" w:color="auto"/>
                <w:bottom w:val="none" w:sz="0" w:space="0" w:color="auto"/>
                <w:right w:val="none" w:sz="0" w:space="0" w:color="auto"/>
              </w:divBdr>
              <w:divsChild>
                <w:div w:id="15026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534532">
      <w:bodyDiv w:val="1"/>
      <w:marLeft w:val="0"/>
      <w:marRight w:val="0"/>
      <w:marTop w:val="0"/>
      <w:marBottom w:val="0"/>
      <w:divBdr>
        <w:top w:val="none" w:sz="0" w:space="0" w:color="auto"/>
        <w:left w:val="none" w:sz="0" w:space="0" w:color="auto"/>
        <w:bottom w:val="none" w:sz="0" w:space="0" w:color="auto"/>
        <w:right w:val="none" w:sz="0" w:space="0" w:color="auto"/>
      </w:divBdr>
      <w:divsChild>
        <w:div w:id="1410735957">
          <w:marLeft w:val="0"/>
          <w:marRight w:val="0"/>
          <w:marTop w:val="0"/>
          <w:marBottom w:val="0"/>
          <w:divBdr>
            <w:top w:val="none" w:sz="0" w:space="0" w:color="auto"/>
            <w:left w:val="none" w:sz="0" w:space="0" w:color="auto"/>
            <w:bottom w:val="none" w:sz="0" w:space="0" w:color="auto"/>
            <w:right w:val="none" w:sz="0" w:space="0" w:color="auto"/>
          </w:divBdr>
          <w:divsChild>
            <w:div w:id="18867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89241">
      <w:bodyDiv w:val="1"/>
      <w:marLeft w:val="0"/>
      <w:marRight w:val="0"/>
      <w:marTop w:val="0"/>
      <w:marBottom w:val="0"/>
      <w:divBdr>
        <w:top w:val="none" w:sz="0" w:space="0" w:color="auto"/>
        <w:left w:val="none" w:sz="0" w:space="0" w:color="auto"/>
        <w:bottom w:val="none" w:sz="0" w:space="0" w:color="auto"/>
        <w:right w:val="none" w:sz="0" w:space="0" w:color="auto"/>
      </w:divBdr>
    </w:div>
    <w:div w:id="811288705">
      <w:bodyDiv w:val="1"/>
      <w:marLeft w:val="0"/>
      <w:marRight w:val="0"/>
      <w:marTop w:val="0"/>
      <w:marBottom w:val="0"/>
      <w:divBdr>
        <w:top w:val="none" w:sz="0" w:space="0" w:color="auto"/>
        <w:left w:val="none" w:sz="0" w:space="0" w:color="auto"/>
        <w:bottom w:val="none" w:sz="0" w:space="0" w:color="auto"/>
        <w:right w:val="none" w:sz="0" w:space="0" w:color="auto"/>
      </w:divBdr>
      <w:divsChild>
        <w:div w:id="149104386">
          <w:marLeft w:val="0"/>
          <w:marRight w:val="0"/>
          <w:marTop w:val="0"/>
          <w:marBottom w:val="0"/>
          <w:divBdr>
            <w:top w:val="none" w:sz="0" w:space="0" w:color="auto"/>
            <w:left w:val="none" w:sz="0" w:space="0" w:color="auto"/>
            <w:bottom w:val="none" w:sz="0" w:space="0" w:color="auto"/>
            <w:right w:val="none" w:sz="0" w:space="0" w:color="auto"/>
          </w:divBdr>
          <w:divsChild>
            <w:div w:id="243345524">
              <w:marLeft w:val="0"/>
              <w:marRight w:val="0"/>
              <w:marTop w:val="0"/>
              <w:marBottom w:val="0"/>
              <w:divBdr>
                <w:top w:val="none" w:sz="0" w:space="0" w:color="auto"/>
                <w:left w:val="none" w:sz="0" w:space="0" w:color="auto"/>
                <w:bottom w:val="none" w:sz="0" w:space="0" w:color="auto"/>
                <w:right w:val="none" w:sz="0" w:space="0" w:color="auto"/>
              </w:divBdr>
              <w:divsChild>
                <w:div w:id="317658521">
                  <w:marLeft w:val="0"/>
                  <w:marRight w:val="0"/>
                  <w:marTop w:val="0"/>
                  <w:marBottom w:val="0"/>
                  <w:divBdr>
                    <w:top w:val="none" w:sz="0" w:space="0" w:color="auto"/>
                    <w:left w:val="none" w:sz="0" w:space="0" w:color="auto"/>
                    <w:bottom w:val="none" w:sz="0" w:space="0" w:color="auto"/>
                    <w:right w:val="none" w:sz="0" w:space="0" w:color="auto"/>
                  </w:divBdr>
                  <w:divsChild>
                    <w:div w:id="9932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2349">
          <w:marLeft w:val="0"/>
          <w:marRight w:val="0"/>
          <w:marTop w:val="0"/>
          <w:marBottom w:val="0"/>
          <w:divBdr>
            <w:top w:val="none" w:sz="0" w:space="0" w:color="auto"/>
            <w:left w:val="none" w:sz="0" w:space="0" w:color="auto"/>
            <w:bottom w:val="none" w:sz="0" w:space="0" w:color="auto"/>
            <w:right w:val="none" w:sz="0" w:space="0" w:color="auto"/>
          </w:divBdr>
          <w:divsChild>
            <w:div w:id="179663592">
              <w:marLeft w:val="0"/>
              <w:marRight w:val="0"/>
              <w:marTop w:val="0"/>
              <w:marBottom w:val="0"/>
              <w:divBdr>
                <w:top w:val="none" w:sz="0" w:space="0" w:color="auto"/>
                <w:left w:val="none" w:sz="0" w:space="0" w:color="auto"/>
                <w:bottom w:val="none" w:sz="0" w:space="0" w:color="auto"/>
                <w:right w:val="none" w:sz="0" w:space="0" w:color="auto"/>
              </w:divBdr>
              <w:divsChild>
                <w:div w:id="1877934497">
                  <w:marLeft w:val="0"/>
                  <w:marRight w:val="0"/>
                  <w:marTop w:val="0"/>
                  <w:marBottom w:val="0"/>
                  <w:divBdr>
                    <w:top w:val="none" w:sz="0" w:space="0" w:color="auto"/>
                    <w:left w:val="none" w:sz="0" w:space="0" w:color="auto"/>
                    <w:bottom w:val="none" w:sz="0" w:space="0" w:color="auto"/>
                    <w:right w:val="none" w:sz="0" w:space="0" w:color="auto"/>
                  </w:divBdr>
                  <w:divsChild>
                    <w:div w:id="41440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454887">
      <w:bodyDiv w:val="1"/>
      <w:marLeft w:val="0"/>
      <w:marRight w:val="0"/>
      <w:marTop w:val="0"/>
      <w:marBottom w:val="0"/>
      <w:divBdr>
        <w:top w:val="none" w:sz="0" w:space="0" w:color="auto"/>
        <w:left w:val="none" w:sz="0" w:space="0" w:color="auto"/>
        <w:bottom w:val="none" w:sz="0" w:space="0" w:color="auto"/>
        <w:right w:val="none" w:sz="0" w:space="0" w:color="auto"/>
      </w:divBdr>
    </w:div>
    <w:div w:id="1308128931">
      <w:bodyDiv w:val="1"/>
      <w:marLeft w:val="0"/>
      <w:marRight w:val="0"/>
      <w:marTop w:val="0"/>
      <w:marBottom w:val="0"/>
      <w:divBdr>
        <w:top w:val="none" w:sz="0" w:space="0" w:color="auto"/>
        <w:left w:val="none" w:sz="0" w:space="0" w:color="auto"/>
        <w:bottom w:val="none" w:sz="0" w:space="0" w:color="auto"/>
        <w:right w:val="none" w:sz="0" w:space="0" w:color="auto"/>
      </w:divBdr>
    </w:div>
    <w:div w:id="1612742075">
      <w:bodyDiv w:val="1"/>
      <w:marLeft w:val="0"/>
      <w:marRight w:val="0"/>
      <w:marTop w:val="0"/>
      <w:marBottom w:val="0"/>
      <w:divBdr>
        <w:top w:val="none" w:sz="0" w:space="0" w:color="auto"/>
        <w:left w:val="none" w:sz="0" w:space="0" w:color="auto"/>
        <w:bottom w:val="none" w:sz="0" w:space="0" w:color="auto"/>
        <w:right w:val="none" w:sz="0" w:space="0" w:color="auto"/>
      </w:divBdr>
    </w:div>
    <w:div w:id="1850288522">
      <w:bodyDiv w:val="1"/>
      <w:marLeft w:val="0"/>
      <w:marRight w:val="0"/>
      <w:marTop w:val="0"/>
      <w:marBottom w:val="0"/>
      <w:divBdr>
        <w:top w:val="none" w:sz="0" w:space="0" w:color="auto"/>
        <w:left w:val="none" w:sz="0" w:space="0" w:color="auto"/>
        <w:bottom w:val="none" w:sz="0" w:space="0" w:color="auto"/>
        <w:right w:val="none" w:sz="0" w:space="0" w:color="auto"/>
      </w:divBdr>
    </w:div>
    <w:div w:id="1932885060">
      <w:bodyDiv w:val="1"/>
      <w:marLeft w:val="0"/>
      <w:marRight w:val="0"/>
      <w:marTop w:val="0"/>
      <w:marBottom w:val="0"/>
      <w:divBdr>
        <w:top w:val="none" w:sz="0" w:space="0" w:color="auto"/>
        <w:left w:val="none" w:sz="0" w:space="0" w:color="auto"/>
        <w:bottom w:val="none" w:sz="0" w:space="0" w:color="auto"/>
        <w:right w:val="none" w:sz="0" w:space="0" w:color="auto"/>
      </w:divBdr>
    </w:div>
    <w:div w:id="1968074931">
      <w:bodyDiv w:val="1"/>
      <w:marLeft w:val="0"/>
      <w:marRight w:val="0"/>
      <w:marTop w:val="0"/>
      <w:marBottom w:val="0"/>
      <w:divBdr>
        <w:top w:val="none" w:sz="0" w:space="0" w:color="auto"/>
        <w:left w:val="none" w:sz="0" w:space="0" w:color="auto"/>
        <w:bottom w:val="none" w:sz="0" w:space="0" w:color="auto"/>
        <w:right w:val="none" w:sz="0" w:space="0" w:color="auto"/>
      </w:divBdr>
    </w:div>
    <w:div w:id="2013606594">
      <w:bodyDiv w:val="1"/>
      <w:marLeft w:val="0"/>
      <w:marRight w:val="0"/>
      <w:marTop w:val="0"/>
      <w:marBottom w:val="0"/>
      <w:divBdr>
        <w:top w:val="none" w:sz="0" w:space="0" w:color="auto"/>
        <w:left w:val="none" w:sz="0" w:space="0" w:color="auto"/>
        <w:bottom w:val="none" w:sz="0" w:space="0" w:color="auto"/>
        <w:right w:val="none" w:sz="0" w:space="0" w:color="auto"/>
      </w:divBdr>
    </w:div>
    <w:div w:id="21402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footer" Target="footer3.xml"/><Relationship Id="rId10" Type="http://schemas.openxmlformats.org/officeDocument/2006/relationships/diagramQuickStyle" Target="diagrams/quickStyle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0AF48B-FD7E-47A2-8CC0-A832D8A786FB}" type="doc">
      <dgm:prSet loTypeId="urn:microsoft.com/office/officeart/2005/8/layout/process4" loCatId="process" qsTypeId="urn:microsoft.com/office/officeart/2005/8/quickstyle/simple2" qsCatId="simple" csTypeId="urn:microsoft.com/office/officeart/2005/8/colors/colorful5" csCatId="colorful" phldr="1"/>
      <dgm:spPr/>
      <dgm:t>
        <a:bodyPr/>
        <a:lstStyle/>
        <a:p>
          <a:endParaRPr lang="en-US"/>
        </a:p>
      </dgm:t>
    </dgm:pt>
    <dgm:pt modelId="{3E3F6EA9-6B84-4FCB-AFA1-A0E8935121FB}">
      <dgm:prSet phldrT="[Text]" custT="1"/>
      <dgm:spPr/>
      <dgm:t>
        <a:bodyPr/>
        <a:lstStyle/>
        <a:p>
          <a:r>
            <a:rPr lang="en-US" sz="1200">
              <a:latin typeface="Times New Roman" pitchFamily="18" charset="0"/>
              <a:cs typeface="Times New Roman" pitchFamily="18" charset="0"/>
            </a:rPr>
            <a:t>Initial Pool of Abstracts (735) </a:t>
          </a:r>
        </a:p>
      </dgm:t>
    </dgm:pt>
    <dgm:pt modelId="{1AD860B8-D03B-42FA-A2EB-FBAFFD070083}" type="parTrans" cxnId="{A288A2A9-1B8D-44BF-94CF-8D60ABF3C162}">
      <dgm:prSet/>
      <dgm:spPr/>
      <dgm:t>
        <a:bodyPr/>
        <a:lstStyle/>
        <a:p>
          <a:endParaRPr lang="en-US"/>
        </a:p>
      </dgm:t>
    </dgm:pt>
    <dgm:pt modelId="{78DC246A-A7F1-4819-9B28-34311F2F99CC}" type="sibTrans" cxnId="{A288A2A9-1B8D-44BF-94CF-8D60ABF3C162}">
      <dgm:prSet/>
      <dgm:spPr/>
      <dgm:t>
        <a:bodyPr/>
        <a:lstStyle/>
        <a:p>
          <a:endParaRPr lang="en-US"/>
        </a:p>
      </dgm:t>
    </dgm:pt>
    <dgm:pt modelId="{E89C30B6-04C1-4E28-8034-FEF2113FD4D0}">
      <dgm:prSet phldrT="[Text]" custT="1"/>
      <dgm:spPr/>
      <dgm:t>
        <a:bodyPr/>
        <a:lstStyle/>
        <a:p>
          <a:r>
            <a:rPr lang="en-US" sz="1200">
              <a:latin typeface="Times New Roman" pitchFamily="18" charset="0"/>
              <a:cs typeface="Times New Roman" pitchFamily="18" charset="0"/>
            </a:rPr>
            <a:t>Exclusion for Non-Relevance (301)</a:t>
          </a:r>
        </a:p>
      </dgm:t>
    </dgm:pt>
    <dgm:pt modelId="{2E79978D-AB3F-4982-A8BD-D84883F74E0A}" type="parTrans" cxnId="{81EC5EEE-EE95-4301-BB3F-2617EFC40BFC}">
      <dgm:prSet/>
      <dgm:spPr/>
      <dgm:t>
        <a:bodyPr/>
        <a:lstStyle/>
        <a:p>
          <a:endParaRPr lang="en-US"/>
        </a:p>
      </dgm:t>
    </dgm:pt>
    <dgm:pt modelId="{E140BAFA-E3C9-4572-9893-8CD0AE804AF8}" type="sibTrans" cxnId="{81EC5EEE-EE95-4301-BB3F-2617EFC40BFC}">
      <dgm:prSet/>
      <dgm:spPr/>
      <dgm:t>
        <a:bodyPr/>
        <a:lstStyle/>
        <a:p>
          <a:endParaRPr lang="en-US"/>
        </a:p>
      </dgm:t>
    </dgm:pt>
    <dgm:pt modelId="{27F9E357-5F31-4EDA-93DA-7860AC4E704F}">
      <dgm:prSet phldrT="[Text]" custT="1"/>
      <dgm:spPr/>
      <dgm:t>
        <a:bodyPr/>
        <a:lstStyle/>
        <a:p>
          <a:r>
            <a:rPr lang="en-US" sz="1200">
              <a:latin typeface="Times New Roman" pitchFamily="18" charset="0"/>
              <a:cs typeface="Times New Roman" pitchFamily="18" charset="0"/>
            </a:rPr>
            <a:t>Exclusion for Non-Focus on Vocational Education (203)</a:t>
          </a:r>
        </a:p>
      </dgm:t>
    </dgm:pt>
    <dgm:pt modelId="{AF442FF2-21AA-4C57-84DF-595AA3CB58F3}" type="sibTrans" cxnId="{DD105E6E-A3EF-4155-B909-AE0BBE3972AF}">
      <dgm:prSet/>
      <dgm:spPr/>
      <dgm:t>
        <a:bodyPr/>
        <a:lstStyle/>
        <a:p>
          <a:endParaRPr lang="en-US"/>
        </a:p>
      </dgm:t>
    </dgm:pt>
    <dgm:pt modelId="{060D0FE5-D22C-4299-9952-53695A33BFC1}" type="parTrans" cxnId="{DD105E6E-A3EF-4155-B909-AE0BBE3972AF}">
      <dgm:prSet/>
      <dgm:spPr/>
      <dgm:t>
        <a:bodyPr/>
        <a:lstStyle/>
        <a:p>
          <a:endParaRPr lang="en-US"/>
        </a:p>
      </dgm:t>
    </dgm:pt>
    <dgm:pt modelId="{691DE768-6A7A-431C-8202-FB57F5DC25EB}">
      <dgm:prSet phldrT="[Text]" custT="1"/>
      <dgm:spPr/>
      <dgm:t>
        <a:bodyPr/>
        <a:lstStyle/>
        <a:p>
          <a:r>
            <a:rPr lang="en-US" sz="1200">
              <a:latin typeface="Times New Roman" pitchFamily="18" charset="0"/>
              <a:cs typeface="Times New Roman" pitchFamily="18" charset="0"/>
            </a:rPr>
            <a:t>Exclusion for Non-Focus on Research Setting (177)</a:t>
          </a:r>
        </a:p>
      </dgm:t>
    </dgm:pt>
    <dgm:pt modelId="{9EA3A110-C516-42FC-A5D6-41730C1BA0DB}" type="parTrans" cxnId="{F9058F70-3618-46CD-9EB9-4D7241320D4C}">
      <dgm:prSet/>
      <dgm:spPr/>
      <dgm:t>
        <a:bodyPr/>
        <a:lstStyle/>
        <a:p>
          <a:endParaRPr lang="en-US"/>
        </a:p>
      </dgm:t>
    </dgm:pt>
    <dgm:pt modelId="{0568DB8D-C117-4DCA-988B-DE59C1587CF7}" type="sibTrans" cxnId="{F9058F70-3618-46CD-9EB9-4D7241320D4C}">
      <dgm:prSet/>
      <dgm:spPr/>
      <dgm:t>
        <a:bodyPr/>
        <a:lstStyle/>
        <a:p>
          <a:endParaRPr lang="en-US"/>
        </a:p>
      </dgm:t>
    </dgm:pt>
    <dgm:pt modelId="{3B70E772-076D-4341-B7C6-FA54DB004AF8}">
      <dgm:prSet phldrT="[Text]" custT="1"/>
      <dgm:spPr/>
      <dgm:t>
        <a:bodyPr/>
        <a:lstStyle/>
        <a:p>
          <a:r>
            <a:rPr lang="en-US" sz="1200">
              <a:latin typeface="Times New Roman" pitchFamily="18" charset="0"/>
              <a:cs typeface="Times New Roman" pitchFamily="18" charset="0"/>
            </a:rPr>
            <a:t>Full Text Review (54)</a:t>
          </a:r>
        </a:p>
      </dgm:t>
    </dgm:pt>
    <dgm:pt modelId="{F72A860D-B827-4CE1-9214-8B88C9035EC6}" type="parTrans" cxnId="{093F1BB6-9927-4599-BD97-3A0D456EAD83}">
      <dgm:prSet/>
      <dgm:spPr/>
      <dgm:t>
        <a:bodyPr/>
        <a:lstStyle/>
        <a:p>
          <a:endParaRPr lang="en-US"/>
        </a:p>
      </dgm:t>
    </dgm:pt>
    <dgm:pt modelId="{1F24214F-8F07-4C15-824D-1723212CB205}" type="sibTrans" cxnId="{093F1BB6-9927-4599-BD97-3A0D456EAD83}">
      <dgm:prSet/>
      <dgm:spPr/>
      <dgm:t>
        <a:bodyPr/>
        <a:lstStyle/>
        <a:p>
          <a:endParaRPr lang="en-US"/>
        </a:p>
      </dgm:t>
    </dgm:pt>
    <dgm:pt modelId="{893789BB-48F6-4485-AEE9-83EA6CA20392}">
      <dgm:prSet phldrT="[Text]" custT="1"/>
      <dgm:spPr/>
      <dgm:t>
        <a:bodyPr/>
        <a:lstStyle/>
        <a:p>
          <a:r>
            <a:rPr lang="en-US" sz="1200">
              <a:latin typeface="Times New Roman" pitchFamily="18" charset="0"/>
              <a:cs typeface="Times New Roman" pitchFamily="18" charset="0"/>
            </a:rPr>
            <a:t>Exclusion of Secondary Sources (18)</a:t>
          </a:r>
        </a:p>
      </dgm:t>
    </dgm:pt>
    <dgm:pt modelId="{08399DB6-194D-4D6F-A01A-8E9CDE3EEAF8}" type="parTrans" cxnId="{E99D7B0E-5563-4EA4-8606-AAE761402CAC}">
      <dgm:prSet/>
      <dgm:spPr/>
      <dgm:t>
        <a:bodyPr/>
        <a:lstStyle/>
        <a:p>
          <a:endParaRPr lang="en-US"/>
        </a:p>
      </dgm:t>
    </dgm:pt>
    <dgm:pt modelId="{B9FA707B-7FE8-4E62-9485-3C9D48BFCDFC}" type="sibTrans" cxnId="{E99D7B0E-5563-4EA4-8606-AAE761402CAC}">
      <dgm:prSet/>
      <dgm:spPr/>
      <dgm:t>
        <a:bodyPr/>
        <a:lstStyle/>
        <a:p>
          <a:endParaRPr lang="en-US"/>
        </a:p>
      </dgm:t>
    </dgm:pt>
    <dgm:pt modelId="{89BF607A-1A2E-490F-ADDB-4C6835113D63}">
      <dgm:prSet phldrT="[Text]" custT="1"/>
      <dgm:spPr/>
      <dgm:t>
        <a:bodyPr/>
        <a:lstStyle/>
        <a:p>
          <a:r>
            <a:rPr lang="en-US" sz="1200">
              <a:latin typeface="Times New Roman" pitchFamily="18" charset="0"/>
              <a:cs typeface="Times New Roman" pitchFamily="18" charset="0"/>
            </a:rPr>
            <a:t>Final Publication for Detailed Evaluation (36) </a:t>
          </a:r>
        </a:p>
      </dgm:t>
    </dgm:pt>
    <dgm:pt modelId="{270C8023-AAFE-4F5D-B0D3-AF9FF632CC12}" type="parTrans" cxnId="{2F0E7BD7-DDB5-4F18-B1A7-27D334B5D293}">
      <dgm:prSet/>
      <dgm:spPr/>
      <dgm:t>
        <a:bodyPr/>
        <a:lstStyle/>
        <a:p>
          <a:endParaRPr lang="en-US"/>
        </a:p>
      </dgm:t>
    </dgm:pt>
    <dgm:pt modelId="{340C9BED-F982-4808-85C5-83F1A9B74C26}" type="sibTrans" cxnId="{2F0E7BD7-DDB5-4F18-B1A7-27D334B5D293}">
      <dgm:prSet/>
      <dgm:spPr/>
      <dgm:t>
        <a:bodyPr/>
        <a:lstStyle/>
        <a:p>
          <a:endParaRPr lang="en-US"/>
        </a:p>
      </dgm:t>
    </dgm:pt>
    <dgm:pt modelId="{150E8C9D-E911-4D11-A1D0-FAC59F896864}" type="pres">
      <dgm:prSet presAssocID="{3C0AF48B-FD7E-47A2-8CC0-A832D8A786FB}" presName="Name0" presStyleCnt="0">
        <dgm:presLayoutVars>
          <dgm:dir/>
          <dgm:animLvl val="lvl"/>
          <dgm:resizeHandles val="exact"/>
        </dgm:presLayoutVars>
      </dgm:prSet>
      <dgm:spPr/>
    </dgm:pt>
    <dgm:pt modelId="{C7B0B1A8-DCA9-47BF-98ED-55DA9FCEA320}" type="pres">
      <dgm:prSet presAssocID="{89BF607A-1A2E-490F-ADDB-4C6835113D63}" presName="boxAndChildren" presStyleCnt="0"/>
      <dgm:spPr/>
    </dgm:pt>
    <dgm:pt modelId="{53D61205-A132-42E6-9152-5F41EE2BB8A9}" type="pres">
      <dgm:prSet presAssocID="{89BF607A-1A2E-490F-ADDB-4C6835113D63}" presName="parentTextBox" presStyleLbl="node1" presStyleIdx="0" presStyleCnt="7"/>
      <dgm:spPr/>
    </dgm:pt>
    <dgm:pt modelId="{1AFC5D87-6680-4656-9844-8DAC47C33693}" type="pres">
      <dgm:prSet presAssocID="{B9FA707B-7FE8-4E62-9485-3C9D48BFCDFC}" presName="sp" presStyleCnt="0"/>
      <dgm:spPr/>
    </dgm:pt>
    <dgm:pt modelId="{94A7A01D-6792-41AD-81FB-C0266FC11515}" type="pres">
      <dgm:prSet presAssocID="{893789BB-48F6-4485-AEE9-83EA6CA20392}" presName="arrowAndChildren" presStyleCnt="0"/>
      <dgm:spPr/>
    </dgm:pt>
    <dgm:pt modelId="{152A8F10-47E1-42C2-A92D-8468B4C11ADC}" type="pres">
      <dgm:prSet presAssocID="{893789BB-48F6-4485-AEE9-83EA6CA20392}" presName="parentTextArrow" presStyleLbl="node1" presStyleIdx="1" presStyleCnt="7"/>
      <dgm:spPr/>
    </dgm:pt>
    <dgm:pt modelId="{A5C68251-13A8-4482-88A2-D69F8715B455}" type="pres">
      <dgm:prSet presAssocID="{1F24214F-8F07-4C15-824D-1723212CB205}" presName="sp" presStyleCnt="0"/>
      <dgm:spPr/>
    </dgm:pt>
    <dgm:pt modelId="{2386E72B-31D2-4519-AB42-A6AE89CFC693}" type="pres">
      <dgm:prSet presAssocID="{3B70E772-076D-4341-B7C6-FA54DB004AF8}" presName="arrowAndChildren" presStyleCnt="0"/>
      <dgm:spPr/>
    </dgm:pt>
    <dgm:pt modelId="{0887620F-F766-4A5E-995A-29026B56DC5B}" type="pres">
      <dgm:prSet presAssocID="{3B70E772-076D-4341-B7C6-FA54DB004AF8}" presName="parentTextArrow" presStyleLbl="node1" presStyleIdx="2" presStyleCnt="7"/>
      <dgm:spPr/>
    </dgm:pt>
    <dgm:pt modelId="{F3A877B0-DC5C-48BB-B5F6-F28E6198FA13}" type="pres">
      <dgm:prSet presAssocID="{0568DB8D-C117-4DCA-988B-DE59C1587CF7}" presName="sp" presStyleCnt="0"/>
      <dgm:spPr/>
    </dgm:pt>
    <dgm:pt modelId="{3872193F-71E5-4F13-8BFF-517CF969261E}" type="pres">
      <dgm:prSet presAssocID="{691DE768-6A7A-431C-8202-FB57F5DC25EB}" presName="arrowAndChildren" presStyleCnt="0"/>
      <dgm:spPr/>
    </dgm:pt>
    <dgm:pt modelId="{04ED48CF-AAF2-41E5-A9CC-2BC1A1B53320}" type="pres">
      <dgm:prSet presAssocID="{691DE768-6A7A-431C-8202-FB57F5DC25EB}" presName="parentTextArrow" presStyleLbl="node1" presStyleIdx="3" presStyleCnt="7"/>
      <dgm:spPr/>
    </dgm:pt>
    <dgm:pt modelId="{DFFEE8C7-CBEA-48E8-95FC-5CCC5DA46BC4}" type="pres">
      <dgm:prSet presAssocID="{AF442FF2-21AA-4C57-84DF-595AA3CB58F3}" presName="sp" presStyleCnt="0"/>
      <dgm:spPr/>
    </dgm:pt>
    <dgm:pt modelId="{E878E2C5-45C1-4D59-A83E-04B1B8341C82}" type="pres">
      <dgm:prSet presAssocID="{27F9E357-5F31-4EDA-93DA-7860AC4E704F}" presName="arrowAndChildren" presStyleCnt="0"/>
      <dgm:spPr/>
    </dgm:pt>
    <dgm:pt modelId="{314FF9E9-8E92-44A1-9545-900FF3F6762C}" type="pres">
      <dgm:prSet presAssocID="{27F9E357-5F31-4EDA-93DA-7860AC4E704F}" presName="parentTextArrow" presStyleLbl="node1" presStyleIdx="4" presStyleCnt="7"/>
      <dgm:spPr/>
    </dgm:pt>
    <dgm:pt modelId="{EC4AD01B-0BFF-4D43-A1E9-8A798D64BB3F}" type="pres">
      <dgm:prSet presAssocID="{E140BAFA-E3C9-4572-9893-8CD0AE804AF8}" presName="sp" presStyleCnt="0"/>
      <dgm:spPr/>
    </dgm:pt>
    <dgm:pt modelId="{648A14ED-1AEA-40C5-B220-19B5B7039777}" type="pres">
      <dgm:prSet presAssocID="{E89C30B6-04C1-4E28-8034-FEF2113FD4D0}" presName="arrowAndChildren" presStyleCnt="0"/>
      <dgm:spPr/>
    </dgm:pt>
    <dgm:pt modelId="{6359937D-394E-4011-9AEF-A930A326AA73}" type="pres">
      <dgm:prSet presAssocID="{E89C30B6-04C1-4E28-8034-FEF2113FD4D0}" presName="parentTextArrow" presStyleLbl="node1" presStyleIdx="5" presStyleCnt="7"/>
      <dgm:spPr/>
    </dgm:pt>
    <dgm:pt modelId="{2DACB9CB-07C0-4B02-99E9-551C9CDACDCD}" type="pres">
      <dgm:prSet presAssocID="{78DC246A-A7F1-4819-9B28-34311F2F99CC}" presName="sp" presStyleCnt="0"/>
      <dgm:spPr/>
    </dgm:pt>
    <dgm:pt modelId="{187225ED-839C-4C48-98AC-46CBAAA91F1B}" type="pres">
      <dgm:prSet presAssocID="{3E3F6EA9-6B84-4FCB-AFA1-A0E8935121FB}" presName="arrowAndChildren" presStyleCnt="0"/>
      <dgm:spPr/>
    </dgm:pt>
    <dgm:pt modelId="{1A28C061-D50B-4680-B7DA-38661F6DA1D7}" type="pres">
      <dgm:prSet presAssocID="{3E3F6EA9-6B84-4FCB-AFA1-A0E8935121FB}" presName="parentTextArrow" presStyleLbl="node1" presStyleIdx="6" presStyleCnt="7"/>
      <dgm:spPr/>
    </dgm:pt>
  </dgm:ptLst>
  <dgm:cxnLst>
    <dgm:cxn modelId="{E99D7B0E-5563-4EA4-8606-AAE761402CAC}" srcId="{3C0AF48B-FD7E-47A2-8CC0-A832D8A786FB}" destId="{893789BB-48F6-4485-AEE9-83EA6CA20392}" srcOrd="5" destOrd="0" parTransId="{08399DB6-194D-4D6F-A01A-8E9CDE3EEAF8}" sibTransId="{B9FA707B-7FE8-4E62-9485-3C9D48BFCDFC}"/>
    <dgm:cxn modelId="{BF162C14-43C8-463F-B2B6-E7EFBDBCA6B8}" type="presOf" srcId="{3E3F6EA9-6B84-4FCB-AFA1-A0E8935121FB}" destId="{1A28C061-D50B-4680-B7DA-38661F6DA1D7}" srcOrd="0" destOrd="0" presId="urn:microsoft.com/office/officeart/2005/8/layout/process4"/>
    <dgm:cxn modelId="{38D18817-DABC-49CA-8446-8B7608E30579}" type="presOf" srcId="{27F9E357-5F31-4EDA-93DA-7860AC4E704F}" destId="{314FF9E9-8E92-44A1-9545-900FF3F6762C}" srcOrd="0" destOrd="0" presId="urn:microsoft.com/office/officeart/2005/8/layout/process4"/>
    <dgm:cxn modelId="{DD105E6E-A3EF-4155-B909-AE0BBE3972AF}" srcId="{3C0AF48B-FD7E-47A2-8CC0-A832D8A786FB}" destId="{27F9E357-5F31-4EDA-93DA-7860AC4E704F}" srcOrd="2" destOrd="0" parTransId="{060D0FE5-D22C-4299-9952-53695A33BFC1}" sibTransId="{AF442FF2-21AA-4C57-84DF-595AA3CB58F3}"/>
    <dgm:cxn modelId="{F9058F70-3618-46CD-9EB9-4D7241320D4C}" srcId="{3C0AF48B-FD7E-47A2-8CC0-A832D8A786FB}" destId="{691DE768-6A7A-431C-8202-FB57F5DC25EB}" srcOrd="3" destOrd="0" parTransId="{9EA3A110-C516-42FC-A5D6-41730C1BA0DB}" sibTransId="{0568DB8D-C117-4DCA-988B-DE59C1587CF7}"/>
    <dgm:cxn modelId="{B3C6D776-D981-448F-A69E-6A86646E24ED}" type="presOf" srcId="{3C0AF48B-FD7E-47A2-8CC0-A832D8A786FB}" destId="{150E8C9D-E911-4D11-A1D0-FAC59F896864}" srcOrd="0" destOrd="0" presId="urn:microsoft.com/office/officeart/2005/8/layout/process4"/>
    <dgm:cxn modelId="{F4553D89-E6A0-4390-98D7-C08D7D42FF68}" type="presOf" srcId="{691DE768-6A7A-431C-8202-FB57F5DC25EB}" destId="{04ED48CF-AAF2-41E5-A9CC-2BC1A1B53320}" srcOrd="0" destOrd="0" presId="urn:microsoft.com/office/officeart/2005/8/layout/process4"/>
    <dgm:cxn modelId="{09BA2394-7E57-49F2-A6AE-52F054852775}" type="presOf" srcId="{E89C30B6-04C1-4E28-8034-FEF2113FD4D0}" destId="{6359937D-394E-4011-9AEF-A930A326AA73}" srcOrd="0" destOrd="0" presId="urn:microsoft.com/office/officeart/2005/8/layout/process4"/>
    <dgm:cxn modelId="{43947297-8FED-4533-8FEB-48432C7D81E8}" type="presOf" srcId="{893789BB-48F6-4485-AEE9-83EA6CA20392}" destId="{152A8F10-47E1-42C2-A92D-8468B4C11ADC}" srcOrd="0" destOrd="0" presId="urn:microsoft.com/office/officeart/2005/8/layout/process4"/>
    <dgm:cxn modelId="{A6AE8EA9-40AC-49BF-BF22-712BC23C8366}" type="presOf" srcId="{89BF607A-1A2E-490F-ADDB-4C6835113D63}" destId="{53D61205-A132-42E6-9152-5F41EE2BB8A9}" srcOrd="0" destOrd="0" presId="urn:microsoft.com/office/officeart/2005/8/layout/process4"/>
    <dgm:cxn modelId="{A288A2A9-1B8D-44BF-94CF-8D60ABF3C162}" srcId="{3C0AF48B-FD7E-47A2-8CC0-A832D8A786FB}" destId="{3E3F6EA9-6B84-4FCB-AFA1-A0E8935121FB}" srcOrd="0" destOrd="0" parTransId="{1AD860B8-D03B-42FA-A2EB-FBAFFD070083}" sibTransId="{78DC246A-A7F1-4819-9B28-34311F2F99CC}"/>
    <dgm:cxn modelId="{093F1BB6-9927-4599-BD97-3A0D456EAD83}" srcId="{3C0AF48B-FD7E-47A2-8CC0-A832D8A786FB}" destId="{3B70E772-076D-4341-B7C6-FA54DB004AF8}" srcOrd="4" destOrd="0" parTransId="{F72A860D-B827-4CE1-9214-8B88C9035EC6}" sibTransId="{1F24214F-8F07-4C15-824D-1723212CB205}"/>
    <dgm:cxn modelId="{2F0E7BD7-DDB5-4F18-B1A7-27D334B5D293}" srcId="{3C0AF48B-FD7E-47A2-8CC0-A832D8A786FB}" destId="{89BF607A-1A2E-490F-ADDB-4C6835113D63}" srcOrd="6" destOrd="0" parTransId="{270C8023-AAFE-4F5D-B0D3-AF9FF632CC12}" sibTransId="{340C9BED-F982-4808-85C5-83F1A9B74C26}"/>
    <dgm:cxn modelId="{81EC5EEE-EE95-4301-BB3F-2617EFC40BFC}" srcId="{3C0AF48B-FD7E-47A2-8CC0-A832D8A786FB}" destId="{E89C30B6-04C1-4E28-8034-FEF2113FD4D0}" srcOrd="1" destOrd="0" parTransId="{2E79978D-AB3F-4982-A8BD-D84883F74E0A}" sibTransId="{E140BAFA-E3C9-4572-9893-8CD0AE804AF8}"/>
    <dgm:cxn modelId="{32CBAEF4-1996-473F-BD13-F8E72A988827}" type="presOf" srcId="{3B70E772-076D-4341-B7C6-FA54DB004AF8}" destId="{0887620F-F766-4A5E-995A-29026B56DC5B}" srcOrd="0" destOrd="0" presId="urn:microsoft.com/office/officeart/2005/8/layout/process4"/>
    <dgm:cxn modelId="{5AD01EE3-B1F6-4C1F-850E-C1DD25ADD64F}" type="presParOf" srcId="{150E8C9D-E911-4D11-A1D0-FAC59F896864}" destId="{C7B0B1A8-DCA9-47BF-98ED-55DA9FCEA320}" srcOrd="0" destOrd="0" presId="urn:microsoft.com/office/officeart/2005/8/layout/process4"/>
    <dgm:cxn modelId="{FE9ED058-D1A9-42A9-8DB1-816675E9584E}" type="presParOf" srcId="{C7B0B1A8-DCA9-47BF-98ED-55DA9FCEA320}" destId="{53D61205-A132-42E6-9152-5F41EE2BB8A9}" srcOrd="0" destOrd="0" presId="urn:microsoft.com/office/officeart/2005/8/layout/process4"/>
    <dgm:cxn modelId="{8BF986F1-83B7-4149-A96D-05702131F87F}" type="presParOf" srcId="{150E8C9D-E911-4D11-A1D0-FAC59F896864}" destId="{1AFC5D87-6680-4656-9844-8DAC47C33693}" srcOrd="1" destOrd="0" presId="urn:microsoft.com/office/officeart/2005/8/layout/process4"/>
    <dgm:cxn modelId="{37C12270-931F-4A18-9B91-D62EF8EBA06E}" type="presParOf" srcId="{150E8C9D-E911-4D11-A1D0-FAC59F896864}" destId="{94A7A01D-6792-41AD-81FB-C0266FC11515}" srcOrd="2" destOrd="0" presId="urn:microsoft.com/office/officeart/2005/8/layout/process4"/>
    <dgm:cxn modelId="{DC1D9C81-D285-4FED-9647-35906245E7D2}" type="presParOf" srcId="{94A7A01D-6792-41AD-81FB-C0266FC11515}" destId="{152A8F10-47E1-42C2-A92D-8468B4C11ADC}" srcOrd="0" destOrd="0" presId="urn:microsoft.com/office/officeart/2005/8/layout/process4"/>
    <dgm:cxn modelId="{3E43B8A5-FEAF-49C6-BCD3-B45517A8C84C}" type="presParOf" srcId="{150E8C9D-E911-4D11-A1D0-FAC59F896864}" destId="{A5C68251-13A8-4482-88A2-D69F8715B455}" srcOrd="3" destOrd="0" presId="urn:microsoft.com/office/officeart/2005/8/layout/process4"/>
    <dgm:cxn modelId="{7E5450E4-8A73-4A98-8BA6-52F4BB89F26E}" type="presParOf" srcId="{150E8C9D-E911-4D11-A1D0-FAC59F896864}" destId="{2386E72B-31D2-4519-AB42-A6AE89CFC693}" srcOrd="4" destOrd="0" presId="urn:microsoft.com/office/officeart/2005/8/layout/process4"/>
    <dgm:cxn modelId="{73E7BAB3-DA40-4528-9C4A-CC2D4E1E7043}" type="presParOf" srcId="{2386E72B-31D2-4519-AB42-A6AE89CFC693}" destId="{0887620F-F766-4A5E-995A-29026B56DC5B}" srcOrd="0" destOrd="0" presId="urn:microsoft.com/office/officeart/2005/8/layout/process4"/>
    <dgm:cxn modelId="{8A7969D8-E66B-4189-AEC7-0CF56520CEA2}" type="presParOf" srcId="{150E8C9D-E911-4D11-A1D0-FAC59F896864}" destId="{F3A877B0-DC5C-48BB-B5F6-F28E6198FA13}" srcOrd="5" destOrd="0" presId="urn:microsoft.com/office/officeart/2005/8/layout/process4"/>
    <dgm:cxn modelId="{01BDE413-4ADD-4097-9997-F16E3CDF92BF}" type="presParOf" srcId="{150E8C9D-E911-4D11-A1D0-FAC59F896864}" destId="{3872193F-71E5-4F13-8BFF-517CF969261E}" srcOrd="6" destOrd="0" presId="urn:microsoft.com/office/officeart/2005/8/layout/process4"/>
    <dgm:cxn modelId="{3BF6DD27-1399-4E4B-AE31-78094CEAE745}" type="presParOf" srcId="{3872193F-71E5-4F13-8BFF-517CF969261E}" destId="{04ED48CF-AAF2-41E5-A9CC-2BC1A1B53320}" srcOrd="0" destOrd="0" presId="urn:microsoft.com/office/officeart/2005/8/layout/process4"/>
    <dgm:cxn modelId="{FBE2E7F0-653E-4EC6-8E1F-E493825A449C}" type="presParOf" srcId="{150E8C9D-E911-4D11-A1D0-FAC59F896864}" destId="{DFFEE8C7-CBEA-48E8-95FC-5CCC5DA46BC4}" srcOrd="7" destOrd="0" presId="urn:microsoft.com/office/officeart/2005/8/layout/process4"/>
    <dgm:cxn modelId="{F53D2444-5A78-4D86-BAAE-AC8176D53C76}" type="presParOf" srcId="{150E8C9D-E911-4D11-A1D0-FAC59F896864}" destId="{E878E2C5-45C1-4D59-A83E-04B1B8341C82}" srcOrd="8" destOrd="0" presId="urn:microsoft.com/office/officeart/2005/8/layout/process4"/>
    <dgm:cxn modelId="{5BD41114-9D72-49B7-B3F3-BFB8AD59EE08}" type="presParOf" srcId="{E878E2C5-45C1-4D59-A83E-04B1B8341C82}" destId="{314FF9E9-8E92-44A1-9545-900FF3F6762C}" srcOrd="0" destOrd="0" presId="urn:microsoft.com/office/officeart/2005/8/layout/process4"/>
    <dgm:cxn modelId="{2C2B661F-4503-498E-A1F0-8852D1A16228}" type="presParOf" srcId="{150E8C9D-E911-4D11-A1D0-FAC59F896864}" destId="{EC4AD01B-0BFF-4D43-A1E9-8A798D64BB3F}" srcOrd="9" destOrd="0" presId="urn:microsoft.com/office/officeart/2005/8/layout/process4"/>
    <dgm:cxn modelId="{72824AD9-077E-432B-A7AF-DD6C1C7107F7}" type="presParOf" srcId="{150E8C9D-E911-4D11-A1D0-FAC59F896864}" destId="{648A14ED-1AEA-40C5-B220-19B5B7039777}" srcOrd="10" destOrd="0" presId="urn:microsoft.com/office/officeart/2005/8/layout/process4"/>
    <dgm:cxn modelId="{D541492B-CF3B-4E7B-9500-3C25CCE8D45D}" type="presParOf" srcId="{648A14ED-1AEA-40C5-B220-19B5B7039777}" destId="{6359937D-394E-4011-9AEF-A930A326AA73}" srcOrd="0" destOrd="0" presId="urn:microsoft.com/office/officeart/2005/8/layout/process4"/>
    <dgm:cxn modelId="{12C5DA65-F79E-4402-AE92-6056F5949AA8}" type="presParOf" srcId="{150E8C9D-E911-4D11-A1D0-FAC59F896864}" destId="{2DACB9CB-07C0-4B02-99E9-551C9CDACDCD}" srcOrd="11" destOrd="0" presId="urn:microsoft.com/office/officeart/2005/8/layout/process4"/>
    <dgm:cxn modelId="{ED2A7B59-C0A6-4D63-A6E2-BDC0D332B73E}" type="presParOf" srcId="{150E8C9D-E911-4D11-A1D0-FAC59F896864}" destId="{187225ED-839C-4C48-98AC-46CBAAA91F1B}" srcOrd="12" destOrd="0" presId="urn:microsoft.com/office/officeart/2005/8/layout/process4"/>
    <dgm:cxn modelId="{D5A695B8-16DA-43FD-97A4-3A17B73C4393}" type="presParOf" srcId="{187225ED-839C-4C48-98AC-46CBAAA91F1B}" destId="{1A28C061-D50B-4680-B7DA-38661F6DA1D7}" srcOrd="0" destOrd="0" presId="urn:microsoft.com/office/officeart/2005/8/layout/process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D31022-BA4E-4A40-A31C-8D9B28EF93CC}" type="doc">
      <dgm:prSet loTypeId="urn:microsoft.com/office/officeart/2005/8/layout/cycle4" loCatId="cycle" qsTypeId="urn:microsoft.com/office/officeart/2005/8/quickstyle/simple2" qsCatId="simple" csTypeId="urn:microsoft.com/office/officeart/2005/8/colors/accent1_3" csCatId="accent1" phldr="1"/>
      <dgm:spPr/>
      <dgm:t>
        <a:bodyPr/>
        <a:lstStyle/>
        <a:p>
          <a:endParaRPr lang="en-US"/>
        </a:p>
      </dgm:t>
    </dgm:pt>
    <dgm:pt modelId="{B545AD9A-53F4-470C-AFB1-00876EBC9FCF}">
      <dgm:prSet phldrT="[Text]" custT="1"/>
      <dgm:spPr>
        <a:xfrm>
          <a:off x="1208236" y="1380566"/>
          <a:ext cx="1122288" cy="408366"/>
        </a:xfrm>
      </dgm:spPr>
      <dgm:t>
        <a:bodyPr/>
        <a:lstStyle/>
        <a:p>
          <a:pPr algn="ctr"/>
          <a:r>
            <a:rPr lang="en-US" sz="800" b="1">
              <a:latin typeface="Times New Roman" pitchFamily="18" charset="0"/>
              <a:cs typeface="Times New Roman" pitchFamily="18" charset="0"/>
            </a:rPr>
            <a:t>INSTITUTIONAL </a:t>
          </a:r>
        </a:p>
      </dgm:t>
    </dgm:pt>
    <dgm:pt modelId="{1F5461E5-B9D5-4F24-9B80-A724AA82F663}" type="parTrans" cxnId="{607E6C67-DD6A-4638-8C50-CE84E324FB8D}">
      <dgm:prSet/>
      <dgm:spPr/>
      <dgm:t>
        <a:bodyPr/>
        <a:lstStyle/>
        <a:p>
          <a:pPr algn="ctr"/>
          <a:endParaRPr lang="en-US"/>
        </a:p>
      </dgm:t>
    </dgm:pt>
    <dgm:pt modelId="{49DD1C22-8EE1-4C19-BAAF-CCD273C8BE43}" type="sibTrans" cxnId="{607E6C67-DD6A-4638-8C50-CE84E324FB8D}">
      <dgm:prSet/>
      <dgm:spPr/>
      <dgm:t>
        <a:bodyPr/>
        <a:lstStyle/>
        <a:p>
          <a:pPr algn="ctr"/>
          <a:endParaRPr lang="en-US"/>
        </a:p>
      </dgm:t>
    </dgm:pt>
    <dgm:pt modelId="{57799D37-DE1E-4933-93A9-EBE0144429FC}">
      <dgm:prSet phldrT="[Text]" custT="1"/>
      <dgm:spPr>
        <a:xfrm>
          <a:off x="1767586" y="530846"/>
          <a:ext cx="816928" cy="408366"/>
        </a:xfrm>
      </dgm:spPr>
      <dgm:t>
        <a:bodyPr/>
        <a:lstStyle/>
        <a:p>
          <a:pPr algn="ctr"/>
          <a:r>
            <a:rPr lang="en-US" sz="700" b="1">
              <a:latin typeface="Times New Roman" pitchFamily="18" charset="0"/>
              <a:cs typeface="Times New Roman" pitchFamily="18" charset="0"/>
            </a:rPr>
            <a:t>MUNICIPAL/AUTHORITIES </a:t>
          </a:r>
        </a:p>
      </dgm:t>
    </dgm:pt>
    <dgm:pt modelId="{66AA28FE-7265-4B08-92B2-B92B4BB065BB}" type="sibTrans" cxnId="{2133E49F-FB29-423C-953D-62339AB17688}">
      <dgm:prSet/>
      <dgm:spPr/>
      <dgm:t>
        <a:bodyPr/>
        <a:lstStyle/>
        <a:p>
          <a:pPr algn="ctr"/>
          <a:endParaRPr lang="en-US"/>
        </a:p>
      </dgm:t>
    </dgm:pt>
    <dgm:pt modelId="{36781D51-4001-41DB-9A25-2E27F4EB312C}" type="parTrans" cxnId="{2133E49F-FB29-423C-953D-62339AB17688}">
      <dgm:prSet/>
      <dgm:spPr/>
      <dgm:t>
        <a:bodyPr/>
        <a:lstStyle/>
        <a:p>
          <a:pPr algn="ctr"/>
          <a:endParaRPr lang="en-US"/>
        </a:p>
      </dgm:t>
    </dgm:pt>
    <dgm:pt modelId="{B70E54FF-0501-4601-A8AD-2DE8FABD86C6}">
      <dgm:prSet custT="1"/>
      <dgm:spPr/>
      <dgm:t>
        <a:bodyPr/>
        <a:lstStyle/>
        <a:p>
          <a:pPr algn="ctr"/>
          <a:r>
            <a:rPr lang="en-US" sz="800" b="1">
              <a:latin typeface="Times New Roman" pitchFamily="18" charset="0"/>
              <a:cs typeface="Times New Roman" pitchFamily="18" charset="0"/>
            </a:rPr>
            <a:t>PROVINCIAL</a:t>
          </a:r>
        </a:p>
      </dgm:t>
    </dgm:pt>
    <dgm:pt modelId="{483F7707-10EE-4059-AA3D-4D4294375065}" type="parTrans" cxnId="{C0C3CD07-8A96-490B-AC4D-12DDA1F0CADE}">
      <dgm:prSet/>
      <dgm:spPr/>
      <dgm:t>
        <a:bodyPr/>
        <a:lstStyle/>
        <a:p>
          <a:pPr algn="ctr"/>
          <a:endParaRPr lang="en-US"/>
        </a:p>
      </dgm:t>
    </dgm:pt>
    <dgm:pt modelId="{0694A392-F787-4BC1-8415-BCF4B7B1E403}" type="sibTrans" cxnId="{C0C3CD07-8A96-490B-AC4D-12DDA1F0CADE}">
      <dgm:prSet/>
      <dgm:spPr/>
      <dgm:t>
        <a:bodyPr/>
        <a:lstStyle/>
        <a:p>
          <a:pPr algn="ctr"/>
          <a:endParaRPr lang="en-US"/>
        </a:p>
      </dgm:t>
    </dgm:pt>
    <dgm:pt modelId="{DD7E1B3B-BC51-47E2-B5F8-28D7E83FB81B}">
      <dgm:prSet custT="1"/>
      <dgm:spPr/>
      <dgm:t>
        <a:bodyPr/>
        <a:lstStyle/>
        <a:p>
          <a:pPr algn="ctr"/>
          <a:r>
            <a:rPr lang="en-US" sz="800" b="1">
              <a:latin typeface="Times New Roman" pitchFamily="18" charset="0"/>
              <a:cs typeface="Times New Roman" pitchFamily="18" charset="0"/>
            </a:rPr>
            <a:t>NATIONAL</a:t>
          </a:r>
        </a:p>
      </dgm:t>
    </dgm:pt>
    <dgm:pt modelId="{61E7E180-F5EB-4A0C-94C4-D91AC43F08A8}" type="parTrans" cxnId="{14DCB53E-FA25-4160-B90F-B2613F93E3D6}">
      <dgm:prSet/>
      <dgm:spPr/>
      <dgm:t>
        <a:bodyPr/>
        <a:lstStyle/>
        <a:p>
          <a:pPr algn="ctr"/>
          <a:endParaRPr lang="en-US"/>
        </a:p>
      </dgm:t>
    </dgm:pt>
    <dgm:pt modelId="{746577F0-7835-493E-BD69-0445974606D6}" type="sibTrans" cxnId="{14DCB53E-FA25-4160-B90F-B2613F93E3D6}">
      <dgm:prSet/>
      <dgm:spPr/>
      <dgm:t>
        <a:bodyPr/>
        <a:lstStyle/>
        <a:p>
          <a:pPr algn="ctr"/>
          <a:endParaRPr lang="en-US"/>
        </a:p>
      </dgm:t>
    </dgm:pt>
    <dgm:pt modelId="{D27EE98F-5CCC-4857-BB88-E90939E2A5D2}" type="pres">
      <dgm:prSet presAssocID="{C5D31022-BA4E-4A40-A31C-8D9B28EF93CC}" presName="cycleMatrixDiagram" presStyleCnt="0">
        <dgm:presLayoutVars>
          <dgm:chMax val="1"/>
          <dgm:dir/>
          <dgm:animLvl val="lvl"/>
          <dgm:resizeHandles val="exact"/>
        </dgm:presLayoutVars>
      </dgm:prSet>
      <dgm:spPr/>
    </dgm:pt>
    <dgm:pt modelId="{7900ACA3-F7D0-4731-BCAD-C01ADDEF91BF}" type="pres">
      <dgm:prSet presAssocID="{C5D31022-BA4E-4A40-A31C-8D9B28EF93CC}" presName="children" presStyleCnt="0"/>
      <dgm:spPr/>
    </dgm:pt>
    <dgm:pt modelId="{24A46F1E-75FA-4AE2-9EFD-237A38A3F54C}" type="pres">
      <dgm:prSet presAssocID="{C5D31022-BA4E-4A40-A31C-8D9B28EF93CC}" presName="childPlaceholder" presStyleCnt="0"/>
      <dgm:spPr/>
    </dgm:pt>
    <dgm:pt modelId="{8622E55E-6A08-4CF8-AA5A-E3B8A9D6C4F7}" type="pres">
      <dgm:prSet presAssocID="{C5D31022-BA4E-4A40-A31C-8D9B28EF93CC}" presName="circle" presStyleCnt="0"/>
      <dgm:spPr/>
    </dgm:pt>
    <dgm:pt modelId="{1A0E3358-DA0E-440D-BFC2-F6CA6EAF33EA}" type="pres">
      <dgm:prSet presAssocID="{C5D31022-BA4E-4A40-A31C-8D9B28EF93CC}" presName="quadrant1" presStyleLbl="node1" presStyleIdx="0" presStyleCnt="4">
        <dgm:presLayoutVars>
          <dgm:chMax val="1"/>
          <dgm:bulletEnabled val="1"/>
        </dgm:presLayoutVars>
      </dgm:prSet>
      <dgm:spPr/>
    </dgm:pt>
    <dgm:pt modelId="{28B886C6-FDDC-43F9-A91E-E6323FE180E5}" type="pres">
      <dgm:prSet presAssocID="{C5D31022-BA4E-4A40-A31C-8D9B28EF93CC}" presName="quadrant2" presStyleLbl="node1" presStyleIdx="1" presStyleCnt="4">
        <dgm:presLayoutVars>
          <dgm:chMax val="1"/>
          <dgm:bulletEnabled val="1"/>
        </dgm:presLayoutVars>
      </dgm:prSet>
      <dgm:spPr/>
    </dgm:pt>
    <dgm:pt modelId="{F40AE57C-BD8A-4A21-857D-6A564BFE4F75}" type="pres">
      <dgm:prSet presAssocID="{C5D31022-BA4E-4A40-A31C-8D9B28EF93CC}" presName="quadrant3" presStyleLbl="node1" presStyleIdx="2" presStyleCnt="4">
        <dgm:presLayoutVars>
          <dgm:chMax val="1"/>
          <dgm:bulletEnabled val="1"/>
        </dgm:presLayoutVars>
      </dgm:prSet>
      <dgm:spPr/>
    </dgm:pt>
    <dgm:pt modelId="{6EACA3C6-78FF-48B6-96FD-800B7A047B9F}" type="pres">
      <dgm:prSet presAssocID="{C5D31022-BA4E-4A40-A31C-8D9B28EF93CC}" presName="quadrant4" presStyleLbl="node1" presStyleIdx="3" presStyleCnt="4">
        <dgm:presLayoutVars>
          <dgm:chMax val="1"/>
          <dgm:bulletEnabled val="1"/>
        </dgm:presLayoutVars>
      </dgm:prSet>
      <dgm:spPr/>
    </dgm:pt>
    <dgm:pt modelId="{E9F7F9B9-F21F-4021-835C-A8766D78EDB6}" type="pres">
      <dgm:prSet presAssocID="{C5D31022-BA4E-4A40-A31C-8D9B28EF93CC}" presName="quadrantPlaceholder" presStyleCnt="0"/>
      <dgm:spPr/>
    </dgm:pt>
    <dgm:pt modelId="{C206D8D7-6662-4D79-9B3B-8CEEEC2DA49D}" type="pres">
      <dgm:prSet presAssocID="{C5D31022-BA4E-4A40-A31C-8D9B28EF93CC}" presName="center1" presStyleLbl="fgShp" presStyleIdx="0" presStyleCnt="2"/>
      <dgm:spPr/>
    </dgm:pt>
    <dgm:pt modelId="{EAA93373-A750-444E-9D25-1C5F430C29A0}" type="pres">
      <dgm:prSet presAssocID="{C5D31022-BA4E-4A40-A31C-8D9B28EF93CC}" presName="center2" presStyleLbl="fgShp" presStyleIdx="1" presStyleCnt="2"/>
      <dgm:spPr/>
    </dgm:pt>
  </dgm:ptLst>
  <dgm:cxnLst>
    <dgm:cxn modelId="{C0C3CD07-8A96-490B-AC4D-12DDA1F0CADE}" srcId="{C5D31022-BA4E-4A40-A31C-8D9B28EF93CC}" destId="{B70E54FF-0501-4601-A8AD-2DE8FABD86C6}" srcOrd="1" destOrd="0" parTransId="{483F7707-10EE-4059-AA3D-4D4294375065}" sibTransId="{0694A392-F787-4BC1-8415-BCF4B7B1E403}"/>
    <dgm:cxn modelId="{034BFC20-39F4-4A98-90F0-156C4367EEB1}" type="presOf" srcId="{B545AD9A-53F4-470C-AFB1-00876EBC9FCF}" destId="{6EACA3C6-78FF-48B6-96FD-800B7A047B9F}" srcOrd="0" destOrd="0" presId="urn:microsoft.com/office/officeart/2005/8/layout/cycle4"/>
    <dgm:cxn modelId="{14DCB53E-FA25-4160-B90F-B2613F93E3D6}" srcId="{C5D31022-BA4E-4A40-A31C-8D9B28EF93CC}" destId="{DD7E1B3B-BC51-47E2-B5F8-28D7E83FB81B}" srcOrd="0" destOrd="0" parTransId="{61E7E180-F5EB-4A0C-94C4-D91AC43F08A8}" sibTransId="{746577F0-7835-493E-BD69-0445974606D6}"/>
    <dgm:cxn modelId="{607E6C67-DD6A-4638-8C50-CE84E324FB8D}" srcId="{C5D31022-BA4E-4A40-A31C-8D9B28EF93CC}" destId="{B545AD9A-53F4-470C-AFB1-00876EBC9FCF}" srcOrd="3" destOrd="0" parTransId="{1F5461E5-B9D5-4F24-9B80-A724AA82F663}" sibTransId="{49DD1C22-8EE1-4C19-BAAF-CCD273C8BE43}"/>
    <dgm:cxn modelId="{61333054-70A3-4373-8690-04716E79884C}" type="presOf" srcId="{C5D31022-BA4E-4A40-A31C-8D9B28EF93CC}" destId="{D27EE98F-5CCC-4857-BB88-E90939E2A5D2}" srcOrd="0" destOrd="0" presId="urn:microsoft.com/office/officeart/2005/8/layout/cycle4"/>
    <dgm:cxn modelId="{99DD1B8B-F54E-4B9C-A8A3-9F731A609EAC}" type="presOf" srcId="{B70E54FF-0501-4601-A8AD-2DE8FABD86C6}" destId="{28B886C6-FDDC-43F9-A91E-E6323FE180E5}" srcOrd="0" destOrd="0" presId="urn:microsoft.com/office/officeart/2005/8/layout/cycle4"/>
    <dgm:cxn modelId="{03390D8D-B5E3-429D-AA6C-23A7BF9582DD}" type="presOf" srcId="{57799D37-DE1E-4933-93A9-EBE0144429FC}" destId="{F40AE57C-BD8A-4A21-857D-6A564BFE4F75}" srcOrd="0" destOrd="0" presId="urn:microsoft.com/office/officeart/2005/8/layout/cycle4"/>
    <dgm:cxn modelId="{2133E49F-FB29-423C-953D-62339AB17688}" srcId="{C5D31022-BA4E-4A40-A31C-8D9B28EF93CC}" destId="{57799D37-DE1E-4933-93A9-EBE0144429FC}" srcOrd="2" destOrd="0" parTransId="{36781D51-4001-41DB-9A25-2E27F4EB312C}" sibTransId="{66AA28FE-7265-4B08-92B2-B92B4BB065BB}"/>
    <dgm:cxn modelId="{56273DDF-30ED-4D54-A15E-8D647F7284AF}" type="presOf" srcId="{DD7E1B3B-BC51-47E2-B5F8-28D7E83FB81B}" destId="{1A0E3358-DA0E-440D-BFC2-F6CA6EAF33EA}" srcOrd="0" destOrd="0" presId="urn:microsoft.com/office/officeart/2005/8/layout/cycle4"/>
    <dgm:cxn modelId="{7A4F506F-28E9-48E3-8486-E7D6BA1D88C9}" type="presParOf" srcId="{D27EE98F-5CCC-4857-BB88-E90939E2A5D2}" destId="{7900ACA3-F7D0-4731-BCAD-C01ADDEF91BF}" srcOrd="0" destOrd="0" presId="urn:microsoft.com/office/officeart/2005/8/layout/cycle4"/>
    <dgm:cxn modelId="{04110759-954D-49E6-9553-F1DAABF14A2C}" type="presParOf" srcId="{7900ACA3-F7D0-4731-BCAD-C01ADDEF91BF}" destId="{24A46F1E-75FA-4AE2-9EFD-237A38A3F54C}" srcOrd="0" destOrd="0" presId="urn:microsoft.com/office/officeart/2005/8/layout/cycle4"/>
    <dgm:cxn modelId="{38F24095-4511-459C-B5B1-D3973C263025}" type="presParOf" srcId="{D27EE98F-5CCC-4857-BB88-E90939E2A5D2}" destId="{8622E55E-6A08-4CF8-AA5A-E3B8A9D6C4F7}" srcOrd="1" destOrd="0" presId="urn:microsoft.com/office/officeart/2005/8/layout/cycle4"/>
    <dgm:cxn modelId="{C9CEDDEB-9C0D-4DBF-A745-FA8DA4288B0B}" type="presParOf" srcId="{8622E55E-6A08-4CF8-AA5A-E3B8A9D6C4F7}" destId="{1A0E3358-DA0E-440D-BFC2-F6CA6EAF33EA}" srcOrd="0" destOrd="0" presId="urn:microsoft.com/office/officeart/2005/8/layout/cycle4"/>
    <dgm:cxn modelId="{E701EBD1-F5EB-4890-A1B2-0FE9D71B2DF8}" type="presParOf" srcId="{8622E55E-6A08-4CF8-AA5A-E3B8A9D6C4F7}" destId="{28B886C6-FDDC-43F9-A91E-E6323FE180E5}" srcOrd="1" destOrd="0" presId="urn:microsoft.com/office/officeart/2005/8/layout/cycle4"/>
    <dgm:cxn modelId="{52955015-5526-44E2-9E52-A205E2DBCE94}" type="presParOf" srcId="{8622E55E-6A08-4CF8-AA5A-E3B8A9D6C4F7}" destId="{F40AE57C-BD8A-4A21-857D-6A564BFE4F75}" srcOrd="2" destOrd="0" presId="urn:microsoft.com/office/officeart/2005/8/layout/cycle4"/>
    <dgm:cxn modelId="{6498F7CD-C107-4981-BB19-B0575AE86DB1}" type="presParOf" srcId="{8622E55E-6A08-4CF8-AA5A-E3B8A9D6C4F7}" destId="{6EACA3C6-78FF-48B6-96FD-800B7A047B9F}" srcOrd="3" destOrd="0" presId="urn:microsoft.com/office/officeart/2005/8/layout/cycle4"/>
    <dgm:cxn modelId="{B3CF6192-CEF9-4B86-BB49-552087D25682}" type="presParOf" srcId="{8622E55E-6A08-4CF8-AA5A-E3B8A9D6C4F7}" destId="{E9F7F9B9-F21F-4021-835C-A8766D78EDB6}" srcOrd="4" destOrd="0" presId="urn:microsoft.com/office/officeart/2005/8/layout/cycle4"/>
    <dgm:cxn modelId="{1BEB3EFE-47B3-4D7E-B2E3-1C59AC0D5988}" type="presParOf" srcId="{D27EE98F-5CCC-4857-BB88-E90939E2A5D2}" destId="{C206D8D7-6662-4D79-9B3B-8CEEEC2DA49D}" srcOrd="2" destOrd="0" presId="urn:microsoft.com/office/officeart/2005/8/layout/cycle4"/>
    <dgm:cxn modelId="{763D977D-B8DD-499F-A557-F87289219E7E}" type="presParOf" srcId="{D27EE98F-5CCC-4857-BB88-E90939E2A5D2}" destId="{EAA93373-A750-444E-9D25-1C5F430C29A0}" srcOrd="3" destOrd="0" presId="urn:microsoft.com/office/officeart/2005/8/layout/cycle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D61205-A132-42E6-9152-5F41EE2BB8A9}">
      <dsp:nvSpPr>
        <dsp:cNvPr id="0" name=""/>
        <dsp:cNvSpPr/>
      </dsp:nvSpPr>
      <dsp:spPr>
        <a:xfrm>
          <a:off x="0" y="2713481"/>
          <a:ext cx="5943600" cy="296934"/>
        </a:xfrm>
        <a:prstGeom prst="rect">
          <a:avLst/>
        </a:prstGeom>
        <a:solidFill>
          <a:schemeClr val="accent5">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Final Publication for Detailed Evaluation (36) </a:t>
          </a:r>
        </a:p>
      </dsp:txBody>
      <dsp:txXfrm>
        <a:off x="0" y="2713481"/>
        <a:ext cx="5943600" cy="296934"/>
      </dsp:txXfrm>
    </dsp:sp>
    <dsp:sp modelId="{152A8F10-47E1-42C2-A92D-8468B4C11ADC}">
      <dsp:nvSpPr>
        <dsp:cNvPr id="0" name=""/>
        <dsp:cNvSpPr/>
      </dsp:nvSpPr>
      <dsp:spPr>
        <a:xfrm rot="10800000">
          <a:off x="0" y="2261249"/>
          <a:ext cx="5943600" cy="456685"/>
        </a:xfrm>
        <a:prstGeom prst="upArrowCallout">
          <a:avLst/>
        </a:prstGeom>
        <a:solidFill>
          <a:schemeClr val="accent5">
            <a:hueOff val="-1655646"/>
            <a:satOff val="6635"/>
            <a:lumOff val="143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of Secondary Sources (18)</a:t>
          </a:r>
        </a:p>
      </dsp:txBody>
      <dsp:txXfrm rot="10800000">
        <a:off x="0" y="2261249"/>
        <a:ext cx="5943600" cy="296740"/>
      </dsp:txXfrm>
    </dsp:sp>
    <dsp:sp modelId="{0887620F-F766-4A5E-995A-29026B56DC5B}">
      <dsp:nvSpPr>
        <dsp:cNvPr id="0" name=""/>
        <dsp:cNvSpPr/>
      </dsp:nvSpPr>
      <dsp:spPr>
        <a:xfrm rot="10800000">
          <a:off x="0" y="1809017"/>
          <a:ext cx="5943600" cy="456685"/>
        </a:xfrm>
        <a:prstGeom prst="upArrowCallout">
          <a:avLst/>
        </a:prstGeom>
        <a:solidFill>
          <a:schemeClr val="accent5">
            <a:hueOff val="-3311292"/>
            <a:satOff val="13270"/>
            <a:lumOff val="2876"/>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Full Text Review (54)</a:t>
          </a:r>
        </a:p>
      </dsp:txBody>
      <dsp:txXfrm rot="10800000">
        <a:off x="0" y="1809017"/>
        <a:ext cx="5943600" cy="296740"/>
      </dsp:txXfrm>
    </dsp:sp>
    <dsp:sp modelId="{04ED48CF-AAF2-41E5-A9CC-2BC1A1B53320}">
      <dsp:nvSpPr>
        <dsp:cNvPr id="0" name=""/>
        <dsp:cNvSpPr/>
      </dsp:nvSpPr>
      <dsp:spPr>
        <a:xfrm rot="10800000">
          <a:off x="0" y="1356786"/>
          <a:ext cx="5943600" cy="456685"/>
        </a:xfrm>
        <a:prstGeom prst="upArrowCallout">
          <a:avLst/>
        </a:prstGeom>
        <a:solidFill>
          <a:schemeClr val="accent5">
            <a:hueOff val="-4966938"/>
            <a:satOff val="19906"/>
            <a:lumOff val="4314"/>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for Non-Focus on Research Setting (177)</a:t>
          </a:r>
        </a:p>
      </dsp:txBody>
      <dsp:txXfrm rot="10800000">
        <a:off x="0" y="1356786"/>
        <a:ext cx="5943600" cy="296740"/>
      </dsp:txXfrm>
    </dsp:sp>
    <dsp:sp modelId="{314FF9E9-8E92-44A1-9545-900FF3F6762C}">
      <dsp:nvSpPr>
        <dsp:cNvPr id="0" name=""/>
        <dsp:cNvSpPr/>
      </dsp:nvSpPr>
      <dsp:spPr>
        <a:xfrm rot="10800000">
          <a:off x="0" y="904554"/>
          <a:ext cx="5943600" cy="456685"/>
        </a:xfrm>
        <a:prstGeom prst="upArrowCallout">
          <a:avLst/>
        </a:prstGeom>
        <a:solidFill>
          <a:schemeClr val="accent5">
            <a:hueOff val="-6622584"/>
            <a:satOff val="26541"/>
            <a:lumOff val="5752"/>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for Non-Focus on Vocational Education (203)</a:t>
          </a:r>
        </a:p>
      </dsp:txBody>
      <dsp:txXfrm rot="10800000">
        <a:off x="0" y="904554"/>
        <a:ext cx="5943600" cy="296740"/>
      </dsp:txXfrm>
    </dsp:sp>
    <dsp:sp modelId="{6359937D-394E-4011-9AEF-A930A326AA73}">
      <dsp:nvSpPr>
        <dsp:cNvPr id="0" name=""/>
        <dsp:cNvSpPr/>
      </dsp:nvSpPr>
      <dsp:spPr>
        <a:xfrm rot="10800000">
          <a:off x="0" y="452322"/>
          <a:ext cx="5943600" cy="456685"/>
        </a:xfrm>
        <a:prstGeom prst="upArrowCallout">
          <a:avLst/>
        </a:prstGeom>
        <a:solidFill>
          <a:schemeClr val="accent5">
            <a:hueOff val="-8278230"/>
            <a:satOff val="33176"/>
            <a:lumOff val="719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Exclusion for Non-Relevance (301)</a:t>
          </a:r>
        </a:p>
      </dsp:txBody>
      <dsp:txXfrm rot="10800000">
        <a:off x="0" y="452322"/>
        <a:ext cx="5943600" cy="296740"/>
      </dsp:txXfrm>
    </dsp:sp>
    <dsp:sp modelId="{1A28C061-D50B-4680-B7DA-38661F6DA1D7}">
      <dsp:nvSpPr>
        <dsp:cNvPr id="0" name=""/>
        <dsp:cNvSpPr/>
      </dsp:nvSpPr>
      <dsp:spPr>
        <a:xfrm rot="10800000">
          <a:off x="0" y="91"/>
          <a:ext cx="5943600" cy="456685"/>
        </a:xfrm>
        <a:prstGeom prst="upArrowCallout">
          <a:avLst/>
        </a:prstGeom>
        <a:solidFill>
          <a:schemeClr val="accent5">
            <a:hueOff val="-9933876"/>
            <a:satOff val="39811"/>
            <a:lumOff val="862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kern="1200">
              <a:latin typeface="Times New Roman" pitchFamily="18" charset="0"/>
              <a:cs typeface="Times New Roman" pitchFamily="18" charset="0"/>
            </a:rPr>
            <a:t>Initial Pool of Abstracts (735) </a:t>
          </a:r>
        </a:p>
      </dsp:txBody>
      <dsp:txXfrm rot="10800000">
        <a:off x="0" y="91"/>
        <a:ext cx="5943600" cy="29674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A0E3358-DA0E-440D-BFC2-F6CA6EAF33EA}">
      <dsp:nvSpPr>
        <dsp:cNvPr id="0" name=""/>
        <dsp:cNvSpPr/>
      </dsp:nvSpPr>
      <dsp:spPr>
        <a:xfrm>
          <a:off x="964234" y="149847"/>
          <a:ext cx="1138313" cy="1138313"/>
        </a:xfrm>
        <a:prstGeom prst="pieWedge">
          <a:avLst/>
        </a:prstGeom>
        <a:solidFill>
          <a:schemeClr val="accent1">
            <a:shade val="8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b="1" kern="1200">
              <a:latin typeface="Times New Roman" pitchFamily="18" charset="0"/>
              <a:cs typeface="Times New Roman" pitchFamily="18" charset="0"/>
            </a:rPr>
            <a:t>NATIONAL</a:t>
          </a:r>
        </a:p>
      </dsp:txBody>
      <dsp:txXfrm>
        <a:off x="1297638" y="483251"/>
        <a:ext cx="804909" cy="804909"/>
      </dsp:txXfrm>
    </dsp:sp>
    <dsp:sp modelId="{28B886C6-FDDC-43F9-A91E-E6323FE180E5}">
      <dsp:nvSpPr>
        <dsp:cNvPr id="0" name=""/>
        <dsp:cNvSpPr/>
      </dsp:nvSpPr>
      <dsp:spPr>
        <a:xfrm rot="5400000">
          <a:off x="2155126" y="149847"/>
          <a:ext cx="1138313" cy="1138313"/>
        </a:xfrm>
        <a:prstGeom prst="pieWedge">
          <a:avLst/>
        </a:prstGeom>
        <a:solidFill>
          <a:schemeClr val="accent1">
            <a:shade val="80000"/>
            <a:hueOff val="102082"/>
            <a:satOff val="-1464"/>
            <a:lumOff val="8538"/>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b="1" kern="1200">
              <a:latin typeface="Times New Roman" pitchFamily="18" charset="0"/>
              <a:cs typeface="Times New Roman" pitchFamily="18" charset="0"/>
            </a:rPr>
            <a:t>PROVINCIAL</a:t>
          </a:r>
        </a:p>
      </dsp:txBody>
      <dsp:txXfrm rot="-5400000">
        <a:off x="2155126" y="483251"/>
        <a:ext cx="804909" cy="804909"/>
      </dsp:txXfrm>
    </dsp:sp>
    <dsp:sp modelId="{F40AE57C-BD8A-4A21-857D-6A564BFE4F75}">
      <dsp:nvSpPr>
        <dsp:cNvPr id="0" name=""/>
        <dsp:cNvSpPr/>
      </dsp:nvSpPr>
      <dsp:spPr>
        <a:xfrm rot="10800000">
          <a:off x="2155126" y="1340739"/>
          <a:ext cx="1138313" cy="1138313"/>
        </a:xfrm>
        <a:prstGeom prst="pieWedge">
          <a:avLst/>
        </a:prstGeom>
        <a:solidFill>
          <a:schemeClr val="accent1">
            <a:shade val="80000"/>
            <a:hueOff val="204164"/>
            <a:satOff val="-2928"/>
            <a:lumOff val="17077"/>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n-US" sz="700" b="1" kern="1200">
              <a:latin typeface="Times New Roman" pitchFamily="18" charset="0"/>
              <a:cs typeface="Times New Roman" pitchFamily="18" charset="0"/>
            </a:rPr>
            <a:t>MUNICIPAL/AUTHORITIES </a:t>
          </a:r>
        </a:p>
      </dsp:txBody>
      <dsp:txXfrm rot="10800000">
        <a:off x="2155126" y="1340739"/>
        <a:ext cx="804909" cy="804909"/>
      </dsp:txXfrm>
    </dsp:sp>
    <dsp:sp modelId="{6EACA3C6-78FF-48B6-96FD-800B7A047B9F}">
      <dsp:nvSpPr>
        <dsp:cNvPr id="0" name=""/>
        <dsp:cNvSpPr/>
      </dsp:nvSpPr>
      <dsp:spPr>
        <a:xfrm rot="16200000">
          <a:off x="964234" y="1340739"/>
          <a:ext cx="1138313" cy="1138313"/>
        </a:xfrm>
        <a:prstGeom prst="pieWedge">
          <a:avLst/>
        </a:prstGeom>
        <a:solidFill>
          <a:schemeClr val="accent1">
            <a:shade val="80000"/>
            <a:hueOff val="306246"/>
            <a:satOff val="-4392"/>
            <a:lumOff val="25615"/>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en-US" sz="800" b="1" kern="1200">
              <a:latin typeface="Times New Roman" pitchFamily="18" charset="0"/>
              <a:cs typeface="Times New Roman" pitchFamily="18" charset="0"/>
            </a:rPr>
            <a:t>INSTITUTIONAL </a:t>
          </a:r>
        </a:p>
      </dsp:txBody>
      <dsp:txXfrm rot="5400000">
        <a:off x="1297638" y="1340739"/>
        <a:ext cx="804909" cy="804909"/>
      </dsp:txXfrm>
    </dsp:sp>
    <dsp:sp modelId="{C206D8D7-6662-4D79-9B3B-8CEEEC2DA49D}">
      <dsp:nvSpPr>
        <dsp:cNvPr id="0" name=""/>
        <dsp:cNvSpPr/>
      </dsp:nvSpPr>
      <dsp:spPr>
        <a:xfrm>
          <a:off x="1932327" y="1077849"/>
          <a:ext cx="393020" cy="341757"/>
        </a:xfrm>
        <a:prstGeom prst="circularArrow">
          <a:avLst/>
        </a:prstGeom>
        <a:solidFill>
          <a:schemeClr val="accent1">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 modelId="{EAA93373-A750-444E-9D25-1C5F430C29A0}">
      <dsp:nvSpPr>
        <dsp:cNvPr id="0" name=""/>
        <dsp:cNvSpPr/>
      </dsp:nvSpPr>
      <dsp:spPr>
        <a:xfrm rot="10800000">
          <a:off x="1932327" y="1209294"/>
          <a:ext cx="393020" cy="341757"/>
        </a:xfrm>
        <a:prstGeom prst="circularArrow">
          <a:avLst/>
        </a:prstGeom>
        <a:solidFill>
          <a:schemeClr val="accent1">
            <a:tint val="40000"/>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E21ED-ED5C-450A-B1D8-B4A5F9F19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21875</Words>
  <Characters>124690</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SDI 1180</cp:lastModifiedBy>
  <cp:revision>12</cp:revision>
  <dcterms:created xsi:type="dcterms:W3CDTF">2025-10-02T05:56:00Z</dcterms:created>
  <dcterms:modified xsi:type="dcterms:W3CDTF">2025-10-08T08:10:00Z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20ef3e17-ecf4-3a6b-a820-5cc41e3a52d2</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