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bookmarkEnd w:id="0"/>
      <w:r w:rsidRPr="00FC1A30">
        <w:rPr>
          <w:rFonts w:ascii="Times New Roman" w:eastAsia="Times New Roman" w:hAnsi="Times New Roman" w:cs="Times New Roman"/>
          <w:b/>
          <w:bCs/>
          <w:sz w:val="36"/>
          <w:szCs w:val="36"/>
          <w:lang w:val="en-US"/>
        </w:rPr>
        <w:t xml:space="preserve">Review of Nutrient Dynamics, </w:t>
      </w:r>
      <w:proofErr w:type="spellStart"/>
      <w:r w:rsidRPr="00FC1A30">
        <w:rPr>
          <w:rFonts w:ascii="Times New Roman" w:eastAsia="Times New Roman" w:hAnsi="Times New Roman" w:cs="Times New Roman"/>
          <w:b/>
          <w:bCs/>
          <w:sz w:val="36"/>
          <w:szCs w:val="36"/>
          <w:lang w:val="en-US"/>
        </w:rPr>
        <w:t>Physico</w:t>
      </w:r>
      <w:proofErr w:type="spellEnd"/>
      <w:r w:rsidRPr="00FC1A30">
        <w:rPr>
          <w:rFonts w:ascii="Times New Roman" w:eastAsia="Times New Roman" w:hAnsi="Times New Roman" w:cs="Times New Roman"/>
          <w:b/>
          <w:bCs/>
          <w:sz w:val="36"/>
          <w:szCs w:val="36"/>
          <w:lang w:val="en-US"/>
        </w:rPr>
        <w:t>-Chemical Controls, and Cyanobacterial Risk in Indian Lakes</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Abstract</w:t>
      </w:r>
    </w:p>
    <w:p w:rsidR="00EF4D40" w:rsidRDefault="00EF4D40" w:rsidP="00EF4D40">
      <w:pPr>
        <w:pStyle w:val="NormalWeb"/>
      </w:pPr>
      <w:r>
        <w:t xml:space="preserve">Indian lakes—ranging from Himalayan basins and floodplain wetlands to coastal backwaters and dense urban waterbodies—are increasingly exposed to nutrient enrichment, altered hydrology, and warming, creating conditions that favor recurrent cyanobacterial blooms and associated health risks. This review synthesizes how external nutrient inputs from wastewater, agriculture, and land-use change interact with internal nutrient recycling and </w:t>
      </w:r>
      <w:proofErr w:type="spellStart"/>
      <w:r>
        <w:t>physico</w:t>
      </w:r>
      <w:proofErr w:type="spellEnd"/>
      <w:r>
        <w:t>-chemical controls to shape bloom hazard across diverse Indian lake types. We highlight three coupled mechanisms: (</w:t>
      </w:r>
      <w:proofErr w:type="spellStart"/>
      <w:r>
        <w:t>i</w:t>
      </w:r>
      <w:proofErr w:type="spellEnd"/>
      <w:r>
        <w:t>) monsoon-driven variability in flushing and residence time that governs nutrient retention and seasonal accumulation; (ii) sediment–water exchanges that regenerate bioavailable phosphorus and sustain eutrophication under warm, low-oxygen conditions even when external loads fluctuate; and (iii) physical habitat filtering by temperature, stratification, light climate, alkalinity, and episodic mixing that promotes buoyant, bloom-forming cyanobacteria and surface scum formation. We further discuss how nutrient form and stoichiometry influence community composition, including shifts between nitrogen-fixing and non-fixing taxa under seasonally changing limitation patterns. Evidence across representative Indian systems indicates that cyanobacterial risk is an emergent outcome of nutrient loads, nutrient speciation, oxygen regime, and seasonal hydrodynamics rather than a simple function of total nutrient concentrations. The review concludes by outlining a risk-focused framework linking catchment management, in-lake feedback control, and tiered monitoring (including early-warning indicators) to reduce bloom frequency, toxin exposure potential, and ecological degradation in Indian lakes.</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Keywords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Cyanobacterial blooms; eutrophication; internal loading; monsoon hydrology; sediment phosphorus; nitrogen limitation; Microcystis; Indian lakes; water quality; lake restoration</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1. Introduction</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Lakes are among the most sensitive components of freshwater landscapes because their ecological condition integrates signals from catchment land use, hydrology, and in-lake biogeochemical cycling over timescales that can be short (storm pulses) or long (decadal sediment accumulation). Across India, pressures from expanding urbanization, intensifying agriculture, shoreline encroachment, and altered hydrologic connectivity have amplified the delivery of reactive nitrogen (N) and phosphorus (P) to lakes, accelerating eutrophication and increasing the probability of cyanobacterial dominance. Contemporary understanding recognizes eutrophication as a dynamic state maintained by external nutrient loading, internal recycling, and physical structure (mixing, stratification, and light climate), rather than as a simple response to total nutrient concentrations alone (</w:t>
      </w:r>
      <w:proofErr w:type="spellStart"/>
      <w:r w:rsidRPr="00FC1A30">
        <w:rPr>
          <w:rFonts w:ascii="Times New Roman" w:eastAsia="Times New Roman" w:hAnsi="Times New Roman" w:cs="Times New Roman"/>
          <w:sz w:val="24"/>
          <w:szCs w:val="24"/>
          <w:lang w:val="en-US"/>
        </w:rPr>
        <w:t>Bhagowati</w:t>
      </w:r>
      <w:proofErr w:type="spellEnd"/>
      <w:r w:rsidRPr="00FC1A30">
        <w:rPr>
          <w:rFonts w:ascii="Times New Roman" w:eastAsia="Times New Roman" w:hAnsi="Times New Roman" w:cs="Times New Roman"/>
          <w:sz w:val="24"/>
          <w:szCs w:val="24"/>
          <w:lang w:val="en-US"/>
        </w:rPr>
        <w:t xml:space="preserve"> &amp; </w:t>
      </w:r>
      <w:proofErr w:type="spellStart"/>
      <w:r w:rsidRPr="00FC1A30">
        <w:rPr>
          <w:rFonts w:ascii="Times New Roman" w:eastAsia="Times New Roman" w:hAnsi="Times New Roman" w:cs="Times New Roman"/>
          <w:sz w:val="24"/>
          <w:szCs w:val="24"/>
          <w:lang w:val="en-US"/>
        </w:rPr>
        <w:t>Ahamad</w:t>
      </w:r>
      <w:proofErr w:type="spellEnd"/>
      <w:r w:rsidRPr="00FC1A30">
        <w:rPr>
          <w:rFonts w:ascii="Times New Roman" w:eastAsia="Times New Roman" w:hAnsi="Times New Roman" w:cs="Times New Roman"/>
          <w:sz w:val="24"/>
          <w:szCs w:val="24"/>
          <w:lang w:val="en-US"/>
        </w:rPr>
        <w:t xml:space="preserve">, 2019; </w:t>
      </w:r>
      <w:proofErr w:type="spellStart"/>
      <w:r w:rsidRPr="00FC1A30">
        <w:rPr>
          <w:rFonts w:ascii="Times New Roman" w:eastAsia="Times New Roman" w:hAnsi="Times New Roman" w:cs="Times New Roman"/>
          <w:sz w:val="24"/>
          <w:szCs w:val="24"/>
          <w:lang w:val="en-US"/>
        </w:rPr>
        <w:t>Vinçon-Leite</w:t>
      </w:r>
      <w:proofErr w:type="spellEnd"/>
      <w:r w:rsidRPr="00FC1A30">
        <w:rPr>
          <w:rFonts w:ascii="Times New Roman" w:eastAsia="Times New Roman" w:hAnsi="Times New Roman" w:cs="Times New Roman"/>
          <w:sz w:val="24"/>
          <w:szCs w:val="24"/>
          <w:lang w:val="en-US"/>
        </w:rPr>
        <w:t xml:space="preserve"> &amp; </w:t>
      </w:r>
      <w:proofErr w:type="spellStart"/>
      <w:r w:rsidRPr="00FC1A30">
        <w:rPr>
          <w:rFonts w:ascii="Times New Roman" w:eastAsia="Times New Roman" w:hAnsi="Times New Roman" w:cs="Times New Roman"/>
          <w:sz w:val="24"/>
          <w:szCs w:val="24"/>
          <w:lang w:val="en-US"/>
        </w:rPr>
        <w:t>Casenave</w:t>
      </w:r>
      <w:proofErr w:type="spellEnd"/>
      <w:r w:rsidRPr="00FC1A30">
        <w:rPr>
          <w:rFonts w:ascii="Times New Roman" w:eastAsia="Times New Roman" w:hAnsi="Times New Roman" w:cs="Times New Roman"/>
          <w:sz w:val="24"/>
          <w:szCs w:val="24"/>
          <w:lang w:val="en-US"/>
        </w:rPr>
        <w:t>, 2019).</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 xml:space="preserve">Cyanobacterial blooms, particularly those dominated by buoyant and toxin-capable genera such as </w:t>
      </w:r>
      <w:r w:rsidRPr="00FC1A30">
        <w:rPr>
          <w:rFonts w:ascii="Times New Roman" w:eastAsia="Times New Roman" w:hAnsi="Times New Roman" w:cs="Times New Roman"/>
          <w:i/>
          <w:iCs/>
          <w:sz w:val="24"/>
          <w:szCs w:val="24"/>
          <w:lang w:val="en-US"/>
        </w:rPr>
        <w:t>Microcystis</w:t>
      </w:r>
      <w:r w:rsidRPr="00FC1A30">
        <w:rPr>
          <w:rFonts w:ascii="Times New Roman" w:eastAsia="Times New Roman" w:hAnsi="Times New Roman" w:cs="Times New Roman"/>
          <w:sz w:val="24"/>
          <w:szCs w:val="24"/>
          <w:lang w:val="en-US"/>
        </w:rPr>
        <w:t xml:space="preserve">, </w:t>
      </w:r>
      <w:proofErr w:type="spellStart"/>
      <w:r w:rsidRPr="00FC1A30">
        <w:rPr>
          <w:rFonts w:ascii="Times New Roman" w:eastAsia="Times New Roman" w:hAnsi="Times New Roman" w:cs="Times New Roman"/>
          <w:i/>
          <w:iCs/>
          <w:sz w:val="24"/>
          <w:szCs w:val="24"/>
          <w:lang w:val="en-US"/>
        </w:rPr>
        <w:t>Dolichospermum</w:t>
      </w:r>
      <w:proofErr w:type="spellEnd"/>
      <w:r w:rsidRPr="00FC1A30">
        <w:rPr>
          <w:rFonts w:ascii="Times New Roman" w:eastAsia="Times New Roman" w:hAnsi="Times New Roman" w:cs="Times New Roman"/>
          <w:sz w:val="24"/>
          <w:szCs w:val="24"/>
          <w:lang w:val="en-US"/>
        </w:rPr>
        <w:t xml:space="preserve"> (formerly </w:t>
      </w:r>
      <w:r w:rsidRPr="00FC1A30">
        <w:rPr>
          <w:rFonts w:ascii="Times New Roman" w:eastAsia="Times New Roman" w:hAnsi="Times New Roman" w:cs="Times New Roman"/>
          <w:i/>
          <w:iCs/>
          <w:sz w:val="24"/>
          <w:szCs w:val="24"/>
          <w:lang w:val="en-US"/>
        </w:rPr>
        <w:t>Anabaena</w:t>
      </w:r>
      <w:r w:rsidRPr="00FC1A30">
        <w:rPr>
          <w:rFonts w:ascii="Times New Roman" w:eastAsia="Times New Roman" w:hAnsi="Times New Roman" w:cs="Times New Roman"/>
          <w:sz w:val="24"/>
          <w:szCs w:val="24"/>
          <w:lang w:val="en-US"/>
        </w:rPr>
        <w:t xml:space="preserve">), and </w:t>
      </w:r>
      <w:proofErr w:type="spellStart"/>
      <w:r w:rsidRPr="00FC1A30">
        <w:rPr>
          <w:rFonts w:ascii="Times New Roman" w:eastAsia="Times New Roman" w:hAnsi="Times New Roman" w:cs="Times New Roman"/>
          <w:i/>
          <w:iCs/>
          <w:sz w:val="24"/>
          <w:szCs w:val="24"/>
          <w:lang w:val="en-US"/>
        </w:rPr>
        <w:t>Planktothrix</w:t>
      </w:r>
      <w:proofErr w:type="spellEnd"/>
      <w:r w:rsidRPr="00FC1A30">
        <w:rPr>
          <w:rFonts w:ascii="Times New Roman" w:eastAsia="Times New Roman" w:hAnsi="Times New Roman" w:cs="Times New Roman"/>
          <w:sz w:val="24"/>
          <w:szCs w:val="24"/>
          <w:lang w:val="en-US"/>
        </w:rPr>
        <w:t xml:space="preserve">, represent a major water-quality hazard because they can impair aesthetics and recreation, destabilize food webs, and produce cyanotoxins that threaten drinking-water safety. Bloom formation is increasingly interpreted as a multi-stressor phenomenon in which eutrophication interacts with climate warming, hydrologic extremes, and oxygen loss; warming can lengthen stratified periods, increase metabolic rates, and favor cyanobacteria with traits suited to high temperatures and variable nutrients (Griffith &amp; </w:t>
      </w:r>
      <w:proofErr w:type="spellStart"/>
      <w:r w:rsidRPr="00FC1A30">
        <w:rPr>
          <w:rFonts w:ascii="Times New Roman" w:eastAsia="Times New Roman" w:hAnsi="Times New Roman" w:cs="Times New Roman"/>
          <w:sz w:val="24"/>
          <w:szCs w:val="24"/>
          <w:lang w:val="en-US"/>
        </w:rPr>
        <w:t>Gobler</w:t>
      </w:r>
      <w:proofErr w:type="spellEnd"/>
      <w:r w:rsidRPr="00FC1A30">
        <w:rPr>
          <w:rFonts w:ascii="Times New Roman" w:eastAsia="Times New Roman" w:hAnsi="Times New Roman" w:cs="Times New Roman"/>
          <w:sz w:val="24"/>
          <w:szCs w:val="24"/>
          <w:lang w:val="en-US"/>
        </w:rPr>
        <w:t>, 2020; Huisman et al., 2018). For India, these mechanisms are plausibly intensified by monsoon seasonality: strong wet-season inflows can import nutrients and suspended solids, whereas dry-season low inflows and high evaporation can increase residence time, concentrate solutes, and enhance the likelihood of stable stratification or persistent surface scums in appropriate morphometric settings.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Within India’s diverse lake landscapes, several patterns recur. First, urban and peri-urban lakes commonly receive high loads of ammonium, phosphate, and labile organic matter from sewage and mixed drainage, pushing systems toward hypereutrophic states and recurrent bloom risk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 Kora et al., 2017). Second, floodplain and wetland lakes often exhibit strong internal feedbacks: shallow depths, organic-rich sediments, and macrophyte–sediment interactions can drive substantial internal nutrient release under warm and low-oxygen conditions, sustaining high productivity even when external inputs vary seasonally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w:t>
      </w:r>
      <w:proofErr w:type="spellStart"/>
      <w:r w:rsidRPr="00FC1A30">
        <w:rPr>
          <w:rFonts w:ascii="Times New Roman" w:eastAsia="Times New Roman" w:hAnsi="Times New Roman" w:cs="Times New Roman"/>
          <w:sz w:val="24"/>
          <w:szCs w:val="24"/>
          <w:lang w:val="en-US"/>
        </w:rPr>
        <w:t>Tuboi</w:t>
      </w:r>
      <w:proofErr w:type="spellEnd"/>
      <w:r w:rsidRPr="00FC1A30">
        <w:rPr>
          <w:rFonts w:ascii="Times New Roman" w:eastAsia="Times New Roman" w:hAnsi="Times New Roman" w:cs="Times New Roman"/>
          <w:sz w:val="24"/>
          <w:szCs w:val="24"/>
          <w:lang w:val="en-US"/>
        </w:rPr>
        <w:t xml:space="preserve"> et al., 2018). Third, Himalayan and sub-Himalayan lakes increasingly show signatures of catchment disturbance and tourism-related nutrient enrichment, with trophic status shifting upward alongside altered clarity and seasonal oxygen dynamics (Kumar &amp; Mahajan, 2019; Kumar et al., 2022). Finally, coastal </w:t>
      </w:r>
      <w:proofErr w:type="spellStart"/>
      <w:r w:rsidRPr="00FC1A30">
        <w:rPr>
          <w:rFonts w:ascii="Times New Roman" w:eastAsia="Times New Roman" w:hAnsi="Times New Roman" w:cs="Times New Roman"/>
          <w:sz w:val="24"/>
          <w:szCs w:val="24"/>
          <w:lang w:val="en-US"/>
        </w:rPr>
        <w:t>lagoonal</w:t>
      </w:r>
      <w:proofErr w:type="spellEnd"/>
      <w:r w:rsidRPr="00FC1A30">
        <w:rPr>
          <w:rFonts w:ascii="Times New Roman" w:eastAsia="Times New Roman" w:hAnsi="Times New Roman" w:cs="Times New Roman"/>
          <w:sz w:val="24"/>
          <w:szCs w:val="24"/>
          <w:lang w:val="en-US"/>
        </w:rPr>
        <w:t xml:space="preserve"> systems with periodic salinity intrusion, intense fisheries/aquaculture activity, and altered flushing can exhibit complex nutrient limitation patterns and microbial hazards that intersect with bloom dynamics (Padua et al., 2023).</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1.1 Scope and objective of the review</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This review evaluates how nutrient dynamics (external loading, internal recycling, and N–P stoichiometry) and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controls (temperature, stratification, light climate, oxygen regime, salinity/alkalinity, and mixing) shape cyanobacterial bloom and toxin risk in Indian lakes. We aim to (</w:t>
      </w:r>
      <w:proofErr w:type="spellStart"/>
      <w:r w:rsidRPr="00FC1A30">
        <w:rPr>
          <w:rFonts w:ascii="Times New Roman" w:eastAsia="Times New Roman" w:hAnsi="Times New Roman" w:cs="Times New Roman"/>
          <w:sz w:val="24"/>
          <w:szCs w:val="24"/>
          <w:lang w:val="en-US"/>
        </w:rPr>
        <w:t>i</w:t>
      </w:r>
      <w:proofErr w:type="spellEnd"/>
      <w:r w:rsidRPr="00FC1A30">
        <w:rPr>
          <w:rFonts w:ascii="Times New Roman" w:eastAsia="Times New Roman" w:hAnsi="Times New Roman" w:cs="Times New Roman"/>
          <w:sz w:val="24"/>
          <w:szCs w:val="24"/>
          <w:lang w:val="en-US"/>
        </w:rPr>
        <w:t>) synthesize mechanistic pathways linking monsoon hydrology and catchment pressures to nutrient forms and availability, (ii) identify in-lake feedbacks that stabilize eutrophic states and elevate cyanobacterial hazard, (iii) integrate evidence from representative Indian lake types to illustrate context-dependent risk, and (iv) outline monitoring and management implications emphasizing prevention and risk reduction.</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2. Methods for literature selection</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this narrative review</w:t>
      </w:r>
      <w:r w:rsidR="00AA4B3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w:t>
      </w:r>
      <w:r w:rsidRPr="00FC1A30">
        <w:rPr>
          <w:rFonts w:ascii="Times New Roman" w:eastAsia="Times New Roman" w:hAnsi="Times New Roman" w:cs="Times New Roman"/>
          <w:sz w:val="24"/>
          <w:szCs w:val="24"/>
          <w:lang w:val="en-US"/>
        </w:rPr>
        <w:t xml:space="preserve"> structured literature search was conducted in Scopus, Web of Science Core Collection, PubMed (for cyanobacteria/toxin-focused studies), and Google Scholar to capture interdisciplinary coverage of limnology, biogeochemistry, remote sensing, and public-health risk. Searches were performed for publications primarily from January 2013 through December 2025 to ensure emphasis on recent advances while retaining a small number of foundational studies necessary to interpret longer-term nutrient feedbacks. Search </w:t>
      </w:r>
      <w:r w:rsidRPr="00FC1A30">
        <w:rPr>
          <w:rFonts w:ascii="Times New Roman" w:eastAsia="Times New Roman" w:hAnsi="Times New Roman" w:cs="Times New Roman"/>
          <w:sz w:val="24"/>
          <w:szCs w:val="24"/>
          <w:lang w:val="en-US"/>
        </w:rPr>
        <w:lastRenderedPageBreak/>
        <w:t>strings combined geographic and process terms, for example: “India” AND “lake” AND (“eutrophication” OR “nutrient dynamics” OR “internal loading” OR “sediment phosphorus”), and “India” AND (“cyanobacteria” OR “Microcystis” OR “cyanotoxin” OR “microcystin” OR “</w:t>
      </w:r>
      <w:proofErr w:type="spellStart"/>
      <w:r w:rsidRPr="00FC1A30">
        <w:rPr>
          <w:rFonts w:ascii="Times New Roman" w:eastAsia="Times New Roman" w:hAnsi="Times New Roman" w:cs="Times New Roman"/>
          <w:sz w:val="24"/>
          <w:szCs w:val="24"/>
          <w:lang w:val="en-US"/>
        </w:rPr>
        <w:t>mcy</w:t>
      </w:r>
      <w:proofErr w:type="spellEnd"/>
      <w:r w:rsidRPr="00FC1A30">
        <w:rPr>
          <w:rFonts w:ascii="Times New Roman" w:eastAsia="Times New Roman" w:hAnsi="Times New Roman" w:cs="Times New Roman"/>
          <w:sz w:val="24"/>
          <w:szCs w:val="24"/>
          <w:lang w:val="en-US"/>
        </w:rPr>
        <w:t xml:space="preserve"> gene”), supplemented by lake-specific terms (e.g., “</w:t>
      </w:r>
      <w:proofErr w:type="spellStart"/>
      <w:r w:rsidRPr="00FC1A30">
        <w:rPr>
          <w:rFonts w:ascii="Times New Roman" w:eastAsia="Times New Roman" w:hAnsi="Times New Roman" w:cs="Times New Roman"/>
          <w:sz w:val="24"/>
          <w:szCs w:val="24"/>
          <w:lang w:val="en-US"/>
        </w:rPr>
        <w:t>Loktak</w:t>
      </w:r>
      <w:proofErr w:type="spellEnd"/>
      <w:r w:rsidRPr="00FC1A30">
        <w:rPr>
          <w:rFonts w:ascii="Times New Roman" w:eastAsia="Times New Roman" w:hAnsi="Times New Roman" w:cs="Times New Roman"/>
          <w:sz w:val="24"/>
          <w:szCs w:val="24"/>
          <w:lang w:val="en-US"/>
        </w:rPr>
        <w:t>,” “Renuka,” “Dal,” “</w:t>
      </w:r>
      <w:proofErr w:type="spellStart"/>
      <w:r w:rsidRPr="00FC1A30">
        <w:rPr>
          <w:rFonts w:ascii="Times New Roman" w:eastAsia="Times New Roman" w:hAnsi="Times New Roman" w:cs="Times New Roman"/>
          <w:sz w:val="24"/>
          <w:szCs w:val="24"/>
          <w:lang w:val="en-US"/>
        </w:rPr>
        <w:t>Vembanad</w:t>
      </w:r>
      <w:proofErr w:type="spellEnd"/>
      <w:r w:rsidRPr="00FC1A30">
        <w:rPr>
          <w:rFonts w:ascii="Times New Roman" w:eastAsia="Times New Roman" w:hAnsi="Times New Roman" w:cs="Times New Roman"/>
          <w:sz w:val="24"/>
          <w:szCs w:val="24"/>
          <w:lang w:val="en-US"/>
        </w:rPr>
        <w:t>,” “Bengaluru,” “Hussain Sagar”).</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Inclusion criteria prioritized peer-reviewed journal articles and authoritative reviews addressing (</w:t>
      </w:r>
      <w:proofErr w:type="spellStart"/>
      <w:r w:rsidRPr="00FC1A30">
        <w:rPr>
          <w:rFonts w:ascii="Times New Roman" w:eastAsia="Times New Roman" w:hAnsi="Times New Roman" w:cs="Times New Roman"/>
          <w:sz w:val="24"/>
          <w:szCs w:val="24"/>
          <w:lang w:val="en-US"/>
        </w:rPr>
        <w:t>i</w:t>
      </w:r>
      <w:proofErr w:type="spellEnd"/>
      <w:r w:rsidRPr="00FC1A30">
        <w:rPr>
          <w:rFonts w:ascii="Times New Roman" w:eastAsia="Times New Roman" w:hAnsi="Times New Roman" w:cs="Times New Roman"/>
          <w:sz w:val="24"/>
          <w:szCs w:val="24"/>
          <w:lang w:val="en-US"/>
        </w:rPr>
        <w:t xml:space="preserve">) nutrient loading and cycling in Indian lakes or comparable tropical lake settings with mechanistic relevance, (ii)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drivers of cyanobacterial bloom formation, and (iii) cyanobacterial toxin occurrence, toxic potential, or monitoring approaches applicable to Indian freshwaters. Exclusion criteria removed non-peer-reviewed reports, papers lacking verifiable bibliographic metadata, and studies focused solely on rivers or estuaries without lake-relevant process inference. Evidence was synthesized narratively with emphasis on causal mechanisms and cross-system transferability rather than on meta-analysis, consistent with heterogeneity in methods and reporting across lake studies.</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3. Nutrient sources, cycling, and stoichiometric controls in Indian lakes</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3.1 External loading under monsoon-seasonal catchments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External nutrient loading to Indian lakes is shaped by the intersection of land use and monsoon hydrology. Wet-season stormflows can rapidly mobilize particulate phosphorus from eroding soils and road surfaces and deliver dissolved inorganic and organic nutrient forms from wastewater-impacted drains. In urban lake networks, inflow channels often function as continuous nutrient conveyors because baseflows may be dominated by untreated or partially treated sewage, maintaining elevated ammonium and phosphate even outside rainfall events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 Kora et al., 2017). In peri-urban and agricultural catchments, fertilizer-derived nitrate and phosphate pulses can coincide with early monsoon runoff, while subsequent high flows may dilute concentrations but increase total loads through volume effects. Such pulsed loading is especially consequential in lakes with moderate-to-long residence time, where nutrients are retained and transformed rather than exported.</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The form of nutrient loading matters for bloom risk because cyanobacteria exploit different pools through distinct uptake strategies. Dissolved inorganic phosphorus can be rapidly assimilated, whereas particulate and organic phosphorus must be mineralized or released from sediments to become bioavailable. Similarly, ammonium can be favored over nitrate by many phytoplankton due to lower energetic cost of assimilation, potentially accelerating growth during warm periods when oxygen demand and nitrification constraints also intensify. For lakes where wastewater inputs dominate, high ammonium and labile organic carbon can strengthen hypoxia development, which in turn promotes internal phosphorus release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3.2 Internal loading and sediment–water nutrient exchanges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Internal loading is a central reason why eutrophication often persists even after partial reductions in external inputs. Shallow eutrophic lakes can exhibit strong summertime internal phosphorus loading when warm temperatures and oxygen depletion at the sediment–water interface enhance the release of iron-bound phosphorus and accelerate organic matter mineralization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Although this framework is widely established in temperate shallow lakes, it is especially relevant for many Indian lakes because high temperatures can extend the season favorable for internal release, while high organic inputs from sewage and macrophyte detritus can intensify sediment oxygen demand.</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Evidence from Indian lake studies aligns with this mechanistic pathway. In </w:t>
      </w:r>
      <w:proofErr w:type="spellStart"/>
      <w:r w:rsidRPr="00FC1A30">
        <w:rPr>
          <w:rFonts w:ascii="Times New Roman" w:eastAsia="Times New Roman" w:hAnsi="Times New Roman" w:cs="Times New Roman"/>
          <w:sz w:val="24"/>
          <w:szCs w:val="24"/>
          <w:lang w:val="en-US"/>
        </w:rPr>
        <w:t>Loktak</w:t>
      </w:r>
      <w:proofErr w:type="spellEnd"/>
      <w:r w:rsidRPr="00FC1A30">
        <w:rPr>
          <w:rFonts w:ascii="Times New Roman" w:eastAsia="Times New Roman" w:hAnsi="Times New Roman" w:cs="Times New Roman"/>
          <w:sz w:val="24"/>
          <w:szCs w:val="24"/>
          <w:lang w:val="en-US"/>
        </w:rPr>
        <w:t xml:space="preserve"> Lake, a shallow wetland-lake system with floating meadows and high organic matter influence, seasonal water-quality patterns and trophic conditions reflect strong coupling between hydrology, organic load, and in-lake nutrient transformations (</w:t>
      </w:r>
      <w:proofErr w:type="spellStart"/>
      <w:r w:rsidRPr="00FC1A30">
        <w:rPr>
          <w:rFonts w:ascii="Times New Roman" w:eastAsia="Times New Roman" w:hAnsi="Times New Roman" w:cs="Times New Roman"/>
          <w:sz w:val="24"/>
          <w:szCs w:val="24"/>
          <w:lang w:val="en-US"/>
        </w:rPr>
        <w:t>Tuboi</w:t>
      </w:r>
      <w:proofErr w:type="spellEnd"/>
      <w:r w:rsidRPr="00FC1A30">
        <w:rPr>
          <w:rFonts w:ascii="Times New Roman" w:eastAsia="Times New Roman" w:hAnsi="Times New Roman" w:cs="Times New Roman"/>
          <w:sz w:val="24"/>
          <w:szCs w:val="24"/>
          <w:lang w:val="en-US"/>
        </w:rPr>
        <w:t xml:space="preserve"> et al., 2018). Sediment contamination and nutrient enrichment in such systems indicate that sediments function not only as sinks but also as potential sources sustaining water-column productivity under favorable conditions (</w:t>
      </w:r>
      <w:proofErr w:type="spellStart"/>
      <w:r w:rsidRPr="00FC1A30">
        <w:rPr>
          <w:rFonts w:ascii="Times New Roman" w:eastAsia="Times New Roman" w:hAnsi="Times New Roman" w:cs="Times New Roman"/>
          <w:sz w:val="24"/>
          <w:szCs w:val="24"/>
          <w:lang w:val="en-US"/>
        </w:rPr>
        <w:t>Laishram</w:t>
      </w:r>
      <w:proofErr w:type="spellEnd"/>
      <w:r w:rsidRPr="00FC1A30">
        <w:rPr>
          <w:rFonts w:ascii="Times New Roman" w:eastAsia="Times New Roman" w:hAnsi="Times New Roman" w:cs="Times New Roman"/>
          <w:sz w:val="24"/>
          <w:szCs w:val="24"/>
          <w:lang w:val="en-US"/>
        </w:rPr>
        <w:t xml:space="preserve"> et al., 2025). In sub-Himalayan lakes such as Renuka, trophic state assessments point to persistent nutrient enrichment and relationships between chlorophyll, dissolved solids, and nitrogen species that are consistent with anthropogenic loading interacting with in-lake processing (Kumar &amp; Mahajan, 2019).</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Internal loading is also supported by nutrient accumulation over long periods. Phosphorus tends to accumulate in sediments because it is less efficiently removed from lake ecosystems than nitrogen; nitrogen can be lost via denitrification, especially under low-oxygen conditions, which may progressively shift systems toward nitrogen limitation while leaving phosphorus available through sediment recycling (</w:t>
      </w:r>
      <w:proofErr w:type="spellStart"/>
      <w:r w:rsidRPr="00FC1A30">
        <w:rPr>
          <w:rFonts w:ascii="Times New Roman" w:eastAsia="Times New Roman" w:hAnsi="Times New Roman" w:cs="Times New Roman"/>
          <w:sz w:val="24"/>
          <w:szCs w:val="24"/>
          <w:lang w:val="en-US"/>
        </w:rPr>
        <w:t>Paerl</w:t>
      </w:r>
      <w:proofErr w:type="spellEnd"/>
      <w:r w:rsidRPr="00FC1A30">
        <w:rPr>
          <w:rFonts w:ascii="Times New Roman" w:eastAsia="Times New Roman" w:hAnsi="Times New Roman" w:cs="Times New Roman"/>
          <w:sz w:val="24"/>
          <w:szCs w:val="24"/>
          <w:lang w:val="en-US"/>
        </w:rPr>
        <w:t xml:space="preserve"> et al., 2016). This asymmetry has direct implications for cyanobacterial communities, as nitrogen-fixing taxa can exploit low dissolved inorganic nitrogen when phosphorus remains available, while non-diazotrophic but buoyant taxa can persist when recycled nitrogen or ammonium inputs remain high.</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3.3 Nutrient stoichiometry and functional limitation</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Lake management historically emphasized phosphorus control, yet contemporary evidence indicates that harmful bloom prevention often requires coordinated reductions in both nitrogen and phosphorus, depending on lake type, downstream connectivity, and internal feedbacks (</w:t>
      </w:r>
      <w:proofErr w:type="spellStart"/>
      <w:r w:rsidRPr="00FC1A30">
        <w:rPr>
          <w:rFonts w:ascii="Times New Roman" w:eastAsia="Times New Roman" w:hAnsi="Times New Roman" w:cs="Times New Roman"/>
          <w:sz w:val="24"/>
          <w:szCs w:val="24"/>
          <w:lang w:val="en-US"/>
        </w:rPr>
        <w:t>Paerl</w:t>
      </w:r>
      <w:proofErr w:type="spellEnd"/>
      <w:r w:rsidRPr="00FC1A30">
        <w:rPr>
          <w:rFonts w:ascii="Times New Roman" w:eastAsia="Times New Roman" w:hAnsi="Times New Roman" w:cs="Times New Roman"/>
          <w:sz w:val="24"/>
          <w:szCs w:val="24"/>
          <w:lang w:val="en-US"/>
        </w:rPr>
        <w:t xml:space="preserve"> et al., 2016). For Indian lakes, this dual-control framing is particularly relevant because many systems experience mixed nutrient sources and variable limitation across seasons: wet-season inflows can raise nitrogen and phosphorus simultaneously, while dry-season conditions and internal cycling can create episodic nitrogen deficits, especially in systems with strong denitrification and persistent phosphorus recycling.</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Stoichiometric conditions interact with cyanobacterial traits. Diazotrophic cyanobacteria can compensate for low dissolved inorganic nitrogen, but they still require phosphorus and key micronutrients and are sensitive to mixing and light climate. Conversely, </w:t>
      </w:r>
      <w:r w:rsidRPr="00FC1A30">
        <w:rPr>
          <w:rFonts w:ascii="Times New Roman" w:eastAsia="Times New Roman" w:hAnsi="Times New Roman" w:cs="Times New Roman"/>
          <w:i/>
          <w:iCs/>
          <w:sz w:val="24"/>
          <w:szCs w:val="24"/>
          <w:lang w:val="en-US"/>
        </w:rPr>
        <w:t>Microcystis</w:t>
      </w:r>
      <w:r w:rsidRPr="00FC1A30">
        <w:rPr>
          <w:rFonts w:ascii="Times New Roman" w:eastAsia="Times New Roman" w:hAnsi="Times New Roman" w:cs="Times New Roman"/>
          <w:sz w:val="24"/>
          <w:szCs w:val="24"/>
          <w:lang w:val="en-US"/>
        </w:rPr>
        <w:t xml:space="preserve"> dominance is often promoted by high phosphorus availability and warm, stable conditions with sufficient nitrogen supply, commonly associated with wastewater enrichment and high internal recycling. Therefore, nutrient ratios should be treated as indicators of dynamic constraint rather than fixed thresholds; risk emerges when physical structure and nutrient form align with the competitive strategies of bloom-formers.</w:t>
      </w: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lastRenderedPageBreak/>
        <w:t xml:space="preserve">4. </w:t>
      </w:r>
      <w:proofErr w:type="spellStart"/>
      <w:r w:rsidRPr="00FC1A30">
        <w:rPr>
          <w:rFonts w:ascii="Times New Roman" w:eastAsia="Times New Roman" w:hAnsi="Times New Roman" w:cs="Times New Roman"/>
          <w:b/>
          <w:bCs/>
          <w:sz w:val="36"/>
          <w:szCs w:val="36"/>
          <w:lang w:val="en-US"/>
        </w:rPr>
        <w:t>Physico</w:t>
      </w:r>
      <w:proofErr w:type="spellEnd"/>
      <w:r w:rsidRPr="00FC1A30">
        <w:rPr>
          <w:rFonts w:ascii="Times New Roman" w:eastAsia="Times New Roman" w:hAnsi="Times New Roman" w:cs="Times New Roman"/>
          <w:b/>
          <w:bCs/>
          <w:sz w:val="36"/>
          <w:szCs w:val="36"/>
          <w:lang w:val="en-US"/>
        </w:rPr>
        <w:t>-chemical controls on cyanobacterial dominance</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4.1 Temperature, stratification, and seasonal stability</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Temperature is a first-order regulator of cyanobacterial bloom risk because many bloom-forming taxa have growth optima at relatively high temperatures and can outcompete eukaryotic algae under warm conditions, particularly when combined with stable stratification and high light availability at the surface (Huisman et al., 2018). Warming also increases respiration and oxygen depletion, indirectly favoring internal phosphorus release and reinforcing eutrophic feedbacks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In India, long warm seasons can extend the window for bloom development, while heatwaves can accelerate rapid transitions from moderate biomass to surface scum events.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Stratification intensity and duration depend on depth, wind exposure, and inflow patterns. Even shallow lakes can develop diel or episodic stratification under calm, hot conditions, creating near-sediment hypoxia that promotes phosphorus release. Deeper basins can exhibit longer stratified periods in the dry season when inflows are reduced and wind mixing may be insufficient to erode thermal gradients. These stability patterns intersect with buoyancy regulation: cyanobacteria can adjust buoyancy to remain in optimal light conditions, exploit nutrient gradients, and form surface accumulations that further shade competitors.</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4.2 Light climate, turbidity, and surface accumulation</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Light availability is shaped by suspended sediments, colored dissolved organic matter, and phytoplankton self-shading. Monsoon inflows can elevate turbidity and reduce euphotic depth, potentially suppressing some algae; however, bloom-forming cyanobacteria often tolerate low average light by exploiting surface layers through buoyancy, particularly during calm intervals. Furthermore, turbid, nutrient-rich conditions can reduce grazing pressure by altering food-web structure and can favor taxa resilient to fluctuating light. The capacity for surface scum formation is a critical hazard pathway because it concentrates toxins and increases human and animal exposure at shorelines and intake points.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Evidence from hyperspectral remote sensing and bloom monitoring studies demonstrates that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conditions can be diagnostic of bloom development, especially when combined with optical indicators of pigment composition and surface accumulation (Park et al., 2017). For Indian lakes, this suggests that low-cost remote sensing—ground-based, drone, or satellite—can complement routine sampling by identifying spatial hotspots of surface biomass that may be missed by point monitoring.</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4.3 Oxygen regime and redox-sensitive nutrient release</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Oxygen depletion is both a symptom and driver of eutrophication. High organic loading from sewage and bloom-derived biomass increases sediment oxygen demand, and when oxygen is depleted at the sediment–water interface, redox-sensitive phosphorus bound to iron minerals can be released, elevating dissolved phosphorus and sustaining high productivity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Oxygen depletion also alters nitrogen cycling by promoting denitrification, which removes nitrate and can contribute to nitrogen deficits that favor nitrogen-fixers or select for taxa adapted to ammonium-rich niches.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In urban lakes with continuous organic inputs, oxygen depletion can become chronic, creating persistent internal loading and a high likelihood of bloom recurrence even if external loads fluctuate. This coupling is consistent with observations from heavily impacted urban systems such as Hussain Sagar, where water quality reflects combined chemical oxygen demand, microbial contamination, and nutrient enrichment characteristic of sustained anthropogenic pressure (Kora et al., 2017).</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4.4 Ionic strength, alkalinity, and salinity gradients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Many Indian lakes exhibit moderate-to-high alkalinity and conductivity due to geology, evaporation, and anthropogenic inputs. Carbon chemistry matters because cyanobacteria possess efficient carbon-concentrating mechanisms that can exploit high bicarbonate conditions, potentially conferring advantage under high pH regimes typical of productive waters. In coastal </w:t>
      </w:r>
      <w:proofErr w:type="spellStart"/>
      <w:r w:rsidRPr="00FC1A30">
        <w:rPr>
          <w:rFonts w:ascii="Times New Roman" w:eastAsia="Times New Roman" w:hAnsi="Times New Roman" w:cs="Times New Roman"/>
          <w:sz w:val="24"/>
          <w:szCs w:val="24"/>
          <w:lang w:val="en-US"/>
        </w:rPr>
        <w:t>lagoonal</w:t>
      </w:r>
      <w:proofErr w:type="spellEnd"/>
      <w:r w:rsidRPr="00FC1A30">
        <w:rPr>
          <w:rFonts w:ascii="Times New Roman" w:eastAsia="Times New Roman" w:hAnsi="Times New Roman" w:cs="Times New Roman"/>
          <w:sz w:val="24"/>
          <w:szCs w:val="24"/>
          <w:lang w:val="en-US"/>
        </w:rPr>
        <w:t xml:space="preserve"> lakes and backwaters, periodic salinity intrusion and strong gradients in residence time create shifting habitat constraints that can influence phytoplankton composition, microbial hazards, and nutrient limitation patterns. In </w:t>
      </w:r>
      <w:proofErr w:type="spellStart"/>
      <w:r w:rsidRPr="00FC1A30">
        <w:rPr>
          <w:rFonts w:ascii="Times New Roman" w:eastAsia="Times New Roman" w:hAnsi="Times New Roman" w:cs="Times New Roman"/>
          <w:sz w:val="24"/>
          <w:szCs w:val="24"/>
          <w:lang w:val="en-US"/>
        </w:rPr>
        <w:t>Vembanad</w:t>
      </w:r>
      <w:proofErr w:type="spellEnd"/>
      <w:r w:rsidRPr="00FC1A30">
        <w:rPr>
          <w:rFonts w:ascii="Times New Roman" w:eastAsia="Times New Roman" w:hAnsi="Times New Roman" w:cs="Times New Roman"/>
          <w:sz w:val="24"/>
          <w:szCs w:val="24"/>
          <w:lang w:val="en-US"/>
        </w:rPr>
        <w:t xml:space="preserve"> Lake, ecosystem health assessments highlight the need to integrate water-quality stressors and microbial risk, reflecting the complexity of coastal-lake systems subject to hydrologic and anthropogenic variability (Padua et al., 2023).</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5. Cyanobacterial risk in Indian lakes: hazard pathways and monitoring</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5.1 From bloom presence to toxin risk</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Cyanobacterial risk is not equivalent to bloom biomass because toxin production depends on species/strain composition, environmental conditions, and bloom phase. However, bloom recurrence increases the probability that toxigenic strains are present and that toxin concentrations will episodically exceed safe thresholds. Indian evidence increasingly includes molecular and toxicological screening, indicating that blooms can carry microcystin biosynthesis potential and measurable toxicity. For example, work on Indian freshwater blooms has used microcystin synthetase (</w:t>
      </w:r>
      <w:proofErr w:type="spellStart"/>
      <w:r w:rsidRPr="00FC1A30">
        <w:rPr>
          <w:rFonts w:ascii="Times New Roman" w:eastAsia="Times New Roman" w:hAnsi="Times New Roman" w:cs="Times New Roman"/>
          <w:sz w:val="24"/>
          <w:szCs w:val="24"/>
          <w:lang w:val="en-US"/>
        </w:rPr>
        <w:t>mcy</w:t>
      </w:r>
      <w:proofErr w:type="spellEnd"/>
      <w:r w:rsidRPr="00FC1A30">
        <w:rPr>
          <w:rFonts w:ascii="Times New Roman" w:eastAsia="Times New Roman" w:hAnsi="Times New Roman" w:cs="Times New Roman"/>
          <w:sz w:val="24"/>
          <w:szCs w:val="24"/>
          <w:lang w:val="en-US"/>
        </w:rPr>
        <w:t xml:space="preserve">) gene detection alongside toxicological assessment to evaluate the toxigenic potential of </w:t>
      </w:r>
      <w:r w:rsidRPr="00FC1A30">
        <w:rPr>
          <w:rFonts w:ascii="Times New Roman" w:eastAsia="Times New Roman" w:hAnsi="Times New Roman" w:cs="Times New Roman"/>
          <w:i/>
          <w:iCs/>
          <w:sz w:val="24"/>
          <w:szCs w:val="24"/>
          <w:lang w:val="en-US"/>
        </w:rPr>
        <w:t>Microcystis aeruginosa</w:t>
      </w:r>
      <w:r w:rsidRPr="00FC1A30">
        <w:rPr>
          <w:rFonts w:ascii="Times New Roman" w:eastAsia="Times New Roman" w:hAnsi="Times New Roman" w:cs="Times New Roman"/>
          <w:sz w:val="24"/>
          <w:szCs w:val="24"/>
          <w:lang w:val="en-US"/>
        </w:rPr>
        <w:t>–dominated blooms (Rajendran et al., 2026). Such approaches are particularly valuable in regions where routine toxin monitoring is not yet standardized, because they enable risk-informed screening even when analytical chemistry capacity is limited</w:t>
      </w:r>
      <w:r w:rsidR="00CB0EDD">
        <w:rPr>
          <w:rFonts w:ascii="Times New Roman" w:eastAsia="Times New Roman" w:hAnsi="Times New Roman" w:cs="Times New Roman"/>
          <w:sz w:val="24"/>
          <w:szCs w:val="24"/>
          <w:lang w:val="en-US"/>
        </w:rPr>
        <w:t xml:space="preserve"> </w:t>
      </w:r>
      <w:r w:rsidR="00CB0EDD" w:rsidRPr="00CB0EDD">
        <w:rPr>
          <w:rFonts w:ascii="Times New Roman" w:eastAsia="Times New Roman" w:hAnsi="Times New Roman" w:cs="Times New Roman"/>
          <w:sz w:val="24"/>
          <w:szCs w:val="24"/>
          <w:lang w:val="en-US"/>
        </w:rPr>
        <w:t>(</w:t>
      </w:r>
      <w:r w:rsidR="00CB0EDD" w:rsidRPr="00CB0EDD">
        <w:rPr>
          <w:rFonts w:ascii="Times New Roman" w:hAnsi="Times New Roman" w:cs="Times New Roman"/>
          <w:color w:val="222222"/>
          <w:sz w:val="24"/>
          <w:szCs w:val="24"/>
          <w:shd w:val="clear" w:color="auto" w:fill="FFFFFF"/>
        </w:rPr>
        <w:t xml:space="preserve">Mohan et al., 2023; </w:t>
      </w:r>
      <w:proofErr w:type="spellStart"/>
      <w:r w:rsidR="00CB0EDD" w:rsidRPr="00CB0EDD">
        <w:rPr>
          <w:rFonts w:ascii="Times New Roman" w:hAnsi="Times New Roman" w:cs="Times New Roman"/>
          <w:color w:val="222222"/>
          <w:sz w:val="24"/>
          <w:szCs w:val="24"/>
          <w:shd w:val="clear" w:color="auto" w:fill="FFFFFF"/>
        </w:rPr>
        <w:t>Maniyar</w:t>
      </w:r>
      <w:proofErr w:type="spellEnd"/>
      <w:r w:rsidR="00CB0EDD" w:rsidRPr="00CB0EDD">
        <w:rPr>
          <w:rFonts w:ascii="Times New Roman" w:hAnsi="Times New Roman" w:cs="Times New Roman"/>
          <w:color w:val="222222"/>
          <w:sz w:val="24"/>
          <w:szCs w:val="24"/>
          <w:shd w:val="clear" w:color="auto" w:fill="FFFFFF"/>
        </w:rPr>
        <w:t xml:space="preserve"> et al., 2022; </w:t>
      </w:r>
      <w:proofErr w:type="spellStart"/>
      <w:r w:rsidR="00CB0EDD" w:rsidRPr="00CB0EDD">
        <w:rPr>
          <w:rFonts w:ascii="Times New Roman" w:hAnsi="Times New Roman" w:cs="Times New Roman"/>
          <w:color w:val="222222"/>
          <w:sz w:val="24"/>
          <w:szCs w:val="24"/>
          <w:shd w:val="clear" w:color="auto" w:fill="FFFFFF"/>
        </w:rPr>
        <w:t>Maske</w:t>
      </w:r>
      <w:proofErr w:type="spellEnd"/>
      <w:r w:rsidR="00CB0EDD" w:rsidRPr="00CB0EDD">
        <w:rPr>
          <w:rFonts w:ascii="Times New Roman" w:hAnsi="Times New Roman" w:cs="Times New Roman"/>
          <w:color w:val="222222"/>
          <w:sz w:val="24"/>
          <w:szCs w:val="24"/>
          <w:shd w:val="clear" w:color="auto" w:fill="FFFFFF"/>
        </w:rPr>
        <w:t xml:space="preserve"> et al., 2010</w:t>
      </w:r>
      <w:r w:rsidR="00CB0EDD" w:rsidRPr="00CB0EDD">
        <w:rPr>
          <w:rFonts w:ascii="Times New Roman" w:eastAsia="Times New Roman" w:hAnsi="Times New Roman" w:cs="Times New Roman"/>
          <w:sz w:val="24"/>
          <w:szCs w:val="24"/>
          <w:lang w:val="en-US"/>
        </w:rPr>
        <w:t>)</w:t>
      </w:r>
      <w:r w:rsidRPr="00FC1A30">
        <w:rPr>
          <w:rFonts w:ascii="Times New Roman" w:eastAsia="Times New Roman" w:hAnsi="Times New Roman" w:cs="Times New Roman"/>
          <w:sz w:val="24"/>
          <w:szCs w:val="24"/>
          <w:lang w:val="en-US"/>
        </w:rPr>
        <w:t>.</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Exposure pathways in Indian contexts include accidental ingestion during recreation, occupational exposure for fishers and lakefront workers, and ingestion through drinking-water abstraction where treatment barriers are inadequate or intakes coincide with bloom hotspots. Livestock and companion animals are also at risk because shoreline scums concentrate toxins. The hazard is amplified where lakes serve as emergency or supplemental water sources during droughts, or where urban communities rely on informal water collection.</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5.2 Early-warning indicators and multi-tier monitoring</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 xml:space="preserve">A practical monitoring framework for Indian lakes should combine process-relevant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 xml:space="preserve">-chemical indicators with bloom-specific measurements.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indicators include temperature profiles, dissolved oxygen, conductivity, pH, turbidity, and nutrient speciation (dissolved inorganic nitrogen forms, soluble reactive phosphorus, and total nutrients). Bloom-specific measurements include chlorophyll-a, phycocyanin fluorescence, microscopy for taxa identification, and, where feasible, toxin assays and molecular markers. Remote sensing can provide spatial context by mapping surface biomass and detecting bloom accumulation zones, particularly valuable in heterogeneous lakes with localized inflows and wind-driven surface convergence (Park et al., 2017).</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The key conceptual advance is to treat monitoring as risk forecasting rather than as retrospective documentation. Warm, stable conditions with elevated phosphorus availability and high residence time constitute a “bloom-favorable window,” while hypoxia indicates a high likelihood of internal nutrient release that can sustain blooms even after external loads decline. Climate change further strengthens the rationale for early warning because warming and extremes can increase bloom frequency and expand the seasonal window for blooms (Griffith &amp; </w:t>
      </w:r>
      <w:proofErr w:type="spellStart"/>
      <w:r w:rsidRPr="00FC1A30">
        <w:rPr>
          <w:rFonts w:ascii="Times New Roman" w:eastAsia="Times New Roman" w:hAnsi="Times New Roman" w:cs="Times New Roman"/>
          <w:sz w:val="24"/>
          <w:szCs w:val="24"/>
          <w:lang w:val="en-US"/>
        </w:rPr>
        <w:t>Gobler</w:t>
      </w:r>
      <w:proofErr w:type="spellEnd"/>
      <w:r w:rsidRPr="00FC1A30">
        <w:rPr>
          <w:rFonts w:ascii="Times New Roman" w:eastAsia="Times New Roman" w:hAnsi="Times New Roman" w:cs="Times New Roman"/>
          <w:sz w:val="24"/>
          <w:szCs w:val="24"/>
          <w:lang w:val="en-US"/>
        </w:rPr>
        <w:t>, 2020; Huisman et al., 2018).</w:t>
      </w: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6. Evidence synthesis across representative Indian lake types</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6.1 Himalayan and sub-Himalayan lakes: enrichment, clarity loss, and shifting seasonal structure</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Sub-Himalayan lakes often occupy basins that are sensitive to land-use change, tourism, and shoreline modification. Renuka Lake has been characterized as hyper-eutrophic with trophic state metrics linked to nutrient enrichment and spatial variability associated with anthropogenic impacts, underscoring the vulnerability of culturally and ecologically important lakes to persistent loading (Kumar &amp; Mahajan, 2019). In such systems, seasonal stratification and oxygen dynamics can interact with nutrient inputs to favor cyanobacteria during warm, calm periods, while wet-season turbidity and flushing can reorganize nutrient availability and community composition.</w:t>
      </w:r>
    </w:p>
    <w:p w:rsidR="00FC1A30" w:rsidRPr="00FC1A30" w:rsidRDefault="00FC1A30" w:rsidP="00A8506E">
      <w:pPr>
        <w:rPr>
          <w:rFonts w:ascii="Times New Roman" w:hAnsi="Times New Roman" w:cs="Times New Roman"/>
          <w:color w:val="222222"/>
          <w:sz w:val="24"/>
          <w:szCs w:val="24"/>
          <w:shd w:val="clear" w:color="auto" w:fill="FFFFFF"/>
        </w:rPr>
      </w:pPr>
      <w:r w:rsidRPr="00FC1A30">
        <w:rPr>
          <w:rFonts w:ascii="Times New Roman" w:eastAsia="Times New Roman" w:hAnsi="Times New Roman" w:cs="Times New Roman"/>
          <w:sz w:val="24"/>
          <w:szCs w:val="24"/>
          <w:lang w:val="en-US"/>
        </w:rPr>
        <w:t>Dal Lake provides another important example of a high-value Himalayan lake under sustained anthropogenic pressure. Water-quality studies highlight deterioration consistent with eutrophication processes and emphasize the need for integrated management that addresses catchment sources and in-lake conditions (Kumar et al., 2022</w:t>
      </w:r>
      <w:r w:rsidR="00A8506E">
        <w:rPr>
          <w:rFonts w:ascii="Times New Roman" w:eastAsia="Times New Roman" w:hAnsi="Times New Roman" w:cs="Times New Roman"/>
          <w:sz w:val="24"/>
          <w:szCs w:val="24"/>
          <w:lang w:val="en-US"/>
        </w:rPr>
        <w:t xml:space="preserve">; </w:t>
      </w:r>
      <w:r w:rsidR="00A8506E" w:rsidRPr="00917534">
        <w:rPr>
          <w:rFonts w:ascii="Times New Roman" w:eastAsia="Times New Roman" w:hAnsi="Times New Roman" w:cs="Times New Roman"/>
          <w:sz w:val="24"/>
          <w:szCs w:val="24"/>
          <w:lang w:val="en-US"/>
        </w:rPr>
        <w:t>Ahmad et al., 2020;</w:t>
      </w:r>
      <w:r w:rsidR="00A8506E" w:rsidRPr="00917534">
        <w:rPr>
          <w:rFonts w:ascii="Times New Roman" w:hAnsi="Times New Roman" w:cs="Times New Roman"/>
          <w:color w:val="222222"/>
          <w:sz w:val="24"/>
          <w:szCs w:val="24"/>
          <w:shd w:val="clear" w:color="auto" w:fill="FFFFFF"/>
        </w:rPr>
        <w:t xml:space="preserve"> Rather &amp; Dar, 2020; Rashid et al., 2017</w:t>
      </w:r>
      <w:r w:rsidRPr="00FC1A30">
        <w:rPr>
          <w:rFonts w:ascii="Times New Roman" w:eastAsia="Times New Roman" w:hAnsi="Times New Roman" w:cs="Times New Roman"/>
          <w:sz w:val="24"/>
          <w:szCs w:val="24"/>
          <w:lang w:val="en-US"/>
        </w:rPr>
        <w:t>). While cyanobacterial hazard varies by basin morphology and mixing, the broader lesson is that upland lakes are not protected from bloom risk; their susceptibility can increase when sewage inputs, tourism-related waste, and watershed disturbance overwhelm natural buffering capacity.</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6.2 Floodplain and wetland lakes: internal cycling and macrophyte–sediment feedbacks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Floodplain and wetland lakes can display strong feedbacks between macrophytes, sediments, and nutrient cycling. </w:t>
      </w:r>
      <w:proofErr w:type="spellStart"/>
      <w:r w:rsidRPr="00FC1A30">
        <w:rPr>
          <w:rFonts w:ascii="Times New Roman" w:eastAsia="Times New Roman" w:hAnsi="Times New Roman" w:cs="Times New Roman"/>
          <w:sz w:val="24"/>
          <w:szCs w:val="24"/>
          <w:lang w:val="en-US"/>
        </w:rPr>
        <w:t>Loktak</w:t>
      </w:r>
      <w:proofErr w:type="spellEnd"/>
      <w:r w:rsidRPr="00FC1A30">
        <w:rPr>
          <w:rFonts w:ascii="Times New Roman" w:eastAsia="Times New Roman" w:hAnsi="Times New Roman" w:cs="Times New Roman"/>
          <w:sz w:val="24"/>
          <w:szCs w:val="24"/>
          <w:lang w:val="en-US"/>
        </w:rPr>
        <w:t xml:space="preserve"> Lake, dominated by floating meadows and wetland processes, illustrates how seasonal water-quality changes relate to conservation challenges in Ramsar-</w:t>
      </w:r>
      <w:r w:rsidRPr="00FC1A30">
        <w:rPr>
          <w:rFonts w:ascii="Times New Roman" w:eastAsia="Times New Roman" w:hAnsi="Times New Roman" w:cs="Times New Roman"/>
          <w:sz w:val="24"/>
          <w:szCs w:val="24"/>
          <w:lang w:val="en-US"/>
        </w:rPr>
        <w:lastRenderedPageBreak/>
        <w:t>designated systems (</w:t>
      </w:r>
      <w:proofErr w:type="spellStart"/>
      <w:r w:rsidRPr="00FC1A30">
        <w:rPr>
          <w:rFonts w:ascii="Times New Roman" w:eastAsia="Times New Roman" w:hAnsi="Times New Roman" w:cs="Times New Roman"/>
          <w:sz w:val="24"/>
          <w:szCs w:val="24"/>
          <w:lang w:val="en-US"/>
        </w:rPr>
        <w:t>Tuboi</w:t>
      </w:r>
      <w:proofErr w:type="spellEnd"/>
      <w:r w:rsidRPr="00FC1A30">
        <w:rPr>
          <w:rFonts w:ascii="Times New Roman" w:eastAsia="Times New Roman" w:hAnsi="Times New Roman" w:cs="Times New Roman"/>
          <w:sz w:val="24"/>
          <w:szCs w:val="24"/>
          <w:lang w:val="en-US"/>
        </w:rPr>
        <w:t xml:space="preserve"> et al., 2018). The coexistence of high organic matter, shallow depths, and variable hydrology can create conditions where internal nutrient release becomes substantial during warm and low-oxygen periods, sustaining high productivity even when external loading is seasonally diluted. Evidence of sediment nutrient and metal contamination reinforces the role of sediments as long-term reservoirs that can influence water-column conditions (</w:t>
      </w:r>
      <w:proofErr w:type="spellStart"/>
      <w:r w:rsidRPr="00FC1A30">
        <w:rPr>
          <w:rFonts w:ascii="Times New Roman" w:eastAsia="Times New Roman" w:hAnsi="Times New Roman" w:cs="Times New Roman"/>
          <w:sz w:val="24"/>
          <w:szCs w:val="24"/>
          <w:lang w:val="en-US"/>
        </w:rPr>
        <w:t>Laishram</w:t>
      </w:r>
      <w:proofErr w:type="spellEnd"/>
      <w:r w:rsidRPr="00FC1A30">
        <w:rPr>
          <w:rFonts w:ascii="Times New Roman" w:eastAsia="Times New Roman" w:hAnsi="Times New Roman" w:cs="Times New Roman"/>
          <w:sz w:val="24"/>
          <w:szCs w:val="24"/>
          <w:lang w:val="en-US"/>
        </w:rPr>
        <w:t xml:space="preserve"> et al., 2025).</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 these systems, cyanobacterial risk can be spatially patchy and closely tied to hydrologic connectivity, wind-driven transport of surface biomass, and the distribution of macrophyte mats that modify mixing and light. Management strategies therefore require both catchment controls and in-lake interventions that account for the ecological functions of macrophytes while preventing excessive organic accumulation and persistent anoxia.</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 xml:space="preserve">6.3 Coastal </w:t>
      </w:r>
      <w:proofErr w:type="spellStart"/>
      <w:r w:rsidRPr="00FC1A30">
        <w:rPr>
          <w:rFonts w:ascii="Times New Roman" w:eastAsia="Times New Roman" w:hAnsi="Times New Roman" w:cs="Times New Roman"/>
          <w:b/>
          <w:bCs/>
          <w:sz w:val="27"/>
          <w:szCs w:val="27"/>
          <w:lang w:val="en-US"/>
        </w:rPr>
        <w:t>lagoonal</w:t>
      </w:r>
      <w:proofErr w:type="spellEnd"/>
      <w:r w:rsidRPr="00FC1A30">
        <w:rPr>
          <w:rFonts w:ascii="Times New Roman" w:eastAsia="Times New Roman" w:hAnsi="Times New Roman" w:cs="Times New Roman"/>
          <w:b/>
          <w:bCs/>
          <w:sz w:val="27"/>
          <w:szCs w:val="27"/>
          <w:lang w:val="en-US"/>
        </w:rPr>
        <w:t xml:space="preserve"> lakes: nutrient enrichment under complex flushing and microbial risk co-stressors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Coastal </w:t>
      </w:r>
      <w:proofErr w:type="spellStart"/>
      <w:r w:rsidRPr="00FC1A30">
        <w:rPr>
          <w:rFonts w:ascii="Times New Roman" w:eastAsia="Times New Roman" w:hAnsi="Times New Roman" w:cs="Times New Roman"/>
          <w:sz w:val="24"/>
          <w:szCs w:val="24"/>
          <w:lang w:val="en-US"/>
        </w:rPr>
        <w:t>lagoonal</w:t>
      </w:r>
      <w:proofErr w:type="spellEnd"/>
      <w:r w:rsidRPr="00FC1A30">
        <w:rPr>
          <w:rFonts w:ascii="Times New Roman" w:eastAsia="Times New Roman" w:hAnsi="Times New Roman" w:cs="Times New Roman"/>
          <w:sz w:val="24"/>
          <w:szCs w:val="24"/>
          <w:lang w:val="en-US"/>
        </w:rPr>
        <w:t xml:space="preserve"> lakes and backwaters experience shifting salinity, tidal influence, and often intense human use. </w:t>
      </w:r>
      <w:proofErr w:type="spellStart"/>
      <w:r w:rsidRPr="00FC1A30">
        <w:rPr>
          <w:rFonts w:ascii="Times New Roman" w:eastAsia="Times New Roman" w:hAnsi="Times New Roman" w:cs="Times New Roman"/>
          <w:sz w:val="24"/>
          <w:szCs w:val="24"/>
          <w:lang w:val="en-US"/>
        </w:rPr>
        <w:t>Vembanad</w:t>
      </w:r>
      <w:proofErr w:type="spellEnd"/>
      <w:r w:rsidRPr="00FC1A30">
        <w:rPr>
          <w:rFonts w:ascii="Times New Roman" w:eastAsia="Times New Roman" w:hAnsi="Times New Roman" w:cs="Times New Roman"/>
          <w:sz w:val="24"/>
          <w:szCs w:val="24"/>
          <w:lang w:val="en-US"/>
        </w:rPr>
        <w:t xml:space="preserve"> Lake, a Ramsar site with major socio-economic importance, exemplifies the need to integrate water-quality and microbial hazards when assessing ecosystem health (Padua et al., 2023). Nutrient enrichment in such systems can interact with variable residence time and stratification (including salinity-driven stratification) to create episodic bloom risk. Although cyanobacterial composition may differ from inland freshwaters due to brackish conditions, cyanobacteria can still proliferate in low-salinity zones or during periods of reduced exchange, and toxin risk assessment remains relevant where freshwater conditions dominate seasonally or locally.</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key implication for Indian coastal lakes is that bloom risk management must consider not only nutrient reduction but also hydrologic restoration that improves flushing and reduces stagnation, alongside interventions that address sewage and aquaculture-derived nutrient inputs.</w:t>
      </w:r>
    </w:p>
    <w:p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6.4 Urban lakes: continuous nutrient loading, oxygen loss, and recurrent bloom hazards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Urban lakes are often the highest-risk systems for cyanobacterial proliferation because they combine high external nutrient inputs with physical modifications that reduce resilience. In Bengaluru, assessments across multiple lakes using water-quality indices reflect severe degradation in urban </w:t>
      </w:r>
      <w:proofErr w:type="spellStart"/>
      <w:r w:rsidRPr="00FC1A30">
        <w:rPr>
          <w:rFonts w:ascii="Times New Roman" w:eastAsia="Times New Roman" w:hAnsi="Times New Roman" w:cs="Times New Roman"/>
          <w:sz w:val="24"/>
          <w:szCs w:val="24"/>
          <w:lang w:val="en-US"/>
        </w:rPr>
        <w:t>subwatersheds</w:t>
      </w:r>
      <w:proofErr w:type="spellEnd"/>
      <w:r w:rsidRPr="00FC1A30">
        <w:rPr>
          <w:rFonts w:ascii="Times New Roman" w:eastAsia="Times New Roman" w:hAnsi="Times New Roman" w:cs="Times New Roman"/>
          <w:sz w:val="24"/>
          <w:szCs w:val="24"/>
          <w:lang w:val="en-US"/>
        </w:rPr>
        <w:t xml:space="preserve"> and identify a need for urgent action to prevent further deterioration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w:t>
      </w:r>
      <w:r w:rsidR="00A8506E">
        <w:rPr>
          <w:rFonts w:ascii="Times New Roman" w:eastAsia="Times New Roman" w:hAnsi="Times New Roman" w:cs="Times New Roman"/>
          <w:sz w:val="24"/>
          <w:szCs w:val="24"/>
          <w:lang w:val="en-US"/>
        </w:rPr>
        <w:t xml:space="preserve">; </w:t>
      </w:r>
      <w:proofErr w:type="spellStart"/>
      <w:r w:rsidR="00A8506E" w:rsidRPr="00917534">
        <w:rPr>
          <w:rFonts w:ascii="Times New Roman" w:hAnsi="Times New Roman" w:cs="Times New Roman"/>
          <w:color w:val="222222"/>
          <w:sz w:val="24"/>
          <w:szCs w:val="24"/>
          <w:shd w:val="clear" w:color="auto" w:fill="FFFFFF"/>
        </w:rPr>
        <w:t>Ayyanar</w:t>
      </w:r>
      <w:proofErr w:type="spellEnd"/>
      <w:r w:rsidR="00A8506E" w:rsidRPr="00917534">
        <w:rPr>
          <w:rFonts w:ascii="Times New Roman" w:hAnsi="Times New Roman" w:cs="Times New Roman"/>
          <w:color w:val="222222"/>
          <w:sz w:val="24"/>
          <w:szCs w:val="24"/>
          <w:shd w:val="clear" w:color="auto" w:fill="FFFFFF"/>
        </w:rPr>
        <w:t xml:space="preserve"> &amp; </w:t>
      </w:r>
      <w:proofErr w:type="spellStart"/>
      <w:r w:rsidR="00A8506E" w:rsidRPr="00917534">
        <w:rPr>
          <w:rFonts w:ascii="Times New Roman" w:hAnsi="Times New Roman" w:cs="Times New Roman"/>
          <w:color w:val="222222"/>
          <w:sz w:val="24"/>
          <w:szCs w:val="24"/>
          <w:shd w:val="clear" w:color="auto" w:fill="FFFFFF"/>
        </w:rPr>
        <w:t>Thatikonda</w:t>
      </w:r>
      <w:proofErr w:type="spellEnd"/>
      <w:r w:rsidR="00A8506E" w:rsidRPr="00917534">
        <w:rPr>
          <w:rFonts w:ascii="Times New Roman" w:hAnsi="Times New Roman" w:cs="Times New Roman"/>
          <w:color w:val="222222"/>
          <w:sz w:val="24"/>
          <w:szCs w:val="24"/>
          <w:shd w:val="clear" w:color="auto" w:fill="FFFFFF"/>
        </w:rPr>
        <w:t>, 2020</w:t>
      </w:r>
      <w:r w:rsidRPr="00FC1A30">
        <w:rPr>
          <w:rFonts w:ascii="Times New Roman" w:eastAsia="Times New Roman" w:hAnsi="Times New Roman" w:cs="Times New Roman"/>
          <w:sz w:val="24"/>
          <w:szCs w:val="24"/>
          <w:lang w:val="en-US"/>
        </w:rPr>
        <w:t>). Urban restoration evidence indicates that rehabilitating lakes in tropical cities can yield multiple benefits, including improved water quality and ecosystem services, but outcomes depend on sustained control of pollutant inflows and appropriate in-lake design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Hussain Sagar, a prominent urban lake, illustrates how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degradation and microbial contamination co-occur in wastewater-impacted systems (Kora et al., 2017). In such lakes, cyanobacterial bloom risk is reinforced by warm temperatures, high nutrient availability, and oxygen depletion that promotes internal nutrient recycling. Management must therefore prioritize source control (sewage interception and treatment), because in-lake interventions alone rarely overcome continuous external loading.</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7. Management and restoration pathways: linking nutrient control to bloom-risk reduction</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central message from modern eutrophication science is that effective bloom prevention frequently requires reductions in both nitrogen and phosphorus, with the appropriate balance determined by lake type, internal loading strength, and downstream sensitivity (</w:t>
      </w:r>
      <w:proofErr w:type="spellStart"/>
      <w:r w:rsidRPr="00FC1A30">
        <w:rPr>
          <w:rFonts w:ascii="Times New Roman" w:eastAsia="Times New Roman" w:hAnsi="Times New Roman" w:cs="Times New Roman"/>
          <w:sz w:val="24"/>
          <w:szCs w:val="24"/>
          <w:lang w:val="en-US"/>
        </w:rPr>
        <w:t>Paerl</w:t>
      </w:r>
      <w:proofErr w:type="spellEnd"/>
      <w:r w:rsidRPr="00FC1A30">
        <w:rPr>
          <w:rFonts w:ascii="Times New Roman" w:eastAsia="Times New Roman" w:hAnsi="Times New Roman" w:cs="Times New Roman"/>
          <w:sz w:val="24"/>
          <w:szCs w:val="24"/>
          <w:lang w:val="en-US"/>
        </w:rPr>
        <w:t xml:space="preserve"> et al., 2016). For Indian lakes, dual nutrient control is especially relevant where sewage inputs deliver both N and P and where nitrogen losses through denitrification can create seasonal nitrogen limitation that favors nitrogen-fixers while phosphorus remains available through sediments.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Management actions can be organized around three interacting levers: reducing external loads, weakening internal feedbacks, and modifying physical conditions that favor blooms. External-load reduction includes sewage interception, improving treatment performance, separating stormwater from sewage to reduce first-flush pulses, and implementing catchment nutrient management in agricultural areas. Internal feedback weakening may require strategies such as reducing organic matter inputs (which drive hypoxia), targeted sediment management where feasible, and restoring macrophyte communities that stabilize sediments and reduce resuspension, while carefully avoiding conditions that trap organic matter and promote anoxia. Physical modification includes improving hydrologic flushing where feasible, designing urban-lake restoration with flow-through and wetland polishing zones, and managing water levels to reduce prolonged stagnation. Evidence from urban restoration in the tropics underscores that benefits are achievable but depend on persistent governance and inflow control, not just one-time engineering works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Because toxin risk is the most acute public-health concern, management should explicitly incorporate hazard reduction. This includes protecting and managing drinking-water intakes, establishing response triggers based on bloom indicators (e.g., phycocyanin and surface scums), and applying tiered monitoring that escalates to toxin testing during high-risk periods. Molecular screening for toxigenic potential, as demonstrated for Indian bloom samples, can support prioritization and rapid risk assessment when analytical capacity is constrained (Rajendran et al., 2026).</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Finally, restoration planning should be supported by modeling and scenario evaluation. Reviews of eutrophication modeling highlight how coupled hydrodynamic–biogeochemical models and simpler mass-balance approaches can inform nutrient reduction targets and test the sensitivity of recovery to internal loading and residence time (</w:t>
      </w:r>
      <w:proofErr w:type="spellStart"/>
      <w:r w:rsidRPr="00FC1A30">
        <w:rPr>
          <w:rFonts w:ascii="Times New Roman" w:eastAsia="Times New Roman" w:hAnsi="Times New Roman" w:cs="Times New Roman"/>
          <w:sz w:val="24"/>
          <w:szCs w:val="24"/>
          <w:lang w:val="en-US"/>
        </w:rPr>
        <w:t>Vinçon-Leite</w:t>
      </w:r>
      <w:proofErr w:type="spellEnd"/>
      <w:r w:rsidRPr="00FC1A30">
        <w:rPr>
          <w:rFonts w:ascii="Times New Roman" w:eastAsia="Times New Roman" w:hAnsi="Times New Roman" w:cs="Times New Roman"/>
          <w:sz w:val="24"/>
          <w:szCs w:val="24"/>
          <w:lang w:val="en-US"/>
        </w:rPr>
        <w:t xml:space="preserve"> &amp; </w:t>
      </w:r>
      <w:proofErr w:type="spellStart"/>
      <w:r w:rsidRPr="00FC1A30">
        <w:rPr>
          <w:rFonts w:ascii="Times New Roman" w:eastAsia="Times New Roman" w:hAnsi="Times New Roman" w:cs="Times New Roman"/>
          <w:sz w:val="24"/>
          <w:szCs w:val="24"/>
          <w:lang w:val="en-US"/>
        </w:rPr>
        <w:t>Casenave</w:t>
      </w:r>
      <w:proofErr w:type="spellEnd"/>
      <w:r w:rsidRPr="00FC1A30">
        <w:rPr>
          <w:rFonts w:ascii="Times New Roman" w:eastAsia="Times New Roman" w:hAnsi="Times New Roman" w:cs="Times New Roman"/>
          <w:sz w:val="24"/>
          <w:szCs w:val="24"/>
          <w:lang w:val="en-US"/>
        </w:rPr>
        <w:t xml:space="preserve">, 2019). For India, the most practical near-term application is likely a hybrid approach in which monitoring-derived nutrient budgets and seasonal hydrology are used to identify controllable sources and to forecast when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conditions approach bloom-favorable regimes.</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8. Research gaps and future directions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Several research needs stand out for advancing bloom-risk management in Indian lakes. First, nutrient speciation and bioavailability remain under-characterized in many systems; routine reporting still often emphasizes total nitrogen and total phosphorus without resolving ammonium, nitrate, dissolved organic nitrogen, and soluble reactive phosphorus. Because cyanobacterial competition can be strongly influenced by nutrient forms, improved speciation data would sharpen mechanistic inference and management targeting. Second, internal loading quantification is sparse. Many Indian lakes likely experience strong sediment feedbacks under warm, low-oxygen conditions, yet few studies quantify sediment nutrient fluxes across seasons or evaluate how fluxes respond to oxygen management and organic-load reduction, despite the clear importance of internal phosphorus loading in shallow eutrophic systems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Third, standardized toxin surveillance is limited. The move toward integrating molecular markers with toxicity assessment in Indian blooms is promising (Rajendran et al., 2026), but broader application requires harmonized protocols, inter-laboratory comparability, and risk communication pathways that translate results into actionable advisories.</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Fourth, the monsoon creates distinctive hydrologic regimes that deserve explicit modeling and monitoring attention. Seasonal shifts in residence time, turbidity, and stratification likely control the timing and spatial pattern of blooms, suggesting that the most effective monitoring will be seasonally adaptive rather than uniform through the year. Fifth, restoration studies should more frequently report pre–post designs with comparable metrics and sufficient duration to detect the lagged effects of sediment nutrient stores, given that eutrophic legacy can delay recovery and complicate attribution (</w:t>
      </w:r>
      <w:proofErr w:type="spellStart"/>
      <w:r w:rsidRPr="00FC1A30">
        <w:rPr>
          <w:rFonts w:ascii="Times New Roman" w:eastAsia="Times New Roman" w:hAnsi="Times New Roman" w:cs="Times New Roman"/>
          <w:sz w:val="24"/>
          <w:szCs w:val="24"/>
          <w:lang w:val="en-US"/>
        </w:rPr>
        <w:t>Vinçon-Leite</w:t>
      </w:r>
      <w:proofErr w:type="spellEnd"/>
      <w:r w:rsidRPr="00FC1A30">
        <w:rPr>
          <w:rFonts w:ascii="Times New Roman" w:eastAsia="Times New Roman" w:hAnsi="Times New Roman" w:cs="Times New Roman"/>
          <w:sz w:val="24"/>
          <w:szCs w:val="24"/>
          <w:lang w:val="en-US"/>
        </w:rPr>
        <w:t xml:space="preserve"> &amp; </w:t>
      </w:r>
      <w:proofErr w:type="spellStart"/>
      <w:r w:rsidRPr="00FC1A30">
        <w:rPr>
          <w:rFonts w:ascii="Times New Roman" w:eastAsia="Times New Roman" w:hAnsi="Times New Roman" w:cs="Times New Roman"/>
          <w:sz w:val="24"/>
          <w:szCs w:val="24"/>
          <w:lang w:val="en-US"/>
        </w:rPr>
        <w:t>Casenave</w:t>
      </w:r>
      <w:proofErr w:type="spellEnd"/>
      <w:r w:rsidRPr="00FC1A30">
        <w:rPr>
          <w:rFonts w:ascii="Times New Roman" w:eastAsia="Times New Roman" w:hAnsi="Times New Roman" w:cs="Times New Roman"/>
          <w:sz w:val="24"/>
          <w:szCs w:val="24"/>
          <w:lang w:val="en-US"/>
        </w:rPr>
        <w:t>, 2019). Finally, governance and institutional capacity are limiting factors; even technically sound interventions fail without sustained inflow control and coordinated lake-basin management, a pattern highlighted in urban lake assessments and restoration syntheses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w:t>
      </w:r>
    </w:p>
    <w:p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A practical future direction is to develop lake-specific “risk calendars” that couple seasonal hydroclimate (heat, wind, rainfall) with nutrient monitoring to identify high-risk windows and prioritize rapid response. This framing aligns with global evidence that climate change acts as a co-stressor for harmful blooms and will likely intensify risks unless nutrient pressures are reduced (Griffith &amp; </w:t>
      </w:r>
      <w:proofErr w:type="spellStart"/>
      <w:r w:rsidRPr="00FC1A30">
        <w:rPr>
          <w:rFonts w:ascii="Times New Roman" w:eastAsia="Times New Roman" w:hAnsi="Times New Roman" w:cs="Times New Roman"/>
          <w:sz w:val="24"/>
          <w:szCs w:val="24"/>
          <w:lang w:val="en-US"/>
        </w:rPr>
        <w:t>Gobler</w:t>
      </w:r>
      <w:proofErr w:type="spellEnd"/>
      <w:r w:rsidRPr="00FC1A30">
        <w:rPr>
          <w:rFonts w:ascii="Times New Roman" w:eastAsia="Times New Roman" w:hAnsi="Times New Roman" w:cs="Times New Roman"/>
          <w:sz w:val="24"/>
          <w:szCs w:val="24"/>
          <w:lang w:val="en-US"/>
        </w:rPr>
        <w:t>, 2020; Huisman et al., 2018).</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9. Conclusions</w:t>
      </w:r>
    </w:p>
    <w:p w:rsidR="00CB0EDD" w:rsidRDefault="00CB0EDD" w:rsidP="00CB0EDD">
      <w:pPr>
        <w:pStyle w:val="NormalWeb"/>
        <w:numPr>
          <w:ilvl w:val="0"/>
          <w:numId w:val="19"/>
        </w:numPr>
      </w:pPr>
      <w:r>
        <w:t>Indian lakes are experiencing heightened cyanobacterial bloom risk because nutrient enrichment now coincides with longer warm seasons, altered hydrologic connectivity, and extended low-flow periods that increase water residence time.</w:t>
      </w:r>
    </w:p>
    <w:p w:rsidR="00CB0EDD" w:rsidRDefault="00CB0EDD" w:rsidP="00CB0EDD">
      <w:pPr>
        <w:pStyle w:val="NormalWeb"/>
        <w:numPr>
          <w:ilvl w:val="0"/>
          <w:numId w:val="19"/>
        </w:numPr>
      </w:pPr>
      <w:r>
        <w:t>Bloom hazard is driven not only by the magnitude of nutrient loads but also by nutrient form and timing. Continuous inputs of bioavailable nitrogen and phosphorus, especially from wastewater, create persistent high-risk conditions.</w:t>
      </w:r>
    </w:p>
    <w:p w:rsidR="00CB0EDD" w:rsidRDefault="00CB0EDD" w:rsidP="00CB0EDD">
      <w:pPr>
        <w:pStyle w:val="NormalWeb"/>
        <w:numPr>
          <w:ilvl w:val="0"/>
          <w:numId w:val="19"/>
        </w:numPr>
      </w:pPr>
      <w:r>
        <w:t>Internal nutrient recycling—particularly sediment phosphorus release under warm, low-oxygen conditions—can sustain eutrophication and bloom recurrence even when external loading is partially reduced.</w:t>
      </w:r>
    </w:p>
    <w:p w:rsidR="00CB0EDD" w:rsidRDefault="00CB0EDD" w:rsidP="00CB0EDD">
      <w:pPr>
        <w:pStyle w:val="NormalWeb"/>
        <w:numPr>
          <w:ilvl w:val="0"/>
          <w:numId w:val="19"/>
        </w:numPr>
      </w:pPr>
      <w:r>
        <w:t>Monsoon seasonality is a defining control on bloom dynamics: wet-season inflows can deliver large nutrient and sediment pulses, while dry-season stability and concentration effects can favor cyanobacterial dominance and surface scums.</w:t>
      </w:r>
    </w:p>
    <w:p w:rsidR="00CB0EDD" w:rsidRDefault="00CB0EDD" w:rsidP="00CB0EDD">
      <w:pPr>
        <w:pStyle w:val="NormalWeb"/>
        <w:numPr>
          <w:ilvl w:val="0"/>
          <w:numId w:val="19"/>
        </w:numPr>
      </w:pPr>
      <w:proofErr w:type="spellStart"/>
      <w:r>
        <w:lastRenderedPageBreak/>
        <w:t>Physico</w:t>
      </w:r>
      <w:proofErr w:type="spellEnd"/>
      <w:r>
        <w:t>-chemical conditions shape competitive outcomes. High temperature, stable stratification (even if episodic), elevated alkalinity, and reduced mixing tend to advantage buoyant bloom-forming cyanobacteria.</w:t>
      </w:r>
    </w:p>
    <w:p w:rsidR="00CB0EDD" w:rsidRDefault="00CB0EDD" w:rsidP="00CB0EDD">
      <w:pPr>
        <w:pStyle w:val="NormalWeb"/>
        <w:numPr>
          <w:ilvl w:val="0"/>
          <w:numId w:val="19"/>
        </w:numPr>
      </w:pPr>
      <w:r>
        <w:t>Oxygen depletion is both an indicator and amplifier of risk because it accelerates internal nutrient release, alters nitrogen cycling, and reinforces feedback loops that stabilize eutrophic states.</w:t>
      </w:r>
    </w:p>
    <w:p w:rsidR="00CB0EDD" w:rsidRDefault="00CB0EDD" w:rsidP="00CB0EDD">
      <w:pPr>
        <w:pStyle w:val="NormalWeb"/>
        <w:numPr>
          <w:ilvl w:val="0"/>
          <w:numId w:val="19"/>
        </w:numPr>
      </w:pPr>
      <w:r>
        <w:t>Cyanobacterial hazard should be treated as a public-health and water-supply risk, not only an ecological problem, because shoreline scums and intake-zone accumulations can disproportionately elevate exposure.</w:t>
      </w:r>
    </w:p>
    <w:p w:rsidR="00CB0EDD" w:rsidRDefault="00CB0EDD" w:rsidP="00CB0EDD">
      <w:pPr>
        <w:pStyle w:val="NormalWeb"/>
        <w:numPr>
          <w:ilvl w:val="0"/>
          <w:numId w:val="19"/>
        </w:numPr>
      </w:pPr>
      <w:r>
        <w:t>Effective risk reduction requires integrated catchment-to-lake management: sustained control of sewage and diffuse nutrient sources, protection of lake buffers, and restoration designs that improve flushing and reduce stagnation.</w:t>
      </w:r>
    </w:p>
    <w:p w:rsidR="00CB0EDD" w:rsidRDefault="00CB0EDD" w:rsidP="00CB0EDD">
      <w:pPr>
        <w:pStyle w:val="NormalWeb"/>
        <w:numPr>
          <w:ilvl w:val="0"/>
          <w:numId w:val="19"/>
        </w:numPr>
      </w:pPr>
      <w:r>
        <w:t xml:space="preserve">Monitoring must shift from periodic reporting to early warning, combining seasonal </w:t>
      </w:r>
      <w:proofErr w:type="spellStart"/>
      <w:r>
        <w:t>physico</w:t>
      </w:r>
      <w:proofErr w:type="spellEnd"/>
      <w:r>
        <w:t>-chemical indicators, bloom metrics, and targeted toxin screening during high-risk windows.</w:t>
      </w:r>
    </w:p>
    <w:p w:rsidR="00CB0EDD" w:rsidRDefault="00CB0EDD" w:rsidP="00CB0EDD">
      <w:pPr>
        <w:pStyle w:val="NormalWeb"/>
        <w:numPr>
          <w:ilvl w:val="0"/>
          <w:numId w:val="19"/>
        </w:numPr>
      </w:pPr>
      <w:r>
        <w:t>A risk-based approach that links nutrient budgets, hydrodynamic seasonality, and internal loading assessment offers the most practical pathway to reduce bloom frequency and improve long-term lake resilience in India.</w:t>
      </w:r>
    </w:p>
    <w:p w:rsidR="00FC1A30" w:rsidRPr="00FC1A30" w:rsidRDefault="00FC1A30" w:rsidP="00FC1A30">
      <w:pPr>
        <w:spacing w:after="0" w:line="240" w:lineRule="auto"/>
        <w:rPr>
          <w:rFonts w:ascii="Times New Roman" w:eastAsia="Times New Roman" w:hAnsi="Times New Roman" w:cs="Times New Roman"/>
          <w:sz w:val="24"/>
          <w:szCs w:val="24"/>
          <w:lang w:val="en-US"/>
        </w:rPr>
      </w:pP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10. Limitations</w:t>
      </w: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This narrative review synthesizes evidence across diverse Indian lake types, but strong heterogeneity in lake morphology, catchment pressures, and monitoring intensity limits the ability to generalize uniform nutrient or bloom thresholds.</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Many available studies are based on short-term or seasonal sampling rather than continuous, multi-year records, which constrains inference about interannual variability, long-term trends, and the influence of extreme events.</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Comparable datasets on nutrient speciation (e.g., dissolved inorganic forms versus organic fractions) are limited for many lakes, reducing confidence in diagnosing true limitation patterns and explaining shifts in cyanobacterial community structure.</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Direct measurements of internal nutrient loading (sediment–water fluxes) and oxygen-driven release processes remain sparse, so the magnitude and seasonal timing of internal recycling are often inferred indirectly.</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Cyanotoxin surveillance is uneven across regions and lake categories, with many studies focusing on bloom presence or general water quality rather than quantifying toxin concentrations and exposure pathways.</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Remote sensing and sensor-based approaches show promise for early warning, but differences in spatial resolution, cloud cover during monsoon, algorithm transferability, and ground-truth availability can limit operational use.</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Restoration outcomes are difficult to compare because interventions vary widely in design and governance, and post-restoration evaluations often lack consistent baselines, adequate duration, or standardized performance metrics.</w:t>
      </w:r>
    </w:p>
    <w:p w:rsidR="00CB0EDD" w:rsidRPr="00CB0EDD" w:rsidRDefault="00CB0EDD" w:rsidP="00CB0EDD">
      <w:pPr>
        <w:spacing w:after="0" w:line="240" w:lineRule="auto"/>
        <w:rPr>
          <w:rFonts w:ascii="Times New Roman" w:eastAsia="Times New Roman" w:hAnsi="Times New Roman" w:cs="Times New Roman"/>
          <w:sz w:val="24"/>
          <w:szCs w:val="24"/>
          <w:lang w:val="en-US"/>
        </w:rPr>
      </w:pPr>
    </w:p>
    <w:p w:rsidR="00FC1A30"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The review emphasizes mechanistic pathways, but lake-specific management targets still require site-calibrated nutrient budgets, hydrodynamic context, and stakeholder feasibility assessments that cannot be fully resolved in a narrative synthesis.</w:t>
      </w:r>
    </w:p>
    <w:p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 xml:space="preserve">References </w:t>
      </w:r>
    </w:p>
    <w:p w:rsidR="00855A4C" w:rsidRPr="00CB0EDD" w:rsidRDefault="00855A4C"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 xml:space="preserve">Ahmad, T., Gupta, G., Sharma, A., Kaur, B., </w:t>
      </w:r>
      <w:proofErr w:type="spellStart"/>
      <w:r w:rsidRPr="00CB0EDD">
        <w:rPr>
          <w:rFonts w:ascii="Times New Roman" w:eastAsia="Times New Roman" w:hAnsi="Times New Roman" w:cs="Times New Roman"/>
          <w:sz w:val="24"/>
          <w:szCs w:val="24"/>
          <w:lang w:val="en-US"/>
        </w:rPr>
        <w:t>Alsahli</w:t>
      </w:r>
      <w:proofErr w:type="spellEnd"/>
      <w:r w:rsidRPr="00CB0EDD">
        <w:rPr>
          <w:rFonts w:ascii="Times New Roman" w:eastAsia="Times New Roman" w:hAnsi="Times New Roman" w:cs="Times New Roman"/>
          <w:sz w:val="24"/>
          <w:szCs w:val="24"/>
          <w:lang w:val="en-US"/>
        </w:rPr>
        <w:t>, A. A., &amp; Ahmad, P. (2020). Multivariate Statistical Approach to Study Spatiotemporal Variations in Water Quality of a</w:t>
      </w:r>
      <w:r w:rsidR="00A8506E" w:rsidRPr="00CB0EDD">
        <w:rPr>
          <w:rFonts w:ascii="Times New Roman" w:eastAsia="Times New Roman" w:hAnsi="Times New Roman" w:cs="Times New Roman"/>
          <w:sz w:val="24"/>
          <w:szCs w:val="24"/>
          <w:lang w:val="en-US"/>
        </w:rPr>
        <w:t xml:space="preserve"> </w:t>
      </w:r>
      <w:r w:rsidRPr="00CB0EDD">
        <w:rPr>
          <w:rFonts w:ascii="Times New Roman" w:eastAsia="Times New Roman" w:hAnsi="Times New Roman" w:cs="Times New Roman"/>
          <w:sz w:val="24"/>
          <w:szCs w:val="24"/>
          <w:lang w:val="en-US"/>
        </w:rPr>
        <w:t xml:space="preserve">Himalayan Urban Fresh Water Lake. Water, 12(9), 2365. </w:t>
      </w:r>
      <w:hyperlink r:id="rId8" w:history="1">
        <w:r w:rsidRPr="00CB0EDD">
          <w:rPr>
            <w:rStyle w:val="Hyperlink"/>
            <w:rFonts w:ascii="Times New Roman" w:eastAsia="Times New Roman" w:hAnsi="Times New Roman" w:cs="Times New Roman"/>
            <w:sz w:val="24"/>
            <w:szCs w:val="24"/>
            <w:lang w:val="en-US"/>
          </w:rPr>
          <w:t>https://doi.org/10.3390/w12092365</w:t>
        </w:r>
      </w:hyperlink>
      <w:r w:rsidRPr="00CB0EDD">
        <w:rPr>
          <w:rFonts w:ascii="Times New Roman" w:eastAsia="Times New Roman" w:hAnsi="Times New Roman" w:cs="Times New Roman"/>
          <w:sz w:val="24"/>
          <w:szCs w:val="24"/>
          <w:lang w:val="en-US"/>
        </w:rPr>
        <w:t xml:space="preserve"> </w:t>
      </w:r>
    </w:p>
    <w:p w:rsidR="00C1225B" w:rsidRPr="00CB0EDD" w:rsidRDefault="00C1225B"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Ayyanar</w:t>
      </w:r>
      <w:proofErr w:type="spellEnd"/>
      <w:r w:rsidRPr="00CB0EDD">
        <w:rPr>
          <w:rFonts w:ascii="Times New Roman" w:hAnsi="Times New Roman" w:cs="Times New Roman"/>
          <w:color w:val="222222"/>
          <w:sz w:val="24"/>
          <w:szCs w:val="24"/>
          <w:shd w:val="clear" w:color="auto" w:fill="FFFFFF"/>
        </w:rPr>
        <w:t xml:space="preserve">, A., &amp; </w:t>
      </w:r>
      <w:proofErr w:type="spellStart"/>
      <w:r w:rsidRPr="00CB0EDD">
        <w:rPr>
          <w:rFonts w:ascii="Times New Roman" w:hAnsi="Times New Roman" w:cs="Times New Roman"/>
          <w:color w:val="222222"/>
          <w:sz w:val="24"/>
          <w:szCs w:val="24"/>
          <w:shd w:val="clear" w:color="auto" w:fill="FFFFFF"/>
        </w:rPr>
        <w:t>Thatikonda</w:t>
      </w:r>
      <w:proofErr w:type="spellEnd"/>
      <w:r w:rsidRPr="00CB0EDD">
        <w:rPr>
          <w:rFonts w:ascii="Times New Roman" w:hAnsi="Times New Roman" w:cs="Times New Roman"/>
          <w:color w:val="222222"/>
          <w:sz w:val="24"/>
          <w:szCs w:val="24"/>
          <w:shd w:val="clear" w:color="auto" w:fill="FFFFFF"/>
        </w:rPr>
        <w:t>, S. (2020). Distribution and ecological risks of heavy metals in Lake Hussain Sagar, India. </w:t>
      </w:r>
      <w:r w:rsidRPr="00CB0EDD">
        <w:rPr>
          <w:rFonts w:ascii="Times New Roman" w:hAnsi="Times New Roman" w:cs="Times New Roman"/>
          <w:i/>
          <w:iCs/>
          <w:color w:val="222222"/>
          <w:sz w:val="24"/>
          <w:szCs w:val="24"/>
          <w:shd w:val="clear" w:color="auto" w:fill="FFFFFF"/>
        </w:rPr>
        <w:t xml:space="preserve">Acta </w:t>
      </w:r>
      <w:proofErr w:type="spellStart"/>
      <w:r w:rsidRPr="00CB0EDD">
        <w:rPr>
          <w:rFonts w:ascii="Times New Roman" w:hAnsi="Times New Roman" w:cs="Times New Roman"/>
          <w:i/>
          <w:iCs/>
          <w:color w:val="222222"/>
          <w:sz w:val="24"/>
          <w:szCs w:val="24"/>
          <w:shd w:val="clear" w:color="auto" w:fill="FFFFFF"/>
        </w:rPr>
        <w:t>Geochimica</w:t>
      </w:r>
      <w:proofErr w:type="spellEnd"/>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39</w:t>
      </w:r>
      <w:r w:rsidRPr="00CB0EDD">
        <w:rPr>
          <w:rFonts w:ascii="Times New Roman" w:hAnsi="Times New Roman" w:cs="Times New Roman"/>
          <w:color w:val="222222"/>
          <w:sz w:val="24"/>
          <w:szCs w:val="24"/>
          <w:shd w:val="clear" w:color="auto" w:fill="FFFFFF"/>
        </w:rPr>
        <w:t xml:space="preserve">(2), 255-270. </w:t>
      </w:r>
      <w:hyperlink r:id="rId9" w:history="1">
        <w:r w:rsidRPr="00CB0EDD">
          <w:rPr>
            <w:rStyle w:val="Hyperlink"/>
            <w:rFonts w:ascii="Times New Roman" w:hAnsi="Times New Roman" w:cs="Times New Roman"/>
            <w:sz w:val="24"/>
            <w:szCs w:val="24"/>
            <w:shd w:val="clear" w:color="auto" w:fill="FFFFFF"/>
          </w:rPr>
          <w:t>https://doi.org/10.1007/s11631-019-00360-y</w:t>
        </w:r>
      </w:hyperlink>
      <w:r w:rsidRPr="00CB0EDD">
        <w:rPr>
          <w:rFonts w:ascii="Times New Roman" w:hAnsi="Times New Roman" w:cs="Times New Roman"/>
          <w:color w:val="222222"/>
          <w:sz w:val="24"/>
          <w:szCs w:val="24"/>
          <w:shd w:val="clear" w:color="auto" w:fill="FFFFFF"/>
        </w:rPr>
        <w:t xml:space="preserve"> </w:t>
      </w:r>
    </w:p>
    <w:p w:rsidR="00FC1A30" w:rsidRPr="00CB0EDD" w:rsidRDefault="00A8506E"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Bhagowati</w:t>
      </w:r>
      <w:proofErr w:type="spellEnd"/>
      <w:r w:rsidRPr="00CB0EDD">
        <w:rPr>
          <w:rFonts w:ascii="Times New Roman" w:hAnsi="Times New Roman" w:cs="Times New Roman"/>
          <w:color w:val="222222"/>
          <w:sz w:val="24"/>
          <w:szCs w:val="24"/>
          <w:shd w:val="clear" w:color="auto" w:fill="FFFFFF"/>
        </w:rPr>
        <w:t xml:space="preserve">, B., &amp; </w:t>
      </w:r>
      <w:proofErr w:type="spellStart"/>
      <w:r w:rsidRPr="00CB0EDD">
        <w:rPr>
          <w:rFonts w:ascii="Times New Roman" w:hAnsi="Times New Roman" w:cs="Times New Roman"/>
          <w:color w:val="222222"/>
          <w:sz w:val="24"/>
          <w:szCs w:val="24"/>
          <w:shd w:val="clear" w:color="auto" w:fill="FFFFFF"/>
        </w:rPr>
        <w:t>Ahamad</w:t>
      </w:r>
      <w:proofErr w:type="spellEnd"/>
      <w:r w:rsidRPr="00CB0EDD">
        <w:rPr>
          <w:rFonts w:ascii="Times New Roman" w:hAnsi="Times New Roman" w:cs="Times New Roman"/>
          <w:color w:val="222222"/>
          <w:sz w:val="24"/>
          <w:szCs w:val="24"/>
          <w:shd w:val="clear" w:color="auto" w:fill="FFFFFF"/>
        </w:rPr>
        <w:t xml:space="preserve">, K. U. (2019). A review on lake eutrophication dynamics and recent developments in lake </w:t>
      </w:r>
      <w:proofErr w:type="spellStart"/>
      <w:r w:rsidRPr="00CB0EDD">
        <w:rPr>
          <w:rFonts w:ascii="Times New Roman" w:hAnsi="Times New Roman" w:cs="Times New Roman"/>
          <w:color w:val="222222"/>
          <w:sz w:val="24"/>
          <w:szCs w:val="24"/>
          <w:shd w:val="clear" w:color="auto" w:fill="FFFFFF"/>
        </w:rPr>
        <w:t>modeling</w:t>
      </w:r>
      <w:proofErr w:type="spellEnd"/>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Ecohydrology &amp; Hydrobiology</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19</w:t>
      </w:r>
      <w:r w:rsidRPr="00CB0EDD">
        <w:rPr>
          <w:rFonts w:ascii="Times New Roman" w:hAnsi="Times New Roman" w:cs="Times New Roman"/>
          <w:color w:val="222222"/>
          <w:sz w:val="24"/>
          <w:szCs w:val="24"/>
          <w:shd w:val="clear" w:color="auto" w:fill="FFFFFF"/>
        </w:rPr>
        <w:t>(1), 155-</w:t>
      </w:r>
      <w:proofErr w:type="gramStart"/>
      <w:r w:rsidRPr="00CB0EDD">
        <w:rPr>
          <w:rFonts w:ascii="Times New Roman" w:hAnsi="Times New Roman" w:cs="Times New Roman"/>
          <w:color w:val="222222"/>
          <w:sz w:val="24"/>
          <w:szCs w:val="24"/>
          <w:shd w:val="clear" w:color="auto" w:fill="FFFFFF"/>
        </w:rPr>
        <w:t>166.</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0" w:history="1">
        <w:r w:rsidR="00AA4B35" w:rsidRPr="00CB0EDD">
          <w:rPr>
            <w:rStyle w:val="Hyperlink"/>
            <w:rFonts w:ascii="Times New Roman" w:eastAsia="Times New Roman" w:hAnsi="Times New Roman" w:cs="Times New Roman"/>
            <w:sz w:val="24"/>
            <w:szCs w:val="24"/>
            <w:lang w:val="en-US"/>
          </w:rPr>
          <w:t>https://doi.org/10.1016/j.ecohyd.2018.03.002</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A8506E"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Birawat</w:t>
      </w:r>
      <w:proofErr w:type="spellEnd"/>
      <w:r w:rsidRPr="00CB0EDD">
        <w:rPr>
          <w:rFonts w:ascii="Times New Roman" w:hAnsi="Times New Roman" w:cs="Times New Roman"/>
          <w:color w:val="222222"/>
          <w:sz w:val="24"/>
          <w:szCs w:val="24"/>
          <w:shd w:val="clear" w:color="auto" w:fill="FFFFFF"/>
        </w:rPr>
        <w:t xml:space="preserve">, K. K., T, H., C. </w:t>
      </w:r>
      <w:proofErr w:type="spellStart"/>
      <w:r w:rsidRPr="00CB0EDD">
        <w:rPr>
          <w:rFonts w:ascii="Times New Roman" w:hAnsi="Times New Roman" w:cs="Times New Roman"/>
          <w:color w:val="222222"/>
          <w:sz w:val="24"/>
          <w:szCs w:val="24"/>
          <w:shd w:val="clear" w:color="auto" w:fill="FFFFFF"/>
        </w:rPr>
        <w:t>Nachiyar</w:t>
      </w:r>
      <w:proofErr w:type="spellEnd"/>
      <w:r w:rsidRPr="00CB0EDD">
        <w:rPr>
          <w:rFonts w:ascii="Times New Roman" w:hAnsi="Times New Roman" w:cs="Times New Roman"/>
          <w:color w:val="222222"/>
          <w:sz w:val="24"/>
          <w:szCs w:val="24"/>
          <w:shd w:val="clear" w:color="auto" w:fill="FFFFFF"/>
        </w:rPr>
        <w:t>, M., NA, M., &amp; CV, S. (2021). Impact of urbanisation on lakes—a study of Bengaluru lakes through water quality index (WQI) and overall index of pollution (OIP).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193</w:t>
      </w:r>
      <w:r w:rsidRPr="00CB0EDD">
        <w:rPr>
          <w:rFonts w:ascii="Times New Roman" w:hAnsi="Times New Roman" w:cs="Times New Roman"/>
          <w:color w:val="222222"/>
          <w:sz w:val="24"/>
          <w:szCs w:val="24"/>
          <w:shd w:val="clear" w:color="auto" w:fill="FFFFFF"/>
        </w:rPr>
        <w:t xml:space="preserve">(7), </w:t>
      </w:r>
      <w:proofErr w:type="gramStart"/>
      <w:r w:rsidRPr="00CB0EDD">
        <w:rPr>
          <w:rFonts w:ascii="Times New Roman" w:hAnsi="Times New Roman" w:cs="Times New Roman"/>
          <w:color w:val="222222"/>
          <w:sz w:val="24"/>
          <w:szCs w:val="24"/>
          <w:shd w:val="clear" w:color="auto" w:fill="FFFFFF"/>
        </w:rPr>
        <w:t>408.</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1" w:history="1">
        <w:r w:rsidR="00AA4B35" w:rsidRPr="00CB0EDD">
          <w:rPr>
            <w:rStyle w:val="Hyperlink"/>
            <w:rFonts w:ascii="Times New Roman" w:eastAsia="Times New Roman" w:hAnsi="Times New Roman" w:cs="Times New Roman"/>
            <w:sz w:val="24"/>
            <w:szCs w:val="24"/>
            <w:lang w:val="en-US"/>
          </w:rPr>
          <w:t>https://doi.org/10.1007/s10661-021-09131-w</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2E0776"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Griffith, A. W., &amp; </w:t>
      </w:r>
      <w:proofErr w:type="spellStart"/>
      <w:r w:rsidRPr="00CB0EDD">
        <w:rPr>
          <w:rFonts w:ascii="Times New Roman" w:hAnsi="Times New Roman" w:cs="Times New Roman"/>
          <w:color w:val="222222"/>
          <w:sz w:val="24"/>
          <w:szCs w:val="24"/>
          <w:shd w:val="clear" w:color="auto" w:fill="FFFFFF"/>
        </w:rPr>
        <w:t>Gobler</w:t>
      </w:r>
      <w:proofErr w:type="spellEnd"/>
      <w:r w:rsidRPr="00CB0EDD">
        <w:rPr>
          <w:rFonts w:ascii="Times New Roman" w:hAnsi="Times New Roman" w:cs="Times New Roman"/>
          <w:color w:val="222222"/>
          <w:sz w:val="24"/>
          <w:szCs w:val="24"/>
          <w:shd w:val="clear" w:color="auto" w:fill="FFFFFF"/>
        </w:rPr>
        <w:t>, C. J. (2020). Harmful algal blooms: A climate change co-stressor in marine and freshwater ecosystems. </w:t>
      </w:r>
      <w:r w:rsidRPr="00CB0EDD">
        <w:rPr>
          <w:rFonts w:ascii="Times New Roman" w:hAnsi="Times New Roman" w:cs="Times New Roman"/>
          <w:i/>
          <w:iCs/>
          <w:color w:val="222222"/>
          <w:sz w:val="24"/>
          <w:szCs w:val="24"/>
          <w:shd w:val="clear" w:color="auto" w:fill="FFFFFF"/>
        </w:rPr>
        <w:t>Harmful Algae</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91</w:t>
      </w:r>
      <w:r w:rsidRPr="00CB0EDD">
        <w:rPr>
          <w:rFonts w:ascii="Times New Roman" w:hAnsi="Times New Roman" w:cs="Times New Roman"/>
          <w:color w:val="222222"/>
          <w:sz w:val="24"/>
          <w:szCs w:val="24"/>
          <w:shd w:val="clear" w:color="auto" w:fill="FFFFFF"/>
        </w:rPr>
        <w:t xml:space="preserve">, </w:t>
      </w:r>
      <w:proofErr w:type="gramStart"/>
      <w:r w:rsidRPr="00CB0EDD">
        <w:rPr>
          <w:rFonts w:ascii="Times New Roman" w:hAnsi="Times New Roman" w:cs="Times New Roman"/>
          <w:color w:val="222222"/>
          <w:sz w:val="24"/>
          <w:szCs w:val="24"/>
          <w:shd w:val="clear" w:color="auto" w:fill="FFFFFF"/>
        </w:rPr>
        <w:t>101590.</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2" w:history="1">
        <w:r w:rsidR="00AA4B35" w:rsidRPr="00CB0EDD">
          <w:rPr>
            <w:rStyle w:val="Hyperlink"/>
            <w:rFonts w:ascii="Times New Roman" w:eastAsia="Times New Roman" w:hAnsi="Times New Roman" w:cs="Times New Roman"/>
            <w:sz w:val="24"/>
            <w:szCs w:val="24"/>
            <w:lang w:val="en-US"/>
          </w:rPr>
          <w:t>https://doi.org/10.1016/j.hal.2019.03.008</w:t>
        </w:r>
      </w:hyperlink>
      <w:r w:rsidR="00AA4B35" w:rsidRPr="00CB0EDD">
        <w:rPr>
          <w:rFonts w:ascii="Times New Roman" w:eastAsia="Times New Roman" w:hAnsi="Times New Roman" w:cs="Times New Roman"/>
          <w:sz w:val="24"/>
          <w:szCs w:val="24"/>
          <w:lang w:val="en-US"/>
        </w:rPr>
        <w:t xml:space="preserve"> </w:t>
      </w:r>
    </w:p>
    <w:p w:rsidR="00FC1A30" w:rsidRPr="00CB0EDD" w:rsidRDefault="002E0776"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Huisman, J., Codd, G. A., </w:t>
      </w:r>
      <w:proofErr w:type="spellStart"/>
      <w:r w:rsidRPr="00CB0EDD">
        <w:rPr>
          <w:rFonts w:ascii="Times New Roman" w:hAnsi="Times New Roman" w:cs="Times New Roman"/>
          <w:color w:val="222222"/>
          <w:sz w:val="24"/>
          <w:szCs w:val="24"/>
          <w:shd w:val="clear" w:color="auto" w:fill="FFFFFF"/>
        </w:rPr>
        <w:t>Paerl</w:t>
      </w:r>
      <w:proofErr w:type="spellEnd"/>
      <w:r w:rsidRPr="00CB0EDD">
        <w:rPr>
          <w:rFonts w:ascii="Times New Roman" w:hAnsi="Times New Roman" w:cs="Times New Roman"/>
          <w:color w:val="222222"/>
          <w:sz w:val="24"/>
          <w:szCs w:val="24"/>
          <w:shd w:val="clear" w:color="auto" w:fill="FFFFFF"/>
        </w:rPr>
        <w:t xml:space="preserve">, H. W., </w:t>
      </w:r>
      <w:proofErr w:type="spellStart"/>
      <w:r w:rsidRPr="00CB0EDD">
        <w:rPr>
          <w:rFonts w:ascii="Times New Roman" w:hAnsi="Times New Roman" w:cs="Times New Roman"/>
          <w:color w:val="222222"/>
          <w:sz w:val="24"/>
          <w:szCs w:val="24"/>
          <w:shd w:val="clear" w:color="auto" w:fill="FFFFFF"/>
        </w:rPr>
        <w:t>Ibelings</w:t>
      </w:r>
      <w:proofErr w:type="spellEnd"/>
      <w:r w:rsidRPr="00CB0EDD">
        <w:rPr>
          <w:rFonts w:ascii="Times New Roman" w:hAnsi="Times New Roman" w:cs="Times New Roman"/>
          <w:color w:val="222222"/>
          <w:sz w:val="24"/>
          <w:szCs w:val="24"/>
          <w:shd w:val="clear" w:color="auto" w:fill="FFFFFF"/>
        </w:rPr>
        <w:t xml:space="preserve">, B. W., </w:t>
      </w:r>
      <w:proofErr w:type="spellStart"/>
      <w:r w:rsidRPr="00CB0EDD">
        <w:rPr>
          <w:rFonts w:ascii="Times New Roman" w:hAnsi="Times New Roman" w:cs="Times New Roman"/>
          <w:color w:val="222222"/>
          <w:sz w:val="24"/>
          <w:szCs w:val="24"/>
          <w:shd w:val="clear" w:color="auto" w:fill="FFFFFF"/>
        </w:rPr>
        <w:t>Verspagen</w:t>
      </w:r>
      <w:proofErr w:type="spellEnd"/>
      <w:r w:rsidRPr="00CB0EDD">
        <w:rPr>
          <w:rFonts w:ascii="Times New Roman" w:hAnsi="Times New Roman" w:cs="Times New Roman"/>
          <w:color w:val="222222"/>
          <w:sz w:val="24"/>
          <w:szCs w:val="24"/>
          <w:shd w:val="clear" w:color="auto" w:fill="FFFFFF"/>
        </w:rPr>
        <w:t>, J. M., &amp; Visser, P. M. (2018). Cyanobacterial blooms. </w:t>
      </w:r>
      <w:r w:rsidRPr="00CB0EDD">
        <w:rPr>
          <w:rFonts w:ascii="Times New Roman" w:hAnsi="Times New Roman" w:cs="Times New Roman"/>
          <w:i/>
          <w:iCs/>
          <w:color w:val="222222"/>
          <w:sz w:val="24"/>
          <w:szCs w:val="24"/>
          <w:shd w:val="clear" w:color="auto" w:fill="FFFFFF"/>
        </w:rPr>
        <w:t>Nature Reviews Microbiology</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16</w:t>
      </w:r>
      <w:r w:rsidRPr="00CB0EDD">
        <w:rPr>
          <w:rFonts w:ascii="Times New Roman" w:hAnsi="Times New Roman" w:cs="Times New Roman"/>
          <w:color w:val="222222"/>
          <w:sz w:val="24"/>
          <w:szCs w:val="24"/>
          <w:shd w:val="clear" w:color="auto" w:fill="FFFFFF"/>
        </w:rPr>
        <w:t>(8), 471-</w:t>
      </w:r>
      <w:proofErr w:type="gramStart"/>
      <w:r w:rsidRPr="00CB0EDD">
        <w:rPr>
          <w:rFonts w:ascii="Times New Roman" w:hAnsi="Times New Roman" w:cs="Times New Roman"/>
          <w:color w:val="222222"/>
          <w:sz w:val="24"/>
          <w:szCs w:val="24"/>
          <w:shd w:val="clear" w:color="auto" w:fill="FFFFFF"/>
        </w:rPr>
        <w:t>483.</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3" w:history="1">
        <w:r w:rsidR="00AA4B35" w:rsidRPr="00CB0EDD">
          <w:rPr>
            <w:rStyle w:val="Hyperlink"/>
            <w:rFonts w:ascii="Times New Roman" w:eastAsia="Times New Roman" w:hAnsi="Times New Roman" w:cs="Times New Roman"/>
            <w:sz w:val="24"/>
            <w:szCs w:val="24"/>
            <w:lang w:val="en-US"/>
          </w:rPr>
          <w:t>https://doi.org/10.1038/s41579-018-0040-1</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C1225B"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Jamwal</w:t>
      </w:r>
      <w:proofErr w:type="spellEnd"/>
      <w:r w:rsidRPr="00CB0EDD">
        <w:rPr>
          <w:rFonts w:ascii="Times New Roman" w:hAnsi="Times New Roman" w:cs="Times New Roman"/>
          <w:color w:val="222222"/>
          <w:sz w:val="24"/>
          <w:szCs w:val="24"/>
          <w:shd w:val="clear" w:color="auto" w:fill="FFFFFF"/>
        </w:rPr>
        <w:t xml:space="preserve">, P., Carvalho, L., Bhattacharyya, S., &amp; </w:t>
      </w:r>
      <w:proofErr w:type="spellStart"/>
      <w:r w:rsidRPr="00CB0EDD">
        <w:rPr>
          <w:rFonts w:ascii="Times New Roman" w:hAnsi="Times New Roman" w:cs="Times New Roman"/>
          <w:color w:val="222222"/>
          <w:sz w:val="24"/>
          <w:szCs w:val="24"/>
          <w:shd w:val="clear" w:color="auto" w:fill="FFFFFF"/>
        </w:rPr>
        <w:t>Muttepawar</w:t>
      </w:r>
      <w:proofErr w:type="spellEnd"/>
      <w:r w:rsidRPr="00CB0EDD">
        <w:rPr>
          <w:rFonts w:ascii="Times New Roman" w:hAnsi="Times New Roman" w:cs="Times New Roman"/>
          <w:color w:val="222222"/>
          <w:sz w:val="24"/>
          <w:szCs w:val="24"/>
          <w:shd w:val="clear" w:color="auto" w:fill="FFFFFF"/>
        </w:rPr>
        <w:t>, P. (2023). The benefits of restoring urban lakes in the tropics.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195</w:t>
      </w:r>
      <w:r w:rsidRPr="00CB0EDD">
        <w:rPr>
          <w:rFonts w:ascii="Times New Roman" w:hAnsi="Times New Roman" w:cs="Times New Roman"/>
          <w:color w:val="222222"/>
          <w:sz w:val="24"/>
          <w:szCs w:val="24"/>
          <w:shd w:val="clear" w:color="auto" w:fill="FFFFFF"/>
        </w:rPr>
        <w:t xml:space="preserve">(11), </w:t>
      </w:r>
      <w:proofErr w:type="gramStart"/>
      <w:r w:rsidRPr="00CB0EDD">
        <w:rPr>
          <w:rFonts w:ascii="Times New Roman" w:hAnsi="Times New Roman" w:cs="Times New Roman"/>
          <w:color w:val="222222"/>
          <w:sz w:val="24"/>
          <w:szCs w:val="24"/>
          <w:shd w:val="clear" w:color="auto" w:fill="FFFFFF"/>
        </w:rPr>
        <w:t>1294.</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4" w:history="1">
        <w:r w:rsidR="00AA4B35" w:rsidRPr="00CB0EDD">
          <w:rPr>
            <w:rStyle w:val="Hyperlink"/>
            <w:rFonts w:ascii="Times New Roman" w:eastAsia="Times New Roman" w:hAnsi="Times New Roman" w:cs="Times New Roman"/>
            <w:sz w:val="24"/>
            <w:szCs w:val="24"/>
            <w:lang w:val="en-US"/>
          </w:rPr>
          <w:t>https://doi.org/10.1007/s10661-023-11888-1</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C1225B"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Kora, A. J., Rastogi, L., Kumar, S. J., &amp; </w:t>
      </w:r>
      <w:proofErr w:type="spellStart"/>
      <w:r w:rsidRPr="00CB0EDD">
        <w:rPr>
          <w:rFonts w:ascii="Times New Roman" w:hAnsi="Times New Roman" w:cs="Times New Roman"/>
          <w:color w:val="222222"/>
          <w:sz w:val="24"/>
          <w:szCs w:val="24"/>
          <w:shd w:val="clear" w:color="auto" w:fill="FFFFFF"/>
        </w:rPr>
        <w:t>Jagatap</w:t>
      </w:r>
      <w:proofErr w:type="spellEnd"/>
      <w:r w:rsidRPr="00CB0EDD">
        <w:rPr>
          <w:rFonts w:ascii="Times New Roman" w:hAnsi="Times New Roman" w:cs="Times New Roman"/>
          <w:color w:val="222222"/>
          <w:sz w:val="24"/>
          <w:szCs w:val="24"/>
          <w:shd w:val="clear" w:color="auto" w:fill="FFFFFF"/>
        </w:rPr>
        <w:t xml:space="preserve">, B. N. (2017). </w:t>
      </w:r>
      <w:proofErr w:type="spellStart"/>
      <w:r w:rsidRPr="00CB0EDD">
        <w:rPr>
          <w:rFonts w:ascii="Times New Roman" w:hAnsi="Times New Roman" w:cs="Times New Roman"/>
          <w:color w:val="222222"/>
          <w:sz w:val="24"/>
          <w:szCs w:val="24"/>
          <w:shd w:val="clear" w:color="auto" w:fill="FFFFFF"/>
        </w:rPr>
        <w:t>Physico</w:t>
      </w:r>
      <w:proofErr w:type="spellEnd"/>
      <w:r w:rsidRPr="00CB0EDD">
        <w:rPr>
          <w:rFonts w:ascii="Times New Roman" w:hAnsi="Times New Roman" w:cs="Times New Roman"/>
          <w:color w:val="222222"/>
          <w:sz w:val="24"/>
          <w:szCs w:val="24"/>
          <w:shd w:val="clear" w:color="auto" w:fill="FFFFFF"/>
        </w:rPr>
        <w:t>-chemical and bacteriological screening of Hussain Sagar lake: An urban wetland. </w:t>
      </w:r>
      <w:r w:rsidRPr="00CB0EDD">
        <w:rPr>
          <w:rFonts w:ascii="Times New Roman" w:hAnsi="Times New Roman" w:cs="Times New Roman"/>
          <w:i/>
          <w:iCs/>
          <w:color w:val="222222"/>
          <w:sz w:val="24"/>
          <w:szCs w:val="24"/>
          <w:shd w:val="clear" w:color="auto" w:fill="FFFFFF"/>
        </w:rPr>
        <w:t>Water Science</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31</w:t>
      </w:r>
      <w:r w:rsidRPr="00CB0EDD">
        <w:rPr>
          <w:rFonts w:ascii="Times New Roman" w:hAnsi="Times New Roman" w:cs="Times New Roman"/>
          <w:color w:val="222222"/>
          <w:sz w:val="24"/>
          <w:szCs w:val="24"/>
          <w:shd w:val="clear" w:color="auto" w:fill="FFFFFF"/>
        </w:rPr>
        <w:t>(1), 24-</w:t>
      </w:r>
      <w:proofErr w:type="gramStart"/>
      <w:r w:rsidRPr="00CB0EDD">
        <w:rPr>
          <w:rFonts w:ascii="Times New Roman" w:hAnsi="Times New Roman" w:cs="Times New Roman"/>
          <w:color w:val="222222"/>
          <w:sz w:val="24"/>
          <w:szCs w:val="24"/>
          <w:shd w:val="clear" w:color="auto" w:fill="FFFFFF"/>
        </w:rPr>
        <w:t>33.</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5" w:history="1">
        <w:r w:rsidR="00AA4B35" w:rsidRPr="00CB0EDD">
          <w:rPr>
            <w:rStyle w:val="Hyperlink"/>
            <w:rFonts w:ascii="Times New Roman" w:eastAsia="Times New Roman" w:hAnsi="Times New Roman" w:cs="Times New Roman"/>
            <w:sz w:val="24"/>
            <w:szCs w:val="24"/>
            <w:lang w:val="en-US"/>
          </w:rPr>
          <w:t>https://doi.org/10.1016/j.wsj.2017.03.003</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C1225B"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Kumar, P., Mahajan, A. K., &amp; Meena, N. K. (2019). Evaluation of trophic status and its limiting factors in the Renuka Lake of Lesser Himalaya, India.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191</w:t>
      </w:r>
      <w:r w:rsidRPr="00CB0EDD">
        <w:rPr>
          <w:rFonts w:ascii="Times New Roman" w:hAnsi="Times New Roman" w:cs="Times New Roman"/>
          <w:color w:val="222222"/>
          <w:sz w:val="24"/>
          <w:szCs w:val="24"/>
          <w:shd w:val="clear" w:color="auto" w:fill="FFFFFF"/>
        </w:rPr>
        <w:t xml:space="preserve">(2), </w:t>
      </w:r>
      <w:proofErr w:type="gramStart"/>
      <w:r w:rsidRPr="00CB0EDD">
        <w:rPr>
          <w:rFonts w:ascii="Times New Roman" w:hAnsi="Times New Roman" w:cs="Times New Roman"/>
          <w:color w:val="222222"/>
          <w:sz w:val="24"/>
          <w:szCs w:val="24"/>
          <w:shd w:val="clear" w:color="auto" w:fill="FFFFFF"/>
        </w:rPr>
        <w:t>105.</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6" w:history="1">
        <w:r w:rsidR="00AA4B35" w:rsidRPr="00CB0EDD">
          <w:rPr>
            <w:rStyle w:val="Hyperlink"/>
            <w:rFonts w:ascii="Times New Roman" w:eastAsia="Times New Roman" w:hAnsi="Times New Roman" w:cs="Times New Roman"/>
            <w:sz w:val="24"/>
            <w:szCs w:val="24"/>
            <w:lang w:val="en-US"/>
          </w:rPr>
          <w:t>https://doi.org/10.1007/s10661-019-7247-0</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r w:rsidR="00AA4B35" w:rsidRPr="00CB0EDD">
        <w:rPr>
          <w:rFonts w:ascii="Times New Roman" w:eastAsia="Times New Roman" w:hAnsi="Times New Roman" w:cs="Times New Roman"/>
          <w:sz w:val="24"/>
          <w:szCs w:val="24"/>
          <w:lang w:val="en-US"/>
        </w:rPr>
        <w:t xml:space="preserve"> </w:t>
      </w:r>
    </w:p>
    <w:p w:rsidR="00FC1A30" w:rsidRPr="00CB0EDD" w:rsidRDefault="00C1225B"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Kumar, R., </w:t>
      </w:r>
      <w:proofErr w:type="spellStart"/>
      <w:r w:rsidRPr="00CB0EDD">
        <w:rPr>
          <w:rFonts w:ascii="Times New Roman" w:hAnsi="Times New Roman" w:cs="Times New Roman"/>
          <w:color w:val="222222"/>
          <w:sz w:val="24"/>
          <w:szCs w:val="24"/>
          <w:shd w:val="clear" w:color="auto" w:fill="FFFFFF"/>
        </w:rPr>
        <w:t>Parvaze</w:t>
      </w:r>
      <w:proofErr w:type="spellEnd"/>
      <w:r w:rsidRPr="00CB0EDD">
        <w:rPr>
          <w:rFonts w:ascii="Times New Roman" w:hAnsi="Times New Roman" w:cs="Times New Roman"/>
          <w:color w:val="222222"/>
          <w:sz w:val="24"/>
          <w:szCs w:val="24"/>
          <w:shd w:val="clear" w:color="auto" w:fill="FFFFFF"/>
        </w:rPr>
        <w:t xml:space="preserve">, S., Huda, M. B., &amp; </w:t>
      </w:r>
      <w:proofErr w:type="spellStart"/>
      <w:r w:rsidRPr="00CB0EDD">
        <w:rPr>
          <w:rFonts w:ascii="Times New Roman" w:hAnsi="Times New Roman" w:cs="Times New Roman"/>
          <w:color w:val="222222"/>
          <w:sz w:val="24"/>
          <w:szCs w:val="24"/>
          <w:shd w:val="clear" w:color="auto" w:fill="FFFFFF"/>
        </w:rPr>
        <w:t>Allaie</w:t>
      </w:r>
      <w:proofErr w:type="spellEnd"/>
      <w:r w:rsidRPr="00CB0EDD">
        <w:rPr>
          <w:rFonts w:ascii="Times New Roman" w:hAnsi="Times New Roman" w:cs="Times New Roman"/>
          <w:color w:val="222222"/>
          <w:sz w:val="24"/>
          <w:szCs w:val="24"/>
          <w:shd w:val="clear" w:color="auto" w:fill="FFFFFF"/>
        </w:rPr>
        <w:t>, S. P. (2022). The changing water quality of lakes—a case study of Dal Lake, Kashmir Valley.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194</w:t>
      </w:r>
      <w:r w:rsidRPr="00CB0EDD">
        <w:rPr>
          <w:rFonts w:ascii="Times New Roman" w:hAnsi="Times New Roman" w:cs="Times New Roman"/>
          <w:color w:val="222222"/>
          <w:sz w:val="24"/>
          <w:szCs w:val="24"/>
          <w:shd w:val="clear" w:color="auto" w:fill="FFFFFF"/>
        </w:rPr>
        <w:t xml:space="preserve">(3), </w:t>
      </w:r>
      <w:proofErr w:type="gramStart"/>
      <w:r w:rsidRPr="00CB0EDD">
        <w:rPr>
          <w:rFonts w:ascii="Times New Roman" w:hAnsi="Times New Roman" w:cs="Times New Roman"/>
          <w:color w:val="222222"/>
          <w:sz w:val="24"/>
          <w:szCs w:val="24"/>
          <w:shd w:val="clear" w:color="auto" w:fill="FFFFFF"/>
        </w:rPr>
        <w:t>228.</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17" w:history="1">
        <w:r w:rsidR="00AA4B35" w:rsidRPr="00CB0EDD">
          <w:rPr>
            <w:rStyle w:val="Hyperlink"/>
            <w:rFonts w:ascii="Times New Roman" w:eastAsia="Times New Roman" w:hAnsi="Times New Roman" w:cs="Times New Roman"/>
            <w:sz w:val="24"/>
            <w:szCs w:val="24"/>
            <w:lang w:val="en-US"/>
          </w:rPr>
          <w:t>https://doi.org/10.1007/s10661-022-09869-x</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Default="00AE79C2"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lastRenderedPageBreak/>
        <w:t>Laishram</w:t>
      </w:r>
      <w:proofErr w:type="spellEnd"/>
      <w:r w:rsidRPr="00CB0EDD">
        <w:rPr>
          <w:rFonts w:ascii="Times New Roman" w:hAnsi="Times New Roman" w:cs="Times New Roman"/>
          <w:color w:val="222222"/>
          <w:sz w:val="24"/>
          <w:szCs w:val="24"/>
          <w:shd w:val="clear" w:color="auto" w:fill="FFFFFF"/>
        </w:rPr>
        <w:t xml:space="preserve">, R. J., </w:t>
      </w:r>
      <w:proofErr w:type="spellStart"/>
      <w:r w:rsidRPr="00CB0EDD">
        <w:rPr>
          <w:rFonts w:ascii="Times New Roman" w:hAnsi="Times New Roman" w:cs="Times New Roman"/>
          <w:color w:val="222222"/>
          <w:sz w:val="24"/>
          <w:szCs w:val="24"/>
          <w:shd w:val="clear" w:color="auto" w:fill="FFFFFF"/>
        </w:rPr>
        <w:t>Yumnam</w:t>
      </w:r>
      <w:proofErr w:type="spellEnd"/>
      <w:r w:rsidRPr="00CB0EDD">
        <w:rPr>
          <w:rFonts w:ascii="Times New Roman" w:hAnsi="Times New Roman" w:cs="Times New Roman"/>
          <w:color w:val="222222"/>
          <w:sz w:val="24"/>
          <w:szCs w:val="24"/>
          <w:shd w:val="clear" w:color="auto" w:fill="FFFFFF"/>
        </w:rPr>
        <w:t xml:space="preserve">, G., Singh, T. B., &amp; </w:t>
      </w:r>
      <w:proofErr w:type="spellStart"/>
      <w:r w:rsidRPr="00CB0EDD">
        <w:rPr>
          <w:rFonts w:ascii="Times New Roman" w:hAnsi="Times New Roman" w:cs="Times New Roman"/>
          <w:color w:val="222222"/>
          <w:sz w:val="24"/>
          <w:szCs w:val="24"/>
          <w:shd w:val="clear" w:color="auto" w:fill="FFFFFF"/>
        </w:rPr>
        <w:t>Alam</w:t>
      </w:r>
      <w:proofErr w:type="spellEnd"/>
      <w:r w:rsidRPr="00CB0EDD">
        <w:rPr>
          <w:rFonts w:ascii="Times New Roman" w:hAnsi="Times New Roman" w:cs="Times New Roman"/>
          <w:color w:val="222222"/>
          <w:sz w:val="24"/>
          <w:szCs w:val="24"/>
          <w:shd w:val="clear" w:color="auto" w:fill="FFFFFF"/>
        </w:rPr>
        <w:t xml:space="preserve">, W. (2025). Distribution and Pollution Assessment of Critical Nutrients and Heavy Metals in the Sediments of </w:t>
      </w:r>
      <w:proofErr w:type="spellStart"/>
      <w:r w:rsidRPr="00CB0EDD">
        <w:rPr>
          <w:rFonts w:ascii="Times New Roman" w:hAnsi="Times New Roman" w:cs="Times New Roman"/>
          <w:color w:val="222222"/>
          <w:sz w:val="24"/>
          <w:szCs w:val="24"/>
          <w:shd w:val="clear" w:color="auto" w:fill="FFFFFF"/>
        </w:rPr>
        <w:t>Loktak</w:t>
      </w:r>
      <w:proofErr w:type="spellEnd"/>
      <w:r w:rsidRPr="00CB0EDD">
        <w:rPr>
          <w:rFonts w:ascii="Times New Roman" w:hAnsi="Times New Roman" w:cs="Times New Roman"/>
          <w:color w:val="222222"/>
          <w:sz w:val="24"/>
          <w:szCs w:val="24"/>
          <w:shd w:val="clear" w:color="auto" w:fill="FFFFFF"/>
        </w:rPr>
        <w:t xml:space="preserve"> Lake, a Ramsar Site in the Indo‐Myanmar Hotspot Region of Manipur Valley (India). </w:t>
      </w:r>
      <w:r w:rsidRPr="00CB0EDD">
        <w:rPr>
          <w:rFonts w:ascii="Times New Roman" w:hAnsi="Times New Roman" w:cs="Times New Roman"/>
          <w:i/>
          <w:iCs/>
          <w:color w:val="222222"/>
          <w:sz w:val="24"/>
          <w:szCs w:val="24"/>
          <w:shd w:val="clear" w:color="auto" w:fill="FFFFFF"/>
        </w:rPr>
        <w:t>Lakes &amp; Reservoirs: Research &amp; Management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30</w:t>
      </w:r>
      <w:r w:rsidRPr="00CB0EDD">
        <w:rPr>
          <w:rFonts w:ascii="Times New Roman" w:hAnsi="Times New Roman" w:cs="Times New Roman"/>
          <w:color w:val="222222"/>
          <w:sz w:val="24"/>
          <w:szCs w:val="24"/>
          <w:shd w:val="clear" w:color="auto" w:fill="FFFFFF"/>
        </w:rPr>
        <w:t>(1), e70010</w:t>
      </w:r>
      <w:r w:rsidR="00FC1A30" w:rsidRPr="00CB0EDD">
        <w:rPr>
          <w:rFonts w:ascii="Times New Roman" w:eastAsia="Times New Roman" w:hAnsi="Times New Roman" w:cs="Times New Roman"/>
          <w:sz w:val="24"/>
          <w:szCs w:val="24"/>
          <w:lang w:val="en-US"/>
        </w:rPr>
        <w:t xml:space="preserve">. </w:t>
      </w:r>
      <w:hyperlink r:id="rId18" w:history="1">
        <w:r w:rsidR="00AA4B35" w:rsidRPr="00CB0EDD">
          <w:rPr>
            <w:rStyle w:val="Hyperlink"/>
            <w:rFonts w:ascii="Times New Roman" w:eastAsia="Times New Roman" w:hAnsi="Times New Roman" w:cs="Times New Roman"/>
            <w:sz w:val="24"/>
            <w:szCs w:val="24"/>
            <w:lang w:val="en-US"/>
          </w:rPr>
          <w:t>https://doi.org/10.1111/lre.70010</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CB0EDD" w:rsidRPr="00CB0EDD" w:rsidRDefault="00CB0EDD" w:rsidP="00CB0EDD">
      <w:pPr>
        <w:spacing w:before="100" w:beforeAutospacing="1" w:after="100" w:afterAutospacing="1" w:line="240" w:lineRule="auto"/>
        <w:rPr>
          <w:rFonts w:ascii="Times New Roman" w:hAnsi="Times New Roman" w:cs="Times New Roman"/>
          <w:color w:val="222222"/>
          <w:sz w:val="24"/>
          <w:szCs w:val="24"/>
          <w:shd w:val="clear" w:color="auto" w:fill="FFFFFF"/>
        </w:rPr>
      </w:pPr>
      <w:r w:rsidRPr="00CB0EDD">
        <w:rPr>
          <w:rFonts w:ascii="Times New Roman" w:hAnsi="Times New Roman" w:cs="Times New Roman"/>
          <w:color w:val="222222"/>
          <w:sz w:val="24"/>
          <w:szCs w:val="24"/>
          <w:shd w:val="clear" w:color="auto" w:fill="FFFFFF"/>
        </w:rPr>
        <w:t xml:space="preserve">Mohan, R., </w:t>
      </w:r>
      <w:proofErr w:type="spellStart"/>
      <w:r w:rsidRPr="00CB0EDD">
        <w:rPr>
          <w:rFonts w:ascii="Times New Roman" w:hAnsi="Times New Roman" w:cs="Times New Roman"/>
          <w:color w:val="222222"/>
          <w:sz w:val="24"/>
          <w:szCs w:val="24"/>
          <w:shd w:val="clear" w:color="auto" w:fill="FFFFFF"/>
        </w:rPr>
        <w:t>Anjaly</w:t>
      </w:r>
      <w:proofErr w:type="spellEnd"/>
      <w:r w:rsidRPr="00CB0EDD">
        <w:rPr>
          <w:rFonts w:ascii="Times New Roman" w:hAnsi="Times New Roman" w:cs="Times New Roman"/>
          <w:color w:val="222222"/>
          <w:sz w:val="24"/>
          <w:szCs w:val="24"/>
          <w:shd w:val="clear" w:color="auto" w:fill="FFFFFF"/>
        </w:rPr>
        <w:t xml:space="preserve">, M. A., Thomas, L. C., &amp; </w:t>
      </w:r>
      <w:proofErr w:type="spellStart"/>
      <w:r w:rsidRPr="00CB0EDD">
        <w:rPr>
          <w:rFonts w:ascii="Times New Roman" w:hAnsi="Times New Roman" w:cs="Times New Roman"/>
          <w:color w:val="222222"/>
          <w:sz w:val="24"/>
          <w:szCs w:val="24"/>
          <w:shd w:val="clear" w:color="auto" w:fill="FFFFFF"/>
        </w:rPr>
        <w:t>Padmakumar</w:t>
      </w:r>
      <w:proofErr w:type="spellEnd"/>
      <w:r w:rsidRPr="00CB0EDD">
        <w:rPr>
          <w:rFonts w:ascii="Times New Roman" w:hAnsi="Times New Roman" w:cs="Times New Roman"/>
          <w:color w:val="222222"/>
          <w:sz w:val="24"/>
          <w:szCs w:val="24"/>
          <w:shd w:val="clear" w:color="auto" w:fill="FFFFFF"/>
        </w:rPr>
        <w:t>, K. B. (2023). Occurrence and toxicity of cyanobacterium Microcystis aeruginosa in freshwater ecosystems of the Indian subcontinent: a review. </w:t>
      </w:r>
      <w:r w:rsidRPr="00CB0EDD">
        <w:rPr>
          <w:rFonts w:ascii="Times New Roman" w:hAnsi="Times New Roman" w:cs="Times New Roman"/>
          <w:i/>
          <w:iCs/>
          <w:color w:val="222222"/>
          <w:sz w:val="24"/>
          <w:szCs w:val="24"/>
          <w:shd w:val="clear" w:color="auto" w:fill="FFFFFF"/>
        </w:rPr>
        <w:t>Energy, Ecology and Environment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8</w:t>
      </w:r>
      <w:r w:rsidRPr="00CB0EDD">
        <w:rPr>
          <w:rFonts w:ascii="Times New Roman" w:hAnsi="Times New Roman" w:cs="Times New Roman"/>
          <w:color w:val="222222"/>
          <w:sz w:val="24"/>
          <w:szCs w:val="24"/>
          <w:shd w:val="clear" w:color="auto" w:fill="FFFFFF"/>
        </w:rPr>
        <w:t xml:space="preserve">(4), 332-343. </w:t>
      </w:r>
      <w:hyperlink r:id="rId19" w:history="1">
        <w:r w:rsidRPr="00CB0EDD">
          <w:rPr>
            <w:rStyle w:val="Hyperlink"/>
            <w:rFonts w:ascii="Times New Roman" w:hAnsi="Times New Roman" w:cs="Times New Roman"/>
            <w:sz w:val="24"/>
            <w:szCs w:val="24"/>
            <w:shd w:val="clear" w:color="auto" w:fill="FFFFFF"/>
          </w:rPr>
          <w:t>https://doi.org/10.1007/s40974-023-00277-6</w:t>
        </w:r>
      </w:hyperlink>
      <w:r w:rsidRPr="00CB0EDD">
        <w:rPr>
          <w:rFonts w:ascii="Times New Roman" w:hAnsi="Times New Roman" w:cs="Times New Roman"/>
          <w:color w:val="222222"/>
          <w:sz w:val="24"/>
          <w:szCs w:val="24"/>
          <w:shd w:val="clear" w:color="auto" w:fill="FFFFFF"/>
        </w:rPr>
        <w:t xml:space="preserve"> </w:t>
      </w:r>
    </w:p>
    <w:p w:rsidR="00CB0EDD" w:rsidRPr="00CB0EDD" w:rsidRDefault="00CB0EDD" w:rsidP="00CB0EDD">
      <w:pPr>
        <w:spacing w:before="100" w:beforeAutospacing="1" w:after="100" w:afterAutospacing="1" w:line="240" w:lineRule="auto"/>
        <w:rPr>
          <w:rFonts w:ascii="Times New Roman" w:hAnsi="Times New Roman" w:cs="Times New Roman"/>
          <w:color w:val="222222"/>
          <w:sz w:val="24"/>
          <w:szCs w:val="24"/>
          <w:shd w:val="clear" w:color="auto" w:fill="FFFFFF"/>
        </w:rPr>
      </w:pPr>
      <w:proofErr w:type="spellStart"/>
      <w:r w:rsidRPr="00CB0EDD">
        <w:rPr>
          <w:rFonts w:ascii="Times New Roman" w:hAnsi="Times New Roman" w:cs="Times New Roman"/>
          <w:color w:val="222222"/>
          <w:sz w:val="24"/>
          <w:szCs w:val="24"/>
          <w:shd w:val="clear" w:color="auto" w:fill="FFFFFF"/>
        </w:rPr>
        <w:t>Maniyar</w:t>
      </w:r>
      <w:proofErr w:type="spellEnd"/>
      <w:r w:rsidRPr="00CB0EDD">
        <w:rPr>
          <w:rFonts w:ascii="Times New Roman" w:hAnsi="Times New Roman" w:cs="Times New Roman"/>
          <w:color w:val="222222"/>
          <w:sz w:val="24"/>
          <w:szCs w:val="24"/>
          <w:shd w:val="clear" w:color="auto" w:fill="FFFFFF"/>
        </w:rPr>
        <w:t>, C. B., Kumar, A., &amp; Mishra, D. R. (2022). Continuous and synoptic assessment of Indian inland waters for harmful algae blooms. </w:t>
      </w:r>
      <w:r w:rsidRPr="00CB0EDD">
        <w:rPr>
          <w:rFonts w:ascii="Times New Roman" w:hAnsi="Times New Roman" w:cs="Times New Roman"/>
          <w:i/>
          <w:iCs/>
          <w:color w:val="222222"/>
          <w:sz w:val="24"/>
          <w:szCs w:val="24"/>
          <w:shd w:val="clear" w:color="auto" w:fill="FFFFFF"/>
        </w:rPr>
        <w:t>Harmful Algae</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111</w:t>
      </w:r>
      <w:r w:rsidRPr="00CB0EDD">
        <w:rPr>
          <w:rFonts w:ascii="Times New Roman" w:hAnsi="Times New Roman" w:cs="Times New Roman"/>
          <w:color w:val="222222"/>
          <w:sz w:val="24"/>
          <w:szCs w:val="24"/>
          <w:shd w:val="clear" w:color="auto" w:fill="FFFFFF"/>
        </w:rPr>
        <w:t xml:space="preserve">, 102160. </w:t>
      </w:r>
      <w:hyperlink r:id="rId20" w:history="1">
        <w:r w:rsidRPr="00CB0EDD">
          <w:rPr>
            <w:rStyle w:val="Hyperlink"/>
            <w:rFonts w:ascii="Times New Roman" w:hAnsi="Times New Roman" w:cs="Times New Roman"/>
            <w:sz w:val="24"/>
            <w:szCs w:val="24"/>
            <w:shd w:val="clear" w:color="auto" w:fill="FFFFFF"/>
          </w:rPr>
          <w:t>https://doi.org/10.1016/j.hal.2021.102160</w:t>
        </w:r>
      </w:hyperlink>
      <w:r w:rsidRPr="00CB0EDD">
        <w:rPr>
          <w:rFonts w:ascii="Times New Roman" w:hAnsi="Times New Roman" w:cs="Times New Roman"/>
          <w:color w:val="222222"/>
          <w:sz w:val="24"/>
          <w:szCs w:val="24"/>
          <w:shd w:val="clear" w:color="auto" w:fill="FFFFFF"/>
        </w:rPr>
        <w:t xml:space="preserve"> </w:t>
      </w:r>
    </w:p>
    <w:p w:rsidR="00CB0EDD" w:rsidRPr="00CB0EDD" w:rsidRDefault="00CB0EDD"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Maske</w:t>
      </w:r>
      <w:proofErr w:type="spellEnd"/>
      <w:r w:rsidRPr="00CB0EDD">
        <w:rPr>
          <w:rFonts w:ascii="Times New Roman" w:hAnsi="Times New Roman" w:cs="Times New Roman"/>
          <w:color w:val="222222"/>
          <w:sz w:val="24"/>
          <w:szCs w:val="24"/>
          <w:shd w:val="clear" w:color="auto" w:fill="FFFFFF"/>
        </w:rPr>
        <w:t xml:space="preserve">, S. S., </w:t>
      </w:r>
      <w:proofErr w:type="spellStart"/>
      <w:r w:rsidRPr="00CB0EDD">
        <w:rPr>
          <w:rFonts w:ascii="Times New Roman" w:hAnsi="Times New Roman" w:cs="Times New Roman"/>
          <w:color w:val="222222"/>
          <w:sz w:val="24"/>
          <w:szCs w:val="24"/>
          <w:shd w:val="clear" w:color="auto" w:fill="FFFFFF"/>
        </w:rPr>
        <w:t>Sangolkar</w:t>
      </w:r>
      <w:proofErr w:type="spellEnd"/>
      <w:r w:rsidRPr="00CB0EDD">
        <w:rPr>
          <w:rFonts w:ascii="Times New Roman" w:hAnsi="Times New Roman" w:cs="Times New Roman"/>
          <w:color w:val="222222"/>
          <w:sz w:val="24"/>
          <w:szCs w:val="24"/>
          <w:shd w:val="clear" w:color="auto" w:fill="FFFFFF"/>
        </w:rPr>
        <w:t>, L. N., &amp; Chakrabarti, T. (2010). Temporal variation in density and diversity of cyanobacteria and cyanotoxins in lakes at Nagpur (Maharashtra State), India.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169</w:t>
      </w:r>
      <w:r w:rsidRPr="00CB0EDD">
        <w:rPr>
          <w:rFonts w:ascii="Times New Roman" w:hAnsi="Times New Roman" w:cs="Times New Roman"/>
          <w:color w:val="222222"/>
          <w:sz w:val="24"/>
          <w:szCs w:val="24"/>
          <w:shd w:val="clear" w:color="auto" w:fill="FFFFFF"/>
        </w:rPr>
        <w:t xml:space="preserve">(1), 299-308. </w:t>
      </w:r>
      <w:hyperlink r:id="rId21" w:history="1">
        <w:r w:rsidRPr="00701ABF">
          <w:rPr>
            <w:rStyle w:val="Hyperlink"/>
            <w:rFonts w:ascii="Times New Roman" w:hAnsi="Times New Roman" w:cs="Times New Roman"/>
            <w:sz w:val="24"/>
            <w:szCs w:val="24"/>
            <w:shd w:val="clear" w:color="auto" w:fill="FFFFFF"/>
          </w:rPr>
          <w:t>https://doi.org/10.1007/s10661-009-1171-7</w:t>
        </w:r>
      </w:hyperlink>
      <w:r>
        <w:rPr>
          <w:rFonts w:ascii="Times New Roman" w:hAnsi="Times New Roman" w:cs="Times New Roman"/>
          <w:color w:val="222222"/>
          <w:sz w:val="24"/>
          <w:szCs w:val="24"/>
          <w:shd w:val="clear" w:color="auto" w:fill="FFFFFF"/>
        </w:rPr>
        <w:t xml:space="preserve"> </w:t>
      </w:r>
    </w:p>
    <w:p w:rsidR="00FC1A30" w:rsidRPr="00CB0EDD" w:rsidRDefault="00855A4C"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Padua, S., Kripa, V., </w:t>
      </w:r>
      <w:proofErr w:type="spellStart"/>
      <w:r w:rsidRPr="00CB0EDD">
        <w:rPr>
          <w:rFonts w:ascii="Times New Roman" w:hAnsi="Times New Roman" w:cs="Times New Roman"/>
          <w:color w:val="222222"/>
          <w:sz w:val="24"/>
          <w:szCs w:val="24"/>
          <w:shd w:val="clear" w:color="auto" w:fill="FFFFFF"/>
        </w:rPr>
        <w:t>Prema</w:t>
      </w:r>
      <w:proofErr w:type="spellEnd"/>
      <w:r w:rsidRPr="00CB0EDD">
        <w:rPr>
          <w:rFonts w:ascii="Times New Roman" w:hAnsi="Times New Roman" w:cs="Times New Roman"/>
          <w:color w:val="222222"/>
          <w:sz w:val="24"/>
          <w:szCs w:val="24"/>
          <w:shd w:val="clear" w:color="auto" w:fill="FFFFFF"/>
        </w:rPr>
        <w:t xml:space="preserve">, D., Mohamed, K. S., </w:t>
      </w:r>
      <w:proofErr w:type="spellStart"/>
      <w:r w:rsidRPr="00CB0EDD">
        <w:rPr>
          <w:rFonts w:ascii="Times New Roman" w:hAnsi="Times New Roman" w:cs="Times New Roman"/>
          <w:color w:val="222222"/>
          <w:sz w:val="24"/>
          <w:szCs w:val="24"/>
          <w:shd w:val="clear" w:color="auto" w:fill="FFFFFF"/>
        </w:rPr>
        <w:t>Jeyabaskaran</w:t>
      </w:r>
      <w:proofErr w:type="spellEnd"/>
      <w:r w:rsidRPr="00CB0EDD">
        <w:rPr>
          <w:rFonts w:ascii="Times New Roman" w:hAnsi="Times New Roman" w:cs="Times New Roman"/>
          <w:color w:val="222222"/>
          <w:sz w:val="24"/>
          <w:szCs w:val="24"/>
          <w:shd w:val="clear" w:color="auto" w:fill="FFFFFF"/>
        </w:rPr>
        <w:t xml:space="preserve">, R., </w:t>
      </w:r>
      <w:proofErr w:type="spellStart"/>
      <w:r w:rsidRPr="00CB0EDD">
        <w:rPr>
          <w:rFonts w:ascii="Times New Roman" w:hAnsi="Times New Roman" w:cs="Times New Roman"/>
          <w:color w:val="222222"/>
          <w:sz w:val="24"/>
          <w:szCs w:val="24"/>
          <w:shd w:val="clear" w:color="auto" w:fill="FFFFFF"/>
        </w:rPr>
        <w:t>Kaladharan</w:t>
      </w:r>
      <w:proofErr w:type="spellEnd"/>
      <w:r w:rsidRPr="00CB0EDD">
        <w:rPr>
          <w:rFonts w:ascii="Times New Roman" w:hAnsi="Times New Roman" w:cs="Times New Roman"/>
          <w:color w:val="222222"/>
          <w:sz w:val="24"/>
          <w:szCs w:val="24"/>
          <w:shd w:val="clear" w:color="auto" w:fill="FFFFFF"/>
        </w:rPr>
        <w:t xml:space="preserve">, P., ... &amp; </w:t>
      </w:r>
      <w:proofErr w:type="spellStart"/>
      <w:r w:rsidRPr="00CB0EDD">
        <w:rPr>
          <w:rFonts w:ascii="Times New Roman" w:hAnsi="Times New Roman" w:cs="Times New Roman"/>
          <w:color w:val="222222"/>
          <w:sz w:val="24"/>
          <w:szCs w:val="24"/>
          <w:shd w:val="clear" w:color="auto" w:fill="FFFFFF"/>
        </w:rPr>
        <w:t>Babu</w:t>
      </w:r>
      <w:proofErr w:type="spellEnd"/>
      <w:r w:rsidRPr="00CB0EDD">
        <w:rPr>
          <w:rFonts w:ascii="Times New Roman" w:hAnsi="Times New Roman" w:cs="Times New Roman"/>
          <w:color w:val="222222"/>
          <w:sz w:val="24"/>
          <w:szCs w:val="24"/>
          <w:shd w:val="clear" w:color="auto" w:fill="FFFFFF"/>
        </w:rPr>
        <w:t xml:space="preserve">, A. (2023). Assessment of ecosystem health of a micro-level Ramsar coastal zone in the </w:t>
      </w:r>
      <w:proofErr w:type="spellStart"/>
      <w:r w:rsidRPr="00CB0EDD">
        <w:rPr>
          <w:rFonts w:ascii="Times New Roman" w:hAnsi="Times New Roman" w:cs="Times New Roman"/>
          <w:color w:val="222222"/>
          <w:sz w:val="24"/>
          <w:szCs w:val="24"/>
          <w:shd w:val="clear" w:color="auto" w:fill="FFFFFF"/>
        </w:rPr>
        <w:t>Vembanad</w:t>
      </w:r>
      <w:proofErr w:type="spellEnd"/>
      <w:r w:rsidRPr="00CB0EDD">
        <w:rPr>
          <w:rFonts w:ascii="Times New Roman" w:hAnsi="Times New Roman" w:cs="Times New Roman"/>
          <w:color w:val="222222"/>
          <w:sz w:val="24"/>
          <w:szCs w:val="24"/>
          <w:shd w:val="clear" w:color="auto" w:fill="FFFFFF"/>
        </w:rPr>
        <w:t xml:space="preserve"> Lake, Kerala, India.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195</w:t>
      </w:r>
      <w:r w:rsidRPr="00CB0EDD">
        <w:rPr>
          <w:rFonts w:ascii="Times New Roman" w:hAnsi="Times New Roman" w:cs="Times New Roman"/>
          <w:color w:val="222222"/>
          <w:sz w:val="24"/>
          <w:szCs w:val="24"/>
          <w:shd w:val="clear" w:color="auto" w:fill="FFFFFF"/>
        </w:rPr>
        <w:t xml:space="preserve">(1), </w:t>
      </w:r>
      <w:proofErr w:type="gramStart"/>
      <w:r w:rsidRPr="00CB0EDD">
        <w:rPr>
          <w:rFonts w:ascii="Times New Roman" w:hAnsi="Times New Roman" w:cs="Times New Roman"/>
          <w:color w:val="222222"/>
          <w:sz w:val="24"/>
          <w:szCs w:val="24"/>
          <w:shd w:val="clear" w:color="auto" w:fill="FFFFFF"/>
        </w:rPr>
        <w:t>95.</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22" w:history="1">
        <w:r w:rsidR="00AA4B35" w:rsidRPr="00CB0EDD">
          <w:rPr>
            <w:rStyle w:val="Hyperlink"/>
            <w:rFonts w:ascii="Times New Roman" w:eastAsia="Times New Roman" w:hAnsi="Times New Roman" w:cs="Times New Roman"/>
            <w:sz w:val="24"/>
            <w:szCs w:val="24"/>
            <w:lang w:val="en-US"/>
          </w:rPr>
          <w:t>https://doi.org/10.1007/s10661-022-10692-7</w:t>
        </w:r>
      </w:hyperlink>
      <w:r w:rsidR="00AA4B35"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AE79C2"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Paerl</w:t>
      </w:r>
      <w:proofErr w:type="spellEnd"/>
      <w:r w:rsidRPr="00CB0EDD">
        <w:rPr>
          <w:rFonts w:ascii="Times New Roman" w:hAnsi="Times New Roman" w:cs="Times New Roman"/>
          <w:color w:val="222222"/>
          <w:sz w:val="24"/>
          <w:szCs w:val="24"/>
          <w:shd w:val="clear" w:color="auto" w:fill="FFFFFF"/>
        </w:rPr>
        <w:t xml:space="preserve">, H. W., Scott, J. T., McCarthy, M. J., Newell, S. E., Gardner, W. S., Havens, K. E., ... &amp; </w:t>
      </w:r>
      <w:proofErr w:type="spellStart"/>
      <w:r w:rsidRPr="00CB0EDD">
        <w:rPr>
          <w:rFonts w:ascii="Times New Roman" w:hAnsi="Times New Roman" w:cs="Times New Roman"/>
          <w:color w:val="222222"/>
          <w:sz w:val="24"/>
          <w:szCs w:val="24"/>
          <w:shd w:val="clear" w:color="auto" w:fill="FFFFFF"/>
        </w:rPr>
        <w:t>Wurtsbaugh</w:t>
      </w:r>
      <w:proofErr w:type="spellEnd"/>
      <w:r w:rsidRPr="00CB0EDD">
        <w:rPr>
          <w:rFonts w:ascii="Times New Roman" w:hAnsi="Times New Roman" w:cs="Times New Roman"/>
          <w:color w:val="222222"/>
          <w:sz w:val="24"/>
          <w:szCs w:val="24"/>
          <w:shd w:val="clear" w:color="auto" w:fill="FFFFFF"/>
        </w:rPr>
        <w:t>, W. A. (2016). It takes two to tango: when and where dual nutrient (N &amp; P) reductions are needed to protect lakes and downstream ecosystems. </w:t>
      </w:r>
      <w:r w:rsidRPr="00CB0EDD">
        <w:rPr>
          <w:rFonts w:ascii="Times New Roman" w:hAnsi="Times New Roman" w:cs="Times New Roman"/>
          <w:i/>
          <w:iCs/>
          <w:color w:val="222222"/>
          <w:sz w:val="24"/>
          <w:szCs w:val="24"/>
          <w:shd w:val="clear" w:color="auto" w:fill="FFFFFF"/>
        </w:rPr>
        <w:t>Environmental science &amp; technology</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50</w:t>
      </w:r>
      <w:r w:rsidRPr="00CB0EDD">
        <w:rPr>
          <w:rFonts w:ascii="Times New Roman" w:hAnsi="Times New Roman" w:cs="Times New Roman"/>
          <w:color w:val="222222"/>
          <w:sz w:val="24"/>
          <w:szCs w:val="24"/>
          <w:shd w:val="clear" w:color="auto" w:fill="FFFFFF"/>
        </w:rPr>
        <w:t>(20), 10805-</w:t>
      </w:r>
      <w:proofErr w:type="gramStart"/>
      <w:r w:rsidRPr="00CB0EDD">
        <w:rPr>
          <w:rFonts w:ascii="Times New Roman" w:hAnsi="Times New Roman" w:cs="Times New Roman"/>
          <w:color w:val="222222"/>
          <w:sz w:val="24"/>
          <w:szCs w:val="24"/>
          <w:shd w:val="clear" w:color="auto" w:fill="FFFFFF"/>
        </w:rPr>
        <w:t>10813.</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23" w:history="1">
        <w:r w:rsidR="00EF4D40" w:rsidRPr="00CB0EDD">
          <w:rPr>
            <w:rStyle w:val="Hyperlink"/>
            <w:rFonts w:ascii="Times New Roman" w:eastAsia="Times New Roman" w:hAnsi="Times New Roman" w:cs="Times New Roman"/>
            <w:sz w:val="24"/>
            <w:szCs w:val="24"/>
            <w:lang w:val="en-US"/>
          </w:rPr>
          <w:t>https://doi.org/10.1021/acs.est.6b02575</w:t>
        </w:r>
      </w:hyperlink>
      <w:r w:rsidR="00EF4D40"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FC1A30" w:rsidRPr="00CB0EDD" w:rsidRDefault="00AE79C2"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Park, Y., </w:t>
      </w:r>
      <w:proofErr w:type="spellStart"/>
      <w:r w:rsidRPr="00CB0EDD">
        <w:rPr>
          <w:rFonts w:ascii="Times New Roman" w:hAnsi="Times New Roman" w:cs="Times New Roman"/>
          <w:color w:val="222222"/>
          <w:sz w:val="24"/>
          <w:szCs w:val="24"/>
          <w:shd w:val="clear" w:color="auto" w:fill="FFFFFF"/>
        </w:rPr>
        <w:t>Pyo</w:t>
      </w:r>
      <w:proofErr w:type="spellEnd"/>
      <w:r w:rsidRPr="00CB0EDD">
        <w:rPr>
          <w:rFonts w:ascii="Times New Roman" w:hAnsi="Times New Roman" w:cs="Times New Roman"/>
          <w:color w:val="222222"/>
          <w:sz w:val="24"/>
          <w:szCs w:val="24"/>
          <w:shd w:val="clear" w:color="auto" w:fill="FFFFFF"/>
        </w:rPr>
        <w:t xml:space="preserve">, J., Kwon, Y. S., Cha, Y., Lee, H., Kang, T., &amp; Cho, K. H. (2017). Evaluating </w:t>
      </w:r>
      <w:proofErr w:type="spellStart"/>
      <w:r w:rsidRPr="00CB0EDD">
        <w:rPr>
          <w:rFonts w:ascii="Times New Roman" w:hAnsi="Times New Roman" w:cs="Times New Roman"/>
          <w:color w:val="222222"/>
          <w:sz w:val="24"/>
          <w:szCs w:val="24"/>
          <w:shd w:val="clear" w:color="auto" w:fill="FFFFFF"/>
        </w:rPr>
        <w:t>physico</w:t>
      </w:r>
      <w:proofErr w:type="spellEnd"/>
      <w:r w:rsidRPr="00CB0EDD">
        <w:rPr>
          <w:rFonts w:ascii="Times New Roman" w:hAnsi="Times New Roman" w:cs="Times New Roman"/>
          <w:color w:val="222222"/>
          <w:sz w:val="24"/>
          <w:szCs w:val="24"/>
          <w:shd w:val="clear" w:color="auto" w:fill="FFFFFF"/>
        </w:rPr>
        <w:t>-chemical influences on cyanobacterial blooms using hyperspectral images in inland water, Korea. </w:t>
      </w:r>
      <w:r w:rsidRPr="00CB0EDD">
        <w:rPr>
          <w:rFonts w:ascii="Times New Roman" w:hAnsi="Times New Roman" w:cs="Times New Roman"/>
          <w:i/>
          <w:iCs/>
          <w:color w:val="222222"/>
          <w:sz w:val="24"/>
          <w:szCs w:val="24"/>
          <w:shd w:val="clear" w:color="auto" w:fill="FFFFFF"/>
        </w:rPr>
        <w:t>Water research</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126</w:t>
      </w:r>
      <w:r w:rsidRPr="00CB0EDD">
        <w:rPr>
          <w:rFonts w:ascii="Times New Roman" w:hAnsi="Times New Roman" w:cs="Times New Roman"/>
          <w:color w:val="222222"/>
          <w:sz w:val="24"/>
          <w:szCs w:val="24"/>
          <w:shd w:val="clear" w:color="auto" w:fill="FFFFFF"/>
        </w:rPr>
        <w:t>, 319-</w:t>
      </w:r>
      <w:proofErr w:type="gramStart"/>
      <w:r w:rsidRPr="00CB0EDD">
        <w:rPr>
          <w:rFonts w:ascii="Times New Roman" w:hAnsi="Times New Roman" w:cs="Times New Roman"/>
          <w:color w:val="222222"/>
          <w:sz w:val="24"/>
          <w:szCs w:val="24"/>
          <w:shd w:val="clear" w:color="auto" w:fill="FFFFFF"/>
        </w:rPr>
        <w:t>328.</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24" w:history="1">
        <w:r w:rsidR="00EF4D40" w:rsidRPr="00CB0EDD">
          <w:rPr>
            <w:rStyle w:val="Hyperlink"/>
            <w:rFonts w:ascii="Times New Roman" w:eastAsia="Times New Roman" w:hAnsi="Times New Roman" w:cs="Times New Roman"/>
            <w:sz w:val="24"/>
            <w:szCs w:val="24"/>
            <w:lang w:val="en-US"/>
          </w:rPr>
          <w:t>https://doi.org/10.1016/j.watres.2017.09.026</w:t>
        </w:r>
      </w:hyperlink>
      <w:r w:rsidR="00EF4D40" w:rsidRPr="00CB0EDD">
        <w:rPr>
          <w:rFonts w:ascii="Times New Roman" w:eastAsia="Times New Roman" w:hAnsi="Times New Roman" w:cs="Times New Roman"/>
          <w:sz w:val="24"/>
          <w:szCs w:val="24"/>
          <w:lang w:val="en-US"/>
        </w:rPr>
        <w:t xml:space="preserve"> </w:t>
      </w:r>
    </w:p>
    <w:p w:rsidR="00FC1A30" w:rsidRPr="00CB0EDD" w:rsidRDefault="00AE79C2"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Rajendran, P. J., </w:t>
      </w:r>
      <w:proofErr w:type="spellStart"/>
      <w:r w:rsidRPr="00CB0EDD">
        <w:rPr>
          <w:rFonts w:ascii="Times New Roman" w:hAnsi="Times New Roman" w:cs="Times New Roman"/>
          <w:color w:val="222222"/>
          <w:sz w:val="24"/>
          <w:szCs w:val="24"/>
          <w:shd w:val="clear" w:color="auto" w:fill="FFFFFF"/>
        </w:rPr>
        <w:t>Shunmugam</w:t>
      </w:r>
      <w:proofErr w:type="spellEnd"/>
      <w:r w:rsidRPr="00CB0EDD">
        <w:rPr>
          <w:rFonts w:ascii="Times New Roman" w:hAnsi="Times New Roman" w:cs="Times New Roman"/>
          <w:color w:val="222222"/>
          <w:sz w:val="24"/>
          <w:szCs w:val="24"/>
          <w:shd w:val="clear" w:color="auto" w:fill="FFFFFF"/>
        </w:rPr>
        <w:t xml:space="preserve">, S., Saravanan, C., Nooruddin, T., &amp; </w:t>
      </w:r>
      <w:proofErr w:type="spellStart"/>
      <w:r w:rsidRPr="00CB0EDD">
        <w:rPr>
          <w:rFonts w:ascii="Times New Roman" w:hAnsi="Times New Roman" w:cs="Times New Roman"/>
          <w:color w:val="222222"/>
          <w:sz w:val="24"/>
          <w:szCs w:val="24"/>
          <w:shd w:val="clear" w:color="auto" w:fill="FFFFFF"/>
        </w:rPr>
        <w:t>Dharumadurai</w:t>
      </w:r>
      <w:proofErr w:type="spellEnd"/>
      <w:r w:rsidRPr="00CB0EDD">
        <w:rPr>
          <w:rFonts w:ascii="Times New Roman" w:hAnsi="Times New Roman" w:cs="Times New Roman"/>
          <w:color w:val="222222"/>
          <w:sz w:val="24"/>
          <w:szCs w:val="24"/>
          <w:shd w:val="clear" w:color="auto" w:fill="FFFFFF"/>
        </w:rPr>
        <w:t>, D. (2025). Molecular monitoring, identification of the microcystin synthetase (</w:t>
      </w:r>
      <w:proofErr w:type="spellStart"/>
      <w:r w:rsidRPr="00CB0EDD">
        <w:rPr>
          <w:rFonts w:ascii="Times New Roman" w:hAnsi="Times New Roman" w:cs="Times New Roman"/>
          <w:color w:val="222222"/>
          <w:sz w:val="24"/>
          <w:szCs w:val="24"/>
          <w:shd w:val="clear" w:color="auto" w:fill="FFFFFF"/>
        </w:rPr>
        <w:t>mcy</w:t>
      </w:r>
      <w:proofErr w:type="spellEnd"/>
      <w:r w:rsidRPr="00CB0EDD">
        <w:rPr>
          <w:rFonts w:ascii="Times New Roman" w:hAnsi="Times New Roman" w:cs="Times New Roman"/>
          <w:color w:val="222222"/>
          <w:sz w:val="24"/>
          <w:szCs w:val="24"/>
          <w:shd w:val="clear" w:color="auto" w:fill="FFFFFF"/>
        </w:rPr>
        <w:t>) gene and toxic potential of Microcystis aeruginosa in Indian freshwater blooms. </w:t>
      </w:r>
      <w:proofErr w:type="spellStart"/>
      <w:r w:rsidRPr="00CB0EDD">
        <w:rPr>
          <w:rFonts w:ascii="Times New Roman" w:hAnsi="Times New Roman" w:cs="Times New Roman"/>
          <w:i/>
          <w:iCs/>
          <w:color w:val="222222"/>
          <w:sz w:val="24"/>
          <w:szCs w:val="24"/>
          <w:shd w:val="clear" w:color="auto" w:fill="FFFFFF"/>
        </w:rPr>
        <w:t>Toxicon</w:t>
      </w:r>
      <w:proofErr w:type="spellEnd"/>
      <w:r w:rsidRPr="00CB0EDD">
        <w:rPr>
          <w:rFonts w:ascii="Times New Roman" w:hAnsi="Times New Roman" w:cs="Times New Roman"/>
          <w:color w:val="222222"/>
          <w:sz w:val="24"/>
          <w:szCs w:val="24"/>
          <w:shd w:val="clear" w:color="auto" w:fill="FFFFFF"/>
        </w:rPr>
        <w:t xml:space="preserve">, </w:t>
      </w:r>
      <w:proofErr w:type="gramStart"/>
      <w:r w:rsidRPr="00CB0EDD">
        <w:rPr>
          <w:rFonts w:ascii="Times New Roman" w:hAnsi="Times New Roman" w:cs="Times New Roman"/>
          <w:color w:val="222222"/>
          <w:sz w:val="24"/>
          <w:szCs w:val="24"/>
          <w:shd w:val="clear" w:color="auto" w:fill="FFFFFF"/>
        </w:rPr>
        <w:t>108631.</w:t>
      </w:r>
      <w:r w:rsidR="00FC1A30" w:rsidRPr="00CB0EDD">
        <w:rPr>
          <w:rFonts w:ascii="Times New Roman" w:eastAsia="Times New Roman" w:hAnsi="Times New Roman" w:cs="Times New Roman"/>
          <w:sz w:val="24"/>
          <w:szCs w:val="24"/>
          <w:lang w:val="en-US"/>
        </w:rPr>
        <w:t>.</w:t>
      </w:r>
      <w:proofErr w:type="gramEnd"/>
      <w:r w:rsidR="00FC1A30" w:rsidRPr="00CB0EDD">
        <w:rPr>
          <w:rFonts w:ascii="Times New Roman" w:eastAsia="Times New Roman" w:hAnsi="Times New Roman" w:cs="Times New Roman"/>
          <w:sz w:val="24"/>
          <w:szCs w:val="24"/>
          <w:lang w:val="en-US"/>
        </w:rPr>
        <w:t xml:space="preserve"> </w:t>
      </w:r>
      <w:hyperlink r:id="rId25" w:history="1">
        <w:r w:rsidR="00EF4D40" w:rsidRPr="00CB0EDD">
          <w:rPr>
            <w:rStyle w:val="Hyperlink"/>
            <w:rFonts w:ascii="Times New Roman" w:eastAsia="Times New Roman" w:hAnsi="Times New Roman" w:cs="Times New Roman"/>
            <w:sz w:val="24"/>
            <w:szCs w:val="24"/>
            <w:lang w:val="en-US"/>
          </w:rPr>
          <w:t>https://doi.org/10.1016/j.toxicon.2025.108631</w:t>
        </w:r>
      </w:hyperlink>
      <w:r w:rsidR="00EF4D40" w:rsidRPr="00CB0EDD">
        <w:rPr>
          <w:rFonts w:ascii="Times New Roman" w:eastAsia="Times New Roman" w:hAnsi="Times New Roman" w:cs="Times New Roman"/>
          <w:sz w:val="24"/>
          <w:szCs w:val="24"/>
          <w:lang w:val="en-US"/>
        </w:rPr>
        <w:t xml:space="preserve"> </w:t>
      </w:r>
      <w:r w:rsidR="00FC1A30" w:rsidRPr="00CB0EDD">
        <w:rPr>
          <w:rFonts w:ascii="Times New Roman" w:eastAsia="Times New Roman" w:hAnsi="Times New Roman" w:cs="Times New Roman"/>
          <w:sz w:val="24"/>
          <w:szCs w:val="24"/>
          <w:lang w:val="en-US"/>
        </w:rPr>
        <w:t xml:space="preserve"> </w:t>
      </w:r>
    </w:p>
    <w:p w:rsidR="00855A4C" w:rsidRPr="00CB0EDD" w:rsidRDefault="00855A4C" w:rsidP="00CB0EDD">
      <w:pPr>
        <w:spacing w:before="100" w:beforeAutospacing="1" w:after="100" w:afterAutospacing="1" w:line="240" w:lineRule="auto"/>
        <w:rPr>
          <w:rFonts w:ascii="Times New Roman" w:hAnsi="Times New Roman" w:cs="Times New Roman"/>
          <w:color w:val="222222"/>
          <w:sz w:val="24"/>
          <w:szCs w:val="24"/>
          <w:shd w:val="clear" w:color="auto" w:fill="FFFFFF"/>
        </w:rPr>
      </w:pPr>
      <w:r w:rsidRPr="00CB0EDD">
        <w:rPr>
          <w:rFonts w:ascii="Times New Roman" w:hAnsi="Times New Roman" w:cs="Times New Roman"/>
          <w:color w:val="222222"/>
          <w:sz w:val="24"/>
          <w:szCs w:val="24"/>
          <w:shd w:val="clear" w:color="auto" w:fill="FFFFFF"/>
        </w:rPr>
        <w:t xml:space="preserve">Rather, I. A., &amp; Dar, A. Q. (2020). </w:t>
      </w:r>
      <w:proofErr w:type="spellStart"/>
      <w:r w:rsidRPr="00CB0EDD">
        <w:rPr>
          <w:rFonts w:ascii="Times New Roman" w:hAnsi="Times New Roman" w:cs="Times New Roman"/>
          <w:color w:val="222222"/>
          <w:sz w:val="24"/>
          <w:szCs w:val="24"/>
          <w:shd w:val="clear" w:color="auto" w:fill="FFFFFF"/>
        </w:rPr>
        <w:t>Spatio</w:t>
      </w:r>
      <w:proofErr w:type="spellEnd"/>
      <w:r w:rsidRPr="00CB0EDD">
        <w:rPr>
          <w:rFonts w:ascii="Times New Roman" w:hAnsi="Times New Roman" w:cs="Times New Roman"/>
          <w:color w:val="222222"/>
          <w:sz w:val="24"/>
          <w:szCs w:val="24"/>
          <w:shd w:val="clear" w:color="auto" w:fill="FFFFFF"/>
        </w:rPr>
        <w:t>-temporal variation in physio-chemical parameters over a 20-year period, potential future strategies for management: a case study of Dal Lake, NW Himalaya India. </w:t>
      </w:r>
      <w:r w:rsidRPr="00CB0EDD">
        <w:rPr>
          <w:rFonts w:ascii="Times New Roman" w:hAnsi="Times New Roman" w:cs="Times New Roman"/>
          <w:i/>
          <w:iCs/>
          <w:color w:val="222222"/>
          <w:sz w:val="24"/>
          <w:szCs w:val="24"/>
          <w:shd w:val="clear" w:color="auto" w:fill="FFFFFF"/>
        </w:rPr>
        <w:t>Environmental Technology &amp; Innovation</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20</w:t>
      </w:r>
      <w:r w:rsidRPr="00CB0EDD">
        <w:rPr>
          <w:rFonts w:ascii="Times New Roman" w:hAnsi="Times New Roman" w:cs="Times New Roman"/>
          <w:color w:val="222222"/>
          <w:sz w:val="24"/>
          <w:szCs w:val="24"/>
          <w:shd w:val="clear" w:color="auto" w:fill="FFFFFF"/>
        </w:rPr>
        <w:t xml:space="preserve">, 101102. </w:t>
      </w:r>
      <w:hyperlink r:id="rId26" w:history="1">
        <w:r w:rsidRPr="00CB0EDD">
          <w:rPr>
            <w:rStyle w:val="Hyperlink"/>
            <w:rFonts w:ascii="Times New Roman" w:hAnsi="Times New Roman" w:cs="Times New Roman"/>
            <w:sz w:val="24"/>
            <w:szCs w:val="24"/>
            <w:shd w:val="clear" w:color="auto" w:fill="FFFFFF"/>
          </w:rPr>
          <w:t>https://doi.org/10.1016/j.eti.2020.101102</w:t>
        </w:r>
      </w:hyperlink>
    </w:p>
    <w:p w:rsidR="00855A4C" w:rsidRPr="00CB0EDD" w:rsidRDefault="00855A4C"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Rashid, I., </w:t>
      </w:r>
      <w:proofErr w:type="spellStart"/>
      <w:r w:rsidRPr="00CB0EDD">
        <w:rPr>
          <w:rFonts w:ascii="Times New Roman" w:hAnsi="Times New Roman" w:cs="Times New Roman"/>
          <w:color w:val="222222"/>
          <w:sz w:val="24"/>
          <w:szCs w:val="24"/>
          <w:shd w:val="clear" w:color="auto" w:fill="FFFFFF"/>
        </w:rPr>
        <w:t>Romshoo</w:t>
      </w:r>
      <w:proofErr w:type="spellEnd"/>
      <w:r w:rsidRPr="00CB0EDD">
        <w:rPr>
          <w:rFonts w:ascii="Times New Roman" w:hAnsi="Times New Roman" w:cs="Times New Roman"/>
          <w:color w:val="222222"/>
          <w:sz w:val="24"/>
          <w:szCs w:val="24"/>
          <w:shd w:val="clear" w:color="auto" w:fill="FFFFFF"/>
        </w:rPr>
        <w:t xml:space="preserve">, S. A., Amin, M., </w:t>
      </w:r>
      <w:proofErr w:type="spellStart"/>
      <w:r w:rsidRPr="00CB0EDD">
        <w:rPr>
          <w:rFonts w:ascii="Times New Roman" w:hAnsi="Times New Roman" w:cs="Times New Roman"/>
          <w:color w:val="222222"/>
          <w:sz w:val="24"/>
          <w:szCs w:val="24"/>
          <w:shd w:val="clear" w:color="auto" w:fill="FFFFFF"/>
        </w:rPr>
        <w:t>Khanday</w:t>
      </w:r>
      <w:proofErr w:type="spellEnd"/>
      <w:r w:rsidRPr="00CB0EDD">
        <w:rPr>
          <w:rFonts w:ascii="Times New Roman" w:hAnsi="Times New Roman" w:cs="Times New Roman"/>
          <w:color w:val="222222"/>
          <w:sz w:val="24"/>
          <w:szCs w:val="24"/>
          <w:shd w:val="clear" w:color="auto" w:fill="FFFFFF"/>
        </w:rPr>
        <w:t>, S. A., &amp; Chauhan, P. (2017). Linking human-biophysical interactions with the trophic status of Dal Lake, Kashmir Himalaya, India. </w:t>
      </w:r>
      <w:proofErr w:type="spellStart"/>
      <w:r w:rsidRPr="00CB0EDD">
        <w:rPr>
          <w:rFonts w:ascii="Times New Roman" w:hAnsi="Times New Roman" w:cs="Times New Roman"/>
          <w:i/>
          <w:iCs/>
          <w:color w:val="222222"/>
          <w:sz w:val="24"/>
          <w:szCs w:val="24"/>
          <w:shd w:val="clear" w:color="auto" w:fill="FFFFFF"/>
        </w:rPr>
        <w:t>Limnologica</w:t>
      </w:r>
      <w:proofErr w:type="spellEnd"/>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62</w:t>
      </w:r>
      <w:r w:rsidRPr="00CB0EDD">
        <w:rPr>
          <w:rFonts w:ascii="Times New Roman" w:hAnsi="Times New Roman" w:cs="Times New Roman"/>
          <w:color w:val="222222"/>
          <w:sz w:val="24"/>
          <w:szCs w:val="24"/>
          <w:shd w:val="clear" w:color="auto" w:fill="FFFFFF"/>
        </w:rPr>
        <w:t>, 84-96.</w:t>
      </w:r>
      <w:r w:rsidRPr="00CB0EDD">
        <w:rPr>
          <w:rFonts w:ascii="Times New Roman" w:hAnsi="Times New Roman" w:cs="Times New Roman"/>
          <w:sz w:val="24"/>
          <w:szCs w:val="24"/>
        </w:rPr>
        <w:t xml:space="preserve"> </w:t>
      </w:r>
      <w:hyperlink r:id="rId27" w:history="1">
        <w:r w:rsidRPr="00CB0EDD">
          <w:rPr>
            <w:rStyle w:val="Hyperlink"/>
            <w:rFonts w:ascii="Times New Roman" w:hAnsi="Times New Roman" w:cs="Times New Roman"/>
            <w:sz w:val="24"/>
            <w:szCs w:val="24"/>
            <w:shd w:val="clear" w:color="auto" w:fill="FFFFFF"/>
          </w:rPr>
          <w:t>https://doi.org/10.1016/j.limno.2016.11.008</w:t>
        </w:r>
      </w:hyperlink>
      <w:r w:rsidRPr="00CB0EDD">
        <w:rPr>
          <w:rFonts w:ascii="Times New Roman" w:hAnsi="Times New Roman" w:cs="Times New Roman"/>
          <w:color w:val="222222"/>
          <w:sz w:val="24"/>
          <w:szCs w:val="24"/>
          <w:shd w:val="clear" w:color="auto" w:fill="FFFFFF"/>
        </w:rPr>
        <w:t xml:space="preserve"> </w:t>
      </w:r>
    </w:p>
    <w:p w:rsidR="00FC1A30" w:rsidRPr="00CB0EDD" w:rsidRDefault="00FC1A30"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t>Søndergaard</w:t>
      </w:r>
      <w:proofErr w:type="spellEnd"/>
      <w:r w:rsidRPr="00CB0EDD">
        <w:rPr>
          <w:rFonts w:ascii="Times New Roman" w:hAnsi="Times New Roman" w:cs="Times New Roman"/>
          <w:color w:val="222222"/>
          <w:sz w:val="24"/>
          <w:szCs w:val="24"/>
          <w:shd w:val="clear" w:color="auto" w:fill="FFFFFF"/>
        </w:rPr>
        <w:t>, M., Bjerring, R., &amp; Jeppesen, E. (2013). Persistent internal phosphorus loading during summer in shallow eutrophic lakes. </w:t>
      </w:r>
      <w:proofErr w:type="spellStart"/>
      <w:r w:rsidRPr="00CB0EDD">
        <w:rPr>
          <w:rFonts w:ascii="Times New Roman" w:hAnsi="Times New Roman" w:cs="Times New Roman"/>
          <w:i/>
          <w:iCs/>
          <w:color w:val="222222"/>
          <w:sz w:val="24"/>
          <w:szCs w:val="24"/>
          <w:shd w:val="clear" w:color="auto" w:fill="FFFFFF"/>
        </w:rPr>
        <w:t>Hydrobiologia</w:t>
      </w:r>
      <w:proofErr w:type="spellEnd"/>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710</w:t>
      </w:r>
      <w:r w:rsidRPr="00CB0EDD">
        <w:rPr>
          <w:rFonts w:ascii="Times New Roman" w:hAnsi="Times New Roman" w:cs="Times New Roman"/>
          <w:color w:val="222222"/>
          <w:sz w:val="24"/>
          <w:szCs w:val="24"/>
          <w:shd w:val="clear" w:color="auto" w:fill="FFFFFF"/>
        </w:rPr>
        <w:t>(1), 95-</w:t>
      </w:r>
      <w:proofErr w:type="gramStart"/>
      <w:r w:rsidRPr="00CB0EDD">
        <w:rPr>
          <w:rFonts w:ascii="Times New Roman" w:hAnsi="Times New Roman" w:cs="Times New Roman"/>
          <w:color w:val="222222"/>
          <w:sz w:val="24"/>
          <w:szCs w:val="24"/>
          <w:shd w:val="clear" w:color="auto" w:fill="FFFFFF"/>
        </w:rPr>
        <w:t>107.</w:t>
      </w:r>
      <w:r w:rsidRPr="00CB0EDD">
        <w:rPr>
          <w:rFonts w:ascii="Times New Roman" w:eastAsia="Times New Roman" w:hAnsi="Times New Roman" w:cs="Times New Roman"/>
          <w:sz w:val="24"/>
          <w:szCs w:val="24"/>
          <w:lang w:val="en-US"/>
        </w:rPr>
        <w:t>.</w:t>
      </w:r>
      <w:proofErr w:type="gramEnd"/>
      <w:r w:rsidRPr="00CB0EDD">
        <w:rPr>
          <w:rFonts w:ascii="Times New Roman" w:eastAsia="Times New Roman" w:hAnsi="Times New Roman" w:cs="Times New Roman"/>
          <w:sz w:val="24"/>
          <w:szCs w:val="24"/>
          <w:lang w:val="en-US"/>
        </w:rPr>
        <w:t xml:space="preserve"> </w:t>
      </w:r>
      <w:hyperlink r:id="rId28" w:history="1">
        <w:r w:rsidR="00EF4D40" w:rsidRPr="00CB0EDD">
          <w:rPr>
            <w:rStyle w:val="Hyperlink"/>
            <w:rFonts w:ascii="Times New Roman" w:eastAsia="Times New Roman" w:hAnsi="Times New Roman" w:cs="Times New Roman"/>
            <w:sz w:val="24"/>
            <w:szCs w:val="24"/>
            <w:lang w:val="en-US"/>
          </w:rPr>
          <w:t>https://doi.org/10.1007/s10750-012-1091-3</w:t>
        </w:r>
      </w:hyperlink>
      <w:r w:rsidR="00EF4D40" w:rsidRPr="00CB0EDD">
        <w:rPr>
          <w:rFonts w:ascii="Times New Roman" w:eastAsia="Times New Roman" w:hAnsi="Times New Roman" w:cs="Times New Roman"/>
          <w:sz w:val="24"/>
          <w:szCs w:val="24"/>
          <w:lang w:val="en-US"/>
        </w:rPr>
        <w:t xml:space="preserve"> </w:t>
      </w:r>
      <w:r w:rsidRPr="00CB0EDD">
        <w:rPr>
          <w:rFonts w:ascii="Times New Roman" w:eastAsia="Times New Roman" w:hAnsi="Times New Roman" w:cs="Times New Roman"/>
          <w:sz w:val="24"/>
          <w:szCs w:val="24"/>
          <w:lang w:val="en-US"/>
        </w:rPr>
        <w:t xml:space="preserve"> </w:t>
      </w:r>
    </w:p>
    <w:p w:rsidR="00FC1A30" w:rsidRPr="00CB0EDD" w:rsidRDefault="00FC1A30" w:rsidP="00CB0E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B0EDD">
        <w:rPr>
          <w:rFonts w:ascii="Times New Roman" w:hAnsi="Times New Roman" w:cs="Times New Roman"/>
          <w:color w:val="222222"/>
          <w:sz w:val="24"/>
          <w:szCs w:val="24"/>
          <w:shd w:val="clear" w:color="auto" w:fill="FFFFFF"/>
        </w:rPr>
        <w:lastRenderedPageBreak/>
        <w:t>Tuboi</w:t>
      </w:r>
      <w:proofErr w:type="spellEnd"/>
      <w:r w:rsidRPr="00CB0EDD">
        <w:rPr>
          <w:rFonts w:ascii="Times New Roman" w:hAnsi="Times New Roman" w:cs="Times New Roman"/>
          <w:color w:val="222222"/>
          <w:sz w:val="24"/>
          <w:szCs w:val="24"/>
          <w:shd w:val="clear" w:color="auto" w:fill="FFFFFF"/>
        </w:rPr>
        <w:t xml:space="preserve">, C., </w:t>
      </w:r>
      <w:proofErr w:type="spellStart"/>
      <w:r w:rsidRPr="00CB0EDD">
        <w:rPr>
          <w:rFonts w:ascii="Times New Roman" w:hAnsi="Times New Roman" w:cs="Times New Roman"/>
          <w:color w:val="222222"/>
          <w:sz w:val="24"/>
          <w:szCs w:val="24"/>
          <w:shd w:val="clear" w:color="auto" w:fill="FFFFFF"/>
        </w:rPr>
        <w:t>Irengbam</w:t>
      </w:r>
      <w:proofErr w:type="spellEnd"/>
      <w:r w:rsidRPr="00CB0EDD">
        <w:rPr>
          <w:rFonts w:ascii="Times New Roman" w:hAnsi="Times New Roman" w:cs="Times New Roman"/>
          <w:color w:val="222222"/>
          <w:sz w:val="24"/>
          <w:szCs w:val="24"/>
          <w:shd w:val="clear" w:color="auto" w:fill="FFFFFF"/>
        </w:rPr>
        <w:t>, M., &amp; Hussain, S. A. (2018). Seasonal variations in the water quality of a tropical wetland dominated by floating meadows and its implication for conservation of Ramsar wetlands. </w:t>
      </w:r>
      <w:r w:rsidRPr="00CB0EDD">
        <w:rPr>
          <w:rFonts w:ascii="Times New Roman" w:hAnsi="Times New Roman" w:cs="Times New Roman"/>
          <w:i/>
          <w:iCs/>
          <w:color w:val="222222"/>
          <w:sz w:val="24"/>
          <w:szCs w:val="24"/>
          <w:shd w:val="clear" w:color="auto" w:fill="FFFFFF"/>
        </w:rPr>
        <w:t>Physics and Chemistry of the Earth, Parts A/B/C</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103</w:t>
      </w:r>
      <w:r w:rsidRPr="00CB0EDD">
        <w:rPr>
          <w:rFonts w:ascii="Times New Roman" w:hAnsi="Times New Roman" w:cs="Times New Roman"/>
          <w:color w:val="222222"/>
          <w:sz w:val="24"/>
          <w:szCs w:val="24"/>
          <w:shd w:val="clear" w:color="auto" w:fill="FFFFFF"/>
        </w:rPr>
        <w:t>, 107-</w:t>
      </w:r>
      <w:proofErr w:type="gramStart"/>
      <w:r w:rsidRPr="00CB0EDD">
        <w:rPr>
          <w:rFonts w:ascii="Times New Roman" w:hAnsi="Times New Roman" w:cs="Times New Roman"/>
          <w:color w:val="222222"/>
          <w:sz w:val="24"/>
          <w:szCs w:val="24"/>
          <w:shd w:val="clear" w:color="auto" w:fill="FFFFFF"/>
        </w:rPr>
        <w:t>114.</w:t>
      </w:r>
      <w:r w:rsidRPr="00CB0EDD">
        <w:rPr>
          <w:rFonts w:ascii="Times New Roman" w:eastAsia="Times New Roman" w:hAnsi="Times New Roman" w:cs="Times New Roman"/>
          <w:sz w:val="24"/>
          <w:szCs w:val="24"/>
          <w:lang w:val="en-US"/>
        </w:rPr>
        <w:t>.</w:t>
      </w:r>
      <w:proofErr w:type="gramEnd"/>
      <w:r w:rsidRPr="00CB0EDD">
        <w:rPr>
          <w:rFonts w:ascii="Times New Roman" w:eastAsia="Times New Roman" w:hAnsi="Times New Roman" w:cs="Times New Roman"/>
          <w:sz w:val="24"/>
          <w:szCs w:val="24"/>
          <w:lang w:val="en-US"/>
        </w:rPr>
        <w:t xml:space="preserve"> </w:t>
      </w:r>
      <w:hyperlink r:id="rId29" w:history="1">
        <w:r w:rsidR="00EF4D40" w:rsidRPr="00CB0EDD">
          <w:rPr>
            <w:rStyle w:val="Hyperlink"/>
            <w:rFonts w:ascii="Times New Roman" w:eastAsia="Times New Roman" w:hAnsi="Times New Roman" w:cs="Times New Roman"/>
            <w:sz w:val="24"/>
            <w:szCs w:val="24"/>
            <w:lang w:val="en-US"/>
          </w:rPr>
          <w:t>https://doi.org/10.1016/j.pce.2017.09.001</w:t>
        </w:r>
      </w:hyperlink>
      <w:r w:rsidR="00EF4D40" w:rsidRPr="00CB0EDD">
        <w:rPr>
          <w:rFonts w:ascii="Times New Roman" w:eastAsia="Times New Roman" w:hAnsi="Times New Roman" w:cs="Times New Roman"/>
          <w:sz w:val="24"/>
          <w:szCs w:val="24"/>
          <w:lang w:val="en-US"/>
        </w:rPr>
        <w:t xml:space="preserve"> </w:t>
      </w:r>
    </w:p>
    <w:p w:rsidR="00FC1A30" w:rsidRPr="00CB0EDD" w:rsidRDefault="00FC1A30" w:rsidP="00CB0EDD">
      <w:pPr>
        <w:spacing w:before="100" w:beforeAutospacing="1" w:after="100" w:afterAutospacing="1" w:line="240" w:lineRule="auto"/>
        <w:rPr>
          <w:rFonts w:ascii="Times New Roman" w:eastAsia="Times New Roman" w:hAnsi="Times New Roman" w:cs="Times New Roman"/>
          <w:sz w:val="24"/>
          <w:szCs w:val="24"/>
          <w:lang w:val="en-US"/>
        </w:rPr>
      </w:pPr>
      <w:r w:rsidRPr="00CB0EDD">
        <w:rPr>
          <w:rFonts w:ascii="Times New Roman" w:hAnsi="Times New Roman" w:cs="Times New Roman"/>
          <w:color w:val="222222"/>
          <w:sz w:val="24"/>
          <w:szCs w:val="24"/>
          <w:shd w:val="clear" w:color="auto" w:fill="FFFFFF"/>
        </w:rPr>
        <w:t xml:space="preserve">Upadhyay, R., Pandey, A. K., Upadhyay, S. K., </w:t>
      </w:r>
      <w:proofErr w:type="spellStart"/>
      <w:r w:rsidRPr="00CB0EDD">
        <w:rPr>
          <w:rFonts w:ascii="Times New Roman" w:hAnsi="Times New Roman" w:cs="Times New Roman"/>
          <w:color w:val="222222"/>
          <w:sz w:val="24"/>
          <w:szCs w:val="24"/>
          <w:shd w:val="clear" w:color="auto" w:fill="FFFFFF"/>
        </w:rPr>
        <w:t>Bassin</w:t>
      </w:r>
      <w:proofErr w:type="spellEnd"/>
      <w:r w:rsidRPr="00CB0EDD">
        <w:rPr>
          <w:rFonts w:ascii="Times New Roman" w:hAnsi="Times New Roman" w:cs="Times New Roman"/>
          <w:color w:val="222222"/>
          <w:sz w:val="24"/>
          <w:szCs w:val="24"/>
          <w:shd w:val="clear" w:color="auto" w:fill="FFFFFF"/>
        </w:rPr>
        <w:t xml:space="preserve">, J. K., &amp; </w:t>
      </w:r>
      <w:proofErr w:type="spellStart"/>
      <w:r w:rsidRPr="00CB0EDD">
        <w:rPr>
          <w:rFonts w:ascii="Times New Roman" w:hAnsi="Times New Roman" w:cs="Times New Roman"/>
          <w:color w:val="222222"/>
          <w:sz w:val="24"/>
          <w:szCs w:val="24"/>
          <w:shd w:val="clear" w:color="auto" w:fill="FFFFFF"/>
        </w:rPr>
        <w:t>Misra</w:t>
      </w:r>
      <w:proofErr w:type="spellEnd"/>
      <w:r w:rsidRPr="00CB0EDD">
        <w:rPr>
          <w:rFonts w:ascii="Times New Roman" w:hAnsi="Times New Roman" w:cs="Times New Roman"/>
          <w:color w:val="222222"/>
          <w:sz w:val="24"/>
          <w:szCs w:val="24"/>
          <w:shd w:val="clear" w:color="auto" w:fill="FFFFFF"/>
        </w:rPr>
        <w:t xml:space="preserve">, S. M. (2012). </w:t>
      </w:r>
      <w:proofErr w:type="spellStart"/>
      <w:r w:rsidRPr="00CB0EDD">
        <w:rPr>
          <w:rFonts w:ascii="Times New Roman" w:hAnsi="Times New Roman" w:cs="Times New Roman"/>
          <w:color w:val="222222"/>
          <w:sz w:val="24"/>
          <w:szCs w:val="24"/>
          <w:shd w:val="clear" w:color="auto" w:fill="FFFFFF"/>
        </w:rPr>
        <w:t>Limnochemistry</w:t>
      </w:r>
      <w:proofErr w:type="spellEnd"/>
      <w:r w:rsidRPr="00CB0EDD">
        <w:rPr>
          <w:rFonts w:ascii="Times New Roman" w:hAnsi="Times New Roman" w:cs="Times New Roman"/>
          <w:color w:val="222222"/>
          <w:sz w:val="24"/>
          <w:szCs w:val="24"/>
          <w:shd w:val="clear" w:color="auto" w:fill="FFFFFF"/>
        </w:rPr>
        <w:t xml:space="preserve"> and nutrient dynamics in Upper Lake, Bhopal, India. </w:t>
      </w:r>
      <w:r w:rsidRPr="00CB0EDD">
        <w:rPr>
          <w:rFonts w:ascii="Times New Roman" w:hAnsi="Times New Roman" w:cs="Times New Roman"/>
          <w:i/>
          <w:iCs/>
          <w:color w:val="222222"/>
          <w:sz w:val="24"/>
          <w:szCs w:val="24"/>
          <w:shd w:val="clear" w:color="auto" w:fill="FFFFFF"/>
        </w:rPr>
        <w:t>Environmental Monitoring and Assessment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184</w:t>
      </w:r>
      <w:r w:rsidRPr="00CB0EDD">
        <w:rPr>
          <w:rFonts w:ascii="Times New Roman" w:hAnsi="Times New Roman" w:cs="Times New Roman"/>
          <w:color w:val="222222"/>
          <w:sz w:val="24"/>
          <w:szCs w:val="24"/>
          <w:shd w:val="clear" w:color="auto" w:fill="FFFFFF"/>
        </w:rPr>
        <w:t>(11), 7065-7077</w:t>
      </w:r>
      <w:r w:rsidRPr="00CB0EDD">
        <w:rPr>
          <w:rFonts w:ascii="Times New Roman" w:eastAsia="Times New Roman" w:hAnsi="Times New Roman" w:cs="Times New Roman"/>
          <w:sz w:val="24"/>
          <w:szCs w:val="24"/>
          <w:lang w:val="en-US"/>
        </w:rPr>
        <w:t xml:space="preserve">. </w:t>
      </w:r>
      <w:hyperlink r:id="rId30" w:history="1">
        <w:r w:rsidR="00EF4D40" w:rsidRPr="00CB0EDD">
          <w:rPr>
            <w:rStyle w:val="Hyperlink"/>
            <w:rFonts w:ascii="Times New Roman" w:eastAsia="Times New Roman" w:hAnsi="Times New Roman" w:cs="Times New Roman"/>
            <w:sz w:val="24"/>
            <w:szCs w:val="24"/>
            <w:lang w:val="en-US"/>
          </w:rPr>
          <w:t>https://doi.org/10.1007/s10661-011-2480-1</w:t>
        </w:r>
      </w:hyperlink>
      <w:r w:rsidR="00EF4D40" w:rsidRPr="00CB0EDD">
        <w:rPr>
          <w:rFonts w:ascii="Times New Roman" w:eastAsia="Times New Roman" w:hAnsi="Times New Roman" w:cs="Times New Roman"/>
          <w:sz w:val="24"/>
          <w:szCs w:val="24"/>
          <w:lang w:val="en-US"/>
        </w:rPr>
        <w:t xml:space="preserve"> </w:t>
      </w:r>
      <w:r w:rsidR="00A8506E" w:rsidRPr="00CB0EDD">
        <w:rPr>
          <w:rFonts w:ascii="Times New Roman" w:eastAsia="Times New Roman" w:hAnsi="Times New Roman" w:cs="Times New Roman"/>
          <w:sz w:val="24"/>
          <w:szCs w:val="24"/>
          <w:lang w:val="en-US"/>
        </w:rPr>
        <w:t xml:space="preserve"> </w:t>
      </w:r>
    </w:p>
    <w:p w:rsidR="005F1FE6" w:rsidRPr="005F1FE6" w:rsidRDefault="00FC1A30" w:rsidP="00CB0EDD">
      <w:pPr>
        <w:spacing w:before="100" w:beforeAutospacing="1" w:after="100" w:afterAutospacing="1" w:line="240" w:lineRule="auto"/>
      </w:pPr>
      <w:proofErr w:type="spellStart"/>
      <w:r w:rsidRPr="00CB0EDD">
        <w:rPr>
          <w:rFonts w:ascii="Times New Roman" w:hAnsi="Times New Roman" w:cs="Times New Roman"/>
          <w:color w:val="222222"/>
          <w:sz w:val="24"/>
          <w:szCs w:val="24"/>
          <w:shd w:val="clear" w:color="auto" w:fill="FFFFFF"/>
        </w:rPr>
        <w:t>Vinçon-Leite</w:t>
      </w:r>
      <w:proofErr w:type="spellEnd"/>
      <w:r w:rsidRPr="00CB0EDD">
        <w:rPr>
          <w:rFonts w:ascii="Times New Roman" w:hAnsi="Times New Roman" w:cs="Times New Roman"/>
          <w:color w:val="222222"/>
          <w:sz w:val="24"/>
          <w:szCs w:val="24"/>
          <w:shd w:val="clear" w:color="auto" w:fill="FFFFFF"/>
        </w:rPr>
        <w:t xml:space="preserve">, B., &amp; </w:t>
      </w:r>
      <w:proofErr w:type="spellStart"/>
      <w:r w:rsidRPr="00CB0EDD">
        <w:rPr>
          <w:rFonts w:ascii="Times New Roman" w:hAnsi="Times New Roman" w:cs="Times New Roman"/>
          <w:color w:val="222222"/>
          <w:sz w:val="24"/>
          <w:szCs w:val="24"/>
          <w:shd w:val="clear" w:color="auto" w:fill="FFFFFF"/>
        </w:rPr>
        <w:t>Casenave</w:t>
      </w:r>
      <w:proofErr w:type="spellEnd"/>
      <w:r w:rsidRPr="00CB0EDD">
        <w:rPr>
          <w:rFonts w:ascii="Times New Roman" w:hAnsi="Times New Roman" w:cs="Times New Roman"/>
          <w:color w:val="222222"/>
          <w:sz w:val="24"/>
          <w:szCs w:val="24"/>
          <w:shd w:val="clear" w:color="auto" w:fill="FFFFFF"/>
        </w:rPr>
        <w:t>, C. (2019). Modelling eutrophication in lake ecosystems: a review. </w:t>
      </w:r>
      <w:r w:rsidRPr="00CB0EDD">
        <w:rPr>
          <w:rFonts w:ascii="Times New Roman" w:hAnsi="Times New Roman" w:cs="Times New Roman"/>
          <w:i/>
          <w:iCs/>
          <w:color w:val="222222"/>
          <w:sz w:val="24"/>
          <w:szCs w:val="24"/>
          <w:shd w:val="clear" w:color="auto" w:fill="FFFFFF"/>
        </w:rPr>
        <w:t>Science of the Total Environment</w:t>
      </w:r>
      <w:r w:rsidRPr="00CB0EDD">
        <w:rPr>
          <w:rFonts w:ascii="Times New Roman" w:hAnsi="Times New Roman" w:cs="Times New Roman"/>
          <w:color w:val="222222"/>
          <w:sz w:val="24"/>
          <w:szCs w:val="24"/>
          <w:shd w:val="clear" w:color="auto" w:fill="FFFFFF"/>
        </w:rPr>
        <w:t>, </w:t>
      </w:r>
      <w:r w:rsidRPr="00CB0EDD">
        <w:rPr>
          <w:rFonts w:ascii="Times New Roman" w:hAnsi="Times New Roman" w:cs="Times New Roman"/>
          <w:i/>
          <w:iCs/>
          <w:color w:val="222222"/>
          <w:sz w:val="24"/>
          <w:szCs w:val="24"/>
          <w:shd w:val="clear" w:color="auto" w:fill="FFFFFF"/>
        </w:rPr>
        <w:t>651</w:t>
      </w:r>
      <w:r w:rsidRPr="00CB0EDD">
        <w:rPr>
          <w:rFonts w:ascii="Times New Roman" w:hAnsi="Times New Roman" w:cs="Times New Roman"/>
          <w:color w:val="222222"/>
          <w:sz w:val="24"/>
          <w:szCs w:val="24"/>
          <w:shd w:val="clear" w:color="auto" w:fill="FFFFFF"/>
        </w:rPr>
        <w:t>, 2985-3001.</w:t>
      </w:r>
      <w:hyperlink r:id="rId31" w:history="1">
        <w:r w:rsidR="00EF4D40" w:rsidRPr="00CB0EDD">
          <w:rPr>
            <w:rStyle w:val="Hyperlink"/>
            <w:rFonts w:ascii="Times New Roman" w:eastAsia="Times New Roman" w:hAnsi="Times New Roman" w:cs="Times New Roman"/>
            <w:sz w:val="24"/>
            <w:szCs w:val="24"/>
            <w:lang w:val="en-US"/>
          </w:rPr>
          <w:t>https://doi.org/10.1016/j.scitotenv.2018.09.320</w:t>
        </w:r>
      </w:hyperlink>
      <w:r w:rsidR="00EF4D40" w:rsidRPr="00CB0EDD">
        <w:rPr>
          <w:rFonts w:ascii="Times New Roman" w:eastAsia="Times New Roman" w:hAnsi="Times New Roman" w:cs="Times New Roman"/>
          <w:sz w:val="24"/>
          <w:szCs w:val="24"/>
          <w:lang w:val="en-US"/>
        </w:rPr>
        <w:t xml:space="preserve"> </w:t>
      </w:r>
    </w:p>
    <w:sectPr w:rsidR="005F1FE6" w:rsidRPr="005F1FE6"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8D4" w:rsidRDefault="00BE38D4" w:rsidP="00893026">
      <w:pPr>
        <w:spacing w:after="0" w:line="240" w:lineRule="auto"/>
      </w:pPr>
      <w:r>
        <w:separator/>
      </w:r>
    </w:p>
  </w:endnote>
  <w:endnote w:type="continuationSeparator" w:id="0">
    <w:p w:rsidR="00BE38D4" w:rsidRDefault="00BE38D4" w:rsidP="0089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26" w:rsidRDefault="0089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26" w:rsidRDefault="00893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26" w:rsidRDefault="0089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8D4" w:rsidRDefault="00BE38D4" w:rsidP="00893026">
      <w:pPr>
        <w:spacing w:after="0" w:line="240" w:lineRule="auto"/>
      </w:pPr>
      <w:r>
        <w:separator/>
      </w:r>
    </w:p>
  </w:footnote>
  <w:footnote w:type="continuationSeparator" w:id="0">
    <w:p w:rsidR="00BE38D4" w:rsidRDefault="00BE38D4" w:rsidP="0089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26" w:rsidRDefault="008930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26" w:rsidRDefault="008930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26" w:rsidRDefault="008930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
  </w:num>
  <w:num w:numId="8">
    <w:abstractNumId w:val="20"/>
  </w:num>
  <w:num w:numId="9">
    <w:abstractNumId w:val="6"/>
  </w:num>
  <w:num w:numId="10">
    <w:abstractNumId w:val="7"/>
  </w:num>
  <w:num w:numId="11">
    <w:abstractNumId w:val="11"/>
  </w:num>
  <w:num w:numId="12">
    <w:abstractNumId w:val="10"/>
  </w:num>
  <w:num w:numId="13">
    <w:abstractNumId w:val="12"/>
  </w:num>
  <w:num w:numId="14">
    <w:abstractNumId w:val="4"/>
  </w:num>
  <w:num w:numId="15">
    <w:abstractNumId w:val="0"/>
  </w:num>
  <w:num w:numId="16">
    <w:abstractNumId w:val="13"/>
  </w:num>
  <w:num w:numId="17">
    <w:abstractNumId w:val="19"/>
  </w:num>
  <w:num w:numId="18">
    <w:abstractNumId w:val="18"/>
  </w:num>
  <w:num w:numId="19">
    <w:abstractNumId w:val="17"/>
  </w:num>
  <w:num w:numId="20">
    <w:abstractNumId w:val="9"/>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7AAB"/>
    <w:rsid w:val="000425DD"/>
    <w:rsid w:val="00053D7A"/>
    <w:rsid w:val="0006037D"/>
    <w:rsid w:val="0006413B"/>
    <w:rsid w:val="000643E7"/>
    <w:rsid w:val="0006527C"/>
    <w:rsid w:val="000A0EB4"/>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5753"/>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6FFA"/>
    <w:rsid w:val="002E0776"/>
    <w:rsid w:val="002F4C0C"/>
    <w:rsid w:val="00307595"/>
    <w:rsid w:val="0031286E"/>
    <w:rsid w:val="00332243"/>
    <w:rsid w:val="0035701C"/>
    <w:rsid w:val="003664CE"/>
    <w:rsid w:val="00391BB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A16BD"/>
    <w:rsid w:val="004A508F"/>
    <w:rsid w:val="004A5427"/>
    <w:rsid w:val="004A586B"/>
    <w:rsid w:val="004C1A63"/>
    <w:rsid w:val="004C6306"/>
    <w:rsid w:val="004C7547"/>
    <w:rsid w:val="004E7311"/>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93026"/>
    <w:rsid w:val="008A4BFC"/>
    <w:rsid w:val="008A7416"/>
    <w:rsid w:val="008E71C6"/>
    <w:rsid w:val="008F3850"/>
    <w:rsid w:val="00921557"/>
    <w:rsid w:val="00925CAF"/>
    <w:rsid w:val="00951A3D"/>
    <w:rsid w:val="009536DC"/>
    <w:rsid w:val="009929A7"/>
    <w:rsid w:val="00992B92"/>
    <w:rsid w:val="00994A4A"/>
    <w:rsid w:val="009B3A8A"/>
    <w:rsid w:val="009B55DE"/>
    <w:rsid w:val="009D0B9D"/>
    <w:rsid w:val="009D5BA5"/>
    <w:rsid w:val="009E5244"/>
    <w:rsid w:val="009F0120"/>
    <w:rsid w:val="00A029C3"/>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D22E5"/>
    <w:rsid w:val="00BE38D4"/>
    <w:rsid w:val="00BF0896"/>
    <w:rsid w:val="00BF26BF"/>
    <w:rsid w:val="00BF31D8"/>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F20BB"/>
    <w:rsid w:val="00DF5AB4"/>
    <w:rsid w:val="00E125DA"/>
    <w:rsid w:val="00E20962"/>
    <w:rsid w:val="00E22310"/>
    <w:rsid w:val="00E643E8"/>
    <w:rsid w:val="00E7044C"/>
    <w:rsid w:val="00E76785"/>
    <w:rsid w:val="00E97F4E"/>
    <w:rsid w:val="00EA45FD"/>
    <w:rsid w:val="00EC266D"/>
    <w:rsid w:val="00EC4D6C"/>
    <w:rsid w:val="00EE2E7D"/>
    <w:rsid w:val="00EF4D40"/>
    <w:rsid w:val="00F13040"/>
    <w:rsid w:val="00F36C5B"/>
    <w:rsid w:val="00F43CC2"/>
    <w:rsid w:val="00F6047F"/>
    <w:rsid w:val="00F754E8"/>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C1EF1DF-66B0-461C-8445-C4A1836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89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26"/>
  </w:style>
  <w:style w:type="paragraph" w:styleId="Footer">
    <w:name w:val="footer"/>
    <w:basedOn w:val="Normal"/>
    <w:link w:val="FooterChar"/>
    <w:uiPriority w:val="99"/>
    <w:unhideWhenUsed/>
    <w:rsid w:val="0089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9-018-0040-1" TargetMode="External"/><Relationship Id="rId18" Type="http://schemas.openxmlformats.org/officeDocument/2006/relationships/hyperlink" Target="https://doi.org/10.1111/lre.70010" TargetMode="External"/><Relationship Id="rId26" Type="http://schemas.openxmlformats.org/officeDocument/2006/relationships/hyperlink" Target="https://doi.org/10.1016/j.eti.2020.101102" TargetMode="External"/><Relationship Id="rId39" Type="http://schemas.openxmlformats.org/officeDocument/2006/relationships/theme" Target="theme/theme1.xml"/><Relationship Id="rId21" Type="http://schemas.openxmlformats.org/officeDocument/2006/relationships/hyperlink" Target="https://doi.org/10.1007/s10661-009-1171-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hal.2019.03.008" TargetMode="External"/><Relationship Id="rId17" Type="http://schemas.openxmlformats.org/officeDocument/2006/relationships/hyperlink" Target="https://doi.org/10.1007/s10661-022-09869-x" TargetMode="External"/><Relationship Id="rId25" Type="http://schemas.openxmlformats.org/officeDocument/2006/relationships/hyperlink" Target="https://doi.org/10.1016/j.toxicon.2025.10863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661-019-7247-0" TargetMode="External"/><Relationship Id="rId20" Type="http://schemas.openxmlformats.org/officeDocument/2006/relationships/hyperlink" Target="https://doi.org/10.1016/j.hal.2021.102160" TargetMode="External"/><Relationship Id="rId29" Type="http://schemas.openxmlformats.org/officeDocument/2006/relationships/hyperlink" Target="https://doi.org/10.1016/j.pce.2017.09.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61-021-09131-w" TargetMode="External"/><Relationship Id="rId24" Type="http://schemas.openxmlformats.org/officeDocument/2006/relationships/hyperlink" Target="https://doi.org/10.1016/j.watres.2017.09.02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wsj.2017.03.003" TargetMode="External"/><Relationship Id="rId23" Type="http://schemas.openxmlformats.org/officeDocument/2006/relationships/hyperlink" Target="https://doi.org/10.1021/acs.est.6b02575" TargetMode="External"/><Relationship Id="rId28" Type="http://schemas.openxmlformats.org/officeDocument/2006/relationships/hyperlink" Target="https://doi.org/10.1007/s10750-012-1091-3" TargetMode="External"/><Relationship Id="rId36" Type="http://schemas.openxmlformats.org/officeDocument/2006/relationships/header" Target="header3.xml"/><Relationship Id="rId10" Type="http://schemas.openxmlformats.org/officeDocument/2006/relationships/hyperlink" Target="https://doi.org/10.1016/j.ecohyd.2018.03.002" TargetMode="External"/><Relationship Id="rId19" Type="http://schemas.openxmlformats.org/officeDocument/2006/relationships/hyperlink" Target="https://doi.org/10.1007/s40974-023-00277-6" TargetMode="External"/><Relationship Id="rId31" Type="http://schemas.openxmlformats.org/officeDocument/2006/relationships/hyperlink" Target="https://doi.org/10.1016/j.scitotenv.2018.09.320" TargetMode="External"/><Relationship Id="rId4" Type="http://schemas.openxmlformats.org/officeDocument/2006/relationships/settings" Target="settings.xml"/><Relationship Id="rId9" Type="http://schemas.openxmlformats.org/officeDocument/2006/relationships/hyperlink" Target="https://doi.org/10.1007/s11631-019-00360-y" TargetMode="External"/><Relationship Id="rId14" Type="http://schemas.openxmlformats.org/officeDocument/2006/relationships/hyperlink" Target="https://doi.org/10.1007/s10661-023-11888-1" TargetMode="External"/><Relationship Id="rId22" Type="http://schemas.openxmlformats.org/officeDocument/2006/relationships/hyperlink" Target="https://doi.org/10.1007/s10661-022-10692-7" TargetMode="External"/><Relationship Id="rId27" Type="http://schemas.openxmlformats.org/officeDocument/2006/relationships/hyperlink" Target="https://doi.org/10.1016/j.limno.2016.11.008" TargetMode="External"/><Relationship Id="rId30" Type="http://schemas.openxmlformats.org/officeDocument/2006/relationships/hyperlink" Target="https://doi.org/10.1007/s10661-011-2480-1" TargetMode="External"/><Relationship Id="rId35" Type="http://schemas.openxmlformats.org/officeDocument/2006/relationships/footer" Target="footer2.xml"/><Relationship Id="rId8" Type="http://schemas.openxmlformats.org/officeDocument/2006/relationships/hyperlink" Target="https://doi.org/10.3390/w1209236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32D76-E02D-4333-B6EC-43CA41E1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3575</TotalTime>
  <Pages>14</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58</cp:revision>
  <cp:lastPrinted>2025-12-13T07:14:00Z</cp:lastPrinted>
  <dcterms:created xsi:type="dcterms:W3CDTF">2025-09-24T12:44:00Z</dcterms:created>
  <dcterms:modified xsi:type="dcterms:W3CDTF">2025-12-24T08:05:00Z</dcterms:modified>
</cp:coreProperties>
</file>