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3FFCD" w14:textId="77777777" w:rsidR="007738FA" w:rsidRPr="007738FA" w:rsidRDefault="007738FA" w:rsidP="007738FA">
      <w:pPr>
        <w:spacing w:before="240" w:line="288" w:lineRule="auto"/>
        <w:jc w:val="both"/>
        <w:rPr>
          <w:rFonts w:ascii="Times New Roman" w:hAnsi="Times New Roman" w:cs="Times New Roman"/>
          <w:b/>
          <w:bCs/>
          <w:i/>
          <w:iCs/>
          <w:sz w:val="24"/>
          <w:szCs w:val="24"/>
          <w:u w:val="single"/>
        </w:rPr>
      </w:pPr>
      <w:bookmarkStart w:id="0" w:name="human_monkey_interactions_in_urba_1d3616"/>
      <w:r w:rsidRPr="007738FA">
        <w:rPr>
          <w:rFonts w:ascii="Times New Roman" w:hAnsi="Times New Roman" w:cs="Times New Roman"/>
          <w:b/>
          <w:bCs/>
          <w:i/>
          <w:iCs/>
          <w:sz w:val="24"/>
          <w:szCs w:val="24"/>
          <w:u w:val="single"/>
        </w:rPr>
        <w:t>Original Research Article</w:t>
      </w:r>
    </w:p>
    <w:p w14:paraId="065FA308" w14:textId="77777777" w:rsidR="007738FA" w:rsidRDefault="007738FA" w:rsidP="00302F44">
      <w:pPr>
        <w:spacing w:before="240" w:line="288" w:lineRule="auto"/>
        <w:jc w:val="both"/>
        <w:rPr>
          <w:rFonts w:ascii="Times New Roman" w:hAnsi="Times New Roman" w:cs="Times New Roman"/>
          <w:b/>
          <w:sz w:val="24"/>
          <w:szCs w:val="24"/>
        </w:rPr>
      </w:pPr>
    </w:p>
    <w:p w14:paraId="72E6F5E4" w14:textId="204807CA" w:rsidR="00154F24" w:rsidRPr="00302F44" w:rsidRDefault="00811FC3" w:rsidP="00302F44">
      <w:pPr>
        <w:spacing w:before="240" w:line="288" w:lineRule="auto"/>
        <w:jc w:val="both"/>
        <w:rPr>
          <w:rFonts w:ascii="Times New Roman" w:hAnsi="Times New Roman" w:cs="Times New Roman"/>
          <w:sz w:val="24"/>
          <w:szCs w:val="24"/>
        </w:rPr>
      </w:pPr>
      <w:r w:rsidRPr="00302F44">
        <w:rPr>
          <w:rFonts w:ascii="Times New Roman" w:hAnsi="Times New Roman" w:cs="Times New Roman"/>
          <w:b/>
          <w:sz w:val="24"/>
          <w:szCs w:val="24"/>
        </w:rPr>
        <w:t>Human-Monkey Interactions in Urban Bengaluru: Community Perceptions, Conflict Patterns, and Management Implications</w:t>
      </w:r>
      <w:bookmarkEnd w:id="0"/>
    </w:p>
    <w:p w14:paraId="5FD613CF" w14:textId="77777777" w:rsidR="00A33463" w:rsidRDefault="00A33463" w:rsidP="00302F44">
      <w:pPr>
        <w:spacing w:before="240" w:line="271" w:lineRule="auto"/>
        <w:jc w:val="both"/>
        <w:rPr>
          <w:rFonts w:ascii="Times New Roman" w:hAnsi="Times New Roman" w:cs="Times New Roman"/>
          <w:b/>
          <w:sz w:val="24"/>
          <w:szCs w:val="24"/>
        </w:rPr>
      </w:pPr>
      <w:bookmarkStart w:id="1" w:name="abstract"/>
    </w:p>
    <w:p w14:paraId="0E6701B0" w14:textId="6C1AEBD4" w:rsidR="00154F24" w:rsidRPr="00302F44" w:rsidRDefault="00811FC3" w:rsidP="00302F44">
      <w:pPr>
        <w:spacing w:before="240" w:line="271" w:lineRule="auto"/>
        <w:jc w:val="both"/>
        <w:rPr>
          <w:rFonts w:ascii="Times New Roman" w:hAnsi="Times New Roman" w:cs="Times New Roman"/>
          <w:sz w:val="24"/>
          <w:szCs w:val="24"/>
        </w:rPr>
      </w:pPr>
      <w:r w:rsidRPr="00302F44">
        <w:rPr>
          <w:rFonts w:ascii="Times New Roman" w:hAnsi="Times New Roman" w:cs="Times New Roman"/>
          <w:b/>
          <w:sz w:val="24"/>
          <w:szCs w:val="24"/>
        </w:rPr>
        <w:t>ABSTRACT</w:t>
      </w:r>
      <w:bookmarkEnd w:id="1"/>
    </w:p>
    <w:p w14:paraId="20B87DAE" w14:textId="2F99F61A"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Aims:</w:t>
      </w:r>
      <w:r w:rsidRPr="00302F44">
        <w:rPr>
          <w:rFonts w:ascii="Times New Roman" w:hAnsi="Times New Roman" w:cs="Times New Roman"/>
          <w:sz w:val="24"/>
          <w:szCs w:val="24"/>
        </w:rPr>
        <w:t xml:space="preserve"> To assess community perceptions, conflict patterns, and management preferences regarding human-monkey interactions in urban Bengaluru, </w:t>
      </w:r>
      <w:r w:rsidR="00302F44" w:rsidRPr="00302F44">
        <w:rPr>
          <w:rFonts w:ascii="Times New Roman" w:hAnsi="Times New Roman" w:cs="Times New Roman"/>
          <w:sz w:val="24"/>
          <w:szCs w:val="24"/>
        </w:rPr>
        <w:t>to develop</w:t>
      </w:r>
      <w:r w:rsidRPr="00302F44">
        <w:rPr>
          <w:rFonts w:ascii="Times New Roman" w:hAnsi="Times New Roman" w:cs="Times New Roman"/>
          <w:sz w:val="24"/>
          <w:szCs w:val="24"/>
        </w:rPr>
        <w:t xml:space="preserve"> evidence-based wildlife management strategies that balance conservation objectives with community well-being.</w:t>
      </w:r>
    </w:p>
    <w:p w14:paraId="60BA2D4A"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Study design:</w:t>
      </w:r>
      <w:r w:rsidRPr="00302F44">
        <w:rPr>
          <w:rFonts w:ascii="Times New Roman" w:hAnsi="Times New Roman" w:cs="Times New Roman"/>
          <w:sz w:val="24"/>
          <w:szCs w:val="24"/>
        </w:rPr>
        <w:t xml:space="preserve"> Cross-sectional survey study.</w:t>
      </w:r>
    </w:p>
    <w:p w14:paraId="616848B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Place and Duration of Study:</w:t>
      </w:r>
      <w:r w:rsidRPr="00302F44">
        <w:rPr>
          <w:rFonts w:ascii="Times New Roman" w:eastAsia="Georgia" w:hAnsi="Times New Roman" w:cs="Times New Roman"/>
          <w:sz w:val="24"/>
          <w:szCs w:val="24"/>
        </w:rPr>
        <w:t xml:space="preserve"> Urban Bengaluru (12°58′N--13°00′N, 77°30′E--77°40′E), Karnataka state, India, between January 2024 and July 2025.</w:t>
      </w:r>
    </w:p>
    <w:p w14:paraId="78BBB18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Methodology:</w:t>
      </w:r>
      <w:r w:rsidRPr="00302F44">
        <w:rPr>
          <w:rFonts w:ascii="Times New Roman" w:hAnsi="Times New Roman" w:cs="Times New Roman"/>
          <w:sz w:val="24"/>
          <w:szCs w:val="24"/>
        </w:rPr>
        <w:t xml:space="preserve"> A structured questionnaire was distributed through Google Forms to 702 residents aged 18 years and above across all wards within the </w:t>
      </w:r>
      <w:proofErr w:type="spellStart"/>
      <w:r w:rsidRPr="00302F44">
        <w:rPr>
          <w:rFonts w:ascii="Times New Roman" w:hAnsi="Times New Roman" w:cs="Times New Roman"/>
          <w:sz w:val="24"/>
          <w:szCs w:val="24"/>
        </w:rPr>
        <w:t>Bruhat</w:t>
      </w:r>
      <w:proofErr w:type="spellEnd"/>
      <w:r w:rsidRPr="00302F44">
        <w:rPr>
          <w:rFonts w:ascii="Times New Roman" w:hAnsi="Times New Roman" w:cs="Times New Roman"/>
          <w:sz w:val="24"/>
          <w:szCs w:val="24"/>
        </w:rPr>
        <w:t xml:space="preserve"> Bengaluru </w:t>
      </w:r>
      <w:proofErr w:type="spellStart"/>
      <w:r w:rsidRPr="00302F44">
        <w:rPr>
          <w:rFonts w:ascii="Times New Roman" w:hAnsi="Times New Roman" w:cs="Times New Roman"/>
          <w:sz w:val="24"/>
          <w:szCs w:val="24"/>
        </w:rPr>
        <w:t>Mahanagara</w:t>
      </w:r>
      <w:proofErr w:type="spellEnd"/>
      <w:r w:rsidRPr="00302F44">
        <w:rPr>
          <w:rFonts w:ascii="Times New Roman" w:hAnsi="Times New Roman" w:cs="Times New Roman"/>
          <w:sz w:val="24"/>
          <w:szCs w:val="24"/>
        </w:rPr>
        <w:t xml:space="preserve"> </w:t>
      </w:r>
      <w:proofErr w:type="spellStart"/>
      <w:r w:rsidRPr="00302F44">
        <w:rPr>
          <w:rFonts w:ascii="Times New Roman" w:hAnsi="Times New Roman" w:cs="Times New Roman"/>
          <w:sz w:val="24"/>
          <w:szCs w:val="24"/>
        </w:rPr>
        <w:t>Palike</w:t>
      </w:r>
      <w:proofErr w:type="spellEnd"/>
      <w:r w:rsidRPr="00302F44">
        <w:rPr>
          <w:rFonts w:ascii="Times New Roman" w:hAnsi="Times New Roman" w:cs="Times New Roman"/>
          <w:sz w:val="24"/>
          <w:szCs w:val="24"/>
        </w:rPr>
        <w:t xml:space="preserve"> (BBMP) limits using random sampling methods. The questionnaire assessed feeding practices, food type preferences, tolerance levels, psychological impacts, disease transmission perceptions, conflict types, property damage scales, and management preferences. Data were </w:t>
      </w:r>
      <w:proofErr w:type="spellStart"/>
      <w:r w:rsidRPr="00302F44">
        <w:rPr>
          <w:rFonts w:ascii="Times New Roman" w:hAnsi="Times New Roman" w:cs="Times New Roman"/>
          <w:sz w:val="24"/>
          <w:szCs w:val="24"/>
        </w:rPr>
        <w:t>analysed</w:t>
      </w:r>
      <w:proofErr w:type="spellEnd"/>
      <w:r w:rsidRPr="00302F44">
        <w:rPr>
          <w:rFonts w:ascii="Times New Roman" w:hAnsi="Times New Roman" w:cs="Times New Roman"/>
          <w:sz w:val="24"/>
          <w:szCs w:val="24"/>
        </w:rPr>
        <w:t xml:space="preserve"> using chi-square tests, Cramer's V correlation, odds ratios, and Cochran-Armitage trend tests.</w:t>
      </w:r>
    </w:p>
    <w:p w14:paraId="5397A38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Results:</w:t>
      </w:r>
      <w:r w:rsidRPr="00302F44">
        <w:rPr>
          <w:rFonts w:ascii="Times New Roman" w:eastAsia="Georgia" w:hAnsi="Times New Roman" w:cs="Times New Roman"/>
          <w:sz w:val="24"/>
          <w:szCs w:val="24"/>
        </w:rPr>
        <w:t xml:space="preserve"> Of 701 respondents, 324 (46.2%) reported feeding monkeys, with fruits strongly preferred (332/399, 83.2%, χ² = 689.5,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Tolerance levels were predominantly neutral (471/672, 70.1%), with moderate psychological disturbance reported by 329/639 respondents (51.5%). A critical knowledge gap emerged, with 381/657 (58.0%) uncertain about disease transmission. Food snatching was the most common conflict type (179/535, 33.5%), while property damage was predominantly low-scale (382/627, 60.9%). Statistical analysis revealed moderate positive association between feeding and tolerance (Cramer's V = 0.31,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and strong association between tolerance and psychological disturbance (Cramer's V = 0.48, </w:t>
      </w:r>
      <w:r w:rsidRPr="00302F44">
        <w:rPr>
          <w:rFonts w:ascii="Times New Roman" w:hAnsi="Times New Roman" w:cs="Times New Roman"/>
          <w:i/>
          <w:sz w:val="24"/>
          <w:szCs w:val="24"/>
        </w:rPr>
        <w:t>P</w:t>
      </w:r>
      <w:r w:rsidRPr="00302F44">
        <w:rPr>
          <w:rFonts w:ascii="Times New Roman" w:eastAsia="Georgia" w:hAnsi="Times New Roman" w:cs="Times New Roman"/>
          <w:sz w:val="24"/>
          <w:szCs w:val="24"/>
        </w:rPr>
        <w:t xml:space="preserve"> &lt; .001). Disease transmission beliefs significantly influenced feeding behavior (χ² = 12.8,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.01). Non-feeding (138/581, 23.8%) and physical barriers (133/581, 22.9%) emerged as preferred management approaches, with culling almost universally rejected (2/581, 0.3%).</w:t>
      </w:r>
    </w:p>
    <w:p w14:paraId="7B6A219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b/>
          <w:sz w:val="24"/>
          <w:szCs w:val="24"/>
        </w:rPr>
        <w:t>Conclusion:</w:t>
      </w:r>
      <w:r w:rsidRPr="00302F44">
        <w:rPr>
          <w:rFonts w:ascii="Times New Roman" w:hAnsi="Times New Roman" w:cs="Times New Roman"/>
          <w:sz w:val="24"/>
          <w:szCs w:val="24"/>
        </w:rPr>
        <w:t xml:space="preserve"> Human-monkey coexistence in urban Bengaluru is characterized by widespread provisioning, predominantly neutral tolerance, and moderate conflict. Management strategies must address the critical disease transmission knowledge gap through targeted education, develop evidence-based feeding guidelines that respect cultural values, and implement non-lethal conflict mitigation approaches. The strong foundation of </w:t>
      </w:r>
      <w:r w:rsidRPr="00302F44">
        <w:rPr>
          <w:rFonts w:ascii="Times New Roman" w:hAnsi="Times New Roman" w:cs="Times New Roman"/>
          <w:sz w:val="24"/>
          <w:szCs w:val="24"/>
        </w:rPr>
        <w:lastRenderedPageBreak/>
        <w:t>cultural tolerance provides opportunity for sustainable coexistence through proactive, culturally sensitive urban wildlife management.</w:t>
      </w:r>
    </w:p>
    <w:p w14:paraId="3196FDF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i/>
          <w:sz w:val="24"/>
          <w:szCs w:val="24"/>
        </w:rPr>
        <w:t xml:space="preserve">Keywords: Urban wildlife, human-monkey interaction, community perceptions, Bengaluru, wildlife management, zoonotic disease, provisioning </w:t>
      </w:r>
      <w:proofErr w:type="spellStart"/>
      <w:r w:rsidRPr="00302F44">
        <w:rPr>
          <w:rFonts w:ascii="Times New Roman" w:hAnsi="Times New Roman" w:cs="Times New Roman"/>
          <w:i/>
          <w:sz w:val="24"/>
          <w:szCs w:val="24"/>
        </w:rPr>
        <w:t>behaviour</w:t>
      </w:r>
      <w:proofErr w:type="spellEnd"/>
      <w:r w:rsidRPr="00302F44">
        <w:rPr>
          <w:rFonts w:ascii="Times New Roman" w:hAnsi="Times New Roman" w:cs="Times New Roman"/>
          <w:i/>
          <w:sz w:val="24"/>
          <w:szCs w:val="24"/>
        </w:rPr>
        <w:t>, bonnet macaque</w:t>
      </w:r>
    </w:p>
    <w:p w14:paraId="0898ABA5" w14:textId="77777777" w:rsidR="00154F24" w:rsidRPr="00302F44" w:rsidRDefault="00811FC3" w:rsidP="00302F44">
      <w:pPr>
        <w:spacing w:before="240" w:line="271" w:lineRule="auto"/>
        <w:jc w:val="both"/>
        <w:rPr>
          <w:rFonts w:ascii="Times New Roman" w:hAnsi="Times New Roman" w:cs="Times New Roman"/>
          <w:sz w:val="24"/>
          <w:szCs w:val="24"/>
        </w:rPr>
      </w:pPr>
      <w:bookmarkStart w:id="2" w:name="bm_1_introduction"/>
      <w:r w:rsidRPr="00302F44">
        <w:rPr>
          <w:rFonts w:ascii="Times New Roman" w:hAnsi="Times New Roman" w:cs="Times New Roman"/>
          <w:b/>
          <w:sz w:val="24"/>
          <w:szCs w:val="24"/>
        </w:rPr>
        <w:t>1. INTRODUCTION</w:t>
      </w:r>
      <w:bookmarkEnd w:id="2"/>
    </w:p>
    <w:p w14:paraId="63FD890B" w14:textId="1B13DA25"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Urbanization has fundamentally altered the dynamics between humans and wildlife, creating novel interspecies interactions that challenge traditional conservation paradigms (</w:t>
      </w:r>
      <w:proofErr w:type="spellStart"/>
      <w:r w:rsidRPr="00302F44">
        <w:rPr>
          <w:rFonts w:ascii="Times New Roman" w:hAnsi="Times New Roman" w:cs="Times New Roman"/>
          <w:sz w:val="24"/>
          <w:szCs w:val="24"/>
        </w:rPr>
        <w:t>Soulsbury</w:t>
      </w:r>
      <w:proofErr w:type="spellEnd"/>
      <w:r w:rsidRPr="00302F44">
        <w:rPr>
          <w:rFonts w:ascii="Times New Roman" w:hAnsi="Times New Roman" w:cs="Times New Roman"/>
          <w:sz w:val="24"/>
          <w:szCs w:val="24"/>
        </w:rPr>
        <w:t xml:space="preserve"> &amp; White, 2015). As cities expand into natural habitats, wildlife species increasingly adapt to urban environments, leading to complex patterns of coexistence, conflict</w:t>
      </w:r>
      <w:r>
        <w:rPr>
          <w:rFonts w:ascii="Times New Roman" w:hAnsi="Times New Roman" w:cs="Times New Roman"/>
          <w:sz w:val="24"/>
          <w:szCs w:val="24"/>
        </w:rPr>
        <w:t>,</w:t>
      </w:r>
      <w:r w:rsidRPr="00302F44">
        <w:rPr>
          <w:rFonts w:ascii="Times New Roman" w:hAnsi="Times New Roman" w:cs="Times New Roman"/>
          <w:sz w:val="24"/>
          <w:szCs w:val="24"/>
        </w:rPr>
        <w:t xml:space="preserve"> and mutual adaptation (</w:t>
      </w:r>
      <w:proofErr w:type="spellStart"/>
      <w:r w:rsidRPr="00302F44">
        <w:rPr>
          <w:rFonts w:ascii="Times New Roman" w:hAnsi="Times New Roman" w:cs="Times New Roman"/>
          <w:sz w:val="24"/>
          <w:szCs w:val="24"/>
        </w:rPr>
        <w:t>Magle</w:t>
      </w:r>
      <w:proofErr w:type="spellEnd"/>
      <w:r w:rsidRPr="00302F44">
        <w:rPr>
          <w:rFonts w:ascii="Times New Roman" w:hAnsi="Times New Roman" w:cs="Times New Roman"/>
          <w:sz w:val="24"/>
          <w:szCs w:val="24"/>
        </w:rPr>
        <w:t xml:space="preserve"> et al., 2012). Among these urban-adapted species, non-human primates present particularly intricate management challenges due to their cognitive sophistication, </w:t>
      </w:r>
      <w:proofErr w:type="spellStart"/>
      <w:r w:rsidRPr="00302F44">
        <w:rPr>
          <w:rFonts w:ascii="Times New Roman" w:hAnsi="Times New Roman" w:cs="Times New Roman"/>
          <w:sz w:val="24"/>
          <w:szCs w:val="24"/>
        </w:rPr>
        <w:t>behavioural</w:t>
      </w:r>
      <w:proofErr w:type="spellEnd"/>
      <w:r w:rsidRPr="00302F44">
        <w:rPr>
          <w:rFonts w:ascii="Times New Roman" w:hAnsi="Times New Roman" w:cs="Times New Roman"/>
          <w:sz w:val="24"/>
          <w:szCs w:val="24"/>
        </w:rPr>
        <w:t xml:space="preserve"> flexibility and close phylogenetic relationship to humans (Radhakrishna et al., 2013).</w:t>
      </w:r>
    </w:p>
    <w:p w14:paraId="107F5C5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human-primate interface in urban areas has intensified globally, with significant implications for public health, property damage, agricultural losses and human welfare (</w:t>
      </w:r>
      <w:proofErr w:type="spellStart"/>
      <w:r w:rsidRPr="00302F44">
        <w:rPr>
          <w:rFonts w:ascii="Times New Roman" w:hAnsi="Times New Roman" w:cs="Times New Roman"/>
          <w:sz w:val="24"/>
          <w:szCs w:val="24"/>
        </w:rPr>
        <w:t>Wierucka</w:t>
      </w:r>
      <w:proofErr w:type="spellEnd"/>
      <w:r w:rsidRPr="00302F44">
        <w:rPr>
          <w:rFonts w:ascii="Times New Roman" w:hAnsi="Times New Roman" w:cs="Times New Roman"/>
          <w:sz w:val="24"/>
          <w:szCs w:val="24"/>
        </w:rPr>
        <w:t xml:space="preserve"> et al., 2023). Understanding community perceptions and attitudes toward urban wildlife is fundamental to developing effective, socially acceptable management strategies (</w:t>
      </w:r>
      <w:proofErr w:type="spellStart"/>
      <w:r w:rsidRPr="00302F44">
        <w:rPr>
          <w:rFonts w:ascii="Times New Roman" w:hAnsi="Times New Roman" w:cs="Times New Roman"/>
          <w:sz w:val="24"/>
          <w:szCs w:val="24"/>
        </w:rPr>
        <w:t>Basak</w:t>
      </w:r>
      <w:proofErr w:type="spellEnd"/>
      <w:r w:rsidRPr="00302F44">
        <w:rPr>
          <w:rFonts w:ascii="Times New Roman" w:hAnsi="Times New Roman" w:cs="Times New Roman"/>
          <w:sz w:val="24"/>
          <w:szCs w:val="24"/>
        </w:rPr>
        <w:t xml:space="preserve"> et al., 2022). Public opinion shapes policy implementation, influences conservation outcomes, and determines the success of wildlife management interventions (Lee &amp; </w:t>
      </w:r>
      <w:proofErr w:type="spellStart"/>
      <w:r w:rsidRPr="00302F44">
        <w:rPr>
          <w:rFonts w:ascii="Times New Roman" w:hAnsi="Times New Roman" w:cs="Times New Roman"/>
          <w:sz w:val="24"/>
          <w:szCs w:val="24"/>
        </w:rPr>
        <w:t>Priston</w:t>
      </w:r>
      <w:proofErr w:type="spellEnd"/>
      <w:r w:rsidRPr="00302F44">
        <w:rPr>
          <w:rFonts w:ascii="Times New Roman" w:hAnsi="Times New Roman" w:cs="Times New Roman"/>
          <w:sz w:val="24"/>
          <w:szCs w:val="24"/>
        </w:rPr>
        <w:t>, 2005).</w:t>
      </w:r>
    </w:p>
    <w:p w14:paraId="01072EC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Bonnet macaques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radiata</w:t>
      </w:r>
      <w:r w:rsidRPr="00302F44">
        <w:rPr>
          <w:rFonts w:ascii="Times New Roman" w:hAnsi="Times New Roman" w:cs="Times New Roman"/>
          <w:sz w:val="24"/>
          <w:szCs w:val="24"/>
        </w:rPr>
        <w:t xml:space="preserve">) have historically coexisted with human populations in southern India, with cultural attitudes ranging from reverence to tolerance (Chakravarthy &amp; </w:t>
      </w:r>
      <w:proofErr w:type="spellStart"/>
      <w:r w:rsidRPr="00302F44">
        <w:rPr>
          <w:rFonts w:ascii="Times New Roman" w:hAnsi="Times New Roman" w:cs="Times New Roman"/>
          <w:sz w:val="24"/>
          <w:szCs w:val="24"/>
        </w:rPr>
        <w:t>Thyagaraj</w:t>
      </w:r>
      <w:proofErr w:type="spellEnd"/>
      <w:r w:rsidRPr="00302F44">
        <w:rPr>
          <w:rFonts w:ascii="Times New Roman" w:hAnsi="Times New Roman" w:cs="Times New Roman"/>
          <w:sz w:val="24"/>
          <w:szCs w:val="24"/>
        </w:rPr>
        <w:t xml:space="preserve">, 2005). However, urbanization has disrupted traditional coexistence patterns, creating conflict scenarios. Studies indicate that bonnet macaque populations in Karnataka face significant threats from habitat loss, human persecution and changing social dynamics (Kumara et al., 2010). Urban macaques exhibit distinct </w:t>
      </w:r>
      <w:proofErr w:type="spellStart"/>
      <w:r w:rsidRPr="00302F44">
        <w:rPr>
          <w:rFonts w:ascii="Times New Roman" w:hAnsi="Times New Roman" w:cs="Times New Roman"/>
          <w:sz w:val="24"/>
          <w:szCs w:val="24"/>
        </w:rPr>
        <w:t>behavioural</w:t>
      </w:r>
      <w:proofErr w:type="spellEnd"/>
      <w:r w:rsidRPr="00302F44">
        <w:rPr>
          <w:rFonts w:ascii="Times New Roman" w:hAnsi="Times New Roman" w:cs="Times New Roman"/>
          <w:sz w:val="24"/>
          <w:szCs w:val="24"/>
        </w:rPr>
        <w:t xml:space="preserve"> adaptations compared to their forest-dwelling counterparts, including modified dietary patterns, altered ranging behavior, and enhanced exploitation of human food resources (Sinha, 2001). These adaptations, while enabling survival in human-dominated landscapes, often bring macaques into direct conflict with residents through crop raiding, property damage, and aggressive food acquisition </w:t>
      </w:r>
      <w:proofErr w:type="spellStart"/>
      <w:r w:rsidRPr="00302F44">
        <w:rPr>
          <w:rFonts w:ascii="Times New Roman" w:hAnsi="Times New Roman" w:cs="Times New Roman"/>
          <w:sz w:val="24"/>
          <w:szCs w:val="24"/>
        </w:rPr>
        <w:t>behaviours</w:t>
      </w:r>
      <w:proofErr w:type="spellEnd"/>
      <w:r w:rsidRPr="00302F44">
        <w:rPr>
          <w:rFonts w:ascii="Times New Roman" w:hAnsi="Times New Roman" w:cs="Times New Roman"/>
          <w:sz w:val="24"/>
          <w:szCs w:val="24"/>
        </w:rPr>
        <w:t>.</w:t>
      </w:r>
    </w:p>
    <w:p w14:paraId="0B9B789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Food provisioning by humans significantly influences urban primate ecology and behavior (Sengupta et al., 2015). It can alter natural foraging patterns, increase population densities beyond habitat carrying capacity, habituate animals to human presence, and modify social dynamics within primate groups (Sengupta et al., 2015). Understanding provisioning practices and the motivations behind them is critical for developing effective management interventions.</w:t>
      </w:r>
    </w:p>
    <w:p w14:paraId="666D237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Cultural practices, religious beliefs, and community attitudes significantly influence provisioning </w:t>
      </w:r>
      <w:proofErr w:type="spellStart"/>
      <w:r w:rsidRPr="00302F44">
        <w:rPr>
          <w:rFonts w:ascii="Times New Roman" w:hAnsi="Times New Roman" w:cs="Times New Roman"/>
          <w:sz w:val="24"/>
          <w:szCs w:val="24"/>
        </w:rPr>
        <w:t>behaviours</w:t>
      </w:r>
      <w:proofErr w:type="spellEnd"/>
      <w:r w:rsidRPr="00302F44">
        <w:rPr>
          <w:rFonts w:ascii="Times New Roman" w:hAnsi="Times New Roman" w:cs="Times New Roman"/>
          <w:sz w:val="24"/>
          <w:szCs w:val="24"/>
        </w:rPr>
        <w:t xml:space="preserve"> in Indian contexts (</w:t>
      </w:r>
      <w:proofErr w:type="spellStart"/>
      <w:r w:rsidRPr="00302F44">
        <w:rPr>
          <w:rFonts w:ascii="Times New Roman" w:hAnsi="Times New Roman" w:cs="Times New Roman"/>
          <w:sz w:val="24"/>
          <w:szCs w:val="24"/>
        </w:rPr>
        <w:t>Karimullah</w:t>
      </w:r>
      <w:proofErr w:type="spellEnd"/>
      <w:r w:rsidRPr="00302F44">
        <w:rPr>
          <w:rFonts w:ascii="Times New Roman" w:hAnsi="Times New Roman" w:cs="Times New Roman"/>
          <w:sz w:val="24"/>
          <w:szCs w:val="24"/>
        </w:rPr>
        <w:t xml:space="preserve"> et al., 2022). Some communities view feeding monkeys as a religious act or expression of compassion, while others consider it a nuisance that exacerbates conflict (</w:t>
      </w:r>
      <w:proofErr w:type="spellStart"/>
      <w:r w:rsidRPr="00302F44">
        <w:rPr>
          <w:rFonts w:ascii="Times New Roman" w:hAnsi="Times New Roman" w:cs="Times New Roman"/>
          <w:sz w:val="24"/>
          <w:szCs w:val="24"/>
        </w:rPr>
        <w:t>Ganguly</w:t>
      </w:r>
      <w:proofErr w:type="spellEnd"/>
      <w:r w:rsidRPr="00302F44">
        <w:rPr>
          <w:rFonts w:ascii="Times New Roman" w:hAnsi="Times New Roman" w:cs="Times New Roman"/>
          <w:sz w:val="24"/>
          <w:szCs w:val="24"/>
        </w:rPr>
        <w:t xml:space="preserve"> &amp; Chauhan, 2019). These diverse </w:t>
      </w:r>
      <w:r w:rsidRPr="00302F44">
        <w:rPr>
          <w:rFonts w:ascii="Times New Roman" w:hAnsi="Times New Roman" w:cs="Times New Roman"/>
          <w:sz w:val="24"/>
          <w:szCs w:val="24"/>
        </w:rPr>
        <w:lastRenderedPageBreak/>
        <w:t>perspectives must be understood and integrated into management strategies to ensure social acceptance and effectiveness.</w:t>
      </w:r>
    </w:p>
    <w:p w14:paraId="03F5D0C7" w14:textId="77777777" w:rsidR="00154F24" w:rsidRPr="00302F44" w:rsidRDefault="00811FC3" w:rsidP="00302F44">
      <w:pPr>
        <w:spacing w:before="240" w:line="271" w:lineRule="auto"/>
        <w:jc w:val="both"/>
        <w:rPr>
          <w:rFonts w:ascii="Times New Roman" w:hAnsi="Times New Roman" w:cs="Times New Roman"/>
          <w:sz w:val="24"/>
          <w:szCs w:val="24"/>
        </w:rPr>
      </w:pPr>
      <w:bookmarkStart w:id="3" w:name="bm_2_materials_and_methods"/>
      <w:r w:rsidRPr="00302F44">
        <w:rPr>
          <w:rFonts w:ascii="Times New Roman" w:hAnsi="Times New Roman" w:cs="Times New Roman"/>
          <w:b/>
          <w:sz w:val="24"/>
          <w:szCs w:val="24"/>
        </w:rPr>
        <w:t>2. MATERIALS AND METHODS</w:t>
      </w:r>
      <w:bookmarkEnd w:id="3"/>
    </w:p>
    <w:p w14:paraId="085723EF" w14:textId="77777777" w:rsidR="00154F24" w:rsidRPr="00302F44" w:rsidRDefault="00811FC3" w:rsidP="00302F44">
      <w:pPr>
        <w:spacing w:before="240" w:line="271" w:lineRule="auto"/>
        <w:jc w:val="both"/>
        <w:rPr>
          <w:rFonts w:ascii="Times New Roman" w:hAnsi="Times New Roman" w:cs="Times New Roman"/>
          <w:sz w:val="24"/>
          <w:szCs w:val="24"/>
        </w:rPr>
      </w:pPr>
      <w:bookmarkStart w:id="4" w:name="bm_2_1_study_area"/>
      <w:r w:rsidRPr="00302F44">
        <w:rPr>
          <w:rFonts w:ascii="Times New Roman" w:hAnsi="Times New Roman" w:cs="Times New Roman"/>
          <w:b/>
          <w:sz w:val="24"/>
          <w:szCs w:val="24"/>
        </w:rPr>
        <w:t>2.1 Study Area</w:t>
      </w:r>
      <w:bookmarkEnd w:id="4"/>
    </w:p>
    <w:p w14:paraId="120A3FC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The study was conducted in Bengaluru (12°58′N--13°00′N, 77°30′E--77°40′E), the capital city of Karnataka state, India. Situated at 920 meters above mean sea level on the Deccan Plateau of South India, Bengaluru covers approximately 741 km² and continues expanding due to modernization pressures. The Bangalore Metropolitan Region extends across 8,005 km² and is undergoing rapid urbanization (</w:t>
      </w:r>
      <w:proofErr w:type="spellStart"/>
      <w:r w:rsidRPr="00302F44">
        <w:rPr>
          <w:rFonts w:ascii="Times New Roman" w:eastAsia="Georgia" w:hAnsi="Times New Roman" w:cs="Times New Roman"/>
          <w:sz w:val="24"/>
          <w:szCs w:val="24"/>
        </w:rPr>
        <w:t>Bhogadi</w:t>
      </w:r>
      <w:proofErr w:type="spellEnd"/>
      <w:r w:rsidRPr="00302F44">
        <w:rPr>
          <w:rFonts w:ascii="Times New Roman" w:eastAsia="Georgia" w:hAnsi="Times New Roman" w:cs="Times New Roman"/>
          <w:sz w:val="24"/>
          <w:szCs w:val="24"/>
        </w:rPr>
        <w:t xml:space="preserve"> &amp; </w:t>
      </w:r>
      <w:proofErr w:type="spellStart"/>
      <w:r w:rsidRPr="00302F44">
        <w:rPr>
          <w:rFonts w:ascii="Times New Roman" w:eastAsia="Georgia" w:hAnsi="Times New Roman" w:cs="Times New Roman"/>
          <w:sz w:val="24"/>
          <w:szCs w:val="24"/>
        </w:rPr>
        <w:t>Chundeli</w:t>
      </w:r>
      <w:proofErr w:type="spellEnd"/>
      <w:r w:rsidRPr="00302F44">
        <w:rPr>
          <w:rFonts w:ascii="Times New Roman" w:eastAsia="Georgia" w:hAnsi="Times New Roman" w:cs="Times New Roman"/>
          <w:sz w:val="24"/>
          <w:szCs w:val="24"/>
        </w:rPr>
        <w:t>, 2023). Between 2003 and 2021, vegetation cover fell by over 50%, built-up areas doubled, and land surface temperatures rose from 26°C to 29°C (</w:t>
      </w:r>
      <w:proofErr w:type="spellStart"/>
      <w:r w:rsidRPr="00302F44">
        <w:rPr>
          <w:rFonts w:ascii="Times New Roman" w:eastAsia="Georgia" w:hAnsi="Times New Roman" w:cs="Times New Roman"/>
          <w:sz w:val="24"/>
          <w:szCs w:val="24"/>
        </w:rPr>
        <w:t>Bhogadi</w:t>
      </w:r>
      <w:proofErr w:type="spellEnd"/>
      <w:r w:rsidRPr="00302F44">
        <w:rPr>
          <w:rFonts w:ascii="Times New Roman" w:eastAsia="Georgia" w:hAnsi="Times New Roman" w:cs="Times New Roman"/>
          <w:sz w:val="24"/>
          <w:szCs w:val="24"/>
        </w:rPr>
        <w:t xml:space="preserve"> &amp; </w:t>
      </w:r>
      <w:proofErr w:type="spellStart"/>
      <w:r w:rsidRPr="00302F44">
        <w:rPr>
          <w:rFonts w:ascii="Times New Roman" w:eastAsia="Georgia" w:hAnsi="Times New Roman" w:cs="Times New Roman"/>
          <w:sz w:val="24"/>
          <w:szCs w:val="24"/>
        </w:rPr>
        <w:t>Chundeli</w:t>
      </w:r>
      <w:proofErr w:type="spellEnd"/>
      <w:r w:rsidRPr="00302F44">
        <w:rPr>
          <w:rFonts w:ascii="Times New Roman" w:eastAsia="Georgia" w:hAnsi="Times New Roman" w:cs="Times New Roman"/>
          <w:sz w:val="24"/>
          <w:szCs w:val="24"/>
        </w:rPr>
        <w:t>, 2023).</w:t>
      </w:r>
    </w:p>
    <w:p w14:paraId="2E3E42E3" w14:textId="77777777" w:rsidR="00154F24" w:rsidRPr="00302F44" w:rsidRDefault="00811FC3" w:rsidP="00302F44">
      <w:pPr>
        <w:spacing w:before="240" w:line="271" w:lineRule="auto"/>
        <w:jc w:val="both"/>
        <w:rPr>
          <w:rFonts w:ascii="Times New Roman" w:hAnsi="Times New Roman" w:cs="Times New Roman"/>
          <w:sz w:val="24"/>
          <w:szCs w:val="24"/>
        </w:rPr>
      </w:pPr>
      <w:bookmarkStart w:id="5" w:name="bm_2_2_sample_size_determination"/>
      <w:r w:rsidRPr="00302F44">
        <w:rPr>
          <w:rFonts w:ascii="Times New Roman" w:hAnsi="Times New Roman" w:cs="Times New Roman"/>
          <w:b/>
          <w:sz w:val="24"/>
          <w:szCs w:val="24"/>
        </w:rPr>
        <w:t>2.2 Sample Size Determination</w:t>
      </w:r>
      <w:bookmarkEnd w:id="5"/>
    </w:p>
    <w:p w14:paraId="2598C6C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Based on Bengaluru's 2011 census population of 8.5 million (Census of India, 2011), we calculated the required sample size using Cochran's formula (1977) for large population estimations. The theoretical minimum sample size was calculated to be 667 respondents at a 99% confidence level with 5% margin of error. The actual sample size obtained was 702 respondents, exceeding the minimum requirement and providing adequate statistical power for analysis.</w:t>
      </w:r>
    </w:p>
    <w:p w14:paraId="710E5844" w14:textId="77777777" w:rsidR="00154F24" w:rsidRPr="00302F44" w:rsidRDefault="00811FC3" w:rsidP="00302F44">
      <w:pPr>
        <w:spacing w:before="240" w:line="271" w:lineRule="auto"/>
        <w:jc w:val="both"/>
        <w:rPr>
          <w:rFonts w:ascii="Times New Roman" w:hAnsi="Times New Roman" w:cs="Times New Roman"/>
          <w:sz w:val="24"/>
          <w:szCs w:val="24"/>
        </w:rPr>
      </w:pPr>
      <w:bookmarkStart w:id="6" w:name="bm_2_3_data_collection"/>
      <w:r w:rsidRPr="00302F44">
        <w:rPr>
          <w:rFonts w:ascii="Times New Roman" w:hAnsi="Times New Roman" w:cs="Times New Roman"/>
          <w:b/>
          <w:sz w:val="24"/>
          <w:szCs w:val="24"/>
        </w:rPr>
        <w:t>2.3 Data Collection</w:t>
      </w:r>
      <w:bookmarkEnd w:id="6"/>
    </w:p>
    <w:p w14:paraId="4E5D2DB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questionnaire was prepared following STROBE (Strengthening the Reporting of Observational Studies in Epidemiology) guidelines for cross-sectional studies. Survey utility keys included types of human-monkey conflicts experienced, intensity and frequency of conflicts, specific damages reported (property, crops, personal injury), scale of property damage (low, medium, high), feeding practices (whether respondents feed monkeys), food type preferences, tolerance levels, psychological disturbance, disease transmission perceptions, and management strategy preferences.</w:t>
      </w:r>
    </w:p>
    <w:p w14:paraId="67AF15C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Data collection utilized Google Forms, enabling efficient digital distribution, automated data compilation, and reduced transcription errors. Surveys were conducted between January 2024 and July 2025, providing temporal breadth to capture seasonal variations and ensuring representation across different time periods. Questionnaires were systematically distributed to public participants (aged 18 years and above) across various locations throughout the study area using random sampling methods. This approach targeted residents from all wards within the </w:t>
      </w:r>
      <w:proofErr w:type="spellStart"/>
      <w:r w:rsidRPr="00302F44">
        <w:rPr>
          <w:rFonts w:ascii="Times New Roman" w:hAnsi="Times New Roman" w:cs="Times New Roman"/>
          <w:sz w:val="24"/>
          <w:szCs w:val="24"/>
        </w:rPr>
        <w:t>Bruhat</w:t>
      </w:r>
      <w:proofErr w:type="spellEnd"/>
      <w:r w:rsidRPr="00302F44">
        <w:rPr>
          <w:rFonts w:ascii="Times New Roman" w:hAnsi="Times New Roman" w:cs="Times New Roman"/>
          <w:sz w:val="24"/>
          <w:szCs w:val="24"/>
        </w:rPr>
        <w:t xml:space="preserve"> Bengaluru </w:t>
      </w:r>
      <w:proofErr w:type="spellStart"/>
      <w:r w:rsidRPr="00302F44">
        <w:rPr>
          <w:rFonts w:ascii="Times New Roman" w:hAnsi="Times New Roman" w:cs="Times New Roman"/>
          <w:sz w:val="24"/>
          <w:szCs w:val="24"/>
        </w:rPr>
        <w:t>Mahanagara</w:t>
      </w:r>
      <w:proofErr w:type="spellEnd"/>
      <w:r w:rsidRPr="00302F44">
        <w:rPr>
          <w:rFonts w:ascii="Times New Roman" w:hAnsi="Times New Roman" w:cs="Times New Roman"/>
          <w:sz w:val="24"/>
          <w:szCs w:val="24"/>
        </w:rPr>
        <w:t xml:space="preserve"> </w:t>
      </w:r>
      <w:proofErr w:type="spellStart"/>
      <w:r w:rsidRPr="00302F44">
        <w:rPr>
          <w:rFonts w:ascii="Times New Roman" w:hAnsi="Times New Roman" w:cs="Times New Roman"/>
          <w:sz w:val="24"/>
          <w:szCs w:val="24"/>
        </w:rPr>
        <w:t>Palike</w:t>
      </w:r>
      <w:proofErr w:type="spellEnd"/>
      <w:r w:rsidRPr="00302F44">
        <w:rPr>
          <w:rFonts w:ascii="Times New Roman" w:hAnsi="Times New Roman" w:cs="Times New Roman"/>
          <w:sz w:val="24"/>
          <w:szCs w:val="24"/>
        </w:rPr>
        <w:t xml:space="preserve"> (BBMP) limits, ensuring geographical representation across the metropolitan area.</w:t>
      </w:r>
    </w:p>
    <w:p w14:paraId="42E24BE7" w14:textId="77777777" w:rsidR="00154F24" w:rsidRPr="00302F44" w:rsidRDefault="00811FC3" w:rsidP="00302F44">
      <w:pPr>
        <w:spacing w:before="240" w:line="271" w:lineRule="auto"/>
        <w:jc w:val="both"/>
        <w:rPr>
          <w:rFonts w:ascii="Times New Roman" w:hAnsi="Times New Roman" w:cs="Times New Roman"/>
          <w:sz w:val="24"/>
          <w:szCs w:val="24"/>
        </w:rPr>
      </w:pPr>
      <w:bookmarkStart w:id="7" w:name="bm_2_4_ethical_considerations"/>
      <w:r w:rsidRPr="00302F44">
        <w:rPr>
          <w:rFonts w:ascii="Times New Roman" w:hAnsi="Times New Roman" w:cs="Times New Roman"/>
          <w:b/>
          <w:sz w:val="24"/>
          <w:szCs w:val="24"/>
        </w:rPr>
        <w:t>2.4 Ethical Considerations</w:t>
      </w:r>
      <w:bookmarkEnd w:id="7"/>
    </w:p>
    <w:p w14:paraId="7E86BEF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All surveys were completely anonymous, with no personal identifying information collected or stored. This approach protected participant privacy, encouraged honest responses, and ensured compliance with ethical research standards. Participation was voluntary, with implicit consent indicated through survey completion.</w:t>
      </w:r>
    </w:p>
    <w:p w14:paraId="125A33ED" w14:textId="77777777" w:rsidR="00154F24" w:rsidRPr="00302F44" w:rsidRDefault="00811FC3" w:rsidP="00302F44">
      <w:pPr>
        <w:spacing w:before="240" w:line="271" w:lineRule="auto"/>
        <w:jc w:val="both"/>
        <w:rPr>
          <w:rFonts w:ascii="Times New Roman" w:hAnsi="Times New Roman" w:cs="Times New Roman"/>
          <w:sz w:val="24"/>
          <w:szCs w:val="24"/>
        </w:rPr>
      </w:pPr>
      <w:bookmarkStart w:id="8" w:name="bm_2_5_statistical_analysis"/>
      <w:r w:rsidRPr="00302F44">
        <w:rPr>
          <w:rFonts w:ascii="Times New Roman" w:hAnsi="Times New Roman" w:cs="Times New Roman"/>
          <w:b/>
          <w:sz w:val="24"/>
          <w:szCs w:val="24"/>
        </w:rPr>
        <w:lastRenderedPageBreak/>
        <w:t>2.5 Statistical Analysis</w:t>
      </w:r>
      <w:bookmarkEnd w:id="8"/>
    </w:p>
    <w:p w14:paraId="2A9EB096" w14:textId="42FA0982"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Raw data from Google Forms </w:t>
      </w:r>
      <w:r w:rsidR="00302F44">
        <w:rPr>
          <w:rFonts w:ascii="Times New Roman" w:hAnsi="Times New Roman" w:cs="Times New Roman"/>
          <w:sz w:val="24"/>
          <w:szCs w:val="24"/>
        </w:rPr>
        <w:t>was</w:t>
      </w:r>
      <w:r w:rsidRPr="00302F44">
        <w:rPr>
          <w:rFonts w:ascii="Times New Roman" w:hAnsi="Times New Roman" w:cs="Times New Roman"/>
          <w:sz w:val="24"/>
          <w:szCs w:val="24"/>
        </w:rPr>
        <w:t xml:space="preserve"> extracted into CSV format for statistical processing. Multiple statistical techniques were employed to address different research questions:</w:t>
      </w:r>
      <w:r w:rsidR="00302F44">
        <w:rPr>
          <w:rFonts w:ascii="Times New Roman" w:hAnsi="Times New Roman" w:cs="Times New Roman"/>
          <w:sz w:val="24"/>
          <w:szCs w:val="24"/>
        </w:rPr>
        <w:t xml:space="preserve"> </w:t>
      </w:r>
      <w:r w:rsidRPr="00302F44">
        <w:rPr>
          <w:rFonts w:ascii="Times New Roman" w:hAnsi="Times New Roman" w:cs="Times New Roman"/>
          <w:bCs/>
          <w:sz w:val="24"/>
          <w:szCs w:val="24"/>
        </w:rPr>
        <w:t>Chi-square goodness-of-fit tests assessed whether observed distributions deviated from expected equal proportions across categories.</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Chi-square contingency tests examined associations between categorical variables such as feeding behavior and tolerance levels.</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Cramer's V quantified the strength of associations between categorical variables, with values of 0.1, 0.3, and 0.5 representing small, medium, and large effect sizes</w:t>
      </w:r>
      <w:r w:rsidR="00302F44">
        <w:rPr>
          <w:rFonts w:ascii="Times New Roman" w:hAnsi="Times New Roman" w:cs="Times New Roman"/>
          <w:bCs/>
          <w:sz w:val="24"/>
          <w:szCs w:val="24"/>
        </w:rPr>
        <w:t>,</w:t>
      </w:r>
      <w:r w:rsidRPr="00302F44">
        <w:rPr>
          <w:rFonts w:ascii="Times New Roman" w:hAnsi="Times New Roman" w:cs="Times New Roman"/>
          <w:bCs/>
          <w:sz w:val="24"/>
          <w:szCs w:val="24"/>
        </w:rPr>
        <w:t xml:space="preserve"> respectively.</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Odds ratios (OR) with 95% confidence intervals measured the strength of association between binary variables, particularly for disease transmission beliefs and feeding behavior.</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Cochran-Armitage trend tests evaluated linear trends across ordered categories, specifically examining whether feeding propensity increased systematically with tolerance level.</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Cohen's w measured effect sizes for chi-square tests, with thresholds of 0.1 (small), 0.3 (medium), and 0.5 (large).</w:t>
      </w:r>
      <w:r w:rsidR="00302F44">
        <w:rPr>
          <w:rFonts w:ascii="Times New Roman" w:hAnsi="Times New Roman" w:cs="Times New Roman"/>
          <w:bCs/>
          <w:sz w:val="24"/>
          <w:szCs w:val="24"/>
        </w:rPr>
        <w:t xml:space="preserve"> </w:t>
      </w:r>
      <w:r w:rsidRPr="00302F44">
        <w:rPr>
          <w:rFonts w:ascii="Times New Roman" w:hAnsi="Times New Roman" w:cs="Times New Roman"/>
          <w:bCs/>
          <w:sz w:val="24"/>
          <w:szCs w:val="24"/>
        </w:rPr>
        <w:t>Post-hoc power analysis evaluated whether the achieved sample size provided adequate statistical power to detect meaningful effects.</w:t>
      </w:r>
      <w:r w:rsidR="00302F44">
        <w:rPr>
          <w:rFonts w:ascii="Times New Roman" w:hAnsi="Times New Roman" w:cs="Times New Roman"/>
          <w:bCs/>
          <w:sz w:val="24"/>
          <w:szCs w:val="24"/>
        </w:rPr>
        <w:t xml:space="preserve"> </w:t>
      </w:r>
      <w:r w:rsidRPr="00302F44">
        <w:rPr>
          <w:rFonts w:ascii="Times New Roman" w:hAnsi="Times New Roman" w:cs="Times New Roman"/>
          <w:sz w:val="24"/>
          <w:szCs w:val="24"/>
        </w:rPr>
        <w:t>Results were presented using tables for numerical summaries and appropriate graphical representations for key findings, facilitating clear communication of complex statistical relationships.</w:t>
      </w:r>
    </w:p>
    <w:p w14:paraId="24E9308D" w14:textId="77777777" w:rsidR="00154F24" w:rsidRPr="00302F44" w:rsidRDefault="00811FC3" w:rsidP="00302F44">
      <w:pPr>
        <w:spacing w:before="240" w:line="271" w:lineRule="auto"/>
        <w:jc w:val="both"/>
        <w:rPr>
          <w:rFonts w:ascii="Times New Roman" w:hAnsi="Times New Roman" w:cs="Times New Roman"/>
          <w:sz w:val="24"/>
          <w:szCs w:val="24"/>
        </w:rPr>
      </w:pPr>
      <w:bookmarkStart w:id="9" w:name="bm_3_results_and_discussion"/>
      <w:r w:rsidRPr="00302F44">
        <w:rPr>
          <w:rFonts w:ascii="Times New Roman" w:hAnsi="Times New Roman" w:cs="Times New Roman"/>
          <w:b/>
          <w:sz w:val="24"/>
          <w:szCs w:val="24"/>
        </w:rPr>
        <w:t>3. RESULTS AND DISCUSSION</w:t>
      </w:r>
      <w:bookmarkEnd w:id="9"/>
    </w:p>
    <w:p w14:paraId="20F864B2" w14:textId="77777777" w:rsidR="00154F24" w:rsidRPr="00302F44" w:rsidRDefault="00811FC3" w:rsidP="00302F44">
      <w:pPr>
        <w:spacing w:before="240" w:line="271" w:lineRule="auto"/>
        <w:jc w:val="both"/>
        <w:rPr>
          <w:rFonts w:ascii="Times New Roman" w:hAnsi="Times New Roman" w:cs="Times New Roman"/>
          <w:sz w:val="24"/>
          <w:szCs w:val="24"/>
        </w:rPr>
      </w:pPr>
      <w:bookmarkStart w:id="10" w:name="bm_3_1_prevalence_of_feeding"/>
      <w:r w:rsidRPr="00302F44">
        <w:rPr>
          <w:rFonts w:ascii="Times New Roman" w:hAnsi="Times New Roman" w:cs="Times New Roman"/>
          <w:b/>
          <w:sz w:val="24"/>
          <w:szCs w:val="24"/>
        </w:rPr>
        <w:t>3.1 Prevalence of Feeding</w:t>
      </w:r>
      <w:bookmarkEnd w:id="10"/>
    </w:p>
    <w:p w14:paraId="743BC179"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Of 701 respondents who answered the feeding question, 324 (46.2%) reported feeding monkeys, while 377 (53.8%) did not engage in provisioning behavior. A chi-square goodness-of-fit test revealed this distribution significantly deviated from equal proportions (χ² = 4.01,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 .045), indicating that non-feeding is moderately more prevalent than feeding in the community (Fig 1a, Table 1).</w:t>
      </w:r>
    </w:p>
    <w:p w14:paraId="337A43B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This finding aligns with global trends in urban primate interactions. The 46.2% feeding prevalence in Bengaluru falls within the range reported in other urban contexts: Shimla, India reported high provisioning rates (Chauhan &amp; </w:t>
      </w:r>
      <w:proofErr w:type="spellStart"/>
      <w:r w:rsidRPr="00302F44">
        <w:rPr>
          <w:rFonts w:ascii="Times New Roman" w:hAnsi="Times New Roman" w:cs="Times New Roman"/>
          <w:sz w:val="24"/>
          <w:szCs w:val="24"/>
        </w:rPr>
        <w:t>Pirta</w:t>
      </w:r>
      <w:proofErr w:type="spellEnd"/>
      <w:r w:rsidRPr="00302F44">
        <w:rPr>
          <w:rFonts w:ascii="Times New Roman" w:hAnsi="Times New Roman" w:cs="Times New Roman"/>
          <w:sz w:val="24"/>
          <w:szCs w:val="24"/>
        </w:rPr>
        <w:t>, 2010), while Singapore showed more varied patterns (Sha et al., 2009). The moderate prevalence suggests a community divided on provisioning practices, representing both an opportunity and challenge for management interventions.</w:t>
      </w:r>
    </w:p>
    <w:p w14:paraId="748531AD" w14:textId="77777777" w:rsidR="00154F24" w:rsidRPr="00302F44" w:rsidRDefault="00811FC3" w:rsidP="00302F44">
      <w:pPr>
        <w:spacing w:before="240" w:line="271" w:lineRule="auto"/>
        <w:jc w:val="both"/>
        <w:rPr>
          <w:rFonts w:ascii="Times New Roman" w:hAnsi="Times New Roman" w:cs="Times New Roman"/>
          <w:sz w:val="24"/>
          <w:szCs w:val="24"/>
        </w:rPr>
      </w:pPr>
      <w:bookmarkStart w:id="11" w:name="bm_3_2_food_type_preference"/>
      <w:r w:rsidRPr="00302F44">
        <w:rPr>
          <w:rFonts w:ascii="Times New Roman" w:hAnsi="Times New Roman" w:cs="Times New Roman"/>
          <w:b/>
          <w:sz w:val="24"/>
          <w:szCs w:val="24"/>
        </w:rPr>
        <w:t>3.2 Food Type Preference</w:t>
      </w:r>
      <w:bookmarkEnd w:id="11"/>
    </w:p>
    <w:p w14:paraId="34CFA46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the 399 respondents who provided food type information (including some who fed occasionally), fruits dominated provisioning practices with 332 responses (83.2%, 95% CI: 79.4%--87.0%). Other food types showed substantially lower frequencies: bakery items (39 responses, 9.8%), uncooked food (17 responses, 4.3%), and cooked food (11 responses, 2.8%).</w:t>
      </w:r>
    </w:p>
    <w:p w14:paraId="1CE29BE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A chi-square goodness-of-fit test strongly rejected the null hypothesis of equal preference across food types (χ² = 689.5, df = 3,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with a large effect size (Cohen's w = 0.83), demonstrating overwhelming preference for fruits over other provisioning options (Fig 1b, Table 1).</w:t>
      </w:r>
    </w:p>
    <w:p w14:paraId="3C846F6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lastRenderedPageBreak/>
        <w:t>This strong fruit preference reflects both practical considerations and cultural practices. Fruits are readily available, inexpensive, and perceived as "natural" food for primates. However, concentrated fruit provisioning can alter macaque dietary patterns and increase population densities beyond natural carrying capacity (Sengupta et al., 2015). The high sugar content in provisioned fruits may also contribute to health problems in urban macaque populations.</w:t>
      </w:r>
    </w:p>
    <w:p w14:paraId="3FB34F09" w14:textId="77777777" w:rsidR="00154F24" w:rsidRPr="00302F44" w:rsidRDefault="00811FC3" w:rsidP="00302F44">
      <w:pPr>
        <w:spacing w:before="240" w:line="271" w:lineRule="auto"/>
        <w:jc w:val="both"/>
        <w:rPr>
          <w:rFonts w:ascii="Times New Roman" w:hAnsi="Times New Roman" w:cs="Times New Roman"/>
          <w:sz w:val="24"/>
          <w:szCs w:val="24"/>
        </w:rPr>
      </w:pPr>
      <w:bookmarkStart w:id="12" w:name="bm_3_3_tolerance_level_towards_monkeys"/>
      <w:r w:rsidRPr="00302F44">
        <w:rPr>
          <w:rFonts w:ascii="Times New Roman" w:hAnsi="Times New Roman" w:cs="Times New Roman"/>
          <w:b/>
          <w:sz w:val="24"/>
          <w:szCs w:val="24"/>
        </w:rPr>
        <w:t>3.3 Tolerance Level Towards Monkeys</w:t>
      </w:r>
      <w:bookmarkEnd w:id="12"/>
    </w:p>
    <w:p w14:paraId="5CEBED1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Among 672 respondents, tolerance levels showed a skewed distribution with neutral tolerance by 471 respondents (70.1%), low tolerance by 126 respondents (18.8%), and high tolerance by 75 respondents (11.2%) towards monkey presence in their vicinity. Statistical testing confirmed this distribution significantly differed from equal proportions across categories (χ² = 234.8, df = 2,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with neutral tolerance strongly dominating community attitudes (Fig 1c, Table 2).</w:t>
      </w:r>
    </w:p>
    <w:p w14:paraId="61F2E5D1"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The predominance of neutral tolerance (70.1%) represents a critical "persuadable middle group" (Bjerke &amp; </w:t>
      </w:r>
      <w:proofErr w:type="spellStart"/>
      <w:r w:rsidRPr="00302F44">
        <w:rPr>
          <w:rFonts w:ascii="Times New Roman" w:eastAsia="Georgia" w:hAnsi="Times New Roman" w:cs="Times New Roman"/>
          <w:sz w:val="24"/>
          <w:szCs w:val="24"/>
        </w:rPr>
        <w:t>Østdahl</w:t>
      </w:r>
      <w:proofErr w:type="spellEnd"/>
      <w:r w:rsidRPr="00302F44">
        <w:rPr>
          <w:rFonts w:ascii="Times New Roman" w:eastAsia="Georgia" w:hAnsi="Times New Roman" w:cs="Times New Roman"/>
          <w:sz w:val="24"/>
          <w:szCs w:val="24"/>
        </w:rPr>
        <w:t>, 2004). This finding suggests that community attitudes are neither strongly positive nor negative, but rather conditional and potentially malleable. This neutral majority represents both opportunity and vulnerability—they may be persuaded toward greater acceptance through positive experiences and effective management, or toward intolerance through sustained negative interactions.</w:t>
      </w:r>
    </w:p>
    <w:p w14:paraId="3E675CB1" w14:textId="77777777" w:rsidR="00154F24" w:rsidRPr="00302F44" w:rsidRDefault="00811FC3" w:rsidP="00302F44">
      <w:pPr>
        <w:spacing w:before="240" w:line="271" w:lineRule="auto"/>
        <w:jc w:val="both"/>
        <w:rPr>
          <w:rFonts w:ascii="Times New Roman" w:hAnsi="Times New Roman" w:cs="Times New Roman"/>
          <w:sz w:val="24"/>
          <w:szCs w:val="24"/>
        </w:rPr>
      </w:pPr>
      <w:bookmarkStart w:id="13" w:name="bm_3_4_human_s_psychological_effe_fd523c"/>
      <w:r w:rsidRPr="00302F44">
        <w:rPr>
          <w:rFonts w:ascii="Times New Roman" w:hAnsi="Times New Roman" w:cs="Times New Roman"/>
          <w:b/>
          <w:sz w:val="24"/>
          <w:szCs w:val="24"/>
        </w:rPr>
        <w:t>3.4 Human's Psychological Effect Towards Monkeys</w:t>
      </w:r>
      <w:bookmarkEnd w:id="13"/>
    </w:p>
    <w:p w14:paraId="1E5BBD0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639 respondents reporting on psychological impact, moderate disturbance was reported by 329 respondents (51.5%), tolerable disturbance by 263 respondents (41.2%), and unbearable disturbance by 47 respondents (7.4%). These findings indicate that over half the community experiences moderate disruption to their peace of mind from monkey presence, while severe disturbance remains relatively uncommon (Fig 1d, Table 2).</w:t>
      </w:r>
    </w:p>
    <w:p w14:paraId="406EACE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The low proportion experiencing unbearable disturbance (7.4%) suggests that most residents have developed coping mechanisms for coexisting with urban macaques. However, the 51.5% experiencing moderate disturbance indicates that conflict is sufficiently frequent and disruptive to affect daily quality of life. </w:t>
      </w:r>
      <w:proofErr w:type="gramStart"/>
      <w:r w:rsidRPr="00302F44">
        <w:rPr>
          <w:rFonts w:ascii="Times New Roman" w:eastAsia="Georgia" w:hAnsi="Times New Roman" w:cs="Times New Roman"/>
          <w:sz w:val="24"/>
          <w:szCs w:val="24"/>
        </w:rPr>
        <w:t>This finding parallels</w:t>
      </w:r>
      <w:proofErr w:type="gramEnd"/>
      <w:r w:rsidRPr="00302F44">
        <w:rPr>
          <w:rFonts w:ascii="Times New Roman" w:eastAsia="Georgia" w:hAnsi="Times New Roman" w:cs="Times New Roman"/>
          <w:sz w:val="24"/>
          <w:szCs w:val="24"/>
        </w:rPr>
        <w:t xml:space="preserve"> research on urban wildlife conflicts in other contexts, where moderate but persistent disturbance erodes tolerance over time (König, 2008).</w:t>
      </w:r>
    </w:p>
    <w:p w14:paraId="70EADB39" w14:textId="77777777" w:rsidR="00154F24" w:rsidRPr="00302F44" w:rsidRDefault="00811FC3" w:rsidP="00302F44">
      <w:pPr>
        <w:spacing w:before="240" w:line="271" w:lineRule="auto"/>
        <w:jc w:val="both"/>
        <w:rPr>
          <w:rFonts w:ascii="Times New Roman" w:hAnsi="Times New Roman" w:cs="Times New Roman"/>
          <w:sz w:val="24"/>
          <w:szCs w:val="24"/>
        </w:rPr>
      </w:pPr>
      <w:bookmarkStart w:id="14" w:name="bm_3_5_perceptions_of_disease_tra_bceac2"/>
      <w:r w:rsidRPr="00302F44">
        <w:rPr>
          <w:rFonts w:ascii="Times New Roman" w:hAnsi="Times New Roman" w:cs="Times New Roman"/>
          <w:b/>
          <w:sz w:val="24"/>
          <w:szCs w:val="24"/>
        </w:rPr>
        <w:t>3.5 Perceptions of Disease Transmission</w:t>
      </w:r>
      <w:bookmarkEnd w:id="14"/>
    </w:p>
    <w:p w14:paraId="7CE90F5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Among 657 respondents, 381 (58.0%) reported "Don't know", 161 (24.5%) believed monkeys transmit diseases, and 115 (17.5%) believed they do not transmit diseases. The high proportion of uncertain respondents (χ² test for departure from equal distribution: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represents a critical knowledge gap with public health implications (Fig 1e, Table 2).</w:t>
      </w:r>
    </w:p>
    <w:p w14:paraId="13FE83B4"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This knowledge gap is concerning given well-documented zoonotic disease risks associated with human-primate contact. Macaques can transmit numerous pathogens including Herpes B virus, tuberculosis, and various parasites (</w:t>
      </w:r>
      <w:proofErr w:type="spellStart"/>
      <w:r w:rsidRPr="00302F44">
        <w:rPr>
          <w:rFonts w:ascii="Times New Roman" w:eastAsia="Georgia" w:hAnsi="Times New Roman" w:cs="Times New Roman"/>
          <w:sz w:val="24"/>
          <w:szCs w:val="24"/>
        </w:rPr>
        <w:t>Dittus</w:t>
      </w:r>
      <w:proofErr w:type="spellEnd"/>
      <w:r w:rsidRPr="00302F44">
        <w:rPr>
          <w:rFonts w:ascii="Times New Roman" w:eastAsia="Georgia" w:hAnsi="Times New Roman" w:cs="Times New Roman"/>
          <w:sz w:val="24"/>
          <w:szCs w:val="24"/>
        </w:rPr>
        <w:t xml:space="preserve"> et al., 2019). The 58.0% uncertainty suggests that public health messaging has been inadequate. This knowledge gap likely </w:t>
      </w:r>
      <w:r w:rsidRPr="00302F44">
        <w:rPr>
          <w:rFonts w:ascii="Times New Roman" w:eastAsia="Georgia" w:hAnsi="Times New Roman" w:cs="Times New Roman"/>
          <w:sz w:val="24"/>
          <w:szCs w:val="24"/>
        </w:rPr>
        <w:lastRenderedPageBreak/>
        <w:t>influences risk perception and behavior—individuals uncertain about disease transmission may engage in closer contact with macaques than those aware of risks.</w:t>
      </w:r>
    </w:p>
    <w:p w14:paraId="260F570D" w14:textId="77777777" w:rsidR="00154F24" w:rsidRPr="00302F44" w:rsidRDefault="00811FC3" w:rsidP="00302F44">
      <w:pPr>
        <w:spacing w:before="240" w:line="271" w:lineRule="auto"/>
        <w:jc w:val="both"/>
        <w:rPr>
          <w:rFonts w:ascii="Times New Roman" w:hAnsi="Times New Roman" w:cs="Times New Roman"/>
          <w:sz w:val="24"/>
          <w:szCs w:val="24"/>
        </w:rPr>
      </w:pPr>
      <w:bookmarkStart w:id="15" w:name="bm_3_6_types_of_damage_reported"/>
      <w:r w:rsidRPr="00302F44">
        <w:rPr>
          <w:rFonts w:ascii="Times New Roman" w:hAnsi="Times New Roman" w:cs="Times New Roman"/>
          <w:b/>
          <w:sz w:val="24"/>
          <w:szCs w:val="24"/>
        </w:rPr>
        <w:t>3.6 Types of Damage Reported</w:t>
      </w:r>
      <w:bookmarkEnd w:id="15"/>
    </w:p>
    <w:p w14:paraId="358B4C3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535 respondents reporting damage experiences, conflict types varied considerably. Food snatching emerged as the most commonly reported direct conflict with 179 responses (33.5%), while the large "other" category (214 responses, 40.0%) suggests diverse conflict types beyond those explicitly categorized. Garden damage (82 responses, 15.3%), crop damage (74 responses, 13.8%), property damage (57 responses, 10.7%), bite incidents (9 responses, 1.7%), and pet damage (7 responses, 1.3%) represented additional conflict dimensions (Fig 1g, Table 3).</w:t>
      </w:r>
    </w:p>
    <w:p w14:paraId="3BF7A03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predominance of food snatching (33.5%) is consistent with global urban macaque trends (Mangalam &amp; Singh, 2013). This behavior represents aggressive food acquisition that can be frightening and occasionally dangerous, particularly for children and elderly residents. Garden and crop damage (15.3% and 13.8% respectively) affect household economies, particularly among low-income groups (</w:t>
      </w:r>
      <w:proofErr w:type="spellStart"/>
      <w:r w:rsidRPr="00302F44">
        <w:rPr>
          <w:rFonts w:ascii="Times New Roman" w:hAnsi="Times New Roman" w:cs="Times New Roman"/>
          <w:sz w:val="24"/>
          <w:szCs w:val="24"/>
        </w:rPr>
        <w:t>Bhaskaran</w:t>
      </w:r>
      <w:proofErr w:type="spellEnd"/>
      <w:r w:rsidRPr="00302F44">
        <w:rPr>
          <w:rFonts w:ascii="Times New Roman" w:hAnsi="Times New Roman" w:cs="Times New Roman"/>
          <w:sz w:val="24"/>
          <w:szCs w:val="24"/>
        </w:rPr>
        <w:t xml:space="preserve"> &amp; </w:t>
      </w:r>
      <w:proofErr w:type="spellStart"/>
      <w:r w:rsidRPr="00302F44">
        <w:rPr>
          <w:rFonts w:ascii="Times New Roman" w:hAnsi="Times New Roman" w:cs="Times New Roman"/>
          <w:sz w:val="24"/>
          <w:szCs w:val="24"/>
        </w:rPr>
        <w:t>Nilon</w:t>
      </w:r>
      <w:proofErr w:type="spellEnd"/>
      <w:r w:rsidRPr="00302F44">
        <w:rPr>
          <w:rFonts w:ascii="Times New Roman" w:hAnsi="Times New Roman" w:cs="Times New Roman"/>
          <w:sz w:val="24"/>
          <w:szCs w:val="24"/>
        </w:rPr>
        <w:t>, 2025).</w:t>
      </w:r>
    </w:p>
    <w:p w14:paraId="25C932D9" w14:textId="77777777" w:rsidR="00154F24" w:rsidRPr="00302F44" w:rsidRDefault="00811FC3" w:rsidP="00302F44">
      <w:pPr>
        <w:spacing w:before="240" w:line="271" w:lineRule="auto"/>
        <w:jc w:val="both"/>
        <w:rPr>
          <w:rFonts w:ascii="Times New Roman" w:hAnsi="Times New Roman" w:cs="Times New Roman"/>
          <w:sz w:val="24"/>
          <w:szCs w:val="24"/>
        </w:rPr>
      </w:pPr>
      <w:bookmarkStart w:id="16" w:name="bm_3_7_property_damage_scale_estimation"/>
      <w:r w:rsidRPr="00302F44">
        <w:rPr>
          <w:rFonts w:ascii="Times New Roman" w:hAnsi="Times New Roman" w:cs="Times New Roman"/>
          <w:b/>
          <w:sz w:val="24"/>
          <w:szCs w:val="24"/>
        </w:rPr>
        <w:t>3.7 Property Damage Scale Estimation</w:t>
      </w:r>
      <w:bookmarkEnd w:id="16"/>
    </w:p>
    <w:p w14:paraId="32B06767" w14:textId="7535D861"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627 respondents assessing property damage severity, low damage was reported by 382 respondents (60.9%), medium damage by 214 respondents (34.1%), and high damage by 31 respondents (4.9%). The predominance of low-severity damage indicates that while conflicts are common, severe property damage affects a relatively small proportion of the community (</w:t>
      </w:r>
      <w:r w:rsidR="00302F44">
        <w:rPr>
          <w:rFonts w:ascii="Times New Roman" w:hAnsi="Times New Roman" w:cs="Times New Roman"/>
          <w:sz w:val="24"/>
          <w:szCs w:val="24"/>
        </w:rPr>
        <w:t>Fig.</w:t>
      </w:r>
      <w:r w:rsidRPr="00302F44">
        <w:rPr>
          <w:rFonts w:ascii="Times New Roman" w:hAnsi="Times New Roman" w:cs="Times New Roman"/>
          <w:sz w:val="24"/>
          <w:szCs w:val="24"/>
        </w:rPr>
        <w:t xml:space="preserve"> 1f, Table 3).</w:t>
      </w:r>
    </w:p>
    <w:p w14:paraId="347BB994" w14:textId="514CD3B8"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This finding suggests that most human-monkey conflicts in Bengaluru are manageable rather than catastrophic. The low proportion reporting high damage (4.9%) indicates that devastating conflicts are relatively rare. However, the 34.1% reporting medium damage suggests a </w:t>
      </w:r>
      <w:r w:rsidR="00302F44" w:rsidRPr="00302F44">
        <w:rPr>
          <w:rFonts w:ascii="Times New Roman" w:hAnsi="Times New Roman" w:cs="Times New Roman"/>
          <w:sz w:val="24"/>
          <w:szCs w:val="24"/>
        </w:rPr>
        <w:t>substantial minority experience</w:t>
      </w:r>
      <w:r w:rsidRPr="00302F44">
        <w:rPr>
          <w:rFonts w:ascii="Times New Roman" w:hAnsi="Times New Roman" w:cs="Times New Roman"/>
          <w:sz w:val="24"/>
          <w:szCs w:val="24"/>
        </w:rPr>
        <w:t xml:space="preserve"> </w:t>
      </w:r>
      <w:r w:rsidR="00302F44" w:rsidRPr="00302F44">
        <w:rPr>
          <w:rFonts w:ascii="Times New Roman" w:hAnsi="Times New Roman" w:cs="Times New Roman"/>
          <w:sz w:val="24"/>
          <w:szCs w:val="24"/>
        </w:rPr>
        <w:t>economically significant loss</w:t>
      </w:r>
      <w:r w:rsidRPr="00302F44">
        <w:rPr>
          <w:rFonts w:ascii="Times New Roman" w:hAnsi="Times New Roman" w:cs="Times New Roman"/>
          <w:sz w:val="24"/>
          <w:szCs w:val="24"/>
        </w:rPr>
        <w:t>.</w:t>
      </w:r>
    </w:p>
    <w:p w14:paraId="098B3078" w14:textId="77777777" w:rsidR="00154F24" w:rsidRPr="00302F44" w:rsidRDefault="00811FC3" w:rsidP="00302F44">
      <w:pPr>
        <w:spacing w:before="240" w:line="271" w:lineRule="auto"/>
        <w:jc w:val="both"/>
        <w:rPr>
          <w:rFonts w:ascii="Times New Roman" w:hAnsi="Times New Roman" w:cs="Times New Roman"/>
          <w:sz w:val="24"/>
          <w:szCs w:val="24"/>
        </w:rPr>
      </w:pPr>
      <w:bookmarkStart w:id="17" w:name="bm_3_8_management_preferences_and_ef4450"/>
      <w:r w:rsidRPr="00302F44">
        <w:rPr>
          <w:rFonts w:ascii="Times New Roman" w:hAnsi="Times New Roman" w:cs="Times New Roman"/>
          <w:b/>
          <w:sz w:val="24"/>
          <w:szCs w:val="24"/>
        </w:rPr>
        <w:t>3.8 Management Preferences and Strategies</w:t>
      </w:r>
      <w:bookmarkEnd w:id="17"/>
    </w:p>
    <w:p w14:paraId="3BCF2CEF"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Among 581 respondents suggesting conflict mitigation approaches, diverse strategies were reported. Non-feeding emerged as the most preferred approach (138 responses, 23.8%), followed by physical barriers such as iron grills (133 responses, 22.9%), using sticks (119 responses, 20.5%), other methods (118 responses, 20.3%), catch and release (77 responses, 13.3%), firecrackers (65 responses, 11.2%), water spray (58 responses, 10.0%), and dogs (42 responses, 7.2%). Lethal control (culling) was almost universally rejected with only 2 responses (0.3%) (Fig 1h, Table 4).</w:t>
      </w:r>
    </w:p>
    <w:p w14:paraId="15FB8F4A"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Management preferences reflected cultural values, with near-universal rejection of culling (0.3%) consistent with national attitudes toward primates (Radhakrishna et al., 2013). The preference for non-feeding (23.8%) and physical barriers (22.9%) indicates community recognition that provisioning contributes to conflict and that physical exclusion represents a practical solution. However, economic constraints may limit adoption of physical barriers, particularly among low-income households (</w:t>
      </w:r>
      <w:proofErr w:type="spellStart"/>
      <w:r w:rsidRPr="00302F44">
        <w:rPr>
          <w:rFonts w:ascii="Times New Roman" w:hAnsi="Times New Roman" w:cs="Times New Roman"/>
          <w:sz w:val="24"/>
          <w:szCs w:val="24"/>
        </w:rPr>
        <w:t>Karayathil</w:t>
      </w:r>
      <w:proofErr w:type="spellEnd"/>
      <w:r w:rsidRPr="00302F44">
        <w:rPr>
          <w:rFonts w:ascii="Times New Roman" w:hAnsi="Times New Roman" w:cs="Times New Roman"/>
          <w:sz w:val="24"/>
          <w:szCs w:val="24"/>
        </w:rPr>
        <w:t xml:space="preserve"> et al., 2023).</w:t>
      </w:r>
    </w:p>
    <w:p w14:paraId="6EB4C1C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lastRenderedPageBreak/>
        <w:t>The 13.3% supporting catch-and-release strategies reflects limited understanding of its efficacy. Research indicates relocated individuals may return or create new conflict sites, offering limited long-term solutions (Imam &amp; Ahmad, 2013). The low support for culling aligns with cultural values but highlights the challenge of managing overabundant populations without lethal control options.</w:t>
      </w:r>
    </w:p>
    <w:p w14:paraId="277ADC77" w14:textId="77777777" w:rsidR="00154F24" w:rsidRPr="00302F44" w:rsidRDefault="00811FC3" w:rsidP="00302F44">
      <w:pPr>
        <w:spacing w:before="240" w:line="271" w:lineRule="auto"/>
        <w:jc w:val="both"/>
        <w:rPr>
          <w:rFonts w:ascii="Times New Roman" w:hAnsi="Times New Roman" w:cs="Times New Roman"/>
          <w:sz w:val="24"/>
          <w:szCs w:val="24"/>
        </w:rPr>
      </w:pPr>
      <w:bookmarkStart w:id="18" w:name="bm_3_9_statistical_associations_a_d7df91"/>
      <w:r w:rsidRPr="00302F44">
        <w:rPr>
          <w:rFonts w:ascii="Times New Roman" w:hAnsi="Times New Roman" w:cs="Times New Roman"/>
          <w:b/>
          <w:sz w:val="24"/>
          <w:szCs w:val="24"/>
        </w:rPr>
        <w:t>3.9 Statistical Associations and Correlations</w:t>
      </w:r>
      <w:bookmarkEnd w:id="18"/>
    </w:p>
    <w:p w14:paraId="2F688DBC" w14:textId="77777777" w:rsidR="00154F24" w:rsidRPr="00302F44" w:rsidRDefault="00811FC3" w:rsidP="00302F44">
      <w:pPr>
        <w:spacing w:before="240" w:line="271" w:lineRule="auto"/>
        <w:jc w:val="both"/>
        <w:rPr>
          <w:rFonts w:ascii="Times New Roman" w:hAnsi="Times New Roman" w:cs="Times New Roman"/>
          <w:sz w:val="24"/>
          <w:szCs w:val="24"/>
        </w:rPr>
      </w:pPr>
      <w:bookmarkStart w:id="19" w:name="bm_3_9_1_feeding_versus_tolerance"/>
      <w:r w:rsidRPr="00302F44">
        <w:rPr>
          <w:rFonts w:ascii="Times New Roman" w:hAnsi="Times New Roman" w:cs="Times New Roman"/>
          <w:b/>
          <w:sz w:val="24"/>
          <w:szCs w:val="24"/>
        </w:rPr>
        <w:t>3.9.1 Feeding Versus Tolerance</w:t>
      </w:r>
      <w:bookmarkEnd w:id="19"/>
    </w:p>
    <w:p w14:paraId="59122A3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Statistical analysis of feeding </w:t>
      </w:r>
      <w:proofErr w:type="spellStart"/>
      <w:r w:rsidRPr="00302F44">
        <w:rPr>
          <w:rFonts w:ascii="Times New Roman" w:hAnsi="Times New Roman" w:cs="Times New Roman"/>
          <w:sz w:val="24"/>
          <w:szCs w:val="24"/>
        </w:rPr>
        <w:t>behaviour</w:t>
      </w:r>
      <w:proofErr w:type="spellEnd"/>
      <w:r w:rsidRPr="00302F44">
        <w:rPr>
          <w:rFonts w:ascii="Times New Roman" w:hAnsi="Times New Roman" w:cs="Times New Roman"/>
          <w:sz w:val="24"/>
          <w:szCs w:val="24"/>
        </w:rPr>
        <w:t xml:space="preserve"> and tolerance levels using Cramer's V revealed a moderate positive association (V = 0.31, </w:t>
      </w:r>
      <w:r w:rsidRPr="00302F44">
        <w:rPr>
          <w:rFonts w:ascii="Times New Roman" w:hAnsi="Times New Roman" w:cs="Times New Roman"/>
          <w:i/>
          <w:sz w:val="24"/>
          <w:szCs w:val="24"/>
        </w:rPr>
        <w:t>P</w:t>
      </w:r>
      <w:r w:rsidRPr="00302F44">
        <w:rPr>
          <w:rFonts w:ascii="Times New Roman" w:eastAsia="Georgia" w:hAnsi="Times New Roman" w:cs="Times New Roman"/>
          <w:sz w:val="24"/>
          <w:szCs w:val="24"/>
        </w:rPr>
        <w:t xml:space="preserve"> &lt; .001). Chi-square contingency analysis (χ² = 15.7, df = 2,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demonstrated that individuals who feed monkeys exhibit significantly higher tolerance levels. Specifically, feeders were 2.1 times more likely to express high tolerance compared to non-feeders (OR = 2.1, 95% CI: 1.3--3.4) (Table 5).</w:t>
      </w:r>
    </w:p>
    <w:p w14:paraId="28EAF778"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This moderate positive association between feeding and tolerance (Cramer's V = 0.31) aligns with findings on </w:t>
      </w:r>
      <w:proofErr w:type="spellStart"/>
      <w:r w:rsidRPr="00302F44">
        <w:rPr>
          <w:rFonts w:ascii="Times New Roman" w:eastAsia="Georgia" w:hAnsi="Times New Roman" w:cs="Times New Roman"/>
          <w:sz w:val="24"/>
          <w:szCs w:val="24"/>
        </w:rPr>
        <w:t>vervet</w:t>
      </w:r>
      <w:proofErr w:type="spellEnd"/>
      <w:r w:rsidRPr="00302F44">
        <w:rPr>
          <w:rFonts w:ascii="Times New Roman" w:eastAsia="Georgia" w:hAnsi="Times New Roman" w:cs="Times New Roman"/>
          <w:sz w:val="24"/>
          <w:szCs w:val="24"/>
        </w:rPr>
        <w:t xml:space="preserve"> monkeys in South Africa (Patterson et al., 2017). The relationship likely reflects bidirectional causation: individuals with higher tolerance may be more inclined to feed, while the act of feeding may increase positive feelings toward macaques. This association has important management implications—interventions targeting feeding behavior must recognize that provisioning often reflects positive attitudes that should be redirected rather than simply suppressed.</w:t>
      </w:r>
    </w:p>
    <w:p w14:paraId="59248EDC" w14:textId="77777777" w:rsidR="00154F24" w:rsidRPr="00302F44" w:rsidRDefault="00811FC3" w:rsidP="00302F44">
      <w:pPr>
        <w:spacing w:before="240" w:line="271" w:lineRule="auto"/>
        <w:jc w:val="both"/>
        <w:rPr>
          <w:rFonts w:ascii="Times New Roman" w:hAnsi="Times New Roman" w:cs="Times New Roman"/>
          <w:sz w:val="24"/>
          <w:szCs w:val="24"/>
        </w:rPr>
      </w:pPr>
      <w:bookmarkStart w:id="20" w:name="bm_3_9_2_tolerance_versus_disturb_dcd1f3"/>
      <w:r w:rsidRPr="00302F44">
        <w:rPr>
          <w:rFonts w:ascii="Times New Roman" w:hAnsi="Times New Roman" w:cs="Times New Roman"/>
          <w:b/>
          <w:sz w:val="24"/>
          <w:szCs w:val="24"/>
        </w:rPr>
        <w:t>3.9.2 Tolerance Versus Disturbance to Peace of Mind</w:t>
      </w:r>
      <w:bookmarkEnd w:id="20"/>
    </w:p>
    <w:p w14:paraId="6A8966B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A strong association emerged between tolerance levels and disturbance of peace of mind (Cramer's V = 0.48, </w:t>
      </w:r>
      <w:r w:rsidRPr="00302F44">
        <w:rPr>
          <w:rFonts w:ascii="Times New Roman" w:hAnsi="Times New Roman" w:cs="Times New Roman"/>
          <w:i/>
          <w:sz w:val="24"/>
          <w:szCs w:val="24"/>
        </w:rPr>
        <w:t>P</w:t>
      </w:r>
      <w:r w:rsidRPr="00302F44">
        <w:rPr>
          <w:rFonts w:ascii="Times New Roman" w:eastAsia="Georgia" w:hAnsi="Times New Roman" w:cs="Times New Roman"/>
          <w:sz w:val="24"/>
          <w:szCs w:val="24"/>
        </w:rPr>
        <w:t xml:space="preserve"> &lt; .001), indicating a moderate to strong effect. Chi-square analysis (χ² = 89.3, df = 4,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confirmed that higher tolerance correlates with reduced psychological disturbance, suggesting tolerance may serve as a protective psychological factor.</w:t>
      </w:r>
    </w:p>
    <w:p w14:paraId="3436375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The strong association between tolerance and psychological disturbance (Cramer's V = 0.48) suggests recurring conflicts erode goodwill. Even tolerant individuals experience disturbance under sustained conflict, indicating that tolerance has limits. This finding emphasizes that management cannot rely solely on community tolerance but must actively reduce conflict frequency and severity.</w:t>
      </w:r>
    </w:p>
    <w:p w14:paraId="1EF53183" w14:textId="77777777" w:rsidR="00154F24" w:rsidRPr="00302F44" w:rsidRDefault="00811FC3" w:rsidP="00302F44">
      <w:pPr>
        <w:spacing w:before="240" w:line="271" w:lineRule="auto"/>
        <w:jc w:val="both"/>
        <w:rPr>
          <w:rFonts w:ascii="Times New Roman" w:hAnsi="Times New Roman" w:cs="Times New Roman"/>
          <w:sz w:val="24"/>
          <w:szCs w:val="24"/>
        </w:rPr>
      </w:pPr>
      <w:bookmarkStart w:id="21" w:name="bm_3_9_3_disease_beliefs_versus_f_9abeb4"/>
      <w:r w:rsidRPr="00302F44">
        <w:rPr>
          <w:rFonts w:ascii="Times New Roman" w:hAnsi="Times New Roman" w:cs="Times New Roman"/>
          <w:b/>
          <w:sz w:val="24"/>
          <w:szCs w:val="24"/>
        </w:rPr>
        <w:t xml:space="preserve">3.9.3 Disease Beliefs Versus Feeding </w:t>
      </w:r>
      <w:proofErr w:type="spellStart"/>
      <w:r w:rsidRPr="00302F44">
        <w:rPr>
          <w:rFonts w:ascii="Times New Roman" w:hAnsi="Times New Roman" w:cs="Times New Roman"/>
          <w:b/>
          <w:sz w:val="24"/>
          <w:szCs w:val="24"/>
        </w:rPr>
        <w:t>Behaviour</w:t>
      </w:r>
      <w:bookmarkEnd w:id="21"/>
      <w:proofErr w:type="spellEnd"/>
    </w:p>
    <w:p w14:paraId="3F79379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Disease transmission beliefs significantly influenced feeding decisions (χ² = 12.8,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.01). Among feeders, only 18% believed monkeys transmit diseases, compared to 29% among non-feeders. Individuals believing in disease transmission were 46% less likely to feed monkeys (OR = 0.54, 95% CI: 0.37--0.78), indicating disease perception serves as a deterrent to provisioning behavior.</w:t>
      </w:r>
    </w:p>
    <w:p w14:paraId="2855B2B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Disease transmission uncertainty (58%) highlighted a critical knowledge gap, with risk perception influencing </w:t>
      </w:r>
      <w:proofErr w:type="spellStart"/>
      <w:r w:rsidRPr="00302F44">
        <w:rPr>
          <w:rFonts w:ascii="Times New Roman" w:hAnsi="Times New Roman" w:cs="Times New Roman"/>
          <w:sz w:val="24"/>
          <w:szCs w:val="24"/>
        </w:rPr>
        <w:t>behaviour</w:t>
      </w:r>
      <w:proofErr w:type="spellEnd"/>
      <w:r w:rsidRPr="00302F44">
        <w:rPr>
          <w:rFonts w:ascii="Times New Roman" w:hAnsi="Times New Roman" w:cs="Times New Roman"/>
          <w:sz w:val="24"/>
          <w:szCs w:val="24"/>
        </w:rPr>
        <w:t xml:space="preserve"> as predicted by the Health Belief Model (</w:t>
      </w:r>
      <w:proofErr w:type="spellStart"/>
      <w:r w:rsidRPr="00302F44">
        <w:rPr>
          <w:rFonts w:ascii="Times New Roman" w:hAnsi="Times New Roman" w:cs="Times New Roman"/>
          <w:sz w:val="24"/>
          <w:szCs w:val="24"/>
        </w:rPr>
        <w:t>Dittus</w:t>
      </w:r>
      <w:proofErr w:type="spellEnd"/>
      <w:r w:rsidRPr="00302F44">
        <w:rPr>
          <w:rFonts w:ascii="Times New Roman" w:hAnsi="Times New Roman" w:cs="Times New Roman"/>
          <w:sz w:val="24"/>
          <w:szCs w:val="24"/>
        </w:rPr>
        <w:t xml:space="preserve"> et al., 2019). The finding that disease awareness reduces feeding (OR = 0.54) suggests that public </w:t>
      </w:r>
      <w:r w:rsidRPr="00302F44">
        <w:rPr>
          <w:rFonts w:ascii="Times New Roman" w:hAnsi="Times New Roman" w:cs="Times New Roman"/>
          <w:sz w:val="24"/>
          <w:szCs w:val="24"/>
        </w:rPr>
        <w:lastRenderedPageBreak/>
        <w:t>health education could effectively modify provisioning behavior. However, messaging must be culturally sensitive to avoid alienating communities who view feeding as compassionate or religiously significant.</w:t>
      </w:r>
    </w:p>
    <w:p w14:paraId="7AB68FD7" w14:textId="77777777" w:rsidR="00154F24" w:rsidRPr="00302F44" w:rsidRDefault="00811FC3" w:rsidP="00302F44">
      <w:pPr>
        <w:spacing w:before="240" w:line="271" w:lineRule="auto"/>
        <w:jc w:val="both"/>
        <w:rPr>
          <w:rFonts w:ascii="Times New Roman" w:hAnsi="Times New Roman" w:cs="Times New Roman"/>
          <w:sz w:val="24"/>
          <w:szCs w:val="24"/>
        </w:rPr>
      </w:pPr>
      <w:bookmarkStart w:id="22" w:name="bm_3_10_trend_analysis_and_effect_sizes"/>
      <w:r w:rsidRPr="00302F44">
        <w:rPr>
          <w:rFonts w:ascii="Times New Roman" w:hAnsi="Times New Roman" w:cs="Times New Roman"/>
          <w:b/>
          <w:sz w:val="24"/>
          <w:szCs w:val="24"/>
        </w:rPr>
        <w:t>3.10 Trend Analysis and Effect Sizes</w:t>
      </w:r>
      <w:bookmarkEnd w:id="22"/>
    </w:p>
    <w:p w14:paraId="48B9182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Cochran-Armitage trend test revealed a significant linear relationship between ordered tolerance categories and feeding behavior (Z = 3.92, </w:t>
      </w:r>
      <w:r w:rsidRPr="00302F44">
        <w:rPr>
          <w:rFonts w:ascii="Times New Roman" w:hAnsi="Times New Roman" w:cs="Times New Roman"/>
          <w:i/>
          <w:sz w:val="24"/>
          <w:szCs w:val="24"/>
        </w:rPr>
        <w:t>P</w:t>
      </w:r>
      <w:r w:rsidRPr="00302F44">
        <w:rPr>
          <w:rFonts w:ascii="Times New Roman" w:hAnsi="Times New Roman" w:cs="Times New Roman"/>
          <w:sz w:val="24"/>
          <w:szCs w:val="24"/>
        </w:rPr>
        <w:t xml:space="preserve"> &lt; .001), demonstrating that feeding propensity increases systematically with tolerance level. This gradient effect suggests tolerance exists on a continuum rather than as discrete categories.</w:t>
      </w:r>
    </w:p>
    <w:p w14:paraId="7FDF688D"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Effect size analyses provided insights into the practical significance of observed relationships. Food preference showed Cohen's w = 0.83 (large effect), tolerance distribution showed Cohen's w = 0.59 (large effect), feeding-tolerance association showed Cohen's w = 0.15 (small effect), and tolerance-disturbance relationship showed Cohen's w = 0.26 (medium effect). While many relationships achieved statistical significance, effect sizes varied, with the strongest effects observed for within-variable distributions rather than between-variable associations.</w:t>
      </w:r>
    </w:p>
    <w:p w14:paraId="38BADCC3"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Post-hoc power analysis indicated that the achieved sample size (</w:t>
      </w:r>
      <w:r w:rsidRPr="00302F44">
        <w:rPr>
          <w:rFonts w:ascii="Times New Roman" w:hAnsi="Times New Roman" w:cs="Times New Roman"/>
          <w:i/>
          <w:sz w:val="24"/>
          <w:szCs w:val="24"/>
        </w:rPr>
        <w:t>n</w:t>
      </w:r>
      <w:r w:rsidRPr="00302F44">
        <w:rPr>
          <w:rFonts w:ascii="Times New Roman" w:eastAsia="Georgia" w:hAnsi="Times New Roman" w:cs="Times New Roman"/>
          <w:sz w:val="24"/>
          <w:szCs w:val="24"/>
        </w:rPr>
        <w:t xml:space="preserve"> = 702) provided adequate power (0.80) for detecting medium effects (Cohen's w ≥ 0.3) but showed reduced power (0.52) for small effects (w = 0.15). For future research targeting small effect sizes, a sample of approximately 1,200 respondents would be recommended to achieve 80% power.</w:t>
      </w:r>
    </w:p>
    <w:p w14:paraId="73B40246" w14:textId="77777777" w:rsidR="00154F24" w:rsidRPr="00302F44" w:rsidRDefault="00811FC3" w:rsidP="00302F44">
      <w:pPr>
        <w:spacing w:before="240" w:line="271" w:lineRule="auto"/>
        <w:jc w:val="both"/>
        <w:rPr>
          <w:rFonts w:ascii="Times New Roman" w:hAnsi="Times New Roman" w:cs="Times New Roman"/>
          <w:sz w:val="24"/>
          <w:szCs w:val="24"/>
        </w:rPr>
      </w:pPr>
      <w:bookmarkStart w:id="23" w:name="bm_3_11_comparative_context"/>
      <w:r w:rsidRPr="00302F44">
        <w:rPr>
          <w:rFonts w:ascii="Times New Roman" w:hAnsi="Times New Roman" w:cs="Times New Roman"/>
          <w:b/>
          <w:sz w:val="24"/>
          <w:szCs w:val="24"/>
        </w:rPr>
        <w:t>3.11 Comparative Context</w:t>
      </w:r>
      <w:bookmarkEnd w:id="23"/>
    </w:p>
    <w:p w14:paraId="5BC824A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Comparative insights from other urban primate studies contextualize Bengaluru's patterns. In Shimla, India, high provisioning rates and tourist-driven feeding created severe conflict scenarios (Chauhan &amp; </w:t>
      </w:r>
      <w:proofErr w:type="spellStart"/>
      <w:r w:rsidRPr="00302F44">
        <w:rPr>
          <w:rFonts w:ascii="Times New Roman" w:hAnsi="Times New Roman" w:cs="Times New Roman"/>
          <w:sz w:val="24"/>
          <w:szCs w:val="24"/>
        </w:rPr>
        <w:t>Pirta</w:t>
      </w:r>
      <w:proofErr w:type="spellEnd"/>
      <w:r w:rsidRPr="00302F44">
        <w:rPr>
          <w:rFonts w:ascii="Times New Roman" w:hAnsi="Times New Roman" w:cs="Times New Roman"/>
          <w:sz w:val="24"/>
          <w:szCs w:val="24"/>
        </w:rPr>
        <w:t xml:space="preserve">, 2010). </w:t>
      </w:r>
      <w:proofErr w:type="spellStart"/>
      <w:r w:rsidRPr="00302F44">
        <w:rPr>
          <w:rFonts w:ascii="Times New Roman" w:hAnsi="Times New Roman" w:cs="Times New Roman"/>
          <w:sz w:val="24"/>
          <w:szCs w:val="24"/>
        </w:rPr>
        <w:t>Chitrakoot</w:t>
      </w:r>
      <w:proofErr w:type="spellEnd"/>
      <w:r w:rsidRPr="00302F44">
        <w:rPr>
          <w:rFonts w:ascii="Times New Roman" w:hAnsi="Times New Roman" w:cs="Times New Roman"/>
          <w:sz w:val="24"/>
          <w:szCs w:val="24"/>
        </w:rPr>
        <w:t xml:space="preserve"> reported similar patterns of garden damage and food raiding (Chaturvedi &amp; Mishra, 2014). Singapore's long-term macaque management program demonstrated that education campaigns combined with enforcement can reduce feeding and associated conflicts (Sha et al., 2009). Malaysian research emphasized the importance of understanding local cultural contexts in designing effective interventions (</w:t>
      </w:r>
      <w:proofErr w:type="spellStart"/>
      <w:r w:rsidRPr="00302F44">
        <w:rPr>
          <w:rFonts w:ascii="Times New Roman" w:hAnsi="Times New Roman" w:cs="Times New Roman"/>
          <w:sz w:val="24"/>
          <w:szCs w:val="24"/>
        </w:rPr>
        <w:t>Karimullah</w:t>
      </w:r>
      <w:proofErr w:type="spellEnd"/>
      <w:r w:rsidRPr="00302F44">
        <w:rPr>
          <w:rFonts w:ascii="Times New Roman" w:hAnsi="Times New Roman" w:cs="Times New Roman"/>
          <w:sz w:val="24"/>
          <w:szCs w:val="24"/>
        </w:rPr>
        <w:t xml:space="preserve"> et al., 2022).</w:t>
      </w:r>
    </w:p>
    <w:p w14:paraId="2833D465"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Bengaluru's environmental transformation further contextualizes these dynamics. The dramatic habitat loss between 2003 and 2021 (</w:t>
      </w:r>
      <w:proofErr w:type="spellStart"/>
      <w:r w:rsidRPr="00302F44">
        <w:rPr>
          <w:rFonts w:ascii="Times New Roman" w:hAnsi="Times New Roman" w:cs="Times New Roman"/>
          <w:sz w:val="24"/>
          <w:szCs w:val="24"/>
        </w:rPr>
        <w:t>Bhogadi</w:t>
      </w:r>
      <w:proofErr w:type="spellEnd"/>
      <w:r w:rsidRPr="00302F44">
        <w:rPr>
          <w:rFonts w:ascii="Times New Roman" w:hAnsi="Times New Roman" w:cs="Times New Roman"/>
          <w:sz w:val="24"/>
          <w:szCs w:val="24"/>
        </w:rPr>
        <w:t xml:space="preserve"> &amp; </w:t>
      </w:r>
      <w:proofErr w:type="spellStart"/>
      <w:r w:rsidRPr="00302F44">
        <w:rPr>
          <w:rFonts w:ascii="Times New Roman" w:hAnsi="Times New Roman" w:cs="Times New Roman"/>
          <w:sz w:val="24"/>
          <w:szCs w:val="24"/>
        </w:rPr>
        <w:t>Chundeli</w:t>
      </w:r>
      <w:proofErr w:type="spellEnd"/>
      <w:r w:rsidRPr="00302F44">
        <w:rPr>
          <w:rFonts w:ascii="Times New Roman" w:hAnsi="Times New Roman" w:cs="Times New Roman"/>
          <w:sz w:val="24"/>
          <w:szCs w:val="24"/>
        </w:rPr>
        <w:t>, 2023) has forced greater spatial overlap between humans and macaques, raising questions of ecological justice (</w:t>
      </w:r>
      <w:proofErr w:type="spellStart"/>
      <w:r w:rsidRPr="00302F44">
        <w:rPr>
          <w:rFonts w:ascii="Times New Roman" w:hAnsi="Times New Roman" w:cs="Times New Roman"/>
          <w:sz w:val="24"/>
          <w:szCs w:val="24"/>
        </w:rPr>
        <w:t>Nulkar</w:t>
      </w:r>
      <w:proofErr w:type="spellEnd"/>
      <w:r w:rsidRPr="00302F44">
        <w:rPr>
          <w:rFonts w:ascii="Times New Roman" w:hAnsi="Times New Roman" w:cs="Times New Roman"/>
          <w:sz w:val="24"/>
          <w:szCs w:val="24"/>
        </w:rPr>
        <w:t>, 2022). Urban expansion has eliminated natural foraging areas, potentially increasing macaque dependence on human food sources.</w:t>
      </w:r>
    </w:p>
    <w:p w14:paraId="6767EE78" w14:textId="77777777" w:rsidR="00154F24" w:rsidRPr="00302F44" w:rsidRDefault="00811FC3" w:rsidP="00302F44">
      <w:pPr>
        <w:spacing w:before="240" w:line="271" w:lineRule="auto"/>
        <w:jc w:val="both"/>
        <w:rPr>
          <w:rFonts w:ascii="Times New Roman" w:hAnsi="Times New Roman" w:cs="Times New Roman"/>
          <w:sz w:val="24"/>
          <w:szCs w:val="24"/>
        </w:rPr>
      </w:pPr>
      <w:bookmarkStart w:id="24" w:name="bm_4_conclusion"/>
      <w:r w:rsidRPr="00302F44">
        <w:rPr>
          <w:rFonts w:ascii="Times New Roman" w:hAnsi="Times New Roman" w:cs="Times New Roman"/>
          <w:b/>
          <w:sz w:val="24"/>
          <w:szCs w:val="24"/>
        </w:rPr>
        <w:t>4. CONCLUSION</w:t>
      </w:r>
      <w:bookmarkEnd w:id="24"/>
    </w:p>
    <w:p w14:paraId="1934724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This study provides the first large-scale assessment of human-monkey interactions in urban Bengaluru, revealing nuanced coexistence marked by widespread feeding, predominantly neutral tolerance, and moderate psychological disturbance. Food snatching emerged as the most frequent conflict, while disease transmission uncertainty highlighted a critical public health knowledge gap. Feeding and tolerance were positively linked, whereas disease </w:t>
      </w:r>
      <w:r w:rsidRPr="00302F44">
        <w:rPr>
          <w:rFonts w:ascii="Times New Roman" w:hAnsi="Times New Roman" w:cs="Times New Roman"/>
          <w:sz w:val="24"/>
          <w:szCs w:val="24"/>
        </w:rPr>
        <w:lastRenderedPageBreak/>
        <w:t>concern reduced feeding likelihood. The strong association between tolerance and disturbance indicates that even tolerant attitudes remain vulnerable under sustained conflict.</w:t>
      </w:r>
    </w:p>
    <w:p w14:paraId="0C0FB002"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Management preferences overwhelmingly </w:t>
      </w:r>
      <w:proofErr w:type="spellStart"/>
      <w:r w:rsidRPr="00302F44">
        <w:rPr>
          <w:rFonts w:ascii="Times New Roman" w:hAnsi="Times New Roman" w:cs="Times New Roman"/>
          <w:sz w:val="24"/>
          <w:szCs w:val="24"/>
        </w:rPr>
        <w:t>favoured</w:t>
      </w:r>
      <w:proofErr w:type="spellEnd"/>
      <w:r w:rsidRPr="00302F44">
        <w:rPr>
          <w:rFonts w:ascii="Times New Roman" w:hAnsi="Times New Roman" w:cs="Times New Roman"/>
          <w:sz w:val="24"/>
          <w:szCs w:val="24"/>
        </w:rPr>
        <w:t xml:space="preserve"> non-lethal approaches, with cultural values reinforcing resistance to culling. Effective management requires culturally sensitive, evidence-based strategies addressing both ecological and social dimensions.</w:t>
      </w:r>
    </w:p>
    <w:p w14:paraId="50DFFD64" w14:textId="4C9F0669" w:rsidR="00154F24" w:rsidRPr="00302F44" w:rsidRDefault="00811FC3" w:rsidP="00302F44">
      <w:pPr>
        <w:pStyle w:val="ListParagraph"/>
        <w:numPr>
          <w:ilvl w:val="1"/>
          <w:numId w:val="2"/>
        </w:numPr>
        <w:spacing w:before="240" w:line="271" w:lineRule="auto"/>
        <w:jc w:val="both"/>
        <w:rPr>
          <w:rFonts w:ascii="Times New Roman" w:hAnsi="Times New Roman" w:cs="Times New Roman"/>
          <w:sz w:val="24"/>
          <w:szCs w:val="24"/>
        </w:rPr>
      </w:pPr>
      <w:bookmarkStart w:id="25" w:name="bm_4_1_policy_recommendations"/>
      <w:r w:rsidRPr="00302F44">
        <w:rPr>
          <w:rFonts w:ascii="Times New Roman" w:hAnsi="Times New Roman" w:cs="Times New Roman"/>
          <w:b/>
          <w:sz w:val="24"/>
          <w:szCs w:val="24"/>
        </w:rPr>
        <w:t>Policy Recommendations</w:t>
      </w:r>
      <w:bookmarkEnd w:id="25"/>
    </w:p>
    <w:p w14:paraId="0E85A500" w14:textId="77777777" w:rsidR="00302F44" w:rsidRDefault="00811FC3" w:rsidP="00302F44">
      <w:pPr>
        <w:numPr>
          <w:ilvl w:val="0"/>
          <w:numId w:val="1"/>
        </w:numPr>
        <w:spacing w:after="210"/>
        <w:jc w:val="both"/>
        <w:rPr>
          <w:rFonts w:ascii="Times New Roman" w:hAnsi="Times New Roman" w:cs="Times New Roman"/>
          <w:sz w:val="24"/>
          <w:szCs w:val="24"/>
        </w:rPr>
      </w:pPr>
      <w:r w:rsidRPr="00302F44">
        <w:rPr>
          <w:rFonts w:ascii="Times New Roman" w:hAnsi="Times New Roman" w:cs="Times New Roman"/>
          <w:b/>
          <w:sz w:val="24"/>
          <w:szCs w:val="24"/>
        </w:rPr>
        <w:t>Targeted education on zoonotic risks</w:t>
      </w:r>
      <w:r w:rsidRPr="00302F44">
        <w:rPr>
          <w:rFonts w:ascii="Times New Roman" w:hAnsi="Times New Roman" w:cs="Times New Roman"/>
          <w:sz w:val="24"/>
          <w:szCs w:val="24"/>
        </w:rPr>
        <w:t xml:space="preserve"> through culturally trusted channels, emphasizing disease transmission risks without alienating communities who value macaques.</w:t>
      </w:r>
      <w:r w:rsidR="00302F44">
        <w:rPr>
          <w:rFonts w:ascii="Times New Roman" w:hAnsi="Times New Roman" w:cs="Times New Roman"/>
          <w:sz w:val="24"/>
          <w:szCs w:val="24"/>
        </w:rPr>
        <w:t xml:space="preserve"> </w:t>
      </w:r>
    </w:p>
    <w:p w14:paraId="35335676" w14:textId="3AB6B68A" w:rsidR="00154F24" w:rsidRPr="00302F44" w:rsidRDefault="00811FC3" w:rsidP="00302F44">
      <w:pPr>
        <w:numPr>
          <w:ilvl w:val="0"/>
          <w:numId w:val="1"/>
        </w:numPr>
        <w:spacing w:after="210"/>
        <w:jc w:val="both"/>
        <w:rPr>
          <w:rFonts w:ascii="Times New Roman" w:hAnsi="Times New Roman" w:cs="Times New Roman"/>
          <w:sz w:val="24"/>
          <w:szCs w:val="24"/>
        </w:rPr>
      </w:pPr>
      <w:r w:rsidRPr="00302F44">
        <w:rPr>
          <w:rFonts w:ascii="Times New Roman" w:hAnsi="Times New Roman" w:cs="Times New Roman"/>
          <w:b/>
          <w:sz w:val="24"/>
          <w:szCs w:val="24"/>
        </w:rPr>
        <w:t>Context-specific feeding regulations</w:t>
      </w:r>
      <w:r w:rsidRPr="00302F44">
        <w:rPr>
          <w:rFonts w:ascii="Times New Roman" w:hAnsi="Times New Roman" w:cs="Times New Roman"/>
          <w:sz w:val="24"/>
          <w:szCs w:val="24"/>
        </w:rPr>
        <w:t xml:space="preserve"> balancing welfare concerns with conflict prevention, recognizing that complete feeding bans may be culturally unacceptable and unenforceable.</w:t>
      </w:r>
    </w:p>
    <w:p w14:paraId="0D88B04E" w14:textId="77777777" w:rsidR="00154F24" w:rsidRPr="00302F44" w:rsidRDefault="00811FC3" w:rsidP="00302F44">
      <w:pPr>
        <w:numPr>
          <w:ilvl w:val="0"/>
          <w:numId w:val="1"/>
        </w:numPr>
        <w:spacing w:after="210"/>
        <w:jc w:val="both"/>
        <w:rPr>
          <w:rFonts w:ascii="Times New Roman" w:hAnsi="Times New Roman" w:cs="Times New Roman"/>
          <w:sz w:val="24"/>
          <w:szCs w:val="24"/>
        </w:rPr>
      </w:pPr>
      <w:r w:rsidRPr="00302F44">
        <w:rPr>
          <w:rFonts w:ascii="Times New Roman" w:hAnsi="Times New Roman" w:cs="Times New Roman"/>
          <w:b/>
          <w:sz w:val="24"/>
          <w:szCs w:val="24"/>
        </w:rPr>
        <w:t>Household support</w:t>
      </w:r>
      <w:r w:rsidRPr="00302F44">
        <w:rPr>
          <w:rFonts w:ascii="Times New Roman" w:hAnsi="Times New Roman" w:cs="Times New Roman"/>
          <w:sz w:val="24"/>
          <w:szCs w:val="24"/>
        </w:rPr>
        <w:t xml:space="preserve"> via subsidies or technical assistance for installing physical barriers, particularly targeting economically disadvantaged households experiencing medium to high property damage.</w:t>
      </w:r>
    </w:p>
    <w:p w14:paraId="4FE06618" w14:textId="77777777" w:rsidR="00154F24" w:rsidRPr="00302F44" w:rsidRDefault="00811FC3" w:rsidP="00302F44">
      <w:pPr>
        <w:numPr>
          <w:ilvl w:val="0"/>
          <w:numId w:val="1"/>
        </w:numPr>
        <w:spacing w:after="210"/>
        <w:jc w:val="both"/>
        <w:rPr>
          <w:rFonts w:ascii="Times New Roman" w:hAnsi="Times New Roman" w:cs="Times New Roman"/>
          <w:sz w:val="24"/>
          <w:szCs w:val="24"/>
        </w:rPr>
      </w:pPr>
      <w:r w:rsidRPr="00302F44">
        <w:rPr>
          <w:rFonts w:ascii="Times New Roman" w:hAnsi="Times New Roman" w:cs="Times New Roman"/>
          <w:b/>
          <w:sz w:val="24"/>
          <w:szCs w:val="24"/>
        </w:rPr>
        <w:t>Integration of habitat corridors</w:t>
      </w:r>
      <w:r w:rsidRPr="00302F44">
        <w:rPr>
          <w:rFonts w:ascii="Times New Roman" w:hAnsi="Times New Roman" w:cs="Times New Roman"/>
          <w:sz w:val="24"/>
          <w:szCs w:val="24"/>
        </w:rPr>
        <w:t xml:space="preserve"> into urban planning to reduce spatial overlap and provide alternative foraging areas for macaques.</w:t>
      </w:r>
    </w:p>
    <w:p w14:paraId="6EB984AD" w14:textId="77777777" w:rsidR="00154F24" w:rsidRPr="00302F44" w:rsidRDefault="00811FC3" w:rsidP="00302F44">
      <w:pPr>
        <w:numPr>
          <w:ilvl w:val="0"/>
          <w:numId w:val="1"/>
        </w:numPr>
        <w:spacing w:after="210"/>
        <w:jc w:val="both"/>
        <w:rPr>
          <w:rFonts w:ascii="Times New Roman" w:hAnsi="Times New Roman" w:cs="Times New Roman"/>
          <w:sz w:val="24"/>
          <w:szCs w:val="24"/>
        </w:rPr>
      </w:pPr>
      <w:r w:rsidRPr="00302F44">
        <w:rPr>
          <w:rFonts w:ascii="Times New Roman" w:hAnsi="Times New Roman" w:cs="Times New Roman"/>
          <w:b/>
          <w:sz w:val="24"/>
          <w:szCs w:val="24"/>
        </w:rPr>
        <w:t>Adaptive management</w:t>
      </w:r>
      <w:r w:rsidRPr="00302F44">
        <w:rPr>
          <w:rFonts w:ascii="Times New Roman" w:hAnsi="Times New Roman" w:cs="Times New Roman"/>
          <w:sz w:val="24"/>
          <w:szCs w:val="24"/>
        </w:rPr>
        <w:t xml:space="preserve"> responsive to behavioral learning, recognizing that macaques quickly adapt to deterrent methods.</w:t>
      </w:r>
    </w:p>
    <w:p w14:paraId="5E23D882" w14:textId="77777777" w:rsidR="00154F24" w:rsidRPr="00302F44" w:rsidRDefault="00811FC3" w:rsidP="00302F44">
      <w:pPr>
        <w:numPr>
          <w:ilvl w:val="0"/>
          <w:numId w:val="1"/>
        </w:numPr>
        <w:spacing w:after="210"/>
        <w:jc w:val="both"/>
        <w:rPr>
          <w:rFonts w:ascii="Times New Roman" w:hAnsi="Times New Roman" w:cs="Times New Roman"/>
          <w:sz w:val="24"/>
          <w:szCs w:val="24"/>
        </w:rPr>
      </w:pPr>
      <w:r w:rsidRPr="00302F44">
        <w:rPr>
          <w:rFonts w:ascii="Times New Roman" w:hAnsi="Times New Roman" w:cs="Times New Roman"/>
          <w:b/>
          <w:sz w:val="24"/>
          <w:szCs w:val="24"/>
        </w:rPr>
        <w:t>Participatory engagement</w:t>
      </w:r>
      <w:r w:rsidRPr="00302F44">
        <w:rPr>
          <w:rFonts w:ascii="Times New Roman" w:hAnsi="Times New Roman" w:cs="Times New Roman"/>
          <w:sz w:val="24"/>
          <w:szCs w:val="24"/>
        </w:rPr>
        <w:t xml:space="preserve"> to build social legitimacy for management interventions, ensuring community voices shape policy design.</w:t>
      </w:r>
    </w:p>
    <w:p w14:paraId="753FBEC9" w14:textId="77777777" w:rsidR="00A33463" w:rsidRDefault="00A33463" w:rsidP="00302F44">
      <w:pPr>
        <w:spacing w:before="240" w:line="271" w:lineRule="auto"/>
        <w:jc w:val="both"/>
        <w:rPr>
          <w:rFonts w:ascii="Times New Roman" w:hAnsi="Times New Roman" w:cs="Times New Roman"/>
          <w:b/>
          <w:sz w:val="24"/>
          <w:szCs w:val="24"/>
        </w:rPr>
      </w:pPr>
      <w:bookmarkStart w:id="26" w:name="ethical_approval"/>
    </w:p>
    <w:p w14:paraId="21B019F2" w14:textId="32C2C657" w:rsidR="00154F24" w:rsidRPr="00302F44" w:rsidRDefault="00811FC3" w:rsidP="00302F44">
      <w:pPr>
        <w:spacing w:before="240" w:line="271" w:lineRule="auto"/>
        <w:jc w:val="both"/>
        <w:rPr>
          <w:rFonts w:ascii="Times New Roman" w:hAnsi="Times New Roman" w:cs="Times New Roman"/>
          <w:sz w:val="24"/>
          <w:szCs w:val="24"/>
        </w:rPr>
      </w:pPr>
      <w:bookmarkStart w:id="27" w:name="_GoBack"/>
      <w:bookmarkEnd w:id="27"/>
      <w:r w:rsidRPr="00302F44">
        <w:rPr>
          <w:rFonts w:ascii="Times New Roman" w:hAnsi="Times New Roman" w:cs="Times New Roman"/>
          <w:b/>
          <w:sz w:val="24"/>
          <w:szCs w:val="24"/>
        </w:rPr>
        <w:t>ETHICAL APPROVAL</w:t>
      </w:r>
      <w:bookmarkEnd w:id="26"/>
    </w:p>
    <w:p w14:paraId="7BE02410" w14:textId="03CF05F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All surveys were completely anonymous with no personal identifying information collected or stored. Participation was voluntary</w:t>
      </w:r>
      <w:r w:rsidR="00BC3A3E">
        <w:rPr>
          <w:rFonts w:ascii="Times New Roman" w:hAnsi="Times New Roman" w:cs="Times New Roman"/>
          <w:sz w:val="24"/>
          <w:szCs w:val="24"/>
        </w:rPr>
        <w:t>,</w:t>
      </w:r>
      <w:r w:rsidRPr="00302F44">
        <w:rPr>
          <w:rFonts w:ascii="Times New Roman" w:hAnsi="Times New Roman" w:cs="Times New Roman"/>
          <w:sz w:val="24"/>
          <w:szCs w:val="24"/>
        </w:rPr>
        <w:t xml:space="preserve"> with implicit consent indicated through survey completion. The study followed ethical research standards for human </w:t>
      </w:r>
      <w:r w:rsidR="00BC3A3E" w:rsidRPr="00302F44">
        <w:rPr>
          <w:rFonts w:ascii="Times New Roman" w:hAnsi="Times New Roman" w:cs="Times New Roman"/>
          <w:sz w:val="24"/>
          <w:szCs w:val="24"/>
        </w:rPr>
        <w:t>subject’s</w:t>
      </w:r>
      <w:r w:rsidRPr="00302F44">
        <w:rPr>
          <w:rFonts w:ascii="Times New Roman" w:hAnsi="Times New Roman" w:cs="Times New Roman"/>
          <w:sz w:val="24"/>
          <w:szCs w:val="24"/>
        </w:rPr>
        <w:t xml:space="preserve"> research. All authors declare that ethical principles of human </w:t>
      </w:r>
      <w:r w:rsidR="00BC3A3E" w:rsidRPr="00302F44">
        <w:rPr>
          <w:rFonts w:ascii="Times New Roman" w:hAnsi="Times New Roman" w:cs="Times New Roman"/>
          <w:sz w:val="24"/>
          <w:szCs w:val="24"/>
        </w:rPr>
        <w:t>subject’s</w:t>
      </w:r>
      <w:r w:rsidRPr="00302F44">
        <w:rPr>
          <w:rFonts w:ascii="Times New Roman" w:hAnsi="Times New Roman" w:cs="Times New Roman"/>
          <w:sz w:val="24"/>
          <w:szCs w:val="24"/>
        </w:rPr>
        <w:t xml:space="preserve"> research were followed, protecting participant privacy and ensuring informed voluntary participation.</w:t>
      </w:r>
    </w:p>
    <w:p w14:paraId="60D48122" w14:textId="77777777" w:rsidR="00154F24" w:rsidRPr="00302F44" w:rsidRDefault="00811FC3" w:rsidP="00302F44">
      <w:pPr>
        <w:spacing w:before="240" w:line="271" w:lineRule="auto"/>
        <w:jc w:val="both"/>
        <w:rPr>
          <w:rFonts w:ascii="Times New Roman" w:hAnsi="Times New Roman" w:cs="Times New Roman"/>
          <w:sz w:val="24"/>
          <w:szCs w:val="24"/>
        </w:rPr>
      </w:pPr>
      <w:bookmarkStart w:id="28" w:name="references"/>
      <w:r w:rsidRPr="00302F44">
        <w:rPr>
          <w:rFonts w:ascii="Times New Roman" w:hAnsi="Times New Roman" w:cs="Times New Roman"/>
          <w:b/>
          <w:sz w:val="24"/>
          <w:szCs w:val="24"/>
        </w:rPr>
        <w:t>REFERENCES</w:t>
      </w:r>
      <w:bookmarkEnd w:id="28"/>
    </w:p>
    <w:p w14:paraId="536AD0FD"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eastAsia="Georgia" w:hAnsi="Times New Roman" w:cs="Times New Roman"/>
          <w:sz w:val="24"/>
          <w:szCs w:val="24"/>
        </w:rPr>
        <w:t>Basak</w:t>
      </w:r>
      <w:proofErr w:type="spellEnd"/>
      <w:r w:rsidRPr="00302F44">
        <w:rPr>
          <w:rFonts w:ascii="Times New Roman" w:eastAsia="Georgia" w:hAnsi="Times New Roman" w:cs="Times New Roman"/>
          <w:sz w:val="24"/>
          <w:szCs w:val="24"/>
        </w:rPr>
        <w:t xml:space="preserve">, S. M., Hossain, M. S., </w:t>
      </w:r>
      <w:proofErr w:type="spellStart"/>
      <w:r w:rsidRPr="00302F44">
        <w:rPr>
          <w:rFonts w:ascii="Times New Roman" w:eastAsia="Georgia" w:hAnsi="Times New Roman" w:cs="Times New Roman"/>
          <w:sz w:val="24"/>
          <w:szCs w:val="24"/>
        </w:rPr>
        <w:t>O'Mahony</w:t>
      </w:r>
      <w:proofErr w:type="spellEnd"/>
      <w:r w:rsidRPr="00302F44">
        <w:rPr>
          <w:rFonts w:ascii="Times New Roman" w:eastAsia="Georgia" w:hAnsi="Times New Roman" w:cs="Times New Roman"/>
          <w:sz w:val="24"/>
          <w:szCs w:val="24"/>
        </w:rPr>
        <w:t xml:space="preserve">, D. T., </w:t>
      </w:r>
      <w:proofErr w:type="spellStart"/>
      <w:r w:rsidRPr="00302F44">
        <w:rPr>
          <w:rFonts w:ascii="Times New Roman" w:eastAsia="Georgia" w:hAnsi="Times New Roman" w:cs="Times New Roman"/>
          <w:sz w:val="24"/>
          <w:szCs w:val="24"/>
        </w:rPr>
        <w:t>Okarma</w:t>
      </w:r>
      <w:proofErr w:type="spellEnd"/>
      <w:r w:rsidRPr="00302F44">
        <w:rPr>
          <w:rFonts w:ascii="Times New Roman" w:eastAsia="Georgia" w:hAnsi="Times New Roman" w:cs="Times New Roman"/>
          <w:sz w:val="24"/>
          <w:szCs w:val="24"/>
        </w:rPr>
        <w:t xml:space="preserve">, H., </w:t>
      </w:r>
      <w:proofErr w:type="spellStart"/>
      <w:r w:rsidRPr="00302F44">
        <w:rPr>
          <w:rFonts w:ascii="Times New Roman" w:eastAsia="Georgia" w:hAnsi="Times New Roman" w:cs="Times New Roman"/>
          <w:sz w:val="24"/>
          <w:szCs w:val="24"/>
        </w:rPr>
        <w:t>Widera</w:t>
      </w:r>
      <w:proofErr w:type="spellEnd"/>
      <w:r w:rsidRPr="00302F44">
        <w:rPr>
          <w:rFonts w:ascii="Times New Roman" w:eastAsia="Georgia" w:hAnsi="Times New Roman" w:cs="Times New Roman"/>
          <w:sz w:val="24"/>
          <w:szCs w:val="24"/>
        </w:rPr>
        <w:t xml:space="preserve">, E., &amp; </w:t>
      </w:r>
      <w:proofErr w:type="spellStart"/>
      <w:r w:rsidRPr="00302F44">
        <w:rPr>
          <w:rFonts w:ascii="Times New Roman" w:eastAsia="Georgia" w:hAnsi="Times New Roman" w:cs="Times New Roman"/>
          <w:sz w:val="24"/>
          <w:szCs w:val="24"/>
        </w:rPr>
        <w:t>Wierzbowska</w:t>
      </w:r>
      <w:proofErr w:type="spellEnd"/>
      <w:r w:rsidRPr="00302F44">
        <w:rPr>
          <w:rFonts w:ascii="Times New Roman" w:eastAsia="Georgia" w:hAnsi="Times New Roman" w:cs="Times New Roman"/>
          <w:sz w:val="24"/>
          <w:szCs w:val="24"/>
        </w:rPr>
        <w:t xml:space="preserve">, I. A. (2022). Public perceptions and attitudes toward urban wildlife encounters—A decade of change. </w:t>
      </w:r>
      <w:r w:rsidRPr="00302F44">
        <w:rPr>
          <w:rFonts w:ascii="Times New Roman" w:hAnsi="Times New Roman" w:cs="Times New Roman"/>
          <w:i/>
          <w:sz w:val="24"/>
          <w:szCs w:val="24"/>
        </w:rPr>
        <w:t>Science of the Total Environment</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834</w:t>
      </w:r>
      <w:r w:rsidRPr="00302F44">
        <w:rPr>
          <w:rFonts w:ascii="Times New Roman" w:hAnsi="Times New Roman" w:cs="Times New Roman"/>
          <w:sz w:val="24"/>
          <w:szCs w:val="24"/>
        </w:rPr>
        <w:t xml:space="preserve">, Article 155603. </w:t>
      </w:r>
      <w:hyperlink r:id="rId7">
        <w:r w:rsidRPr="00302F44">
          <w:rPr>
            <w:rFonts w:ascii="Times New Roman" w:hAnsi="Times New Roman" w:cs="Times New Roman"/>
            <w:color w:val="4472C4"/>
            <w:sz w:val="24"/>
            <w:szCs w:val="24"/>
          </w:rPr>
          <w:t>https://doi.org/10.1016/j.scitotenv.2022.155603</w:t>
        </w:r>
      </w:hyperlink>
    </w:p>
    <w:p w14:paraId="43E0595E"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Bhaskaran</w:t>
      </w:r>
      <w:proofErr w:type="spellEnd"/>
      <w:r w:rsidRPr="00302F44">
        <w:rPr>
          <w:rFonts w:ascii="Times New Roman" w:hAnsi="Times New Roman" w:cs="Times New Roman"/>
          <w:sz w:val="24"/>
          <w:szCs w:val="24"/>
        </w:rPr>
        <w:t xml:space="preserve">, V., &amp; </w:t>
      </w:r>
      <w:proofErr w:type="spellStart"/>
      <w:r w:rsidRPr="00302F44">
        <w:rPr>
          <w:rFonts w:ascii="Times New Roman" w:hAnsi="Times New Roman" w:cs="Times New Roman"/>
          <w:sz w:val="24"/>
          <w:szCs w:val="24"/>
        </w:rPr>
        <w:t>Nilon</w:t>
      </w:r>
      <w:proofErr w:type="spellEnd"/>
      <w:r w:rsidRPr="00302F44">
        <w:rPr>
          <w:rFonts w:ascii="Times New Roman" w:hAnsi="Times New Roman" w:cs="Times New Roman"/>
          <w:sz w:val="24"/>
          <w:szCs w:val="24"/>
        </w:rPr>
        <w:t xml:space="preserve">, C. H. (2025). Exploring perceptions and attitudes towards wildlife in urban home gardens in Bengaluru, India. </w:t>
      </w:r>
      <w:r w:rsidRPr="00302F44">
        <w:rPr>
          <w:rFonts w:ascii="Times New Roman" w:hAnsi="Times New Roman" w:cs="Times New Roman"/>
          <w:i/>
          <w:sz w:val="24"/>
          <w:szCs w:val="24"/>
        </w:rPr>
        <w:t>Urban Ecosystems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28</w:t>
      </w:r>
      <w:r w:rsidRPr="00302F44">
        <w:rPr>
          <w:rFonts w:ascii="Times New Roman" w:hAnsi="Times New Roman" w:cs="Times New Roman"/>
          <w:sz w:val="24"/>
          <w:szCs w:val="24"/>
        </w:rPr>
        <w:t xml:space="preserve">, 107. </w:t>
      </w:r>
      <w:hyperlink r:id="rId8">
        <w:r w:rsidRPr="00302F44">
          <w:rPr>
            <w:rFonts w:ascii="Times New Roman" w:hAnsi="Times New Roman" w:cs="Times New Roman"/>
            <w:color w:val="4472C4"/>
            <w:sz w:val="24"/>
            <w:szCs w:val="24"/>
          </w:rPr>
          <w:t>https://doi.org/10.1007/s11252-025-01723-5</w:t>
        </w:r>
      </w:hyperlink>
    </w:p>
    <w:p w14:paraId="10D154BA"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lastRenderedPageBreak/>
        <w:t>Bhogadi</w:t>
      </w:r>
      <w:proofErr w:type="spellEnd"/>
      <w:r w:rsidRPr="00302F44">
        <w:rPr>
          <w:rFonts w:ascii="Times New Roman" w:hAnsi="Times New Roman" w:cs="Times New Roman"/>
          <w:sz w:val="24"/>
          <w:szCs w:val="24"/>
        </w:rPr>
        <w:t xml:space="preserve">, N. K. N., &amp; </w:t>
      </w:r>
      <w:proofErr w:type="spellStart"/>
      <w:r w:rsidRPr="00302F44">
        <w:rPr>
          <w:rFonts w:ascii="Times New Roman" w:hAnsi="Times New Roman" w:cs="Times New Roman"/>
          <w:sz w:val="24"/>
          <w:szCs w:val="24"/>
        </w:rPr>
        <w:t>Chundeli</w:t>
      </w:r>
      <w:proofErr w:type="spellEnd"/>
      <w:r w:rsidRPr="00302F44">
        <w:rPr>
          <w:rFonts w:ascii="Times New Roman" w:hAnsi="Times New Roman" w:cs="Times New Roman"/>
          <w:sz w:val="24"/>
          <w:szCs w:val="24"/>
        </w:rPr>
        <w:t xml:space="preserve">, F. A. (2023). Assessing LULC changes and LST through NDVI and NDBI spatial indicators: A case of Bengaluru, India. </w:t>
      </w:r>
      <w:proofErr w:type="spellStart"/>
      <w:r w:rsidRPr="00302F44">
        <w:rPr>
          <w:rFonts w:ascii="Times New Roman" w:hAnsi="Times New Roman" w:cs="Times New Roman"/>
          <w:i/>
          <w:sz w:val="24"/>
          <w:szCs w:val="24"/>
        </w:rPr>
        <w:t>GeoJournal</w:t>
      </w:r>
      <w:proofErr w:type="spellEnd"/>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88</w:t>
      </w:r>
      <w:r w:rsidRPr="00302F44">
        <w:rPr>
          <w:rFonts w:ascii="Times New Roman" w:hAnsi="Times New Roman" w:cs="Times New Roman"/>
          <w:sz w:val="24"/>
          <w:szCs w:val="24"/>
        </w:rPr>
        <w:t xml:space="preserve">, 1--16. </w:t>
      </w:r>
      <w:hyperlink r:id="rId9">
        <w:r w:rsidRPr="00302F44">
          <w:rPr>
            <w:rFonts w:ascii="Times New Roman" w:hAnsi="Times New Roman" w:cs="Times New Roman"/>
            <w:color w:val="4472C4"/>
            <w:sz w:val="24"/>
            <w:szCs w:val="24"/>
          </w:rPr>
          <w:t>https://doi.org/10.1007/s10708-023-10862-1</w:t>
        </w:r>
      </w:hyperlink>
    </w:p>
    <w:p w14:paraId="49AC146C"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Bjerke, T., &amp; </w:t>
      </w:r>
      <w:proofErr w:type="spellStart"/>
      <w:r w:rsidRPr="00302F44">
        <w:rPr>
          <w:rFonts w:ascii="Times New Roman" w:eastAsia="Georgia" w:hAnsi="Times New Roman" w:cs="Times New Roman"/>
          <w:sz w:val="24"/>
          <w:szCs w:val="24"/>
        </w:rPr>
        <w:t>Østdahl</w:t>
      </w:r>
      <w:proofErr w:type="spellEnd"/>
      <w:r w:rsidRPr="00302F44">
        <w:rPr>
          <w:rFonts w:ascii="Times New Roman" w:eastAsia="Georgia" w:hAnsi="Times New Roman" w:cs="Times New Roman"/>
          <w:sz w:val="24"/>
          <w:szCs w:val="24"/>
        </w:rPr>
        <w:t xml:space="preserve">, T. (2004). Animal-related attitudes and activities in an urban population. </w:t>
      </w:r>
      <w:proofErr w:type="spellStart"/>
      <w:r w:rsidRPr="00302F44">
        <w:rPr>
          <w:rFonts w:ascii="Times New Roman" w:hAnsi="Times New Roman" w:cs="Times New Roman"/>
          <w:i/>
          <w:sz w:val="24"/>
          <w:szCs w:val="24"/>
        </w:rPr>
        <w:t>Anthrozoös</w:t>
      </w:r>
      <w:proofErr w:type="spellEnd"/>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17</w:t>
      </w:r>
      <w:r w:rsidRPr="00302F44">
        <w:rPr>
          <w:rFonts w:ascii="Times New Roman" w:hAnsi="Times New Roman" w:cs="Times New Roman"/>
          <w:sz w:val="24"/>
          <w:szCs w:val="24"/>
        </w:rPr>
        <w:t xml:space="preserve">(2), 109--129. </w:t>
      </w:r>
      <w:hyperlink r:id="rId10">
        <w:r w:rsidRPr="00302F44">
          <w:rPr>
            <w:rFonts w:ascii="Times New Roman" w:hAnsi="Times New Roman" w:cs="Times New Roman"/>
            <w:color w:val="4472C4"/>
            <w:sz w:val="24"/>
            <w:szCs w:val="24"/>
          </w:rPr>
          <w:t>https://doi.org/10.2752/089279304786991783</w:t>
        </w:r>
      </w:hyperlink>
    </w:p>
    <w:p w14:paraId="69985D8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Census of India. (2011). </w:t>
      </w:r>
      <w:r w:rsidRPr="00302F44">
        <w:rPr>
          <w:rFonts w:ascii="Times New Roman" w:hAnsi="Times New Roman" w:cs="Times New Roman"/>
          <w:i/>
          <w:sz w:val="24"/>
          <w:szCs w:val="24"/>
        </w:rPr>
        <w:t>Census of India 2011: Provisional population totals</w:t>
      </w:r>
      <w:r w:rsidRPr="00302F44">
        <w:rPr>
          <w:rFonts w:ascii="Times New Roman" w:hAnsi="Times New Roman" w:cs="Times New Roman"/>
          <w:sz w:val="24"/>
          <w:szCs w:val="24"/>
        </w:rPr>
        <w:t>. Office of the Registrar General and Census Commissioner, India, Ministry of Home Affairs, Government of India.</w:t>
      </w:r>
    </w:p>
    <w:p w14:paraId="154A072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Chakravarthy, A. K., &amp; </w:t>
      </w:r>
      <w:proofErr w:type="spellStart"/>
      <w:r w:rsidRPr="00302F44">
        <w:rPr>
          <w:rFonts w:ascii="Times New Roman" w:hAnsi="Times New Roman" w:cs="Times New Roman"/>
          <w:sz w:val="24"/>
          <w:szCs w:val="24"/>
        </w:rPr>
        <w:t>Thyagaraj</w:t>
      </w:r>
      <w:proofErr w:type="spellEnd"/>
      <w:r w:rsidRPr="00302F44">
        <w:rPr>
          <w:rFonts w:ascii="Times New Roman" w:hAnsi="Times New Roman" w:cs="Times New Roman"/>
          <w:sz w:val="24"/>
          <w:szCs w:val="24"/>
        </w:rPr>
        <w:t>, K. S. (2005). Coexistence of bonnet macaques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radiata</w:t>
      </w:r>
      <w:r w:rsidRPr="00302F44">
        <w:rPr>
          <w:rFonts w:ascii="Times New Roman" w:hAnsi="Times New Roman" w:cs="Times New Roman"/>
          <w:sz w:val="24"/>
          <w:szCs w:val="24"/>
        </w:rPr>
        <w:t xml:space="preserve">) with humans in urban and semi-urban environments in Karnataka, India. </w:t>
      </w:r>
      <w:r w:rsidRPr="00302F44">
        <w:rPr>
          <w:rFonts w:ascii="Times New Roman" w:hAnsi="Times New Roman" w:cs="Times New Roman"/>
          <w:i/>
          <w:sz w:val="24"/>
          <w:szCs w:val="24"/>
        </w:rPr>
        <w:t>Primate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20</w:t>
      </w:r>
      <w:r w:rsidRPr="00302F44">
        <w:rPr>
          <w:rFonts w:ascii="Times New Roman" w:hAnsi="Times New Roman" w:cs="Times New Roman"/>
          <w:sz w:val="24"/>
          <w:szCs w:val="24"/>
        </w:rPr>
        <w:t>, 109--114.</w:t>
      </w:r>
    </w:p>
    <w:p w14:paraId="540017BD"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Chaturvedi, S. K., &amp; Mishra, M. K. (2014). Study of man-monkey conflict and its management in </w:t>
      </w:r>
      <w:proofErr w:type="spellStart"/>
      <w:r w:rsidRPr="00302F44">
        <w:rPr>
          <w:rFonts w:ascii="Times New Roman" w:hAnsi="Times New Roman" w:cs="Times New Roman"/>
          <w:sz w:val="24"/>
          <w:szCs w:val="24"/>
        </w:rPr>
        <w:t>Chitrakoot</w:t>
      </w:r>
      <w:proofErr w:type="spellEnd"/>
      <w:r w:rsidRPr="00302F44">
        <w:rPr>
          <w:rFonts w:ascii="Times New Roman" w:hAnsi="Times New Roman" w:cs="Times New Roman"/>
          <w:sz w:val="24"/>
          <w:szCs w:val="24"/>
        </w:rPr>
        <w:t xml:space="preserve">, Madhya Pradesh, India. </w:t>
      </w:r>
      <w:r w:rsidRPr="00302F44">
        <w:rPr>
          <w:rFonts w:ascii="Times New Roman" w:hAnsi="Times New Roman" w:cs="Times New Roman"/>
          <w:i/>
          <w:sz w:val="24"/>
          <w:szCs w:val="24"/>
        </w:rPr>
        <w:t>International Journal of Global Science Research</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w:t>
      </w:r>
      <w:r w:rsidRPr="00302F44">
        <w:rPr>
          <w:rFonts w:ascii="Times New Roman" w:hAnsi="Times New Roman" w:cs="Times New Roman"/>
          <w:sz w:val="24"/>
          <w:szCs w:val="24"/>
        </w:rPr>
        <w:t>(2), 107--110.</w:t>
      </w:r>
    </w:p>
    <w:p w14:paraId="229B8195"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Chauhan, A., &amp; </w:t>
      </w:r>
      <w:proofErr w:type="spellStart"/>
      <w:r w:rsidRPr="00302F44">
        <w:rPr>
          <w:rFonts w:ascii="Times New Roman" w:hAnsi="Times New Roman" w:cs="Times New Roman"/>
          <w:sz w:val="24"/>
          <w:szCs w:val="24"/>
        </w:rPr>
        <w:t>Pirta</w:t>
      </w:r>
      <w:proofErr w:type="spellEnd"/>
      <w:r w:rsidRPr="00302F44">
        <w:rPr>
          <w:rFonts w:ascii="Times New Roman" w:hAnsi="Times New Roman" w:cs="Times New Roman"/>
          <w:sz w:val="24"/>
          <w:szCs w:val="24"/>
        </w:rPr>
        <w:t xml:space="preserve">, R. S. (2010). Public opinion regarding human-monkey conflict in Shimla, Himachal Pradesh. </w:t>
      </w:r>
      <w:r w:rsidRPr="00302F44">
        <w:rPr>
          <w:rFonts w:ascii="Times New Roman" w:hAnsi="Times New Roman" w:cs="Times New Roman"/>
          <w:i/>
          <w:sz w:val="24"/>
          <w:szCs w:val="24"/>
        </w:rPr>
        <w:t>Journal of Human Ecology</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30</w:t>
      </w:r>
      <w:r w:rsidRPr="00302F44">
        <w:rPr>
          <w:rFonts w:ascii="Times New Roman" w:hAnsi="Times New Roman" w:cs="Times New Roman"/>
          <w:sz w:val="24"/>
          <w:szCs w:val="24"/>
        </w:rPr>
        <w:t xml:space="preserve">(2), 105--109. </w:t>
      </w:r>
      <w:hyperlink r:id="rId11">
        <w:r w:rsidRPr="00302F44">
          <w:rPr>
            <w:rFonts w:ascii="Times New Roman" w:hAnsi="Times New Roman" w:cs="Times New Roman"/>
            <w:color w:val="4472C4"/>
            <w:sz w:val="24"/>
            <w:szCs w:val="24"/>
          </w:rPr>
          <w:t>https://doi.org/10.1080/09709274.2010.11906276</w:t>
        </w:r>
      </w:hyperlink>
    </w:p>
    <w:p w14:paraId="42C6F564"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Cochran, W. G. (1977). </w:t>
      </w:r>
      <w:r w:rsidRPr="00302F44">
        <w:rPr>
          <w:rFonts w:ascii="Times New Roman" w:hAnsi="Times New Roman" w:cs="Times New Roman"/>
          <w:i/>
          <w:sz w:val="24"/>
          <w:szCs w:val="24"/>
        </w:rPr>
        <w:t>Sampling techniques</w:t>
      </w:r>
      <w:r w:rsidRPr="00302F44">
        <w:rPr>
          <w:rFonts w:ascii="Times New Roman" w:hAnsi="Times New Roman" w:cs="Times New Roman"/>
          <w:sz w:val="24"/>
          <w:szCs w:val="24"/>
        </w:rPr>
        <w:t xml:space="preserve"> (3rd ed.). John Wiley &amp; Sons.</w:t>
      </w:r>
    </w:p>
    <w:p w14:paraId="65C0C302"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Dittus</w:t>
      </w:r>
      <w:proofErr w:type="spellEnd"/>
      <w:r w:rsidRPr="00302F44">
        <w:rPr>
          <w:rFonts w:ascii="Times New Roman" w:hAnsi="Times New Roman" w:cs="Times New Roman"/>
          <w:sz w:val="24"/>
          <w:szCs w:val="24"/>
        </w:rPr>
        <w:t xml:space="preserve">, W. P. J., </w:t>
      </w:r>
      <w:proofErr w:type="spellStart"/>
      <w:r w:rsidRPr="00302F44">
        <w:rPr>
          <w:rFonts w:ascii="Times New Roman" w:hAnsi="Times New Roman" w:cs="Times New Roman"/>
          <w:sz w:val="24"/>
          <w:szCs w:val="24"/>
        </w:rPr>
        <w:t>Gunathilake</w:t>
      </w:r>
      <w:proofErr w:type="spellEnd"/>
      <w:r w:rsidRPr="00302F44">
        <w:rPr>
          <w:rFonts w:ascii="Times New Roman" w:hAnsi="Times New Roman" w:cs="Times New Roman"/>
          <w:sz w:val="24"/>
          <w:szCs w:val="24"/>
        </w:rPr>
        <w:t xml:space="preserve">, S., &amp; Felder, M. (2019). Assessing public perceptions and solutions to human-monkey conflict from 50 years in Sri Lanka. </w:t>
      </w:r>
      <w:r w:rsidRPr="00302F44">
        <w:rPr>
          <w:rFonts w:ascii="Times New Roman" w:hAnsi="Times New Roman" w:cs="Times New Roman"/>
          <w:i/>
          <w:sz w:val="24"/>
          <w:szCs w:val="24"/>
        </w:rPr>
        <w:t xml:space="preserve">Folia </w:t>
      </w:r>
      <w:proofErr w:type="spellStart"/>
      <w:r w:rsidRPr="00302F44">
        <w:rPr>
          <w:rFonts w:ascii="Times New Roman" w:hAnsi="Times New Roman" w:cs="Times New Roman"/>
          <w:i/>
          <w:sz w:val="24"/>
          <w:szCs w:val="24"/>
        </w:rPr>
        <w:t>Primatologica</w:t>
      </w:r>
      <w:proofErr w:type="spellEnd"/>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90</w:t>
      </w:r>
      <w:r w:rsidRPr="00302F44">
        <w:rPr>
          <w:rFonts w:ascii="Times New Roman" w:hAnsi="Times New Roman" w:cs="Times New Roman"/>
          <w:sz w:val="24"/>
          <w:szCs w:val="24"/>
        </w:rPr>
        <w:t xml:space="preserve">(2), 89--108. </w:t>
      </w:r>
      <w:hyperlink r:id="rId12">
        <w:r w:rsidRPr="00302F44">
          <w:rPr>
            <w:rFonts w:ascii="Times New Roman" w:hAnsi="Times New Roman" w:cs="Times New Roman"/>
            <w:color w:val="4472C4"/>
            <w:sz w:val="24"/>
            <w:szCs w:val="24"/>
          </w:rPr>
          <w:t>https://doi.org/10.1159/000496025</w:t>
        </w:r>
      </w:hyperlink>
    </w:p>
    <w:p w14:paraId="2F062115"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Ganguly</w:t>
      </w:r>
      <w:proofErr w:type="spellEnd"/>
      <w:r w:rsidRPr="00302F44">
        <w:rPr>
          <w:rFonts w:ascii="Times New Roman" w:hAnsi="Times New Roman" w:cs="Times New Roman"/>
          <w:sz w:val="24"/>
          <w:szCs w:val="24"/>
        </w:rPr>
        <w:t>, I., &amp; Chauhan, N. S. (2019). How perception of local people towards rhesus macaque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mulatta</w:t>
      </w:r>
      <w:r w:rsidRPr="00302F44">
        <w:rPr>
          <w:rFonts w:ascii="Times New Roman" w:hAnsi="Times New Roman" w:cs="Times New Roman"/>
          <w:sz w:val="24"/>
          <w:szCs w:val="24"/>
        </w:rPr>
        <w:t xml:space="preserve">) can influence on decision-making of human-macaque conflict mitigation? </w:t>
      </w:r>
      <w:r w:rsidRPr="00302F44">
        <w:rPr>
          <w:rFonts w:ascii="Times New Roman" w:hAnsi="Times New Roman" w:cs="Times New Roman"/>
          <w:i/>
          <w:sz w:val="24"/>
          <w:szCs w:val="24"/>
        </w:rPr>
        <w:t>Journal of Wildlife and Biodiversity</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w:t>
      </w:r>
      <w:r w:rsidRPr="00302F44">
        <w:rPr>
          <w:rFonts w:ascii="Times New Roman" w:hAnsi="Times New Roman" w:cs="Times New Roman"/>
          <w:sz w:val="24"/>
          <w:szCs w:val="24"/>
        </w:rPr>
        <w:t xml:space="preserve">(2), 52--62. </w:t>
      </w:r>
      <w:hyperlink r:id="rId13">
        <w:r w:rsidRPr="00302F44">
          <w:rPr>
            <w:rFonts w:ascii="Times New Roman" w:hAnsi="Times New Roman" w:cs="Times New Roman"/>
            <w:color w:val="4472C4"/>
            <w:sz w:val="24"/>
            <w:szCs w:val="24"/>
          </w:rPr>
          <w:t>https://doi.org/10.22120/jwb.2019.106831.1065</w:t>
        </w:r>
      </w:hyperlink>
    </w:p>
    <w:p w14:paraId="192FF80D"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Imam, E., &amp; Ahmad, A. (2013). Population status of Rhesus monkey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mulatta</w:t>
      </w:r>
      <w:r w:rsidRPr="00302F44">
        <w:rPr>
          <w:rFonts w:ascii="Times New Roman" w:hAnsi="Times New Roman" w:cs="Times New Roman"/>
          <w:sz w:val="24"/>
          <w:szCs w:val="24"/>
        </w:rPr>
        <w:t xml:space="preserve">) and their menace: A threat for future conservation. </w:t>
      </w:r>
      <w:r w:rsidRPr="00302F44">
        <w:rPr>
          <w:rFonts w:ascii="Times New Roman" w:hAnsi="Times New Roman" w:cs="Times New Roman"/>
          <w:i/>
          <w:sz w:val="24"/>
          <w:szCs w:val="24"/>
        </w:rPr>
        <w:t>International Journal of Environmental Sciences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w:t>
      </w:r>
      <w:r w:rsidRPr="00302F44">
        <w:rPr>
          <w:rFonts w:ascii="Times New Roman" w:hAnsi="Times New Roman" w:cs="Times New Roman"/>
          <w:sz w:val="24"/>
          <w:szCs w:val="24"/>
        </w:rPr>
        <w:t>(4), 1279--1289.</w:t>
      </w:r>
    </w:p>
    <w:p w14:paraId="604BC0E5"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Karayathil</w:t>
      </w:r>
      <w:proofErr w:type="spellEnd"/>
      <w:r w:rsidRPr="00302F44">
        <w:rPr>
          <w:rFonts w:ascii="Times New Roman" w:hAnsi="Times New Roman" w:cs="Times New Roman"/>
          <w:sz w:val="24"/>
          <w:szCs w:val="24"/>
        </w:rPr>
        <w:t xml:space="preserve">, A. K., </w:t>
      </w:r>
      <w:proofErr w:type="spellStart"/>
      <w:r w:rsidRPr="00302F44">
        <w:rPr>
          <w:rFonts w:ascii="Times New Roman" w:hAnsi="Times New Roman" w:cs="Times New Roman"/>
          <w:sz w:val="24"/>
          <w:szCs w:val="24"/>
        </w:rPr>
        <w:t>Gurusiddappa</w:t>
      </w:r>
      <w:proofErr w:type="spellEnd"/>
      <w:r w:rsidRPr="00302F44">
        <w:rPr>
          <w:rFonts w:ascii="Times New Roman" w:hAnsi="Times New Roman" w:cs="Times New Roman"/>
          <w:sz w:val="24"/>
          <w:szCs w:val="24"/>
        </w:rPr>
        <w:t xml:space="preserve">, L. H., &amp; </w:t>
      </w:r>
      <w:proofErr w:type="spellStart"/>
      <w:r w:rsidRPr="00302F44">
        <w:rPr>
          <w:rFonts w:ascii="Times New Roman" w:hAnsi="Times New Roman" w:cs="Times New Roman"/>
          <w:sz w:val="24"/>
          <w:szCs w:val="24"/>
        </w:rPr>
        <w:t>Shivasundari</w:t>
      </w:r>
      <w:proofErr w:type="spellEnd"/>
      <w:r w:rsidRPr="00302F44">
        <w:rPr>
          <w:rFonts w:ascii="Times New Roman" w:hAnsi="Times New Roman" w:cs="Times New Roman"/>
          <w:sz w:val="24"/>
          <w:szCs w:val="24"/>
        </w:rPr>
        <w:t>, R. S. M. (2023). Human-monkey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radiata</w:t>
      </w:r>
      <w:r w:rsidRPr="00302F44">
        <w:rPr>
          <w:rFonts w:ascii="Times New Roman" w:eastAsia="Georgia" w:hAnsi="Times New Roman" w:cs="Times New Roman"/>
          <w:sz w:val="24"/>
          <w:szCs w:val="24"/>
        </w:rPr>
        <w:t xml:space="preserve">) conflict in </w:t>
      </w:r>
      <w:proofErr w:type="spellStart"/>
      <w:r w:rsidRPr="00302F44">
        <w:rPr>
          <w:rFonts w:ascii="Times New Roman" w:eastAsia="Georgia" w:hAnsi="Times New Roman" w:cs="Times New Roman"/>
          <w:sz w:val="24"/>
          <w:szCs w:val="24"/>
        </w:rPr>
        <w:t>Chamundi</w:t>
      </w:r>
      <w:proofErr w:type="spellEnd"/>
      <w:r w:rsidRPr="00302F44">
        <w:rPr>
          <w:rFonts w:ascii="Times New Roman" w:eastAsia="Georgia" w:hAnsi="Times New Roman" w:cs="Times New Roman"/>
          <w:sz w:val="24"/>
          <w:szCs w:val="24"/>
        </w:rPr>
        <w:t xml:space="preserve"> Hill—Mysuru, Karnataka. </w:t>
      </w:r>
      <w:r w:rsidRPr="00302F44">
        <w:rPr>
          <w:rFonts w:ascii="Times New Roman" w:hAnsi="Times New Roman" w:cs="Times New Roman"/>
          <w:i/>
          <w:sz w:val="24"/>
          <w:szCs w:val="24"/>
        </w:rPr>
        <w:t>World Journal of Environmental Biosciences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12</w:t>
      </w:r>
      <w:r w:rsidRPr="00302F44">
        <w:rPr>
          <w:rFonts w:ascii="Times New Roman" w:hAnsi="Times New Roman" w:cs="Times New Roman"/>
          <w:sz w:val="24"/>
          <w:szCs w:val="24"/>
        </w:rPr>
        <w:t xml:space="preserve">(2), 19--25. </w:t>
      </w:r>
      <w:hyperlink r:id="rId14">
        <w:r w:rsidRPr="00302F44">
          <w:rPr>
            <w:rFonts w:ascii="Times New Roman" w:hAnsi="Times New Roman" w:cs="Times New Roman"/>
            <w:color w:val="4472C4"/>
            <w:sz w:val="24"/>
            <w:szCs w:val="24"/>
          </w:rPr>
          <w:t>https://doi.org/10.51847/dpGQL4yAXY</w:t>
        </w:r>
      </w:hyperlink>
    </w:p>
    <w:p w14:paraId="5533F78B"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Karimullah</w:t>
      </w:r>
      <w:proofErr w:type="spellEnd"/>
      <w:r w:rsidRPr="00302F44">
        <w:rPr>
          <w:rFonts w:ascii="Times New Roman" w:hAnsi="Times New Roman" w:cs="Times New Roman"/>
          <w:sz w:val="24"/>
          <w:szCs w:val="24"/>
        </w:rPr>
        <w:t xml:space="preserve">, K., </w:t>
      </w:r>
      <w:proofErr w:type="spellStart"/>
      <w:r w:rsidRPr="00302F44">
        <w:rPr>
          <w:rFonts w:ascii="Times New Roman" w:hAnsi="Times New Roman" w:cs="Times New Roman"/>
          <w:sz w:val="24"/>
          <w:szCs w:val="24"/>
        </w:rPr>
        <w:t>Widdig</w:t>
      </w:r>
      <w:proofErr w:type="spellEnd"/>
      <w:r w:rsidRPr="00302F44">
        <w:rPr>
          <w:rFonts w:ascii="Times New Roman" w:hAnsi="Times New Roman" w:cs="Times New Roman"/>
          <w:sz w:val="24"/>
          <w:szCs w:val="24"/>
        </w:rPr>
        <w:t xml:space="preserve">, A., </w:t>
      </w:r>
      <w:proofErr w:type="spellStart"/>
      <w:r w:rsidRPr="00302F44">
        <w:rPr>
          <w:rFonts w:ascii="Times New Roman" w:hAnsi="Times New Roman" w:cs="Times New Roman"/>
          <w:sz w:val="24"/>
          <w:szCs w:val="24"/>
        </w:rPr>
        <w:t>Mohd</w:t>
      </w:r>
      <w:proofErr w:type="spellEnd"/>
      <w:r w:rsidRPr="00302F44">
        <w:rPr>
          <w:rFonts w:ascii="Times New Roman" w:hAnsi="Times New Roman" w:cs="Times New Roman"/>
          <w:sz w:val="24"/>
          <w:szCs w:val="24"/>
        </w:rPr>
        <w:t xml:space="preserve"> </w:t>
      </w:r>
      <w:proofErr w:type="spellStart"/>
      <w:r w:rsidRPr="00302F44">
        <w:rPr>
          <w:rFonts w:ascii="Times New Roman" w:hAnsi="Times New Roman" w:cs="Times New Roman"/>
          <w:sz w:val="24"/>
          <w:szCs w:val="24"/>
        </w:rPr>
        <w:t>Sah</w:t>
      </w:r>
      <w:proofErr w:type="spellEnd"/>
      <w:r w:rsidRPr="00302F44">
        <w:rPr>
          <w:rFonts w:ascii="Times New Roman" w:hAnsi="Times New Roman" w:cs="Times New Roman"/>
          <w:sz w:val="24"/>
          <w:szCs w:val="24"/>
        </w:rPr>
        <w:t xml:space="preserve">, S. A., &amp; Amici, F. (2022). Understanding potential conflicts between human and non-human-primates: A large-scale survey in Malaysia. </w:t>
      </w:r>
      <w:r w:rsidRPr="00302F44">
        <w:rPr>
          <w:rFonts w:ascii="Times New Roman" w:hAnsi="Times New Roman" w:cs="Times New Roman"/>
          <w:i/>
          <w:sz w:val="24"/>
          <w:szCs w:val="24"/>
        </w:rPr>
        <w:t>Biodiversity and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31</w:t>
      </w:r>
      <w:r w:rsidRPr="00302F44">
        <w:rPr>
          <w:rFonts w:ascii="Times New Roman" w:hAnsi="Times New Roman" w:cs="Times New Roman"/>
          <w:sz w:val="24"/>
          <w:szCs w:val="24"/>
        </w:rPr>
        <w:t xml:space="preserve">, 1249--1266. </w:t>
      </w:r>
      <w:hyperlink r:id="rId15">
        <w:r w:rsidRPr="00302F44">
          <w:rPr>
            <w:rFonts w:ascii="Times New Roman" w:hAnsi="Times New Roman" w:cs="Times New Roman"/>
            <w:color w:val="4472C4"/>
            <w:sz w:val="24"/>
            <w:szCs w:val="24"/>
          </w:rPr>
          <w:t>https://doi.org/10.1007/s10531-022-02386-w</w:t>
        </w:r>
      </w:hyperlink>
    </w:p>
    <w:p w14:paraId="45AC6DFB"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eastAsia="Georgia" w:hAnsi="Times New Roman" w:cs="Times New Roman"/>
          <w:sz w:val="24"/>
          <w:szCs w:val="24"/>
        </w:rPr>
        <w:t xml:space="preserve">König, A. (2008). Fears, attitudes and opinions of suburban residents with regards to their urban foxes: A case study in the community of </w:t>
      </w:r>
      <w:proofErr w:type="spellStart"/>
      <w:r w:rsidRPr="00302F44">
        <w:rPr>
          <w:rFonts w:ascii="Times New Roman" w:eastAsia="Georgia" w:hAnsi="Times New Roman" w:cs="Times New Roman"/>
          <w:sz w:val="24"/>
          <w:szCs w:val="24"/>
        </w:rPr>
        <w:t>Grünwald</w:t>
      </w:r>
      <w:proofErr w:type="spellEnd"/>
      <w:r w:rsidRPr="00302F44">
        <w:rPr>
          <w:rFonts w:ascii="Times New Roman" w:eastAsia="Georgia" w:hAnsi="Times New Roman" w:cs="Times New Roman"/>
          <w:sz w:val="24"/>
          <w:szCs w:val="24"/>
        </w:rPr>
        <w:t xml:space="preserve">—a suburb of Munich. </w:t>
      </w:r>
      <w:r w:rsidRPr="00302F44">
        <w:rPr>
          <w:rFonts w:ascii="Times New Roman" w:hAnsi="Times New Roman" w:cs="Times New Roman"/>
          <w:i/>
          <w:sz w:val="24"/>
          <w:szCs w:val="24"/>
        </w:rPr>
        <w:t>European Journal of Wildlife Research</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54</w:t>
      </w:r>
      <w:r w:rsidRPr="00302F44">
        <w:rPr>
          <w:rFonts w:ascii="Times New Roman" w:hAnsi="Times New Roman" w:cs="Times New Roman"/>
          <w:sz w:val="24"/>
          <w:szCs w:val="24"/>
        </w:rPr>
        <w:t xml:space="preserve">, 101--109. </w:t>
      </w:r>
      <w:hyperlink r:id="rId16">
        <w:r w:rsidRPr="00302F44">
          <w:rPr>
            <w:rFonts w:ascii="Times New Roman" w:hAnsi="Times New Roman" w:cs="Times New Roman"/>
            <w:color w:val="4472C4"/>
            <w:sz w:val="24"/>
            <w:szCs w:val="24"/>
          </w:rPr>
          <w:t>https://doi.org/10.1007/s10344-007-0117-z</w:t>
        </w:r>
      </w:hyperlink>
    </w:p>
    <w:p w14:paraId="030411E6"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lastRenderedPageBreak/>
        <w:t xml:space="preserve">Kumara, H. N., Singh, M., Kumar, S., &amp; Sinha, A. (2010). Distribution, abundance, group size and demography of dark-bellied bonnet macaque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radiata </w:t>
      </w:r>
      <w:proofErr w:type="spellStart"/>
      <w:r w:rsidRPr="00302F44">
        <w:rPr>
          <w:rFonts w:ascii="Times New Roman" w:hAnsi="Times New Roman" w:cs="Times New Roman"/>
          <w:i/>
          <w:sz w:val="24"/>
          <w:szCs w:val="24"/>
        </w:rPr>
        <w:t>radiata</w:t>
      </w:r>
      <w:proofErr w:type="spellEnd"/>
      <w:r w:rsidRPr="00302F44">
        <w:rPr>
          <w:rFonts w:ascii="Times New Roman" w:hAnsi="Times New Roman" w:cs="Times New Roman"/>
          <w:sz w:val="24"/>
          <w:szCs w:val="24"/>
        </w:rPr>
        <w:t xml:space="preserve"> in Karnataka, South India. </w:t>
      </w:r>
      <w:r w:rsidRPr="00302F44">
        <w:rPr>
          <w:rFonts w:ascii="Times New Roman" w:hAnsi="Times New Roman" w:cs="Times New Roman"/>
          <w:i/>
          <w:sz w:val="24"/>
          <w:szCs w:val="24"/>
        </w:rPr>
        <w:t>Current Science</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99</w:t>
      </w:r>
      <w:r w:rsidRPr="00302F44">
        <w:rPr>
          <w:rFonts w:ascii="Times New Roman" w:hAnsi="Times New Roman" w:cs="Times New Roman"/>
          <w:sz w:val="24"/>
          <w:szCs w:val="24"/>
        </w:rPr>
        <w:t>(5), 663--667.</w:t>
      </w:r>
    </w:p>
    <w:p w14:paraId="4E2F649E"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Lee, P. C., &amp; </w:t>
      </w:r>
      <w:proofErr w:type="spellStart"/>
      <w:r w:rsidRPr="00302F44">
        <w:rPr>
          <w:rFonts w:ascii="Times New Roman" w:hAnsi="Times New Roman" w:cs="Times New Roman"/>
          <w:sz w:val="24"/>
          <w:szCs w:val="24"/>
        </w:rPr>
        <w:t>Priston</w:t>
      </w:r>
      <w:proofErr w:type="spellEnd"/>
      <w:r w:rsidRPr="00302F44">
        <w:rPr>
          <w:rFonts w:ascii="Times New Roman" w:hAnsi="Times New Roman" w:cs="Times New Roman"/>
          <w:sz w:val="24"/>
          <w:szCs w:val="24"/>
        </w:rPr>
        <w:t xml:space="preserve">, N. E. C. (2005). Human attitudes to primates: Perceptions of pests, conflict and consequences for primate conservation. In J. D. Paterson &amp; J. Wallis (Eds.), </w:t>
      </w:r>
      <w:r w:rsidRPr="00302F44">
        <w:rPr>
          <w:rFonts w:ascii="Times New Roman" w:hAnsi="Times New Roman" w:cs="Times New Roman"/>
          <w:i/>
          <w:sz w:val="24"/>
          <w:szCs w:val="24"/>
        </w:rPr>
        <w:t>Commensalism and conflict: The human-primate interface</w:t>
      </w:r>
      <w:r w:rsidRPr="00302F44">
        <w:rPr>
          <w:rFonts w:ascii="Times New Roman" w:hAnsi="Times New Roman" w:cs="Times New Roman"/>
          <w:sz w:val="24"/>
          <w:szCs w:val="24"/>
        </w:rPr>
        <w:t xml:space="preserve"> (pp. 1--23). American Society of Primatologists.</w:t>
      </w:r>
    </w:p>
    <w:p w14:paraId="0B33E6DB"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Magle</w:t>
      </w:r>
      <w:proofErr w:type="spellEnd"/>
      <w:r w:rsidRPr="00302F44">
        <w:rPr>
          <w:rFonts w:ascii="Times New Roman" w:hAnsi="Times New Roman" w:cs="Times New Roman"/>
          <w:sz w:val="24"/>
          <w:szCs w:val="24"/>
        </w:rPr>
        <w:t xml:space="preserve">, S. B., Hunt, V. M., Vernon, M., &amp; Crooks, K. R. (2012). Urban wildlife research: Past, present, and future. </w:t>
      </w:r>
      <w:r w:rsidRPr="00302F44">
        <w:rPr>
          <w:rFonts w:ascii="Times New Roman" w:hAnsi="Times New Roman" w:cs="Times New Roman"/>
          <w:i/>
          <w:sz w:val="24"/>
          <w:szCs w:val="24"/>
        </w:rPr>
        <w:t>Biological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155</w:t>
      </w:r>
      <w:r w:rsidRPr="00302F44">
        <w:rPr>
          <w:rFonts w:ascii="Times New Roman" w:hAnsi="Times New Roman" w:cs="Times New Roman"/>
          <w:sz w:val="24"/>
          <w:szCs w:val="24"/>
        </w:rPr>
        <w:t xml:space="preserve">, 23--32. </w:t>
      </w:r>
      <w:hyperlink r:id="rId17">
        <w:r w:rsidRPr="00302F44">
          <w:rPr>
            <w:rFonts w:ascii="Times New Roman" w:hAnsi="Times New Roman" w:cs="Times New Roman"/>
            <w:color w:val="4472C4"/>
            <w:sz w:val="24"/>
            <w:szCs w:val="24"/>
          </w:rPr>
          <w:t>https://doi.org/10.1016/j.biocon.2012.06.018</w:t>
        </w:r>
      </w:hyperlink>
    </w:p>
    <w:p w14:paraId="612C27CA"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Mangalam, M., &amp; Singh, M. (2013). Flexibility in food extraction techniques in urban free-ranging bonnet macaques, </w:t>
      </w:r>
      <w:proofErr w:type="spellStart"/>
      <w:r w:rsidRPr="00302F44">
        <w:rPr>
          <w:rFonts w:ascii="Times New Roman" w:hAnsi="Times New Roman" w:cs="Times New Roman"/>
          <w:i/>
          <w:sz w:val="24"/>
          <w:szCs w:val="24"/>
        </w:rPr>
        <w:t>Macaca</w:t>
      </w:r>
      <w:proofErr w:type="spellEnd"/>
      <w:r w:rsidRPr="00302F44">
        <w:rPr>
          <w:rFonts w:ascii="Times New Roman" w:hAnsi="Times New Roman" w:cs="Times New Roman"/>
          <w:i/>
          <w:sz w:val="24"/>
          <w:szCs w:val="24"/>
        </w:rPr>
        <w:t xml:space="preserve"> radiata</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PLOS ONE</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8</w:t>
      </w:r>
      <w:r w:rsidRPr="00302F44">
        <w:rPr>
          <w:rFonts w:ascii="Times New Roman" w:hAnsi="Times New Roman" w:cs="Times New Roman"/>
          <w:sz w:val="24"/>
          <w:szCs w:val="24"/>
        </w:rPr>
        <w:t xml:space="preserve">(12), Article e85497. </w:t>
      </w:r>
      <w:hyperlink r:id="rId18">
        <w:r w:rsidRPr="00302F44">
          <w:rPr>
            <w:rFonts w:ascii="Times New Roman" w:hAnsi="Times New Roman" w:cs="Times New Roman"/>
            <w:color w:val="4472C4"/>
            <w:sz w:val="24"/>
            <w:szCs w:val="24"/>
          </w:rPr>
          <w:t>https://doi.org/10.1371/journal.pone.0085497</w:t>
        </w:r>
      </w:hyperlink>
    </w:p>
    <w:p w14:paraId="75FF4E1D"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eastAsia="Georgia" w:hAnsi="Times New Roman" w:cs="Times New Roman"/>
          <w:sz w:val="24"/>
          <w:szCs w:val="24"/>
        </w:rPr>
        <w:t>Nulkar</w:t>
      </w:r>
      <w:proofErr w:type="spellEnd"/>
      <w:r w:rsidRPr="00302F44">
        <w:rPr>
          <w:rFonts w:ascii="Times New Roman" w:eastAsia="Georgia" w:hAnsi="Times New Roman" w:cs="Times New Roman"/>
          <w:sz w:val="24"/>
          <w:szCs w:val="24"/>
        </w:rPr>
        <w:t xml:space="preserve">, G. (2022). Silent conflicts—Human-wildlife interactions in urban spaces. </w:t>
      </w:r>
      <w:r w:rsidRPr="00302F44">
        <w:rPr>
          <w:rFonts w:ascii="Times New Roman" w:hAnsi="Times New Roman" w:cs="Times New Roman"/>
          <w:i/>
          <w:sz w:val="24"/>
          <w:szCs w:val="24"/>
        </w:rPr>
        <w:t>Journal of Environmental Sciences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25</w:t>
      </w:r>
      <w:r w:rsidRPr="00302F44">
        <w:rPr>
          <w:rFonts w:ascii="Times New Roman" w:hAnsi="Times New Roman" w:cs="Times New Roman"/>
          <w:sz w:val="24"/>
          <w:szCs w:val="24"/>
        </w:rPr>
        <w:t xml:space="preserve">(4). </w:t>
      </w:r>
      <w:hyperlink r:id="rId19">
        <w:r w:rsidRPr="00302F44">
          <w:rPr>
            <w:rFonts w:ascii="Times New Roman" w:hAnsi="Times New Roman" w:cs="Times New Roman"/>
            <w:color w:val="4472C4"/>
            <w:sz w:val="24"/>
            <w:szCs w:val="24"/>
          </w:rPr>
          <w:t>https://doi.org/10.54081/JES.025/04</w:t>
        </w:r>
      </w:hyperlink>
    </w:p>
    <w:p w14:paraId="5E64B7A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Patterson, L., </w:t>
      </w:r>
      <w:proofErr w:type="spellStart"/>
      <w:r w:rsidRPr="00302F44">
        <w:rPr>
          <w:rFonts w:ascii="Times New Roman" w:hAnsi="Times New Roman" w:cs="Times New Roman"/>
          <w:sz w:val="24"/>
          <w:szCs w:val="24"/>
        </w:rPr>
        <w:t>Kalle</w:t>
      </w:r>
      <w:proofErr w:type="spellEnd"/>
      <w:r w:rsidRPr="00302F44">
        <w:rPr>
          <w:rFonts w:ascii="Times New Roman" w:hAnsi="Times New Roman" w:cs="Times New Roman"/>
          <w:sz w:val="24"/>
          <w:szCs w:val="24"/>
        </w:rPr>
        <w:t xml:space="preserve">, R., &amp; Downs, C. (2017). A citizen science survey: Perceptions and attitudes of urban residents towards </w:t>
      </w:r>
      <w:proofErr w:type="spellStart"/>
      <w:r w:rsidRPr="00302F44">
        <w:rPr>
          <w:rFonts w:ascii="Times New Roman" w:hAnsi="Times New Roman" w:cs="Times New Roman"/>
          <w:sz w:val="24"/>
          <w:szCs w:val="24"/>
        </w:rPr>
        <w:t>vervet</w:t>
      </w:r>
      <w:proofErr w:type="spellEnd"/>
      <w:r w:rsidRPr="00302F44">
        <w:rPr>
          <w:rFonts w:ascii="Times New Roman" w:hAnsi="Times New Roman" w:cs="Times New Roman"/>
          <w:sz w:val="24"/>
          <w:szCs w:val="24"/>
        </w:rPr>
        <w:t xml:space="preserve"> monkeys. </w:t>
      </w:r>
      <w:r w:rsidRPr="00302F44">
        <w:rPr>
          <w:rFonts w:ascii="Times New Roman" w:hAnsi="Times New Roman" w:cs="Times New Roman"/>
          <w:i/>
          <w:sz w:val="24"/>
          <w:szCs w:val="24"/>
        </w:rPr>
        <w:t>Urban Ecosystems</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20</w:t>
      </w:r>
      <w:r w:rsidRPr="00302F44">
        <w:rPr>
          <w:rFonts w:ascii="Times New Roman" w:hAnsi="Times New Roman" w:cs="Times New Roman"/>
          <w:sz w:val="24"/>
          <w:szCs w:val="24"/>
        </w:rPr>
        <w:t xml:space="preserve">, 617--628. </w:t>
      </w:r>
      <w:hyperlink r:id="rId20">
        <w:r w:rsidRPr="00302F44">
          <w:rPr>
            <w:rFonts w:ascii="Times New Roman" w:hAnsi="Times New Roman" w:cs="Times New Roman"/>
            <w:color w:val="4472C4"/>
            <w:sz w:val="24"/>
            <w:szCs w:val="24"/>
          </w:rPr>
          <w:t>https://doi.org/10.1007/s11252-016-0619-0</w:t>
        </w:r>
      </w:hyperlink>
    </w:p>
    <w:p w14:paraId="58E66B17"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Radhakrishna, S., Huffman, M. A., &amp; Sinha, A. (2013). The macaque connection: Cooperation and conflict between humans and macaques. In S. Radhakrishna, M. A. Huffman, &amp; A. Sinha (Eds.), </w:t>
      </w:r>
      <w:r w:rsidRPr="00302F44">
        <w:rPr>
          <w:rFonts w:ascii="Times New Roman" w:hAnsi="Times New Roman" w:cs="Times New Roman"/>
          <w:i/>
          <w:sz w:val="24"/>
          <w:szCs w:val="24"/>
        </w:rPr>
        <w:t>The macaque connection: Cooperation and conflict between humans and macaques</w:t>
      </w:r>
      <w:r w:rsidRPr="00302F44">
        <w:rPr>
          <w:rFonts w:ascii="Times New Roman" w:hAnsi="Times New Roman" w:cs="Times New Roman"/>
          <w:sz w:val="24"/>
          <w:szCs w:val="24"/>
        </w:rPr>
        <w:t xml:space="preserve"> (pp. 1--30). Springer. </w:t>
      </w:r>
      <w:hyperlink r:id="rId21">
        <w:r w:rsidRPr="00302F44">
          <w:rPr>
            <w:rFonts w:ascii="Times New Roman" w:hAnsi="Times New Roman" w:cs="Times New Roman"/>
            <w:color w:val="4472C4"/>
            <w:sz w:val="24"/>
            <w:szCs w:val="24"/>
          </w:rPr>
          <w:t>https://doi.org/10.1007/978-1-4614-3967-7</w:t>
        </w:r>
      </w:hyperlink>
    </w:p>
    <w:p w14:paraId="1AA74100"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Sengupta, A., </w:t>
      </w:r>
      <w:proofErr w:type="spellStart"/>
      <w:r w:rsidRPr="00302F44">
        <w:rPr>
          <w:rFonts w:ascii="Times New Roman" w:hAnsi="Times New Roman" w:cs="Times New Roman"/>
          <w:sz w:val="24"/>
          <w:szCs w:val="24"/>
        </w:rPr>
        <w:t>McConkey</w:t>
      </w:r>
      <w:proofErr w:type="spellEnd"/>
      <w:r w:rsidRPr="00302F44">
        <w:rPr>
          <w:rFonts w:ascii="Times New Roman" w:hAnsi="Times New Roman" w:cs="Times New Roman"/>
          <w:sz w:val="24"/>
          <w:szCs w:val="24"/>
        </w:rPr>
        <w:t xml:space="preserve">, K. R., &amp; Radhakrishna, S. (2015). Primates, provisioning and plants: Impacts of human cultural </w:t>
      </w:r>
      <w:proofErr w:type="spellStart"/>
      <w:r w:rsidRPr="00302F44">
        <w:rPr>
          <w:rFonts w:ascii="Times New Roman" w:hAnsi="Times New Roman" w:cs="Times New Roman"/>
          <w:sz w:val="24"/>
          <w:szCs w:val="24"/>
        </w:rPr>
        <w:t>behaviours</w:t>
      </w:r>
      <w:proofErr w:type="spellEnd"/>
      <w:r w:rsidRPr="00302F44">
        <w:rPr>
          <w:rFonts w:ascii="Times New Roman" w:hAnsi="Times New Roman" w:cs="Times New Roman"/>
          <w:sz w:val="24"/>
          <w:szCs w:val="24"/>
        </w:rPr>
        <w:t xml:space="preserve"> on primate ecological functions. </w:t>
      </w:r>
      <w:r w:rsidRPr="00302F44">
        <w:rPr>
          <w:rFonts w:ascii="Times New Roman" w:hAnsi="Times New Roman" w:cs="Times New Roman"/>
          <w:i/>
          <w:sz w:val="24"/>
          <w:szCs w:val="24"/>
        </w:rPr>
        <w:t>PLOS ONE</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10</w:t>
      </w:r>
      <w:r w:rsidRPr="00302F44">
        <w:rPr>
          <w:rFonts w:ascii="Times New Roman" w:hAnsi="Times New Roman" w:cs="Times New Roman"/>
          <w:sz w:val="24"/>
          <w:szCs w:val="24"/>
        </w:rPr>
        <w:t xml:space="preserve">(11), Article e0140961. </w:t>
      </w:r>
      <w:hyperlink r:id="rId22">
        <w:r w:rsidRPr="00302F44">
          <w:rPr>
            <w:rFonts w:ascii="Times New Roman" w:hAnsi="Times New Roman" w:cs="Times New Roman"/>
            <w:color w:val="4472C4"/>
            <w:sz w:val="24"/>
            <w:szCs w:val="24"/>
          </w:rPr>
          <w:t>https://doi.org/10.1371/journal.pone.0140961</w:t>
        </w:r>
      </w:hyperlink>
    </w:p>
    <w:p w14:paraId="1D756934"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Sha, J. C. M., </w:t>
      </w:r>
      <w:proofErr w:type="spellStart"/>
      <w:r w:rsidRPr="00302F44">
        <w:rPr>
          <w:rFonts w:ascii="Times New Roman" w:hAnsi="Times New Roman" w:cs="Times New Roman"/>
          <w:sz w:val="24"/>
          <w:szCs w:val="24"/>
        </w:rPr>
        <w:t>Gumert</w:t>
      </w:r>
      <w:proofErr w:type="spellEnd"/>
      <w:r w:rsidRPr="00302F44">
        <w:rPr>
          <w:rFonts w:ascii="Times New Roman" w:hAnsi="Times New Roman" w:cs="Times New Roman"/>
          <w:sz w:val="24"/>
          <w:szCs w:val="24"/>
        </w:rPr>
        <w:t xml:space="preserve">, M. D., Lee, B. P. Y.-H., Jones-Engel, L., Chan, S., &amp; Fuentes, A. (2009). Macaque-human interactions and the societal perceptions of macaques in Singapore. </w:t>
      </w:r>
      <w:r w:rsidRPr="00302F44">
        <w:rPr>
          <w:rFonts w:ascii="Times New Roman" w:hAnsi="Times New Roman" w:cs="Times New Roman"/>
          <w:i/>
          <w:sz w:val="24"/>
          <w:szCs w:val="24"/>
        </w:rPr>
        <w:t>American Journal of Primatology</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71</w:t>
      </w:r>
      <w:r w:rsidRPr="00302F44">
        <w:rPr>
          <w:rFonts w:ascii="Times New Roman" w:hAnsi="Times New Roman" w:cs="Times New Roman"/>
          <w:sz w:val="24"/>
          <w:szCs w:val="24"/>
        </w:rPr>
        <w:t xml:space="preserve">(10), 825--839. </w:t>
      </w:r>
      <w:hyperlink r:id="rId23">
        <w:r w:rsidRPr="00302F44">
          <w:rPr>
            <w:rFonts w:ascii="Times New Roman" w:hAnsi="Times New Roman" w:cs="Times New Roman"/>
            <w:color w:val="4472C4"/>
            <w:sz w:val="24"/>
            <w:szCs w:val="24"/>
          </w:rPr>
          <w:t>https://doi.org/10.1002/ajp.20710</w:t>
        </w:r>
      </w:hyperlink>
    </w:p>
    <w:p w14:paraId="3C51BF51"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Singh, M., Kumara, H. N., Kumar, M. A., &amp; Sharma, A. (2018). Behavioral adaptations of urban macaques: A comparative study. </w:t>
      </w:r>
      <w:r w:rsidRPr="00302F44">
        <w:rPr>
          <w:rFonts w:ascii="Times New Roman" w:hAnsi="Times New Roman" w:cs="Times New Roman"/>
          <w:i/>
          <w:sz w:val="24"/>
          <w:szCs w:val="24"/>
        </w:rPr>
        <w:t>International Journal of Primatology</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39</w:t>
      </w:r>
      <w:r w:rsidRPr="00302F44">
        <w:rPr>
          <w:rFonts w:ascii="Times New Roman" w:hAnsi="Times New Roman" w:cs="Times New Roman"/>
          <w:sz w:val="24"/>
          <w:szCs w:val="24"/>
        </w:rPr>
        <w:t xml:space="preserve">, 456--472. </w:t>
      </w:r>
      <w:hyperlink r:id="rId24">
        <w:r w:rsidRPr="00302F44">
          <w:rPr>
            <w:rFonts w:ascii="Times New Roman" w:hAnsi="Times New Roman" w:cs="Times New Roman"/>
            <w:color w:val="4472C4"/>
            <w:sz w:val="24"/>
            <w:szCs w:val="24"/>
          </w:rPr>
          <w:t>https://doi.org/10.1007/s10764-018-0043-6</w:t>
        </w:r>
      </w:hyperlink>
    </w:p>
    <w:p w14:paraId="27254E95" w14:textId="77777777" w:rsidR="00154F24" w:rsidRPr="00302F44" w:rsidRDefault="00811FC3" w:rsidP="00302F44">
      <w:pPr>
        <w:spacing w:after="210"/>
        <w:jc w:val="both"/>
        <w:rPr>
          <w:rFonts w:ascii="Times New Roman" w:hAnsi="Times New Roman" w:cs="Times New Roman"/>
          <w:sz w:val="24"/>
          <w:szCs w:val="24"/>
        </w:rPr>
      </w:pPr>
      <w:r w:rsidRPr="00302F44">
        <w:rPr>
          <w:rFonts w:ascii="Times New Roman" w:hAnsi="Times New Roman" w:cs="Times New Roman"/>
          <w:sz w:val="24"/>
          <w:szCs w:val="24"/>
        </w:rPr>
        <w:t xml:space="preserve">Sinha, A. (2001). </w:t>
      </w:r>
      <w:r w:rsidRPr="00302F44">
        <w:rPr>
          <w:rFonts w:ascii="Times New Roman" w:hAnsi="Times New Roman" w:cs="Times New Roman"/>
          <w:i/>
          <w:sz w:val="24"/>
          <w:szCs w:val="24"/>
        </w:rPr>
        <w:t>A natural history of the Indian bonnet macaque</w:t>
      </w:r>
      <w:r w:rsidRPr="00302F44">
        <w:rPr>
          <w:rFonts w:ascii="Times New Roman" w:hAnsi="Times New Roman" w:cs="Times New Roman"/>
          <w:sz w:val="24"/>
          <w:szCs w:val="24"/>
        </w:rPr>
        <w:t xml:space="preserve"> (NIAS Report R2). National Institute of Advanced Studies. </w:t>
      </w:r>
      <w:hyperlink r:id="rId25">
        <w:r w:rsidRPr="00302F44">
          <w:rPr>
            <w:rFonts w:ascii="Times New Roman" w:hAnsi="Times New Roman" w:cs="Times New Roman"/>
            <w:color w:val="4472C4"/>
            <w:sz w:val="24"/>
            <w:szCs w:val="24"/>
          </w:rPr>
          <w:t>http://eprints.nias.res.in/65/1/asinha4.pdf</w:t>
        </w:r>
      </w:hyperlink>
    </w:p>
    <w:p w14:paraId="5D4480E5"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t>Soulsbury</w:t>
      </w:r>
      <w:proofErr w:type="spellEnd"/>
      <w:r w:rsidRPr="00302F44">
        <w:rPr>
          <w:rFonts w:ascii="Times New Roman" w:hAnsi="Times New Roman" w:cs="Times New Roman"/>
          <w:sz w:val="24"/>
          <w:szCs w:val="24"/>
        </w:rPr>
        <w:t xml:space="preserve">, C. D., &amp; White, P. C. L. (2015). Human-wildlife interactions in urban areas: A review of conflicts, benefits and opportunities. </w:t>
      </w:r>
      <w:r w:rsidRPr="00302F44">
        <w:rPr>
          <w:rFonts w:ascii="Times New Roman" w:hAnsi="Times New Roman" w:cs="Times New Roman"/>
          <w:i/>
          <w:sz w:val="24"/>
          <w:szCs w:val="24"/>
        </w:rPr>
        <w:t>Wildlife Research</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42</w:t>
      </w:r>
      <w:r w:rsidRPr="00302F44">
        <w:rPr>
          <w:rFonts w:ascii="Times New Roman" w:hAnsi="Times New Roman" w:cs="Times New Roman"/>
          <w:sz w:val="24"/>
          <w:szCs w:val="24"/>
        </w:rPr>
        <w:t xml:space="preserve">(7), 541--553. </w:t>
      </w:r>
      <w:hyperlink r:id="rId26">
        <w:r w:rsidRPr="00302F44">
          <w:rPr>
            <w:rFonts w:ascii="Times New Roman" w:hAnsi="Times New Roman" w:cs="Times New Roman"/>
            <w:color w:val="4472C4"/>
            <w:sz w:val="24"/>
            <w:szCs w:val="24"/>
          </w:rPr>
          <w:t>https://doi.org/10.1071/WR14229</w:t>
        </w:r>
      </w:hyperlink>
    </w:p>
    <w:p w14:paraId="2811B812" w14:textId="77777777" w:rsidR="00154F24" w:rsidRPr="00302F44" w:rsidRDefault="00811FC3" w:rsidP="00302F44">
      <w:pPr>
        <w:spacing w:after="210"/>
        <w:jc w:val="both"/>
        <w:rPr>
          <w:rFonts w:ascii="Times New Roman" w:hAnsi="Times New Roman" w:cs="Times New Roman"/>
          <w:sz w:val="24"/>
          <w:szCs w:val="24"/>
        </w:rPr>
      </w:pPr>
      <w:proofErr w:type="spellStart"/>
      <w:r w:rsidRPr="00302F44">
        <w:rPr>
          <w:rFonts w:ascii="Times New Roman" w:hAnsi="Times New Roman" w:cs="Times New Roman"/>
          <w:sz w:val="24"/>
          <w:szCs w:val="24"/>
        </w:rPr>
        <w:lastRenderedPageBreak/>
        <w:t>Wierucka</w:t>
      </w:r>
      <w:proofErr w:type="spellEnd"/>
      <w:r w:rsidRPr="00302F44">
        <w:rPr>
          <w:rFonts w:ascii="Times New Roman" w:hAnsi="Times New Roman" w:cs="Times New Roman"/>
          <w:sz w:val="24"/>
          <w:szCs w:val="24"/>
        </w:rPr>
        <w:t xml:space="preserve">, K., Hatten, C. E. R., Murphy, D., </w:t>
      </w:r>
      <w:proofErr w:type="spellStart"/>
      <w:r w:rsidRPr="00302F44">
        <w:rPr>
          <w:rFonts w:ascii="Times New Roman" w:hAnsi="Times New Roman" w:cs="Times New Roman"/>
          <w:sz w:val="24"/>
          <w:szCs w:val="24"/>
        </w:rPr>
        <w:t>Allcock</w:t>
      </w:r>
      <w:proofErr w:type="spellEnd"/>
      <w:r w:rsidRPr="00302F44">
        <w:rPr>
          <w:rFonts w:ascii="Times New Roman" w:hAnsi="Times New Roman" w:cs="Times New Roman"/>
          <w:sz w:val="24"/>
          <w:szCs w:val="24"/>
        </w:rPr>
        <w:t xml:space="preserve">, J. A., Andersson, A. A., </w:t>
      </w:r>
      <w:proofErr w:type="spellStart"/>
      <w:r w:rsidRPr="00302F44">
        <w:rPr>
          <w:rFonts w:ascii="Times New Roman" w:hAnsi="Times New Roman" w:cs="Times New Roman"/>
          <w:sz w:val="24"/>
          <w:szCs w:val="24"/>
        </w:rPr>
        <w:t>Bojan</w:t>
      </w:r>
      <w:proofErr w:type="spellEnd"/>
      <w:r w:rsidRPr="00302F44">
        <w:rPr>
          <w:rFonts w:ascii="Times New Roman" w:hAnsi="Times New Roman" w:cs="Times New Roman"/>
          <w:sz w:val="24"/>
          <w:szCs w:val="24"/>
        </w:rPr>
        <w:t xml:space="preserve">, J. W. N., Kong, T. C., Kwok, J. K., Lam, J. Y. K., Ma, C. H., </w:t>
      </w:r>
      <w:proofErr w:type="spellStart"/>
      <w:r w:rsidRPr="00302F44">
        <w:rPr>
          <w:rFonts w:ascii="Times New Roman" w:hAnsi="Times New Roman" w:cs="Times New Roman"/>
          <w:sz w:val="24"/>
          <w:szCs w:val="24"/>
        </w:rPr>
        <w:t>Phalke</w:t>
      </w:r>
      <w:proofErr w:type="spellEnd"/>
      <w:r w:rsidRPr="00302F44">
        <w:rPr>
          <w:rFonts w:ascii="Times New Roman" w:hAnsi="Times New Roman" w:cs="Times New Roman"/>
          <w:sz w:val="24"/>
          <w:szCs w:val="24"/>
        </w:rPr>
        <w:t xml:space="preserve">, S., Tilley, H. B., Wang, R. S., Wang, Y., Webster, S. J., </w:t>
      </w:r>
      <w:proofErr w:type="spellStart"/>
      <w:r w:rsidRPr="00302F44">
        <w:rPr>
          <w:rFonts w:ascii="Times New Roman" w:hAnsi="Times New Roman" w:cs="Times New Roman"/>
          <w:sz w:val="24"/>
          <w:szCs w:val="24"/>
        </w:rPr>
        <w:t>Mumby</w:t>
      </w:r>
      <w:proofErr w:type="spellEnd"/>
      <w:r w:rsidRPr="00302F44">
        <w:rPr>
          <w:rFonts w:ascii="Times New Roman" w:hAnsi="Times New Roman" w:cs="Times New Roman"/>
          <w:sz w:val="24"/>
          <w:szCs w:val="24"/>
        </w:rPr>
        <w:t xml:space="preserve">, H. S., &amp; Dingle, C. (2023). Human-wildlife interactions in urban Asia. </w:t>
      </w:r>
      <w:r w:rsidRPr="00302F44">
        <w:rPr>
          <w:rFonts w:ascii="Times New Roman" w:hAnsi="Times New Roman" w:cs="Times New Roman"/>
          <w:i/>
          <w:sz w:val="24"/>
          <w:szCs w:val="24"/>
        </w:rPr>
        <w:t>Global Ecology and Conservation</w:t>
      </w:r>
      <w:r w:rsidRPr="00302F44">
        <w:rPr>
          <w:rFonts w:ascii="Times New Roman" w:hAnsi="Times New Roman" w:cs="Times New Roman"/>
          <w:sz w:val="24"/>
          <w:szCs w:val="24"/>
        </w:rPr>
        <w:t xml:space="preserve">, </w:t>
      </w:r>
      <w:r w:rsidRPr="00302F44">
        <w:rPr>
          <w:rFonts w:ascii="Times New Roman" w:hAnsi="Times New Roman" w:cs="Times New Roman"/>
          <w:i/>
          <w:sz w:val="24"/>
          <w:szCs w:val="24"/>
        </w:rPr>
        <w:t>46</w:t>
      </w:r>
      <w:r w:rsidRPr="00302F44">
        <w:rPr>
          <w:rFonts w:ascii="Times New Roman" w:hAnsi="Times New Roman" w:cs="Times New Roman"/>
          <w:sz w:val="24"/>
          <w:szCs w:val="24"/>
        </w:rPr>
        <w:t xml:space="preserve">, Article e02596. </w:t>
      </w:r>
      <w:hyperlink r:id="rId27">
        <w:r w:rsidRPr="00302F44">
          <w:rPr>
            <w:rFonts w:ascii="Times New Roman" w:hAnsi="Times New Roman" w:cs="Times New Roman"/>
            <w:color w:val="4472C4"/>
            <w:sz w:val="24"/>
            <w:szCs w:val="24"/>
          </w:rPr>
          <w:t>https://doi.org/10.1016/j.gecco.2023.e02596</w:t>
        </w:r>
      </w:hyperlink>
    </w:p>
    <w:p w14:paraId="4ACF4D13" w14:textId="77777777" w:rsidR="00154F24" w:rsidRPr="00302F44" w:rsidRDefault="00811FC3" w:rsidP="00302F44">
      <w:pPr>
        <w:spacing w:before="240" w:line="271" w:lineRule="auto"/>
        <w:jc w:val="both"/>
        <w:rPr>
          <w:rFonts w:ascii="Times New Roman" w:hAnsi="Times New Roman" w:cs="Times New Roman"/>
          <w:sz w:val="24"/>
          <w:szCs w:val="24"/>
        </w:rPr>
      </w:pPr>
      <w:bookmarkStart w:id="29" w:name="tables_and_figures"/>
      <w:r w:rsidRPr="00302F44">
        <w:rPr>
          <w:rFonts w:ascii="Times New Roman" w:hAnsi="Times New Roman" w:cs="Times New Roman"/>
          <w:b/>
          <w:sz w:val="24"/>
          <w:szCs w:val="24"/>
        </w:rPr>
        <w:t>TABLES AND FIGURES</w:t>
      </w:r>
      <w:bookmarkEnd w:id="29"/>
    </w:p>
    <w:tbl>
      <w:tblPr>
        <w:tblStyle w:val="NormalGrid"/>
        <w:tblW w:w="0" w:type="auto"/>
        <w:jc w:val="center"/>
        <w:tblCellSpacing w:w="0" w:type="dxa"/>
        <w:tblLook w:val="04A0" w:firstRow="1" w:lastRow="0" w:firstColumn="1" w:lastColumn="0" w:noHBand="0" w:noVBand="1"/>
      </w:tblPr>
      <w:tblGrid>
        <w:gridCol w:w="3132"/>
        <w:gridCol w:w="1826"/>
        <w:gridCol w:w="700"/>
        <w:gridCol w:w="1473"/>
        <w:gridCol w:w="1539"/>
      </w:tblGrid>
      <w:tr w:rsidR="00154F24" w:rsidRPr="00302F44" w14:paraId="698B71F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DCCB72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Variable</w:t>
            </w:r>
          </w:p>
        </w:tc>
        <w:tc>
          <w:tcPr>
            <w:tcW w:w="0" w:type="auto"/>
            <w:tcBorders>
              <w:top w:val="single" w:sz="8" w:space="0" w:color="000000"/>
              <w:bottom w:val="single" w:sz="8" w:space="0" w:color="000000"/>
              <w:right w:val="single" w:sz="8" w:space="0" w:color="000000"/>
            </w:tcBorders>
            <w:vAlign w:val="center"/>
          </w:tcPr>
          <w:p w14:paraId="019A560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Category</w:t>
            </w:r>
          </w:p>
        </w:tc>
        <w:tc>
          <w:tcPr>
            <w:tcW w:w="0" w:type="auto"/>
            <w:tcBorders>
              <w:top w:val="single" w:sz="8" w:space="0" w:color="000000"/>
              <w:bottom w:val="single" w:sz="8" w:space="0" w:color="000000"/>
              <w:right w:val="single" w:sz="8" w:space="0" w:color="000000"/>
            </w:tcBorders>
            <w:vAlign w:val="center"/>
          </w:tcPr>
          <w:p w14:paraId="18E38A7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6C42A52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c>
          <w:tcPr>
            <w:tcW w:w="0" w:type="auto"/>
            <w:tcBorders>
              <w:top w:val="single" w:sz="8" w:space="0" w:color="000000"/>
              <w:bottom w:val="single" w:sz="8" w:space="0" w:color="000000"/>
              <w:right w:val="single" w:sz="8" w:space="0" w:color="000000"/>
            </w:tcBorders>
            <w:vAlign w:val="center"/>
          </w:tcPr>
          <w:p w14:paraId="53C5E26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95% CI</w:t>
            </w:r>
          </w:p>
        </w:tc>
      </w:tr>
      <w:tr w:rsidR="00154F24" w:rsidRPr="00302F44" w14:paraId="204277F7" w14:textId="77777777">
        <w:trPr>
          <w:cantSplit/>
          <w:tblCellSpacing w:w="0" w:type="dxa"/>
          <w:jc w:val="center"/>
        </w:trPr>
        <w:tc>
          <w:tcPr>
            <w:tcW w:w="0" w:type="auto"/>
            <w:tcBorders>
              <w:left w:val="single" w:sz="8" w:space="0" w:color="000000"/>
              <w:right w:val="single" w:sz="8" w:space="0" w:color="000000"/>
            </w:tcBorders>
            <w:vAlign w:val="center"/>
          </w:tcPr>
          <w:p w14:paraId="259F134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 xml:space="preserve">Feeding </w:t>
            </w:r>
            <w:proofErr w:type="spellStart"/>
            <w:r w:rsidRPr="00302F44">
              <w:rPr>
                <w:rFonts w:ascii="Times New Roman" w:hAnsi="Times New Roman" w:cs="Times New Roman"/>
                <w:b/>
                <w:sz w:val="24"/>
                <w:szCs w:val="24"/>
              </w:rPr>
              <w:t>Behaviour</w:t>
            </w:r>
            <w:proofErr w:type="spellEnd"/>
            <w:r w:rsidRPr="00302F44">
              <w:rPr>
                <w:rFonts w:ascii="Times New Roman" w:hAnsi="Times New Roman" w:cs="Times New Roman"/>
                <w:sz w:val="24"/>
                <w:szCs w:val="24"/>
              </w:rPr>
              <w:t xml:space="preserve"> (n=701)</w:t>
            </w:r>
          </w:p>
        </w:tc>
        <w:tc>
          <w:tcPr>
            <w:tcW w:w="0" w:type="auto"/>
            <w:tcBorders>
              <w:bottom w:val="single" w:sz="8" w:space="0" w:color="000000"/>
              <w:right w:val="single" w:sz="8" w:space="0" w:color="000000"/>
            </w:tcBorders>
            <w:vAlign w:val="center"/>
          </w:tcPr>
          <w:p w14:paraId="62B4484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Feed monkeys</w:t>
            </w:r>
          </w:p>
        </w:tc>
        <w:tc>
          <w:tcPr>
            <w:tcW w:w="0" w:type="auto"/>
            <w:tcBorders>
              <w:bottom w:val="single" w:sz="8" w:space="0" w:color="000000"/>
              <w:right w:val="single" w:sz="8" w:space="0" w:color="000000"/>
            </w:tcBorders>
            <w:vAlign w:val="center"/>
          </w:tcPr>
          <w:p w14:paraId="394523A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324</w:t>
            </w:r>
          </w:p>
        </w:tc>
        <w:tc>
          <w:tcPr>
            <w:tcW w:w="0" w:type="auto"/>
            <w:tcBorders>
              <w:bottom w:val="single" w:sz="8" w:space="0" w:color="000000"/>
              <w:right w:val="single" w:sz="8" w:space="0" w:color="000000"/>
            </w:tcBorders>
            <w:vAlign w:val="center"/>
          </w:tcPr>
          <w:p w14:paraId="2C74C9E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46.2%</w:t>
            </w:r>
          </w:p>
        </w:tc>
        <w:tc>
          <w:tcPr>
            <w:tcW w:w="0" w:type="auto"/>
            <w:tcBorders>
              <w:bottom w:val="single" w:sz="8" w:space="0" w:color="000000"/>
              <w:right w:val="single" w:sz="8" w:space="0" w:color="000000"/>
            </w:tcBorders>
            <w:vAlign w:val="center"/>
          </w:tcPr>
          <w:p w14:paraId="17728AC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42.5--49.9%</w:t>
            </w:r>
          </w:p>
        </w:tc>
      </w:tr>
      <w:tr w:rsidR="00154F24" w:rsidRPr="00302F44" w14:paraId="624797F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10114C0"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185D14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Don't feed</w:t>
            </w:r>
          </w:p>
        </w:tc>
        <w:tc>
          <w:tcPr>
            <w:tcW w:w="0" w:type="auto"/>
            <w:tcBorders>
              <w:bottom w:val="single" w:sz="8" w:space="0" w:color="000000"/>
              <w:right w:val="single" w:sz="8" w:space="0" w:color="000000"/>
            </w:tcBorders>
            <w:vAlign w:val="center"/>
          </w:tcPr>
          <w:p w14:paraId="55BB891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377</w:t>
            </w:r>
          </w:p>
        </w:tc>
        <w:tc>
          <w:tcPr>
            <w:tcW w:w="0" w:type="auto"/>
            <w:tcBorders>
              <w:bottom w:val="single" w:sz="8" w:space="0" w:color="000000"/>
              <w:right w:val="single" w:sz="8" w:space="0" w:color="000000"/>
            </w:tcBorders>
            <w:vAlign w:val="center"/>
          </w:tcPr>
          <w:p w14:paraId="1686CC1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53.8%</w:t>
            </w:r>
          </w:p>
        </w:tc>
        <w:tc>
          <w:tcPr>
            <w:tcW w:w="0" w:type="auto"/>
            <w:tcBorders>
              <w:bottom w:val="single" w:sz="8" w:space="0" w:color="000000"/>
              <w:right w:val="single" w:sz="8" w:space="0" w:color="000000"/>
            </w:tcBorders>
            <w:vAlign w:val="center"/>
          </w:tcPr>
          <w:p w14:paraId="4C51341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50.1--57.5%</w:t>
            </w:r>
          </w:p>
        </w:tc>
      </w:tr>
      <w:tr w:rsidR="00154F24" w:rsidRPr="00302F44" w14:paraId="4ADFDD5D" w14:textId="77777777">
        <w:trPr>
          <w:cantSplit/>
          <w:tblCellSpacing w:w="0" w:type="dxa"/>
          <w:jc w:val="center"/>
        </w:trPr>
        <w:tc>
          <w:tcPr>
            <w:tcW w:w="0" w:type="auto"/>
            <w:tcBorders>
              <w:left w:val="single" w:sz="8" w:space="0" w:color="000000"/>
              <w:right w:val="single" w:sz="8" w:space="0" w:color="000000"/>
            </w:tcBorders>
            <w:vAlign w:val="center"/>
          </w:tcPr>
          <w:p w14:paraId="6F9CC6A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Food Type</w:t>
            </w:r>
            <w:r w:rsidRPr="00302F44">
              <w:rPr>
                <w:rFonts w:ascii="Times New Roman" w:hAnsi="Times New Roman" w:cs="Times New Roman"/>
                <w:sz w:val="24"/>
                <w:szCs w:val="24"/>
              </w:rPr>
              <w:t xml:space="preserve"> (n=399)</w:t>
            </w:r>
          </w:p>
        </w:tc>
        <w:tc>
          <w:tcPr>
            <w:tcW w:w="0" w:type="auto"/>
            <w:tcBorders>
              <w:bottom w:val="single" w:sz="8" w:space="0" w:color="000000"/>
              <w:right w:val="single" w:sz="8" w:space="0" w:color="000000"/>
            </w:tcBorders>
            <w:vAlign w:val="center"/>
          </w:tcPr>
          <w:p w14:paraId="6C7CCC4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Fruits</w:t>
            </w:r>
          </w:p>
        </w:tc>
        <w:tc>
          <w:tcPr>
            <w:tcW w:w="0" w:type="auto"/>
            <w:tcBorders>
              <w:bottom w:val="single" w:sz="8" w:space="0" w:color="000000"/>
              <w:right w:val="single" w:sz="8" w:space="0" w:color="000000"/>
            </w:tcBorders>
            <w:vAlign w:val="center"/>
          </w:tcPr>
          <w:p w14:paraId="0AB6A0A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332</w:t>
            </w:r>
          </w:p>
        </w:tc>
        <w:tc>
          <w:tcPr>
            <w:tcW w:w="0" w:type="auto"/>
            <w:tcBorders>
              <w:bottom w:val="single" w:sz="8" w:space="0" w:color="000000"/>
              <w:right w:val="single" w:sz="8" w:space="0" w:color="000000"/>
            </w:tcBorders>
            <w:vAlign w:val="center"/>
          </w:tcPr>
          <w:p w14:paraId="1B3D27A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83.2%</w:t>
            </w:r>
          </w:p>
        </w:tc>
        <w:tc>
          <w:tcPr>
            <w:tcW w:w="0" w:type="auto"/>
            <w:tcBorders>
              <w:bottom w:val="single" w:sz="8" w:space="0" w:color="000000"/>
              <w:right w:val="single" w:sz="8" w:space="0" w:color="000000"/>
            </w:tcBorders>
            <w:vAlign w:val="center"/>
          </w:tcPr>
          <w:p w14:paraId="1427832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79.4--87.0%</w:t>
            </w:r>
          </w:p>
        </w:tc>
      </w:tr>
      <w:tr w:rsidR="00154F24" w:rsidRPr="00302F44" w14:paraId="617AFB44" w14:textId="77777777">
        <w:trPr>
          <w:cantSplit/>
          <w:tblCellSpacing w:w="0" w:type="dxa"/>
          <w:jc w:val="center"/>
        </w:trPr>
        <w:tc>
          <w:tcPr>
            <w:tcW w:w="0" w:type="auto"/>
            <w:tcBorders>
              <w:left w:val="single" w:sz="8" w:space="0" w:color="000000"/>
              <w:right w:val="single" w:sz="8" w:space="0" w:color="000000"/>
            </w:tcBorders>
            <w:vAlign w:val="center"/>
          </w:tcPr>
          <w:p w14:paraId="093C2356"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32458F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Bakery items</w:t>
            </w:r>
          </w:p>
        </w:tc>
        <w:tc>
          <w:tcPr>
            <w:tcW w:w="0" w:type="auto"/>
            <w:tcBorders>
              <w:bottom w:val="single" w:sz="8" w:space="0" w:color="000000"/>
              <w:right w:val="single" w:sz="8" w:space="0" w:color="000000"/>
            </w:tcBorders>
            <w:vAlign w:val="center"/>
          </w:tcPr>
          <w:p w14:paraId="04758A1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39</w:t>
            </w:r>
          </w:p>
        </w:tc>
        <w:tc>
          <w:tcPr>
            <w:tcW w:w="0" w:type="auto"/>
            <w:tcBorders>
              <w:bottom w:val="single" w:sz="8" w:space="0" w:color="000000"/>
              <w:right w:val="single" w:sz="8" w:space="0" w:color="000000"/>
            </w:tcBorders>
            <w:vAlign w:val="center"/>
          </w:tcPr>
          <w:p w14:paraId="2C4075F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9.8%</w:t>
            </w:r>
          </w:p>
        </w:tc>
        <w:tc>
          <w:tcPr>
            <w:tcW w:w="0" w:type="auto"/>
            <w:tcBorders>
              <w:bottom w:val="single" w:sz="8" w:space="0" w:color="000000"/>
              <w:right w:val="single" w:sz="8" w:space="0" w:color="000000"/>
            </w:tcBorders>
            <w:vAlign w:val="center"/>
          </w:tcPr>
          <w:p w14:paraId="3FF97E9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7.0--12.6%</w:t>
            </w:r>
          </w:p>
        </w:tc>
      </w:tr>
      <w:tr w:rsidR="00154F24" w:rsidRPr="00302F44" w14:paraId="7E32ADF3" w14:textId="77777777">
        <w:trPr>
          <w:cantSplit/>
          <w:tblCellSpacing w:w="0" w:type="dxa"/>
          <w:jc w:val="center"/>
        </w:trPr>
        <w:tc>
          <w:tcPr>
            <w:tcW w:w="0" w:type="auto"/>
            <w:tcBorders>
              <w:left w:val="single" w:sz="8" w:space="0" w:color="000000"/>
              <w:right w:val="single" w:sz="8" w:space="0" w:color="000000"/>
            </w:tcBorders>
            <w:vAlign w:val="center"/>
          </w:tcPr>
          <w:p w14:paraId="46063C50"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844B66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Uncooked food</w:t>
            </w:r>
          </w:p>
        </w:tc>
        <w:tc>
          <w:tcPr>
            <w:tcW w:w="0" w:type="auto"/>
            <w:tcBorders>
              <w:bottom w:val="single" w:sz="8" w:space="0" w:color="000000"/>
              <w:right w:val="single" w:sz="8" w:space="0" w:color="000000"/>
            </w:tcBorders>
            <w:vAlign w:val="center"/>
          </w:tcPr>
          <w:p w14:paraId="7F15A7F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14:paraId="7CD98AF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4.3%</w:t>
            </w:r>
          </w:p>
        </w:tc>
        <w:tc>
          <w:tcPr>
            <w:tcW w:w="0" w:type="auto"/>
            <w:tcBorders>
              <w:bottom w:val="single" w:sz="8" w:space="0" w:color="000000"/>
              <w:right w:val="single" w:sz="8" w:space="0" w:color="000000"/>
            </w:tcBorders>
            <w:vAlign w:val="center"/>
          </w:tcPr>
          <w:p w14:paraId="40B516A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2.4--6.2%</w:t>
            </w:r>
          </w:p>
        </w:tc>
      </w:tr>
      <w:tr w:rsidR="00154F24" w:rsidRPr="00302F44" w14:paraId="0925FDD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94846B3"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4CD31F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Cooked food</w:t>
            </w:r>
          </w:p>
        </w:tc>
        <w:tc>
          <w:tcPr>
            <w:tcW w:w="0" w:type="auto"/>
            <w:tcBorders>
              <w:bottom w:val="single" w:sz="8" w:space="0" w:color="000000"/>
              <w:right w:val="single" w:sz="8" w:space="0" w:color="000000"/>
            </w:tcBorders>
            <w:vAlign w:val="center"/>
          </w:tcPr>
          <w:p w14:paraId="2F01E09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14:paraId="7610D15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2.8%</w:t>
            </w:r>
          </w:p>
        </w:tc>
        <w:tc>
          <w:tcPr>
            <w:tcW w:w="0" w:type="auto"/>
            <w:tcBorders>
              <w:bottom w:val="single" w:sz="8" w:space="0" w:color="000000"/>
              <w:right w:val="single" w:sz="8" w:space="0" w:color="000000"/>
            </w:tcBorders>
            <w:vAlign w:val="center"/>
          </w:tcPr>
          <w:p w14:paraId="7E3D1A4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1.2--4.4%</w:t>
            </w:r>
          </w:p>
        </w:tc>
      </w:tr>
    </w:tbl>
    <w:p w14:paraId="11891308" w14:textId="77777777" w:rsidR="00154F24" w:rsidRPr="00302F44" w:rsidRDefault="00154F24" w:rsidP="00302F44">
      <w:pPr>
        <w:jc w:val="both"/>
        <w:rPr>
          <w:rFonts w:ascii="Times New Roman" w:hAnsi="Times New Roman" w:cs="Times New Roman"/>
          <w:sz w:val="24"/>
          <w:szCs w:val="24"/>
        </w:rPr>
      </w:pPr>
    </w:p>
    <w:p w14:paraId="52ABC42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 xml:space="preserve">Table 1: Table 1. Feeding </w:t>
      </w:r>
      <w:proofErr w:type="spellStart"/>
      <w:r w:rsidRPr="00302F44">
        <w:rPr>
          <w:rFonts w:ascii="Times New Roman" w:hAnsi="Times New Roman" w:cs="Times New Roman"/>
          <w:sz w:val="24"/>
          <w:szCs w:val="24"/>
        </w:rPr>
        <w:t>Behaviour</w:t>
      </w:r>
      <w:proofErr w:type="spellEnd"/>
      <w:r w:rsidRPr="00302F44">
        <w:rPr>
          <w:rFonts w:ascii="Times New Roman" w:hAnsi="Times New Roman" w:cs="Times New Roman"/>
          <w:sz w:val="24"/>
          <w:szCs w:val="24"/>
        </w:rPr>
        <w:t xml:space="preserve"> and Food Type Distribution</w:t>
      </w:r>
    </w:p>
    <w:tbl>
      <w:tblPr>
        <w:tblStyle w:val="NormalGrid"/>
        <w:tblW w:w="0" w:type="auto"/>
        <w:jc w:val="center"/>
        <w:tblCellSpacing w:w="0" w:type="dxa"/>
        <w:tblLook w:val="04A0" w:firstRow="1" w:lastRow="0" w:firstColumn="1" w:lastColumn="0" w:noHBand="0" w:noVBand="1"/>
      </w:tblPr>
      <w:tblGrid>
        <w:gridCol w:w="2954"/>
        <w:gridCol w:w="2160"/>
        <w:gridCol w:w="700"/>
        <w:gridCol w:w="1473"/>
        <w:gridCol w:w="1383"/>
      </w:tblGrid>
      <w:tr w:rsidR="00154F24" w:rsidRPr="00302F44" w14:paraId="7E6B63D0"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2916A2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Variable</w:t>
            </w:r>
          </w:p>
        </w:tc>
        <w:tc>
          <w:tcPr>
            <w:tcW w:w="0" w:type="auto"/>
            <w:tcBorders>
              <w:top w:val="single" w:sz="8" w:space="0" w:color="000000"/>
              <w:bottom w:val="single" w:sz="8" w:space="0" w:color="000000"/>
              <w:right w:val="single" w:sz="8" w:space="0" w:color="000000"/>
            </w:tcBorders>
            <w:vAlign w:val="center"/>
          </w:tcPr>
          <w:p w14:paraId="3FA3484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Category</w:t>
            </w:r>
          </w:p>
        </w:tc>
        <w:tc>
          <w:tcPr>
            <w:tcW w:w="0" w:type="auto"/>
            <w:tcBorders>
              <w:top w:val="single" w:sz="8" w:space="0" w:color="000000"/>
              <w:bottom w:val="single" w:sz="8" w:space="0" w:color="000000"/>
              <w:right w:val="single" w:sz="8" w:space="0" w:color="000000"/>
            </w:tcBorders>
            <w:vAlign w:val="center"/>
          </w:tcPr>
          <w:p w14:paraId="7618459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1C31EF5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c>
          <w:tcPr>
            <w:tcW w:w="0" w:type="auto"/>
            <w:tcBorders>
              <w:top w:val="single" w:sz="8" w:space="0" w:color="000000"/>
              <w:bottom w:val="single" w:sz="8" w:space="0" w:color="000000"/>
              <w:right w:val="single" w:sz="8" w:space="0" w:color="000000"/>
            </w:tcBorders>
            <w:vAlign w:val="center"/>
          </w:tcPr>
          <w:p w14:paraId="42B6EB3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95% CI</w:t>
            </w:r>
          </w:p>
        </w:tc>
      </w:tr>
      <w:tr w:rsidR="00154F24" w:rsidRPr="00302F44" w14:paraId="497313D7" w14:textId="77777777">
        <w:trPr>
          <w:cantSplit/>
          <w:tblCellSpacing w:w="0" w:type="dxa"/>
          <w:jc w:val="center"/>
        </w:trPr>
        <w:tc>
          <w:tcPr>
            <w:tcW w:w="0" w:type="auto"/>
            <w:tcBorders>
              <w:left w:val="single" w:sz="8" w:space="0" w:color="000000"/>
              <w:right w:val="single" w:sz="8" w:space="0" w:color="000000"/>
            </w:tcBorders>
            <w:vAlign w:val="center"/>
          </w:tcPr>
          <w:p w14:paraId="78E12EE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Tolerance Level</w:t>
            </w:r>
            <w:r w:rsidRPr="00302F44">
              <w:rPr>
                <w:rFonts w:ascii="Times New Roman" w:hAnsi="Times New Roman" w:cs="Times New Roman"/>
                <w:sz w:val="24"/>
                <w:szCs w:val="24"/>
              </w:rPr>
              <w:t xml:space="preserve"> (n=672)</w:t>
            </w:r>
          </w:p>
        </w:tc>
        <w:tc>
          <w:tcPr>
            <w:tcW w:w="0" w:type="auto"/>
            <w:tcBorders>
              <w:bottom w:val="single" w:sz="8" w:space="0" w:color="000000"/>
              <w:right w:val="single" w:sz="8" w:space="0" w:color="000000"/>
            </w:tcBorders>
            <w:vAlign w:val="center"/>
          </w:tcPr>
          <w:p w14:paraId="71D135F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Neutral</w:t>
            </w:r>
          </w:p>
        </w:tc>
        <w:tc>
          <w:tcPr>
            <w:tcW w:w="0" w:type="auto"/>
            <w:tcBorders>
              <w:bottom w:val="single" w:sz="8" w:space="0" w:color="000000"/>
              <w:right w:val="single" w:sz="8" w:space="0" w:color="000000"/>
            </w:tcBorders>
            <w:vAlign w:val="center"/>
          </w:tcPr>
          <w:p w14:paraId="02116F0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471</w:t>
            </w:r>
          </w:p>
        </w:tc>
        <w:tc>
          <w:tcPr>
            <w:tcW w:w="0" w:type="auto"/>
            <w:tcBorders>
              <w:bottom w:val="single" w:sz="8" w:space="0" w:color="000000"/>
              <w:right w:val="single" w:sz="8" w:space="0" w:color="000000"/>
            </w:tcBorders>
            <w:vAlign w:val="center"/>
          </w:tcPr>
          <w:p w14:paraId="71DC141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70.1%</w:t>
            </w:r>
          </w:p>
        </w:tc>
        <w:tc>
          <w:tcPr>
            <w:tcW w:w="0" w:type="auto"/>
            <w:tcBorders>
              <w:bottom w:val="single" w:sz="8" w:space="0" w:color="000000"/>
              <w:right w:val="single" w:sz="8" w:space="0" w:color="000000"/>
            </w:tcBorders>
            <w:vAlign w:val="center"/>
          </w:tcPr>
          <w:p w14:paraId="22FC707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66.4--73.8%</w:t>
            </w:r>
          </w:p>
        </w:tc>
      </w:tr>
      <w:tr w:rsidR="00154F24" w:rsidRPr="00302F44" w14:paraId="1C4E55EE" w14:textId="77777777">
        <w:trPr>
          <w:cantSplit/>
          <w:tblCellSpacing w:w="0" w:type="dxa"/>
          <w:jc w:val="center"/>
        </w:trPr>
        <w:tc>
          <w:tcPr>
            <w:tcW w:w="0" w:type="auto"/>
            <w:tcBorders>
              <w:left w:val="single" w:sz="8" w:space="0" w:color="000000"/>
              <w:right w:val="single" w:sz="8" w:space="0" w:color="000000"/>
            </w:tcBorders>
            <w:vAlign w:val="center"/>
          </w:tcPr>
          <w:p w14:paraId="5ECD090D"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AE131C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Low</w:t>
            </w:r>
          </w:p>
        </w:tc>
        <w:tc>
          <w:tcPr>
            <w:tcW w:w="0" w:type="auto"/>
            <w:tcBorders>
              <w:bottom w:val="single" w:sz="8" w:space="0" w:color="000000"/>
              <w:right w:val="single" w:sz="8" w:space="0" w:color="000000"/>
            </w:tcBorders>
            <w:vAlign w:val="center"/>
          </w:tcPr>
          <w:p w14:paraId="2C3F9B6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126</w:t>
            </w:r>
          </w:p>
        </w:tc>
        <w:tc>
          <w:tcPr>
            <w:tcW w:w="0" w:type="auto"/>
            <w:tcBorders>
              <w:bottom w:val="single" w:sz="8" w:space="0" w:color="000000"/>
              <w:right w:val="single" w:sz="8" w:space="0" w:color="000000"/>
            </w:tcBorders>
            <w:vAlign w:val="center"/>
          </w:tcPr>
          <w:p w14:paraId="1F3883E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18.8%</w:t>
            </w:r>
          </w:p>
        </w:tc>
        <w:tc>
          <w:tcPr>
            <w:tcW w:w="0" w:type="auto"/>
            <w:tcBorders>
              <w:bottom w:val="single" w:sz="8" w:space="0" w:color="000000"/>
              <w:right w:val="single" w:sz="8" w:space="0" w:color="000000"/>
            </w:tcBorders>
            <w:vAlign w:val="center"/>
          </w:tcPr>
          <w:p w14:paraId="5629CA9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15.8--21.8%</w:t>
            </w:r>
          </w:p>
        </w:tc>
      </w:tr>
      <w:tr w:rsidR="00154F24" w:rsidRPr="00302F44" w14:paraId="1C5EAF8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435917"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26BD81B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High</w:t>
            </w:r>
          </w:p>
        </w:tc>
        <w:tc>
          <w:tcPr>
            <w:tcW w:w="0" w:type="auto"/>
            <w:tcBorders>
              <w:bottom w:val="single" w:sz="8" w:space="0" w:color="000000"/>
              <w:right w:val="single" w:sz="8" w:space="0" w:color="000000"/>
            </w:tcBorders>
            <w:vAlign w:val="center"/>
          </w:tcPr>
          <w:p w14:paraId="4F26832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75</w:t>
            </w:r>
          </w:p>
        </w:tc>
        <w:tc>
          <w:tcPr>
            <w:tcW w:w="0" w:type="auto"/>
            <w:tcBorders>
              <w:bottom w:val="single" w:sz="8" w:space="0" w:color="000000"/>
              <w:right w:val="single" w:sz="8" w:space="0" w:color="000000"/>
            </w:tcBorders>
            <w:vAlign w:val="center"/>
          </w:tcPr>
          <w:p w14:paraId="13824D0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11.2%</w:t>
            </w:r>
          </w:p>
        </w:tc>
        <w:tc>
          <w:tcPr>
            <w:tcW w:w="0" w:type="auto"/>
            <w:tcBorders>
              <w:bottom w:val="single" w:sz="8" w:space="0" w:color="000000"/>
              <w:right w:val="single" w:sz="8" w:space="0" w:color="000000"/>
            </w:tcBorders>
            <w:vAlign w:val="center"/>
          </w:tcPr>
          <w:p w14:paraId="08D2DC6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8.8--13.6%</w:t>
            </w:r>
          </w:p>
        </w:tc>
      </w:tr>
      <w:tr w:rsidR="00154F24" w:rsidRPr="00302F44" w14:paraId="672B3394" w14:textId="77777777">
        <w:trPr>
          <w:cantSplit/>
          <w:tblCellSpacing w:w="0" w:type="dxa"/>
          <w:jc w:val="center"/>
        </w:trPr>
        <w:tc>
          <w:tcPr>
            <w:tcW w:w="0" w:type="auto"/>
            <w:tcBorders>
              <w:left w:val="single" w:sz="8" w:space="0" w:color="000000"/>
              <w:right w:val="single" w:sz="8" w:space="0" w:color="000000"/>
            </w:tcBorders>
            <w:vAlign w:val="center"/>
          </w:tcPr>
          <w:p w14:paraId="7781239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Peace of Mind</w:t>
            </w:r>
            <w:r w:rsidRPr="00302F44">
              <w:rPr>
                <w:rFonts w:ascii="Times New Roman" w:hAnsi="Times New Roman" w:cs="Times New Roman"/>
                <w:sz w:val="24"/>
                <w:szCs w:val="24"/>
              </w:rPr>
              <w:t xml:space="preserve"> (n=639)</w:t>
            </w:r>
          </w:p>
        </w:tc>
        <w:tc>
          <w:tcPr>
            <w:tcW w:w="0" w:type="auto"/>
            <w:tcBorders>
              <w:bottom w:val="single" w:sz="8" w:space="0" w:color="000000"/>
              <w:right w:val="single" w:sz="8" w:space="0" w:color="000000"/>
            </w:tcBorders>
            <w:vAlign w:val="center"/>
          </w:tcPr>
          <w:p w14:paraId="303F254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Moderate disturbance</w:t>
            </w:r>
          </w:p>
        </w:tc>
        <w:tc>
          <w:tcPr>
            <w:tcW w:w="0" w:type="auto"/>
            <w:tcBorders>
              <w:bottom w:val="single" w:sz="8" w:space="0" w:color="000000"/>
              <w:right w:val="single" w:sz="8" w:space="0" w:color="000000"/>
            </w:tcBorders>
            <w:vAlign w:val="center"/>
          </w:tcPr>
          <w:p w14:paraId="018520E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329</w:t>
            </w:r>
          </w:p>
        </w:tc>
        <w:tc>
          <w:tcPr>
            <w:tcW w:w="0" w:type="auto"/>
            <w:tcBorders>
              <w:bottom w:val="single" w:sz="8" w:space="0" w:color="000000"/>
              <w:right w:val="single" w:sz="8" w:space="0" w:color="000000"/>
            </w:tcBorders>
            <w:vAlign w:val="center"/>
          </w:tcPr>
          <w:p w14:paraId="6B4B31A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51.5%</w:t>
            </w:r>
          </w:p>
        </w:tc>
        <w:tc>
          <w:tcPr>
            <w:tcW w:w="0" w:type="auto"/>
            <w:tcBorders>
              <w:bottom w:val="single" w:sz="8" w:space="0" w:color="000000"/>
              <w:right w:val="single" w:sz="8" w:space="0" w:color="000000"/>
            </w:tcBorders>
            <w:vAlign w:val="center"/>
          </w:tcPr>
          <w:p w14:paraId="3EBCAC4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47.7--55.3%</w:t>
            </w:r>
          </w:p>
        </w:tc>
      </w:tr>
      <w:tr w:rsidR="00154F24" w:rsidRPr="00302F44" w14:paraId="23DD2043" w14:textId="77777777">
        <w:trPr>
          <w:cantSplit/>
          <w:tblCellSpacing w:w="0" w:type="dxa"/>
          <w:jc w:val="center"/>
        </w:trPr>
        <w:tc>
          <w:tcPr>
            <w:tcW w:w="0" w:type="auto"/>
            <w:tcBorders>
              <w:left w:val="single" w:sz="8" w:space="0" w:color="000000"/>
              <w:right w:val="single" w:sz="8" w:space="0" w:color="000000"/>
            </w:tcBorders>
            <w:vAlign w:val="center"/>
          </w:tcPr>
          <w:p w14:paraId="7F66AFA5"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216D48F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Tolerable</w:t>
            </w:r>
          </w:p>
        </w:tc>
        <w:tc>
          <w:tcPr>
            <w:tcW w:w="0" w:type="auto"/>
            <w:tcBorders>
              <w:bottom w:val="single" w:sz="8" w:space="0" w:color="000000"/>
              <w:right w:val="single" w:sz="8" w:space="0" w:color="000000"/>
            </w:tcBorders>
            <w:vAlign w:val="center"/>
          </w:tcPr>
          <w:p w14:paraId="78945D6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263</w:t>
            </w:r>
          </w:p>
        </w:tc>
        <w:tc>
          <w:tcPr>
            <w:tcW w:w="0" w:type="auto"/>
            <w:tcBorders>
              <w:bottom w:val="single" w:sz="8" w:space="0" w:color="000000"/>
              <w:right w:val="single" w:sz="8" w:space="0" w:color="000000"/>
            </w:tcBorders>
            <w:vAlign w:val="center"/>
          </w:tcPr>
          <w:p w14:paraId="6ED125E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41.2%</w:t>
            </w:r>
          </w:p>
        </w:tc>
        <w:tc>
          <w:tcPr>
            <w:tcW w:w="0" w:type="auto"/>
            <w:tcBorders>
              <w:bottom w:val="single" w:sz="8" w:space="0" w:color="000000"/>
              <w:right w:val="single" w:sz="8" w:space="0" w:color="000000"/>
            </w:tcBorders>
            <w:vAlign w:val="center"/>
          </w:tcPr>
          <w:p w14:paraId="68A8840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37.4--45.0%</w:t>
            </w:r>
          </w:p>
        </w:tc>
      </w:tr>
      <w:tr w:rsidR="00154F24" w:rsidRPr="00302F44" w14:paraId="38CACC5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2B7484"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F21E56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Unbearable</w:t>
            </w:r>
          </w:p>
        </w:tc>
        <w:tc>
          <w:tcPr>
            <w:tcW w:w="0" w:type="auto"/>
            <w:tcBorders>
              <w:bottom w:val="single" w:sz="8" w:space="0" w:color="000000"/>
              <w:right w:val="single" w:sz="8" w:space="0" w:color="000000"/>
            </w:tcBorders>
            <w:vAlign w:val="center"/>
          </w:tcPr>
          <w:p w14:paraId="726AD7E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47</w:t>
            </w:r>
          </w:p>
        </w:tc>
        <w:tc>
          <w:tcPr>
            <w:tcW w:w="0" w:type="auto"/>
            <w:tcBorders>
              <w:bottom w:val="single" w:sz="8" w:space="0" w:color="000000"/>
              <w:right w:val="single" w:sz="8" w:space="0" w:color="000000"/>
            </w:tcBorders>
            <w:vAlign w:val="center"/>
          </w:tcPr>
          <w:p w14:paraId="07EA25F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7.4%</w:t>
            </w:r>
          </w:p>
        </w:tc>
        <w:tc>
          <w:tcPr>
            <w:tcW w:w="0" w:type="auto"/>
            <w:tcBorders>
              <w:bottom w:val="single" w:sz="8" w:space="0" w:color="000000"/>
              <w:right w:val="single" w:sz="8" w:space="0" w:color="000000"/>
            </w:tcBorders>
            <w:vAlign w:val="center"/>
          </w:tcPr>
          <w:p w14:paraId="3CC0500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5.4--9.4%</w:t>
            </w:r>
          </w:p>
        </w:tc>
      </w:tr>
      <w:tr w:rsidR="00154F24" w:rsidRPr="00302F44" w14:paraId="004B60E9" w14:textId="77777777">
        <w:trPr>
          <w:cantSplit/>
          <w:tblCellSpacing w:w="0" w:type="dxa"/>
          <w:jc w:val="center"/>
        </w:trPr>
        <w:tc>
          <w:tcPr>
            <w:tcW w:w="0" w:type="auto"/>
            <w:tcBorders>
              <w:left w:val="single" w:sz="8" w:space="0" w:color="000000"/>
              <w:right w:val="single" w:sz="8" w:space="0" w:color="000000"/>
            </w:tcBorders>
            <w:vAlign w:val="center"/>
          </w:tcPr>
          <w:p w14:paraId="570E47D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Disease Transmission</w:t>
            </w:r>
            <w:r w:rsidRPr="00302F44">
              <w:rPr>
                <w:rFonts w:ascii="Times New Roman" w:hAnsi="Times New Roman" w:cs="Times New Roman"/>
                <w:sz w:val="24"/>
                <w:szCs w:val="24"/>
              </w:rPr>
              <w:t xml:space="preserve"> (n=657)</w:t>
            </w:r>
          </w:p>
        </w:tc>
        <w:tc>
          <w:tcPr>
            <w:tcW w:w="0" w:type="auto"/>
            <w:tcBorders>
              <w:bottom w:val="single" w:sz="8" w:space="0" w:color="000000"/>
              <w:right w:val="single" w:sz="8" w:space="0" w:color="000000"/>
            </w:tcBorders>
            <w:vAlign w:val="center"/>
          </w:tcPr>
          <w:p w14:paraId="59E64D2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Don't know</w:t>
            </w:r>
          </w:p>
        </w:tc>
        <w:tc>
          <w:tcPr>
            <w:tcW w:w="0" w:type="auto"/>
            <w:tcBorders>
              <w:bottom w:val="single" w:sz="8" w:space="0" w:color="000000"/>
              <w:right w:val="single" w:sz="8" w:space="0" w:color="000000"/>
            </w:tcBorders>
            <w:vAlign w:val="center"/>
          </w:tcPr>
          <w:p w14:paraId="732AD9C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381</w:t>
            </w:r>
          </w:p>
        </w:tc>
        <w:tc>
          <w:tcPr>
            <w:tcW w:w="0" w:type="auto"/>
            <w:tcBorders>
              <w:bottom w:val="single" w:sz="8" w:space="0" w:color="000000"/>
              <w:right w:val="single" w:sz="8" w:space="0" w:color="000000"/>
            </w:tcBorders>
            <w:vAlign w:val="center"/>
          </w:tcPr>
          <w:p w14:paraId="4DF0ECB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58.0%</w:t>
            </w:r>
          </w:p>
        </w:tc>
        <w:tc>
          <w:tcPr>
            <w:tcW w:w="0" w:type="auto"/>
            <w:tcBorders>
              <w:bottom w:val="single" w:sz="8" w:space="0" w:color="000000"/>
              <w:right w:val="single" w:sz="8" w:space="0" w:color="000000"/>
            </w:tcBorders>
            <w:vAlign w:val="center"/>
          </w:tcPr>
          <w:p w14:paraId="2EB5675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54.2--61.8%</w:t>
            </w:r>
          </w:p>
        </w:tc>
      </w:tr>
      <w:tr w:rsidR="00154F24" w:rsidRPr="00302F44" w14:paraId="4330EE16" w14:textId="77777777">
        <w:trPr>
          <w:cantSplit/>
          <w:tblCellSpacing w:w="0" w:type="dxa"/>
          <w:jc w:val="center"/>
        </w:trPr>
        <w:tc>
          <w:tcPr>
            <w:tcW w:w="0" w:type="auto"/>
            <w:tcBorders>
              <w:left w:val="single" w:sz="8" w:space="0" w:color="000000"/>
              <w:right w:val="single" w:sz="8" w:space="0" w:color="000000"/>
            </w:tcBorders>
            <w:vAlign w:val="center"/>
          </w:tcPr>
          <w:p w14:paraId="66D1835D"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0EA973E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Yes</w:t>
            </w:r>
          </w:p>
        </w:tc>
        <w:tc>
          <w:tcPr>
            <w:tcW w:w="0" w:type="auto"/>
            <w:tcBorders>
              <w:bottom w:val="single" w:sz="8" w:space="0" w:color="000000"/>
              <w:right w:val="single" w:sz="8" w:space="0" w:color="000000"/>
            </w:tcBorders>
            <w:vAlign w:val="center"/>
          </w:tcPr>
          <w:p w14:paraId="15CF78F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161</w:t>
            </w:r>
          </w:p>
        </w:tc>
        <w:tc>
          <w:tcPr>
            <w:tcW w:w="0" w:type="auto"/>
            <w:tcBorders>
              <w:bottom w:val="single" w:sz="8" w:space="0" w:color="000000"/>
              <w:right w:val="single" w:sz="8" w:space="0" w:color="000000"/>
            </w:tcBorders>
            <w:vAlign w:val="center"/>
          </w:tcPr>
          <w:p w14:paraId="535FBF9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24.5%</w:t>
            </w:r>
          </w:p>
        </w:tc>
        <w:tc>
          <w:tcPr>
            <w:tcW w:w="0" w:type="auto"/>
            <w:tcBorders>
              <w:bottom w:val="single" w:sz="8" w:space="0" w:color="000000"/>
              <w:right w:val="single" w:sz="8" w:space="0" w:color="000000"/>
            </w:tcBorders>
            <w:vAlign w:val="center"/>
          </w:tcPr>
          <w:p w14:paraId="1B450DD9"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21.1--27.9%</w:t>
            </w:r>
          </w:p>
        </w:tc>
      </w:tr>
      <w:tr w:rsidR="00154F24" w:rsidRPr="00302F44" w14:paraId="2539825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72A9AEF"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48868D9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No</w:t>
            </w:r>
          </w:p>
        </w:tc>
        <w:tc>
          <w:tcPr>
            <w:tcW w:w="0" w:type="auto"/>
            <w:tcBorders>
              <w:bottom w:val="single" w:sz="8" w:space="0" w:color="000000"/>
              <w:right w:val="single" w:sz="8" w:space="0" w:color="000000"/>
            </w:tcBorders>
            <w:vAlign w:val="center"/>
          </w:tcPr>
          <w:p w14:paraId="6CF3316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115</w:t>
            </w:r>
          </w:p>
        </w:tc>
        <w:tc>
          <w:tcPr>
            <w:tcW w:w="0" w:type="auto"/>
            <w:tcBorders>
              <w:bottom w:val="single" w:sz="8" w:space="0" w:color="000000"/>
              <w:right w:val="single" w:sz="8" w:space="0" w:color="000000"/>
            </w:tcBorders>
            <w:vAlign w:val="center"/>
          </w:tcPr>
          <w:p w14:paraId="48BBEC5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17.5%</w:t>
            </w:r>
          </w:p>
        </w:tc>
        <w:tc>
          <w:tcPr>
            <w:tcW w:w="0" w:type="auto"/>
            <w:tcBorders>
              <w:bottom w:val="single" w:sz="8" w:space="0" w:color="000000"/>
              <w:right w:val="single" w:sz="8" w:space="0" w:color="000000"/>
            </w:tcBorders>
            <w:vAlign w:val="center"/>
          </w:tcPr>
          <w:p w14:paraId="6C662229"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14.6--20.4%</w:t>
            </w:r>
          </w:p>
        </w:tc>
      </w:tr>
    </w:tbl>
    <w:p w14:paraId="2A494E58" w14:textId="77777777" w:rsidR="00154F24" w:rsidRPr="00302F44" w:rsidRDefault="00154F24" w:rsidP="00302F44">
      <w:pPr>
        <w:jc w:val="both"/>
        <w:rPr>
          <w:rFonts w:ascii="Times New Roman" w:hAnsi="Times New Roman" w:cs="Times New Roman"/>
          <w:sz w:val="24"/>
          <w:szCs w:val="24"/>
        </w:rPr>
      </w:pPr>
    </w:p>
    <w:p w14:paraId="594F558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2: Table 2. Community Attitudes and Perceptions</w:t>
      </w:r>
    </w:p>
    <w:tbl>
      <w:tblPr>
        <w:tblStyle w:val="NormalGrid"/>
        <w:tblW w:w="0" w:type="auto"/>
        <w:jc w:val="center"/>
        <w:tblCellSpacing w:w="0" w:type="dxa"/>
        <w:tblLook w:val="04A0" w:firstRow="1" w:lastRow="0" w:firstColumn="1" w:lastColumn="0" w:noHBand="0" w:noVBand="1"/>
      </w:tblPr>
      <w:tblGrid>
        <w:gridCol w:w="3608"/>
        <w:gridCol w:w="1973"/>
        <w:gridCol w:w="700"/>
        <w:gridCol w:w="1473"/>
      </w:tblGrid>
      <w:tr w:rsidR="00154F24" w:rsidRPr="00302F44" w14:paraId="452BDD9C"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3918B9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Variable</w:t>
            </w:r>
          </w:p>
        </w:tc>
        <w:tc>
          <w:tcPr>
            <w:tcW w:w="0" w:type="auto"/>
            <w:tcBorders>
              <w:top w:val="single" w:sz="8" w:space="0" w:color="000000"/>
              <w:bottom w:val="single" w:sz="8" w:space="0" w:color="000000"/>
              <w:right w:val="single" w:sz="8" w:space="0" w:color="000000"/>
            </w:tcBorders>
            <w:vAlign w:val="center"/>
          </w:tcPr>
          <w:p w14:paraId="11A4EE6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Category</w:t>
            </w:r>
          </w:p>
        </w:tc>
        <w:tc>
          <w:tcPr>
            <w:tcW w:w="0" w:type="auto"/>
            <w:tcBorders>
              <w:top w:val="single" w:sz="8" w:space="0" w:color="000000"/>
              <w:bottom w:val="single" w:sz="8" w:space="0" w:color="000000"/>
              <w:right w:val="single" w:sz="8" w:space="0" w:color="000000"/>
            </w:tcBorders>
            <w:vAlign w:val="center"/>
          </w:tcPr>
          <w:p w14:paraId="7F59E6D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36FA8E2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r>
      <w:tr w:rsidR="00154F24" w:rsidRPr="00302F44" w14:paraId="485CF7C9" w14:textId="77777777">
        <w:trPr>
          <w:cantSplit/>
          <w:tblCellSpacing w:w="0" w:type="dxa"/>
          <w:jc w:val="center"/>
        </w:trPr>
        <w:tc>
          <w:tcPr>
            <w:tcW w:w="0" w:type="auto"/>
            <w:tcBorders>
              <w:left w:val="single" w:sz="8" w:space="0" w:color="000000"/>
              <w:right w:val="single" w:sz="8" w:space="0" w:color="000000"/>
            </w:tcBorders>
            <w:vAlign w:val="center"/>
          </w:tcPr>
          <w:p w14:paraId="3EE17E0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Damage Type</w:t>
            </w:r>
            <w:r w:rsidRPr="00302F44">
              <w:rPr>
                <w:rFonts w:ascii="Times New Roman" w:hAnsi="Times New Roman" w:cs="Times New Roman"/>
                <w:sz w:val="24"/>
                <w:szCs w:val="24"/>
              </w:rPr>
              <w:t xml:space="preserve"> (n=535)</w:t>
            </w:r>
          </w:p>
        </w:tc>
        <w:tc>
          <w:tcPr>
            <w:tcW w:w="0" w:type="auto"/>
            <w:tcBorders>
              <w:bottom w:val="single" w:sz="8" w:space="0" w:color="000000"/>
              <w:right w:val="single" w:sz="8" w:space="0" w:color="000000"/>
            </w:tcBorders>
            <w:vAlign w:val="center"/>
          </w:tcPr>
          <w:p w14:paraId="6BAD33B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Food snatching</w:t>
            </w:r>
          </w:p>
        </w:tc>
        <w:tc>
          <w:tcPr>
            <w:tcW w:w="0" w:type="auto"/>
            <w:tcBorders>
              <w:bottom w:val="single" w:sz="8" w:space="0" w:color="000000"/>
              <w:right w:val="single" w:sz="8" w:space="0" w:color="000000"/>
            </w:tcBorders>
            <w:vAlign w:val="center"/>
          </w:tcPr>
          <w:p w14:paraId="6EA553B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179</w:t>
            </w:r>
          </w:p>
        </w:tc>
        <w:tc>
          <w:tcPr>
            <w:tcW w:w="0" w:type="auto"/>
            <w:tcBorders>
              <w:bottom w:val="single" w:sz="8" w:space="0" w:color="000000"/>
              <w:right w:val="single" w:sz="8" w:space="0" w:color="000000"/>
            </w:tcBorders>
            <w:vAlign w:val="center"/>
          </w:tcPr>
          <w:p w14:paraId="5789465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33.5%</w:t>
            </w:r>
          </w:p>
        </w:tc>
      </w:tr>
      <w:tr w:rsidR="00154F24" w:rsidRPr="00302F44" w14:paraId="4AEB47EB" w14:textId="77777777">
        <w:trPr>
          <w:cantSplit/>
          <w:tblCellSpacing w:w="0" w:type="dxa"/>
          <w:jc w:val="center"/>
        </w:trPr>
        <w:tc>
          <w:tcPr>
            <w:tcW w:w="0" w:type="auto"/>
            <w:tcBorders>
              <w:left w:val="single" w:sz="8" w:space="0" w:color="000000"/>
              <w:right w:val="single" w:sz="8" w:space="0" w:color="000000"/>
            </w:tcBorders>
            <w:vAlign w:val="center"/>
          </w:tcPr>
          <w:p w14:paraId="319AB4FC"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71DEEA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Other</w:t>
            </w:r>
          </w:p>
        </w:tc>
        <w:tc>
          <w:tcPr>
            <w:tcW w:w="0" w:type="auto"/>
            <w:tcBorders>
              <w:bottom w:val="single" w:sz="8" w:space="0" w:color="000000"/>
              <w:right w:val="single" w:sz="8" w:space="0" w:color="000000"/>
            </w:tcBorders>
            <w:vAlign w:val="center"/>
          </w:tcPr>
          <w:p w14:paraId="725964F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214</w:t>
            </w:r>
          </w:p>
        </w:tc>
        <w:tc>
          <w:tcPr>
            <w:tcW w:w="0" w:type="auto"/>
            <w:tcBorders>
              <w:bottom w:val="single" w:sz="8" w:space="0" w:color="000000"/>
              <w:right w:val="single" w:sz="8" w:space="0" w:color="000000"/>
            </w:tcBorders>
            <w:vAlign w:val="center"/>
          </w:tcPr>
          <w:p w14:paraId="6A8351F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40.0%</w:t>
            </w:r>
          </w:p>
        </w:tc>
      </w:tr>
      <w:tr w:rsidR="00154F24" w:rsidRPr="00302F44" w14:paraId="3F2E0523" w14:textId="77777777">
        <w:trPr>
          <w:cantSplit/>
          <w:tblCellSpacing w:w="0" w:type="dxa"/>
          <w:jc w:val="center"/>
        </w:trPr>
        <w:tc>
          <w:tcPr>
            <w:tcW w:w="0" w:type="auto"/>
            <w:tcBorders>
              <w:left w:val="single" w:sz="8" w:space="0" w:color="000000"/>
              <w:right w:val="single" w:sz="8" w:space="0" w:color="000000"/>
            </w:tcBorders>
            <w:vAlign w:val="center"/>
          </w:tcPr>
          <w:p w14:paraId="3F32D325"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BDB04F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Garden damage</w:t>
            </w:r>
          </w:p>
        </w:tc>
        <w:tc>
          <w:tcPr>
            <w:tcW w:w="0" w:type="auto"/>
            <w:tcBorders>
              <w:bottom w:val="single" w:sz="8" w:space="0" w:color="000000"/>
              <w:right w:val="single" w:sz="8" w:space="0" w:color="000000"/>
            </w:tcBorders>
            <w:vAlign w:val="center"/>
          </w:tcPr>
          <w:p w14:paraId="3C59448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82</w:t>
            </w:r>
          </w:p>
        </w:tc>
        <w:tc>
          <w:tcPr>
            <w:tcW w:w="0" w:type="auto"/>
            <w:tcBorders>
              <w:bottom w:val="single" w:sz="8" w:space="0" w:color="000000"/>
              <w:right w:val="single" w:sz="8" w:space="0" w:color="000000"/>
            </w:tcBorders>
            <w:vAlign w:val="center"/>
          </w:tcPr>
          <w:p w14:paraId="47A5D01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15.3%</w:t>
            </w:r>
          </w:p>
        </w:tc>
      </w:tr>
      <w:tr w:rsidR="00154F24" w:rsidRPr="00302F44" w14:paraId="6EA52563" w14:textId="77777777">
        <w:trPr>
          <w:cantSplit/>
          <w:tblCellSpacing w:w="0" w:type="dxa"/>
          <w:jc w:val="center"/>
        </w:trPr>
        <w:tc>
          <w:tcPr>
            <w:tcW w:w="0" w:type="auto"/>
            <w:tcBorders>
              <w:left w:val="single" w:sz="8" w:space="0" w:color="000000"/>
              <w:right w:val="single" w:sz="8" w:space="0" w:color="000000"/>
            </w:tcBorders>
            <w:vAlign w:val="center"/>
          </w:tcPr>
          <w:p w14:paraId="6387DB51"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DF596D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Crop damage</w:t>
            </w:r>
          </w:p>
        </w:tc>
        <w:tc>
          <w:tcPr>
            <w:tcW w:w="0" w:type="auto"/>
            <w:tcBorders>
              <w:bottom w:val="single" w:sz="8" w:space="0" w:color="000000"/>
              <w:right w:val="single" w:sz="8" w:space="0" w:color="000000"/>
            </w:tcBorders>
            <w:vAlign w:val="center"/>
          </w:tcPr>
          <w:p w14:paraId="01A82C2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74</w:t>
            </w:r>
          </w:p>
        </w:tc>
        <w:tc>
          <w:tcPr>
            <w:tcW w:w="0" w:type="auto"/>
            <w:tcBorders>
              <w:bottom w:val="single" w:sz="8" w:space="0" w:color="000000"/>
              <w:right w:val="single" w:sz="8" w:space="0" w:color="000000"/>
            </w:tcBorders>
            <w:vAlign w:val="center"/>
          </w:tcPr>
          <w:p w14:paraId="2BB234E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13.8%</w:t>
            </w:r>
          </w:p>
        </w:tc>
      </w:tr>
      <w:tr w:rsidR="00154F24" w:rsidRPr="00302F44" w14:paraId="68184848" w14:textId="77777777">
        <w:trPr>
          <w:cantSplit/>
          <w:tblCellSpacing w:w="0" w:type="dxa"/>
          <w:jc w:val="center"/>
        </w:trPr>
        <w:tc>
          <w:tcPr>
            <w:tcW w:w="0" w:type="auto"/>
            <w:tcBorders>
              <w:left w:val="single" w:sz="8" w:space="0" w:color="000000"/>
              <w:right w:val="single" w:sz="8" w:space="0" w:color="000000"/>
            </w:tcBorders>
            <w:vAlign w:val="center"/>
          </w:tcPr>
          <w:p w14:paraId="509842A2"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C41263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Property damage</w:t>
            </w:r>
          </w:p>
        </w:tc>
        <w:tc>
          <w:tcPr>
            <w:tcW w:w="0" w:type="auto"/>
            <w:tcBorders>
              <w:bottom w:val="single" w:sz="8" w:space="0" w:color="000000"/>
              <w:right w:val="single" w:sz="8" w:space="0" w:color="000000"/>
            </w:tcBorders>
            <w:vAlign w:val="center"/>
          </w:tcPr>
          <w:p w14:paraId="6A64760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57</w:t>
            </w:r>
          </w:p>
        </w:tc>
        <w:tc>
          <w:tcPr>
            <w:tcW w:w="0" w:type="auto"/>
            <w:tcBorders>
              <w:bottom w:val="single" w:sz="8" w:space="0" w:color="000000"/>
              <w:right w:val="single" w:sz="8" w:space="0" w:color="000000"/>
            </w:tcBorders>
            <w:vAlign w:val="center"/>
          </w:tcPr>
          <w:p w14:paraId="2B11E20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10.7%</w:t>
            </w:r>
          </w:p>
        </w:tc>
      </w:tr>
      <w:tr w:rsidR="00154F24" w:rsidRPr="00302F44" w14:paraId="5FED229B" w14:textId="77777777">
        <w:trPr>
          <w:cantSplit/>
          <w:tblCellSpacing w:w="0" w:type="dxa"/>
          <w:jc w:val="center"/>
        </w:trPr>
        <w:tc>
          <w:tcPr>
            <w:tcW w:w="0" w:type="auto"/>
            <w:tcBorders>
              <w:left w:val="single" w:sz="8" w:space="0" w:color="000000"/>
              <w:right w:val="single" w:sz="8" w:space="0" w:color="000000"/>
            </w:tcBorders>
            <w:vAlign w:val="center"/>
          </w:tcPr>
          <w:p w14:paraId="0699DF08"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80DE67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Bite</w:t>
            </w:r>
          </w:p>
        </w:tc>
        <w:tc>
          <w:tcPr>
            <w:tcW w:w="0" w:type="auto"/>
            <w:tcBorders>
              <w:bottom w:val="single" w:sz="8" w:space="0" w:color="000000"/>
              <w:right w:val="single" w:sz="8" w:space="0" w:color="000000"/>
            </w:tcBorders>
            <w:vAlign w:val="center"/>
          </w:tcPr>
          <w:p w14:paraId="284F0B5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7B72031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1.7%</w:t>
            </w:r>
          </w:p>
        </w:tc>
      </w:tr>
      <w:tr w:rsidR="00154F24" w:rsidRPr="00302F44" w14:paraId="5D41104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557664"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4ABAB4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Pet damage</w:t>
            </w:r>
          </w:p>
        </w:tc>
        <w:tc>
          <w:tcPr>
            <w:tcW w:w="0" w:type="auto"/>
            <w:tcBorders>
              <w:bottom w:val="single" w:sz="8" w:space="0" w:color="000000"/>
              <w:right w:val="single" w:sz="8" w:space="0" w:color="000000"/>
            </w:tcBorders>
            <w:vAlign w:val="center"/>
          </w:tcPr>
          <w:p w14:paraId="18D596A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550288A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w:t>
            </w:r>
          </w:p>
        </w:tc>
      </w:tr>
      <w:tr w:rsidR="00154F24" w:rsidRPr="00302F44" w14:paraId="52CF8986" w14:textId="77777777">
        <w:trPr>
          <w:cantSplit/>
          <w:tblCellSpacing w:w="0" w:type="dxa"/>
          <w:jc w:val="center"/>
        </w:trPr>
        <w:tc>
          <w:tcPr>
            <w:tcW w:w="0" w:type="auto"/>
            <w:tcBorders>
              <w:left w:val="single" w:sz="8" w:space="0" w:color="000000"/>
              <w:right w:val="single" w:sz="8" w:space="0" w:color="000000"/>
            </w:tcBorders>
            <w:vAlign w:val="center"/>
          </w:tcPr>
          <w:p w14:paraId="241B95E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Property Damage Scale</w:t>
            </w:r>
            <w:r w:rsidRPr="00302F44">
              <w:rPr>
                <w:rFonts w:ascii="Times New Roman" w:hAnsi="Times New Roman" w:cs="Times New Roman"/>
                <w:sz w:val="24"/>
                <w:szCs w:val="24"/>
              </w:rPr>
              <w:t xml:space="preserve"> (n=627)</w:t>
            </w:r>
          </w:p>
        </w:tc>
        <w:tc>
          <w:tcPr>
            <w:tcW w:w="0" w:type="auto"/>
            <w:tcBorders>
              <w:bottom w:val="single" w:sz="8" w:space="0" w:color="000000"/>
              <w:right w:val="single" w:sz="8" w:space="0" w:color="000000"/>
            </w:tcBorders>
            <w:vAlign w:val="center"/>
          </w:tcPr>
          <w:p w14:paraId="51523AF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Low</w:t>
            </w:r>
          </w:p>
        </w:tc>
        <w:tc>
          <w:tcPr>
            <w:tcW w:w="0" w:type="auto"/>
            <w:tcBorders>
              <w:bottom w:val="single" w:sz="8" w:space="0" w:color="000000"/>
              <w:right w:val="single" w:sz="8" w:space="0" w:color="000000"/>
            </w:tcBorders>
            <w:vAlign w:val="center"/>
          </w:tcPr>
          <w:p w14:paraId="5AAC3E1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382</w:t>
            </w:r>
          </w:p>
        </w:tc>
        <w:tc>
          <w:tcPr>
            <w:tcW w:w="0" w:type="auto"/>
            <w:tcBorders>
              <w:bottom w:val="single" w:sz="8" w:space="0" w:color="000000"/>
              <w:right w:val="single" w:sz="8" w:space="0" w:color="000000"/>
            </w:tcBorders>
            <w:vAlign w:val="center"/>
          </w:tcPr>
          <w:p w14:paraId="1CD5D81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60.9%</w:t>
            </w:r>
          </w:p>
        </w:tc>
      </w:tr>
      <w:tr w:rsidR="00154F24" w:rsidRPr="00302F44" w14:paraId="138B7F56" w14:textId="77777777">
        <w:trPr>
          <w:cantSplit/>
          <w:tblCellSpacing w:w="0" w:type="dxa"/>
          <w:jc w:val="center"/>
        </w:trPr>
        <w:tc>
          <w:tcPr>
            <w:tcW w:w="0" w:type="auto"/>
            <w:tcBorders>
              <w:left w:val="single" w:sz="8" w:space="0" w:color="000000"/>
              <w:right w:val="single" w:sz="8" w:space="0" w:color="000000"/>
            </w:tcBorders>
            <w:vAlign w:val="center"/>
          </w:tcPr>
          <w:p w14:paraId="7EDBC918"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0BEA1B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Medium</w:t>
            </w:r>
          </w:p>
        </w:tc>
        <w:tc>
          <w:tcPr>
            <w:tcW w:w="0" w:type="auto"/>
            <w:tcBorders>
              <w:bottom w:val="single" w:sz="8" w:space="0" w:color="000000"/>
              <w:right w:val="single" w:sz="8" w:space="0" w:color="000000"/>
            </w:tcBorders>
            <w:vAlign w:val="center"/>
          </w:tcPr>
          <w:p w14:paraId="3C4FD1F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214</w:t>
            </w:r>
          </w:p>
        </w:tc>
        <w:tc>
          <w:tcPr>
            <w:tcW w:w="0" w:type="auto"/>
            <w:tcBorders>
              <w:bottom w:val="single" w:sz="8" w:space="0" w:color="000000"/>
              <w:right w:val="single" w:sz="8" w:space="0" w:color="000000"/>
            </w:tcBorders>
            <w:vAlign w:val="center"/>
          </w:tcPr>
          <w:p w14:paraId="5D369F5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34.1%</w:t>
            </w:r>
          </w:p>
        </w:tc>
      </w:tr>
      <w:tr w:rsidR="00154F24" w:rsidRPr="00302F44" w14:paraId="76D8576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A0B897" w14:textId="77777777" w:rsidR="00154F24" w:rsidRPr="00302F44" w:rsidRDefault="00154F24" w:rsidP="00302F44">
            <w:pPr>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5D67B7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High</w:t>
            </w:r>
          </w:p>
        </w:tc>
        <w:tc>
          <w:tcPr>
            <w:tcW w:w="0" w:type="auto"/>
            <w:tcBorders>
              <w:bottom w:val="single" w:sz="8" w:space="0" w:color="000000"/>
              <w:right w:val="single" w:sz="8" w:space="0" w:color="000000"/>
            </w:tcBorders>
            <w:vAlign w:val="center"/>
          </w:tcPr>
          <w:p w14:paraId="204B01F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31</w:t>
            </w:r>
          </w:p>
        </w:tc>
        <w:tc>
          <w:tcPr>
            <w:tcW w:w="0" w:type="auto"/>
            <w:tcBorders>
              <w:bottom w:val="single" w:sz="8" w:space="0" w:color="000000"/>
              <w:right w:val="single" w:sz="8" w:space="0" w:color="000000"/>
            </w:tcBorders>
            <w:vAlign w:val="center"/>
          </w:tcPr>
          <w:p w14:paraId="7897E92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4.9%</w:t>
            </w:r>
          </w:p>
        </w:tc>
      </w:tr>
    </w:tbl>
    <w:p w14:paraId="649D18C0" w14:textId="77777777" w:rsidR="00154F24" w:rsidRPr="00302F44" w:rsidRDefault="00154F24" w:rsidP="00302F44">
      <w:pPr>
        <w:jc w:val="both"/>
        <w:rPr>
          <w:rFonts w:ascii="Times New Roman" w:hAnsi="Times New Roman" w:cs="Times New Roman"/>
          <w:sz w:val="24"/>
          <w:szCs w:val="24"/>
        </w:rPr>
      </w:pPr>
    </w:p>
    <w:p w14:paraId="79CB68F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3: Table 3. Conflict Types and Property Damage</w:t>
      </w:r>
    </w:p>
    <w:tbl>
      <w:tblPr>
        <w:tblStyle w:val="NormalGrid"/>
        <w:tblW w:w="0" w:type="auto"/>
        <w:jc w:val="center"/>
        <w:tblCellSpacing w:w="0" w:type="dxa"/>
        <w:tblLook w:val="04A0" w:firstRow="1" w:lastRow="0" w:firstColumn="1" w:lastColumn="0" w:noHBand="0" w:noVBand="1"/>
      </w:tblPr>
      <w:tblGrid>
        <w:gridCol w:w="2427"/>
        <w:gridCol w:w="700"/>
        <w:gridCol w:w="1473"/>
      </w:tblGrid>
      <w:tr w:rsidR="00154F24" w:rsidRPr="00302F44" w14:paraId="2444935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B86EF8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Strategy</w:t>
            </w:r>
          </w:p>
        </w:tc>
        <w:tc>
          <w:tcPr>
            <w:tcW w:w="0" w:type="auto"/>
            <w:tcBorders>
              <w:top w:val="single" w:sz="8" w:space="0" w:color="000000"/>
              <w:bottom w:val="single" w:sz="8" w:space="0" w:color="000000"/>
              <w:right w:val="single" w:sz="8" w:space="0" w:color="000000"/>
            </w:tcBorders>
            <w:vAlign w:val="center"/>
          </w:tcPr>
          <w:p w14:paraId="529FC43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w:t>
            </w:r>
          </w:p>
        </w:tc>
        <w:tc>
          <w:tcPr>
            <w:tcW w:w="0" w:type="auto"/>
            <w:tcBorders>
              <w:top w:val="single" w:sz="8" w:space="0" w:color="000000"/>
              <w:bottom w:val="single" w:sz="8" w:space="0" w:color="000000"/>
              <w:right w:val="single" w:sz="8" w:space="0" w:color="000000"/>
            </w:tcBorders>
            <w:vAlign w:val="center"/>
          </w:tcPr>
          <w:p w14:paraId="56375855"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Percentage</w:t>
            </w:r>
          </w:p>
        </w:tc>
      </w:tr>
      <w:tr w:rsidR="00154F24" w:rsidRPr="00302F44" w14:paraId="5FAFE3A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D6327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Not feeding monkeys</w:t>
            </w:r>
          </w:p>
        </w:tc>
        <w:tc>
          <w:tcPr>
            <w:tcW w:w="0" w:type="auto"/>
            <w:tcBorders>
              <w:bottom w:val="single" w:sz="8" w:space="0" w:color="000000"/>
              <w:right w:val="single" w:sz="8" w:space="0" w:color="000000"/>
            </w:tcBorders>
            <w:vAlign w:val="center"/>
          </w:tcPr>
          <w:p w14:paraId="355C189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138</w:t>
            </w:r>
          </w:p>
        </w:tc>
        <w:tc>
          <w:tcPr>
            <w:tcW w:w="0" w:type="auto"/>
            <w:tcBorders>
              <w:bottom w:val="single" w:sz="8" w:space="0" w:color="000000"/>
              <w:right w:val="single" w:sz="8" w:space="0" w:color="000000"/>
            </w:tcBorders>
            <w:vAlign w:val="center"/>
          </w:tcPr>
          <w:p w14:paraId="292731D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23.8%</w:t>
            </w:r>
          </w:p>
        </w:tc>
      </w:tr>
      <w:tr w:rsidR="00154F24" w:rsidRPr="00302F44" w14:paraId="2A71B08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9BDD36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Iron grills/barriers</w:t>
            </w:r>
          </w:p>
        </w:tc>
        <w:tc>
          <w:tcPr>
            <w:tcW w:w="0" w:type="auto"/>
            <w:tcBorders>
              <w:bottom w:val="single" w:sz="8" w:space="0" w:color="000000"/>
              <w:right w:val="single" w:sz="8" w:space="0" w:color="000000"/>
            </w:tcBorders>
            <w:vAlign w:val="center"/>
          </w:tcPr>
          <w:p w14:paraId="026551F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133</w:t>
            </w:r>
          </w:p>
        </w:tc>
        <w:tc>
          <w:tcPr>
            <w:tcW w:w="0" w:type="auto"/>
            <w:tcBorders>
              <w:bottom w:val="single" w:sz="8" w:space="0" w:color="000000"/>
              <w:right w:val="single" w:sz="8" w:space="0" w:color="000000"/>
            </w:tcBorders>
            <w:vAlign w:val="center"/>
          </w:tcPr>
          <w:p w14:paraId="0407631B"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22.9%</w:t>
            </w:r>
          </w:p>
        </w:tc>
      </w:tr>
      <w:tr w:rsidR="00154F24" w:rsidRPr="00302F44" w14:paraId="00A2B96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68DA12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Using sticks</w:t>
            </w:r>
          </w:p>
        </w:tc>
        <w:tc>
          <w:tcPr>
            <w:tcW w:w="0" w:type="auto"/>
            <w:tcBorders>
              <w:bottom w:val="single" w:sz="8" w:space="0" w:color="000000"/>
              <w:right w:val="single" w:sz="8" w:space="0" w:color="000000"/>
            </w:tcBorders>
            <w:vAlign w:val="center"/>
          </w:tcPr>
          <w:p w14:paraId="626BD3E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119</w:t>
            </w:r>
          </w:p>
        </w:tc>
        <w:tc>
          <w:tcPr>
            <w:tcW w:w="0" w:type="auto"/>
            <w:tcBorders>
              <w:bottom w:val="single" w:sz="8" w:space="0" w:color="000000"/>
              <w:right w:val="single" w:sz="8" w:space="0" w:color="000000"/>
            </w:tcBorders>
            <w:vAlign w:val="center"/>
          </w:tcPr>
          <w:p w14:paraId="5DAE3E8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20.5%</w:t>
            </w:r>
          </w:p>
        </w:tc>
      </w:tr>
      <w:tr w:rsidR="00154F24" w:rsidRPr="00302F44" w14:paraId="2B234E3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AFB33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Other methods</w:t>
            </w:r>
          </w:p>
        </w:tc>
        <w:tc>
          <w:tcPr>
            <w:tcW w:w="0" w:type="auto"/>
            <w:tcBorders>
              <w:bottom w:val="single" w:sz="8" w:space="0" w:color="000000"/>
              <w:right w:val="single" w:sz="8" w:space="0" w:color="000000"/>
            </w:tcBorders>
            <w:vAlign w:val="center"/>
          </w:tcPr>
          <w:p w14:paraId="587BC03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118</w:t>
            </w:r>
          </w:p>
        </w:tc>
        <w:tc>
          <w:tcPr>
            <w:tcW w:w="0" w:type="auto"/>
            <w:tcBorders>
              <w:bottom w:val="single" w:sz="8" w:space="0" w:color="000000"/>
              <w:right w:val="single" w:sz="8" w:space="0" w:color="000000"/>
            </w:tcBorders>
            <w:vAlign w:val="center"/>
          </w:tcPr>
          <w:p w14:paraId="1E89E502"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20.3%</w:t>
            </w:r>
          </w:p>
        </w:tc>
      </w:tr>
      <w:tr w:rsidR="00154F24" w:rsidRPr="00302F44" w14:paraId="2680F9F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7BD78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Catch and release</w:t>
            </w:r>
          </w:p>
        </w:tc>
        <w:tc>
          <w:tcPr>
            <w:tcW w:w="0" w:type="auto"/>
            <w:tcBorders>
              <w:bottom w:val="single" w:sz="8" w:space="0" w:color="000000"/>
              <w:right w:val="single" w:sz="8" w:space="0" w:color="000000"/>
            </w:tcBorders>
            <w:vAlign w:val="center"/>
          </w:tcPr>
          <w:p w14:paraId="1E07A664"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77</w:t>
            </w:r>
          </w:p>
        </w:tc>
        <w:tc>
          <w:tcPr>
            <w:tcW w:w="0" w:type="auto"/>
            <w:tcBorders>
              <w:bottom w:val="single" w:sz="8" w:space="0" w:color="000000"/>
              <w:right w:val="single" w:sz="8" w:space="0" w:color="000000"/>
            </w:tcBorders>
            <w:vAlign w:val="center"/>
          </w:tcPr>
          <w:p w14:paraId="2687101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13.3%</w:t>
            </w:r>
          </w:p>
        </w:tc>
      </w:tr>
      <w:tr w:rsidR="00154F24" w:rsidRPr="00302F44" w14:paraId="7C33F9E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01D6F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Firecrackers</w:t>
            </w:r>
          </w:p>
        </w:tc>
        <w:tc>
          <w:tcPr>
            <w:tcW w:w="0" w:type="auto"/>
            <w:tcBorders>
              <w:bottom w:val="single" w:sz="8" w:space="0" w:color="000000"/>
              <w:right w:val="single" w:sz="8" w:space="0" w:color="000000"/>
            </w:tcBorders>
            <w:vAlign w:val="center"/>
          </w:tcPr>
          <w:p w14:paraId="0A9F921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65</w:t>
            </w:r>
          </w:p>
        </w:tc>
        <w:tc>
          <w:tcPr>
            <w:tcW w:w="0" w:type="auto"/>
            <w:tcBorders>
              <w:bottom w:val="single" w:sz="8" w:space="0" w:color="000000"/>
              <w:right w:val="single" w:sz="8" w:space="0" w:color="000000"/>
            </w:tcBorders>
            <w:vAlign w:val="center"/>
          </w:tcPr>
          <w:p w14:paraId="26B4ABE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11.2%</w:t>
            </w:r>
          </w:p>
        </w:tc>
      </w:tr>
      <w:tr w:rsidR="00154F24" w:rsidRPr="00302F44" w14:paraId="60DCC00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106570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Water spray</w:t>
            </w:r>
          </w:p>
        </w:tc>
        <w:tc>
          <w:tcPr>
            <w:tcW w:w="0" w:type="auto"/>
            <w:tcBorders>
              <w:bottom w:val="single" w:sz="8" w:space="0" w:color="000000"/>
              <w:right w:val="single" w:sz="8" w:space="0" w:color="000000"/>
            </w:tcBorders>
            <w:vAlign w:val="center"/>
          </w:tcPr>
          <w:p w14:paraId="1B46629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58</w:t>
            </w:r>
          </w:p>
        </w:tc>
        <w:tc>
          <w:tcPr>
            <w:tcW w:w="0" w:type="auto"/>
            <w:tcBorders>
              <w:bottom w:val="single" w:sz="8" w:space="0" w:color="000000"/>
              <w:right w:val="single" w:sz="8" w:space="0" w:color="000000"/>
            </w:tcBorders>
            <w:vAlign w:val="center"/>
          </w:tcPr>
          <w:p w14:paraId="76421997"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10.0%</w:t>
            </w:r>
          </w:p>
        </w:tc>
      </w:tr>
      <w:tr w:rsidR="00154F24" w:rsidRPr="00302F44" w14:paraId="24B4DE0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FBF7DE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Dogs</w:t>
            </w:r>
          </w:p>
        </w:tc>
        <w:tc>
          <w:tcPr>
            <w:tcW w:w="0" w:type="auto"/>
            <w:tcBorders>
              <w:bottom w:val="single" w:sz="8" w:space="0" w:color="000000"/>
              <w:right w:val="single" w:sz="8" w:space="0" w:color="000000"/>
            </w:tcBorders>
            <w:vAlign w:val="center"/>
          </w:tcPr>
          <w:p w14:paraId="404E951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42</w:t>
            </w:r>
          </w:p>
        </w:tc>
        <w:tc>
          <w:tcPr>
            <w:tcW w:w="0" w:type="auto"/>
            <w:tcBorders>
              <w:bottom w:val="single" w:sz="8" w:space="0" w:color="000000"/>
              <w:right w:val="single" w:sz="8" w:space="0" w:color="000000"/>
            </w:tcBorders>
            <w:vAlign w:val="center"/>
          </w:tcPr>
          <w:p w14:paraId="21BB2CDD"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7.2%</w:t>
            </w:r>
          </w:p>
        </w:tc>
      </w:tr>
      <w:tr w:rsidR="00154F24" w:rsidRPr="00302F44" w14:paraId="56F04F0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B6477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Culling</w:t>
            </w:r>
          </w:p>
        </w:tc>
        <w:tc>
          <w:tcPr>
            <w:tcW w:w="0" w:type="auto"/>
            <w:tcBorders>
              <w:bottom w:val="single" w:sz="8" w:space="0" w:color="000000"/>
              <w:right w:val="single" w:sz="8" w:space="0" w:color="000000"/>
            </w:tcBorders>
            <w:vAlign w:val="center"/>
          </w:tcPr>
          <w:p w14:paraId="70DFD44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55DE9468"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0.3%</w:t>
            </w:r>
          </w:p>
        </w:tc>
      </w:tr>
    </w:tbl>
    <w:p w14:paraId="5C153D19" w14:textId="77777777" w:rsidR="00154F24" w:rsidRPr="00302F44" w:rsidRDefault="00154F24" w:rsidP="00302F44">
      <w:pPr>
        <w:jc w:val="both"/>
        <w:rPr>
          <w:rFonts w:ascii="Times New Roman" w:hAnsi="Times New Roman" w:cs="Times New Roman"/>
          <w:sz w:val="24"/>
          <w:szCs w:val="24"/>
        </w:rPr>
      </w:pPr>
    </w:p>
    <w:p w14:paraId="35D5DBB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4: Table 4. Management Strategies Preferred by Community</w:t>
      </w:r>
    </w:p>
    <w:tbl>
      <w:tblPr>
        <w:tblStyle w:val="NormalGrid"/>
        <w:tblW w:w="0" w:type="auto"/>
        <w:jc w:val="center"/>
        <w:tblCellSpacing w:w="0" w:type="dxa"/>
        <w:tblLook w:val="04A0" w:firstRow="1" w:lastRow="0" w:firstColumn="1" w:lastColumn="0" w:noHBand="0" w:noVBand="1"/>
      </w:tblPr>
      <w:tblGrid>
        <w:gridCol w:w="1600"/>
        <w:gridCol w:w="1934"/>
        <w:gridCol w:w="1127"/>
        <w:gridCol w:w="1880"/>
        <w:gridCol w:w="887"/>
      </w:tblGrid>
      <w:tr w:rsidR="00154F24" w:rsidRPr="00302F44" w14:paraId="4EC0ED6D"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5A1FEA" w14:textId="77777777" w:rsidR="00154F24" w:rsidRPr="00302F44" w:rsidRDefault="00154F24" w:rsidP="00302F44">
            <w:pPr>
              <w:jc w:val="both"/>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p w14:paraId="6487558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High Tolerance</w:t>
            </w:r>
          </w:p>
        </w:tc>
        <w:tc>
          <w:tcPr>
            <w:tcW w:w="0" w:type="auto"/>
            <w:tcBorders>
              <w:top w:val="single" w:sz="8" w:space="0" w:color="000000"/>
              <w:bottom w:val="single" w:sz="8" w:space="0" w:color="000000"/>
              <w:right w:val="single" w:sz="8" w:space="0" w:color="000000"/>
            </w:tcBorders>
            <w:vAlign w:val="center"/>
          </w:tcPr>
          <w:p w14:paraId="36EA2AF6"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Neutral</w:t>
            </w:r>
          </w:p>
        </w:tc>
        <w:tc>
          <w:tcPr>
            <w:tcW w:w="0" w:type="auto"/>
            <w:tcBorders>
              <w:top w:val="single" w:sz="8" w:space="0" w:color="000000"/>
              <w:bottom w:val="single" w:sz="8" w:space="0" w:color="000000"/>
              <w:right w:val="single" w:sz="8" w:space="0" w:color="000000"/>
            </w:tcBorders>
            <w:vAlign w:val="center"/>
          </w:tcPr>
          <w:p w14:paraId="507EFB4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Low Tolerance</w:t>
            </w:r>
          </w:p>
        </w:tc>
        <w:tc>
          <w:tcPr>
            <w:tcW w:w="0" w:type="auto"/>
            <w:tcBorders>
              <w:top w:val="single" w:sz="8" w:space="0" w:color="000000"/>
              <w:bottom w:val="single" w:sz="8" w:space="0" w:color="000000"/>
              <w:right w:val="single" w:sz="8" w:space="0" w:color="000000"/>
            </w:tcBorders>
            <w:vAlign w:val="center"/>
          </w:tcPr>
          <w:p w14:paraId="327BB44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Total</w:t>
            </w:r>
          </w:p>
        </w:tc>
      </w:tr>
      <w:tr w:rsidR="00154F24" w:rsidRPr="00302F44" w14:paraId="68C0591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A614750"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Feeders</w:t>
            </w:r>
          </w:p>
        </w:tc>
        <w:tc>
          <w:tcPr>
            <w:tcW w:w="0" w:type="auto"/>
            <w:tcBorders>
              <w:bottom w:val="single" w:sz="8" w:space="0" w:color="000000"/>
              <w:right w:val="single" w:sz="8" w:space="0" w:color="000000"/>
            </w:tcBorders>
            <w:vAlign w:val="center"/>
          </w:tcPr>
          <w:p w14:paraId="60F9A44C"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45</w:t>
            </w:r>
          </w:p>
        </w:tc>
        <w:tc>
          <w:tcPr>
            <w:tcW w:w="0" w:type="auto"/>
            <w:tcBorders>
              <w:bottom w:val="single" w:sz="8" w:space="0" w:color="000000"/>
              <w:right w:val="single" w:sz="8" w:space="0" w:color="000000"/>
            </w:tcBorders>
            <w:vAlign w:val="center"/>
          </w:tcPr>
          <w:p w14:paraId="6420E873"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198</w:t>
            </w:r>
          </w:p>
        </w:tc>
        <w:tc>
          <w:tcPr>
            <w:tcW w:w="0" w:type="auto"/>
            <w:tcBorders>
              <w:bottom w:val="single" w:sz="8" w:space="0" w:color="000000"/>
              <w:right w:val="single" w:sz="8" w:space="0" w:color="000000"/>
            </w:tcBorders>
            <w:vAlign w:val="center"/>
          </w:tcPr>
          <w:p w14:paraId="5D8272B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48</w:t>
            </w:r>
          </w:p>
        </w:tc>
        <w:tc>
          <w:tcPr>
            <w:tcW w:w="0" w:type="auto"/>
            <w:tcBorders>
              <w:bottom w:val="single" w:sz="8" w:space="0" w:color="000000"/>
              <w:right w:val="single" w:sz="8" w:space="0" w:color="000000"/>
            </w:tcBorders>
            <w:vAlign w:val="center"/>
          </w:tcPr>
          <w:p w14:paraId="7078E399"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291</w:t>
            </w:r>
          </w:p>
        </w:tc>
      </w:tr>
      <w:tr w:rsidR="00154F24" w:rsidRPr="00302F44" w14:paraId="08AE5AB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26D8F1"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b/>
                <w:sz w:val="24"/>
                <w:szCs w:val="24"/>
              </w:rPr>
              <w:t>Non-feeders</w:t>
            </w:r>
          </w:p>
        </w:tc>
        <w:tc>
          <w:tcPr>
            <w:tcW w:w="0" w:type="auto"/>
            <w:tcBorders>
              <w:bottom w:val="single" w:sz="8" w:space="0" w:color="000000"/>
              <w:right w:val="single" w:sz="8" w:space="0" w:color="000000"/>
            </w:tcBorders>
            <w:vAlign w:val="center"/>
          </w:tcPr>
          <w:p w14:paraId="0B5D6C9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30</w:t>
            </w:r>
          </w:p>
        </w:tc>
        <w:tc>
          <w:tcPr>
            <w:tcW w:w="0" w:type="auto"/>
            <w:tcBorders>
              <w:bottom w:val="single" w:sz="8" w:space="0" w:color="000000"/>
              <w:right w:val="single" w:sz="8" w:space="0" w:color="000000"/>
            </w:tcBorders>
            <w:vAlign w:val="center"/>
          </w:tcPr>
          <w:p w14:paraId="1A1CC5CA"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273</w:t>
            </w:r>
          </w:p>
        </w:tc>
        <w:tc>
          <w:tcPr>
            <w:tcW w:w="0" w:type="auto"/>
            <w:tcBorders>
              <w:bottom w:val="single" w:sz="8" w:space="0" w:color="000000"/>
              <w:right w:val="single" w:sz="8" w:space="0" w:color="000000"/>
            </w:tcBorders>
            <w:vAlign w:val="center"/>
          </w:tcPr>
          <w:p w14:paraId="5CDC886F"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78</w:t>
            </w:r>
          </w:p>
        </w:tc>
        <w:tc>
          <w:tcPr>
            <w:tcW w:w="0" w:type="auto"/>
            <w:tcBorders>
              <w:bottom w:val="single" w:sz="8" w:space="0" w:color="000000"/>
              <w:right w:val="single" w:sz="8" w:space="0" w:color="000000"/>
            </w:tcBorders>
            <w:vAlign w:val="center"/>
          </w:tcPr>
          <w:p w14:paraId="136AF10E" w14:textId="77777777" w:rsidR="00154F24" w:rsidRPr="00302F4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381</w:t>
            </w:r>
          </w:p>
        </w:tc>
      </w:tr>
    </w:tbl>
    <w:p w14:paraId="23D9D90C" w14:textId="77777777" w:rsidR="00154F24" w:rsidRPr="00302F44" w:rsidRDefault="00154F24" w:rsidP="00302F44">
      <w:pPr>
        <w:jc w:val="both"/>
        <w:rPr>
          <w:rFonts w:ascii="Times New Roman" w:hAnsi="Times New Roman" w:cs="Times New Roman"/>
          <w:sz w:val="24"/>
          <w:szCs w:val="24"/>
        </w:rPr>
      </w:pPr>
    </w:p>
    <w:p w14:paraId="7768634B" w14:textId="77777777" w:rsidR="00154F24" w:rsidRDefault="00811FC3" w:rsidP="00302F44">
      <w:pPr>
        <w:jc w:val="both"/>
        <w:rPr>
          <w:rFonts w:ascii="Times New Roman" w:hAnsi="Times New Roman" w:cs="Times New Roman"/>
          <w:sz w:val="24"/>
          <w:szCs w:val="24"/>
        </w:rPr>
      </w:pPr>
      <w:r w:rsidRPr="00302F44">
        <w:rPr>
          <w:rFonts w:ascii="Times New Roman" w:hAnsi="Times New Roman" w:cs="Times New Roman"/>
          <w:sz w:val="24"/>
          <w:szCs w:val="24"/>
        </w:rPr>
        <w:t>Table 5: Table 5. Feeding Versus Tolerance Levels</w:t>
      </w:r>
    </w:p>
    <w:p w14:paraId="008051CE" w14:textId="77777777" w:rsidR="00302F44" w:rsidRDefault="00302F44" w:rsidP="00302F44">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005"/>
        <w:gridCol w:w="3005"/>
        <w:gridCol w:w="3006"/>
      </w:tblGrid>
      <w:tr w:rsidR="00302F44" w14:paraId="413EAE06" w14:textId="77777777" w:rsidTr="003279D5">
        <w:trPr>
          <w:trHeight w:val="3219"/>
        </w:trPr>
        <w:tc>
          <w:tcPr>
            <w:tcW w:w="3005" w:type="dxa"/>
          </w:tcPr>
          <w:p w14:paraId="0EB02282" w14:textId="77777777" w:rsidR="00302F44" w:rsidRDefault="00302F44" w:rsidP="003279D5">
            <w:r>
              <w:rPr>
                <w:noProof/>
                <w:lang w:eastAsia="en-IN"/>
              </w:rPr>
              <w:drawing>
                <wp:inline distT="0" distB="0" distL="0" distR="0" wp14:anchorId="0E77F629" wp14:editId="2B2B32C6">
                  <wp:extent cx="1632703" cy="1547820"/>
                  <wp:effectExtent l="0" t="0" r="5715" b="14605"/>
                  <wp:docPr id="112989972" name="Chart 1">
                    <a:extLst xmlns:a="http://schemas.openxmlformats.org/drawingml/2006/main">
                      <a:ext uri="{FF2B5EF4-FFF2-40B4-BE49-F238E27FC236}">
                        <a16:creationId xmlns:a16="http://schemas.microsoft.com/office/drawing/2014/main" id="{B141DFE5-4F6C-A595-99E1-8F3A811217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288542" w14:textId="0D31A511" w:rsidR="00302F44" w:rsidRDefault="00D925A9" w:rsidP="003279D5">
            <w:r>
              <w:rPr>
                <w:rFonts w:ascii="Times New Roman" w:hAnsi="Times New Roman" w:cs="Times New Roman"/>
                <w:b/>
                <w:bCs/>
              </w:rPr>
              <w:t xml:space="preserve">Fig </w:t>
            </w:r>
            <w:r w:rsidR="00302F44" w:rsidRPr="0057633A">
              <w:rPr>
                <w:rFonts w:ascii="Times New Roman" w:hAnsi="Times New Roman" w:cs="Times New Roman"/>
                <w:b/>
                <w:bCs/>
              </w:rPr>
              <w:t>1a</w:t>
            </w:r>
            <w:r w:rsidR="00302F44">
              <w:t xml:space="preserve">. </w:t>
            </w:r>
            <w:r w:rsidR="00302F44" w:rsidRPr="000A1F95">
              <w:rPr>
                <w:rFonts w:ascii="Times New Roman" w:hAnsi="Times New Roman" w:cs="Times New Roman"/>
              </w:rPr>
              <w:t>Prevalence of Feeding in Monkeys by Humans</w:t>
            </w:r>
            <w:r w:rsidR="00302F44">
              <w:t xml:space="preserve"> </w:t>
            </w:r>
          </w:p>
        </w:tc>
        <w:tc>
          <w:tcPr>
            <w:tcW w:w="3005" w:type="dxa"/>
          </w:tcPr>
          <w:p w14:paraId="2B8CF903" w14:textId="77777777" w:rsidR="00302F44" w:rsidRDefault="00302F44" w:rsidP="003279D5">
            <w:r>
              <w:rPr>
                <w:noProof/>
                <w:lang w:eastAsia="en-IN"/>
              </w:rPr>
              <w:drawing>
                <wp:inline distT="0" distB="0" distL="0" distR="0" wp14:anchorId="3347B264" wp14:editId="609385B6">
                  <wp:extent cx="2173295" cy="1552354"/>
                  <wp:effectExtent l="0" t="0" r="17780" b="10160"/>
                  <wp:docPr id="596757674" name="Chart 1">
                    <a:extLst xmlns:a="http://schemas.openxmlformats.org/drawingml/2006/main">
                      <a:ext uri="{FF2B5EF4-FFF2-40B4-BE49-F238E27FC236}">
                        <a16:creationId xmlns:a16="http://schemas.microsoft.com/office/drawing/2014/main" id="{E6D083B5-2FFC-E487-3A01-92796FF7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A39BF3B" w14:textId="12D4000C" w:rsidR="00302F44" w:rsidRPr="00F344ED" w:rsidRDefault="00D925A9" w:rsidP="003279D5">
            <w:pPr>
              <w:rPr>
                <w:rFonts w:ascii="Times New Roman" w:hAnsi="Times New Roman" w:cs="Times New Roman"/>
                <w:b/>
                <w:bCs/>
              </w:rPr>
            </w:pPr>
            <w:r>
              <w:rPr>
                <w:rFonts w:ascii="Times New Roman" w:hAnsi="Times New Roman" w:cs="Times New Roman"/>
                <w:b/>
                <w:bCs/>
              </w:rPr>
              <w:t xml:space="preserve">Fig </w:t>
            </w:r>
            <w:r w:rsidR="00302F44" w:rsidRPr="00F344ED">
              <w:rPr>
                <w:rFonts w:ascii="Times New Roman" w:hAnsi="Times New Roman" w:cs="Times New Roman"/>
                <w:b/>
                <w:bCs/>
              </w:rPr>
              <w:t xml:space="preserve">1b. </w:t>
            </w:r>
            <w:r w:rsidR="00302F44" w:rsidRPr="00F344ED">
              <w:rPr>
                <w:rFonts w:ascii="Times New Roman" w:hAnsi="Times New Roman" w:cs="Times New Roman"/>
              </w:rPr>
              <w:t>Food type provisioning by Humans.</w:t>
            </w:r>
          </w:p>
        </w:tc>
        <w:tc>
          <w:tcPr>
            <w:tcW w:w="3006" w:type="dxa"/>
          </w:tcPr>
          <w:p w14:paraId="746A1DC9" w14:textId="77777777" w:rsidR="00302F44" w:rsidRDefault="00302F44" w:rsidP="003279D5">
            <w:r>
              <w:rPr>
                <w:noProof/>
                <w:lang w:eastAsia="en-IN"/>
              </w:rPr>
              <w:drawing>
                <wp:inline distT="0" distB="0" distL="0" distR="0" wp14:anchorId="167D79BA" wp14:editId="66B3898B">
                  <wp:extent cx="1657350" cy="1562100"/>
                  <wp:effectExtent l="38100" t="0" r="0" b="0"/>
                  <wp:docPr id="2082117641" name="Chart 1">
                    <a:extLst xmlns:a="http://schemas.openxmlformats.org/drawingml/2006/main">
                      <a:ext uri="{FF2B5EF4-FFF2-40B4-BE49-F238E27FC236}">
                        <a16:creationId xmlns:a16="http://schemas.microsoft.com/office/drawing/2014/main" id="{B22CDBA5-CA0D-CBB3-9C75-EA22F863A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605A2AE" w14:textId="150A306C" w:rsidR="00302F44" w:rsidRPr="00FA412E" w:rsidRDefault="00D925A9" w:rsidP="003279D5">
            <w:pPr>
              <w:spacing w:line="360" w:lineRule="auto"/>
              <w:rPr>
                <w:rFonts w:ascii="Times New Roman" w:hAnsi="Times New Roman" w:cs="Times New Roman"/>
                <w:b/>
                <w:bCs/>
                <w:sz w:val="24"/>
                <w:szCs w:val="24"/>
              </w:rPr>
            </w:pPr>
            <w:r>
              <w:rPr>
                <w:rFonts w:ascii="Times New Roman" w:hAnsi="Times New Roman" w:cs="Times New Roman"/>
                <w:b/>
                <w:bCs/>
              </w:rPr>
              <w:t xml:space="preserve">Fig </w:t>
            </w:r>
            <w:r w:rsidR="00302F44" w:rsidRPr="00FA412E">
              <w:rPr>
                <w:rFonts w:ascii="Times New Roman" w:hAnsi="Times New Roman" w:cs="Times New Roman"/>
                <w:b/>
                <w:bCs/>
              </w:rPr>
              <w:t>1c.</w:t>
            </w:r>
            <w:r w:rsidR="00302F44">
              <w:rPr>
                <w:rFonts w:ascii="Times New Roman" w:hAnsi="Times New Roman" w:cs="Times New Roman"/>
                <w:b/>
                <w:bCs/>
              </w:rPr>
              <w:t xml:space="preserve"> </w:t>
            </w:r>
            <w:r w:rsidR="00302F44" w:rsidRPr="00FA412E">
              <w:rPr>
                <w:rFonts w:ascii="Times New Roman" w:hAnsi="Times New Roman" w:cs="Times New Roman"/>
              </w:rPr>
              <w:t>Tolerance level towards Monkeys.</w:t>
            </w:r>
            <w:r w:rsidR="00302F44">
              <w:rPr>
                <w:rFonts w:ascii="Times New Roman" w:hAnsi="Times New Roman" w:cs="Times New Roman"/>
                <w:b/>
                <w:bCs/>
              </w:rPr>
              <w:t xml:space="preserve"> </w:t>
            </w:r>
          </w:p>
        </w:tc>
      </w:tr>
      <w:tr w:rsidR="00302F44" w14:paraId="01127D4B" w14:textId="77777777" w:rsidTr="003279D5">
        <w:trPr>
          <w:trHeight w:val="3219"/>
        </w:trPr>
        <w:tc>
          <w:tcPr>
            <w:tcW w:w="3005" w:type="dxa"/>
          </w:tcPr>
          <w:p w14:paraId="1CA6FA98" w14:textId="77777777" w:rsidR="00302F44" w:rsidRDefault="00302F44" w:rsidP="003279D5">
            <w:r w:rsidRPr="00CD7CA9">
              <w:rPr>
                <w:b/>
                <w:bCs/>
                <w:noProof/>
                <w:lang w:eastAsia="en-IN"/>
              </w:rPr>
              <w:drawing>
                <wp:anchor distT="0" distB="0" distL="114300" distR="114300" simplePos="0" relativeHeight="251659264" behindDoc="1" locked="0" layoutInCell="1" allowOverlap="1" wp14:anchorId="10B08373" wp14:editId="5EAF801B">
                  <wp:simplePos x="0" y="0"/>
                  <wp:positionH relativeFrom="column">
                    <wp:posOffset>-46355</wp:posOffset>
                  </wp:positionH>
                  <wp:positionV relativeFrom="paragraph">
                    <wp:posOffset>635</wp:posOffset>
                  </wp:positionV>
                  <wp:extent cx="1847850" cy="1511300"/>
                  <wp:effectExtent l="19050" t="0" r="0" b="12700"/>
                  <wp:wrapTight wrapText="bothSides">
                    <wp:wrapPolygon edited="0">
                      <wp:start x="-223" y="0"/>
                      <wp:lineTo x="-223" y="21509"/>
                      <wp:lineTo x="21377" y="21509"/>
                      <wp:lineTo x="21377" y="0"/>
                      <wp:lineTo x="-223" y="0"/>
                    </wp:wrapPolygon>
                  </wp:wrapTight>
                  <wp:docPr id="77509096" name="Chart 1">
                    <a:extLst xmlns:a="http://schemas.openxmlformats.org/drawingml/2006/main">
                      <a:ext uri="{FF2B5EF4-FFF2-40B4-BE49-F238E27FC236}">
                        <a16:creationId xmlns:a16="http://schemas.microsoft.com/office/drawing/2014/main" id="{01EFFB69-21E9-F07A-61EE-CD2AF61A5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CD7CA9">
              <w:rPr>
                <w:b/>
                <w:bCs/>
              </w:rPr>
              <w:t>1d.</w:t>
            </w:r>
            <w:r>
              <w:t xml:space="preserve"> </w:t>
            </w:r>
            <w:r w:rsidRPr="00CD7CA9">
              <w:rPr>
                <w:rFonts w:ascii="Times New Roman" w:hAnsi="Times New Roman" w:cs="Times New Roman"/>
              </w:rPr>
              <w:t>Human’s Psychological effect towards Monkeys</w:t>
            </w:r>
            <w:r>
              <w:t xml:space="preserve">. </w:t>
            </w:r>
          </w:p>
        </w:tc>
        <w:tc>
          <w:tcPr>
            <w:tcW w:w="3005" w:type="dxa"/>
          </w:tcPr>
          <w:p w14:paraId="4CE84799" w14:textId="77777777" w:rsidR="00302F44" w:rsidRDefault="00302F44" w:rsidP="003279D5">
            <w:r>
              <w:rPr>
                <w:noProof/>
                <w:lang w:eastAsia="en-IN"/>
              </w:rPr>
              <w:drawing>
                <wp:inline distT="0" distB="0" distL="0" distR="0" wp14:anchorId="0DD287E5" wp14:editId="60B407DF">
                  <wp:extent cx="1765300" cy="1524000"/>
                  <wp:effectExtent l="0" t="0" r="6350" b="0"/>
                  <wp:docPr id="520234195" name="Chart 1">
                    <a:extLst xmlns:a="http://schemas.openxmlformats.org/drawingml/2006/main">
                      <a:ext uri="{FF2B5EF4-FFF2-40B4-BE49-F238E27FC236}">
                        <a16:creationId xmlns:a16="http://schemas.microsoft.com/office/drawing/2014/main" id="{BACB7741-BDAD-6A8B-CEBA-606A1FC75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60FA322" w14:textId="77777777" w:rsidR="00302F44" w:rsidRPr="00CD7CA9" w:rsidRDefault="00302F44" w:rsidP="003279D5">
            <w:pPr>
              <w:rPr>
                <w:rFonts w:ascii="Times New Roman" w:hAnsi="Times New Roman" w:cs="Times New Roman"/>
              </w:rPr>
            </w:pPr>
            <w:r w:rsidRPr="00CD7CA9">
              <w:rPr>
                <w:rFonts w:ascii="Times New Roman" w:hAnsi="Times New Roman" w:cs="Times New Roman"/>
                <w:b/>
                <w:bCs/>
              </w:rPr>
              <w:t>1e.</w:t>
            </w:r>
            <w:r w:rsidRPr="00CD7CA9">
              <w:rPr>
                <w:rFonts w:ascii="Times New Roman" w:hAnsi="Times New Roman" w:cs="Times New Roman"/>
              </w:rPr>
              <w:t xml:space="preserve"> Disease transmission perception.</w:t>
            </w:r>
          </w:p>
        </w:tc>
        <w:tc>
          <w:tcPr>
            <w:tcW w:w="3006" w:type="dxa"/>
          </w:tcPr>
          <w:p w14:paraId="20F20E12" w14:textId="77777777" w:rsidR="00302F44" w:rsidRPr="00CD7CA9" w:rsidRDefault="00302F44" w:rsidP="003279D5">
            <w:pPr>
              <w:rPr>
                <w:rFonts w:ascii="Times New Roman" w:hAnsi="Times New Roman" w:cs="Times New Roman"/>
              </w:rPr>
            </w:pPr>
            <w:r w:rsidRPr="00CD7CA9">
              <w:rPr>
                <w:rFonts w:ascii="Times New Roman" w:hAnsi="Times New Roman" w:cs="Times New Roman"/>
                <w:b/>
                <w:bCs/>
                <w:noProof/>
                <w:lang w:eastAsia="en-IN"/>
              </w:rPr>
              <w:drawing>
                <wp:anchor distT="0" distB="0" distL="114300" distR="114300" simplePos="0" relativeHeight="251660288" behindDoc="1" locked="0" layoutInCell="1" allowOverlap="1" wp14:anchorId="759EF23D" wp14:editId="6DC01481">
                  <wp:simplePos x="0" y="0"/>
                  <wp:positionH relativeFrom="column">
                    <wp:posOffset>4445</wp:posOffset>
                  </wp:positionH>
                  <wp:positionV relativeFrom="paragraph">
                    <wp:posOffset>45085</wp:posOffset>
                  </wp:positionV>
                  <wp:extent cx="1758950" cy="1462405"/>
                  <wp:effectExtent l="0" t="0" r="50800" b="4445"/>
                  <wp:wrapTight wrapText="bothSides">
                    <wp:wrapPolygon edited="0">
                      <wp:start x="0" y="0"/>
                      <wp:lineTo x="0" y="21384"/>
                      <wp:lineTo x="21990" y="21384"/>
                      <wp:lineTo x="21990" y="0"/>
                      <wp:lineTo x="0" y="0"/>
                    </wp:wrapPolygon>
                  </wp:wrapTight>
                  <wp:docPr id="139911537" name="Chart 1">
                    <a:extLst xmlns:a="http://schemas.openxmlformats.org/drawingml/2006/main">
                      <a:ext uri="{FF2B5EF4-FFF2-40B4-BE49-F238E27FC236}">
                        <a16:creationId xmlns:a16="http://schemas.microsoft.com/office/drawing/2014/main" id="{435675C7-9983-DD63-5554-A6FCAB9EC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Pr="00CD7CA9">
              <w:rPr>
                <w:rFonts w:ascii="Times New Roman" w:hAnsi="Times New Roman" w:cs="Times New Roman"/>
                <w:b/>
                <w:bCs/>
              </w:rPr>
              <w:t>1f</w:t>
            </w:r>
            <w:r w:rsidRPr="00CD7CA9">
              <w:rPr>
                <w:rFonts w:ascii="Times New Roman" w:hAnsi="Times New Roman" w:cs="Times New Roman"/>
              </w:rPr>
              <w:t xml:space="preserve">. Levels of Property damage. </w:t>
            </w:r>
          </w:p>
        </w:tc>
      </w:tr>
      <w:tr w:rsidR="00302F44" w14:paraId="408FE828" w14:textId="77777777" w:rsidTr="003279D5">
        <w:trPr>
          <w:trHeight w:val="3219"/>
        </w:trPr>
        <w:tc>
          <w:tcPr>
            <w:tcW w:w="9016" w:type="dxa"/>
            <w:gridSpan w:val="3"/>
          </w:tcPr>
          <w:p w14:paraId="3D5D54ED" w14:textId="77777777" w:rsidR="00302F44" w:rsidRPr="00107F75" w:rsidRDefault="00302F44" w:rsidP="003279D5">
            <w:pPr>
              <w:rPr>
                <w:rFonts w:ascii="Times New Roman" w:hAnsi="Times New Roman" w:cs="Times New Roman"/>
              </w:rPr>
            </w:pPr>
            <w:r w:rsidRPr="00107F75">
              <w:rPr>
                <w:rFonts w:ascii="Times New Roman" w:hAnsi="Times New Roman" w:cs="Times New Roman"/>
                <w:b/>
                <w:bCs/>
                <w:noProof/>
                <w:lang w:eastAsia="en-IN"/>
              </w:rPr>
              <w:lastRenderedPageBreak/>
              <w:drawing>
                <wp:anchor distT="0" distB="0" distL="114300" distR="114300" simplePos="0" relativeHeight="251661312" behindDoc="1" locked="0" layoutInCell="1" allowOverlap="1" wp14:anchorId="7CDF8CEC" wp14:editId="272E47E0">
                  <wp:simplePos x="0" y="0"/>
                  <wp:positionH relativeFrom="column">
                    <wp:posOffset>-20955</wp:posOffset>
                  </wp:positionH>
                  <wp:positionV relativeFrom="paragraph">
                    <wp:posOffset>49530</wp:posOffset>
                  </wp:positionV>
                  <wp:extent cx="4826000" cy="2825750"/>
                  <wp:effectExtent l="0" t="0" r="12700" b="12700"/>
                  <wp:wrapTight wrapText="bothSides">
                    <wp:wrapPolygon edited="0">
                      <wp:start x="0" y="0"/>
                      <wp:lineTo x="0" y="21551"/>
                      <wp:lineTo x="21572" y="21551"/>
                      <wp:lineTo x="21572" y="0"/>
                      <wp:lineTo x="0" y="0"/>
                    </wp:wrapPolygon>
                  </wp:wrapTight>
                  <wp:docPr id="1832603861" name="Chart 1">
                    <a:extLst xmlns:a="http://schemas.openxmlformats.org/drawingml/2006/main">
                      <a:ext uri="{FF2B5EF4-FFF2-40B4-BE49-F238E27FC236}">
                        <a16:creationId xmlns:a16="http://schemas.microsoft.com/office/drawing/2014/main" id="{E3EC959B-EC9B-161D-0086-EDD9869B0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Pr="00107F75">
              <w:rPr>
                <w:rFonts w:ascii="Times New Roman" w:hAnsi="Times New Roman" w:cs="Times New Roman"/>
                <w:b/>
                <w:bCs/>
              </w:rPr>
              <w:t>1 g.</w:t>
            </w:r>
            <w:r w:rsidRPr="00107F75">
              <w:rPr>
                <w:rFonts w:ascii="Times New Roman" w:hAnsi="Times New Roman" w:cs="Times New Roman"/>
              </w:rPr>
              <w:t xml:space="preserve"> Types of Damage reported by Humans. </w:t>
            </w:r>
          </w:p>
        </w:tc>
      </w:tr>
      <w:tr w:rsidR="00302F44" w14:paraId="74236F76" w14:textId="77777777" w:rsidTr="003279D5">
        <w:trPr>
          <w:trHeight w:val="3219"/>
        </w:trPr>
        <w:tc>
          <w:tcPr>
            <w:tcW w:w="9016" w:type="dxa"/>
            <w:gridSpan w:val="3"/>
          </w:tcPr>
          <w:p w14:paraId="6BCA2696" w14:textId="77777777" w:rsidR="00302F44" w:rsidRDefault="00302F44" w:rsidP="003279D5">
            <w:pPr>
              <w:rPr>
                <w:rFonts w:ascii="Times New Roman" w:hAnsi="Times New Roman" w:cs="Times New Roman"/>
                <w:b/>
                <w:bCs/>
                <w:noProof/>
                <w:lang w:eastAsia="en-IN"/>
              </w:rPr>
            </w:pPr>
            <w:r>
              <w:rPr>
                <w:noProof/>
                <w:lang w:eastAsia="en-IN"/>
              </w:rPr>
              <w:drawing>
                <wp:anchor distT="0" distB="0" distL="114300" distR="114300" simplePos="0" relativeHeight="251662336" behindDoc="1" locked="0" layoutInCell="1" allowOverlap="1" wp14:anchorId="358825E1" wp14:editId="432209D8">
                  <wp:simplePos x="0" y="0"/>
                  <wp:positionH relativeFrom="column">
                    <wp:posOffset>-65405</wp:posOffset>
                  </wp:positionH>
                  <wp:positionV relativeFrom="paragraph">
                    <wp:posOffset>51435</wp:posOffset>
                  </wp:positionV>
                  <wp:extent cx="4362450" cy="3003550"/>
                  <wp:effectExtent l="0" t="0" r="0" b="6350"/>
                  <wp:wrapTight wrapText="bothSides">
                    <wp:wrapPolygon edited="0">
                      <wp:start x="0" y="0"/>
                      <wp:lineTo x="0" y="21509"/>
                      <wp:lineTo x="21506" y="21509"/>
                      <wp:lineTo x="21506" y="0"/>
                      <wp:lineTo x="0" y="0"/>
                    </wp:wrapPolygon>
                  </wp:wrapTight>
                  <wp:docPr id="1243757842" name="Chart 1">
                    <a:extLst xmlns:a="http://schemas.openxmlformats.org/drawingml/2006/main">
                      <a:ext uri="{FF2B5EF4-FFF2-40B4-BE49-F238E27FC236}">
                        <a16:creationId xmlns:a16="http://schemas.microsoft.com/office/drawing/2014/main" id="{1BC7B909-B6E3-35CC-8AEF-0EA261315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5374373" w14:textId="77777777" w:rsidR="00302F44" w:rsidRPr="00D76940" w:rsidRDefault="00302F44" w:rsidP="003279D5">
            <w:pPr>
              <w:rPr>
                <w:rFonts w:ascii="Times New Roman" w:hAnsi="Times New Roman" w:cs="Times New Roman"/>
                <w:noProof/>
                <w:lang w:eastAsia="en-IN"/>
              </w:rPr>
            </w:pPr>
            <w:r w:rsidRPr="00D76940">
              <w:rPr>
                <w:rFonts w:ascii="Times New Roman" w:hAnsi="Times New Roman" w:cs="Times New Roman"/>
                <w:b/>
                <w:bCs/>
                <w:sz w:val="24"/>
                <w:szCs w:val="24"/>
              </w:rPr>
              <w:t>1h.</w:t>
            </w:r>
            <w:r>
              <w:rPr>
                <w:rFonts w:ascii="Times New Roman" w:hAnsi="Times New Roman" w:cs="Times New Roman"/>
                <w:b/>
                <w:bCs/>
                <w:sz w:val="24"/>
                <w:szCs w:val="24"/>
              </w:rPr>
              <w:t xml:space="preserve"> </w:t>
            </w:r>
            <w:r w:rsidRPr="00D76940">
              <w:rPr>
                <w:rFonts w:ascii="Times New Roman" w:hAnsi="Times New Roman" w:cs="Times New Roman"/>
                <w:sz w:val="24"/>
                <w:szCs w:val="24"/>
              </w:rPr>
              <w:t>Types of management practice preferences and strategies used by Humans.</w:t>
            </w:r>
          </w:p>
        </w:tc>
      </w:tr>
    </w:tbl>
    <w:p w14:paraId="1826F10E" w14:textId="3EA98BD4" w:rsidR="00154F24" w:rsidRPr="00E359A3" w:rsidRDefault="00E359A3" w:rsidP="00E359A3">
      <w:pPr>
        <w:jc w:val="both"/>
        <w:rPr>
          <w:rFonts w:ascii="Times New Roman" w:hAnsi="Times New Roman" w:cs="Times New Roman"/>
          <w:b/>
          <w:bCs/>
          <w:sz w:val="24"/>
          <w:szCs w:val="24"/>
        </w:rPr>
      </w:pPr>
      <w:r w:rsidRPr="00E359A3">
        <w:rPr>
          <w:rFonts w:ascii="Times New Roman" w:hAnsi="Times New Roman" w:cs="Times New Roman"/>
          <w:b/>
          <w:bCs/>
          <w:sz w:val="24"/>
          <w:szCs w:val="24"/>
        </w:rPr>
        <w:t>Figure 1.</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a.</w:t>
      </w:r>
      <w:r w:rsidR="00811FC3" w:rsidRPr="00302F44">
        <w:rPr>
          <w:rFonts w:ascii="Times New Roman" w:hAnsi="Times New Roman" w:cs="Times New Roman"/>
          <w:sz w:val="24"/>
          <w:szCs w:val="24"/>
        </w:rPr>
        <w:t xml:space="preserve"> Prevalence of Feeding in Monkeys by Humans</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b.</w:t>
      </w:r>
      <w:r w:rsidR="00811FC3" w:rsidRPr="00302F44">
        <w:rPr>
          <w:rFonts w:ascii="Times New Roman" w:hAnsi="Times New Roman" w:cs="Times New Roman"/>
          <w:sz w:val="24"/>
          <w:szCs w:val="24"/>
        </w:rPr>
        <w:t xml:space="preserve"> Food type provisioning by Humans</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c.</w:t>
      </w:r>
      <w:r w:rsidR="00811FC3" w:rsidRPr="00302F44">
        <w:rPr>
          <w:rFonts w:ascii="Times New Roman" w:hAnsi="Times New Roman" w:cs="Times New Roman"/>
          <w:sz w:val="24"/>
          <w:szCs w:val="24"/>
        </w:rPr>
        <w:t xml:space="preserve"> Tolerance level towards Monkeys</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d.</w:t>
      </w:r>
      <w:r w:rsidR="00811FC3" w:rsidRPr="00302F44">
        <w:rPr>
          <w:rFonts w:ascii="Times New Roman" w:hAnsi="Times New Roman" w:cs="Times New Roman"/>
          <w:sz w:val="24"/>
          <w:szCs w:val="24"/>
        </w:rPr>
        <w:t xml:space="preserve"> Human's Psychological </w:t>
      </w:r>
      <w:r>
        <w:rPr>
          <w:rFonts w:ascii="Times New Roman" w:hAnsi="Times New Roman" w:cs="Times New Roman"/>
          <w:sz w:val="24"/>
          <w:szCs w:val="24"/>
        </w:rPr>
        <w:t>Effect</w:t>
      </w:r>
      <w:r w:rsidR="00811FC3" w:rsidRPr="00302F44">
        <w:rPr>
          <w:rFonts w:ascii="Times New Roman" w:hAnsi="Times New Roman" w:cs="Times New Roman"/>
          <w:sz w:val="24"/>
          <w:szCs w:val="24"/>
        </w:rPr>
        <w:t xml:space="preserve"> </w:t>
      </w:r>
      <w:r>
        <w:rPr>
          <w:rFonts w:ascii="Times New Roman" w:hAnsi="Times New Roman" w:cs="Times New Roman"/>
          <w:sz w:val="24"/>
          <w:szCs w:val="24"/>
        </w:rPr>
        <w:t>on</w:t>
      </w:r>
      <w:r w:rsidR="00811FC3" w:rsidRPr="00302F44">
        <w:rPr>
          <w:rFonts w:ascii="Times New Roman" w:hAnsi="Times New Roman" w:cs="Times New Roman"/>
          <w:sz w:val="24"/>
          <w:szCs w:val="24"/>
        </w:rPr>
        <w:t xml:space="preserve"> Monkeys</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e.</w:t>
      </w:r>
      <w:r w:rsidR="00811FC3" w:rsidRPr="00302F44">
        <w:rPr>
          <w:rFonts w:ascii="Times New Roman" w:hAnsi="Times New Roman" w:cs="Times New Roman"/>
          <w:sz w:val="24"/>
          <w:szCs w:val="24"/>
        </w:rPr>
        <w:t xml:space="preserve"> Disease transmission perception</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f.</w:t>
      </w:r>
      <w:r w:rsidR="00811FC3" w:rsidRPr="00302F44">
        <w:rPr>
          <w:rFonts w:ascii="Times New Roman" w:hAnsi="Times New Roman" w:cs="Times New Roman"/>
          <w:sz w:val="24"/>
          <w:szCs w:val="24"/>
        </w:rPr>
        <w:t xml:space="preserve"> Levels of Property </w:t>
      </w:r>
      <w:r>
        <w:rPr>
          <w:rFonts w:ascii="Times New Roman" w:hAnsi="Times New Roman" w:cs="Times New Roman"/>
          <w:sz w:val="24"/>
          <w:szCs w:val="24"/>
        </w:rPr>
        <w:t>Damage</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g.</w:t>
      </w:r>
      <w:r w:rsidR="00811FC3" w:rsidRPr="00302F44">
        <w:rPr>
          <w:rFonts w:ascii="Times New Roman" w:hAnsi="Times New Roman" w:cs="Times New Roman"/>
          <w:sz w:val="24"/>
          <w:szCs w:val="24"/>
        </w:rPr>
        <w:t xml:space="preserve"> Types of Damage reported by Humans</w:t>
      </w:r>
      <w:r>
        <w:rPr>
          <w:rFonts w:ascii="Times New Roman" w:hAnsi="Times New Roman" w:cs="Times New Roman"/>
          <w:b/>
          <w:bCs/>
          <w:sz w:val="24"/>
          <w:szCs w:val="24"/>
        </w:rPr>
        <w:t xml:space="preserve">. </w:t>
      </w:r>
      <w:r w:rsidR="00811FC3" w:rsidRPr="00302F44">
        <w:rPr>
          <w:rFonts w:ascii="Times New Roman" w:hAnsi="Times New Roman" w:cs="Times New Roman"/>
          <w:b/>
          <w:sz w:val="24"/>
          <w:szCs w:val="24"/>
        </w:rPr>
        <w:t>h.</w:t>
      </w:r>
      <w:r w:rsidR="00811FC3" w:rsidRPr="00302F44">
        <w:rPr>
          <w:rFonts w:ascii="Times New Roman" w:hAnsi="Times New Roman" w:cs="Times New Roman"/>
          <w:sz w:val="24"/>
          <w:szCs w:val="24"/>
        </w:rPr>
        <w:t xml:space="preserve"> Types of management practice preferences and strategies used by Humans</w:t>
      </w:r>
      <w:r>
        <w:rPr>
          <w:rFonts w:ascii="Times New Roman" w:hAnsi="Times New Roman" w:cs="Times New Roman"/>
          <w:sz w:val="24"/>
          <w:szCs w:val="24"/>
        </w:rPr>
        <w:t xml:space="preserve">. </w:t>
      </w:r>
    </w:p>
    <w:sectPr w:rsidR="00154F24" w:rsidRPr="00E359A3">
      <w:headerReference w:type="even" r:id="rId36"/>
      <w:headerReference w:type="default" r:id="rId37"/>
      <w:footerReference w:type="even" r:id="rId38"/>
      <w:footerReference w:type="default" r:id="rId39"/>
      <w:headerReference w:type="first" r:id="rId40"/>
      <w:footerReference w:type="first" r:id="rId41"/>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0035" w14:textId="77777777" w:rsidR="00DA3806" w:rsidRDefault="00DA3806" w:rsidP="00A33463">
      <w:pPr>
        <w:spacing w:after="0" w:line="240" w:lineRule="auto"/>
      </w:pPr>
      <w:r>
        <w:separator/>
      </w:r>
    </w:p>
  </w:endnote>
  <w:endnote w:type="continuationSeparator" w:id="0">
    <w:p w14:paraId="585DD8A2" w14:textId="77777777" w:rsidR="00DA3806" w:rsidRDefault="00DA3806" w:rsidP="00A3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3391" w14:textId="77777777" w:rsidR="00A33463" w:rsidRDefault="00A3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937" w14:textId="77777777" w:rsidR="00A33463" w:rsidRDefault="00A33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81C9" w14:textId="77777777" w:rsidR="00A33463" w:rsidRDefault="00A3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AFA55" w14:textId="77777777" w:rsidR="00DA3806" w:rsidRDefault="00DA3806" w:rsidP="00A33463">
      <w:pPr>
        <w:spacing w:after="0" w:line="240" w:lineRule="auto"/>
      </w:pPr>
      <w:r>
        <w:separator/>
      </w:r>
    </w:p>
  </w:footnote>
  <w:footnote w:type="continuationSeparator" w:id="0">
    <w:p w14:paraId="72F7E7F3" w14:textId="77777777" w:rsidR="00DA3806" w:rsidRDefault="00DA3806" w:rsidP="00A3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1D5E" w14:textId="52F66D20" w:rsidR="00A33463" w:rsidRDefault="00A33463">
    <w:pPr>
      <w:pStyle w:val="Header"/>
    </w:pPr>
    <w:r>
      <w:rPr>
        <w:noProof/>
      </w:rPr>
      <w:pict w14:anchorId="244DA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63"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5BDC" w14:textId="22FA16CA" w:rsidR="00A33463" w:rsidRDefault="00A33463">
    <w:pPr>
      <w:pStyle w:val="Header"/>
    </w:pPr>
    <w:r>
      <w:rPr>
        <w:noProof/>
      </w:rPr>
      <w:pict w14:anchorId="33641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64"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F216" w14:textId="2B72BB39" w:rsidR="00A33463" w:rsidRDefault="00A33463">
    <w:pPr>
      <w:pStyle w:val="Header"/>
    </w:pPr>
    <w:r>
      <w:rPr>
        <w:noProof/>
      </w:rPr>
      <w:pict w14:anchorId="66462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62"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C5A31"/>
    <w:multiLevelType w:val="multilevel"/>
    <w:tmpl w:val="A1C448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D7E4361"/>
    <w:multiLevelType w:val="hybridMultilevel"/>
    <w:tmpl w:val="5D3651FE"/>
    <w:lvl w:ilvl="0" w:tplc="E82EC66C">
      <w:start w:val="1"/>
      <w:numFmt w:val="decimal"/>
      <w:lvlText w:val="%1."/>
      <w:lvlJc w:val="left"/>
      <w:pPr>
        <w:tabs>
          <w:tab w:val="num" w:pos="1080"/>
        </w:tabs>
        <w:ind w:left="720" w:hanging="360"/>
      </w:pPr>
    </w:lvl>
    <w:lvl w:ilvl="1" w:tplc="9FA4E938">
      <w:numFmt w:val="decimal"/>
      <w:lvlText w:val=""/>
      <w:lvlJc w:val="left"/>
    </w:lvl>
    <w:lvl w:ilvl="2" w:tplc="8AFED1C4">
      <w:numFmt w:val="decimal"/>
      <w:lvlText w:val=""/>
      <w:lvlJc w:val="left"/>
    </w:lvl>
    <w:lvl w:ilvl="3" w:tplc="C4DCAA0A">
      <w:numFmt w:val="decimal"/>
      <w:lvlText w:val=""/>
      <w:lvlJc w:val="left"/>
    </w:lvl>
    <w:lvl w:ilvl="4" w:tplc="E05828A2">
      <w:numFmt w:val="decimal"/>
      <w:lvlText w:val=""/>
      <w:lvlJc w:val="left"/>
    </w:lvl>
    <w:lvl w:ilvl="5" w:tplc="13CA6BE0">
      <w:numFmt w:val="decimal"/>
      <w:lvlText w:val=""/>
      <w:lvlJc w:val="left"/>
    </w:lvl>
    <w:lvl w:ilvl="6" w:tplc="0554E714">
      <w:numFmt w:val="decimal"/>
      <w:lvlText w:val=""/>
      <w:lvlJc w:val="left"/>
    </w:lvl>
    <w:lvl w:ilvl="7" w:tplc="B2342B5A">
      <w:numFmt w:val="decimal"/>
      <w:lvlText w:val=""/>
      <w:lvlJc w:val="left"/>
    </w:lvl>
    <w:lvl w:ilvl="8" w:tplc="847AA1F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24"/>
    <w:rsid w:val="00154F24"/>
    <w:rsid w:val="002F68E8"/>
    <w:rsid w:val="00302F44"/>
    <w:rsid w:val="00753F08"/>
    <w:rsid w:val="007738FA"/>
    <w:rsid w:val="00811FC3"/>
    <w:rsid w:val="00913367"/>
    <w:rsid w:val="00A33463"/>
    <w:rsid w:val="00BC3A3E"/>
    <w:rsid w:val="00D925A9"/>
    <w:rsid w:val="00DA3806"/>
    <w:rsid w:val="00E0541F"/>
    <w:rsid w:val="00E359A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4DB341"/>
  <w15:docId w15:val="{0CA20427-D039-47A0-97A1-89F8A288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302F44"/>
    <w:pPr>
      <w:ind w:left="720"/>
      <w:contextualSpacing/>
    </w:pPr>
  </w:style>
  <w:style w:type="table" w:styleId="TableGrid">
    <w:name w:val="Table Grid"/>
    <w:basedOn w:val="TableNormal"/>
    <w:uiPriority w:val="39"/>
    <w:rsid w:val="00302F44"/>
    <w:pPr>
      <w:spacing w:after="0" w:line="240" w:lineRule="auto"/>
    </w:pPr>
    <w:rPr>
      <w:rFonts w:asciiTheme="minorHAnsi"/>
      <w:kern w:val="2"/>
      <w:sz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463"/>
  </w:style>
  <w:style w:type="paragraph" w:styleId="Footer">
    <w:name w:val="footer"/>
    <w:basedOn w:val="Normal"/>
    <w:link w:val="FooterChar"/>
    <w:uiPriority w:val="99"/>
    <w:unhideWhenUsed/>
    <w:rsid w:val="00A3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2120/jwb.2019.106831.1065" TargetMode="External"/><Relationship Id="rId18" Type="http://schemas.openxmlformats.org/officeDocument/2006/relationships/hyperlink" Target="https://doi.org/10.1371/journal.pone.0085497" TargetMode="External"/><Relationship Id="rId26" Type="http://schemas.openxmlformats.org/officeDocument/2006/relationships/hyperlink" Target="https://doi.org/10.1071/WR14229" TargetMode="External"/><Relationship Id="rId39" Type="http://schemas.openxmlformats.org/officeDocument/2006/relationships/footer" Target="footer2.xml"/><Relationship Id="rId21" Type="http://schemas.openxmlformats.org/officeDocument/2006/relationships/hyperlink" Target="https://doi.org/10.1007/978-1-4614-3967-7" TargetMode="External"/><Relationship Id="rId34" Type="http://schemas.openxmlformats.org/officeDocument/2006/relationships/chart" Target="charts/chart7.xml"/><Relationship Id="rId42" Type="http://schemas.openxmlformats.org/officeDocument/2006/relationships/fontTable" Target="fontTable.xml"/><Relationship Id="rId7" Type="http://schemas.openxmlformats.org/officeDocument/2006/relationships/hyperlink" Target="https://doi.org/10.1016/j.scitotenv.2022.155603" TargetMode="External"/><Relationship Id="rId2" Type="http://schemas.openxmlformats.org/officeDocument/2006/relationships/styles" Target="styles.xml"/><Relationship Id="rId16" Type="http://schemas.openxmlformats.org/officeDocument/2006/relationships/hyperlink" Target="https://doi.org/10.1007/s10344-007-0117-z" TargetMode="External"/><Relationship Id="rId20" Type="http://schemas.openxmlformats.org/officeDocument/2006/relationships/hyperlink" Target="https://doi.org/10.1007/s11252-016-0619-0" TargetMode="External"/><Relationship Id="rId29" Type="http://schemas.openxmlformats.org/officeDocument/2006/relationships/chart" Target="charts/chart2.xm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709274.2010.11906276" TargetMode="External"/><Relationship Id="rId24" Type="http://schemas.openxmlformats.org/officeDocument/2006/relationships/hyperlink" Target="https://doi.org/10.1007/s10764-018-0043-6" TargetMode="External"/><Relationship Id="rId32" Type="http://schemas.openxmlformats.org/officeDocument/2006/relationships/chart" Target="charts/chart5.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0531-022-02386-w" TargetMode="External"/><Relationship Id="rId23" Type="http://schemas.openxmlformats.org/officeDocument/2006/relationships/hyperlink" Target="https://doi.org/10.1002/ajp.20710" TargetMode="External"/><Relationship Id="rId28" Type="http://schemas.openxmlformats.org/officeDocument/2006/relationships/chart" Target="charts/chart1.xml"/><Relationship Id="rId36" Type="http://schemas.openxmlformats.org/officeDocument/2006/relationships/header" Target="header1.xml"/><Relationship Id="rId10" Type="http://schemas.openxmlformats.org/officeDocument/2006/relationships/hyperlink" Target="https://doi.org/10.2752/089279304786991783" TargetMode="External"/><Relationship Id="rId19" Type="http://schemas.openxmlformats.org/officeDocument/2006/relationships/hyperlink" Target="https://doi.org/10.54081/JES.025/04" TargetMode="External"/><Relationship Id="rId31"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s://doi.org/10.1007/s10708-023-10862-1" TargetMode="External"/><Relationship Id="rId14" Type="http://schemas.openxmlformats.org/officeDocument/2006/relationships/hyperlink" Target="https://doi.org/10.51847/dpGQL4yAXY" TargetMode="External"/><Relationship Id="rId22" Type="http://schemas.openxmlformats.org/officeDocument/2006/relationships/hyperlink" Target="https://doi.org/10.1371/journal.pone.0140961" TargetMode="External"/><Relationship Id="rId27" Type="http://schemas.openxmlformats.org/officeDocument/2006/relationships/hyperlink" Target="https://doi.org/10.1016/j.gecco.2023.e02596" TargetMode="Externa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theme" Target="theme/theme1.xml"/><Relationship Id="rId8" Type="http://schemas.openxmlformats.org/officeDocument/2006/relationships/hyperlink" Target="https://doi.org/10.1007/s11252-025-01723-5" TargetMode="External"/><Relationship Id="rId3" Type="http://schemas.openxmlformats.org/officeDocument/2006/relationships/settings" Target="settings.xml"/><Relationship Id="rId12" Type="http://schemas.openxmlformats.org/officeDocument/2006/relationships/hyperlink" Target="https://doi.org/10.1159/000496025" TargetMode="External"/><Relationship Id="rId17" Type="http://schemas.openxmlformats.org/officeDocument/2006/relationships/hyperlink" Target="https://doi.org/10.1016/j.biocon.2012.06.018" TargetMode="External"/><Relationship Id="rId25" Type="http://schemas.openxmlformats.org/officeDocument/2006/relationships/hyperlink" Target="http://eprints.nias.res.in/65/1/asinha4.pdf" TargetMode="External"/><Relationship Id="rId33" Type="http://schemas.openxmlformats.org/officeDocument/2006/relationships/chart" Target="charts/chart6.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4b4bef6ed396b48d/Desktop/Set%204%5eJ5%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4b4bef6ed396b48d/Desktop/Set%204%5eJ5%20Dat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367741955242765E-2"/>
          <c:y val="0.12730121906694367"/>
          <c:w val="0.86790948097648823"/>
          <c:h val="0.83341206272071966"/>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05C-44AD-AA83-8C8807ABDCE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05C-44AD-AA83-8C8807ABDCE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Data.xlsx]Sheet2'!$E$2:$E$3</c:f>
              <c:strCache>
                <c:ptCount val="2"/>
                <c:pt idx="0">
                  <c:v>Yes</c:v>
                </c:pt>
                <c:pt idx="1">
                  <c:v>No</c:v>
                </c:pt>
              </c:strCache>
            </c:strRef>
          </c:cat>
          <c:val>
            <c:numRef>
              <c:f>'[Set 4^J5 Data.xlsx]Sheet2'!$F$2:$F$3</c:f>
              <c:numCache>
                <c:formatCode>General</c:formatCode>
                <c:ptCount val="2"/>
                <c:pt idx="0">
                  <c:v>324</c:v>
                </c:pt>
                <c:pt idx="1">
                  <c:v>377</c:v>
                </c:pt>
              </c:numCache>
            </c:numRef>
          </c:val>
          <c:extLst>
            <c:ext xmlns:c16="http://schemas.microsoft.com/office/drawing/2014/chart" uri="{C3380CC4-5D6E-409C-BE32-E72D297353CC}">
              <c16:uniqueId val="{00000004-F05C-44AD-AA83-8C8807ABDCE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787430683918669E-2"/>
          <c:y val="6.3591375955256005E-2"/>
          <c:w val="0.8574154268121511"/>
          <c:h val="0.89187597458664636"/>
        </c:manualLayout>
      </c:layout>
      <c:pie3DChart>
        <c:varyColors val="1"/>
        <c:ser>
          <c:idx val="0"/>
          <c:order val="0"/>
          <c:dPt>
            <c:idx val="0"/>
            <c:bubble3D val="0"/>
            <c:explosion val="1"/>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90B-4B9A-A588-8749C689A3C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90B-4B9A-A588-8749C689A3C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90B-4B9A-A588-8749C689A3C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90B-4B9A-A588-8749C689A3C9}"/>
              </c:ext>
            </c:extLst>
          </c:dPt>
          <c:dLbls>
            <c:dLbl>
              <c:idx val="1"/>
              <c:layout>
                <c:manualLayout>
                  <c:x val="0.12304219570449661"/>
                  <c:y val="-4.68072219286828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0B-4B9A-A588-8749C689A3C9}"/>
                </c:ext>
              </c:extLst>
            </c:dLbl>
            <c:dLbl>
              <c:idx val="2"/>
              <c:layout>
                <c:manualLayout>
                  <c:x val="7.7893390152648087E-3"/>
                  <c:y val="0.1830057863061716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0B-4B9A-A588-8749C689A3C9}"/>
                </c:ext>
              </c:extLst>
            </c:dLbl>
            <c:dLbl>
              <c:idx val="3"/>
              <c:layout>
                <c:manualLayout>
                  <c:x val="0.15268273376990937"/>
                  <c:y val="7.47361367063159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90B-4B9A-A588-8749C689A3C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Data.xlsx]Sheet2'!$E$5:$E$8</c:f>
              <c:strCache>
                <c:ptCount val="4"/>
                <c:pt idx="0">
                  <c:v>Fruits </c:v>
                </c:pt>
                <c:pt idx="1">
                  <c:v>Cooked food </c:v>
                </c:pt>
                <c:pt idx="2">
                  <c:v>Uncooked </c:v>
                </c:pt>
                <c:pt idx="3">
                  <c:v>Bakery </c:v>
                </c:pt>
              </c:strCache>
            </c:strRef>
          </c:cat>
          <c:val>
            <c:numRef>
              <c:f>'[Set 4^J5 Data.xlsx]Sheet2'!$F$5:$F$8</c:f>
              <c:numCache>
                <c:formatCode>General</c:formatCode>
                <c:ptCount val="4"/>
                <c:pt idx="0">
                  <c:v>332</c:v>
                </c:pt>
                <c:pt idx="1">
                  <c:v>11</c:v>
                </c:pt>
                <c:pt idx="2">
                  <c:v>17</c:v>
                </c:pt>
                <c:pt idx="3">
                  <c:v>39</c:v>
                </c:pt>
              </c:numCache>
            </c:numRef>
          </c:val>
          <c:extLst>
            <c:ext xmlns:c16="http://schemas.microsoft.com/office/drawing/2014/chart" uri="{C3380CC4-5D6E-409C-BE32-E72D297353CC}">
              <c16:uniqueId val="{00000008-A90B-4B9A-A588-8749C689A3C9}"/>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484447850251628"/>
          <c:y val="0.21383816384654045"/>
          <c:w val="0.27594787392964615"/>
          <c:h val="0.5087967318324162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95612151929284706"/>
          <c:h val="0.9976269124895973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559-4231-BF55-B52D3734D26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559-4231-BF55-B52D3734D26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559-4231-BF55-B52D3734D267}"/>
              </c:ext>
            </c:extLst>
          </c:dPt>
          <c:dLbls>
            <c:dLbl>
              <c:idx val="0"/>
              <c:layout>
                <c:manualLayout>
                  <c:x val="-6.5574898737050885E-2"/>
                  <c:y val="9.59973020132259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559-4231-BF55-B52D3734D267}"/>
                </c:ext>
              </c:extLst>
            </c:dLbl>
            <c:dLbl>
              <c:idx val="2"/>
              <c:layout>
                <c:manualLayout>
                  <c:x val="6.7712769599452202E-2"/>
                  <c:y val="0.12522656366067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559-4231-BF55-B52D3734D26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Data.xlsx]Sheet2'!$E$10:$E$12</c:f>
              <c:strCache>
                <c:ptCount val="3"/>
                <c:pt idx="0">
                  <c:v>High </c:v>
                </c:pt>
                <c:pt idx="1">
                  <c:v>Neutral </c:v>
                </c:pt>
                <c:pt idx="2">
                  <c:v>Low</c:v>
                </c:pt>
              </c:strCache>
            </c:strRef>
          </c:cat>
          <c:val>
            <c:numRef>
              <c:f>'[Set 4^J5 Data.xlsx]Sheet2'!$F$10:$F$12</c:f>
              <c:numCache>
                <c:formatCode>General</c:formatCode>
                <c:ptCount val="3"/>
                <c:pt idx="0">
                  <c:v>75</c:v>
                </c:pt>
                <c:pt idx="1">
                  <c:v>471</c:v>
                </c:pt>
                <c:pt idx="2">
                  <c:v>126</c:v>
                </c:pt>
              </c:numCache>
            </c:numRef>
          </c:val>
          <c:extLst>
            <c:ext xmlns:c16="http://schemas.microsoft.com/office/drawing/2014/chart" uri="{C3380CC4-5D6E-409C-BE32-E72D297353CC}">
              <c16:uniqueId val="{00000006-1559-4231-BF55-B52D3734D26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280387365372443"/>
          <c:y val="0.56986684591255365"/>
          <c:w val="0.25696141430597036"/>
          <c:h val="0.428821084864391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5914490951788935E-3"/>
          <c:y val="5.7968711765435443E-2"/>
          <c:w val="0.93757197746342957"/>
          <c:h val="0.89791668761711296"/>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6CF-4473-89F1-262AD98BEEF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6CF-4473-89F1-262AD98BEEF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6CF-4473-89F1-262AD98BEEF5}"/>
              </c:ext>
            </c:extLst>
          </c:dPt>
          <c:dLbls>
            <c:dLbl>
              <c:idx val="1"/>
              <c:layout>
                <c:manualLayout>
                  <c:x val="0.427575831371594"/>
                  <c:y val="-0.138505260371865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6CF-4473-89F1-262AD98BEEF5}"/>
                </c:ext>
              </c:extLst>
            </c:dLbl>
            <c:dLbl>
              <c:idx val="2"/>
              <c:layout>
                <c:manualLayout>
                  <c:x val="4.6428703248031493E-2"/>
                  <c:y val="0.1113318923369872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6CF-4473-89F1-262AD98BEEF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Data.xlsx]Sheet2'!$E$14:$E$16</c:f>
              <c:strCache>
                <c:ptCount val="3"/>
                <c:pt idx="0">
                  <c:v>Tolerable </c:v>
                </c:pt>
                <c:pt idx="1">
                  <c:v>Moderate</c:v>
                </c:pt>
                <c:pt idx="2">
                  <c:v>Unbarable</c:v>
                </c:pt>
              </c:strCache>
            </c:strRef>
          </c:cat>
          <c:val>
            <c:numRef>
              <c:f>'[Set 4^J5 Data.xlsx]Sheet2'!$F$14:$F$16</c:f>
              <c:numCache>
                <c:formatCode>General</c:formatCode>
                <c:ptCount val="3"/>
                <c:pt idx="0">
                  <c:v>263</c:v>
                </c:pt>
                <c:pt idx="1">
                  <c:v>329</c:v>
                </c:pt>
                <c:pt idx="2">
                  <c:v>47</c:v>
                </c:pt>
              </c:numCache>
            </c:numRef>
          </c:val>
          <c:extLst>
            <c:ext xmlns:c16="http://schemas.microsoft.com/office/drawing/2014/chart" uri="{C3380CC4-5D6E-409C-BE32-E72D297353CC}">
              <c16:uniqueId val="{00000006-F6CF-4473-89F1-262AD98BEEF5}"/>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1.8731498768839464E-2"/>
          <c:y val="0.3075570700721233"/>
          <c:w val="0.37474307979543792"/>
          <c:h val="0.620502878316681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93231081585739E-2"/>
          <c:y val="8.3937339411520914E-2"/>
          <c:w val="0.94869739478957926"/>
          <c:h val="0.8424109407376709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A44-41A0-9DBE-9347C4FD0F6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A44-41A0-9DBE-9347C4FD0F6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A44-41A0-9DBE-9347C4FD0F6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'[Set 4^J5 Data.xlsx]Sheet2'!$E$18:$E$20</c:f>
              <c:strCache>
                <c:ptCount val="3"/>
                <c:pt idx="0">
                  <c:v>Yes</c:v>
                </c:pt>
                <c:pt idx="1">
                  <c:v>No</c:v>
                </c:pt>
                <c:pt idx="2">
                  <c:v>Don’t Know</c:v>
                </c:pt>
              </c:strCache>
            </c:strRef>
          </c:cat>
          <c:val>
            <c:numRef>
              <c:f>'[Set 4^J5 Data.xlsx]Sheet2'!$F$18:$F$20</c:f>
              <c:numCache>
                <c:formatCode>General</c:formatCode>
                <c:ptCount val="3"/>
                <c:pt idx="0">
                  <c:v>161</c:v>
                </c:pt>
                <c:pt idx="1">
                  <c:v>115</c:v>
                </c:pt>
                <c:pt idx="2">
                  <c:v>381</c:v>
                </c:pt>
              </c:numCache>
            </c:numRef>
          </c:val>
          <c:extLst>
            <c:ext xmlns:c16="http://schemas.microsoft.com/office/drawing/2014/chart" uri="{C3380CC4-5D6E-409C-BE32-E72D297353CC}">
              <c16:uniqueId val="{00000006-3A44-41A0-9DBE-9347C4FD0F6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3.1866883373045329E-2"/>
          <c:y val="0.53250029009531707"/>
          <c:w val="0.23038526434195725"/>
          <c:h val="0.4612284922717993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728958834702934E-2"/>
          <c:y val="0.30153965452891784"/>
          <c:w val="0.88903015271623897"/>
          <c:h val="0.60837551771744136"/>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33F-4965-B110-93A97E0A02B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33F-4965-B110-93A97E0A02B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33F-4965-B110-93A97E0A02B7}"/>
              </c:ext>
            </c:extLst>
          </c:dPt>
          <c:dLbls>
            <c:dLbl>
              <c:idx val="0"/>
              <c:layout>
                <c:manualLayout>
                  <c:x val="-4.878048780487805E-2"/>
                  <c:y val="0.1485761452744531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33F-4965-B110-93A97E0A02B7}"/>
                </c:ext>
              </c:extLst>
            </c:dLbl>
            <c:dLbl>
              <c:idx val="1"/>
              <c:layout>
                <c:manualLayout>
                  <c:x val="2.4096385542168676E-2"/>
                  <c:y val="0.3714403631861328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36947791164658633"/>
                      <c:h val="0.28093305299280841"/>
                    </c:manualLayout>
                  </c15:layout>
                </c:ext>
                <c:ext xmlns:c16="http://schemas.microsoft.com/office/drawing/2014/chart" uri="{C3380CC4-5D6E-409C-BE32-E72D297353CC}">
                  <c16:uniqueId val="{00000003-C33F-4965-B110-93A97E0A02B7}"/>
                </c:ext>
              </c:extLst>
            </c:dLbl>
            <c:dLbl>
              <c:idx val="2"/>
              <c:layout>
                <c:manualLayout>
                  <c:x val="0.10691079277740885"/>
                  <c:y val="1.126929913785539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77235772357724"/>
                      <c:h val="0.28093305299280841"/>
                    </c:manualLayout>
                  </c15:layout>
                </c:ext>
                <c:ext xmlns:c16="http://schemas.microsoft.com/office/drawing/2014/chart" uri="{C3380CC4-5D6E-409C-BE32-E72D297353CC}">
                  <c16:uniqueId val="{00000005-C33F-4965-B110-93A97E0A02B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'[Set 4^J5 Data.xlsx]Sheet4'!$E$10:$E$12</c:f>
              <c:strCache>
                <c:ptCount val="3"/>
                <c:pt idx="0">
                  <c:v>Low</c:v>
                </c:pt>
                <c:pt idx="1">
                  <c:v>Medium </c:v>
                </c:pt>
                <c:pt idx="2">
                  <c:v>High</c:v>
                </c:pt>
              </c:strCache>
            </c:strRef>
          </c:cat>
          <c:val>
            <c:numRef>
              <c:f>'[Set 4^J5 Data.xlsx]Sheet4'!$F$10:$F$12</c:f>
              <c:numCache>
                <c:formatCode>General</c:formatCode>
                <c:ptCount val="3"/>
                <c:pt idx="0">
                  <c:v>382</c:v>
                </c:pt>
                <c:pt idx="1">
                  <c:v>214</c:v>
                </c:pt>
                <c:pt idx="2">
                  <c:v>31</c:v>
                </c:pt>
              </c:numCache>
            </c:numRef>
          </c:val>
          <c:extLst>
            <c:ext xmlns:c16="http://schemas.microsoft.com/office/drawing/2014/chart" uri="{C3380CC4-5D6E-409C-BE32-E72D297353CC}">
              <c16:uniqueId val="{00000006-C33F-4965-B110-93A97E0A02B7}"/>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0"/>
    </c:view3D>
    <c:floor>
      <c:thickness val="0"/>
      <c:spPr>
        <a:solidFill>
          <a:schemeClr val="accent6">
            <a:alpha val="30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6">
                <a:lumMod val="20000"/>
                <a:lumOff val="80000"/>
              </a:schemeClr>
            </a:solidFill>
            <a:ln>
              <a:noFill/>
            </a:ln>
            <a:effectLst/>
            <a:sp3d/>
          </c:spPr>
          <c:invertIfNegative val="0"/>
          <c:cat>
            <c:multiLvlStrRef>
              <c:f>'[Set 4^J5 Data.xlsx]Sheet4'!$B$3:$E$9</c:f>
              <c:multiLvlStrCache>
                <c:ptCount val="7"/>
                <c:lvl>
                  <c:pt idx="0">
                    <c:v>Food Snatching </c:v>
                  </c:pt>
                  <c:pt idx="1">
                    <c:v>Crop damage </c:v>
                  </c:pt>
                  <c:pt idx="2">
                    <c:v>Garden damage</c:v>
                  </c:pt>
                  <c:pt idx="3">
                    <c:v>Bite</c:v>
                  </c:pt>
                  <c:pt idx="4">
                    <c:v>Property </c:v>
                  </c:pt>
                  <c:pt idx="5">
                    <c:v>to Pet</c:v>
                  </c:pt>
                  <c:pt idx="6">
                    <c:v>Others</c:v>
                  </c:pt>
                </c:lvl>
                <c:lvl>
                  <c:pt idx="0">
                    <c:v>Damaged caused (n=535)</c:v>
                  </c:pt>
                </c:lvl>
              </c:multiLvlStrCache>
            </c:multiLvlStrRef>
          </c:cat>
          <c:val>
            <c:numRef>
              <c:f>'[Set 4^J5 Data.xlsx]Sheet4'!$F$3:$F$9</c:f>
              <c:numCache>
                <c:formatCode>General</c:formatCode>
                <c:ptCount val="7"/>
                <c:pt idx="0">
                  <c:v>179</c:v>
                </c:pt>
                <c:pt idx="1">
                  <c:v>74</c:v>
                </c:pt>
                <c:pt idx="2">
                  <c:v>82</c:v>
                </c:pt>
                <c:pt idx="3">
                  <c:v>9</c:v>
                </c:pt>
                <c:pt idx="4">
                  <c:v>57</c:v>
                </c:pt>
                <c:pt idx="5">
                  <c:v>7</c:v>
                </c:pt>
                <c:pt idx="6">
                  <c:v>214</c:v>
                </c:pt>
              </c:numCache>
            </c:numRef>
          </c:val>
          <c:extLst>
            <c:ext xmlns:c16="http://schemas.microsoft.com/office/drawing/2014/chart" uri="{C3380CC4-5D6E-409C-BE32-E72D297353CC}">
              <c16:uniqueId val="{00000000-7C3B-481B-9B25-21E3ECC1BF69}"/>
            </c:ext>
          </c:extLst>
        </c:ser>
        <c:dLbls>
          <c:showLegendKey val="0"/>
          <c:showVal val="0"/>
          <c:showCatName val="0"/>
          <c:showSerName val="0"/>
          <c:showPercent val="0"/>
          <c:showBubbleSize val="0"/>
        </c:dLbls>
        <c:gapWidth val="154"/>
        <c:gapDepth val="0"/>
        <c:shape val="box"/>
        <c:axId val="2112946848"/>
        <c:axId val="2112957888"/>
        <c:axId val="0"/>
      </c:bar3DChart>
      <c:catAx>
        <c:axId val="2112946848"/>
        <c:scaling>
          <c:orientation val="minMax"/>
        </c:scaling>
        <c:delete val="0"/>
        <c:axPos val="l"/>
        <c:majorGridlines>
          <c:spPr>
            <a:ln w="9525" cap="flat" cmpd="sng" algn="ctr">
              <a:solidFill>
                <a:schemeClr val="l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all" spc="150" normalizeH="0" baseline="0">
                <a:solidFill>
                  <a:schemeClr val="lt1"/>
                </a:solidFill>
                <a:latin typeface="+mn-lt"/>
                <a:ea typeface="+mn-ea"/>
                <a:cs typeface="+mn-cs"/>
              </a:defRPr>
            </a:pPr>
            <a:endParaRPr lang="en-US"/>
          </a:p>
        </c:txPr>
        <c:crossAx val="2112957888"/>
        <c:crosses val="autoZero"/>
        <c:auto val="1"/>
        <c:lblAlgn val="ctr"/>
        <c:lblOffset val="100"/>
        <c:noMultiLvlLbl val="0"/>
      </c:catAx>
      <c:valAx>
        <c:axId val="2112957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2112946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solidFill>
    <a:ln w="9525" cap="flat" cmpd="sng" algn="ctr">
      <a:solidFill>
        <a:schemeClr val="accent6"/>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'[Set 4^J5 Data.xlsx]Sheet4'!$B$13:$E$21</c:f>
              <c:strCache>
                <c:ptCount val="9"/>
                <c:pt idx="0">
                  <c:v>Not feeding </c:v>
                </c:pt>
                <c:pt idx="1">
                  <c:v>catch and release</c:v>
                </c:pt>
                <c:pt idx="2">
                  <c:v>crackers</c:v>
                </c:pt>
                <c:pt idx="3">
                  <c:v>Iron grills</c:v>
                </c:pt>
                <c:pt idx="4">
                  <c:v>Culling </c:v>
                </c:pt>
                <c:pt idx="5">
                  <c:v>water spray</c:v>
                </c:pt>
                <c:pt idx="6">
                  <c:v>Using sticks</c:v>
                </c:pt>
                <c:pt idx="7">
                  <c:v>Dogs</c:v>
                </c:pt>
                <c:pt idx="8">
                  <c:v>Others</c:v>
                </c:pt>
              </c:strCache>
              <c:extLst/>
            </c:strRef>
          </c:cat>
          <c:val>
            <c:numRef>
              <c:f>'[Set 4^J5 Data.xlsx]Sheet4'!$F$13:$F$21</c:f>
              <c:numCache>
                <c:formatCode>General</c:formatCode>
                <c:ptCount val="9"/>
                <c:pt idx="0">
                  <c:v>138</c:v>
                </c:pt>
                <c:pt idx="1">
                  <c:v>77</c:v>
                </c:pt>
                <c:pt idx="2">
                  <c:v>65</c:v>
                </c:pt>
                <c:pt idx="3">
                  <c:v>133</c:v>
                </c:pt>
                <c:pt idx="4">
                  <c:v>2</c:v>
                </c:pt>
                <c:pt idx="5">
                  <c:v>58</c:v>
                </c:pt>
                <c:pt idx="6">
                  <c:v>119</c:v>
                </c:pt>
                <c:pt idx="7">
                  <c:v>42</c:v>
                </c:pt>
                <c:pt idx="8">
                  <c:v>118</c:v>
                </c:pt>
              </c:numCache>
            </c:numRef>
          </c:val>
          <c:extLst>
            <c:ext xmlns:c16="http://schemas.microsoft.com/office/drawing/2014/chart" uri="{C3380CC4-5D6E-409C-BE32-E72D297353CC}">
              <c16:uniqueId val="{00000000-F6E0-4E50-99D2-0462D58500FB}"/>
            </c:ext>
          </c:extLst>
        </c:ser>
        <c:dLbls>
          <c:dLblPos val="outEnd"/>
          <c:showLegendKey val="0"/>
          <c:showVal val="1"/>
          <c:showCatName val="0"/>
          <c:showSerName val="0"/>
          <c:showPercent val="0"/>
          <c:showBubbleSize val="0"/>
        </c:dLbls>
        <c:gapWidth val="227"/>
        <c:overlap val="-48"/>
        <c:axId val="1510214640"/>
        <c:axId val="1510225200"/>
      </c:barChart>
      <c:catAx>
        <c:axId val="15102146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510225200"/>
        <c:crosses val="autoZero"/>
        <c:auto val="1"/>
        <c:lblAlgn val="ctr"/>
        <c:lblOffset val="100"/>
        <c:noMultiLvlLbl val="0"/>
      </c:catAx>
      <c:valAx>
        <c:axId val="15102252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21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5">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lumMod val="20000"/>
          <a:lumOff val="80000"/>
        </a:schemeClr>
      </a:solidFill>
    </cs:spPr>
  </cs:dataPoint>
  <cs:dataPoint3D>
    <cs:lnRef idx="0"/>
    <cs:fillRef idx="0">
      <cs:styleClr val="auto"/>
    </cs:fillRef>
    <cs:effectRef idx="0"/>
    <cs:fontRef idx="minor">
      <a:schemeClr val="dk1"/>
    </cs:fontRef>
    <cs:spPr>
      <a:solidFill>
        <a:schemeClr val="phClr">
          <a:lumMod val="20000"/>
          <a:lumOff val="80000"/>
        </a:schemeClr>
      </a:solidFill>
      <a:sp3d/>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styleClr val="0"/>
    </cs:fillRef>
    <cs:effectRef idx="0"/>
    <cs:fontRef idx="minor">
      <a:schemeClr val="dk1"/>
    </cs:fontRef>
    <cs:spPr>
      <a:solidFill>
        <a:schemeClr val="phClr">
          <a:alpha val="30000"/>
        </a:schemeClr>
      </a:solidFill>
      <a:sp3d/>
    </cs:spPr>
  </cs:floor>
  <cs:gridlineMajor>
    <cs:lnRef idx="0">
      <cs:styleClr val="0"/>
    </cs:lnRef>
    <cs:fillRef idx="0"/>
    <cs:effectRef idx="0"/>
    <cs:fontRef idx="minor">
      <a:schemeClr val="dk1"/>
    </cs:fontRef>
    <cs:spPr>
      <a:ln w="9525" cap="flat" cmpd="sng" algn="ctr">
        <a:solidFill>
          <a:schemeClr val="lt1">
            <a:lumMod val="60000"/>
            <a:lumOff val="40000"/>
          </a:schemeClr>
        </a:solidFill>
        <a:round/>
      </a:ln>
    </cs:spPr>
  </cs:gridlineMajor>
  <cs:gridlineMinor>
    <cs:lnRef idx="0">
      <cs:styleClr val="0"/>
    </cs:lnRef>
    <cs:fillRef idx="0"/>
    <cs:effectRef idx="0"/>
    <cs:fontRef idx="minor">
      <a:schemeClr val="dk1"/>
    </cs:fontRef>
    <cs:spPr>
      <a:ln>
        <a:solidFill>
          <a:schemeClr val="lt1">
            <a:lumMod val="50000"/>
            <a:lumOff val="5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0.0599</cdr:x>
      <cdr:y>0.01067</cdr:y>
    </cdr:from>
    <cdr:to>
      <cdr:x>0.4739</cdr:x>
      <cdr:y>0.12381</cdr:y>
    </cdr:to>
    <cdr:sp macro="" textlink="">
      <cdr:nvSpPr>
        <cdr:cNvPr id="2" name="TextBox 1">
          <a:extLst xmlns:a="http://schemas.openxmlformats.org/drawingml/2006/main">
            <a:ext uri="{FF2B5EF4-FFF2-40B4-BE49-F238E27FC236}">
              <a16:creationId xmlns:a16="http://schemas.microsoft.com/office/drawing/2014/main" id="{E4F6B2B2-E4F4-3D0F-234A-DC18C7E78B63}"/>
            </a:ext>
          </a:extLst>
        </cdr:cNvPr>
        <cdr:cNvSpPr txBox="1"/>
      </cdr:nvSpPr>
      <cdr:spPr>
        <a:xfrm xmlns:a="http://schemas.openxmlformats.org/drawingml/2006/main">
          <a:off x="94704" y="16413"/>
          <a:ext cx="654596" cy="174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kern="1200">
              <a:latin typeface="Times New Roman" panose="02020603050405020304" pitchFamily="18" charset="0"/>
              <a:cs typeface="Times New Roman" panose="02020603050405020304" pitchFamily="18" charset="0"/>
            </a:rPr>
            <a:t>n</a:t>
          </a:r>
          <a:r>
            <a:rPr lang="en-IN" sz="800" kern="1200" baseline="0">
              <a:latin typeface="Times New Roman" panose="02020603050405020304" pitchFamily="18" charset="0"/>
              <a:cs typeface="Times New Roman" panose="02020603050405020304" pitchFamily="18" charset="0"/>
            </a:rPr>
            <a:t> = 627</a:t>
          </a:r>
        </a:p>
        <a:p xmlns:a="http://schemas.openxmlformats.org/drawingml/2006/main">
          <a:endParaRPr lang="en-IN"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7</cp:revision>
  <dcterms:created xsi:type="dcterms:W3CDTF">2025-11-20T07:32:00Z</dcterms:created>
  <dcterms:modified xsi:type="dcterms:W3CDTF">2025-11-21T07:29:00Z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2757bda4-9b18-4f2f-9b55-8bd5fa3d669a</vt:lpwstr>
  </property>
</Properties>
</file>