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8E7D9" w14:textId="109D28C8" w:rsidR="00142B2C" w:rsidRPr="004939F9" w:rsidRDefault="00142B2C" w:rsidP="00CF5C49">
      <w:pPr>
        <w:spacing w:line="360" w:lineRule="auto"/>
        <w:jc w:val="center"/>
        <w:rPr>
          <w:rFonts w:ascii="Times New Roman" w:hAnsi="Times New Roman" w:cs="Times New Roman"/>
          <w:b/>
          <w:bCs/>
          <w:sz w:val="24"/>
          <w:szCs w:val="24"/>
        </w:rPr>
      </w:pPr>
      <w:r w:rsidRPr="004939F9">
        <w:rPr>
          <w:rFonts w:ascii="Times New Roman" w:hAnsi="Times New Roman" w:cs="Times New Roman"/>
          <w:b/>
          <w:bCs/>
          <w:sz w:val="24"/>
          <w:szCs w:val="24"/>
        </w:rPr>
        <w:t>Moderating Effect of Firm Size on the Relationship between Financial Metrics and Share Price of Listed Agriculture and Consumer Goods Firms in Nigeria.</w:t>
      </w:r>
    </w:p>
    <w:p w14:paraId="2D52B56D" w14:textId="00D17C64" w:rsidR="00516623" w:rsidRPr="004939F9" w:rsidRDefault="007F3C52" w:rsidP="00B621B5">
      <w:pPr>
        <w:spacing w:after="0" w:line="360" w:lineRule="auto"/>
        <w:rPr>
          <w:rFonts w:ascii="Times New Roman" w:hAnsi="Times New Roman" w:cs="Times New Roman"/>
          <w:b/>
          <w:bCs/>
          <w:sz w:val="24"/>
          <w:szCs w:val="24"/>
        </w:rPr>
      </w:pPr>
      <w:r w:rsidRPr="004939F9">
        <w:rPr>
          <w:rFonts w:ascii="Times New Roman" w:hAnsi="Times New Roman" w:cs="Times New Roman"/>
          <w:b/>
          <w:bCs/>
          <w:sz w:val="24"/>
          <w:szCs w:val="24"/>
        </w:rPr>
        <w:t>Abstract</w:t>
      </w:r>
    </w:p>
    <w:p w14:paraId="340A7B38" w14:textId="646C80ED" w:rsidR="00E1735F" w:rsidRPr="00896BDD" w:rsidRDefault="005E7ABC" w:rsidP="00A453BD">
      <w:pPr>
        <w:spacing w:line="240" w:lineRule="auto"/>
        <w:jc w:val="both"/>
        <w:rPr>
          <w:rFonts w:ascii="Times New Roman" w:hAnsi="Times New Roman" w:cs="Times New Roman"/>
          <w:i/>
          <w:iCs/>
          <w:color w:val="FF0000"/>
          <w:sz w:val="24"/>
          <w:szCs w:val="24"/>
        </w:rPr>
      </w:pPr>
      <w:r w:rsidRPr="004939F9">
        <w:rPr>
          <w:rFonts w:ascii="Times New Roman" w:hAnsi="Times New Roman" w:cs="Times New Roman"/>
          <w:i/>
          <w:iCs/>
          <w:sz w:val="24"/>
          <w:szCs w:val="24"/>
        </w:rPr>
        <w:t xml:space="preserve">In view of </w:t>
      </w:r>
      <w:r w:rsidR="003F6D9F" w:rsidRPr="004939F9">
        <w:rPr>
          <w:rFonts w:ascii="Times New Roman" w:hAnsi="Times New Roman" w:cs="Times New Roman"/>
          <w:i/>
          <w:iCs/>
          <w:sz w:val="24"/>
          <w:szCs w:val="24"/>
        </w:rPr>
        <w:t>scholars</w:t>
      </w:r>
      <w:r w:rsidR="00944319" w:rsidRPr="004939F9">
        <w:rPr>
          <w:rFonts w:ascii="Times New Roman" w:hAnsi="Times New Roman" w:cs="Times New Roman"/>
          <w:i/>
          <w:iCs/>
          <w:sz w:val="24"/>
          <w:szCs w:val="24"/>
        </w:rPr>
        <w:t>-</w:t>
      </w:r>
      <w:r w:rsidR="003F6D9F" w:rsidRPr="004939F9">
        <w:rPr>
          <w:rFonts w:ascii="Times New Roman" w:hAnsi="Times New Roman" w:cs="Times New Roman"/>
          <w:i/>
          <w:iCs/>
          <w:sz w:val="24"/>
          <w:szCs w:val="24"/>
        </w:rPr>
        <w:t>established</w:t>
      </w:r>
      <w:r w:rsidRPr="004939F9">
        <w:rPr>
          <w:rFonts w:ascii="Times New Roman" w:hAnsi="Times New Roman" w:cs="Times New Roman"/>
          <w:i/>
          <w:iCs/>
          <w:sz w:val="24"/>
          <w:szCs w:val="24"/>
        </w:rPr>
        <w:t xml:space="preserve"> link between firm si</w:t>
      </w:r>
      <w:r w:rsidR="00D41E52" w:rsidRPr="004939F9">
        <w:rPr>
          <w:rFonts w:ascii="Times New Roman" w:hAnsi="Times New Roman" w:cs="Times New Roman"/>
          <w:i/>
          <w:iCs/>
          <w:sz w:val="24"/>
          <w:szCs w:val="24"/>
        </w:rPr>
        <w:t xml:space="preserve">ze and share price and </w:t>
      </w:r>
      <w:r w:rsidR="006239DC" w:rsidRPr="004939F9">
        <w:rPr>
          <w:rFonts w:ascii="Times New Roman" w:hAnsi="Times New Roman" w:cs="Times New Roman"/>
          <w:i/>
          <w:iCs/>
          <w:sz w:val="24"/>
          <w:szCs w:val="24"/>
        </w:rPr>
        <w:t xml:space="preserve">the </w:t>
      </w:r>
      <w:r w:rsidR="00A453BD" w:rsidRPr="004939F9">
        <w:rPr>
          <w:rFonts w:ascii="Times New Roman" w:hAnsi="Times New Roman" w:cs="Times New Roman"/>
          <w:i/>
          <w:iCs/>
          <w:sz w:val="24"/>
          <w:szCs w:val="24"/>
        </w:rPr>
        <w:t xml:space="preserve">suggested </w:t>
      </w:r>
      <w:r w:rsidR="009F45EF" w:rsidRPr="004939F9">
        <w:rPr>
          <w:rFonts w:ascii="Times New Roman" w:hAnsi="Times New Roman" w:cs="Times New Roman"/>
          <w:i/>
          <w:iCs/>
          <w:sz w:val="24"/>
          <w:szCs w:val="24"/>
        </w:rPr>
        <w:t>dual causal</w:t>
      </w:r>
      <w:r w:rsidR="00A44E97" w:rsidRPr="004939F9">
        <w:rPr>
          <w:rFonts w:ascii="Times New Roman" w:hAnsi="Times New Roman" w:cs="Times New Roman"/>
          <w:i/>
          <w:iCs/>
          <w:sz w:val="24"/>
          <w:szCs w:val="24"/>
        </w:rPr>
        <w:t>ity</w:t>
      </w:r>
      <w:r w:rsidR="00E7406D" w:rsidRPr="004939F9">
        <w:rPr>
          <w:rFonts w:ascii="Times New Roman" w:hAnsi="Times New Roman" w:cs="Times New Roman"/>
          <w:i/>
          <w:iCs/>
          <w:sz w:val="24"/>
          <w:szCs w:val="24"/>
        </w:rPr>
        <w:t xml:space="preserve"> </w:t>
      </w:r>
      <w:r w:rsidR="002815E4" w:rsidRPr="004939F9">
        <w:rPr>
          <w:rFonts w:ascii="Times New Roman" w:hAnsi="Times New Roman" w:cs="Times New Roman"/>
          <w:i/>
          <w:iCs/>
          <w:sz w:val="24"/>
          <w:szCs w:val="24"/>
        </w:rPr>
        <w:t xml:space="preserve">nexus between </w:t>
      </w:r>
      <w:r w:rsidR="00E7406D" w:rsidRPr="004939F9">
        <w:rPr>
          <w:rFonts w:ascii="Times New Roman" w:hAnsi="Times New Roman" w:cs="Times New Roman"/>
          <w:i/>
          <w:iCs/>
          <w:sz w:val="24"/>
          <w:szCs w:val="24"/>
        </w:rPr>
        <w:t>firm si</w:t>
      </w:r>
      <w:r w:rsidR="00DA153F" w:rsidRPr="004939F9">
        <w:rPr>
          <w:rFonts w:ascii="Times New Roman" w:hAnsi="Times New Roman" w:cs="Times New Roman"/>
          <w:i/>
          <w:iCs/>
          <w:sz w:val="24"/>
          <w:szCs w:val="24"/>
        </w:rPr>
        <w:t xml:space="preserve">ze </w:t>
      </w:r>
      <w:r w:rsidR="003423CF" w:rsidRPr="004939F9">
        <w:rPr>
          <w:rFonts w:ascii="Times New Roman" w:hAnsi="Times New Roman" w:cs="Times New Roman"/>
          <w:i/>
          <w:iCs/>
          <w:sz w:val="24"/>
          <w:szCs w:val="24"/>
        </w:rPr>
        <w:t xml:space="preserve">and financial </w:t>
      </w:r>
      <w:r w:rsidR="00023682" w:rsidRPr="004939F9">
        <w:rPr>
          <w:rFonts w:ascii="Times New Roman" w:hAnsi="Times New Roman" w:cs="Times New Roman"/>
          <w:i/>
          <w:iCs/>
          <w:sz w:val="24"/>
          <w:szCs w:val="24"/>
        </w:rPr>
        <w:t>performance</w:t>
      </w:r>
      <w:r w:rsidR="00200DE8" w:rsidRPr="004939F9">
        <w:rPr>
          <w:rFonts w:ascii="Times New Roman" w:hAnsi="Times New Roman" w:cs="Times New Roman"/>
          <w:i/>
          <w:iCs/>
          <w:sz w:val="24"/>
          <w:szCs w:val="24"/>
        </w:rPr>
        <w:t xml:space="preserve">, </w:t>
      </w:r>
      <w:r w:rsidR="004C555D">
        <w:rPr>
          <w:rFonts w:ascii="Times New Roman" w:hAnsi="Times New Roman" w:cs="Times New Roman"/>
          <w:i/>
          <w:iCs/>
          <w:sz w:val="24"/>
          <w:szCs w:val="24"/>
        </w:rPr>
        <w:t>the study</w:t>
      </w:r>
      <w:r w:rsidR="003F6D9F" w:rsidRPr="004939F9">
        <w:rPr>
          <w:rFonts w:ascii="Times New Roman" w:hAnsi="Times New Roman" w:cs="Times New Roman"/>
          <w:i/>
          <w:iCs/>
          <w:sz w:val="24"/>
          <w:szCs w:val="24"/>
        </w:rPr>
        <w:t xml:space="preserve"> </w:t>
      </w:r>
      <w:r w:rsidR="00200DE8" w:rsidRPr="004939F9">
        <w:rPr>
          <w:rFonts w:ascii="Times New Roman" w:hAnsi="Times New Roman" w:cs="Times New Roman"/>
          <w:i/>
          <w:iCs/>
          <w:sz w:val="24"/>
          <w:szCs w:val="24"/>
        </w:rPr>
        <w:t>examined the moderating effect of firm size</w:t>
      </w:r>
      <w:r w:rsidR="00590148" w:rsidRPr="004939F9">
        <w:rPr>
          <w:rFonts w:ascii="Times New Roman" w:hAnsi="Times New Roman" w:cs="Times New Roman"/>
          <w:i/>
          <w:iCs/>
          <w:sz w:val="24"/>
          <w:szCs w:val="24"/>
        </w:rPr>
        <w:t xml:space="preserve"> on the relationship between financial</w:t>
      </w:r>
      <w:r w:rsidR="001C7C63" w:rsidRPr="004939F9">
        <w:rPr>
          <w:rFonts w:ascii="Times New Roman" w:hAnsi="Times New Roman" w:cs="Times New Roman"/>
          <w:i/>
          <w:iCs/>
          <w:sz w:val="24"/>
          <w:szCs w:val="24"/>
        </w:rPr>
        <w:t xml:space="preserve"> </w:t>
      </w:r>
      <w:r w:rsidR="00023682" w:rsidRPr="004939F9">
        <w:rPr>
          <w:rFonts w:ascii="Times New Roman" w:hAnsi="Times New Roman" w:cs="Times New Roman"/>
          <w:i/>
          <w:iCs/>
          <w:sz w:val="24"/>
          <w:szCs w:val="24"/>
        </w:rPr>
        <w:t>metrics</w:t>
      </w:r>
      <w:r w:rsidR="00590148" w:rsidRPr="004939F9">
        <w:rPr>
          <w:rFonts w:ascii="Times New Roman" w:hAnsi="Times New Roman" w:cs="Times New Roman"/>
          <w:i/>
          <w:iCs/>
          <w:sz w:val="24"/>
          <w:szCs w:val="24"/>
        </w:rPr>
        <w:t xml:space="preserve"> and share prices of liste</w:t>
      </w:r>
      <w:r w:rsidR="00392314" w:rsidRPr="004939F9">
        <w:rPr>
          <w:rFonts w:ascii="Times New Roman" w:hAnsi="Times New Roman" w:cs="Times New Roman"/>
          <w:i/>
          <w:iCs/>
          <w:sz w:val="24"/>
          <w:szCs w:val="24"/>
        </w:rPr>
        <w:t>d agriculture and consumer goods firms in Nigeria.</w:t>
      </w:r>
      <w:r w:rsidR="00F71F3F" w:rsidRPr="004939F9">
        <w:rPr>
          <w:rFonts w:ascii="Times New Roman" w:hAnsi="Times New Roman" w:cs="Times New Roman"/>
          <w:i/>
          <w:iCs/>
          <w:sz w:val="24"/>
          <w:szCs w:val="24"/>
        </w:rPr>
        <w:t xml:space="preserve"> </w:t>
      </w:r>
      <w:r w:rsidR="00497386">
        <w:rPr>
          <w:rFonts w:ascii="Times New Roman" w:hAnsi="Times New Roman" w:cs="Times New Roman"/>
          <w:i/>
          <w:iCs/>
          <w:sz w:val="24"/>
          <w:szCs w:val="24"/>
        </w:rPr>
        <w:t>It</w:t>
      </w:r>
      <w:r w:rsidR="002D7345">
        <w:rPr>
          <w:rFonts w:ascii="Times New Roman" w:hAnsi="Times New Roman" w:cs="Times New Roman"/>
          <w:i/>
          <w:iCs/>
          <w:sz w:val="24"/>
          <w:szCs w:val="24"/>
        </w:rPr>
        <w:t xml:space="preserve"> </w:t>
      </w:r>
      <w:r w:rsidR="00E36A43" w:rsidRPr="004939F9">
        <w:rPr>
          <w:rFonts w:ascii="Times New Roman" w:hAnsi="Times New Roman" w:cs="Times New Roman"/>
          <w:i/>
          <w:iCs/>
          <w:sz w:val="24"/>
          <w:szCs w:val="24"/>
        </w:rPr>
        <w:t xml:space="preserve">controlled for the </w:t>
      </w:r>
      <w:r w:rsidR="00B70771">
        <w:rPr>
          <w:rFonts w:ascii="Times New Roman" w:hAnsi="Times New Roman" w:cs="Times New Roman"/>
          <w:i/>
          <w:iCs/>
          <w:sz w:val="24"/>
          <w:szCs w:val="24"/>
        </w:rPr>
        <w:t>pervasive</w:t>
      </w:r>
      <w:r w:rsidR="00B54D31" w:rsidRPr="004939F9">
        <w:rPr>
          <w:rFonts w:ascii="Times New Roman" w:hAnsi="Times New Roman" w:cs="Times New Roman"/>
          <w:i/>
          <w:iCs/>
          <w:sz w:val="24"/>
          <w:szCs w:val="24"/>
        </w:rPr>
        <w:t xml:space="preserve"> macroeconomic variables</w:t>
      </w:r>
      <w:r w:rsidR="00A91086" w:rsidRPr="004939F9">
        <w:rPr>
          <w:rFonts w:ascii="Times New Roman" w:hAnsi="Times New Roman" w:cs="Times New Roman"/>
          <w:i/>
          <w:iCs/>
          <w:sz w:val="24"/>
          <w:szCs w:val="24"/>
        </w:rPr>
        <w:t xml:space="preserve"> of inflation, interest rate and exchange rate</w:t>
      </w:r>
      <w:r w:rsidR="00A22C47" w:rsidRPr="004939F9">
        <w:rPr>
          <w:rFonts w:ascii="Times New Roman" w:hAnsi="Times New Roman" w:cs="Times New Roman"/>
          <w:i/>
          <w:iCs/>
          <w:sz w:val="24"/>
          <w:szCs w:val="24"/>
        </w:rPr>
        <w:t xml:space="preserve">. </w:t>
      </w:r>
      <w:r w:rsidR="00796945" w:rsidRPr="004939F9">
        <w:rPr>
          <w:rFonts w:ascii="Times New Roman" w:hAnsi="Times New Roman" w:cs="Times New Roman"/>
          <w:i/>
          <w:iCs/>
          <w:sz w:val="24"/>
          <w:szCs w:val="24"/>
        </w:rPr>
        <w:t xml:space="preserve">Using purposive sampling </w:t>
      </w:r>
      <w:r w:rsidR="0041315F" w:rsidRPr="004939F9">
        <w:rPr>
          <w:rFonts w:ascii="Times New Roman" w:hAnsi="Times New Roman" w:cs="Times New Roman"/>
          <w:i/>
          <w:iCs/>
          <w:sz w:val="24"/>
          <w:szCs w:val="24"/>
        </w:rPr>
        <w:t>technique,</w:t>
      </w:r>
      <w:r w:rsidR="0003599D" w:rsidRPr="004939F9">
        <w:rPr>
          <w:rFonts w:ascii="Times New Roman" w:hAnsi="Times New Roman" w:cs="Times New Roman"/>
          <w:i/>
          <w:iCs/>
          <w:sz w:val="24"/>
          <w:szCs w:val="24"/>
        </w:rPr>
        <w:t xml:space="preserve"> a sample of 20 </w:t>
      </w:r>
      <w:r w:rsidR="00E279D9" w:rsidRPr="004939F9">
        <w:rPr>
          <w:rFonts w:ascii="Times New Roman" w:hAnsi="Times New Roman" w:cs="Times New Roman"/>
          <w:i/>
          <w:iCs/>
          <w:sz w:val="24"/>
          <w:szCs w:val="24"/>
        </w:rPr>
        <w:t>out</w:t>
      </w:r>
      <w:r w:rsidR="0003599D" w:rsidRPr="004939F9">
        <w:rPr>
          <w:rFonts w:ascii="Times New Roman" w:hAnsi="Times New Roman" w:cs="Times New Roman"/>
          <w:i/>
          <w:iCs/>
          <w:sz w:val="24"/>
          <w:szCs w:val="24"/>
        </w:rPr>
        <w:t xml:space="preserve"> of the</w:t>
      </w:r>
      <w:r w:rsidR="0041733F" w:rsidRPr="004939F9">
        <w:rPr>
          <w:rFonts w:ascii="Times New Roman" w:hAnsi="Times New Roman" w:cs="Times New Roman"/>
          <w:i/>
          <w:iCs/>
          <w:sz w:val="24"/>
          <w:szCs w:val="24"/>
        </w:rPr>
        <w:t xml:space="preserve"> 26 firms </w:t>
      </w:r>
      <w:r w:rsidR="0002315B">
        <w:rPr>
          <w:rFonts w:ascii="Times New Roman" w:hAnsi="Times New Roman" w:cs="Times New Roman"/>
          <w:i/>
          <w:iCs/>
          <w:sz w:val="24"/>
          <w:szCs w:val="24"/>
        </w:rPr>
        <w:t>of study</w:t>
      </w:r>
      <w:r w:rsidR="00F70875">
        <w:rPr>
          <w:rFonts w:ascii="Times New Roman" w:hAnsi="Times New Roman" w:cs="Times New Roman"/>
          <w:i/>
          <w:iCs/>
          <w:sz w:val="24"/>
          <w:szCs w:val="24"/>
        </w:rPr>
        <w:t xml:space="preserve"> was</w:t>
      </w:r>
      <w:r w:rsidR="007C18BA">
        <w:rPr>
          <w:rFonts w:ascii="Times New Roman" w:hAnsi="Times New Roman" w:cs="Times New Roman"/>
          <w:i/>
          <w:iCs/>
          <w:sz w:val="24"/>
          <w:szCs w:val="24"/>
        </w:rPr>
        <w:t xml:space="preserve"> </w:t>
      </w:r>
      <w:r w:rsidR="00F70875" w:rsidRPr="004939F9">
        <w:rPr>
          <w:rFonts w:ascii="Times New Roman" w:hAnsi="Times New Roman" w:cs="Times New Roman"/>
          <w:i/>
          <w:iCs/>
          <w:sz w:val="24"/>
          <w:szCs w:val="24"/>
        </w:rPr>
        <w:t>obtained</w:t>
      </w:r>
      <w:r w:rsidR="00232FAC" w:rsidRPr="004939F9">
        <w:rPr>
          <w:rFonts w:ascii="Times New Roman" w:hAnsi="Times New Roman" w:cs="Times New Roman"/>
          <w:i/>
          <w:iCs/>
          <w:sz w:val="24"/>
          <w:szCs w:val="24"/>
        </w:rPr>
        <w:t>. Secondary data were</w:t>
      </w:r>
      <w:r w:rsidR="00F03E5C" w:rsidRPr="004939F9">
        <w:rPr>
          <w:rFonts w:ascii="Times New Roman" w:hAnsi="Times New Roman" w:cs="Times New Roman"/>
          <w:i/>
          <w:iCs/>
          <w:sz w:val="24"/>
          <w:szCs w:val="24"/>
        </w:rPr>
        <w:t xml:space="preserve"> sourced from annual published </w:t>
      </w:r>
      <w:r w:rsidR="00D66F41" w:rsidRPr="004939F9">
        <w:rPr>
          <w:rFonts w:ascii="Times New Roman" w:hAnsi="Times New Roman" w:cs="Times New Roman"/>
          <w:i/>
          <w:iCs/>
          <w:sz w:val="24"/>
          <w:szCs w:val="24"/>
        </w:rPr>
        <w:t>financial statements of the firms,</w:t>
      </w:r>
      <w:r w:rsidR="00834A64" w:rsidRPr="004939F9">
        <w:rPr>
          <w:rFonts w:ascii="Times New Roman" w:hAnsi="Times New Roman" w:cs="Times New Roman"/>
          <w:i/>
          <w:iCs/>
          <w:sz w:val="24"/>
          <w:szCs w:val="24"/>
        </w:rPr>
        <w:t xml:space="preserve"> while the </w:t>
      </w:r>
      <w:r w:rsidR="000B2D86" w:rsidRPr="004939F9">
        <w:rPr>
          <w:rFonts w:ascii="Times New Roman" w:hAnsi="Times New Roman" w:cs="Times New Roman"/>
          <w:i/>
          <w:iCs/>
          <w:sz w:val="24"/>
          <w:szCs w:val="24"/>
        </w:rPr>
        <w:t>macroeconomic data were</w:t>
      </w:r>
      <w:r w:rsidR="0041733F" w:rsidRPr="004939F9">
        <w:rPr>
          <w:rFonts w:ascii="Times New Roman" w:hAnsi="Times New Roman" w:cs="Times New Roman"/>
          <w:i/>
          <w:iCs/>
          <w:sz w:val="24"/>
          <w:szCs w:val="24"/>
        </w:rPr>
        <w:t xml:space="preserve"> </w:t>
      </w:r>
      <w:r w:rsidR="000B2D86" w:rsidRPr="004939F9">
        <w:rPr>
          <w:rFonts w:ascii="Times New Roman" w:hAnsi="Times New Roman" w:cs="Times New Roman"/>
          <w:i/>
          <w:iCs/>
          <w:sz w:val="24"/>
          <w:szCs w:val="24"/>
        </w:rPr>
        <w:t>obtained from the National Bure</w:t>
      </w:r>
      <w:r w:rsidR="002D32DF" w:rsidRPr="004939F9">
        <w:rPr>
          <w:rFonts w:ascii="Times New Roman" w:hAnsi="Times New Roman" w:cs="Times New Roman"/>
          <w:i/>
          <w:iCs/>
          <w:sz w:val="24"/>
          <w:szCs w:val="24"/>
        </w:rPr>
        <w:t>au of Statistics and the Central Bank of Nigeria.</w:t>
      </w:r>
      <w:r w:rsidR="005307BF" w:rsidRPr="004939F9">
        <w:rPr>
          <w:rFonts w:ascii="Times New Roman" w:hAnsi="Times New Roman" w:cs="Times New Roman"/>
          <w:i/>
          <w:iCs/>
          <w:sz w:val="24"/>
          <w:szCs w:val="24"/>
        </w:rPr>
        <w:t xml:space="preserve"> </w:t>
      </w:r>
      <w:r w:rsidR="00544AA8" w:rsidRPr="004939F9">
        <w:rPr>
          <w:rFonts w:ascii="Times New Roman" w:hAnsi="Times New Roman" w:cs="Times New Roman"/>
          <w:i/>
          <w:iCs/>
          <w:sz w:val="24"/>
          <w:szCs w:val="24"/>
        </w:rPr>
        <w:t>G</w:t>
      </w:r>
      <w:r w:rsidR="00E74358" w:rsidRPr="004939F9">
        <w:rPr>
          <w:rFonts w:ascii="Times New Roman" w:hAnsi="Times New Roman" w:cs="Times New Roman"/>
          <w:i/>
          <w:iCs/>
          <w:sz w:val="24"/>
          <w:szCs w:val="24"/>
        </w:rPr>
        <w:t>eneralized l</w:t>
      </w:r>
      <w:r w:rsidR="001A3AFE">
        <w:rPr>
          <w:rFonts w:ascii="Times New Roman" w:hAnsi="Times New Roman" w:cs="Times New Roman"/>
          <w:i/>
          <w:iCs/>
          <w:sz w:val="24"/>
          <w:szCs w:val="24"/>
        </w:rPr>
        <w:t xml:space="preserve">east </w:t>
      </w:r>
      <w:r w:rsidR="0014556D">
        <w:rPr>
          <w:rFonts w:ascii="Times New Roman" w:hAnsi="Times New Roman" w:cs="Times New Roman"/>
          <w:i/>
          <w:iCs/>
          <w:sz w:val="24"/>
          <w:szCs w:val="24"/>
        </w:rPr>
        <w:t>squares</w:t>
      </w:r>
      <w:r w:rsidR="00944319" w:rsidRPr="004939F9">
        <w:rPr>
          <w:rFonts w:ascii="Times New Roman" w:hAnsi="Times New Roman" w:cs="Times New Roman"/>
          <w:i/>
          <w:iCs/>
          <w:sz w:val="24"/>
          <w:szCs w:val="24"/>
        </w:rPr>
        <w:t xml:space="preserve"> regression analysis was performed with the aid of STATA 17</w:t>
      </w:r>
      <w:r w:rsidR="00E332D0" w:rsidRPr="004939F9">
        <w:rPr>
          <w:rFonts w:ascii="Times New Roman" w:hAnsi="Times New Roman" w:cs="Times New Roman"/>
          <w:i/>
          <w:iCs/>
          <w:sz w:val="24"/>
          <w:szCs w:val="24"/>
        </w:rPr>
        <w:t xml:space="preserve">. </w:t>
      </w:r>
      <w:r w:rsidR="008E39E4" w:rsidRPr="009D66F5">
        <w:rPr>
          <w:rFonts w:ascii="Times New Roman" w:hAnsi="Times New Roman" w:cs="Times New Roman"/>
          <w:i/>
          <w:iCs/>
          <w:sz w:val="24"/>
          <w:szCs w:val="24"/>
        </w:rPr>
        <w:t xml:space="preserve">The outcome indicated that return on equity, </w:t>
      </w:r>
      <w:r w:rsidR="008E39E4">
        <w:rPr>
          <w:rFonts w:ascii="Times New Roman" w:hAnsi="Times New Roman" w:cs="Times New Roman"/>
          <w:i/>
          <w:iCs/>
          <w:sz w:val="24"/>
          <w:szCs w:val="24"/>
        </w:rPr>
        <w:t>earnings per share</w:t>
      </w:r>
      <w:r w:rsidR="008E39E4" w:rsidRPr="009D66F5">
        <w:rPr>
          <w:rFonts w:ascii="Times New Roman" w:hAnsi="Times New Roman" w:cs="Times New Roman"/>
          <w:i/>
          <w:iCs/>
          <w:sz w:val="24"/>
          <w:szCs w:val="24"/>
        </w:rPr>
        <w:t xml:space="preserve">, and </w:t>
      </w:r>
      <w:r w:rsidR="008E39E4">
        <w:rPr>
          <w:rFonts w:ascii="Times New Roman" w:hAnsi="Times New Roman" w:cs="Times New Roman"/>
          <w:i/>
          <w:iCs/>
          <w:sz w:val="24"/>
          <w:szCs w:val="24"/>
        </w:rPr>
        <w:t>firm size</w:t>
      </w:r>
      <w:r w:rsidR="008E39E4" w:rsidRPr="009D66F5">
        <w:rPr>
          <w:rFonts w:ascii="Times New Roman" w:hAnsi="Times New Roman" w:cs="Times New Roman"/>
          <w:i/>
          <w:iCs/>
          <w:sz w:val="24"/>
          <w:szCs w:val="24"/>
        </w:rPr>
        <w:t>, each has a significant</w:t>
      </w:r>
      <w:r w:rsidR="008E39E4">
        <w:rPr>
          <w:rFonts w:ascii="Times New Roman" w:hAnsi="Times New Roman" w:cs="Times New Roman"/>
          <w:i/>
          <w:iCs/>
          <w:sz w:val="24"/>
          <w:szCs w:val="24"/>
        </w:rPr>
        <w:t xml:space="preserve"> positive</w:t>
      </w:r>
      <w:r w:rsidR="008E39E4" w:rsidRPr="009D66F5">
        <w:rPr>
          <w:rFonts w:ascii="Times New Roman" w:hAnsi="Times New Roman" w:cs="Times New Roman"/>
          <w:i/>
          <w:iCs/>
          <w:sz w:val="24"/>
          <w:szCs w:val="24"/>
        </w:rPr>
        <w:t xml:space="preserve"> effect on share prices of listed agriculture and consumer goods firms in Nigeria while</w:t>
      </w:r>
      <w:r w:rsidR="008E39E4">
        <w:rPr>
          <w:rFonts w:ascii="Times New Roman" w:hAnsi="Times New Roman" w:cs="Times New Roman"/>
          <w:i/>
          <w:iCs/>
          <w:sz w:val="24"/>
          <w:szCs w:val="24"/>
        </w:rPr>
        <w:t xml:space="preserve"> current ratio, debt-equity ratio, and</w:t>
      </w:r>
      <w:r w:rsidR="008E39E4" w:rsidRPr="009D66F5">
        <w:rPr>
          <w:rFonts w:ascii="Times New Roman" w:hAnsi="Times New Roman" w:cs="Times New Roman"/>
          <w:i/>
          <w:iCs/>
          <w:sz w:val="24"/>
          <w:szCs w:val="24"/>
        </w:rPr>
        <w:t xml:space="preserve"> total assets turnover</w:t>
      </w:r>
      <w:r w:rsidR="008E39E4">
        <w:rPr>
          <w:rFonts w:ascii="Times New Roman" w:hAnsi="Times New Roman" w:cs="Times New Roman"/>
          <w:i/>
          <w:iCs/>
          <w:sz w:val="24"/>
          <w:szCs w:val="24"/>
        </w:rPr>
        <w:t xml:space="preserve"> each</w:t>
      </w:r>
      <w:r w:rsidR="008E39E4" w:rsidRPr="009D66F5">
        <w:rPr>
          <w:rFonts w:ascii="Times New Roman" w:hAnsi="Times New Roman" w:cs="Times New Roman"/>
          <w:i/>
          <w:iCs/>
          <w:sz w:val="24"/>
          <w:szCs w:val="24"/>
        </w:rPr>
        <w:t xml:space="preserve"> has a </w:t>
      </w:r>
      <w:r w:rsidR="008E39E4">
        <w:rPr>
          <w:rFonts w:ascii="Times New Roman" w:hAnsi="Times New Roman" w:cs="Times New Roman"/>
          <w:i/>
          <w:iCs/>
          <w:sz w:val="24"/>
          <w:szCs w:val="24"/>
        </w:rPr>
        <w:t>no</w:t>
      </w:r>
      <w:r w:rsidR="008E39E4" w:rsidRPr="009D66F5">
        <w:rPr>
          <w:rFonts w:ascii="Times New Roman" w:hAnsi="Times New Roman" w:cs="Times New Roman"/>
          <w:i/>
          <w:iCs/>
          <w:sz w:val="24"/>
          <w:szCs w:val="24"/>
        </w:rPr>
        <w:t>n</w:t>
      </w:r>
      <w:r w:rsidR="008E39E4">
        <w:rPr>
          <w:rFonts w:ascii="Times New Roman" w:hAnsi="Times New Roman" w:cs="Times New Roman"/>
          <w:i/>
          <w:iCs/>
          <w:sz w:val="24"/>
          <w:szCs w:val="24"/>
        </w:rPr>
        <w:t>-</w:t>
      </w:r>
      <w:r w:rsidR="008E39E4" w:rsidRPr="009D66F5">
        <w:rPr>
          <w:rFonts w:ascii="Times New Roman" w:hAnsi="Times New Roman" w:cs="Times New Roman"/>
          <w:i/>
          <w:iCs/>
          <w:sz w:val="24"/>
          <w:szCs w:val="24"/>
        </w:rPr>
        <w:t>significant effect on the share prices. Furthermore, firm size has a significant moderating effect on the relationship between financial metrics (proxied by current ratio, and earnings per share) and share prices of listed agriculture and consumer goods firms in Nigeria.</w:t>
      </w:r>
      <w:r w:rsidR="008E39E4">
        <w:rPr>
          <w:rFonts w:ascii="Times New Roman" w:hAnsi="Times New Roman" w:cs="Times New Roman"/>
          <w:i/>
          <w:iCs/>
          <w:sz w:val="24"/>
          <w:szCs w:val="24"/>
        </w:rPr>
        <w:t xml:space="preserve"> In the same vein, </w:t>
      </w:r>
      <w:r w:rsidR="008E39E4" w:rsidRPr="009D66F5">
        <w:rPr>
          <w:rFonts w:ascii="Times New Roman" w:hAnsi="Times New Roman" w:cs="Times New Roman"/>
          <w:i/>
          <w:iCs/>
          <w:sz w:val="24"/>
          <w:szCs w:val="24"/>
        </w:rPr>
        <w:t>firm size has a</w:t>
      </w:r>
      <w:r w:rsidR="008E39E4">
        <w:rPr>
          <w:rFonts w:ascii="Times New Roman" w:hAnsi="Times New Roman" w:cs="Times New Roman"/>
          <w:i/>
          <w:iCs/>
          <w:sz w:val="24"/>
          <w:szCs w:val="24"/>
        </w:rPr>
        <w:t xml:space="preserve"> non-</w:t>
      </w:r>
      <w:r w:rsidR="008E39E4" w:rsidRPr="009D66F5">
        <w:rPr>
          <w:rFonts w:ascii="Times New Roman" w:hAnsi="Times New Roman" w:cs="Times New Roman"/>
          <w:i/>
          <w:iCs/>
          <w:sz w:val="24"/>
          <w:szCs w:val="24"/>
        </w:rPr>
        <w:t>significant moderating effect on the relationship between financial metrics (proxied by current ratio,</w:t>
      </w:r>
      <w:r w:rsidR="008E39E4">
        <w:rPr>
          <w:rFonts w:ascii="Times New Roman" w:hAnsi="Times New Roman" w:cs="Times New Roman"/>
          <w:i/>
          <w:iCs/>
          <w:sz w:val="24"/>
          <w:szCs w:val="24"/>
        </w:rPr>
        <w:t xml:space="preserve"> debt-equity ratio, </w:t>
      </w:r>
      <w:r w:rsidR="008E39E4" w:rsidRPr="009D66F5">
        <w:rPr>
          <w:rFonts w:ascii="Times New Roman" w:hAnsi="Times New Roman" w:cs="Times New Roman"/>
          <w:i/>
          <w:iCs/>
          <w:sz w:val="24"/>
          <w:szCs w:val="24"/>
        </w:rPr>
        <w:t xml:space="preserve">and </w:t>
      </w:r>
      <w:r w:rsidR="008E39E4">
        <w:rPr>
          <w:rFonts w:ascii="Times New Roman" w:hAnsi="Times New Roman" w:cs="Times New Roman"/>
          <w:i/>
          <w:iCs/>
          <w:sz w:val="24"/>
          <w:szCs w:val="24"/>
        </w:rPr>
        <w:t>total assets turnover</w:t>
      </w:r>
      <w:r w:rsidR="008E39E4" w:rsidRPr="009D66F5">
        <w:rPr>
          <w:rFonts w:ascii="Times New Roman" w:hAnsi="Times New Roman" w:cs="Times New Roman"/>
          <w:i/>
          <w:iCs/>
          <w:sz w:val="24"/>
          <w:szCs w:val="24"/>
        </w:rPr>
        <w:t>) and share prices of listed agriculture and consumer goods firms in Nigeria.</w:t>
      </w:r>
      <w:r w:rsidR="008E39E4">
        <w:rPr>
          <w:rFonts w:ascii="Times New Roman" w:hAnsi="Times New Roman" w:cs="Times New Roman"/>
          <w:i/>
          <w:iCs/>
          <w:sz w:val="24"/>
          <w:szCs w:val="24"/>
        </w:rPr>
        <w:t xml:space="preserve"> </w:t>
      </w:r>
      <w:r w:rsidR="008E39E4" w:rsidRPr="009D66F5">
        <w:rPr>
          <w:rFonts w:ascii="Times New Roman" w:hAnsi="Times New Roman" w:cs="Times New Roman"/>
          <w:i/>
          <w:iCs/>
          <w:sz w:val="24"/>
          <w:szCs w:val="24"/>
        </w:rPr>
        <w:t xml:space="preserve">Therefore, it </w:t>
      </w:r>
      <w:r w:rsidR="008E39E4">
        <w:rPr>
          <w:rFonts w:ascii="Times New Roman" w:hAnsi="Times New Roman" w:cs="Times New Roman"/>
          <w:i/>
          <w:iCs/>
          <w:sz w:val="24"/>
          <w:szCs w:val="24"/>
        </w:rPr>
        <w:t>wa</w:t>
      </w:r>
      <w:r w:rsidR="008E39E4" w:rsidRPr="009D66F5">
        <w:rPr>
          <w:rFonts w:ascii="Times New Roman" w:hAnsi="Times New Roman" w:cs="Times New Roman"/>
          <w:i/>
          <w:iCs/>
          <w:sz w:val="24"/>
          <w:szCs w:val="24"/>
        </w:rPr>
        <w:t xml:space="preserve">s recommended that </w:t>
      </w:r>
      <w:r w:rsidR="008E39E4">
        <w:rPr>
          <w:rFonts w:ascii="Times New Roman" w:hAnsi="Times New Roman" w:cs="Times New Roman"/>
          <w:i/>
          <w:iCs/>
          <w:sz w:val="24"/>
          <w:szCs w:val="24"/>
        </w:rPr>
        <w:t>Security and Exchange Commission</w:t>
      </w:r>
      <w:r w:rsidR="008E39E4" w:rsidRPr="009D66F5">
        <w:rPr>
          <w:rFonts w:ascii="Times New Roman" w:hAnsi="Times New Roman" w:cs="Times New Roman"/>
          <w:i/>
          <w:iCs/>
          <w:sz w:val="24"/>
          <w:szCs w:val="24"/>
        </w:rPr>
        <w:t xml:space="preserve"> should prioritize the appropriate disclosure of the</w:t>
      </w:r>
      <w:r w:rsidR="008E39E4">
        <w:rPr>
          <w:rFonts w:ascii="Times New Roman" w:hAnsi="Times New Roman" w:cs="Times New Roman"/>
          <w:i/>
          <w:iCs/>
          <w:sz w:val="24"/>
          <w:szCs w:val="24"/>
        </w:rPr>
        <w:t xml:space="preserve"> identified key </w:t>
      </w:r>
      <w:r w:rsidR="008E39E4" w:rsidRPr="009D66F5">
        <w:rPr>
          <w:rFonts w:ascii="Times New Roman" w:hAnsi="Times New Roman" w:cs="Times New Roman"/>
          <w:i/>
          <w:iCs/>
          <w:sz w:val="24"/>
          <w:szCs w:val="24"/>
        </w:rPr>
        <w:t>metrics in the financial statements. Furthermore, investors should consider the moderating effect of firm size on</w:t>
      </w:r>
      <w:r w:rsidR="008E39E4">
        <w:rPr>
          <w:rFonts w:ascii="Times New Roman" w:hAnsi="Times New Roman" w:cs="Times New Roman"/>
          <w:i/>
          <w:iCs/>
          <w:sz w:val="24"/>
          <w:szCs w:val="24"/>
        </w:rPr>
        <w:t xml:space="preserve"> the</w:t>
      </w:r>
      <w:r w:rsidR="008E39E4" w:rsidRPr="009D66F5">
        <w:rPr>
          <w:rFonts w:ascii="Times New Roman" w:hAnsi="Times New Roman" w:cs="Times New Roman"/>
          <w:i/>
          <w:iCs/>
          <w:sz w:val="24"/>
          <w:szCs w:val="24"/>
        </w:rPr>
        <w:t xml:space="preserve"> financial metrics to better understand how different metrics impact share prices for firms of varying sizes and adjust their investment strategy accordingly.</w:t>
      </w:r>
      <w:r w:rsidR="00737E6A" w:rsidRPr="00896BDD">
        <w:rPr>
          <w:rFonts w:ascii="Times New Roman" w:hAnsi="Times New Roman" w:cs="Times New Roman"/>
          <w:i/>
          <w:iCs/>
          <w:color w:val="FF0000"/>
          <w:sz w:val="24"/>
          <w:szCs w:val="24"/>
        </w:rPr>
        <w:t xml:space="preserve"> </w:t>
      </w:r>
    </w:p>
    <w:p w14:paraId="525A9429" w14:textId="59569AFA" w:rsidR="00C9674E" w:rsidRPr="004939F9" w:rsidRDefault="00C561DE" w:rsidP="00CF5C49">
      <w:pPr>
        <w:spacing w:line="360" w:lineRule="auto"/>
        <w:rPr>
          <w:rFonts w:ascii="Times New Roman" w:hAnsi="Times New Roman" w:cs="Times New Roman"/>
        </w:rPr>
      </w:pPr>
      <w:r w:rsidRPr="004939F9">
        <w:rPr>
          <w:rFonts w:ascii="Times New Roman" w:hAnsi="Times New Roman" w:cs="Times New Roman"/>
          <w:b/>
          <w:bCs/>
        </w:rPr>
        <w:t>K</w:t>
      </w:r>
      <w:r w:rsidR="00A57E2D" w:rsidRPr="004939F9">
        <w:rPr>
          <w:rFonts w:ascii="Times New Roman" w:hAnsi="Times New Roman" w:cs="Times New Roman"/>
          <w:b/>
          <w:bCs/>
        </w:rPr>
        <w:t>eywords</w:t>
      </w:r>
      <w:r w:rsidR="00B43936" w:rsidRPr="004939F9">
        <w:rPr>
          <w:rFonts w:ascii="Times New Roman" w:hAnsi="Times New Roman" w:cs="Times New Roman"/>
        </w:rPr>
        <w:t>: Financial metrics, Financial Performa</w:t>
      </w:r>
      <w:r w:rsidR="002E5F8E" w:rsidRPr="004939F9">
        <w:rPr>
          <w:rFonts w:ascii="Times New Roman" w:hAnsi="Times New Roman" w:cs="Times New Roman"/>
        </w:rPr>
        <w:t>nce, Share Price</w:t>
      </w:r>
      <w:r w:rsidR="00A97487" w:rsidRPr="004939F9">
        <w:rPr>
          <w:rFonts w:ascii="Times New Roman" w:hAnsi="Times New Roman" w:cs="Times New Roman"/>
        </w:rPr>
        <w:t>, Firm Size</w:t>
      </w:r>
      <w:r w:rsidR="00870736" w:rsidRPr="004939F9">
        <w:rPr>
          <w:rFonts w:ascii="Times New Roman" w:hAnsi="Times New Roman" w:cs="Times New Roman"/>
        </w:rPr>
        <w:t xml:space="preserve">, Earnings </w:t>
      </w:r>
      <w:r w:rsidR="005A50E2" w:rsidRPr="004939F9">
        <w:rPr>
          <w:rFonts w:ascii="Times New Roman" w:hAnsi="Times New Roman" w:cs="Times New Roman"/>
        </w:rPr>
        <w:t>Per Share</w:t>
      </w:r>
    </w:p>
    <w:p w14:paraId="1124A00C" w14:textId="2E9ADC50" w:rsidR="004E4A90" w:rsidRPr="00356E60" w:rsidRDefault="004E4A90" w:rsidP="00356E60">
      <w:pPr>
        <w:pStyle w:val="Heading1"/>
        <w:rPr>
          <w:rFonts w:asciiTheme="majorBidi" w:hAnsiTheme="majorBidi"/>
          <w:b/>
          <w:bCs/>
          <w:color w:val="auto"/>
          <w:sz w:val="24"/>
          <w:szCs w:val="24"/>
        </w:rPr>
      </w:pPr>
      <w:r w:rsidRPr="00356E60">
        <w:rPr>
          <w:rFonts w:asciiTheme="majorBidi" w:hAnsiTheme="majorBidi"/>
          <w:b/>
          <w:bCs/>
          <w:color w:val="auto"/>
          <w:sz w:val="24"/>
          <w:szCs w:val="24"/>
        </w:rPr>
        <w:t>1</w:t>
      </w:r>
      <w:r w:rsidR="004175CD" w:rsidRPr="00356E60">
        <w:rPr>
          <w:rFonts w:asciiTheme="majorBidi" w:hAnsiTheme="majorBidi"/>
          <w:b/>
          <w:bCs/>
          <w:color w:val="auto"/>
          <w:sz w:val="24"/>
          <w:szCs w:val="24"/>
        </w:rPr>
        <w:t>.0</w:t>
      </w:r>
      <w:r w:rsidR="00A95073" w:rsidRPr="00356E60">
        <w:rPr>
          <w:rFonts w:asciiTheme="majorBidi" w:hAnsiTheme="majorBidi"/>
          <w:b/>
          <w:bCs/>
          <w:color w:val="auto"/>
          <w:sz w:val="24"/>
          <w:szCs w:val="24"/>
        </w:rPr>
        <w:tab/>
        <w:t>Introduction</w:t>
      </w:r>
    </w:p>
    <w:p w14:paraId="10BD4FCB" w14:textId="77777777" w:rsidR="007A1A94"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Understanding the determinants of share price behaviour remains a central concern in financial economics, given its implications for firm valuation, capital allocation, and investor decision-making. In both developed and emerging capital markets, share prices reflect not only realised firm performance but also investors’ expectations regarding future cash flows, risk, and growth opportunities. Consequently, identifying the firm-specific factors that systematically influence share price dynamics is essential for achieving accurate valuation and optimal risk-adjusted investment returns.</w:t>
      </w:r>
    </w:p>
    <w:p w14:paraId="49AAE421" w14:textId="77777777" w:rsidR="007A1A94"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 xml:space="preserve">Share price represents the market value of a firm’s equity at a given point in time and is determined through the interaction of demand and supply in the capital market. Investors form price expectations by processing publicly available financial information, macroeconomic signals, and firm characteristics that shape perceptions of profitability and risk (Hutasoit et al., 2022). From a valuation perspective, share price is widely regarded as an aggregate indicator of a firm’s historical </w:t>
      </w:r>
      <w:r w:rsidRPr="007A1A94">
        <w:rPr>
          <w:rFonts w:ascii="Times New Roman" w:hAnsi="Times New Roman" w:cs="Times New Roman"/>
          <w:sz w:val="24"/>
          <w:szCs w:val="24"/>
        </w:rPr>
        <w:lastRenderedPageBreak/>
        <w:t>performance and anticipated future prospects (Edokpa et al., 2024). However, empirical evidence on the drivers of share prices remains inconclusive, with prior studies reporting mixed and sometimes contradictory findings across markets, sectors, and methodological approaches (Nazir, 2022; Akbar, 2023; Maringka, 2024; Salouhi &amp; Bakari, 2024).</w:t>
      </w:r>
    </w:p>
    <w:p w14:paraId="3BFEA778" w14:textId="77777777" w:rsidR="007A1A94"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Financial metrics constitute the primary channel through which firm performance is communicated to the capital market. These metrics provide structured and standardised information that enables investors to evaluate a firm’s profitability, liquidity, leverage, operational efficiency, and earnings-generating capacity. Chan et al. (2017) emphasise that financial performance indicators are central to assessing corporate success and sustainability. In practice, performance evaluation requires a multidimensional approach rather than reliance on isolated indicators. Consistent with this view, the Corporate Finance Institute (CFI, 2024) classifies financial performance measures into profitability, liquidity, leverage, activity, and market-based ratios. Despite this classification, much of the existing literature adopts a narrow focus by examining selected metrics in isolation, thereby limiting the comprehensiveness of valuation inferences. This study addresses this limitation by jointly analysing return on equity, current ratio, debt–equity ratio, total assets turnover, and earnings per share as representative indicators of the major dimensions of financial performance.</w:t>
      </w:r>
    </w:p>
    <w:p w14:paraId="336B8C7F" w14:textId="77777777" w:rsidR="007A1A94"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Beyond financial metrics, firm size represents a critical structural characteristic that shapes how financial information is interpreted by the market. Larger firms typically enjoy greater visibility, analyst coverage, operational diversification, and access to capital, which may reduce information asymmetry and perceived risk. As a result, financial signals emanating from large firms may be priced differently from similar signals issued by smaller firms. While firm size has been shown to influence firm value and share prices directly (Akbar, 2023; Moseri et al., 2024; Ramadhani et al., 2024), empirical evidence also suggests a bidirectional relationship between size and performance (Olaniyi et al., 2017; Ribera &amp; Sanz, 2021). However, existing studies largely treat firm size as a control variable rather than examining its potential role in conditioning the relationship between financial performance metrics and share prices. This omission is particularly relevant in emerging markets, where information asymmetry and firm heterogeneity are more pronounced.</w:t>
      </w:r>
    </w:p>
    <w:p w14:paraId="3FF9BF2D" w14:textId="77777777" w:rsidR="007A1A94"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 xml:space="preserve">The relevance of these issues is amplified in the context of Nigeria’s agriculture and consumer goods sectors, which together constitute a significant segment of the agribusiness value chain. These sectors are strategically important for food security, employment generation, and inflation management, especially in an economy where food inflation remains a dominant driver of headline </w:t>
      </w:r>
      <w:r w:rsidRPr="007A1A94">
        <w:rPr>
          <w:rFonts w:ascii="Times New Roman" w:hAnsi="Times New Roman" w:cs="Times New Roman"/>
          <w:sz w:val="24"/>
          <w:szCs w:val="24"/>
        </w:rPr>
        <w:lastRenderedPageBreak/>
        <w:t>inflation. Efficient capital allocation to well-performing agribusiness firms depends on accurate market valuation, which in turn hinges on how investors interpret firm-level financial information. Consequently, understanding the determinants of share prices within this context has both financial and policy relevance.</w:t>
      </w:r>
    </w:p>
    <w:p w14:paraId="6B27EF6C" w14:textId="77777777" w:rsidR="007A1A94"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Macroeconomic conditions further complicate share price formation in emerging markets. Inflation, interest rates, and exchange rates influence firms’ operating costs, financing decisions, and earnings capacity, thereby affecting investor expectations and valuation outcomes. Prior studies document mixed evidence regarding the impact of these macroeconomic variables on share prices (Batubara &amp; Ardian, 2024; Amril et al., 2024), suggesting that failure to control for them may lead to biased or incomplete conclusions. Accordingly, this study incorporates key macroeconomic controls to mitigate omitted variable bias and enhance the robustness of empirical inferences (Angrist &amp; Pischke, 2009; Shadish et al., 2002).</w:t>
      </w:r>
    </w:p>
    <w:p w14:paraId="7618E669" w14:textId="77777777" w:rsidR="007A1A94"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Against this background, this study extends the literature by examining whether firm size moderates the relationship between financial performance metrics and share prices in listed agriculture and consumer goods firms in Nigeria. Anchored in the clean surplus valuation framework (Ohlson, 1995) and complemented by signalling and information asymmetry perspectives, the study argues that the market valuation of financial metrics is not uniform across firms but may vary systematically with firm size. By adopting a comprehensive set of financial performance indicators and explicitly modelling firm size as a moderating variable while controlling for macroeconomic conditions, the study provides new sector-specific evidence from an emerging market context.</w:t>
      </w:r>
    </w:p>
    <w:p w14:paraId="74BD611D" w14:textId="37E7A3FE" w:rsidR="004E4A90" w:rsidRPr="007A1A94" w:rsidRDefault="007A1A94" w:rsidP="007A1A94">
      <w:pPr>
        <w:spacing w:line="360" w:lineRule="auto"/>
        <w:jc w:val="both"/>
        <w:rPr>
          <w:rFonts w:ascii="Times New Roman" w:hAnsi="Times New Roman" w:cs="Times New Roman"/>
          <w:sz w:val="24"/>
          <w:szCs w:val="24"/>
        </w:rPr>
      </w:pPr>
      <w:r w:rsidRPr="007A1A94">
        <w:rPr>
          <w:rFonts w:ascii="Times New Roman" w:hAnsi="Times New Roman" w:cs="Times New Roman"/>
          <w:sz w:val="24"/>
          <w:szCs w:val="24"/>
        </w:rPr>
        <w:t>Specifically, the study investigates the effects of return on equity, current ratio, debt–equity ratio, total assets turnover, and earnings per share on share prices, and evaluates whether firm size conditions these relationships. In doing so, the study contributes to valuation literature by offering a more nuanced understanding of how firm characteristics shape the pricing of financial information. The findings are expected to inform investors, corporate managers, and regulators seeking to improve capital market efficiency and support sustainable investment in Nigeria’s agribusiness sector</w:t>
      </w:r>
      <w:r w:rsidR="004E4A90" w:rsidRPr="004939F9">
        <w:rPr>
          <w:rFonts w:ascii="Times New Roman" w:hAnsi="Times New Roman" w:cs="Times New Roman"/>
          <w:sz w:val="24"/>
          <w:szCs w:val="24"/>
        </w:rPr>
        <w:t>.</w:t>
      </w:r>
    </w:p>
    <w:p w14:paraId="5713962E" w14:textId="488F38BB" w:rsidR="0021345D" w:rsidRPr="00463231" w:rsidRDefault="0021345D" w:rsidP="00463231">
      <w:pPr>
        <w:pStyle w:val="Heading1"/>
        <w:rPr>
          <w:rFonts w:asciiTheme="majorBidi" w:hAnsiTheme="majorBidi"/>
          <w:b/>
          <w:bCs/>
          <w:color w:val="auto"/>
          <w:sz w:val="24"/>
          <w:szCs w:val="24"/>
        </w:rPr>
      </w:pPr>
      <w:r w:rsidRPr="00463231">
        <w:rPr>
          <w:rFonts w:asciiTheme="majorBidi" w:hAnsiTheme="majorBidi"/>
          <w:b/>
          <w:bCs/>
          <w:color w:val="auto"/>
          <w:sz w:val="24"/>
          <w:szCs w:val="24"/>
        </w:rPr>
        <w:lastRenderedPageBreak/>
        <w:t>2.</w:t>
      </w:r>
      <w:r w:rsidR="008E1E49" w:rsidRPr="00463231">
        <w:rPr>
          <w:rFonts w:asciiTheme="majorBidi" w:hAnsiTheme="majorBidi"/>
          <w:b/>
          <w:bCs/>
          <w:color w:val="auto"/>
          <w:sz w:val="24"/>
          <w:szCs w:val="24"/>
        </w:rPr>
        <w:t>0</w:t>
      </w:r>
      <w:r w:rsidRPr="00463231">
        <w:rPr>
          <w:rFonts w:asciiTheme="majorBidi" w:hAnsiTheme="majorBidi"/>
          <w:b/>
          <w:bCs/>
          <w:color w:val="auto"/>
          <w:sz w:val="24"/>
          <w:szCs w:val="24"/>
        </w:rPr>
        <w:tab/>
      </w:r>
      <w:r w:rsidR="008E1E49" w:rsidRPr="00463231">
        <w:rPr>
          <w:rFonts w:asciiTheme="majorBidi" w:hAnsiTheme="majorBidi"/>
          <w:b/>
          <w:bCs/>
          <w:color w:val="auto"/>
          <w:sz w:val="24"/>
          <w:szCs w:val="24"/>
        </w:rPr>
        <w:t>Literature</w:t>
      </w:r>
      <w:r w:rsidR="00452C98" w:rsidRPr="00463231">
        <w:rPr>
          <w:rFonts w:asciiTheme="majorBidi" w:hAnsiTheme="majorBidi"/>
          <w:b/>
          <w:bCs/>
          <w:color w:val="auto"/>
          <w:sz w:val="24"/>
          <w:szCs w:val="24"/>
        </w:rPr>
        <w:t xml:space="preserve"> </w:t>
      </w:r>
      <w:r w:rsidR="009C1BF4" w:rsidRPr="00463231">
        <w:rPr>
          <w:rFonts w:asciiTheme="majorBidi" w:hAnsiTheme="majorBidi"/>
          <w:b/>
          <w:bCs/>
          <w:color w:val="auto"/>
          <w:sz w:val="24"/>
          <w:szCs w:val="24"/>
        </w:rPr>
        <w:t>Review</w:t>
      </w:r>
      <w:r w:rsidR="008E1E49" w:rsidRPr="00463231">
        <w:rPr>
          <w:rFonts w:asciiTheme="majorBidi" w:hAnsiTheme="majorBidi"/>
          <w:b/>
          <w:bCs/>
          <w:color w:val="auto"/>
          <w:sz w:val="24"/>
          <w:szCs w:val="24"/>
        </w:rPr>
        <w:t xml:space="preserve"> and </w:t>
      </w:r>
      <w:r w:rsidR="00DC1425" w:rsidRPr="00463231">
        <w:rPr>
          <w:rFonts w:asciiTheme="majorBidi" w:hAnsiTheme="majorBidi"/>
          <w:b/>
          <w:bCs/>
          <w:color w:val="auto"/>
          <w:sz w:val="24"/>
          <w:szCs w:val="24"/>
        </w:rPr>
        <w:t>Hypothesis</w:t>
      </w:r>
      <w:r w:rsidR="008E1E49" w:rsidRPr="00463231">
        <w:rPr>
          <w:rFonts w:asciiTheme="majorBidi" w:hAnsiTheme="majorBidi"/>
          <w:b/>
          <w:bCs/>
          <w:color w:val="auto"/>
          <w:sz w:val="24"/>
          <w:szCs w:val="24"/>
        </w:rPr>
        <w:t xml:space="preserve"> Development</w:t>
      </w:r>
    </w:p>
    <w:p w14:paraId="35A752A4" w14:textId="77777777" w:rsidR="006B62A3" w:rsidRPr="00463231" w:rsidRDefault="006B62A3" w:rsidP="00463231">
      <w:pPr>
        <w:pStyle w:val="Heading2"/>
        <w:rPr>
          <w:rFonts w:asciiTheme="majorBidi" w:hAnsiTheme="majorBidi"/>
          <w:b/>
          <w:bCs/>
          <w:color w:val="auto"/>
          <w:sz w:val="24"/>
          <w:szCs w:val="24"/>
        </w:rPr>
      </w:pPr>
      <w:r w:rsidRPr="00463231">
        <w:rPr>
          <w:rFonts w:asciiTheme="majorBidi" w:hAnsiTheme="majorBidi"/>
          <w:b/>
          <w:bCs/>
          <w:color w:val="auto"/>
          <w:sz w:val="24"/>
          <w:szCs w:val="24"/>
        </w:rPr>
        <w:t>2.1 Theoretical Foundation and Conceptual Framework</w:t>
      </w:r>
    </w:p>
    <w:p w14:paraId="1B270DC6" w14:textId="06A2E23C" w:rsidR="006170D4" w:rsidRPr="006170D4" w:rsidRDefault="00E57FC2" w:rsidP="006170D4">
      <w:pPr>
        <w:spacing w:line="360" w:lineRule="auto"/>
        <w:jc w:val="both"/>
        <w:rPr>
          <w:rFonts w:ascii="Times New Roman" w:hAnsi="Times New Roman" w:cs="Times New Roman"/>
          <w:sz w:val="24"/>
          <w:szCs w:val="24"/>
        </w:rPr>
      </w:pPr>
      <w:r w:rsidRPr="00E57FC2">
        <w:rPr>
          <w:rFonts w:ascii="Times New Roman" w:hAnsi="Times New Roman" w:cs="Times New Roman"/>
          <w:sz w:val="24"/>
          <w:szCs w:val="24"/>
        </w:rPr>
        <w:t>T</w:t>
      </w:r>
      <w:r w:rsidR="006170D4" w:rsidRPr="006170D4">
        <w:rPr>
          <w:rFonts w:ascii="Times New Roman" w:hAnsi="Times New Roman" w:cs="Times New Roman"/>
          <w:sz w:val="24"/>
          <w:szCs w:val="24"/>
        </w:rPr>
        <w:t>his study is anchored in Ohlson’s (1995) Clean Surplus Valuation Theory, which provides a formal accounting-based framework linking firm market value to book value and the present value of expected abnormal earnings. Within this valuation structure, accounting information plays a central role in shaping investor expectations regarding future profitability, risk, and long-term sustainability. Consequently, variations in firm-level financial metrics are expected to be capitalised into share prices as new information is incorporated by the market.</w:t>
      </w:r>
    </w:p>
    <w:p w14:paraId="44483494"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Despite its strong theoretical appeal, the clean surplus framework implicitly assumes homogeneous information environments and uniform investor interpretation of accounting signals. This assumption is unlikely to hold in emerging market contexts, where firms differ substantially in disclosure quality, analyst coverage, institutional monitoring, and market visibility. Such heterogeneity introduces variation in how accounting information is interpreted and priced, thereby limiting the explanatory power of valuation models that ignore firm-specific informational frictions.</w:t>
      </w:r>
    </w:p>
    <w:p w14:paraId="2115EED4"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To address this limitation, the study integrates Signalling Theory and Information Asymmetry Theory. Signalling theory posits that financial metrics convey information about firm quality, managerial competence, and growth prospects to external investors, particularly when direct observation of firm fundamentals is costly. Information asymmetry theory further suggests that the credibility, clarity, and valuation relevance of these signals depend on firm characteristics that shape the information environment. Among these characteristics, firm size occupies a central position, as larger firms typically exhibit superior disclosure practices, greater analyst following, and stronger reputational capital, all of which reduce information asymmetry.</w:t>
      </w:r>
    </w:p>
    <w:p w14:paraId="5474C1DF" w14:textId="6B91A13B" w:rsidR="006170D4" w:rsidRDefault="006170D4" w:rsidP="00E57FC2">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These theoretical perspectives are jointly operationalised in the conceptual framework illustrated in </w:t>
      </w:r>
      <w:r w:rsidR="00426EEB" w:rsidRPr="00426EEB">
        <w:rPr>
          <w:rFonts w:ascii="Times New Roman" w:hAnsi="Times New Roman" w:cs="Times New Roman"/>
          <w:b/>
          <w:bCs/>
          <w:sz w:val="24"/>
          <w:szCs w:val="24"/>
        </w:rPr>
        <w:t>Figure 1</w:t>
      </w:r>
      <w:r w:rsidRPr="006170D4">
        <w:rPr>
          <w:rFonts w:ascii="Times New Roman" w:hAnsi="Times New Roman" w:cs="Times New Roman"/>
          <w:sz w:val="24"/>
          <w:szCs w:val="24"/>
        </w:rPr>
        <w:t>. Financial metrics capturing profitability, liquidity, leverage, operational efficiency, and earnings performance are modelled as direct determinants of share price. Firm size is incorporated both as a direct valuation factor and as a moderating variable that conditions the strength and direction of the relationship between financial metrics and share price. The framework therefore recognises that financial information is not priced uniformly across firms; rather, valuation effects are systematically shaped by firm size–related information asymmetries.</w:t>
      </w:r>
    </w:p>
    <w:p w14:paraId="3C47287D" w14:textId="74A033AC" w:rsidR="00426EEB" w:rsidRDefault="00426EEB" w:rsidP="00E57FC2">
      <w:pPr>
        <w:spacing w:line="360" w:lineRule="auto"/>
        <w:jc w:val="both"/>
        <w:rPr>
          <w:rFonts w:ascii="Times New Roman" w:hAnsi="Times New Roman" w:cs="Times New Roman"/>
          <w:sz w:val="24"/>
          <w:szCs w:val="24"/>
        </w:rPr>
      </w:pPr>
      <w:r w:rsidRPr="00B2041F">
        <w:rPr>
          <w:noProof/>
        </w:rPr>
        <w:lastRenderedPageBreak/>
        <w:drawing>
          <wp:inline distT="0" distB="0" distL="0" distR="0" wp14:anchorId="40EB42D3" wp14:editId="1C6F5D84">
            <wp:extent cx="3110882" cy="17020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8525" cy="1750040"/>
                    </a:xfrm>
                    <a:prstGeom prst="rect">
                      <a:avLst/>
                    </a:prstGeom>
                    <a:noFill/>
                  </pic:spPr>
                </pic:pic>
              </a:graphicData>
            </a:graphic>
          </wp:inline>
        </w:drawing>
      </w:r>
    </w:p>
    <w:p w14:paraId="5ED1D77F" w14:textId="762AB0D2" w:rsidR="00426EEB" w:rsidRPr="006170D4" w:rsidRDefault="00426EEB" w:rsidP="00426EEB">
      <w:pPr>
        <w:spacing w:line="360" w:lineRule="auto"/>
        <w:rPr>
          <w:rFonts w:ascii="Times New Roman" w:hAnsi="Times New Roman" w:cs="Times New Roman"/>
          <w:sz w:val="20"/>
          <w:szCs w:val="20"/>
        </w:rPr>
      </w:pPr>
      <w:r>
        <w:rPr>
          <w:rFonts w:ascii="Times New Roman" w:hAnsi="Times New Roman" w:cs="Times New Roman"/>
          <w:sz w:val="20"/>
          <w:szCs w:val="20"/>
        </w:rPr>
        <w:t>Figure 1</w:t>
      </w:r>
      <w:r w:rsidRPr="00B2041F">
        <w:rPr>
          <w:rFonts w:ascii="Times New Roman" w:hAnsi="Times New Roman" w:cs="Times New Roman"/>
          <w:sz w:val="20"/>
          <w:szCs w:val="20"/>
        </w:rPr>
        <w:t xml:space="preserve"> Conceptual framework developed by the researchers</w:t>
      </w:r>
    </w:p>
    <w:p w14:paraId="1E3E6659" w14:textId="77777777" w:rsidR="006170D4" w:rsidRPr="00392041" w:rsidRDefault="006170D4" w:rsidP="00392041">
      <w:pPr>
        <w:pStyle w:val="Heading2"/>
        <w:rPr>
          <w:rFonts w:asciiTheme="majorBidi" w:hAnsiTheme="majorBidi"/>
          <w:b/>
          <w:bCs/>
          <w:color w:val="auto"/>
          <w:sz w:val="24"/>
          <w:szCs w:val="24"/>
        </w:rPr>
      </w:pPr>
      <w:r w:rsidRPr="00392041">
        <w:rPr>
          <w:rFonts w:asciiTheme="majorBidi" w:hAnsiTheme="majorBidi"/>
          <w:b/>
          <w:bCs/>
          <w:color w:val="auto"/>
          <w:sz w:val="24"/>
          <w:szCs w:val="24"/>
        </w:rPr>
        <w:t>2.2 Financial Metrics and Share Price: Conceptual Linkage</w:t>
      </w:r>
    </w:p>
    <w:p w14:paraId="5AE9321B"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Consistent with the conceptual framework, share price represents the dependent variable reflecting the market’s aggregate assessment of firm value. In semi-strong efficient markets, publicly available accounting information is rapidly incorporated into share prices as investors revise expectations regarding future cash flows and risk (Damodaran, 2015). Financial metrics thus serve as the primary transmission mechanism through which firm performance is translated into market valuation.</w:t>
      </w:r>
    </w:p>
    <w:p w14:paraId="4E684106" w14:textId="0E0E106F" w:rsidR="006170D4" w:rsidRPr="006170D4" w:rsidRDefault="006170D4" w:rsidP="00426EEB">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A key limitation of prior empirical studies is their tendency to examine financial indicators in isolation, thereby overlooking the multidimensional nature of firm performance. Such an approach may obscure the relative and joint valuation effects of different performance dimensions. The present study addresses this gap by jointly analysing financial metrics spanning profitability, liquidity, leverage, operational efficiency, and earnings performance. This multidimensional structure is explicitly reflected in </w:t>
      </w:r>
      <w:r w:rsidR="00426EEB">
        <w:rPr>
          <w:rFonts w:ascii="Times New Roman" w:hAnsi="Times New Roman" w:cs="Times New Roman"/>
          <w:sz w:val="24"/>
          <w:szCs w:val="24"/>
        </w:rPr>
        <w:t>Figure 1</w:t>
      </w:r>
      <w:r w:rsidRPr="006170D4">
        <w:rPr>
          <w:rFonts w:ascii="Times New Roman" w:hAnsi="Times New Roman" w:cs="Times New Roman"/>
          <w:sz w:val="24"/>
          <w:szCs w:val="24"/>
        </w:rPr>
        <w:t>, which allows for both direct valuation effects and conditional effects moderated by firm size.</w:t>
      </w:r>
    </w:p>
    <w:p w14:paraId="109361D1" w14:textId="77777777" w:rsidR="006170D4" w:rsidRPr="00392041" w:rsidRDefault="006170D4" w:rsidP="00392041">
      <w:pPr>
        <w:pStyle w:val="Heading2"/>
        <w:rPr>
          <w:rFonts w:asciiTheme="majorBidi" w:hAnsiTheme="majorBidi"/>
          <w:b/>
          <w:bCs/>
          <w:color w:val="auto"/>
          <w:sz w:val="24"/>
          <w:szCs w:val="24"/>
        </w:rPr>
      </w:pPr>
      <w:r w:rsidRPr="00392041">
        <w:rPr>
          <w:rFonts w:asciiTheme="majorBidi" w:hAnsiTheme="majorBidi"/>
          <w:b/>
          <w:bCs/>
          <w:color w:val="auto"/>
          <w:sz w:val="24"/>
          <w:szCs w:val="24"/>
        </w:rPr>
        <w:t>2.3 Profitability (Return on Equity) and Share Price</w:t>
      </w:r>
    </w:p>
    <w:p w14:paraId="011C5237"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Return on equity (ROE) captures a firm’s effectiveness in generating profits from shareholders’ invested capital and occupies a central position in valuation theory. Within the clean surplus framework, higher ROE enhances expected abnormal earnings, thereby increasing firm value. From a signalling perspective, strong ROE conveys information about managerial efficiency, competitive advantage, and strategic discipline, which should elicit favourable market responses.</w:t>
      </w:r>
    </w:p>
    <w:p w14:paraId="368ABFCE"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Empirical evidence generally supports a positive relationship between ROE and share price, although the magnitude of this effect varies across institutional settings. Studies conducted in emerging markets report significant positive associations (Nugraba et al., 2024; Salouhi &amp; Bakari, </w:t>
      </w:r>
      <w:r w:rsidRPr="006170D4">
        <w:rPr>
          <w:rFonts w:ascii="Times New Roman" w:hAnsi="Times New Roman" w:cs="Times New Roman"/>
          <w:sz w:val="24"/>
          <w:szCs w:val="24"/>
        </w:rPr>
        <w:lastRenderedPageBreak/>
        <w:t>2024; Abel et al., 2024), while weaker or insignificant effects have been documented in specific sectors or periods characterised by heightened uncertainty (Subedi, 2024). These mixed findings suggest that profitability signals may not be priced uniformly across firms.</w:t>
      </w:r>
    </w:p>
    <w:p w14:paraId="03ED01AE" w14:textId="790C70C3"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As illustrated in </w:t>
      </w:r>
      <w:r w:rsidR="00426EEB">
        <w:rPr>
          <w:rFonts w:ascii="Times New Roman" w:hAnsi="Times New Roman" w:cs="Times New Roman"/>
          <w:sz w:val="24"/>
          <w:szCs w:val="24"/>
        </w:rPr>
        <w:t>Figure 1</w:t>
      </w:r>
      <w:r w:rsidRPr="006170D4">
        <w:rPr>
          <w:rFonts w:ascii="Times New Roman" w:hAnsi="Times New Roman" w:cs="Times New Roman"/>
          <w:sz w:val="24"/>
          <w:szCs w:val="24"/>
        </w:rPr>
        <w:t>, ROE is expected to exert a direct positive effect on share price, with firm size potentially conditioning its valuation relevance.</w:t>
      </w:r>
    </w:p>
    <w:p w14:paraId="07C744DD" w14:textId="17B69615" w:rsidR="006170D4" w:rsidRPr="006170D4" w:rsidRDefault="006170D4" w:rsidP="00426EEB">
      <w:pPr>
        <w:spacing w:line="360" w:lineRule="auto"/>
        <w:jc w:val="both"/>
        <w:rPr>
          <w:rFonts w:ascii="Times New Roman" w:hAnsi="Times New Roman" w:cs="Times New Roman"/>
          <w:sz w:val="24"/>
          <w:szCs w:val="24"/>
        </w:rPr>
      </w:pPr>
      <w:r w:rsidRPr="006170D4">
        <w:rPr>
          <w:rFonts w:ascii="Times New Roman" w:hAnsi="Times New Roman" w:cs="Times New Roman"/>
          <w:b/>
          <w:bCs/>
          <w:sz w:val="24"/>
          <w:szCs w:val="24"/>
        </w:rPr>
        <w:t>H1:</w:t>
      </w:r>
      <w:r w:rsidRPr="006170D4">
        <w:rPr>
          <w:rFonts w:ascii="Times New Roman" w:hAnsi="Times New Roman" w:cs="Times New Roman"/>
          <w:sz w:val="24"/>
          <w:szCs w:val="24"/>
        </w:rPr>
        <w:t xml:space="preserve"> Return on equity has a positive and significant effect on the share prices of listed agriculture and consumer goods firms in Nigeria.</w:t>
      </w:r>
    </w:p>
    <w:p w14:paraId="02A980E5" w14:textId="77777777" w:rsidR="006170D4" w:rsidRPr="00392041" w:rsidRDefault="006170D4" w:rsidP="00392041">
      <w:pPr>
        <w:pStyle w:val="Heading2"/>
        <w:rPr>
          <w:rFonts w:asciiTheme="majorBidi" w:hAnsiTheme="majorBidi"/>
          <w:b/>
          <w:bCs/>
          <w:color w:val="auto"/>
          <w:sz w:val="24"/>
          <w:szCs w:val="24"/>
        </w:rPr>
      </w:pPr>
      <w:r w:rsidRPr="00392041">
        <w:rPr>
          <w:rFonts w:asciiTheme="majorBidi" w:hAnsiTheme="majorBidi"/>
          <w:b/>
          <w:bCs/>
          <w:color w:val="auto"/>
          <w:sz w:val="24"/>
          <w:szCs w:val="24"/>
        </w:rPr>
        <w:t>2.4 Liquidity (Current Ratio) and Share Price</w:t>
      </w:r>
    </w:p>
    <w:p w14:paraId="3BC283EB"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Liquidity, proxied by the current ratio, reflects a firm’s capacity to meet short-term obligations and maintain operational continuity. From a risk-based valuation perspective, adequate liquidity reduces financial distress risk and enhances firm resilience. However, excessively high liquidity may signal inefficient asset deployment or limited growth opportunities, generating ambiguous valuation implications.</w:t>
      </w:r>
    </w:p>
    <w:p w14:paraId="304BA717"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Prior empirical findings on the liquidity–share price relationship remain inconclusive. While some studies report positive valuation effects (Dimyati, 2023), others document insignificant or negative relationships (Meliza et al., 2024; Nugroho et al., 2023). These inconsistencies suggest that the market interpretation of liquidity signals depends on firm-specific characteristics.</w:t>
      </w:r>
    </w:p>
    <w:p w14:paraId="6155EA3B"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Consistent with the conceptual framework, liquidity is expected to influence share prices directly, with firm size shaping how liquidity information is interpreted by investors.</w:t>
      </w:r>
    </w:p>
    <w:p w14:paraId="1C8BFE0D" w14:textId="0B51C726" w:rsidR="006170D4" w:rsidRPr="006170D4" w:rsidRDefault="006170D4" w:rsidP="00426EEB">
      <w:pPr>
        <w:spacing w:line="360" w:lineRule="auto"/>
        <w:jc w:val="both"/>
        <w:rPr>
          <w:rFonts w:ascii="Times New Roman" w:hAnsi="Times New Roman" w:cs="Times New Roman"/>
          <w:sz w:val="24"/>
          <w:szCs w:val="24"/>
        </w:rPr>
      </w:pPr>
      <w:r w:rsidRPr="006170D4">
        <w:rPr>
          <w:rFonts w:ascii="Times New Roman" w:hAnsi="Times New Roman" w:cs="Times New Roman"/>
          <w:b/>
          <w:bCs/>
          <w:sz w:val="24"/>
          <w:szCs w:val="24"/>
        </w:rPr>
        <w:t>H2:</w:t>
      </w:r>
      <w:r w:rsidRPr="006170D4">
        <w:rPr>
          <w:rFonts w:ascii="Times New Roman" w:hAnsi="Times New Roman" w:cs="Times New Roman"/>
          <w:sz w:val="24"/>
          <w:szCs w:val="24"/>
        </w:rPr>
        <w:t xml:space="preserve"> Current ratio has a significant effect on the share prices of listed agriculture and consumer goods firms in Nigeria.</w:t>
      </w:r>
    </w:p>
    <w:p w14:paraId="419DEC80" w14:textId="77777777" w:rsidR="006170D4" w:rsidRPr="00A3045E" w:rsidRDefault="006170D4" w:rsidP="00A3045E">
      <w:pPr>
        <w:pStyle w:val="Heading2"/>
        <w:rPr>
          <w:rFonts w:asciiTheme="majorBidi" w:hAnsiTheme="majorBidi"/>
          <w:b/>
          <w:bCs/>
          <w:color w:val="auto"/>
          <w:sz w:val="24"/>
          <w:szCs w:val="24"/>
        </w:rPr>
      </w:pPr>
      <w:r w:rsidRPr="00A3045E">
        <w:rPr>
          <w:rFonts w:asciiTheme="majorBidi" w:hAnsiTheme="majorBidi"/>
          <w:b/>
          <w:bCs/>
          <w:color w:val="auto"/>
          <w:sz w:val="24"/>
          <w:szCs w:val="24"/>
        </w:rPr>
        <w:t>2.5 Leverage (Debt–Equity Ratio) and Share Price</w:t>
      </w:r>
    </w:p>
    <w:p w14:paraId="6286B1AE"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The debt–equity ratio captures a firm’s capital structure and financial risk exposure. While leverage may enhance firm value through tax shields and growth financing, excessive debt increases bankruptcy risk and earnings volatility. Within the clean surplus framework, leverage influences both expected abnormal earnings and the risk-adjusted discount rate applied by investors.</w:t>
      </w:r>
    </w:p>
    <w:p w14:paraId="645B4F7A"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Empirical evidence on leverage and share price is mixed. Positive valuation effects are observed where debt supports productive investment and expansion (Amril et al., 2024), whereas negative or insignificant effects emerge in high-risk environments (Handayani &amp; Winingrum, 2023; Idawati </w:t>
      </w:r>
      <w:r w:rsidRPr="006170D4">
        <w:rPr>
          <w:rFonts w:ascii="Times New Roman" w:hAnsi="Times New Roman" w:cs="Times New Roman"/>
          <w:sz w:val="24"/>
          <w:szCs w:val="24"/>
        </w:rPr>
        <w:lastRenderedPageBreak/>
        <w:t>&amp; Paramananda, 2022). These divergent findings imply that leverage signals are context-dependent and may be interpreted differently across firms.</w:t>
      </w:r>
    </w:p>
    <w:p w14:paraId="1E04F169" w14:textId="0820F33B"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As depicted in </w:t>
      </w:r>
      <w:r w:rsidR="00426EEB">
        <w:rPr>
          <w:rFonts w:ascii="Times New Roman" w:hAnsi="Times New Roman" w:cs="Times New Roman"/>
          <w:sz w:val="24"/>
          <w:szCs w:val="24"/>
        </w:rPr>
        <w:t>Figure 1</w:t>
      </w:r>
      <w:r w:rsidRPr="006170D4">
        <w:rPr>
          <w:rFonts w:ascii="Times New Roman" w:hAnsi="Times New Roman" w:cs="Times New Roman"/>
          <w:sz w:val="24"/>
          <w:szCs w:val="24"/>
        </w:rPr>
        <w:t>, leverage is modelled as a direct determinant of share price, with firm size potentially moderating its valuation impact.</w:t>
      </w:r>
    </w:p>
    <w:p w14:paraId="35481FD9" w14:textId="1EF7048C" w:rsidR="006170D4" w:rsidRPr="006170D4" w:rsidRDefault="006170D4" w:rsidP="00426EEB">
      <w:pPr>
        <w:spacing w:line="360" w:lineRule="auto"/>
        <w:jc w:val="both"/>
        <w:rPr>
          <w:rFonts w:ascii="Times New Roman" w:hAnsi="Times New Roman" w:cs="Times New Roman"/>
          <w:sz w:val="24"/>
          <w:szCs w:val="24"/>
        </w:rPr>
      </w:pPr>
      <w:r w:rsidRPr="006170D4">
        <w:rPr>
          <w:rFonts w:ascii="Times New Roman" w:hAnsi="Times New Roman" w:cs="Times New Roman"/>
          <w:b/>
          <w:bCs/>
          <w:sz w:val="24"/>
          <w:szCs w:val="24"/>
        </w:rPr>
        <w:t>H3:</w:t>
      </w:r>
      <w:r w:rsidRPr="006170D4">
        <w:rPr>
          <w:rFonts w:ascii="Times New Roman" w:hAnsi="Times New Roman" w:cs="Times New Roman"/>
          <w:sz w:val="24"/>
          <w:szCs w:val="24"/>
        </w:rPr>
        <w:t xml:space="preserve"> Debt–equity ratio has a significant effect on the share prices of listed agriculture and consumer goods firms in Nigeria.</w:t>
      </w:r>
    </w:p>
    <w:p w14:paraId="2AFA89D8" w14:textId="77777777" w:rsidR="006170D4" w:rsidRPr="00A3045E" w:rsidRDefault="006170D4" w:rsidP="00A3045E">
      <w:pPr>
        <w:pStyle w:val="Heading2"/>
        <w:rPr>
          <w:rFonts w:asciiTheme="majorBidi" w:hAnsiTheme="majorBidi"/>
          <w:b/>
          <w:bCs/>
          <w:color w:val="auto"/>
          <w:sz w:val="24"/>
          <w:szCs w:val="24"/>
        </w:rPr>
      </w:pPr>
      <w:r w:rsidRPr="00A3045E">
        <w:rPr>
          <w:rFonts w:asciiTheme="majorBidi" w:hAnsiTheme="majorBidi"/>
          <w:b/>
          <w:bCs/>
          <w:color w:val="auto"/>
          <w:sz w:val="24"/>
          <w:szCs w:val="24"/>
        </w:rPr>
        <w:t>2.6 Operational Efficiency (Total Assets Turnover) and Share Price</w:t>
      </w:r>
    </w:p>
    <w:p w14:paraId="6886FE48"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Total assets turnover (TAT) measures the efficiency with which firms utilise assets to generate revenue. Higher asset turnover is generally associated with effective resource utilisation and operational competence. However, high turnover may also reflect low-margin business models, resulting in ambiguous valuation effects.</w:t>
      </w:r>
    </w:p>
    <w:p w14:paraId="1DD5EFB1"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Empirical studies provide inconsistent evidence on the TAT–share price relationship. Several studies report insignificant or negative effects (Meliza et al., 2024; Rohana, 2023), while others find significant associations in sector-specific contexts (Handayani &amp; Winingrum, 2023). These findings suggest that efficiency metrics may play a secondary role in valuation relative to profitability and earnings performance.</w:t>
      </w:r>
    </w:p>
    <w:p w14:paraId="3359237B"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In line with the conceptual framework, TAT is hypothesised to exert a direct effect on share price, subject to moderation by firm size.</w:t>
      </w:r>
    </w:p>
    <w:p w14:paraId="55FED4FD" w14:textId="4996C046" w:rsidR="006170D4" w:rsidRPr="006170D4" w:rsidRDefault="006170D4" w:rsidP="00A37468">
      <w:pPr>
        <w:spacing w:line="360" w:lineRule="auto"/>
        <w:jc w:val="both"/>
        <w:rPr>
          <w:rFonts w:ascii="Times New Roman" w:hAnsi="Times New Roman" w:cs="Times New Roman"/>
          <w:sz w:val="24"/>
          <w:szCs w:val="24"/>
        </w:rPr>
      </w:pPr>
      <w:r w:rsidRPr="006170D4">
        <w:rPr>
          <w:rFonts w:ascii="Times New Roman" w:hAnsi="Times New Roman" w:cs="Times New Roman"/>
          <w:b/>
          <w:bCs/>
          <w:sz w:val="24"/>
          <w:szCs w:val="24"/>
        </w:rPr>
        <w:t>H4:</w:t>
      </w:r>
      <w:r w:rsidRPr="006170D4">
        <w:rPr>
          <w:rFonts w:ascii="Times New Roman" w:hAnsi="Times New Roman" w:cs="Times New Roman"/>
          <w:sz w:val="24"/>
          <w:szCs w:val="24"/>
        </w:rPr>
        <w:t xml:space="preserve"> Total assets turnover has a significant effect on the share prices of listed agriculture and consumer goods firms in Nigeria.</w:t>
      </w:r>
    </w:p>
    <w:p w14:paraId="2C3DE0ED" w14:textId="77777777" w:rsidR="006170D4" w:rsidRPr="00A3045E" w:rsidRDefault="006170D4" w:rsidP="00A3045E">
      <w:pPr>
        <w:pStyle w:val="Heading2"/>
        <w:rPr>
          <w:rFonts w:asciiTheme="majorBidi" w:hAnsiTheme="majorBidi"/>
          <w:b/>
          <w:bCs/>
          <w:color w:val="auto"/>
          <w:sz w:val="24"/>
          <w:szCs w:val="24"/>
        </w:rPr>
      </w:pPr>
      <w:r w:rsidRPr="00A3045E">
        <w:rPr>
          <w:rFonts w:asciiTheme="majorBidi" w:hAnsiTheme="majorBidi"/>
          <w:b/>
          <w:bCs/>
          <w:color w:val="auto"/>
          <w:sz w:val="24"/>
          <w:szCs w:val="24"/>
        </w:rPr>
        <w:t>2.7 Earnings per Share and Share Price</w:t>
      </w:r>
    </w:p>
    <w:p w14:paraId="5CEAB6F8"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Earnings per share (EPS) represents the portion of earnings attributable to each outstanding share and constitutes a core input in equity valuation. Under clean surplus theory, EPS directly informs expectations of future abnormal earnings and dividend-paying capacity, making it one of the most influential drivers of share price.</w:t>
      </w:r>
    </w:p>
    <w:p w14:paraId="337A1DE3"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Empirical evidence consistently supports a positive EPS–share price relationship across markets (Moseri et al., 2024; Ramadhani et al., 2024; Thapa &amp; Paudel, 2024). Nevertheless, the informational content of EPS may vary across firms depending on size, disclosure practices, and market visibility.</w:t>
      </w:r>
    </w:p>
    <w:p w14:paraId="6ED9667A" w14:textId="279F1F7D"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lastRenderedPageBreak/>
        <w:t xml:space="preserve">Consistent with </w:t>
      </w:r>
      <w:r w:rsidR="00426EEB">
        <w:rPr>
          <w:rFonts w:ascii="Times New Roman" w:hAnsi="Times New Roman" w:cs="Times New Roman"/>
          <w:sz w:val="24"/>
          <w:szCs w:val="24"/>
        </w:rPr>
        <w:t>Figure 1</w:t>
      </w:r>
      <w:r w:rsidRPr="006170D4">
        <w:rPr>
          <w:rFonts w:ascii="Times New Roman" w:hAnsi="Times New Roman" w:cs="Times New Roman"/>
          <w:sz w:val="24"/>
          <w:szCs w:val="24"/>
        </w:rPr>
        <w:t>, EPS is expected to exert a strong direct effect on share price, with firm size conditioning the strength of this relationship.</w:t>
      </w:r>
    </w:p>
    <w:p w14:paraId="3BF6B265" w14:textId="58394616" w:rsidR="006170D4" w:rsidRPr="006170D4" w:rsidRDefault="006170D4" w:rsidP="00A37468">
      <w:pPr>
        <w:spacing w:line="360" w:lineRule="auto"/>
        <w:jc w:val="both"/>
        <w:rPr>
          <w:rFonts w:ascii="Times New Roman" w:hAnsi="Times New Roman" w:cs="Times New Roman"/>
          <w:sz w:val="24"/>
          <w:szCs w:val="24"/>
        </w:rPr>
      </w:pPr>
      <w:r w:rsidRPr="006170D4">
        <w:rPr>
          <w:rFonts w:ascii="Times New Roman" w:hAnsi="Times New Roman" w:cs="Times New Roman"/>
          <w:b/>
          <w:bCs/>
          <w:sz w:val="24"/>
          <w:szCs w:val="24"/>
        </w:rPr>
        <w:t>H5:</w:t>
      </w:r>
      <w:r w:rsidRPr="006170D4">
        <w:rPr>
          <w:rFonts w:ascii="Times New Roman" w:hAnsi="Times New Roman" w:cs="Times New Roman"/>
          <w:sz w:val="24"/>
          <w:szCs w:val="24"/>
        </w:rPr>
        <w:t xml:space="preserve"> Earnings per share has a positive and significant effect on the share prices of listed agriculture and consumer goods firms in Nigeria.</w:t>
      </w:r>
    </w:p>
    <w:p w14:paraId="02269DC5" w14:textId="77777777" w:rsidR="006170D4" w:rsidRPr="006E01A4" w:rsidRDefault="006170D4" w:rsidP="006E01A4">
      <w:pPr>
        <w:pStyle w:val="Heading2"/>
        <w:rPr>
          <w:rFonts w:asciiTheme="majorBidi" w:hAnsiTheme="majorBidi"/>
          <w:b/>
          <w:bCs/>
          <w:color w:val="auto"/>
          <w:sz w:val="24"/>
          <w:szCs w:val="24"/>
        </w:rPr>
      </w:pPr>
      <w:r w:rsidRPr="006E01A4">
        <w:rPr>
          <w:rFonts w:asciiTheme="majorBidi" w:hAnsiTheme="majorBidi"/>
          <w:b/>
          <w:bCs/>
          <w:color w:val="auto"/>
          <w:sz w:val="24"/>
          <w:szCs w:val="24"/>
        </w:rPr>
        <w:t>2.8 Moderating Role of Firm Size</w:t>
      </w:r>
    </w:p>
    <w:p w14:paraId="1E7F3036" w14:textId="77777777"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Firm size fundamentally shapes how financial information is interpreted and priced by the market. Larger firms typically benefit from lower information asymmetry due to superior disclosure quality, stronger analyst coverage, and enhanced reputational capital. As a result, financial performance signals from large firms may be partially anticipated and already embedded in share prices, reducing their marginal valuation impact. In contrast, similar signals from smaller firms may convey greater informational novelty and elicit stronger market reactions.</w:t>
      </w:r>
    </w:p>
    <w:p w14:paraId="10695074" w14:textId="5B82EC4D" w:rsidR="006170D4" w:rsidRPr="006170D4" w:rsidRDefault="006170D4" w:rsidP="006170D4">
      <w:pPr>
        <w:spacing w:line="360" w:lineRule="auto"/>
        <w:jc w:val="both"/>
        <w:rPr>
          <w:rFonts w:ascii="Times New Roman" w:hAnsi="Times New Roman" w:cs="Times New Roman"/>
          <w:sz w:val="24"/>
          <w:szCs w:val="24"/>
        </w:rPr>
      </w:pPr>
      <w:r w:rsidRPr="006170D4">
        <w:rPr>
          <w:rFonts w:ascii="Times New Roman" w:hAnsi="Times New Roman" w:cs="Times New Roman"/>
          <w:sz w:val="24"/>
          <w:szCs w:val="24"/>
        </w:rPr>
        <w:t xml:space="preserve">As explicitly modelled in </w:t>
      </w:r>
      <w:r w:rsidR="00426EEB">
        <w:rPr>
          <w:rFonts w:ascii="Times New Roman" w:hAnsi="Times New Roman" w:cs="Times New Roman"/>
          <w:sz w:val="24"/>
          <w:szCs w:val="24"/>
        </w:rPr>
        <w:t>Figure 1</w:t>
      </w:r>
      <w:r w:rsidRPr="006170D4">
        <w:rPr>
          <w:rFonts w:ascii="Times New Roman" w:hAnsi="Times New Roman" w:cs="Times New Roman"/>
          <w:sz w:val="24"/>
          <w:szCs w:val="24"/>
        </w:rPr>
        <w:t>, firm size moderates the relationship between financial metrics and share price by conditioning the credibility and informational content of accounting signals. Although substantial evidence exists on the direct relationship between firm size and firm value (Ribera &amp; Sanz, 2021; Moseri et al., 2024), limited empirical attention has been paid to its moderating role, particularly within emerging market agribusiness and consumer goods contexts.</w:t>
      </w:r>
    </w:p>
    <w:p w14:paraId="1D7D5B56" w14:textId="408B099C" w:rsidR="004E48F8" w:rsidRPr="00426EEB" w:rsidRDefault="006170D4" w:rsidP="00426EEB">
      <w:pPr>
        <w:spacing w:line="360" w:lineRule="auto"/>
        <w:jc w:val="both"/>
        <w:rPr>
          <w:rFonts w:ascii="Times New Roman" w:hAnsi="Times New Roman" w:cs="Times New Roman"/>
          <w:sz w:val="24"/>
          <w:szCs w:val="24"/>
        </w:rPr>
      </w:pPr>
      <w:r w:rsidRPr="006170D4">
        <w:rPr>
          <w:rFonts w:ascii="Times New Roman" w:hAnsi="Times New Roman" w:cs="Times New Roman"/>
          <w:b/>
          <w:bCs/>
          <w:sz w:val="24"/>
          <w:szCs w:val="24"/>
        </w:rPr>
        <w:t>H6:</w:t>
      </w:r>
      <w:r w:rsidRPr="006170D4">
        <w:rPr>
          <w:rFonts w:ascii="Times New Roman" w:hAnsi="Times New Roman" w:cs="Times New Roman"/>
          <w:sz w:val="24"/>
          <w:szCs w:val="24"/>
        </w:rPr>
        <w:t xml:space="preserve"> Firm size significantly moderates the relationship between financial metrics and the share prices of listed agriculture and consumer goods firms in Nigeria.</w:t>
      </w:r>
    </w:p>
    <w:p w14:paraId="5107119B" w14:textId="2909B64D" w:rsidR="0021345D" w:rsidRPr="00463231" w:rsidRDefault="0021345D" w:rsidP="00463231">
      <w:pPr>
        <w:pStyle w:val="Heading1"/>
        <w:rPr>
          <w:rFonts w:asciiTheme="majorBidi" w:hAnsiTheme="majorBidi"/>
          <w:b/>
          <w:bCs/>
          <w:color w:val="auto"/>
          <w:sz w:val="24"/>
          <w:szCs w:val="24"/>
        </w:rPr>
      </w:pPr>
      <w:r w:rsidRPr="00463231">
        <w:rPr>
          <w:rFonts w:asciiTheme="majorBidi" w:hAnsiTheme="majorBidi"/>
          <w:b/>
          <w:bCs/>
          <w:color w:val="auto"/>
          <w:sz w:val="24"/>
          <w:szCs w:val="24"/>
        </w:rPr>
        <w:t>3.</w:t>
      </w:r>
      <w:r w:rsidR="00D433ED" w:rsidRPr="00463231">
        <w:rPr>
          <w:rFonts w:asciiTheme="majorBidi" w:hAnsiTheme="majorBidi"/>
          <w:b/>
          <w:bCs/>
          <w:color w:val="auto"/>
          <w:sz w:val="24"/>
          <w:szCs w:val="24"/>
        </w:rPr>
        <w:t>0</w:t>
      </w:r>
      <w:r w:rsidRPr="00463231">
        <w:rPr>
          <w:rFonts w:asciiTheme="majorBidi" w:hAnsiTheme="majorBidi"/>
          <w:b/>
          <w:bCs/>
          <w:color w:val="auto"/>
          <w:sz w:val="24"/>
          <w:szCs w:val="24"/>
        </w:rPr>
        <w:tab/>
      </w:r>
      <w:r w:rsidR="00F23E6A" w:rsidRPr="00463231">
        <w:rPr>
          <w:rFonts w:asciiTheme="majorBidi" w:hAnsiTheme="majorBidi"/>
          <w:b/>
          <w:bCs/>
          <w:color w:val="auto"/>
          <w:sz w:val="24"/>
          <w:szCs w:val="24"/>
        </w:rPr>
        <w:t>Methods</w:t>
      </w:r>
    </w:p>
    <w:p w14:paraId="2CE50046" w14:textId="77777777"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This study adopts an ex post facto research design, which is appropriate for analysing historical firm-level financial data where the researcher has no control over the explanatory variables. The design enables the examination of empirical relationships between financial performance metrics and share prices using archival data and is consistent with established practice in capital market and valuation studies. By relying on observed outcomes rather than experimental manipulation, the approach reflects actual market behaviour and enhances external validity.</w:t>
      </w:r>
    </w:p>
    <w:p w14:paraId="68483DDE" w14:textId="77777777"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 xml:space="preserve">The population of the study consists of all listed agriculture and consumer goods firms on the Nigerian Exchange (NGX) during the study period. At the start of the study, this population comprised five agriculture firms and twenty-one consumer goods firms. From this population, a final sample of twenty firms was selected using a purposive sampling technique, based on the availability of complete financial data and continuous listing status throughout the study window. Firms with substantial data gaps or those listed after the commencement of the study period were </w:t>
      </w:r>
      <w:r w:rsidRPr="00DE5ABA">
        <w:rPr>
          <w:rFonts w:ascii="Times New Roman" w:hAnsi="Times New Roman" w:cs="Times New Roman"/>
          <w:sz w:val="24"/>
          <w:szCs w:val="24"/>
        </w:rPr>
        <w:lastRenderedPageBreak/>
        <w:t>excluded to ensure consistency in longitudinal analysis and to minimise estimation bias arising from unbalanced observations.</w:t>
      </w:r>
    </w:p>
    <w:p w14:paraId="367A4F95" w14:textId="77777777"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Secondary data were extracted from audited annual financial statements of the sampled firms over a twelve-year period from 2012 to 2023, yielding a firm-year panel dataset. Annual closing share prices were obtained from the Nigerian Exchange (NGX) to ensure market-consistent valuation measures. To account for macroeconomic conditions that may influence equity prices beyond firm-specific fundamentals, inflation data were sourced from the National Bureau of Statistics (NBS), while interest rate and exchange rate data were obtained from the Central Bank of Nigeria (CBN). These macroeconomic variables are included as control variables to mitigate omitted variable bias and isolate firm-level valuation effects. All statistical analyses were conducted using STATA version 17.</w:t>
      </w:r>
    </w:p>
    <w:p w14:paraId="0D4BCA1E" w14:textId="28C411A1"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 xml:space="preserve">The variables employed in the study were operationalised following established practice in the corporate finance and capital markets literature. Share price serves as the dependent variable, while profitability, liquidity, leverage, operational efficiency, and earnings performance constitute the core explanatory variables. Firm size is incorporated as a moderating variable to capture heterogeneity in information environments and valuation dynamics. The measurement of each variable is presented in </w:t>
      </w:r>
      <w:r w:rsidR="00687812" w:rsidRPr="00687812">
        <w:rPr>
          <w:rFonts w:ascii="Times New Roman" w:hAnsi="Times New Roman" w:cs="Times New Roman"/>
          <w:b/>
          <w:bCs/>
          <w:sz w:val="24"/>
          <w:szCs w:val="24"/>
        </w:rPr>
        <w:t>Table</w:t>
      </w:r>
      <w:r w:rsidR="007161A3" w:rsidRPr="00687812">
        <w:rPr>
          <w:rFonts w:ascii="Times New Roman" w:hAnsi="Times New Roman" w:cs="Times New Roman"/>
          <w:b/>
          <w:bCs/>
          <w:sz w:val="24"/>
          <w:szCs w:val="24"/>
        </w:rPr>
        <w:t xml:space="preserve"> </w:t>
      </w:r>
      <w:r w:rsidR="001B4BDC">
        <w:rPr>
          <w:rFonts w:ascii="Times New Roman" w:hAnsi="Times New Roman" w:cs="Times New Roman"/>
          <w:b/>
          <w:bCs/>
          <w:sz w:val="24"/>
          <w:szCs w:val="24"/>
        </w:rPr>
        <w:t>1</w:t>
      </w:r>
      <w:r w:rsidRPr="00DE5ABA">
        <w:rPr>
          <w:rFonts w:ascii="Times New Roman" w:hAnsi="Times New Roman" w:cs="Times New Roman"/>
          <w:sz w:val="24"/>
          <w:szCs w:val="24"/>
        </w:rPr>
        <w:t>.</w:t>
      </w:r>
    </w:p>
    <w:p w14:paraId="2F95A336" w14:textId="4AC57B58" w:rsidR="00DE5ABA" w:rsidRPr="00DE5ABA" w:rsidRDefault="00E34DE2" w:rsidP="00DE5AB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w:t>
      </w:r>
      <w:r w:rsidR="007161A3">
        <w:rPr>
          <w:rFonts w:ascii="Times New Roman" w:hAnsi="Times New Roman" w:cs="Times New Roman"/>
          <w:b/>
          <w:bCs/>
          <w:sz w:val="24"/>
          <w:szCs w:val="24"/>
        </w:rPr>
        <w:t xml:space="preserve"> </w:t>
      </w:r>
      <w:r>
        <w:rPr>
          <w:rFonts w:ascii="Times New Roman" w:hAnsi="Times New Roman" w:cs="Times New Roman"/>
          <w:b/>
          <w:bCs/>
          <w:sz w:val="24"/>
          <w:szCs w:val="24"/>
        </w:rPr>
        <w:t>1</w:t>
      </w:r>
      <w:r w:rsidR="00DE5ABA" w:rsidRPr="00DE5ABA">
        <w:rPr>
          <w:rFonts w:ascii="Times New Roman" w:hAnsi="Times New Roman" w:cs="Times New Roman"/>
          <w:b/>
          <w:bCs/>
          <w:sz w:val="24"/>
          <w:szCs w:val="24"/>
        </w:rPr>
        <w:t>: Variables and Measurement</w:t>
      </w:r>
    </w:p>
    <w:tbl>
      <w:tblPr>
        <w:tblStyle w:val="TableGrid"/>
        <w:tblW w:w="0" w:type="auto"/>
        <w:tblLook w:val="04A0" w:firstRow="1" w:lastRow="0" w:firstColumn="1" w:lastColumn="0" w:noHBand="0" w:noVBand="1"/>
      </w:tblPr>
      <w:tblGrid>
        <w:gridCol w:w="1858"/>
        <w:gridCol w:w="1514"/>
        <w:gridCol w:w="2835"/>
        <w:gridCol w:w="3143"/>
      </w:tblGrid>
      <w:tr w:rsidR="00DE5ABA" w:rsidRPr="00DE5ABA" w14:paraId="7C2A512B" w14:textId="77777777" w:rsidTr="0097499C">
        <w:tc>
          <w:tcPr>
            <w:tcW w:w="0" w:type="auto"/>
            <w:hideMark/>
          </w:tcPr>
          <w:p w14:paraId="1AA31EF1" w14:textId="77777777" w:rsidR="00DE5ABA" w:rsidRPr="00DE5ABA" w:rsidRDefault="00DE5ABA" w:rsidP="00DE5ABA">
            <w:pPr>
              <w:spacing w:after="160" w:line="360" w:lineRule="auto"/>
              <w:jc w:val="both"/>
              <w:rPr>
                <w:rFonts w:ascii="Times New Roman" w:hAnsi="Times New Roman" w:cs="Times New Roman"/>
                <w:b/>
                <w:bCs/>
                <w:sz w:val="24"/>
                <w:szCs w:val="24"/>
              </w:rPr>
            </w:pPr>
            <w:r w:rsidRPr="00DE5ABA">
              <w:rPr>
                <w:rFonts w:ascii="Times New Roman" w:hAnsi="Times New Roman" w:cs="Times New Roman"/>
                <w:b/>
                <w:bCs/>
                <w:sz w:val="24"/>
                <w:szCs w:val="24"/>
              </w:rPr>
              <w:t>Variable</w:t>
            </w:r>
          </w:p>
        </w:tc>
        <w:tc>
          <w:tcPr>
            <w:tcW w:w="0" w:type="auto"/>
            <w:hideMark/>
          </w:tcPr>
          <w:p w14:paraId="7EE6D299" w14:textId="77777777" w:rsidR="00DE5ABA" w:rsidRPr="00DE5ABA" w:rsidRDefault="00DE5ABA" w:rsidP="00DE5ABA">
            <w:pPr>
              <w:spacing w:after="160" w:line="360" w:lineRule="auto"/>
              <w:jc w:val="both"/>
              <w:rPr>
                <w:rFonts w:ascii="Times New Roman" w:hAnsi="Times New Roman" w:cs="Times New Roman"/>
                <w:b/>
                <w:bCs/>
                <w:sz w:val="24"/>
                <w:szCs w:val="24"/>
              </w:rPr>
            </w:pPr>
            <w:r w:rsidRPr="00DE5ABA">
              <w:rPr>
                <w:rFonts w:ascii="Times New Roman" w:hAnsi="Times New Roman" w:cs="Times New Roman"/>
                <w:b/>
                <w:bCs/>
                <w:sz w:val="24"/>
                <w:szCs w:val="24"/>
              </w:rPr>
              <w:t>Variable Type</w:t>
            </w:r>
          </w:p>
        </w:tc>
        <w:tc>
          <w:tcPr>
            <w:tcW w:w="0" w:type="auto"/>
            <w:hideMark/>
          </w:tcPr>
          <w:p w14:paraId="782A299F" w14:textId="77777777" w:rsidR="00DE5ABA" w:rsidRPr="00DE5ABA" w:rsidRDefault="00DE5ABA" w:rsidP="00DE5ABA">
            <w:pPr>
              <w:spacing w:after="160" w:line="360" w:lineRule="auto"/>
              <w:jc w:val="both"/>
              <w:rPr>
                <w:rFonts w:ascii="Times New Roman" w:hAnsi="Times New Roman" w:cs="Times New Roman"/>
                <w:b/>
                <w:bCs/>
                <w:sz w:val="24"/>
                <w:szCs w:val="24"/>
              </w:rPr>
            </w:pPr>
            <w:r w:rsidRPr="00DE5ABA">
              <w:rPr>
                <w:rFonts w:ascii="Times New Roman" w:hAnsi="Times New Roman" w:cs="Times New Roman"/>
                <w:b/>
                <w:bCs/>
                <w:sz w:val="24"/>
                <w:szCs w:val="24"/>
              </w:rPr>
              <w:t>Measurement</w:t>
            </w:r>
          </w:p>
        </w:tc>
        <w:tc>
          <w:tcPr>
            <w:tcW w:w="0" w:type="auto"/>
            <w:hideMark/>
          </w:tcPr>
          <w:p w14:paraId="048BA44A" w14:textId="77777777" w:rsidR="00DE5ABA" w:rsidRPr="00DE5ABA" w:rsidRDefault="00DE5ABA" w:rsidP="00DE5ABA">
            <w:pPr>
              <w:spacing w:after="160" w:line="360" w:lineRule="auto"/>
              <w:jc w:val="both"/>
              <w:rPr>
                <w:rFonts w:ascii="Times New Roman" w:hAnsi="Times New Roman" w:cs="Times New Roman"/>
                <w:b/>
                <w:bCs/>
                <w:sz w:val="24"/>
                <w:szCs w:val="24"/>
              </w:rPr>
            </w:pPr>
            <w:r w:rsidRPr="00DE5ABA">
              <w:rPr>
                <w:rFonts w:ascii="Times New Roman" w:hAnsi="Times New Roman" w:cs="Times New Roman"/>
                <w:b/>
                <w:bCs/>
                <w:sz w:val="24"/>
                <w:szCs w:val="24"/>
              </w:rPr>
              <w:t>Supporting Literature</w:t>
            </w:r>
          </w:p>
        </w:tc>
      </w:tr>
      <w:tr w:rsidR="00DE5ABA" w:rsidRPr="00DE5ABA" w14:paraId="1AFCCAD0" w14:textId="77777777" w:rsidTr="0097499C">
        <w:tc>
          <w:tcPr>
            <w:tcW w:w="0" w:type="auto"/>
            <w:hideMark/>
          </w:tcPr>
          <w:p w14:paraId="7E78D7DA"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Share Price (SHP)</w:t>
            </w:r>
          </w:p>
        </w:tc>
        <w:tc>
          <w:tcPr>
            <w:tcW w:w="0" w:type="auto"/>
            <w:hideMark/>
          </w:tcPr>
          <w:p w14:paraId="7CFDC27F"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Dependent</w:t>
            </w:r>
          </w:p>
        </w:tc>
        <w:tc>
          <w:tcPr>
            <w:tcW w:w="0" w:type="auto"/>
            <w:hideMark/>
          </w:tcPr>
          <w:p w14:paraId="2E1B8F87"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Annual closing share price</w:t>
            </w:r>
          </w:p>
        </w:tc>
        <w:tc>
          <w:tcPr>
            <w:tcW w:w="0" w:type="auto"/>
            <w:hideMark/>
          </w:tcPr>
          <w:p w14:paraId="725DFE97"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Salouhi &amp; Al-Bakri (2022); Akbar (2023)</w:t>
            </w:r>
          </w:p>
        </w:tc>
      </w:tr>
      <w:tr w:rsidR="00DE5ABA" w:rsidRPr="00DE5ABA" w14:paraId="3994DCAF" w14:textId="77777777" w:rsidTr="0097499C">
        <w:tc>
          <w:tcPr>
            <w:tcW w:w="0" w:type="auto"/>
            <w:hideMark/>
          </w:tcPr>
          <w:p w14:paraId="6EFD4D06"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Return on Equity (ROE)</w:t>
            </w:r>
          </w:p>
        </w:tc>
        <w:tc>
          <w:tcPr>
            <w:tcW w:w="0" w:type="auto"/>
            <w:hideMark/>
          </w:tcPr>
          <w:p w14:paraId="0680D99E"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Independent</w:t>
            </w:r>
          </w:p>
        </w:tc>
        <w:tc>
          <w:tcPr>
            <w:tcW w:w="0" w:type="auto"/>
            <w:hideMark/>
          </w:tcPr>
          <w:p w14:paraId="18292E62"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Profit after tax ÷ Total equity</w:t>
            </w:r>
          </w:p>
        </w:tc>
        <w:tc>
          <w:tcPr>
            <w:tcW w:w="0" w:type="auto"/>
            <w:hideMark/>
          </w:tcPr>
          <w:p w14:paraId="7EE530FA"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Oktoriza et al. (2023); Nugraha et al. (2024); Subedi (2024)</w:t>
            </w:r>
          </w:p>
        </w:tc>
      </w:tr>
      <w:tr w:rsidR="00DE5ABA" w:rsidRPr="00DE5ABA" w14:paraId="117303D8" w14:textId="77777777" w:rsidTr="0097499C">
        <w:tc>
          <w:tcPr>
            <w:tcW w:w="0" w:type="auto"/>
            <w:hideMark/>
          </w:tcPr>
          <w:p w14:paraId="1EE2F4C7"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Current Ratio (CUR)</w:t>
            </w:r>
          </w:p>
        </w:tc>
        <w:tc>
          <w:tcPr>
            <w:tcW w:w="0" w:type="auto"/>
            <w:hideMark/>
          </w:tcPr>
          <w:p w14:paraId="03D5298C"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Independent</w:t>
            </w:r>
          </w:p>
        </w:tc>
        <w:tc>
          <w:tcPr>
            <w:tcW w:w="0" w:type="auto"/>
            <w:hideMark/>
          </w:tcPr>
          <w:p w14:paraId="23A79CA1"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Current assets ÷ Current liabilities</w:t>
            </w:r>
          </w:p>
        </w:tc>
        <w:tc>
          <w:tcPr>
            <w:tcW w:w="0" w:type="auto"/>
            <w:hideMark/>
          </w:tcPr>
          <w:p w14:paraId="70308BE0"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Salouhi &amp; Al-Bakri (2022)</w:t>
            </w:r>
          </w:p>
        </w:tc>
      </w:tr>
      <w:tr w:rsidR="00DE5ABA" w:rsidRPr="00DE5ABA" w14:paraId="505F674B" w14:textId="77777777" w:rsidTr="0097499C">
        <w:tc>
          <w:tcPr>
            <w:tcW w:w="0" w:type="auto"/>
            <w:hideMark/>
          </w:tcPr>
          <w:p w14:paraId="04672580"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lastRenderedPageBreak/>
              <w:t>Debt–Equity Ratio (DER)</w:t>
            </w:r>
          </w:p>
        </w:tc>
        <w:tc>
          <w:tcPr>
            <w:tcW w:w="0" w:type="auto"/>
            <w:hideMark/>
          </w:tcPr>
          <w:p w14:paraId="0416638A"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Independent</w:t>
            </w:r>
          </w:p>
        </w:tc>
        <w:tc>
          <w:tcPr>
            <w:tcW w:w="0" w:type="auto"/>
            <w:hideMark/>
          </w:tcPr>
          <w:p w14:paraId="69F555E9"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Total liabilities ÷ Total equity</w:t>
            </w:r>
          </w:p>
        </w:tc>
        <w:tc>
          <w:tcPr>
            <w:tcW w:w="0" w:type="auto"/>
            <w:hideMark/>
          </w:tcPr>
          <w:p w14:paraId="03EDAF01"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Nugraha et al. (2024); Putri et al. (2024)</w:t>
            </w:r>
          </w:p>
        </w:tc>
      </w:tr>
      <w:tr w:rsidR="00DE5ABA" w:rsidRPr="00DE5ABA" w14:paraId="6B7D8EBB" w14:textId="77777777" w:rsidTr="0097499C">
        <w:tc>
          <w:tcPr>
            <w:tcW w:w="0" w:type="auto"/>
            <w:hideMark/>
          </w:tcPr>
          <w:p w14:paraId="770A8F58"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Total Assets Turnover (TAT)</w:t>
            </w:r>
          </w:p>
        </w:tc>
        <w:tc>
          <w:tcPr>
            <w:tcW w:w="0" w:type="auto"/>
            <w:hideMark/>
          </w:tcPr>
          <w:p w14:paraId="6B2A20C5"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Independent</w:t>
            </w:r>
          </w:p>
        </w:tc>
        <w:tc>
          <w:tcPr>
            <w:tcW w:w="0" w:type="auto"/>
            <w:hideMark/>
          </w:tcPr>
          <w:p w14:paraId="4A3824DF"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Net sales ÷ Total assets</w:t>
            </w:r>
          </w:p>
        </w:tc>
        <w:tc>
          <w:tcPr>
            <w:tcW w:w="0" w:type="auto"/>
            <w:hideMark/>
          </w:tcPr>
          <w:p w14:paraId="66EB49DD"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Nustron et al. (2022)</w:t>
            </w:r>
          </w:p>
        </w:tc>
      </w:tr>
      <w:tr w:rsidR="00DE5ABA" w:rsidRPr="00DE5ABA" w14:paraId="2D5806D9" w14:textId="77777777" w:rsidTr="0097499C">
        <w:tc>
          <w:tcPr>
            <w:tcW w:w="0" w:type="auto"/>
            <w:hideMark/>
          </w:tcPr>
          <w:p w14:paraId="4AD987E8"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Earnings per Share (EPS)</w:t>
            </w:r>
          </w:p>
        </w:tc>
        <w:tc>
          <w:tcPr>
            <w:tcW w:w="0" w:type="auto"/>
            <w:hideMark/>
          </w:tcPr>
          <w:p w14:paraId="163F9F62"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Independent</w:t>
            </w:r>
          </w:p>
        </w:tc>
        <w:tc>
          <w:tcPr>
            <w:tcW w:w="0" w:type="auto"/>
            <w:hideMark/>
          </w:tcPr>
          <w:p w14:paraId="21D22CC0"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Profit after tax ÷ Number of outstanding shares</w:t>
            </w:r>
          </w:p>
        </w:tc>
        <w:tc>
          <w:tcPr>
            <w:tcW w:w="0" w:type="auto"/>
            <w:hideMark/>
          </w:tcPr>
          <w:p w14:paraId="170B736E"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Nazir (2022); Nugraha et al. (2024); Putri et al. (2024)</w:t>
            </w:r>
          </w:p>
        </w:tc>
      </w:tr>
      <w:tr w:rsidR="00DE5ABA" w:rsidRPr="00DE5ABA" w14:paraId="50609734" w14:textId="77777777" w:rsidTr="0097499C">
        <w:tc>
          <w:tcPr>
            <w:tcW w:w="0" w:type="auto"/>
            <w:hideMark/>
          </w:tcPr>
          <w:p w14:paraId="250B7C0A"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Firm Size (FSZ)</w:t>
            </w:r>
          </w:p>
        </w:tc>
        <w:tc>
          <w:tcPr>
            <w:tcW w:w="0" w:type="auto"/>
            <w:hideMark/>
          </w:tcPr>
          <w:p w14:paraId="44A250DE"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Moderator</w:t>
            </w:r>
          </w:p>
        </w:tc>
        <w:tc>
          <w:tcPr>
            <w:tcW w:w="0" w:type="auto"/>
            <w:hideMark/>
          </w:tcPr>
          <w:p w14:paraId="22052832"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Natural logarithm of total assets</w:t>
            </w:r>
          </w:p>
        </w:tc>
        <w:tc>
          <w:tcPr>
            <w:tcW w:w="0" w:type="auto"/>
            <w:hideMark/>
          </w:tcPr>
          <w:p w14:paraId="3AE3CDF2" w14:textId="77777777" w:rsidR="00DE5ABA" w:rsidRPr="00DE5ABA" w:rsidRDefault="00DE5ABA" w:rsidP="00DE5ABA">
            <w:pPr>
              <w:spacing w:after="160" w:line="360" w:lineRule="auto"/>
              <w:jc w:val="both"/>
              <w:rPr>
                <w:rFonts w:ascii="Times New Roman" w:hAnsi="Times New Roman" w:cs="Times New Roman"/>
                <w:sz w:val="24"/>
                <w:szCs w:val="24"/>
              </w:rPr>
            </w:pPr>
            <w:r w:rsidRPr="00DE5ABA">
              <w:rPr>
                <w:rFonts w:ascii="Times New Roman" w:hAnsi="Times New Roman" w:cs="Times New Roman"/>
                <w:sz w:val="24"/>
                <w:szCs w:val="24"/>
              </w:rPr>
              <w:t>Nazir (2022); Sulaiman &amp; Khalid (2024); Akbar (2023)</w:t>
            </w:r>
          </w:p>
        </w:tc>
      </w:tr>
    </w:tbl>
    <w:p w14:paraId="24957B03" w14:textId="77777777"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i/>
          <w:iCs/>
          <w:sz w:val="24"/>
          <w:szCs w:val="24"/>
        </w:rPr>
        <w:t>Source: Author’s computation.</w:t>
      </w:r>
    </w:p>
    <w:p w14:paraId="159CE2C2" w14:textId="77777777"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Firm size is measured as the natural logarithm of total assets to normalise scale effects, reduce heteroscedasticity, and ensure comparability across firms of differing magnitudes.</w:t>
      </w:r>
    </w:p>
    <w:p w14:paraId="3EB3D696" w14:textId="77777777"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To test the hypothesised relationships and explicitly examine the moderating role of firm size, the study employs a moderated multiple regression framework using panel data estimation. Interaction terms between firm size and each financial metric are introduced to assess whether the valuation effects of financial performance indicators vary systematically with firm size. The empirical model is specified as:</w:t>
      </w:r>
    </w:p>
    <w:p w14:paraId="143C157B" w14:textId="3519B30D" w:rsidR="00DE5ABA" w:rsidRPr="00DE5ABA" w:rsidRDefault="00654162" w:rsidP="00DE5ABA">
      <w:pPr>
        <w:spacing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m:rPr>
                  <m:nor/>
                </m:rPr>
                <w:rPr>
                  <w:rFonts w:ascii="Times New Roman" w:hAnsi="Times New Roman" w:cs="Times New Roman"/>
                  <w:sz w:val="24"/>
                  <w:szCs w:val="24"/>
                </w:rPr>
                <m:t>SHP</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ROE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CUR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DER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TAT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EPS</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FSZ</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INF</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INR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9</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EXR</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10</m:t>
              </m:r>
            </m:sub>
          </m:sSub>
          <m:r>
            <w:rPr>
              <w:rFonts w:ascii="Cambria Math" w:hAnsi="Cambria Math" w:cs="Times New Roman"/>
              <w:sz w:val="24"/>
              <w:szCs w:val="24"/>
            </w:rPr>
            <m:t>(</m:t>
          </m:r>
          <m:r>
            <m:rPr>
              <m:nor/>
            </m:rPr>
            <w:rPr>
              <w:rFonts w:ascii="Times New Roman" w:hAnsi="Times New Roman" w:cs="Times New Roman"/>
              <w:sz w:val="24"/>
              <w:szCs w:val="24"/>
            </w:rPr>
            <m:t>FSZ</m:t>
          </m:r>
          <m:r>
            <w:rPr>
              <w:rFonts w:ascii="Cambria Math" w:hAnsi="Cambria Math" w:cs="Times New Roman"/>
              <w:sz w:val="24"/>
              <w:szCs w:val="24"/>
            </w:rPr>
            <m:t>×</m:t>
          </m:r>
          <m:r>
            <m:rPr>
              <m:nor/>
            </m:rPr>
            <w:rPr>
              <w:rFonts w:ascii="Times New Roman" w:hAnsi="Times New Roman" w:cs="Times New Roman"/>
              <w:sz w:val="24"/>
              <w:szCs w:val="24"/>
            </w:rPr>
            <m:t>ROE</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11</m:t>
              </m:r>
            </m:sub>
          </m:sSub>
          <m:r>
            <w:rPr>
              <w:rFonts w:ascii="Cambria Math" w:hAnsi="Cambria Math" w:cs="Times New Roman"/>
              <w:sz w:val="24"/>
              <w:szCs w:val="24"/>
            </w:rPr>
            <m:t>(</m:t>
          </m:r>
          <m:r>
            <m:rPr>
              <m:nor/>
            </m:rPr>
            <w:rPr>
              <w:rFonts w:ascii="Times New Roman" w:hAnsi="Times New Roman" w:cs="Times New Roman"/>
              <w:sz w:val="24"/>
              <w:szCs w:val="24"/>
            </w:rPr>
            <m:t>FSZ</m:t>
          </m:r>
          <m:r>
            <w:rPr>
              <w:rFonts w:ascii="Cambria Math" w:hAnsi="Cambria Math" w:cs="Times New Roman"/>
              <w:sz w:val="24"/>
              <w:szCs w:val="24"/>
            </w:rPr>
            <m:t>×</m:t>
          </m:r>
          <m:r>
            <m:rPr>
              <m:nor/>
            </m:rPr>
            <w:rPr>
              <w:rFonts w:ascii="Times New Roman" w:hAnsi="Times New Roman" w:cs="Times New Roman"/>
              <w:sz w:val="24"/>
              <w:szCs w:val="24"/>
            </w:rPr>
            <m:t>CUR</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12</m:t>
              </m:r>
            </m:sub>
          </m:sSub>
          <m:r>
            <w:rPr>
              <w:rFonts w:ascii="Cambria Math" w:hAnsi="Cambria Math" w:cs="Times New Roman"/>
              <w:sz w:val="24"/>
              <w:szCs w:val="24"/>
            </w:rPr>
            <m:t>(</m:t>
          </m:r>
          <m:r>
            <m:rPr>
              <m:nor/>
            </m:rPr>
            <w:rPr>
              <w:rFonts w:ascii="Times New Roman" w:hAnsi="Times New Roman" w:cs="Times New Roman"/>
              <w:sz w:val="24"/>
              <w:szCs w:val="24"/>
            </w:rPr>
            <m:t>FSZ</m:t>
          </m:r>
          <m:r>
            <w:rPr>
              <w:rFonts w:ascii="Cambria Math" w:hAnsi="Cambria Math" w:cs="Times New Roman"/>
              <w:sz w:val="24"/>
              <w:szCs w:val="24"/>
            </w:rPr>
            <m:t>×</m:t>
          </m:r>
          <m:r>
            <m:rPr>
              <m:nor/>
            </m:rPr>
            <w:rPr>
              <w:rFonts w:ascii="Times New Roman" w:hAnsi="Times New Roman" w:cs="Times New Roman"/>
              <w:sz w:val="24"/>
              <w:szCs w:val="24"/>
            </w:rPr>
            <m:t>DER</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13</m:t>
              </m:r>
            </m:sub>
          </m:sSub>
          <m:r>
            <w:rPr>
              <w:rFonts w:ascii="Cambria Math" w:hAnsi="Cambria Math" w:cs="Times New Roman"/>
              <w:sz w:val="24"/>
              <w:szCs w:val="24"/>
            </w:rPr>
            <m:t>(</m:t>
          </m:r>
          <m:r>
            <m:rPr>
              <m:nor/>
            </m:rPr>
            <w:rPr>
              <w:rFonts w:ascii="Times New Roman" w:hAnsi="Times New Roman" w:cs="Times New Roman"/>
              <w:sz w:val="24"/>
              <w:szCs w:val="24"/>
            </w:rPr>
            <m:t>FSZ</m:t>
          </m:r>
          <m:r>
            <w:rPr>
              <w:rFonts w:ascii="Cambria Math" w:hAnsi="Cambria Math" w:cs="Times New Roman"/>
              <w:sz w:val="24"/>
              <w:szCs w:val="24"/>
            </w:rPr>
            <m:t>×</m:t>
          </m:r>
          <m:r>
            <m:rPr>
              <m:nor/>
            </m:rPr>
            <w:rPr>
              <w:rFonts w:ascii="Times New Roman" w:hAnsi="Times New Roman" w:cs="Times New Roman"/>
              <w:sz w:val="24"/>
              <w:szCs w:val="24"/>
            </w:rPr>
            <m:t>TAT</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14</m:t>
              </m:r>
            </m:sub>
          </m:sSub>
          <m:r>
            <w:rPr>
              <w:rFonts w:ascii="Cambria Math" w:hAnsi="Cambria Math" w:cs="Times New Roman"/>
              <w:sz w:val="24"/>
              <w:szCs w:val="24"/>
            </w:rPr>
            <m:t>(</m:t>
          </m:r>
          <m:r>
            <m:rPr>
              <m:nor/>
            </m:rPr>
            <w:rPr>
              <w:rFonts w:ascii="Times New Roman" w:hAnsi="Times New Roman" w:cs="Times New Roman"/>
              <w:sz w:val="24"/>
              <w:szCs w:val="24"/>
            </w:rPr>
            <m:t>FSZ</m:t>
          </m:r>
          <m:r>
            <w:rPr>
              <w:rFonts w:ascii="Cambria Math" w:hAnsi="Cambria Math" w:cs="Times New Roman"/>
              <w:sz w:val="24"/>
              <w:szCs w:val="24"/>
            </w:rPr>
            <m:t>×</m:t>
          </m:r>
          <m:r>
            <m:rPr>
              <m:nor/>
            </m:rPr>
            <w:rPr>
              <w:rFonts w:ascii="Times New Roman" w:hAnsi="Times New Roman" w:cs="Times New Roman"/>
              <w:sz w:val="24"/>
              <w:szCs w:val="24"/>
            </w:rPr>
            <m:t>EPS</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m:rPr>
              <m:sty m:val="p"/>
            </m:rPr>
            <w:rPr>
              <w:rFonts w:ascii="Times New Roman" w:hAnsi="Times New Roman" w:cs="Times New Roman"/>
              <w:sz w:val="24"/>
              <w:szCs w:val="24"/>
            </w:rPr>
            <w:br/>
          </m:r>
        </m:oMath>
      </m:oMathPara>
    </w:p>
    <w:p w14:paraId="6010D31E" w14:textId="7605A798" w:rsidR="00DE5ABA" w:rsidRPr="00DE5ABA" w:rsidRDefault="00DE5ABA" w:rsidP="00DE5ABA">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 xml:space="preserve">where </w:t>
      </w:r>
      <m:oMath>
        <m:r>
          <w:rPr>
            <w:rFonts w:ascii="Cambria Math" w:hAnsi="Cambria Math" w:cs="Times New Roman"/>
            <w:sz w:val="24"/>
            <w:szCs w:val="24"/>
          </w:rPr>
          <m:t>i</m:t>
        </m:r>
      </m:oMath>
      <w:r w:rsidRPr="00DE5ABA">
        <w:rPr>
          <w:rFonts w:ascii="Times New Roman" w:hAnsi="Times New Roman" w:cs="Times New Roman"/>
          <w:sz w:val="24"/>
          <w:szCs w:val="24"/>
        </w:rPr>
        <w:t xml:space="preserve">denotes firm and </w:t>
      </w:r>
      <m:oMath>
        <m:r>
          <w:rPr>
            <w:rFonts w:ascii="Cambria Math" w:hAnsi="Cambria Math" w:cs="Times New Roman"/>
            <w:sz w:val="24"/>
            <w:szCs w:val="24"/>
          </w:rPr>
          <m:t>t</m:t>
        </m:r>
      </m:oMath>
      <w:r w:rsidRPr="00DE5ABA">
        <w:rPr>
          <w:rFonts w:ascii="Times New Roman" w:hAnsi="Times New Roman" w:cs="Times New Roman"/>
          <w:sz w:val="24"/>
          <w:szCs w:val="24"/>
        </w:rPr>
        <w:t xml:space="preserve">denotes year. SHP represents share price; ROE is return on equity; CUR is current ratio; DER is debt–equity ratio; TAT is total assets turnover; EPS is earnings per share; FSZ denotes firm size; INF represents inflation; INR denotes interest rate; and EXR represents exchange rate. The error term </w:t>
      </w:r>
      <m:oMath>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Pr="00DE5ABA">
        <w:rPr>
          <w:rFonts w:ascii="Times New Roman" w:hAnsi="Times New Roman" w:cs="Times New Roman"/>
          <w:sz w:val="24"/>
          <w:szCs w:val="24"/>
        </w:rPr>
        <w:t>captures unobserved firm-specific and time-varying effects.</w:t>
      </w:r>
    </w:p>
    <w:p w14:paraId="014C504E" w14:textId="5FBCB0E2" w:rsidR="0021345D" w:rsidRPr="007161A3" w:rsidRDefault="00DE5ABA" w:rsidP="007161A3">
      <w:pPr>
        <w:spacing w:line="360" w:lineRule="auto"/>
        <w:jc w:val="both"/>
        <w:rPr>
          <w:rFonts w:ascii="Times New Roman" w:hAnsi="Times New Roman" w:cs="Times New Roman"/>
          <w:sz w:val="24"/>
          <w:szCs w:val="24"/>
        </w:rPr>
      </w:pPr>
      <w:r w:rsidRPr="00DE5ABA">
        <w:rPr>
          <w:rFonts w:ascii="Times New Roman" w:hAnsi="Times New Roman" w:cs="Times New Roman"/>
          <w:sz w:val="24"/>
          <w:szCs w:val="24"/>
        </w:rPr>
        <w:t xml:space="preserve">The coefficients on the financial metrics capture their direct valuation effects, while the interaction terms measure the extent to which firm size conditions the pricing of financial information. Consistent with valuation and signalling theory, profitability and earnings measures are expected </w:t>
      </w:r>
      <w:r w:rsidRPr="00DE5ABA">
        <w:rPr>
          <w:rFonts w:ascii="Times New Roman" w:hAnsi="Times New Roman" w:cs="Times New Roman"/>
          <w:sz w:val="24"/>
          <w:szCs w:val="24"/>
        </w:rPr>
        <w:lastRenderedPageBreak/>
        <w:t>to exhibit positive valuation effects, while the signs of liquidity, leverage, and efficiency variables are theoretically ambiguous and therefore subject to empirical determination</w:t>
      </w:r>
      <w:r w:rsidR="00771BED" w:rsidRPr="004939F9">
        <w:rPr>
          <w:rFonts w:ascii="Times New Roman" w:hAnsi="Times New Roman" w:cs="Times New Roman"/>
          <w:sz w:val="24"/>
          <w:szCs w:val="24"/>
        </w:rPr>
        <w:t xml:space="preserve">. </w:t>
      </w:r>
    </w:p>
    <w:p w14:paraId="10277745" w14:textId="713D8895" w:rsidR="00377167" w:rsidRPr="00C57653" w:rsidRDefault="00377167" w:rsidP="00C57653">
      <w:pPr>
        <w:pStyle w:val="Heading1"/>
        <w:rPr>
          <w:rFonts w:asciiTheme="majorBidi" w:hAnsiTheme="majorBidi"/>
          <w:b/>
          <w:bCs/>
          <w:color w:val="auto"/>
          <w:sz w:val="24"/>
          <w:szCs w:val="24"/>
        </w:rPr>
      </w:pPr>
      <w:r w:rsidRPr="00C57653">
        <w:rPr>
          <w:rFonts w:asciiTheme="majorBidi" w:hAnsiTheme="majorBidi"/>
          <w:b/>
          <w:bCs/>
          <w:color w:val="auto"/>
          <w:sz w:val="24"/>
          <w:szCs w:val="24"/>
        </w:rPr>
        <w:t>4.0</w:t>
      </w:r>
      <w:r w:rsidRPr="00C57653">
        <w:rPr>
          <w:rFonts w:asciiTheme="majorBidi" w:hAnsiTheme="majorBidi"/>
          <w:b/>
          <w:bCs/>
          <w:color w:val="auto"/>
          <w:sz w:val="24"/>
          <w:szCs w:val="24"/>
        </w:rPr>
        <w:tab/>
      </w:r>
      <w:r w:rsidR="00C57653" w:rsidRPr="00C57653">
        <w:rPr>
          <w:rFonts w:asciiTheme="majorBidi" w:hAnsiTheme="majorBidi"/>
          <w:b/>
          <w:bCs/>
          <w:color w:val="auto"/>
          <w:sz w:val="24"/>
          <w:szCs w:val="24"/>
        </w:rPr>
        <w:t>Results and Discussion</w:t>
      </w:r>
    </w:p>
    <w:p w14:paraId="4D1E2D8F" w14:textId="77777777" w:rsidR="00C57653" w:rsidRPr="00C57653" w:rsidRDefault="00C57653" w:rsidP="00C57653">
      <w:pPr>
        <w:pStyle w:val="Heading2"/>
        <w:rPr>
          <w:rFonts w:asciiTheme="majorBidi" w:hAnsiTheme="majorBidi"/>
          <w:b/>
          <w:bCs/>
          <w:color w:val="auto"/>
          <w:sz w:val="24"/>
          <w:szCs w:val="24"/>
        </w:rPr>
      </w:pPr>
      <w:r w:rsidRPr="00C57653">
        <w:rPr>
          <w:rFonts w:asciiTheme="majorBidi" w:hAnsiTheme="majorBidi"/>
          <w:b/>
          <w:bCs/>
          <w:color w:val="auto"/>
          <w:sz w:val="24"/>
          <w:szCs w:val="24"/>
        </w:rPr>
        <w:t>4.1 Descriptive Statistics</w:t>
      </w:r>
    </w:p>
    <w:p w14:paraId="71D8EA2D" w14:textId="1CD26A33" w:rsidR="009F4327" w:rsidRPr="009F4327" w:rsidRDefault="00C57653" w:rsidP="009F4327">
      <w:pPr>
        <w:spacing w:line="360" w:lineRule="auto"/>
        <w:jc w:val="both"/>
        <w:rPr>
          <w:rFonts w:ascii="Times New Roman" w:hAnsi="Times New Roman" w:cs="Times New Roman"/>
          <w:sz w:val="24"/>
          <w:szCs w:val="24"/>
        </w:rPr>
      </w:pPr>
      <w:r w:rsidRPr="00C57653">
        <w:rPr>
          <w:rFonts w:ascii="Times New Roman" w:hAnsi="Times New Roman" w:cs="Times New Roman"/>
          <w:b/>
          <w:bCs/>
          <w:sz w:val="24"/>
          <w:szCs w:val="24"/>
        </w:rPr>
        <w:t>Table 2</w:t>
      </w:r>
      <w:r w:rsidRPr="00C57653">
        <w:rPr>
          <w:rFonts w:ascii="Times New Roman" w:hAnsi="Times New Roman" w:cs="Times New Roman"/>
          <w:sz w:val="24"/>
          <w:szCs w:val="24"/>
        </w:rPr>
        <w:t xml:space="preserve"> reports the descriptive statistics for all variables employed in the study based on 240 firm-year observations drawn from listed agriculture and consumer goods firms in Nigeria over the period 2012–2023. Share price (SHP) exhibits substantial dispersion, with a mean value of 92.39 and a standard deviation of 271.43, reflecting wide heterogeneity in firm valuation within the sample. The minimum share price of 0.20 is associated with FTN Cocoa Processors Plc in the agriculture sector, while the maximum value of 1,556.50 corresponds to Nestlé Nigeria Plc in the consumer goods sector. This wide range underscores pronounced firm-level differences in scale, performance, and market perception.</w:t>
      </w:r>
    </w:p>
    <w:p w14:paraId="299CA547" w14:textId="11D6FA61" w:rsidR="009F4327" w:rsidRDefault="009F4327" w:rsidP="009F4327">
      <w:pPr>
        <w:spacing w:after="0" w:line="360" w:lineRule="auto"/>
        <w:jc w:val="both"/>
        <w:rPr>
          <w:rFonts w:ascii="Times New Roman" w:hAnsi="Times New Roman" w:cs="Times New Roman"/>
          <w:sz w:val="24"/>
          <w:szCs w:val="24"/>
        </w:rPr>
      </w:pPr>
      <w:r w:rsidRPr="009F4327">
        <w:rPr>
          <w:rFonts w:ascii="Times New Roman" w:hAnsi="Times New Roman" w:cs="Times New Roman"/>
          <w:b/>
          <w:bCs/>
          <w:sz w:val="24"/>
          <w:szCs w:val="24"/>
        </w:rPr>
        <w:t>Table 2</w:t>
      </w:r>
      <w:r>
        <w:rPr>
          <w:rFonts w:ascii="Times New Roman" w:hAnsi="Times New Roman" w:cs="Times New Roman"/>
          <w:sz w:val="24"/>
          <w:szCs w:val="24"/>
        </w:rPr>
        <w:t xml:space="preserve">: </w:t>
      </w:r>
      <w:r w:rsidRPr="004939F9">
        <w:rPr>
          <w:rFonts w:ascii="Times New Roman" w:hAnsi="Times New Roman" w:cs="Times New Roman"/>
          <w:sz w:val="24"/>
          <w:szCs w:val="24"/>
        </w:rPr>
        <w:t>Descriptive Statistics</w:t>
      </w:r>
    </w:p>
    <w:tbl>
      <w:tblPr>
        <w:tblW w:w="0" w:type="auto"/>
        <w:tblInd w:w="435" w:type="dxa"/>
        <w:tblLayout w:type="fixed"/>
        <w:tblCellMar>
          <w:left w:w="0" w:type="dxa"/>
          <w:right w:w="0" w:type="dxa"/>
        </w:tblCellMar>
        <w:tblLook w:val="01E0" w:firstRow="1" w:lastRow="1" w:firstColumn="1" w:lastColumn="1" w:noHBand="0" w:noVBand="0"/>
      </w:tblPr>
      <w:tblGrid>
        <w:gridCol w:w="1490"/>
        <w:gridCol w:w="1487"/>
        <w:gridCol w:w="1324"/>
        <w:gridCol w:w="1024"/>
        <w:gridCol w:w="1104"/>
        <w:gridCol w:w="1053"/>
      </w:tblGrid>
      <w:tr w:rsidR="009F4327" w:rsidRPr="00171BBB" w14:paraId="4CC40ADB" w14:textId="77777777" w:rsidTr="008D1B45">
        <w:trPr>
          <w:trHeight w:hRule="exact" w:val="294"/>
        </w:trPr>
        <w:tc>
          <w:tcPr>
            <w:tcW w:w="1490" w:type="dxa"/>
            <w:tcBorders>
              <w:top w:val="single" w:sz="4" w:space="0" w:color="auto"/>
              <w:left w:val="nil"/>
              <w:bottom w:val="single" w:sz="4" w:space="0" w:color="auto"/>
            </w:tcBorders>
          </w:tcPr>
          <w:p w14:paraId="797D620A" w14:textId="77777777" w:rsidR="009F4327" w:rsidRPr="00171BBB" w:rsidRDefault="009F4327" w:rsidP="008D1B45">
            <w:pPr>
              <w:pStyle w:val="TableParagraph"/>
              <w:spacing w:before="2"/>
              <w:ind w:left="441"/>
              <w:rPr>
                <w:rFonts w:ascii="Times New Roman" w:eastAsia="Courier New" w:hAnsi="Times New Roman" w:cs="Times New Roman"/>
                <w:sz w:val="18"/>
                <w:szCs w:val="24"/>
              </w:rPr>
            </w:pPr>
            <w:r w:rsidRPr="00171BBB">
              <w:rPr>
                <w:rFonts w:ascii="Times New Roman" w:hAnsi="Times New Roman" w:cs="Times New Roman"/>
                <w:spacing w:val="6"/>
                <w:sz w:val="18"/>
                <w:szCs w:val="24"/>
              </w:rPr>
              <w:t>V</w:t>
            </w:r>
            <w:r w:rsidRPr="00171BBB">
              <w:rPr>
                <w:rFonts w:ascii="Times New Roman" w:hAnsi="Times New Roman" w:cs="Times New Roman"/>
                <w:spacing w:val="8"/>
                <w:sz w:val="18"/>
                <w:szCs w:val="24"/>
              </w:rPr>
              <w:t>a</w:t>
            </w:r>
            <w:r w:rsidRPr="00171BBB">
              <w:rPr>
                <w:rFonts w:ascii="Times New Roman" w:hAnsi="Times New Roman" w:cs="Times New Roman"/>
                <w:spacing w:val="6"/>
                <w:sz w:val="18"/>
                <w:szCs w:val="24"/>
              </w:rPr>
              <w:t>r</w:t>
            </w:r>
            <w:r w:rsidRPr="00171BBB">
              <w:rPr>
                <w:rFonts w:ascii="Times New Roman" w:hAnsi="Times New Roman" w:cs="Times New Roman"/>
                <w:spacing w:val="8"/>
                <w:sz w:val="18"/>
                <w:szCs w:val="24"/>
              </w:rPr>
              <w:t>i</w:t>
            </w:r>
            <w:r w:rsidRPr="00171BBB">
              <w:rPr>
                <w:rFonts w:ascii="Times New Roman" w:hAnsi="Times New Roman" w:cs="Times New Roman"/>
                <w:spacing w:val="6"/>
                <w:sz w:val="18"/>
                <w:szCs w:val="24"/>
              </w:rPr>
              <w:t>a</w:t>
            </w:r>
            <w:r w:rsidRPr="00171BBB">
              <w:rPr>
                <w:rFonts w:ascii="Times New Roman" w:hAnsi="Times New Roman" w:cs="Times New Roman"/>
                <w:spacing w:val="8"/>
                <w:sz w:val="18"/>
                <w:szCs w:val="24"/>
              </w:rPr>
              <w:t>b</w:t>
            </w:r>
            <w:r w:rsidRPr="00171BBB">
              <w:rPr>
                <w:rFonts w:ascii="Times New Roman" w:hAnsi="Times New Roman" w:cs="Times New Roman"/>
                <w:spacing w:val="6"/>
                <w:sz w:val="18"/>
                <w:szCs w:val="24"/>
              </w:rPr>
              <w:t>l</w:t>
            </w:r>
            <w:r w:rsidRPr="00171BBB">
              <w:rPr>
                <w:rFonts w:ascii="Times New Roman" w:hAnsi="Times New Roman" w:cs="Times New Roman"/>
                <w:sz w:val="18"/>
                <w:szCs w:val="24"/>
              </w:rPr>
              <w:t>e</w:t>
            </w:r>
          </w:p>
        </w:tc>
        <w:tc>
          <w:tcPr>
            <w:tcW w:w="1487" w:type="dxa"/>
            <w:tcBorders>
              <w:top w:val="single" w:sz="4" w:space="0" w:color="auto"/>
              <w:bottom w:val="single" w:sz="4" w:space="0" w:color="auto"/>
              <w:right w:val="nil"/>
            </w:tcBorders>
          </w:tcPr>
          <w:p w14:paraId="5A272440" w14:textId="77777777" w:rsidR="009F4327" w:rsidRPr="00171BBB" w:rsidRDefault="009F4327" w:rsidP="008D1B45">
            <w:pPr>
              <w:pStyle w:val="TableParagraph"/>
              <w:spacing w:before="2"/>
              <w:ind w:left="935"/>
              <w:rPr>
                <w:rFonts w:ascii="Times New Roman" w:eastAsia="Courier New" w:hAnsi="Times New Roman" w:cs="Times New Roman"/>
                <w:sz w:val="18"/>
                <w:szCs w:val="24"/>
              </w:rPr>
            </w:pPr>
            <w:r w:rsidRPr="00171BBB">
              <w:rPr>
                <w:rFonts w:ascii="Times New Roman" w:hAnsi="Times New Roman" w:cs="Times New Roman"/>
                <w:spacing w:val="4"/>
                <w:sz w:val="18"/>
                <w:szCs w:val="24"/>
              </w:rPr>
              <w:t>Obs</w:t>
            </w:r>
          </w:p>
        </w:tc>
        <w:tc>
          <w:tcPr>
            <w:tcW w:w="1324" w:type="dxa"/>
            <w:tcBorders>
              <w:top w:val="single" w:sz="4" w:space="0" w:color="auto"/>
              <w:left w:val="nil"/>
              <w:bottom w:val="single" w:sz="4" w:space="0" w:color="auto"/>
              <w:right w:val="nil"/>
            </w:tcBorders>
          </w:tcPr>
          <w:p w14:paraId="2AA68697" w14:textId="77777777" w:rsidR="009F4327" w:rsidRPr="00171BBB" w:rsidRDefault="009F4327" w:rsidP="008D1B45">
            <w:pPr>
              <w:pStyle w:val="TableParagraph"/>
              <w:spacing w:before="2"/>
              <w:ind w:left="666"/>
              <w:rPr>
                <w:rFonts w:ascii="Times New Roman" w:eastAsia="Courier New" w:hAnsi="Times New Roman" w:cs="Times New Roman"/>
                <w:sz w:val="18"/>
                <w:szCs w:val="24"/>
              </w:rPr>
            </w:pPr>
            <w:r w:rsidRPr="00171BBB">
              <w:rPr>
                <w:rFonts w:ascii="Times New Roman" w:hAnsi="Times New Roman" w:cs="Times New Roman"/>
                <w:spacing w:val="6"/>
                <w:sz w:val="18"/>
                <w:szCs w:val="24"/>
              </w:rPr>
              <w:t>M</w:t>
            </w:r>
            <w:r w:rsidRPr="00171BBB">
              <w:rPr>
                <w:rFonts w:ascii="Times New Roman" w:hAnsi="Times New Roman" w:cs="Times New Roman"/>
                <w:spacing w:val="8"/>
                <w:sz w:val="18"/>
                <w:szCs w:val="24"/>
              </w:rPr>
              <w:t>e</w:t>
            </w:r>
            <w:r w:rsidRPr="00171BBB">
              <w:rPr>
                <w:rFonts w:ascii="Times New Roman" w:hAnsi="Times New Roman" w:cs="Times New Roman"/>
                <w:spacing w:val="6"/>
                <w:sz w:val="18"/>
                <w:szCs w:val="24"/>
              </w:rPr>
              <w:t>a</w:t>
            </w:r>
            <w:r w:rsidRPr="00171BBB">
              <w:rPr>
                <w:rFonts w:ascii="Times New Roman" w:hAnsi="Times New Roman" w:cs="Times New Roman"/>
                <w:sz w:val="18"/>
                <w:szCs w:val="24"/>
              </w:rPr>
              <w:t>n</w:t>
            </w:r>
          </w:p>
        </w:tc>
        <w:tc>
          <w:tcPr>
            <w:tcW w:w="1024" w:type="dxa"/>
            <w:tcBorders>
              <w:top w:val="single" w:sz="4" w:space="0" w:color="auto"/>
              <w:left w:val="nil"/>
              <w:bottom w:val="single" w:sz="4" w:space="0" w:color="auto"/>
              <w:right w:val="nil"/>
            </w:tcBorders>
          </w:tcPr>
          <w:p w14:paraId="51861271" w14:textId="77777777" w:rsidR="009F4327" w:rsidRPr="00171BBB" w:rsidRDefault="009F4327" w:rsidP="008D1B45">
            <w:pPr>
              <w:pStyle w:val="TableParagraph"/>
              <w:spacing w:before="2"/>
              <w:ind w:left="224" w:right="-19"/>
              <w:rPr>
                <w:rFonts w:ascii="Times New Roman" w:eastAsia="Courier New" w:hAnsi="Times New Roman" w:cs="Times New Roman"/>
                <w:sz w:val="18"/>
                <w:szCs w:val="24"/>
              </w:rPr>
            </w:pPr>
            <w:r w:rsidRPr="00171BBB">
              <w:rPr>
                <w:rFonts w:ascii="Times New Roman" w:hAnsi="Times New Roman" w:cs="Times New Roman"/>
                <w:spacing w:val="5"/>
                <w:sz w:val="18"/>
                <w:szCs w:val="24"/>
              </w:rPr>
              <w:t>Std.</w:t>
            </w:r>
            <w:r w:rsidRPr="00171BBB">
              <w:rPr>
                <w:rFonts w:ascii="Times New Roman" w:hAnsi="Times New Roman" w:cs="Times New Roman"/>
                <w:spacing w:val="16"/>
                <w:sz w:val="18"/>
                <w:szCs w:val="24"/>
              </w:rPr>
              <w:t xml:space="preserve"> </w:t>
            </w:r>
            <w:r w:rsidRPr="00171BBB">
              <w:rPr>
                <w:rFonts w:ascii="Times New Roman" w:hAnsi="Times New Roman" w:cs="Times New Roman"/>
                <w:spacing w:val="5"/>
                <w:sz w:val="18"/>
                <w:szCs w:val="24"/>
              </w:rPr>
              <w:t>Dev.</w:t>
            </w:r>
          </w:p>
        </w:tc>
        <w:tc>
          <w:tcPr>
            <w:tcW w:w="1104" w:type="dxa"/>
            <w:tcBorders>
              <w:top w:val="single" w:sz="4" w:space="0" w:color="auto"/>
              <w:left w:val="nil"/>
              <w:bottom w:val="single" w:sz="4" w:space="0" w:color="auto"/>
              <w:right w:val="nil"/>
            </w:tcBorders>
          </w:tcPr>
          <w:p w14:paraId="1F7E4CBF" w14:textId="77777777" w:rsidR="009F4327" w:rsidRPr="00171BBB" w:rsidRDefault="009F4327" w:rsidP="008D1B45">
            <w:pPr>
              <w:pStyle w:val="TableParagraph"/>
              <w:spacing w:before="2"/>
              <w:ind w:left="722"/>
              <w:rPr>
                <w:rFonts w:ascii="Times New Roman" w:eastAsia="Courier New" w:hAnsi="Times New Roman" w:cs="Times New Roman"/>
                <w:sz w:val="18"/>
                <w:szCs w:val="24"/>
              </w:rPr>
            </w:pPr>
            <w:r w:rsidRPr="00171BBB">
              <w:rPr>
                <w:rFonts w:ascii="Times New Roman" w:hAnsi="Times New Roman" w:cs="Times New Roman"/>
                <w:spacing w:val="6"/>
                <w:sz w:val="18"/>
                <w:szCs w:val="24"/>
              </w:rPr>
              <w:t>Mi</w:t>
            </w:r>
            <w:r w:rsidRPr="00171BBB">
              <w:rPr>
                <w:rFonts w:ascii="Times New Roman" w:hAnsi="Times New Roman" w:cs="Times New Roman"/>
                <w:sz w:val="18"/>
                <w:szCs w:val="24"/>
              </w:rPr>
              <w:t>n</w:t>
            </w:r>
          </w:p>
        </w:tc>
        <w:tc>
          <w:tcPr>
            <w:tcW w:w="1053" w:type="dxa"/>
            <w:tcBorders>
              <w:top w:val="single" w:sz="4" w:space="0" w:color="auto"/>
              <w:left w:val="nil"/>
              <w:bottom w:val="single" w:sz="4" w:space="0" w:color="auto"/>
              <w:right w:val="nil"/>
            </w:tcBorders>
          </w:tcPr>
          <w:p w14:paraId="4B53111B" w14:textId="77777777" w:rsidR="009F4327" w:rsidRPr="00171BBB" w:rsidRDefault="009F4327" w:rsidP="008D1B45">
            <w:pPr>
              <w:pStyle w:val="TableParagraph"/>
              <w:spacing w:before="2"/>
              <w:ind w:right="6"/>
              <w:jc w:val="right"/>
              <w:rPr>
                <w:rFonts w:ascii="Times New Roman" w:eastAsia="Courier New" w:hAnsi="Times New Roman" w:cs="Times New Roman"/>
                <w:sz w:val="18"/>
                <w:szCs w:val="24"/>
              </w:rPr>
            </w:pPr>
            <w:r w:rsidRPr="00171BBB">
              <w:rPr>
                <w:rFonts w:ascii="Times New Roman" w:hAnsi="Times New Roman" w:cs="Times New Roman"/>
                <w:spacing w:val="6"/>
                <w:sz w:val="18"/>
                <w:szCs w:val="24"/>
              </w:rPr>
              <w:t>Ma</w:t>
            </w:r>
            <w:r w:rsidRPr="00171BBB">
              <w:rPr>
                <w:rFonts w:ascii="Times New Roman" w:hAnsi="Times New Roman" w:cs="Times New Roman"/>
                <w:sz w:val="18"/>
                <w:szCs w:val="24"/>
              </w:rPr>
              <w:t>x</w:t>
            </w:r>
          </w:p>
        </w:tc>
      </w:tr>
      <w:tr w:rsidR="009F4327" w:rsidRPr="00171BBB" w14:paraId="1268AF06" w14:textId="77777777" w:rsidTr="008D1B45">
        <w:trPr>
          <w:trHeight w:hRule="exact" w:val="282"/>
        </w:trPr>
        <w:tc>
          <w:tcPr>
            <w:tcW w:w="1490" w:type="dxa"/>
            <w:tcBorders>
              <w:top w:val="single" w:sz="4" w:space="0" w:color="auto"/>
              <w:left w:val="nil"/>
              <w:bottom w:val="nil"/>
            </w:tcBorders>
          </w:tcPr>
          <w:p w14:paraId="17E1496E" w14:textId="77777777" w:rsidR="009F4327" w:rsidRPr="00171BBB" w:rsidRDefault="009F4327" w:rsidP="008D1B45">
            <w:pPr>
              <w:pStyle w:val="TableParagraph"/>
              <w:spacing w:before="97"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SHP</w:t>
            </w:r>
          </w:p>
        </w:tc>
        <w:tc>
          <w:tcPr>
            <w:tcW w:w="1487" w:type="dxa"/>
            <w:tcBorders>
              <w:top w:val="single" w:sz="4" w:space="0" w:color="auto"/>
              <w:bottom w:val="nil"/>
              <w:right w:val="nil"/>
            </w:tcBorders>
          </w:tcPr>
          <w:p w14:paraId="38CABA95" w14:textId="77777777" w:rsidR="009F4327" w:rsidRPr="00171BBB" w:rsidRDefault="009F4327" w:rsidP="008D1B45">
            <w:pPr>
              <w:pStyle w:val="TableParagraph"/>
              <w:spacing w:before="94"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single" w:sz="4" w:space="0" w:color="auto"/>
              <w:left w:val="nil"/>
              <w:bottom w:val="nil"/>
              <w:right w:val="nil"/>
            </w:tcBorders>
          </w:tcPr>
          <w:p w14:paraId="5464B3C1" w14:textId="77777777" w:rsidR="009F4327" w:rsidRPr="00171BBB" w:rsidRDefault="009F4327" w:rsidP="008D1B45">
            <w:pPr>
              <w:pStyle w:val="TableParagraph"/>
              <w:spacing w:before="94"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92.38863</w:t>
            </w:r>
          </w:p>
        </w:tc>
        <w:tc>
          <w:tcPr>
            <w:tcW w:w="1024" w:type="dxa"/>
            <w:tcBorders>
              <w:top w:val="single" w:sz="4" w:space="0" w:color="auto"/>
              <w:left w:val="nil"/>
              <w:bottom w:val="nil"/>
              <w:right w:val="nil"/>
            </w:tcBorders>
          </w:tcPr>
          <w:p w14:paraId="3650D3D9" w14:textId="77777777" w:rsidR="009F4327" w:rsidRPr="00171BBB" w:rsidRDefault="009F4327" w:rsidP="008D1B45">
            <w:pPr>
              <w:pStyle w:val="TableParagraph"/>
              <w:spacing w:before="94"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271.4272</w:t>
            </w:r>
          </w:p>
        </w:tc>
        <w:tc>
          <w:tcPr>
            <w:tcW w:w="1104" w:type="dxa"/>
            <w:tcBorders>
              <w:top w:val="single" w:sz="4" w:space="0" w:color="auto"/>
              <w:left w:val="nil"/>
              <w:bottom w:val="nil"/>
              <w:right w:val="nil"/>
            </w:tcBorders>
          </w:tcPr>
          <w:p w14:paraId="55DBF26A" w14:textId="77777777" w:rsidR="009F4327" w:rsidRPr="00171BBB" w:rsidRDefault="009F4327" w:rsidP="008D1B45">
            <w:pPr>
              <w:pStyle w:val="TableParagraph"/>
              <w:spacing w:before="94" w:line="188"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3"/>
                <w:sz w:val="18"/>
                <w:szCs w:val="24"/>
              </w:rPr>
              <w:t>.2</w:t>
            </w:r>
          </w:p>
        </w:tc>
        <w:tc>
          <w:tcPr>
            <w:tcW w:w="1053" w:type="dxa"/>
            <w:tcBorders>
              <w:top w:val="single" w:sz="4" w:space="0" w:color="auto"/>
              <w:left w:val="nil"/>
              <w:bottom w:val="nil"/>
              <w:right w:val="nil"/>
            </w:tcBorders>
          </w:tcPr>
          <w:p w14:paraId="71EFAA64" w14:textId="77777777" w:rsidR="009F4327" w:rsidRPr="00171BBB" w:rsidRDefault="009F4327" w:rsidP="008D1B45">
            <w:pPr>
              <w:pStyle w:val="TableParagraph"/>
              <w:spacing w:before="94" w:line="188" w:lineRule="exact"/>
              <w:rPr>
                <w:rFonts w:ascii="Times New Roman" w:eastAsia="Courier New" w:hAnsi="Times New Roman" w:cs="Times New Roman"/>
                <w:sz w:val="18"/>
                <w:szCs w:val="24"/>
              </w:rPr>
            </w:pPr>
            <w:r w:rsidRPr="00171BBB">
              <w:rPr>
                <w:rFonts w:ascii="Times New Roman" w:hAnsi="Times New Roman" w:cs="Times New Roman"/>
                <w:spacing w:val="5"/>
                <w:sz w:val="18"/>
                <w:szCs w:val="24"/>
              </w:rPr>
              <w:t xml:space="preserve">        1556.5</w:t>
            </w:r>
          </w:p>
        </w:tc>
      </w:tr>
      <w:tr w:rsidR="009F4327" w:rsidRPr="00171BBB" w14:paraId="09A6F37C" w14:textId="77777777" w:rsidTr="008D1B45">
        <w:trPr>
          <w:trHeight w:hRule="exact" w:val="194"/>
        </w:trPr>
        <w:tc>
          <w:tcPr>
            <w:tcW w:w="1490" w:type="dxa"/>
            <w:tcBorders>
              <w:top w:val="nil"/>
              <w:left w:val="nil"/>
              <w:bottom w:val="nil"/>
            </w:tcBorders>
          </w:tcPr>
          <w:p w14:paraId="550F33D9" w14:textId="77777777" w:rsidR="009F4327" w:rsidRPr="00171BBB" w:rsidRDefault="009F4327" w:rsidP="008D1B45">
            <w:pPr>
              <w:pStyle w:val="TableParagraph"/>
              <w:spacing w:before="9"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ROE</w:t>
            </w:r>
          </w:p>
        </w:tc>
        <w:tc>
          <w:tcPr>
            <w:tcW w:w="1487" w:type="dxa"/>
            <w:tcBorders>
              <w:top w:val="nil"/>
              <w:bottom w:val="nil"/>
              <w:right w:val="nil"/>
            </w:tcBorders>
          </w:tcPr>
          <w:p w14:paraId="4344EE4A" w14:textId="77777777" w:rsidR="009F4327" w:rsidRPr="00171BBB" w:rsidRDefault="009F4327" w:rsidP="008D1B45">
            <w:pPr>
              <w:pStyle w:val="TableParagraph"/>
              <w:spacing w:before="6"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left w:val="nil"/>
              <w:bottom w:val="nil"/>
              <w:right w:val="nil"/>
            </w:tcBorders>
          </w:tcPr>
          <w:p w14:paraId="46765A49" w14:textId="77777777" w:rsidR="009F4327" w:rsidRPr="00171BBB" w:rsidRDefault="009F4327" w:rsidP="008D1B45">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.1271585</w:t>
            </w:r>
          </w:p>
        </w:tc>
        <w:tc>
          <w:tcPr>
            <w:tcW w:w="1024" w:type="dxa"/>
            <w:tcBorders>
              <w:top w:val="nil"/>
              <w:left w:val="nil"/>
              <w:bottom w:val="nil"/>
              <w:right w:val="nil"/>
            </w:tcBorders>
          </w:tcPr>
          <w:p w14:paraId="45726E59" w14:textId="77777777" w:rsidR="009F4327" w:rsidRPr="00171BBB" w:rsidRDefault="009F4327" w:rsidP="008D1B45">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.2524563</w:t>
            </w:r>
          </w:p>
        </w:tc>
        <w:tc>
          <w:tcPr>
            <w:tcW w:w="1104" w:type="dxa"/>
            <w:tcBorders>
              <w:top w:val="nil"/>
              <w:left w:val="nil"/>
              <w:bottom w:val="nil"/>
              <w:right w:val="nil"/>
            </w:tcBorders>
          </w:tcPr>
          <w:p w14:paraId="52001F47" w14:textId="77777777" w:rsidR="009F4327" w:rsidRPr="00171BBB" w:rsidRDefault="009F4327" w:rsidP="008D1B45">
            <w:pPr>
              <w:pStyle w:val="TableParagraph"/>
              <w:spacing w:before="6" w:line="188" w:lineRule="exact"/>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 xml:space="preserve">   -.485452</w:t>
            </w:r>
          </w:p>
        </w:tc>
        <w:tc>
          <w:tcPr>
            <w:tcW w:w="1053" w:type="dxa"/>
            <w:tcBorders>
              <w:top w:val="nil"/>
              <w:left w:val="nil"/>
              <w:bottom w:val="nil"/>
              <w:right w:val="nil"/>
            </w:tcBorders>
          </w:tcPr>
          <w:p w14:paraId="69BCC38D" w14:textId="77777777" w:rsidR="009F4327" w:rsidRPr="00171BBB" w:rsidRDefault="009F4327" w:rsidP="008D1B45">
            <w:pPr>
              <w:pStyle w:val="TableParagraph"/>
              <w:spacing w:before="6" w:line="188" w:lineRule="exact"/>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0.7000893</w:t>
            </w:r>
          </w:p>
        </w:tc>
      </w:tr>
      <w:tr w:rsidR="009F4327" w:rsidRPr="00171BBB" w14:paraId="6B0AE62E" w14:textId="77777777" w:rsidTr="008D1B45">
        <w:trPr>
          <w:trHeight w:hRule="exact" w:val="194"/>
        </w:trPr>
        <w:tc>
          <w:tcPr>
            <w:tcW w:w="1490" w:type="dxa"/>
            <w:tcBorders>
              <w:top w:val="nil"/>
              <w:left w:val="nil"/>
              <w:bottom w:val="nil"/>
            </w:tcBorders>
          </w:tcPr>
          <w:p w14:paraId="64D787CE" w14:textId="77777777" w:rsidR="009F4327" w:rsidRPr="00171BBB" w:rsidRDefault="009F4327" w:rsidP="008D1B45">
            <w:pPr>
              <w:pStyle w:val="TableParagraph"/>
              <w:spacing w:before="9"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CUR</w:t>
            </w:r>
          </w:p>
        </w:tc>
        <w:tc>
          <w:tcPr>
            <w:tcW w:w="1487" w:type="dxa"/>
            <w:tcBorders>
              <w:top w:val="nil"/>
              <w:bottom w:val="nil"/>
              <w:right w:val="nil"/>
            </w:tcBorders>
          </w:tcPr>
          <w:p w14:paraId="3B81C6AC" w14:textId="77777777" w:rsidR="009F4327" w:rsidRPr="00171BBB" w:rsidRDefault="009F4327" w:rsidP="008D1B45">
            <w:pPr>
              <w:pStyle w:val="TableParagraph"/>
              <w:spacing w:before="6"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left w:val="nil"/>
              <w:bottom w:val="nil"/>
              <w:right w:val="nil"/>
            </w:tcBorders>
          </w:tcPr>
          <w:p w14:paraId="7CAF9058" w14:textId="77777777" w:rsidR="009F4327" w:rsidRPr="00171BBB" w:rsidRDefault="009F4327" w:rsidP="008D1B45">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1.151341</w:t>
            </w:r>
          </w:p>
        </w:tc>
        <w:tc>
          <w:tcPr>
            <w:tcW w:w="1024" w:type="dxa"/>
            <w:tcBorders>
              <w:top w:val="nil"/>
              <w:left w:val="nil"/>
              <w:bottom w:val="nil"/>
              <w:right w:val="nil"/>
            </w:tcBorders>
          </w:tcPr>
          <w:p w14:paraId="76417454" w14:textId="77777777" w:rsidR="009F4327" w:rsidRPr="00171BBB" w:rsidRDefault="009F4327" w:rsidP="008D1B45">
            <w:pPr>
              <w:pStyle w:val="TableParagraph"/>
              <w:spacing w:before="6" w:line="188" w:lineRule="exact"/>
              <w:ind w:left="210"/>
              <w:rPr>
                <w:rFonts w:ascii="Times New Roman" w:eastAsia="Courier New" w:hAnsi="Times New Roman" w:cs="Times New Roman"/>
                <w:sz w:val="18"/>
                <w:szCs w:val="24"/>
              </w:rPr>
            </w:pPr>
            <w:r w:rsidRPr="00171BBB">
              <w:rPr>
                <w:rFonts w:ascii="Times New Roman" w:hAnsi="Times New Roman" w:cs="Times New Roman"/>
                <w:spacing w:val="7"/>
                <w:sz w:val="18"/>
                <w:szCs w:val="24"/>
              </w:rPr>
              <w:t>.5554952</w:t>
            </w:r>
          </w:p>
        </w:tc>
        <w:tc>
          <w:tcPr>
            <w:tcW w:w="1104" w:type="dxa"/>
            <w:tcBorders>
              <w:top w:val="nil"/>
              <w:left w:val="nil"/>
              <w:bottom w:val="nil"/>
              <w:right w:val="nil"/>
            </w:tcBorders>
          </w:tcPr>
          <w:p w14:paraId="4818BE2A" w14:textId="77777777" w:rsidR="009F4327" w:rsidRPr="00171BBB" w:rsidRDefault="009F4327" w:rsidP="008D1B45">
            <w:pPr>
              <w:pStyle w:val="TableParagraph"/>
              <w:spacing w:before="6" w:line="188" w:lineRule="exact"/>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 xml:space="preserve">  .4107514</w:t>
            </w:r>
          </w:p>
        </w:tc>
        <w:tc>
          <w:tcPr>
            <w:tcW w:w="1053" w:type="dxa"/>
            <w:tcBorders>
              <w:top w:val="nil"/>
              <w:left w:val="nil"/>
              <w:bottom w:val="nil"/>
              <w:right w:val="nil"/>
            </w:tcBorders>
          </w:tcPr>
          <w:p w14:paraId="784430A3" w14:textId="77777777" w:rsidR="009F4327" w:rsidRPr="00171BBB" w:rsidRDefault="009F4327" w:rsidP="008D1B45">
            <w:pPr>
              <w:pStyle w:val="TableParagraph"/>
              <w:spacing w:before="6" w:line="188" w:lineRule="exact"/>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2.50246</w:t>
            </w:r>
          </w:p>
        </w:tc>
      </w:tr>
      <w:tr w:rsidR="009F4327" w:rsidRPr="00171BBB" w14:paraId="597F10FB" w14:textId="77777777" w:rsidTr="008D1B45">
        <w:trPr>
          <w:trHeight w:hRule="exact" w:val="194"/>
        </w:trPr>
        <w:tc>
          <w:tcPr>
            <w:tcW w:w="1490" w:type="dxa"/>
            <w:tcBorders>
              <w:top w:val="nil"/>
              <w:left w:val="nil"/>
            </w:tcBorders>
          </w:tcPr>
          <w:p w14:paraId="1C2D746A" w14:textId="77777777" w:rsidR="009F4327" w:rsidRPr="00171BBB" w:rsidRDefault="009F4327" w:rsidP="008D1B45">
            <w:pPr>
              <w:pStyle w:val="TableParagraph"/>
              <w:spacing w:before="9"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DER</w:t>
            </w:r>
          </w:p>
        </w:tc>
        <w:tc>
          <w:tcPr>
            <w:tcW w:w="1487" w:type="dxa"/>
            <w:tcBorders>
              <w:top w:val="nil"/>
              <w:right w:val="nil"/>
            </w:tcBorders>
          </w:tcPr>
          <w:p w14:paraId="16D7CA2C" w14:textId="77777777" w:rsidR="009F4327" w:rsidRPr="00171BBB" w:rsidRDefault="009F4327" w:rsidP="008D1B45">
            <w:pPr>
              <w:pStyle w:val="TableParagraph"/>
              <w:spacing w:before="6"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left w:val="nil"/>
              <w:right w:val="nil"/>
            </w:tcBorders>
          </w:tcPr>
          <w:p w14:paraId="6F73AE48" w14:textId="77777777" w:rsidR="009F4327" w:rsidRPr="00171BBB" w:rsidRDefault="009F4327" w:rsidP="008D1B45">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2.088467</w:t>
            </w:r>
          </w:p>
        </w:tc>
        <w:tc>
          <w:tcPr>
            <w:tcW w:w="1024" w:type="dxa"/>
            <w:tcBorders>
              <w:top w:val="nil"/>
              <w:left w:val="nil"/>
              <w:right w:val="nil"/>
            </w:tcBorders>
          </w:tcPr>
          <w:p w14:paraId="43F1F81E" w14:textId="77777777" w:rsidR="009F4327" w:rsidRPr="00171BBB" w:rsidRDefault="009F4327" w:rsidP="008D1B45">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1.889837</w:t>
            </w:r>
          </w:p>
        </w:tc>
        <w:tc>
          <w:tcPr>
            <w:tcW w:w="1104" w:type="dxa"/>
            <w:tcBorders>
              <w:top w:val="nil"/>
              <w:left w:val="nil"/>
              <w:right w:val="nil"/>
            </w:tcBorders>
          </w:tcPr>
          <w:p w14:paraId="34C86965" w14:textId="77777777" w:rsidR="009F4327" w:rsidRPr="00171BBB" w:rsidRDefault="009F4327" w:rsidP="008D1B45">
            <w:pPr>
              <w:pStyle w:val="TableParagraph"/>
              <w:spacing w:before="6" w:line="188" w:lineRule="exact"/>
              <w:ind w:left="58"/>
              <w:rPr>
                <w:rFonts w:ascii="Times New Roman" w:eastAsia="Courier New" w:hAnsi="Times New Roman" w:cs="Times New Roman"/>
                <w:sz w:val="18"/>
                <w:szCs w:val="24"/>
              </w:rPr>
            </w:pPr>
            <w:r w:rsidRPr="00171BBB">
              <w:rPr>
                <w:rFonts w:ascii="Times New Roman" w:hAnsi="Times New Roman" w:cs="Times New Roman"/>
                <w:spacing w:val="6"/>
                <w:sz w:val="18"/>
                <w:szCs w:val="24"/>
              </w:rPr>
              <w:t xml:space="preserve">   .3100538</w:t>
            </w:r>
          </w:p>
        </w:tc>
        <w:tc>
          <w:tcPr>
            <w:tcW w:w="1053" w:type="dxa"/>
            <w:tcBorders>
              <w:top w:val="nil"/>
              <w:left w:val="nil"/>
              <w:right w:val="nil"/>
            </w:tcBorders>
          </w:tcPr>
          <w:p w14:paraId="07802102" w14:textId="77777777" w:rsidR="009F4327" w:rsidRPr="00171BBB" w:rsidRDefault="009F4327" w:rsidP="008D1B45">
            <w:pPr>
              <w:pStyle w:val="TableParagraph"/>
              <w:spacing w:before="6" w:line="188" w:lineRule="exact"/>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8.024084</w:t>
            </w:r>
          </w:p>
        </w:tc>
      </w:tr>
      <w:tr w:rsidR="009F4327" w:rsidRPr="00171BBB" w14:paraId="7CBA262C" w14:textId="77777777" w:rsidTr="008D1B45">
        <w:trPr>
          <w:trHeight w:hRule="exact" w:val="189"/>
        </w:trPr>
        <w:tc>
          <w:tcPr>
            <w:tcW w:w="1490" w:type="dxa"/>
            <w:tcBorders>
              <w:top w:val="nil"/>
              <w:left w:val="nil"/>
            </w:tcBorders>
          </w:tcPr>
          <w:p w14:paraId="7ABB636B" w14:textId="77777777" w:rsidR="009F4327" w:rsidRPr="00171BBB" w:rsidRDefault="009F4327" w:rsidP="008D1B45">
            <w:pPr>
              <w:pStyle w:val="TableParagraph"/>
              <w:spacing w:before="9"/>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TAT</w:t>
            </w:r>
          </w:p>
        </w:tc>
        <w:tc>
          <w:tcPr>
            <w:tcW w:w="1487" w:type="dxa"/>
            <w:tcBorders>
              <w:top w:val="nil"/>
            </w:tcBorders>
          </w:tcPr>
          <w:p w14:paraId="01E1F1D7" w14:textId="77777777" w:rsidR="009F4327" w:rsidRPr="00171BBB" w:rsidRDefault="009F4327" w:rsidP="008D1B45">
            <w:pPr>
              <w:pStyle w:val="TableParagraph"/>
              <w:spacing w:before="6"/>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tcBorders>
          </w:tcPr>
          <w:p w14:paraId="54078338" w14:textId="77777777" w:rsidR="009F4327" w:rsidRPr="00171BBB" w:rsidRDefault="009F4327" w:rsidP="008D1B45">
            <w:pPr>
              <w:pStyle w:val="TableParagraph"/>
              <w:spacing w:before="6"/>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.903722</w:t>
            </w:r>
          </w:p>
        </w:tc>
        <w:tc>
          <w:tcPr>
            <w:tcW w:w="1024" w:type="dxa"/>
            <w:tcBorders>
              <w:top w:val="nil"/>
            </w:tcBorders>
          </w:tcPr>
          <w:p w14:paraId="3F41EB70" w14:textId="77777777" w:rsidR="009F4327" w:rsidRPr="00171BBB" w:rsidRDefault="009F4327" w:rsidP="008D1B45">
            <w:pPr>
              <w:pStyle w:val="TableParagraph"/>
              <w:spacing w:before="6"/>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.4686788</w:t>
            </w:r>
          </w:p>
        </w:tc>
        <w:tc>
          <w:tcPr>
            <w:tcW w:w="1104" w:type="dxa"/>
            <w:tcBorders>
              <w:top w:val="nil"/>
            </w:tcBorders>
          </w:tcPr>
          <w:p w14:paraId="5EF20E56" w14:textId="77777777" w:rsidR="009F4327" w:rsidRPr="00171BBB" w:rsidRDefault="009F4327" w:rsidP="008D1B45">
            <w:pPr>
              <w:pStyle w:val="TableParagraph"/>
              <w:spacing w:before="6"/>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 xml:space="preserve">  .1347892</w:t>
            </w:r>
          </w:p>
        </w:tc>
        <w:tc>
          <w:tcPr>
            <w:tcW w:w="1053" w:type="dxa"/>
            <w:tcBorders>
              <w:top w:val="nil"/>
              <w:right w:val="nil"/>
            </w:tcBorders>
          </w:tcPr>
          <w:p w14:paraId="071CF39B" w14:textId="77777777" w:rsidR="009F4327" w:rsidRPr="00171BBB" w:rsidRDefault="009F4327" w:rsidP="008D1B45">
            <w:pPr>
              <w:pStyle w:val="TableParagraph"/>
              <w:spacing w:before="6"/>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1.973822</w:t>
            </w:r>
          </w:p>
        </w:tc>
      </w:tr>
      <w:tr w:rsidR="009F4327" w:rsidRPr="00171BBB" w14:paraId="3C7613CC" w14:textId="77777777" w:rsidTr="008D1B45">
        <w:trPr>
          <w:trHeight w:hRule="exact" w:val="282"/>
        </w:trPr>
        <w:tc>
          <w:tcPr>
            <w:tcW w:w="1490" w:type="dxa"/>
            <w:tcBorders>
              <w:left w:val="nil"/>
              <w:bottom w:val="nil"/>
            </w:tcBorders>
          </w:tcPr>
          <w:p w14:paraId="0C574DEA" w14:textId="77777777" w:rsidR="009F4327" w:rsidRPr="00171BBB" w:rsidRDefault="009F4327" w:rsidP="008D1B45">
            <w:pPr>
              <w:pStyle w:val="TableParagraph"/>
              <w:spacing w:before="97"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EPS</w:t>
            </w:r>
          </w:p>
        </w:tc>
        <w:tc>
          <w:tcPr>
            <w:tcW w:w="1487" w:type="dxa"/>
            <w:tcBorders>
              <w:bottom w:val="nil"/>
              <w:right w:val="nil"/>
            </w:tcBorders>
          </w:tcPr>
          <w:p w14:paraId="0C54BB17" w14:textId="77777777" w:rsidR="009F4327" w:rsidRPr="00171BBB" w:rsidRDefault="009F4327" w:rsidP="008D1B45">
            <w:pPr>
              <w:pStyle w:val="TableParagraph"/>
              <w:spacing w:before="94"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left w:val="nil"/>
              <w:bottom w:val="nil"/>
              <w:right w:val="nil"/>
            </w:tcBorders>
          </w:tcPr>
          <w:p w14:paraId="299A13DC" w14:textId="77777777" w:rsidR="009F4327" w:rsidRPr="00171BBB" w:rsidRDefault="009F4327" w:rsidP="008D1B45">
            <w:pPr>
              <w:pStyle w:val="TableParagraph"/>
              <w:spacing w:before="94"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3.003179</w:t>
            </w:r>
          </w:p>
        </w:tc>
        <w:tc>
          <w:tcPr>
            <w:tcW w:w="1024" w:type="dxa"/>
            <w:tcBorders>
              <w:left w:val="nil"/>
              <w:bottom w:val="nil"/>
              <w:right w:val="nil"/>
            </w:tcBorders>
          </w:tcPr>
          <w:p w14:paraId="16F8A2BC" w14:textId="77777777" w:rsidR="009F4327" w:rsidRPr="00171BBB" w:rsidRDefault="009F4327" w:rsidP="008D1B45">
            <w:pPr>
              <w:pStyle w:val="TableParagraph"/>
              <w:spacing w:before="94"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11.84249</w:t>
            </w:r>
          </w:p>
        </w:tc>
        <w:tc>
          <w:tcPr>
            <w:tcW w:w="1104" w:type="dxa"/>
            <w:tcBorders>
              <w:left w:val="nil"/>
              <w:bottom w:val="nil"/>
              <w:right w:val="nil"/>
            </w:tcBorders>
          </w:tcPr>
          <w:p w14:paraId="5B87C888" w14:textId="77777777" w:rsidR="009F4327" w:rsidRPr="00171BBB" w:rsidRDefault="009F4327" w:rsidP="008D1B45">
            <w:pPr>
              <w:pStyle w:val="TableParagraph"/>
              <w:spacing w:before="94" w:line="188" w:lineRule="exact"/>
              <w:ind w:left="58"/>
              <w:rPr>
                <w:rFonts w:ascii="Times New Roman" w:eastAsia="Courier New" w:hAnsi="Times New Roman" w:cs="Times New Roman"/>
                <w:sz w:val="18"/>
                <w:szCs w:val="24"/>
              </w:rPr>
            </w:pPr>
            <w:r w:rsidRPr="00171BBB">
              <w:rPr>
                <w:rFonts w:ascii="Times New Roman" w:hAnsi="Times New Roman" w:cs="Times New Roman"/>
                <w:spacing w:val="6"/>
                <w:sz w:val="18"/>
                <w:szCs w:val="24"/>
              </w:rPr>
              <w:t xml:space="preserve">  -100.2626</w:t>
            </w:r>
          </w:p>
        </w:tc>
        <w:tc>
          <w:tcPr>
            <w:tcW w:w="1053" w:type="dxa"/>
            <w:tcBorders>
              <w:left w:val="nil"/>
              <w:bottom w:val="nil"/>
              <w:right w:val="nil"/>
            </w:tcBorders>
          </w:tcPr>
          <w:p w14:paraId="0324F921" w14:textId="77777777" w:rsidR="009F4327" w:rsidRPr="00171BBB" w:rsidRDefault="009F4327" w:rsidP="008D1B45">
            <w:pPr>
              <w:pStyle w:val="TableParagraph"/>
              <w:spacing w:before="94" w:line="188" w:lineRule="exact"/>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61.77394</w:t>
            </w:r>
          </w:p>
        </w:tc>
      </w:tr>
      <w:tr w:rsidR="009F4327" w:rsidRPr="00171BBB" w14:paraId="467A304A" w14:textId="77777777" w:rsidTr="008D1B45">
        <w:trPr>
          <w:trHeight w:hRule="exact" w:val="194"/>
        </w:trPr>
        <w:tc>
          <w:tcPr>
            <w:tcW w:w="1490" w:type="dxa"/>
            <w:tcBorders>
              <w:top w:val="nil"/>
              <w:left w:val="nil"/>
              <w:bottom w:val="nil"/>
            </w:tcBorders>
          </w:tcPr>
          <w:p w14:paraId="18E2446B" w14:textId="77777777" w:rsidR="009F4327" w:rsidRPr="00171BBB" w:rsidRDefault="009F4327" w:rsidP="008D1B45">
            <w:pPr>
              <w:pStyle w:val="TableParagraph"/>
              <w:spacing w:before="9"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FSZ</w:t>
            </w:r>
          </w:p>
        </w:tc>
        <w:tc>
          <w:tcPr>
            <w:tcW w:w="1487" w:type="dxa"/>
            <w:tcBorders>
              <w:top w:val="nil"/>
              <w:bottom w:val="nil"/>
              <w:right w:val="nil"/>
            </w:tcBorders>
          </w:tcPr>
          <w:p w14:paraId="3B67760B" w14:textId="77777777" w:rsidR="009F4327" w:rsidRPr="00171BBB" w:rsidRDefault="009F4327" w:rsidP="008D1B45">
            <w:pPr>
              <w:pStyle w:val="TableParagraph"/>
              <w:spacing w:before="6"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left w:val="nil"/>
              <w:bottom w:val="nil"/>
              <w:right w:val="nil"/>
            </w:tcBorders>
          </w:tcPr>
          <w:p w14:paraId="0B284E2E" w14:textId="77777777" w:rsidR="009F4327" w:rsidRPr="00171BBB" w:rsidRDefault="009F4327" w:rsidP="008D1B45">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17.36831</w:t>
            </w:r>
          </w:p>
        </w:tc>
        <w:tc>
          <w:tcPr>
            <w:tcW w:w="1024" w:type="dxa"/>
            <w:tcBorders>
              <w:top w:val="nil"/>
              <w:left w:val="nil"/>
              <w:bottom w:val="nil"/>
              <w:right w:val="nil"/>
            </w:tcBorders>
          </w:tcPr>
          <w:p w14:paraId="244BE772" w14:textId="77777777" w:rsidR="009F4327" w:rsidRPr="00171BBB" w:rsidRDefault="009F4327" w:rsidP="008D1B45">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1.807143</w:t>
            </w:r>
          </w:p>
        </w:tc>
        <w:tc>
          <w:tcPr>
            <w:tcW w:w="1104" w:type="dxa"/>
            <w:tcBorders>
              <w:top w:val="nil"/>
              <w:left w:val="nil"/>
              <w:bottom w:val="nil"/>
              <w:right w:val="nil"/>
            </w:tcBorders>
          </w:tcPr>
          <w:p w14:paraId="0EFAC4C1" w14:textId="77777777" w:rsidR="009F4327" w:rsidRPr="00171BBB" w:rsidRDefault="009F4327" w:rsidP="008D1B45">
            <w:pPr>
              <w:pStyle w:val="TableParagraph"/>
              <w:spacing w:before="6" w:line="188" w:lineRule="exact"/>
              <w:ind w:left="279"/>
              <w:rPr>
                <w:rFonts w:ascii="Times New Roman" w:eastAsia="Courier New" w:hAnsi="Times New Roman" w:cs="Times New Roman"/>
                <w:sz w:val="18"/>
                <w:szCs w:val="24"/>
              </w:rPr>
            </w:pPr>
            <w:r w:rsidRPr="00171BBB">
              <w:rPr>
                <w:rFonts w:ascii="Times New Roman" w:hAnsi="Times New Roman" w:cs="Times New Roman"/>
                <w:spacing w:val="7"/>
                <w:sz w:val="18"/>
                <w:szCs w:val="24"/>
              </w:rPr>
              <w:t>12.478</w:t>
            </w:r>
            <w:r w:rsidRPr="00171BBB">
              <w:rPr>
                <w:rFonts w:ascii="Times New Roman" w:hAnsi="Times New Roman" w:cs="Times New Roman"/>
                <w:sz w:val="18"/>
                <w:szCs w:val="24"/>
              </w:rPr>
              <w:t>9</w:t>
            </w:r>
          </w:p>
        </w:tc>
        <w:tc>
          <w:tcPr>
            <w:tcW w:w="1053" w:type="dxa"/>
            <w:tcBorders>
              <w:top w:val="nil"/>
              <w:left w:val="nil"/>
              <w:bottom w:val="nil"/>
              <w:right w:val="nil"/>
            </w:tcBorders>
          </w:tcPr>
          <w:p w14:paraId="455AC667" w14:textId="77777777" w:rsidR="009F4327" w:rsidRPr="00171BBB" w:rsidRDefault="009F4327" w:rsidP="008D1B45">
            <w:pPr>
              <w:pStyle w:val="TableParagraph"/>
              <w:spacing w:before="6" w:line="188" w:lineRule="exact"/>
              <w:ind w:left="169"/>
              <w:rPr>
                <w:rFonts w:ascii="Times New Roman" w:eastAsia="Courier New" w:hAnsi="Times New Roman" w:cs="Times New Roman"/>
                <w:sz w:val="18"/>
                <w:szCs w:val="24"/>
              </w:rPr>
            </w:pPr>
            <w:r w:rsidRPr="00171BBB">
              <w:rPr>
                <w:rFonts w:ascii="Times New Roman" w:hAnsi="Times New Roman" w:cs="Times New Roman"/>
                <w:spacing w:val="6"/>
                <w:sz w:val="18"/>
                <w:szCs w:val="24"/>
              </w:rPr>
              <w:t>20.81621</w:t>
            </w:r>
          </w:p>
        </w:tc>
      </w:tr>
      <w:tr w:rsidR="009F4327" w:rsidRPr="00171BBB" w14:paraId="475241F9" w14:textId="77777777" w:rsidTr="008D1B45">
        <w:trPr>
          <w:trHeight w:hRule="exact" w:val="194"/>
        </w:trPr>
        <w:tc>
          <w:tcPr>
            <w:tcW w:w="1490" w:type="dxa"/>
            <w:tcBorders>
              <w:top w:val="nil"/>
              <w:left w:val="nil"/>
              <w:bottom w:val="nil"/>
            </w:tcBorders>
          </w:tcPr>
          <w:p w14:paraId="589B5CAD" w14:textId="77777777" w:rsidR="009F4327" w:rsidRPr="00171BBB" w:rsidRDefault="009F4327" w:rsidP="008D1B45">
            <w:pPr>
              <w:pStyle w:val="TableParagraph"/>
              <w:spacing w:before="9"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INF</w:t>
            </w:r>
          </w:p>
        </w:tc>
        <w:tc>
          <w:tcPr>
            <w:tcW w:w="1487" w:type="dxa"/>
            <w:tcBorders>
              <w:top w:val="nil"/>
              <w:bottom w:val="nil"/>
              <w:right w:val="nil"/>
            </w:tcBorders>
          </w:tcPr>
          <w:p w14:paraId="5B3F31DC" w14:textId="77777777" w:rsidR="009F4327" w:rsidRPr="00171BBB" w:rsidRDefault="009F4327" w:rsidP="008D1B45">
            <w:pPr>
              <w:pStyle w:val="TableParagraph"/>
              <w:spacing w:before="6"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left w:val="nil"/>
              <w:bottom w:val="nil"/>
              <w:right w:val="nil"/>
            </w:tcBorders>
          </w:tcPr>
          <w:p w14:paraId="2268BD09" w14:textId="77777777" w:rsidR="009F4327" w:rsidRPr="00171BBB" w:rsidRDefault="009F4327" w:rsidP="008D1B45">
            <w:pPr>
              <w:pStyle w:val="TableParagraph"/>
              <w:spacing w:before="6" w:line="188" w:lineRule="exact"/>
              <w:ind w:left="445"/>
              <w:rPr>
                <w:rFonts w:ascii="Times New Roman" w:eastAsia="Courier New" w:hAnsi="Times New Roman" w:cs="Times New Roman"/>
                <w:sz w:val="18"/>
                <w:szCs w:val="24"/>
              </w:rPr>
            </w:pPr>
            <w:r w:rsidRPr="00171BBB">
              <w:rPr>
                <w:rFonts w:ascii="Times New Roman" w:hAnsi="Times New Roman" w:cs="Times New Roman"/>
                <w:spacing w:val="5"/>
                <w:sz w:val="18"/>
                <w:szCs w:val="24"/>
              </w:rPr>
              <w:t>14.715</w:t>
            </w:r>
          </w:p>
        </w:tc>
        <w:tc>
          <w:tcPr>
            <w:tcW w:w="1024" w:type="dxa"/>
            <w:tcBorders>
              <w:top w:val="nil"/>
              <w:left w:val="nil"/>
              <w:bottom w:val="nil"/>
              <w:right w:val="nil"/>
            </w:tcBorders>
          </w:tcPr>
          <w:p w14:paraId="2728BC44" w14:textId="77777777" w:rsidR="009F4327" w:rsidRPr="00171BBB" w:rsidRDefault="009F4327" w:rsidP="008D1B45">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5.819029</w:t>
            </w:r>
          </w:p>
        </w:tc>
        <w:tc>
          <w:tcPr>
            <w:tcW w:w="1104" w:type="dxa"/>
            <w:tcBorders>
              <w:top w:val="nil"/>
              <w:left w:val="nil"/>
              <w:bottom w:val="nil"/>
              <w:right w:val="nil"/>
            </w:tcBorders>
          </w:tcPr>
          <w:p w14:paraId="60CB46CE" w14:textId="77777777" w:rsidR="009F4327" w:rsidRPr="00171BBB" w:rsidRDefault="009F4327" w:rsidP="008D1B45">
            <w:pPr>
              <w:pStyle w:val="TableParagraph"/>
              <w:spacing w:before="6" w:line="188" w:lineRule="exact"/>
              <w:ind w:right="167"/>
              <w:jc w:val="center"/>
              <w:rPr>
                <w:rFonts w:ascii="Times New Roman" w:eastAsia="Courier New" w:hAnsi="Times New Roman" w:cs="Times New Roman"/>
                <w:sz w:val="18"/>
                <w:szCs w:val="24"/>
              </w:rPr>
            </w:pPr>
            <w:r w:rsidRPr="00171BBB">
              <w:rPr>
                <w:rFonts w:ascii="Times New Roman" w:hAnsi="Times New Roman" w:cs="Times New Roman"/>
                <w:sz w:val="18"/>
                <w:szCs w:val="24"/>
              </w:rPr>
              <w:t xml:space="preserve">                8</w:t>
            </w:r>
          </w:p>
        </w:tc>
        <w:tc>
          <w:tcPr>
            <w:tcW w:w="1053" w:type="dxa"/>
            <w:tcBorders>
              <w:top w:val="nil"/>
              <w:left w:val="nil"/>
              <w:bottom w:val="nil"/>
              <w:right w:val="nil"/>
            </w:tcBorders>
          </w:tcPr>
          <w:p w14:paraId="71683F53" w14:textId="77777777" w:rsidR="009F4327" w:rsidRPr="00171BBB" w:rsidRDefault="009F4327" w:rsidP="008D1B45">
            <w:pPr>
              <w:pStyle w:val="TableParagraph"/>
              <w:spacing w:before="6" w:line="188" w:lineRule="exact"/>
              <w:rPr>
                <w:rFonts w:ascii="Times New Roman" w:eastAsia="Courier New" w:hAnsi="Times New Roman" w:cs="Times New Roman"/>
                <w:sz w:val="18"/>
                <w:szCs w:val="24"/>
              </w:rPr>
            </w:pPr>
            <w:r w:rsidRPr="00171BBB">
              <w:rPr>
                <w:rFonts w:ascii="Times New Roman" w:hAnsi="Times New Roman" w:cs="Times New Roman"/>
                <w:spacing w:val="5"/>
                <w:sz w:val="18"/>
                <w:szCs w:val="24"/>
              </w:rPr>
              <w:t xml:space="preserve">         28.92</w:t>
            </w:r>
          </w:p>
        </w:tc>
      </w:tr>
      <w:tr w:rsidR="009F4327" w:rsidRPr="00171BBB" w14:paraId="50CA22DD" w14:textId="77777777" w:rsidTr="008D1B45">
        <w:trPr>
          <w:trHeight w:hRule="exact" w:val="194"/>
        </w:trPr>
        <w:tc>
          <w:tcPr>
            <w:tcW w:w="1490" w:type="dxa"/>
            <w:tcBorders>
              <w:top w:val="nil"/>
              <w:left w:val="nil"/>
            </w:tcBorders>
          </w:tcPr>
          <w:p w14:paraId="39B9B9CF" w14:textId="77777777" w:rsidR="009F4327" w:rsidRPr="00171BBB" w:rsidRDefault="009F4327" w:rsidP="008D1B45">
            <w:pPr>
              <w:pStyle w:val="TableParagraph"/>
              <w:spacing w:before="9" w:line="185"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INR</w:t>
            </w:r>
          </w:p>
        </w:tc>
        <w:tc>
          <w:tcPr>
            <w:tcW w:w="1487" w:type="dxa"/>
            <w:tcBorders>
              <w:top w:val="nil"/>
              <w:right w:val="nil"/>
            </w:tcBorders>
          </w:tcPr>
          <w:p w14:paraId="251A1790" w14:textId="77777777" w:rsidR="009F4327" w:rsidRPr="00171BBB" w:rsidRDefault="009F4327" w:rsidP="008D1B45">
            <w:pPr>
              <w:pStyle w:val="TableParagraph"/>
              <w:spacing w:before="6" w:line="188" w:lineRule="exact"/>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left w:val="nil"/>
              <w:right w:val="nil"/>
            </w:tcBorders>
          </w:tcPr>
          <w:p w14:paraId="7506AF39" w14:textId="77777777" w:rsidR="009F4327" w:rsidRPr="00171BBB" w:rsidRDefault="009F4327" w:rsidP="008D1B45">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13.47917</w:t>
            </w:r>
          </w:p>
        </w:tc>
        <w:tc>
          <w:tcPr>
            <w:tcW w:w="1024" w:type="dxa"/>
            <w:tcBorders>
              <w:top w:val="nil"/>
              <w:left w:val="nil"/>
              <w:right w:val="nil"/>
            </w:tcBorders>
          </w:tcPr>
          <w:p w14:paraId="1C7D1B97" w14:textId="77777777" w:rsidR="009F4327" w:rsidRPr="00171BBB" w:rsidRDefault="009F4327" w:rsidP="008D1B45">
            <w:pPr>
              <w:pStyle w:val="TableParagraph"/>
              <w:spacing w:before="6" w:line="188" w:lineRule="exact"/>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2.170693</w:t>
            </w:r>
          </w:p>
        </w:tc>
        <w:tc>
          <w:tcPr>
            <w:tcW w:w="1104" w:type="dxa"/>
            <w:tcBorders>
              <w:top w:val="nil"/>
              <w:left w:val="nil"/>
              <w:right w:val="nil"/>
            </w:tcBorders>
          </w:tcPr>
          <w:p w14:paraId="06982954" w14:textId="77777777" w:rsidR="009F4327" w:rsidRPr="00171BBB" w:rsidRDefault="009F4327" w:rsidP="008D1B45">
            <w:pPr>
              <w:pStyle w:val="TableParagraph"/>
              <w:spacing w:before="6" w:line="188" w:lineRule="exact"/>
              <w:ind w:right="167"/>
              <w:jc w:val="center"/>
              <w:rPr>
                <w:rFonts w:ascii="Times New Roman" w:eastAsia="Courier New" w:hAnsi="Times New Roman" w:cs="Times New Roman"/>
                <w:sz w:val="18"/>
                <w:szCs w:val="24"/>
              </w:rPr>
            </w:pPr>
            <w:r w:rsidRPr="00171BBB">
              <w:rPr>
                <w:rFonts w:ascii="Times New Roman" w:hAnsi="Times New Roman" w:cs="Times New Roman"/>
                <w:spacing w:val="3"/>
                <w:sz w:val="18"/>
                <w:szCs w:val="24"/>
              </w:rPr>
              <w:t xml:space="preserve">              11</w:t>
            </w:r>
          </w:p>
        </w:tc>
        <w:tc>
          <w:tcPr>
            <w:tcW w:w="1053" w:type="dxa"/>
            <w:tcBorders>
              <w:top w:val="nil"/>
              <w:left w:val="nil"/>
              <w:right w:val="nil"/>
            </w:tcBorders>
          </w:tcPr>
          <w:p w14:paraId="16763B35" w14:textId="77777777" w:rsidR="009F4327" w:rsidRPr="00171BBB" w:rsidRDefault="009F4327" w:rsidP="008D1B45">
            <w:pPr>
              <w:pStyle w:val="TableParagraph"/>
              <w:spacing w:before="6" w:line="188" w:lineRule="exact"/>
              <w:rPr>
                <w:rFonts w:ascii="Times New Roman" w:eastAsia="Courier New" w:hAnsi="Times New Roman" w:cs="Times New Roman"/>
                <w:sz w:val="18"/>
                <w:szCs w:val="24"/>
              </w:rPr>
            </w:pPr>
            <w:r w:rsidRPr="00171BBB">
              <w:rPr>
                <w:rFonts w:ascii="Times New Roman" w:hAnsi="Times New Roman" w:cs="Times New Roman"/>
                <w:spacing w:val="5"/>
                <w:sz w:val="18"/>
                <w:szCs w:val="24"/>
              </w:rPr>
              <w:t xml:space="preserve">         18.75</w:t>
            </w:r>
          </w:p>
        </w:tc>
      </w:tr>
      <w:tr w:rsidR="009F4327" w:rsidRPr="00171BBB" w14:paraId="44A97E3C" w14:textId="77777777" w:rsidTr="008D1B45">
        <w:trPr>
          <w:trHeight w:hRule="exact" w:val="201"/>
        </w:trPr>
        <w:tc>
          <w:tcPr>
            <w:tcW w:w="1490" w:type="dxa"/>
            <w:tcBorders>
              <w:top w:val="nil"/>
              <w:left w:val="nil"/>
              <w:bottom w:val="single" w:sz="4" w:space="0" w:color="auto"/>
            </w:tcBorders>
          </w:tcPr>
          <w:p w14:paraId="75A8647B" w14:textId="77777777" w:rsidR="009F4327" w:rsidRPr="00171BBB" w:rsidRDefault="009F4327" w:rsidP="008D1B45">
            <w:pPr>
              <w:pStyle w:val="TableParagraph"/>
              <w:spacing w:before="9" w:line="192" w:lineRule="exact"/>
              <w:ind w:right="167"/>
              <w:jc w:val="right"/>
              <w:rPr>
                <w:rFonts w:ascii="Times New Roman" w:eastAsia="Courier New" w:hAnsi="Times New Roman" w:cs="Times New Roman"/>
                <w:sz w:val="18"/>
                <w:szCs w:val="24"/>
              </w:rPr>
            </w:pPr>
            <w:r w:rsidRPr="00171BBB">
              <w:rPr>
                <w:rFonts w:ascii="Times New Roman" w:hAnsi="Times New Roman" w:cs="Times New Roman"/>
                <w:spacing w:val="4"/>
                <w:sz w:val="18"/>
                <w:szCs w:val="24"/>
              </w:rPr>
              <w:t>EXR</w:t>
            </w:r>
          </w:p>
        </w:tc>
        <w:tc>
          <w:tcPr>
            <w:tcW w:w="1487" w:type="dxa"/>
            <w:tcBorders>
              <w:top w:val="nil"/>
              <w:bottom w:val="single" w:sz="4" w:space="0" w:color="auto"/>
              <w:right w:val="nil"/>
            </w:tcBorders>
          </w:tcPr>
          <w:p w14:paraId="5823A79C" w14:textId="77777777" w:rsidR="009F4327" w:rsidRPr="00171BBB" w:rsidRDefault="009F4327" w:rsidP="008D1B45">
            <w:pPr>
              <w:pStyle w:val="TableParagraph"/>
              <w:spacing w:before="6"/>
              <w:ind w:left="934"/>
              <w:rPr>
                <w:rFonts w:ascii="Times New Roman" w:eastAsia="Courier New" w:hAnsi="Times New Roman" w:cs="Times New Roman"/>
                <w:sz w:val="18"/>
                <w:szCs w:val="24"/>
              </w:rPr>
            </w:pPr>
            <w:r w:rsidRPr="00171BBB">
              <w:rPr>
                <w:rFonts w:ascii="Times New Roman" w:hAnsi="Times New Roman" w:cs="Times New Roman"/>
                <w:spacing w:val="4"/>
                <w:sz w:val="18"/>
                <w:szCs w:val="24"/>
              </w:rPr>
              <w:t>240</w:t>
            </w:r>
          </w:p>
        </w:tc>
        <w:tc>
          <w:tcPr>
            <w:tcW w:w="1324" w:type="dxa"/>
            <w:tcBorders>
              <w:top w:val="nil"/>
              <w:left w:val="nil"/>
              <w:bottom w:val="single" w:sz="4" w:space="0" w:color="auto"/>
              <w:right w:val="nil"/>
            </w:tcBorders>
          </w:tcPr>
          <w:p w14:paraId="6AE1FF49" w14:textId="77777777" w:rsidR="009F4327" w:rsidRPr="00171BBB" w:rsidRDefault="009F4327" w:rsidP="008D1B45">
            <w:pPr>
              <w:pStyle w:val="TableParagraph"/>
              <w:spacing w:before="6"/>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336.9758</w:t>
            </w:r>
          </w:p>
        </w:tc>
        <w:tc>
          <w:tcPr>
            <w:tcW w:w="1024" w:type="dxa"/>
            <w:tcBorders>
              <w:top w:val="nil"/>
              <w:left w:val="nil"/>
              <w:bottom w:val="single" w:sz="4" w:space="0" w:color="auto"/>
              <w:right w:val="nil"/>
            </w:tcBorders>
          </w:tcPr>
          <w:p w14:paraId="7B0B77C5" w14:textId="77777777" w:rsidR="009F4327" w:rsidRPr="00171BBB" w:rsidRDefault="009F4327" w:rsidP="008D1B45">
            <w:pPr>
              <w:pStyle w:val="TableParagraph"/>
              <w:spacing w:before="6"/>
              <w:ind w:left="224"/>
              <w:rPr>
                <w:rFonts w:ascii="Times New Roman" w:eastAsia="Courier New" w:hAnsi="Times New Roman" w:cs="Times New Roman"/>
                <w:sz w:val="18"/>
                <w:szCs w:val="24"/>
              </w:rPr>
            </w:pPr>
            <w:r w:rsidRPr="00171BBB">
              <w:rPr>
                <w:rFonts w:ascii="Times New Roman" w:hAnsi="Times New Roman" w:cs="Times New Roman"/>
                <w:spacing w:val="6"/>
                <w:sz w:val="18"/>
                <w:szCs w:val="24"/>
              </w:rPr>
              <w:t>197.5421</w:t>
            </w:r>
          </w:p>
        </w:tc>
        <w:tc>
          <w:tcPr>
            <w:tcW w:w="1104" w:type="dxa"/>
            <w:tcBorders>
              <w:top w:val="nil"/>
              <w:left w:val="nil"/>
              <w:bottom w:val="single" w:sz="4" w:space="0" w:color="auto"/>
              <w:right w:val="nil"/>
            </w:tcBorders>
          </w:tcPr>
          <w:p w14:paraId="01FEC245" w14:textId="77777777" w:rsidR="009F4327" w:rsidRPr="00171BBB" w:rsidRDefault="009F4327" w:rsidP="008D1B45">
            <w:pPr>
              <w:pStyle w:val="TableParagraph"/>
              <w:spacing w:before="6"/>
              <w:ind w:left="500"/>
              <w:rPr>
                <w:rFonts w:ascii="Times New Roman" w:eastAsia="Courier New" w:hAnsi="Times New Roman" w:cs="Times New Roman"/>
                <w:sz w:val="18"/>
                <w:szCs w:val="24"/>
              </w:rPr>
            </w:pPr>
            <w:r w:rsidRPr="00171BBB">
              <w:rPr>
                <w:rFonts w:ascii="Times New Roman" w:hAnsi="Times New Roman" w:cs="Times New Roman"/>
                <w:spacing w:val="5"/>
                <w:sz w:val="18"/>
                <w:szCs w:val="24"/>
              </w:rPr>
              <w:t>157.3</w:t>
            </w:r>
          </w:p>
        </w:tc>
        <w:tc>
          <w:tcPr>
            <w:tcW w:w="1053" w:type="dxa"/>
            <w:tcBorders>
              <w:top w:val="nil"/>
              <w:left w:val="nil"/>
              <w:bottom w:val="single" w:sz="4" w:space="0" w:color="auto"/>
              <w:right w:val="nil"/>
            </w:tcBorders>
          </w:tcPr>
          <w:p w14:paraId="256F94BB" w14:textId="77777777" w:rsidR="009F4327" w:rsidRPr="00171BBB" w:rsidRDefault="009F4327" w:rsidP="008D1B45">
            <w:pPr>
              <w:pStyle w:val="TableParagraph"/>
              <w:spacing w:before="6"/>
              <w:rPr>
                <w:rFonts w:ascii="Times New Roman" w:eastAsia="Courier New" w:hAnsi="Times New Roman" w:cs="Times New Roman"/>
                <w:sz w:val="18"/>
                <w:szCs w:val="24"/>
              </w:rPr>
            </w:pPr>
            <w:r w:rsidRPr="00171BBB">
              <w:rPr>
                <w:rFonts w:ascii="Times New Roman" w:hAnsi="Times New Roman" w:cs="Times New Roman"/>
                <w:spacing w:val="5"/>
                <w:sz w:val="18"/>
                <w:szCs w:val="24"/>
              </w:rPr>
              <w:t xml:space="preserve">        897.61</w:t>
            </w:r>
          </w:p>
        </w:tc>
      </w:tr>
    </w:tbl>
    <w:p w14:paraId="7FC2DE59" w14:textId="1C7E44DF" w:rsidR="009F4327" w:rsidRPr="00C57653" w:rsidRDefault="009F4327" w:rsidP="009F4327">
      <w:pPr>
        <w:ind w:right="900"/>
        <w:rPr>
          <w:rFonts w:ascii="Times New Roman" w:hAnsi="Times New Roman" w:cs="Times New Roman"/>
          <w:sz w:val="20"/>
          <w:szCs w:val="20"/>
        </w:rPr>
      </w:pPr>
      <w:r w:rsidRPr="004939F9">
        <w:rPr>
          <w:rFonts w:ascii="Times New Roman" w:hAnsi="Times New Roman" w:cs="Times New Roman"/>
          <w:sz w:val="24"/>
          <w:szCs w:val="24"/>
        </w:rPr>
        <w:tab/>
      </w:r>
      <w:r w:rsidRPr="004939F9">
        <w:rPr>
          <w:rFonts w:ascii="Times New Roman" w:hAnsi="Times New Roman" w:cs="Times New Roman"/>
          <w:sz w:val="20"/>
          <w:szCs w:val="20"/>
        </w:rPr>
        <w:t>Source: Output of STATA 17</w:t>
      </w:r>
    </w:p>
    <w:p w14:paraId="72ABE738" w14:textId="77777777" w:rsidR="00C57653" w:rsidRPr="00C57653" w:rsidRDefault="00C57653" w:rsidP="00C57653">
      <w:pPr>
        <w:spacing w:line="360" w:lineRule="auto"/>
        <w:jc w:val="both"/>
        <w:rPr>
          <w:rFonts w:ascii="Times New Roman" w:hAnsi="Times New Roman" w:cs="Times New Roman"/>
          <w:sz w:val="24"/>
          <w:szCs w:val="24"/>
        </w:rPr>
      </w:pPr>
      <w:r w:rsidRPr="00C57653">
        <w:rPr>
          <w:rFonts w:ascii="Times New Roman" w:hAnsi="Times New Roman" w:cs="Times New Roman"/>
          <w:sz w:val="24"/>
          <w:szCs w:val="24"/>
        </w:rPr>
        <w:t>Return on equity (ROE) displays a mean of 0.13 but includes negative values, indicating periods of losses for some firms, particularly FTN Cocoa Processors Plc. Similarly, earnings per share (EPS) records a wide dispersion, ranging from –100.26 to 61.77, reflecting significant earnings volatility across firms and years. The debt–equity ratio (DER) also shows notable variation, with a maximum of 8.02, signalling episodes of high leverage among certain firms, notably Cadbury Nigeria Plc.</w:t>
      </w:r>
    </w:p>
    <w:p w14:paraId="24EC5A53" w14:textId="4BDDDA97" w:rsidR="009F4327" w:rsidRPr="00C37D21" w:rsidRDefault="00C57653" w:rsidP="00C37D21">
      <w:pPr>
        <w:spacing w:line="360" w:lineRule="auto"/>
        <w:jc w:val="both"/>
        <w:rPr>
          <w:rFonts w:ascii="Times New Roman" w:hAnsi="Times New Roman" w:cs="Times New Roman"/>
          <w:sz w:val="24"/>
          <w:szCs w:val="24"/>
        </w:rPr>
      </w:pPr>
      <w:r w:rsidRPr="00C57653">
        <w:rPr>
          <w:rFonts w:ascii="Times New Roman" w:hAnsi="Times New Roman" w:cs="Times New Roman"/>
          <w:sz w:val="24"/>
          <w:szCs w:val="24"/>
        </w:rPr>
        <w:t xml:space="preserve">Liquidity, proxied by the current ratio (CUR), has a mean slightly above unity, suggesting that, on average, firms are able to meet short-term obligations, though the dispersion indicates heterogeneous liquidity management practices. Firm size (FSZ), measured as the natural logarithm of total assets, shows moderate variability, confirming the presence of both relatively small and large firms within the sample. Macroeconomic variables, particularly exchange rate (EXR) and inflation (INF), exhibit substantial variation over the study period, reflecting Nigeria’s volatile </w:t>
      </w:r>
      <w:r w:rsidRPr="00C57653">
        <w:rPr>
          <w:rFonts w:ascii="Times New Roman" w:hAnsi="Times New Roman" w:cs="Times New Roman"/>
          <w:sz w:val="24"/>
          <w:szCs w:val="24"/>
        </w:rPr>
        <w:lastRenderedPageBreak/>
        <w:t>macroeconomic environment.</w:t>
      </w:r>
      <w:r w:rsidR="009F4327">
        <w:rPr>
          <w:rFonts w:ascii="Times New Roman" w:hAnsi="Times New Roman" w:cs="Times New Roman"/>
          <w:sz w:val="24"/>
          <w:szCs w:val="24"/>
        </w:rPr>
        <w:t xml:space="preserve"> </w:t>
      </w:r>
      <w:r w:rsidRPr="00C57653">
        <w:rPr>
          <w:rFonts w:ascii="Times New Roman" w:hAnsi="Times New Roman" w:cs="Times New Roman"/>
          <w:sz w:val="24"/>
          <w:szCs w:val="24"/>
        </w:rPr>
        <w:t>Overall, the descriptive statistics confirm the presence of sufficient cross-sectional and time-series variation required for reliable panel regression analysis.</w:t>
      </w:r>
    </w:p>
    <w:p w14:paraId="34EEA4D2" w14:textId="21E38DC5" w:rsidR="00D13DE5" w:rsidRPr="00C57653" w:rsidRDefault="00D13DE5" w:rsidP="00776FDA">
      <w:pPr>
        <w:pStyle w:val="Heading2"/>
        <w:rPr>
          <w:rFonts w:asciiTheme="majorBidi" w:hAnsiTheme="majorBidi"/>
          <w:b/>
          <w:bCs/>
          <w:color w:val="auto"/>
          <w:sz w:val="24"/>
          <w:szCs w:val="24"/>
        </w:rPr>
      </w:pPr>
      <w:r w:rsidRPr="00C57653">
        <w:rPr>
          <w:rFonts w:asciiTheme="majorBidi" w:hAnsiTheme="majorBidi"/>
          <w:b/>
          <w:bCs/>
          <w:color w:val="auto"/>
          <w:sz w:val="24"/>
          <w:szCs w:val="24"/>
        </w:rPr>
        <w:t>4.</w:t>
      </w:r>
      <w:r w:rsidR="00A52D48">
        <w:rPr>
          <w:rFonts w:asciiTheme="majorBidi" w:hAnsiTheme="majorBidi"/>
          <w:b/>
          <w:bCs/>
          <w:color w:val="auto"/>
          <w:sz w:val="24"/>
          <w:szCs w:val="24"/>
        </w:rPr>
        <w:t>2</w:t>
      </w:r>
      <w:r w:rsidRPr="00C57653">
        <w:rPr>
          <w:rFonts w:asciiTheme="majorBidi" w:hAnsiTheme="majorBidi"/>
          <w:b/>
          <w:bCs/>
          <w:color w:val="auto"/>
          <w:sz w:val="24"/>
          <w:szCs w:val="24"/>
        </w:rPr>
        <w:t xml:space="preserve"> </w:t>
      </w:r>
      <w:r w:rsidR="00776FDA" w:rsidRPr="00776FDA">
        <w:rPr>
          <w:rFonts w:asciiTheme="majorBidi" w:hAnsiTheme="majorBidi"/>
          <w:b/>
          <w:bCs/>
          <w:color w:val="auto"/>
          <w:sz w:val="24"/>
          <w:szCs w:val="24"/>
        </w:rPr>
        <w:t>Correlation Matrix and Multicollinearity Diagnostics</w:t>
      </w:r>
    </w:p>
    <w:p w14:paraId="516EC84C" w14:textId="77777777" w:rsidR="009F4327" w:rsidRDefault="009F4327" w:rsidP="005F7C46">
      <w:pPr>
        <w:jc w:val="both"/>
        <w:rPr>
          <w:rFonts w:ascii="Times New Roman" w:hAnsi="Times New Roman" w:cs="Times New Roman"/>
          <w:sz w:val="24"/>
          <w:szCs w:val="24"/>
        </w:rPr>
      </w:pPr>
    </w:p>
    <w:p w14:paraId="65E7567B" w14:textId="77777777" w:rsidR="00776FDA" w:rsidRPr="00776FDA" w:rsidRDefault="00776FDA" w:rsidP="00776FDA">
      <w:pPr>
        <w:spacing w:line="360" w:lineRule="auto"/>
        <w:jc w:val="both"/>
        <w:rPr>
          <w:rFonts w:ascii="Times New Roman" w:hAnsi="Times New Roman" w:cs="Times New Roman"/>
          <w:sz w:val="24"/>
          <w:szCs w:val="24"/>
        </w:rPr>
      </w:pPr>
      <w:r w:rsidRPr="00776FDA">
        <w:rPr>
          <w:rFonts w:ascii="Times New Roman" w:hAnsi="Times New Roman" w:cs="Times New Roman"/>
          <w:sz w:val="24"/>
          <w:szCs w:val="24"/>
        </w:rPr>
        <w:t>Table 3 presents the Pearson correlation matrix for the study variables. Share price (LSHP) is positively correlated with ROE, EPS, and firm size (FSZ), providing preliminary support for valuation theory, which predicts that profitability, earnings capacity, and scale are positively priced by the market. The correlation between LSHP and ROE (r = 0.51, p &lt; 0.01) and between LSHP and EPS (r = 0.41, p &lt; 0.01) suggests economically meaningful associations, though correlation alone does not imply causality.</w:t>
      </w:r>
    </w:p>
    <w:p w14:paraId="26FED355" w14:textId="0014AA36" w:rsidR="00175EC7" w:rsidRDefault="00175EC7" w:rsidP="00CF5C49">
      <w:pPr>
        <w:spacing w:line="360" w:lineRule="auto"/>
        <w:jc w:val="both"/>
        <w:rPr>
          <w:rFonts w:ascii="Times New Roman" w:hAnsi="Times New Roman" w:cs="Times New Roman"/>
          <w:sz w:val="24"/>
          <w:szCs w:val="24"/>
        </w:rPr>
      </w:pPr>
      <w:r w:rsidRPr="008116F3">
        <w:rPr>
          <w:rFonts w:ascii="Times New Roman" w:hAnsi="Times New Roman" w:cs="Times New Roman"/>
          <w:b/>
          <w:bCs/>
          <w:sz w:val="24"/>
          <w:szCs w:val="24"/>
        </w:rPr>
        <w:t>Table</w:t>
      </w:r>
      <w:r w:rsidR="00776FDA" w:rsidRPr="008116F3">
        <w:rPr>
          <w:rFonts w:ascii="Times New Roman" w:hAnsi="Times New Roman" w:cs="Times New Roman"/>
          <w:b/>
          <w:bCs/>
          <w:sz w:val="24"/>
          <w:szCs w:val="24"/>
        </w:rPr>
        <w:t xml:space="preserve"> </w:t>
      </w:r>
      <w:r w:rsidR="00F12264" w:rsidRPr="008116F3">
        <w:rPr>
          <w:rFonts w:ascii="Times New Roman" w:hAnsi="Times New Roman" w:cs="Times New Roman"/>
          <w:b/>
          <w:bCs/>
          <w:sz w:val="24"/>
          <w:szCs w:val="24"/>
        </w:rPr>
        <w:t>3</w:t>
      </w:r>
      <w:r w:rsidR="008116F3">
        <w:rPr>
          <w:rFonts w:ascii="Times New Roman" w:hAnsi="Times New Roman" w:cs="Times New Roman"/>
          <w:sz w:val="24"/>
          <w:szCs w:val="24"/>
        </w:rPr>
        <w:t xml:space="preserve">: </w:t>
      </w:r>
      <w:r w:rsidR="004F74CE" w:rsidRPr="004939F9">
        <w:rPr>
          <w:rFonts w:ascii="Times New Roman" w:hAnsi="Times New Roman" w:cs="Times New Roman"/>
          <w:sz w:val="24"/>
          <w:szCs w:val="24"/>
        </w:rPr>
        <w:t>Collinearity Matrix</w:t>
      </w:r>
    </w:p>
    <w:tbl>
      <w:tblPr>
        <w:tblW w:w="0" w:type="auto"/>
        <w:tblLook w:val="04A0" w:firstRow="1" w:lastRow="0" w:firstColumn="1" w:lastColumn="0" w:noHBand="0" w:noVBand="1"/>
      </w:tblPr>
      <w:tblGrid>
        <w:gridCol w:w="657"/>
        <w:gridCol w:w="801"/>
        <w:gridCol w:w="861"/>
        <w:gridCol w:w="861"/>
        <w:gridCol w:w="801"/>
        <w:gridCol w:w="861"/>
        <w:gridCol w:w="801"/>
        <w:gridCol w:w="801"/>
        <w:gridCol w:w="801"/>
        <w:gridCol w:w="801"/>
        <w:gridCol w:w="711"/>
      </w:tblGrid>
      <w:tr w:rsidR="00691375" w:rsidRPr="0091096D" w14:paraId="37469AB3" w14:textId="77777777" w:rsidTr="00724758">
        <w:trPr>
          <w:trHeight w:val="300"/>
        </w:trPr>
        <w:tc>
          <w:tcPr>
            <w:tcW w:w="0" w:type="auto"/>
            <w:tcBorders>
              <w:top w:val="single" w:sz="4" w:space="0" w:color="auto"/>
              <w:left w:val="nil"/>
              <w:bottom w:val="single" w:sz="4" w:space="0" w:color="auto"/>
              <w:right w:val="nil"/>
            </w:tcBorders>
            <w:noWrap/>
            <w:vAlign w:val="bottom"/>
            <w:hideMark/>
          </w:tcPr>
          <w:p w14:paraId="32F9982D"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 </w:t>
            </w:r>
          </w:p>
        </w:tc>
        <w:tc>
          <w:tcPr>
            <w:tcW w:w="801" w:type="dxa"/>
            <w:tcBorders>
              <w:top w:val="single" w:sz="4" w:space="0" w:color="auto"/>
              <w:left w:val="nil"/>
              <w:bottom w:val="single" w:sz="4" w:space="0" w:color="auto"/>
              <w:right w:val="nil"/>
            </w:tcBorders>
            <w:noWrap/>
            <w:vAlign w:val="bottom"/>
            <w:hideMark/>
          </w:tcPr>
          <w:p w14:paraId="2C4FB6A3"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LSHP</w:t>
            </w:r>
          </w:p>
        </w:tc>
        <w:tc>
          <w:tcPr>
            <w:tcW w:w="0" w:type="auto"/>
            <w:tcBorders>
              <w:top w:val="single" w:sz="4" w:space="0" w:color="auto"/>
              <w:left w:val="nil"/>
              <w:bottom w:val="single" w:sz="4" w:space="0" w:color="auto"/>
              <w:right w:val="nil"/>
            </w:tcBorders>
            <w:noWrap/>
            <w:vAlign w:val="bottom"/>
            <w:hideMark/>
          </w:tcPr>
          <w:p w14:paraId="091E5F37"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ROE</w:t>
            </w:r>
          </w:p>
        </w:tc>
        <w:tc>
          <w:tcPr>
            <w:tcW w:w="0" w:type="auto"/>
            <w:tcBorders>
              <w:top w:val="single" w:sz="4" w:space="0" w:color="auto"/>
              <w:left w:val="nil"/>
              <w:bottom w:val="single" w:sz="4" w:space="0" w:color="auto"/>
              <w:right w:val="nil"/>
            </w:tcBorders>
            <w:noWrap/>
            <w:vAlign w:val="bottom"/>
            <w:hideMark/>
          </w:tcPr>
          <w:p w14:paraId="6D3765D8"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CUR</w:t>
            </w:r>
          </w:p>
        </w:tc>
        <w:tc>
          <w:tcPr>
            <w:tcW w:w="0" w:type="auto"/>
            <w:tcBorders>
              <w:top w:val="single" w:sz="4" w:space="0" w:color="auto"/>
              <w:left w:val="nil"/>
              <w:bottom w:val="single" w:sz="4" w:space="0" w:color="auto"/>
              <w:right w:val="nil"/>
            </w:tcBorders>
            <w:noWrap/>
            <w:vAlign w:val="bottom"/>
            <w:hideMark/>
          </w:tcPr>
          <w:p w14:paraId="014AF766"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DER</w:t>
            </w:r>
          </w:p>
        </w:tc>
        <w:tc>
          <w:tcPr>
            <w:tcW w:w="0" w:type="auto"/>
            <w:tcBorders>
              <w:top w:val="single" w:sz="4" w:space="0" w:color="auto"/>
              <w:left w:val="nil"/>
              <w:bottom w:val="single" w:sz="4" w:space="0" w:color="auto"/>
              <w:right w:val="nil"/>
            </w:tcBorders>
            <w:noWrap/>
            <w:vAlign w:val="bottom"/>
            <w:hideMark/>
          </w:tcPr>
          <w:p w14:paraId="3401B522"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TAT</w:t>
            </w:r>
          </w:p>
        </w:tc>
        <w:tc>
          <w:tcPr>
            <w:tcW w:w="0" w:type="auto"/>
            <w:tcBorders>
              <w:top w:val="single" w:sz="4" w:space="0" w:color="auto"/>
              <w:left w:val="nil"/>
              <w:bottom w:val="single" w:sz="4" w:space="0" w:color="auto"/>
              <w:right w:val="nil"/>
            </w:tcBorders>
            <w:noWrap/>
            <w:vAlign w:val="bottom"/>
            <w:hideMark/>
          </w:tcPr>
          <w:p w14:paraId="408EB238"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EPS</w:t>
            </w:r>
          </w:p>
        </w:tc>
        <w:tc>
          <w:tcPr>
            <w:tcW w:w="0" w:type="auto"/>
            <w:tcBorders>
              <w:top w:val="single" w:sz="4" w:space="0" w:color="auto"/>
              <w:left w:val="nil"/>
              <w:bottom w:val="single" w:sz="4" w:space="0" w:color="auto"/>
              <w:right w:val="nil"/>
            </w:tcBorders>
            <w:noWrap/>
            <w:vAlign w:val="bottom"/>
            <w:hideMark/>
          </w:tcPr>
          <w:p w14:paraId="3D57DDA8"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FSZ</w:t>
            </w:r>
          </w:p>
        </w:tc>
        <w:tc>
          <w:tcPr>
            <w:tcW w:w="0" w:type="auto"/>
            <w:tcBorders>
              <w:top w:val="single" w:sz="4" w:space="0" w:color="auto"/>
              <w:left w:val="nil"/>
              <w:bottom w:val="single" w:sz="4" w:space="0" w:color="auto"/>
              <w:right w:val="nil"/>
            </w:tcBorders>
            <w:noWrap/>
            <w:vAlign w:val="bottom"/>
            <w:hideMark/>
          </w:tcPr>
          <w:p w14:paraId="6EDF46F4"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INF</w:t>
            </w:r>
          </w:p>
        </w:tc>
        <w:tc>
          <w:tcPr>
            <w:tcW w:w="0" w:type="auto"/>
            <w:tcBorders>
              <w:top w:val="single" w:sz="4" w:space="0" w:color="auto"/>
              <w:left w:val="nil"/>
              <w:bottom w:val="single" w:sz="4" w:space="0" w:color="auto"/>
              <w:right w:val="nil"/>
            </w:tcBorders>
            <w:noWrap/>
            <w:vAlign w:val="bottom"/>
            <w:hideMark/>
          </w:tcPr>
          <w:p w14:paraId="06B1DF14"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INR</w:t>
            </w:r>
          </w:p>
        </w:tc>
        <w:tc>
          <w:tcPr>
            <w:tcW w:w="0" w:type="auto"/>
            <w:tcBorders>
              <w:top w:val="single" w:sz="4" w:space="0" w:color="auto"/>
              <w:left w:val="nil"/>
              <w:bottom w:val="single" w:sz="4" w:space="0" w:color="auto"/>
              <w:right w:val="nil"/>
            </w:tcBorders>
            <w:noWrap/>
            <w:vAlign w:val="bottom"/>
            <w:hideMark/>
          </w:tcPr>
          <w:p w14:paraId="70C7AD0C"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EXR</w:t>
            </w:r>
          </w:p>
        </w:tc>
      </w:tr>
      <w:tr w:rsidR="00691375" w:rsidRPr="0091096D" w14:paraId="7D418308" w14:textId="77777777" w:rsidTr="00724758">
        <w:trPr>
          <w:trHeight w:val="300"/>
        </w:trPr>
        <w:tc>
          <w:tcPr>
            <w:tcW w:w="0" w:type="auto"/>
            <w:tcBorders>
              <w:top w:val="nil"/>
              <w:left w:val="nil"/>
              <w:bottom w:val="nil"/>
              <w:right w:val="nil"/>
            </w:tcBorders>
            <w:noWrap/>
            <w:vAlign w:val="bottom"/>
            <w:hideMark/>
          </w:tcPr>
          <w:p w14:paraId="2AA989E3"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LSHP</w:t>
            </w:r>
          </w:p>
        </w:tc>
        <w:tc>
          <w:tcPr>
            <w:tcW w:w="801" w:type="dxa"/>
            <w:tcBorders>
              <w:top w:val="nil"/>
              <w:left w:val="nil"/>
              <w:bottom w:val="nil"/>
              <w:right w:val="nil"/>
            </w:tcBorders>
            <w:noWrap/>
            <w:vAlign w:val="bottom"/>
            <w:hideMark/>
          </w:tcPr>
          <w:p w14:paraId="451BA088"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4FEA5DCB"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6D1D0D29"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E8EC4A0"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619E2CD"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A1EA08B"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401FF0B"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BA1F6ED"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6F8AC932"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3A5580F8" w14:textId="77777777" w:rsidR="00691375" w:rsidRPr="0091096D" w:rsidRDefault="00691375" w:rsidP="00F76224">
            <w:pPr>
              <w:spacing w:after="0" w:line="240" w:lineRule="auto"/>
              <w:rPr>
                <w:rFonts w:ascii="Times New Roman" w:eastAsia="Times New Roman" w:hAnsi="Times New Roman" w:cs="Times New Roman"/>
                <w:sz w:val="20"/>
                <w:szCs w:val="20"/>
              </w:rPr>
            </w:pPr>
          </w:p>
        </w:tc>
      </w:tr>
      <w:tr w:rsidR="00691375" w:rsidRPr="0091096D" w14:paraId="46FFC4F5" w14:textId="77777777" w:rsidTr="00724758">
        <w:trPr>
          <w:trHeight w:val="300"/>
        </w:trPr>
        <w:tc>
          <w:tcPr>
            <w:tcW w:w="0" w:type="auto"/>
            <w:tcBorders>
              <w:top w:val="nil"/>
              <w:left w:val="nil"/>
              <w:bottom w:val="nil"/>
              <w:right w:val="nil"/>
            </w:tcBorders>
            <w:noWrap/>
            <w:vAlign w:val="bottom"/>
            <w:hideMark/>
          </w:tcPr>
          <w:p w14:paraId="554CBB0C"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ROE</w:t>
            </w:r>
          </w:p>
        </w:tc>
        <w:tc>
          <w:tcPr>
            <w:tcW w:w="801" w:type="dxa"/>
            <w:tcBorders>
              <w:top w:val="nil"/>
              <w:left w:val="nil"/>
              <w:bottom w:val="nil"/>
              <w:right w:val="nil"/>
            </w:tcBorders>
            <w:noWrap/>
            <w:vAlign w:val="bottom"/>
            <w:hideMark/>
          </w:tcPr>
          <w:p w14:paraId="7BB09FFC"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0.5120*</w:t>
            </w:r>
          </w:p>
        </w:tc>
        <w:tc>
          <w:tcPr>
            <w:tcW w:w="0" w:type="auto"/>
            <w:tcBorders>
              <w:top w:val="nil"/>
              <w:left w:val="nil"/>
              <w:bottom w:val="nil"/>
              <w:right w:val="nil"/>
            </w:tcBorders>
            <w:noWrap/>
            <w:vAlign w:val="bottom"/>
            <w:hideMark/>
          </w:tcPr>
          <w:p w14:paraId="41F68494"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2948E953"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6D2BDA89"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466B9B40"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92FCC3B"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9BAAF14"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9DB5C37"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6F6DB4E5"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EC1AC67"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40496768" w14:textId="77777777" w:rsidTr="00724758">
        <w:trPr>
          <w:trHeight w:val="300"/>
        </w:trPr>
        <w:tc>
          <w:tcPr>
            <w:tcW w:w="0" w:type="auto"/>
            <w:tcBorders>
              <w:top w:val="nil"/>
              <w:left w:val="nil"/>
              <w:bottom w:val="nil"/>
              <w:right w:val="nil"/>
            </w:tcBorders>
            <w:noWrap/>
            <w:vAlign w:val="bottom"/>
            <w:hideMark/>
          </w:tcPr>
          <w:p w14:paraId="5D33C72A"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266C8022"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nil"/>
              <w:right w:val="nil"/>
            </w:tcBorders>
            <w:noWrap/>
            <w:vAlign w:val="bottom"/>
            <w:hideMark/>
          </w:tcPr>
          <w:p w14:paraId="2B7C6514"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5E3E8A1A"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044FF7C"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209EB14"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18C0621"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3D3EBBE"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4407A400"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42B74E1"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422FD69F"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418A55B3" w14:textId="77777777" w:rsidTr="00724758">
        <w:trPr>
          <w:trHeight w:val="300"/>
        </w:trPr>
        <w:tc>
          <w:tcPr>
            <w:tcW w:w="0" w:type="auto"/>
            <w:tcBorders>
              <w:top w:val="nil"/>
              <w:left w:val="nil"/>
              <w:bottom w:val="nil"/>
              <w:right w:val="nil"/>
            </w:tcBorders>
            <w:noWrap/>
            <w:vAlign w:val="bottom"/>
            <w:hideMark/>
          </w:tcPr>
          <w:p w14:paraId="5B10CBDC"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CUR</w:t>
            </w:r>
          </w:p>
        </w:tc>
        <w:tc>
          <w:tcPr>
            <w:tcW w:w="801" w:type="dxa"/>
            <w:tcBorders>
              <w:top w:val="nil"/>
              <w:left w:val="nil"/>
              <w:bottom w:val="nil"/>
              <w:right w:val="nil"/>
            </w:tcBorders>
            <w:noWrap/>
            <w:vAlign w:val="bottom"/>
            <w:hideMark/>
          </w:tcPr>
          <w:p w14:paraId="2E6990EA"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-0.0026</w:t>
            </w:r>
          </w:p>
        </w:tc>
        <w:tc>
          <w:tcPr>
            <w:tcW w:w="0" w:type="auto"/>
            <w:tcBorders>
              <w:top w:val="nil"/>
              <w:left w:val="nil"/>
              <w:bottom w:val="nil"/>
              <w:right w:val="nil"/>
            </w:tcBorders>
            <w:noWrap/>
            <w:vAlign w:val="bottom"/>
            <w:hideMark/>
          </w:tcPr>
          <w:p w14:paraId="22E91A41"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0.1412*</w:t>
            </w:r>
          </w:p>
        </w:tc>
        <w:tc>
          <w:tcPr>
            <w:tcW w:w="0" w:type="auto"/>
            <w:tcBorders>
              <w:top w:val="nil"/>
              <w:left w:val="nil"/>
              <w:bottom w:val="nil"/>
              <w:right w:val="nil"/>
            </w:tcBorders>
            <w:noWrap/>
            <w:vAlign w:val="bottom"/>
            <w:hideMark/>
          </w:tcPr>
          <w:p w14:paraId="63A100C2"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32A707D1"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4CE3A1A2"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3BCB358"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9391B9A"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6EE4943F"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21822A8"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2F664EC"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44F8F641" w14:textId="77777777" w:rsidTr="00724758">
        <w:trPr>
          <w:trHeight w:val="300"/>
        </w:trPr>
        <w:tc>
          <w:tcPr>
            <w:tcW w:w="0" w:type="auto"/>
            <w:tcBorders>
              <w:top w:val="nil"/>
              <w:left w:val="nil"/>
              <w:bottom w:val="nil"/>
              <w:right w:val="nil"/>
            </w:tcBorders>
            <w:noWrap/>
            <w:vAlign w:val="bottom"/>
            <w:hideMark/>
          </w:tcPr>
          <w:p w14:paraId="7306950F"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5E9159E8"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0.9684</w:t>
            </w:r>
          </w:p>
        </w:tc>
        <w:tc>
          <w:tcPr>
            <w:tcW w:w="0" w:type="auto"/>
            <w:tcBorders>
              <w:top w:val="nil"/>
              <w:left w:val="nil"/>
              <w:bottom w:val="nil"/>
              <w:right w:val="nil"/>
            </w:tcBorders>
            <w:noWrap/>
            <w:vAlign w:val="bottom"/>
            <w:hideMark/>
          </w:tcPr>
          <w:p w14:paraId="0933040F"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0.0287</w:t>
            </w:r>
          </w:p>
        </w:tc>
        <w:tc>
          <w:tcPr>
            <w:tcW w:w="0" w:type="auto"/>
            <w:tcBorders>
              <w:top w:val="nil"/>
              <w:left w:val="nil"/>
              <w:bottom w:val="nil"/>
              <w:right w:val="nil"/>
            </w:tcBorders>
            <w:noWrap/>
            <w:vAlign w:val="bottom"/>
            <w:hideMark/>
          </w:tcPr>
          <w:p w14:paraId="052F60B6"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059DCE82"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2080109"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81C6566"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46ADD8F"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2C2992F"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E7B5893"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D01B13A"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298D95F8" w14:textId="77777777" w:rsidTr="00724758">
        <w:trPr>
          <w:trHeight w:val="300"/>
        </w:trPr>
        <w:tc>
          <w:tcPr>
            <w:tcW w:w="0" w:type="auto"/>
            <w:tcBorders>
              <w:top w:val="nil"/>
              <w:left w:val="nil"/>
              <w:bottom w:val="nil"/>
              <w:right w:val="nil"/>
            </w:tcBorders>
            <w:noWrap/>
            <w:vAlign w:val="bottom"/>
            <w:hideMark/>
          </w:tcPr>
          <w:p w14:paraId="1E0C02F1"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DER</w:t>
            </w:r>
          </w:p>
        </w:tc>
        <w:tc>
          <w:tcPr>
            <w:tcW w:w="801" w:type="dxa"/>
            <w:tcBorders>
              <w:top w:val="nil"/>
              <w:left w:val="nil"/>
              <w:bottom w:val="nil"/>
              <w:right w:val="nil"/>
            </w:tcBorders>
            <w:noWrap/>
            <w:vAlign w:val="bottom"/>
            <w:hideMark/>
          </w:tcPr>
          <w:p w14:paraId="4DD99D89"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0.051</w:t>
            </w:r>
          </w:p>
        </w:tc>
        <w:tc>
          <w:tcPr>
            <w:tcW w:w="0" w:type="auto"/>
            <w:tcBorders>
              <w:top w:val="nil"/>
              <w:left w:val="nil"/>
              <w:bottom w:val="nil"/>
              <w:right w:val="nil"/>
            </w:tcBorders>
            <w:noWrap/>
            <w:vAlign w:val="bottom"/>
            <w:hideMark/>
          </w:tcPr>
          <w:p w14:paraId="307D5D46"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-0.2485*</w:t>
            </w:r>
          </w:p>
        </w:tc>
        <w:tc>
          <w:tcPr>
            <w:tcW w:w="0" w:type="auto"/>
            <w:tcBorders>
              <w:top w:val="nil"/>
              <w:left w:val="nil"/>
              <w:bottom w:val="nil"/>
              <w:right w:val="nil"/>
            </w:tcBorders>
            <w:noWrap/>
            <w:vAlign w:val="bottom"/>
            <w:hideMark/>
          </w:tcPr>
          <w:p w14:paraId="54700B5D"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-0.3036*</w:t>
            </w:r>
          </w:p>
        </w:tc>
        <w:tc>
          <w:tcPr>
            <w:tcW w:w="0" w:type="auto"/>
            <w:tcBorders>
              <w:top w:val="nil"/>
              <w:left w:val="nil"/>
              <w:bottom w:val="nil"/>
              <w:right w:val="nil"/>
            </w:tcBorders>
            <w:noWrap/>
            <w:vAlign w:val="bottom"/>
            <w:hideMark/>
          </w:tcPr>
          <w:p w14:paraId="6970CCD1"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276E6C8E"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52475C60"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6AFB215"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6D4F95FC"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139D3E4"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4282A8AC"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6EF234C5" w14:textId="77777777" w:rsidTr="00724758">
        <w:trPr>
          <w:trHeight w:val="300"/>
        </w:trPr>
        <w:tc>
          <w:tcPr>
            <w:tcW w:w="0" w:type="auto"/>
            <w:tcBorders>
              <w:top w:val="nil"/>
              <w:left w:val="nil"/>
              <w:bottom w:val="nil"/>
              <w:right w:val="nil"/>
            </w:tcBorders>
            <w:noWrap/>
            <w:vAlign w:val="bottom"/>
            <w:hideMark/>
          </w:tcPr>
          <w:p w14:paraId="37BF0983"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36DCA5D5"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0.4313</w:t>
            </w:r>
          </w:p>
        </w:tc>
        <w:tc>
          <w:tcPr>
            <w:tcW w:w="0" w:type="auto"/>
            <w:tcBorders>
              <w:top w:val="nil"/>
              <w:left w:val="nil"/>
              <w:bottom w:val="nil"/>
              <w:right w:val="nil"/>
            </w:tcBorders>
            <w:noWrap/>
            <w:vAlign w:val="bottom"/>
            <w:hideMark/>
          </w:tcPr>
          <w:p w14:paraId="49D29B8B"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0.0001</w:t>
            </w:r>
          </w:p>
        </w:tc>
        <w:tc>
          <w:tcPr>
            <w:tcW w:w="0" w:type="auto"/>
            <w:tcBorders>
              <w:top w:val="nil"/>
              <w:left w:val="nil"/>
              <w:bottom w:val="nil"/>
              <w:right w:val="nil"/>
            </w:tcBorders>
            <w:noWrap/>
            <w:vAlign w:val="bottom"/>
            <w:hideMark/>
          </w:tcPr>
          <w:p w14:paraId="2FA6020F"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nil"/>
              <w:right w:val="nil"/>
            </w:tcBorders>
            <w:noWrap/>
            <w:vAlign w:val="bottom"/>
            <w:hideMark/>
          </w:tcPr>
          <w:p w14:paraId="0EA9B5C5"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1FAF0283"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8001B0F"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71ABC28"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37B11CBA"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0A7EF61"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65970D9D"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56E33DDE" w14:textId="77777777" w:rsidTr="00724758">
        <w:trPr>
          <w:trHeight w:val="300"/>
        </w:trPr>
        <w:tc>
          <w:tcPr>
            <w:tcW w:w="0" w:type="auto"/>
            <w:tcBorders>
              <w:top w:val="nil"/>
              <w:left w:val="nil"/>
              <w:bottom w:val="nil"/>
              <w:right w:val="nil"/>
            </w:tcBorders>
            <w:noWrap/>
            <w:vAlign w:val="bottom"/>
            <w:hideMark/>
          </w:tcPr>
          <w:p w14:paraId="5CDF699E"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TAT</w:t>
            </w:r>
          </w:p>
        </w:tc>
        <w:tc>
          <w:tcPr>
            <w:tcW w:w="801" w:type="dxa"/>
            <w:tcBorders>
              <w:top w:val="nil"/>
              <w:left w:val="nil"/>
              <w:bottom w:val="nil"/>
              <w:right w:val="nil"/>
            </w:tcBorders>
            <w:noWrap/>
            <w:vAlign w:val="bottom"/>
            <w:hideMark/>
          </w:tcPr>
          <w:p w14:paraId="01E3BC93"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0.0267</w:t>
            </w:r>
          </w:p>
        </w:tc>
        <w:tc>
          <w:tcPr>
            <w:tcW w:w="0" w:type="auto"/>
            <w:tcBorders>
              <w:top w:val="nil"/>
              <w:left w:val="nil"/>
              <w:bottom w:val="nil"/>
              <w:right w:val="nil"/>
            </w:tcBorders>
            <w:noWrap/>
            <w:vAlign w:val="bottom"/>
            <w:hideMark/>
          </w:tcPr>
          <w:p w14:paraId="18C615A4"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0.2150*</w:t>
            </w:r>
          </w:p>
        </w:tc>
        <w:tc>
          <w:tcPr>
            <w:tcW w:w="0" w:type="auto"/>
            <w:tcBorders>
              <w:top w:val="nil"/>
              <w:left w:val="nil"/>
              <w:bottom w:val="nil"/>
              <w:right w:val="nil"/>
            </w:tcBorders>
            <w:noWrap/>
            <w:vAlign w:val="bottom"/>
            <w:hideMark/>
          </w:tcPr>
          <w:p w14:paraId="0238FDF0"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0.1886*</w:t>
            </w:r>
          </w:p>
        </w:tc>
        <w:tc>
          <w:tcPr>
            <w:tcW w:w="0" w:type="auto"/>
            <w:tcBorders>
              <w:top w:val="nil"/>
              <w:left w:val="nil"/>
              <w:bottom w:val="nil"/>
              <w:right w:val="nil"/>
            </w:tcBorders>
            <w:noWrap/>
            <w:vAlign w:val="bottom"/>
            <w:hideMark/>
          </w:tcPr>
          <w:p w14:paraId="5F72A3FF"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-0.0664</w:t>
            </w:r>
          </w:p>
        </w:tc>
        <w:tc>
          <w:tcPr>
            <w:tcW w:w="0" w:type="auto"/>
            <w:tcBorders>
              <w:top w:val="nil"/>
              <w:left w:val="nil"/>
              <w:bottom w:val="nil"/>
              <w:right w:val="nil"/>
            </w:tcBorders>
            <w:noWrap/>
            <w:vAlign w:val="bottom"/>
            <w:hideMark/>
          </w:tcPr>
          <w:p w14:paraId="4C0A563D"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439B4285"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3653B26C"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43F0A55D"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204A93F"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7DD7BCE"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6B232AD7" w14:textId="77777777" w:rsidTr="00724758">
        <w:trPr>
          <w:trHeight w:val="300"/>
        </w:trPr>
        <w:tc>
          <w:tcPr>
            <w:tcW w:w="0" w:type="auto"/>
            <w:tcBorders>
              <w:top w:val="nil"/>
              <w:left w:val="nil"/>
              <w:bottom w:val="nil"/>
              <w:right w:val="nil"/>
            </w:tcBorders>
            <w:noWrap/>
            <w:vAlign w:val="bottom"/>
            <w:hideMark/>
          </w:tcPr>
          <w:p w14:paraId="66C948AD"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52F5FA00"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0.6804</w:t>
            </w:r>
          </w:p>
        </w:tc>
        <w:tc>
          <w:tcPr>
            <w:tcW w:w="0" w:type="auto"/>
            <w:tcBorders>
              <w:top w:val="nil"/>
              <w:left w:val="nil"/>
              <w:bottom w:val="nil"/>
              <w:right w:val="nil"/>
            </w:tcBorders>
            <w:noWrap/>
            <w:vAlign w:val="bottom"/>
            <w:hideMark/>
          </w:tcPr>
          <w:p w14:paraId="4184B415"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0.0008</w:t>
            </w:r>
          </w:p>
        </w:tc>
        <w:tc>
          <w:tcPr>
            <w:tcW w:w="0" w:type="auto"/>
            <w:tcBorders>
              <w:top w:val="nil"/>
              <w:left w:val="nil"/>
              <w:bottom w:val="nil"/>
              <w:right w:val="nil"/>
            </w:tcBorders>
            <w:noWrap/>
            <w:vAlign w:val="bottom"/>
            <w:hideMark/>
          </w:tcPr>
          <w:p w14:paraId="1AFD5A8E"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0.0034</w:t>
            </w:r>
          </w:p>
        </w:tc>
        <w:tc>
          <w:tcPr>
            <w:tcW w:w="0" w:type="auto"/>
            <w:tcBorders>
              <w:top w:val="nil"/>
              <w:left w:val="nil"/>
              <w:bottom w:val="nil"/>
              <w:right w:val="nil"/>
            </w:tcBorders>
            <w:noWrap/>
            <w:vAlign w:val="bottom"/>
            <w:hideMark/>
          </w:tcPr>
          <w:p w14:paraId="0487B3A9"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0.3055</w:t>
            </w:r>
          </w:p>
        </w:tc>
        <w:tc>
          <w:tcPr>
            <w:tcW w:w="0" w:type="auto"/>
            <w:tcBorders>
              <w:top w:val="nil"/>
              <w:left w:val="nil"/>
              <w:bottom w:val="nil"/>
              <w:right w:val="nil"/>
            </w:tcBorders>
            <w:noWrap/>
            <w:vAlign w:val="bottom"/>
            <w:hideMark/>
          </w:tcPr>
          <w:p w14:paraId="6504051A"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6644A4D0"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273AEC1"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B04113B"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4615ECA9"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224DC45"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14DC8174" w14:textId="77777777" w:rsidTr="00724758">
        <w:trPr>
          <w:trHeight w:val="300"/>
        </w:trPr>
        <w:tc>
          <w:tcPr>
            <w:tcW w:w="0" w:type="auto"/>
            <w:tcBorders>
              <w:top w:val="nil"/>
              <w:left w:val="nil"/>
              <w:bottom w:val="nil"/>
              <w:right w:val="nil"/>
            </w:tcBorders>
            <w:noWrap/>
            <w:vAlign w:val="bottom"/>
            <w:hideMark/>
          </w:tcPr>
          <w:p w14:paraId="3F2F69E6"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EPS</w:t>
            </w:r>
          </w:p>
        </w:tc>
        <w:tc>
          <w:tcPr>
            <w:tcW w:w="801" w:type="dxa"/>
            <w:tcBorders>
              <w:top w:val="nil"/>
              <w:left w:val="nil"/>
              <w:bottom w:val="nil"/>
              <w:right w:val="nil"/>
            </w:tcBorders>
            <w:noWrap/>
            <w:vAlign w:val="bottom"/>
            <w:hideMark/>
          </w:tcPr>
          <w:p w14:paraId="18FE76B2"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0.4106*</w:t>
            </w:r>
          </w:p>
        </w:tc>
        <w:tc>
          <w:tcPr>
            <w:tcW w:w="0" w:type="auto"/>
            <w:tcBorders>
              <w:top w:val="nil"/>
              <w:left w:val="nil"/>
              <w:bottom w:val="nil"/>
              <w:right w:val="nil"/>
            </w:tcBorders>
            <w:noWrap/>
            <w:vAlign w:val="bottom"/>
            <w:hideMark/>
          </w:tcPr>
          <w:p w14:paraId="751C51D8"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0.4059*</w:t>
            </w:r>
          </w:p>
        </w:tc>
        <w:tc>
          <w:tcPr>
            <w:tcW w:w="0" w:type="auto"/>
            <w:tcBorders>
              <w:top w:val="nil"/>
              <w:left w:val="nil"/>
              <w:bottom w:val="nil"/>
              <w:right w:val="nil"/>
            </w:tcBorders>
            <w:noWrap/>
            <w:vAlign w:val="bottom"/>
            <w:hideMark/>
          </w:tcPr>
          <w:p w14:paraId="5A7CBABC"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0.0254</w:t>
            </w:r>
          </w:p>
        </w:tc>
        <w:tc>
          <w:tcPr>
            <w:tcW w:w="0" w:type="auto"/>
            <w:tcBorders>
              <w:top w:val="nil"/>
              <w:left w:val="nil"/>
              <w:bottom w:val="nil"/>
              <w:right w:val="nil"/>
            </w:tcBorders>
            <w:noWrap/>
            <w:vAlign w:val="bottom"/>
            <w:hideMark/>
          </w:tcPr>
          <w:p w14:paraId="7E14B475"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0.1720*</w:t>
            </w:r>
          </w:p>
        </w:tc>
        <w:tc>
          <w:tcPr>
            <w:tcW w:w="0" w:type="auto"/>
            <w:tcBorders>
              <w:top w:val="nil"/>
              <w:left w:val="nil"/>
              <w:bottom w:val="nil"/>
              <w:right w:val="nil"/>
            </w:tcBorders>
            <w:noWrap/>
            <w:vAlign w:val="bottom"/>
            <w:hideMark/>
          </w:tcPr>
          <w:p w14:paraId="7B5BD780"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0.1047</w:t>
            </w:r>
          </w:p>
        </w:tc>
        <w:tc>
          <w:tcPr>
            <w:tcW w:w="0" w:type="auto"/>
            <w:tcBorders>
              <w:top w:val="nil"/>
              <w:left w:val="nil"/>
              <w:bottom w:val="nil"/>
              <w:right w:val="nil"/>
            </w:tcBorders>
            <w:noWrap/>
            <w:vAlign w:val="bottom"/>
            <w:hideMark/>
          </w:tcPr>
          <w:p w14:paraId="0D673207"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4AF6F901"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7FBB799F"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635B5EE"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65915E53"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79005F52" w14:textId="77777777" w:rsidTr="00724758">
        <w:trPr>
          <w:trHeight w:val="300"/>
        </w:trPr>
        <w:tc>
          <w:tcPr>
            <w:tcW w:w="0" w:type="auto"/>
            <w:tcBorders>
              <w:top w:val="nil"/>
              <w:left w:val="nil"/>
              <w:bottom w:val="nil"/>
              <w:right w:val="nil"/>
            </w:tcBorders>
            <w:noWrap/>
            <w:vAlign w:val="bottom"/>
            <w:hideMark/>
          </w:tcPr>
          <w:p w14:paraId="6A5EF6CF"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582F61D4"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nil"/>
              <w:right w:val="nil"/>
            </w:tcBorders>
            <w:noWrap/>
            <w:vAlign w:val="bottom"/>
            <w:hideMark/>
          </w:tcPr>
          <w:p w14:paraId="2CC8DACF"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nil"/>
              <w:right w:val="nil"/>
            </w:tcBorders>
            <w:noWrap/>
            <w:vAlign w:val="bottom"/>
            <w:hideMark/>
          </w:tcPr>
          <w:p w14:paraId="307EF40B"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0.6954</w:t>
            </w:r>
          </w:p>
        </w:tc>
        <w:tc>
          <w:tcPr>
            <w:tcW w:w="0" w:type="auto"/>
            <w:tcBorders>
              <w:top w:val="nil"/>
              <w:left w:val="nil"/>
              <w:bottom w:val="nil"/>
              <w:right w:val="nil"/>
            </w:tcBorders>
            <w:noWrap/>
            <w:vAlign w:val="bottom"/>
            <w:hideMark/>
          </w:tcPr>
          <w:p w14:paraId="1165105B"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0.0076</w:t>
            </w:r>
          </w:p>
        </w:tc>
        <w:tc>
          <w:tcPr>
            <w:tcW w:w="0" w:type="auto"/>
            <w:tcBorders>
              <w:top w:val="nil"/>
              <w:left w:val="nil"/>
              <w:bottom w:val="nil"/>
              <w:right w:val="nil"/>
            </w:tcBorders>
            <w:noWrap/>
            <w:vAlign w:val="bottom"/>
            <w:hideMark/>
          </w:tcPr>
          <w:p w14:paraId="6D313C09"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0.1056</w:t>
            </w:r>
          </w:p>
        </w:tc>
        <w:tc>
          <w:tcPr>
            <w:tcW w:w="0" w:type="auto"/>
            <w:tcBorders>
              <w:top w:val="nil"/>
              <w:left w:val="nil"/>
              <w:bottom w:val="nil"/>
              <w:right w:val="nil"/>
            </w:tcBorders>
            <w:noWrap/>
            <w:vAlign w:val="bottom"/>
            <w:hideMark/>
          </w:tcPr>
          <w:p w14:paraId="14D92254"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6906AA22"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3FB9CE57"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62DC056"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34389030"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5122304B" w14:textId="77777777" w:rsidTr="00724758">
        <w:trPr>
          <w:trHeight w:val="300"/>
        </w:trPr>
        <w:tc>
          <w:tcPr>
            <w:tcW w:w="0" w:type="auto"/>
            <w:tcBorders>
              <w:top w:val="nil"/>
              <w:left w:val="nil"/>
              <w:bottom w:val="nil"/>
              <w:right w:val="nil"/>
            </w:tcBorders>
            <w:noWrap/>
            <w:vAlign w:val="bottom"/>
            <w:hideMark/>
          </w:tcPr>
          <w:p w14:paraId="1E55BD7C"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FSZ</w:t>
            </w:r>
          </w:p>
        </w:tc>
        <w:tc>
          <w:tcPr>
            <w:tcW w:w="801" w:type="dxa"/>
            <w:tcBorders>
              <w:top w:val="nil"/>
              <w:left w:val="nil"/>
              <w:bottom w:val="nil"/>
              <w:right w:val="nil"/>
            </w:tcBorders>
            <w:noWrap/>
            <w:vAlign w:val="bottom"/>
            <w:hideMark/>
          </w:tcPr>
          <w:p w14:paraId="5A52F8B7"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0.5867*</w:t>
            </w:r>
          </w:p>
        </w:tc>
        <w:tc>
          <w:tcPr>
            <w:tcW w:w="0" w:type="auto"/>
            <w:tcBorders>
              <w:top w:val="nil"/>
              <w:left w:val="nil"/>
              <w:bottom w:val="nil"/>
              <w:right w:val="nil"/>
            </w:tcBorders>
            <w:noWrap/>
            <w:vAlign w:val="bottom"/>
            <w:hideMark/>
          </w:tcPr>
          <w:p w14:paraId="3C1C66F0"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0.1816*</w:t>
            </w:r>
          </w:p>
        </w:tc>
        <w:tc>
          <w:tcPr>
            <w:tcW w:w="0" w:type="auto"/>
            <w:tcBorders>
              <w:top w:val="nil"/>
              <w:left w:val="nil"/>
              <w:bottom w:val="nil"/>
              <w:right w:val="nil"/>
            </w:tcBorders>
            <w:noWrap/>
            <w:vAlign w:val="bottom"/>
            <w:hideMark/>
          </w:tcPr>
          <w:p w14:paraId="28A5D297"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-0.2226*</w:t>
            </w:r>
          </w:p>
        </w:tc>
        <w:tc>
          <w:tcPr>
            <w:tcW w:w="0" w:type="auto"/>
            <w:tcBorders>
              <w:top w:val="nil"/>
              <w:left w:val="nil"/>
              <w:bottom w:val="nil"/>
              <w:right w:val="nil"/>
            </w:tcBorders>
            <w:noWrap/>
            <w:vAlign w:val="bottom"/>
            <w:hideMark/>
          </w:tcPr>
          <w:p w14:paraId="7C8CB6AE"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0.111</w:t>
            </w:r>
          </w:p>
        </w:tc>
        <w:tc>
          <w:tcPr>
            <w:tcW w:w="0" w:type="auto"/>
            <w:tcBorders>
              <w:top w:val="nil"/>
              <w:left w:val="nil"/>
              <w:bottom w:val="nil"/>
              <w:right w:val="nil"/>
            </w:tcBorders>
            <w:noWrap/>
            <w:vAlign w:val="bottom"/>
            <w:hideMark/>
          </w:tcPr>
          <w:p w14:paraId="3D492A85"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-0.1340*</w:t>
            </w:r>
          </w:p>
        </w:tc>
        <w:tc>
          <w:tcPr>
            <w:tcW w:w="0" w:type="auto"/>
            <w:tcBorders>
              <w:top w:val="nil"/>
              <w:left w:val="nil"/>
              <w:bottom w:val="nil"/>
              <w:right w:val="nil"/>
            </w:tcBorders>
            <w:noWrap/>
            <w:vAlign w:val="bottom"/>
            <w:hideMark/>
          </w:tcPr>
          <w:p w14:paraId="3AF10D27"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0.1576*</w:t>
            </w:r>
          </w:p>
        </w:tc>
        <w:tc>
          <w:tcPr>
            <w:tcW w:w="0" w:type="auto"/>
            <w:tcBorders>
              <w:top w:val="nil"/>
              <w:left w:val="nil"/>
              <w:bottom w:val="nil"/>
              <w:right w:val="nil"/>
            </w:tcBorders>
            <w:noWrap/>
            <w:vAlign w:val="bottom"/>
            <w:hideMark/>
          </w:tcPr>
          <w:p w14:paraId="4C926D08"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286D99E9"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0FB6367F"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C55581D"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3A9457D1" w14:textId="77777777" w:rsidTr="00724758">
        <w:trPr>
          <w:trHeight w:val="300"/>
        </w:trPr>
        <w:tc>
          <w:tcPr>
            <w:tcW w:w="0" w:type="auto"/>
            <w:tcBorders>
              <w:top w:val="nil"/>
              <w:left w:val="nil"/>
              <w:bottom w:val="nil"/>
              <w:right w:val="nil"/>
            </w:tcBorders>
            <w:noWrap/>
            <w:vAlign w:val="bottom"/>
            <w:hideMark/>
          </w:tcPr>
          <w:p w14:paraId="27A38C55"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484B5F9C"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nil"/>
              <w:right w:val="nil"/>
            </w:tcBorders>
            <w:noWrap/>
            <w:vAlign w:val="bottom"/>
            <w:hideMark/>
          </w:tcPr>
          <w:p w14:paraId="0E9FCF7F"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0.0048</w:t>
            </w:r>
          </w:p>
        </w:tc>
        <w:tc>
          <w:tcPr>
            <w:tcW w:w="0" w:type="auto"/>
            <w:tcBorders>
              <w:top w:val="nil"/>
              <w:left w:val="nil"/>
              <w:bottom w:val="nil"/>
              <w:right w:val="nil"/>
            </w:tcBorders>
            <w:noWrap/>
            <w:vAlign w:val="bottom"/>
            <w:hideMark/>
          </w:tcPr>
          <w:p w14:paraId="23E7FD3A"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0.0005</w:t>
            </w:r>
          </w:p>
        </w:tc>
        <w:tc>
          <w:tcPr>
            <w:tcW w:w="0" w:type="auto"/>
            <w:tcBorders>
              <w:top w:val="nil"/>
              <w:left w:val="nil"/>
              <w:bottom w:val="nil"/>
              <w:right w:val="nil"/>
            </w:tcBorders>
            <w:noWrap/>
            <w:vAlign w:val="bottom"/>
            <w:hideMark/>
          </w:tcPr>
          <w:p w14:paraId="15EA557E"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0.0862</w:t>
            </w:r>
          </w:p>
        </w:tc>
        <w:tc>
          <w:tcPr>
            <w:tcW w:w="0" w:type="auto"/>
            <w:tcBorders>
              <w:top w:val="nil"/>
              <w:left w:val="nil"/>
              <w:bottom w:val="nil"/>
              <w:right w:val="nil"/>
            </w:tcBorders>
            <w:noWrap/>
            <w:vAlign w:val="bottom"/>
            <w:hideMark/>
          </w:tcPr>
          <w:p w14:paraId="59DE77D2"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0.0381</w:t>
            </w:r>
          </w:p>
        </w:tc>
        <w:tc>
          <w:tcPr>
            <w:tcW w:w="0" w:type="auto"/>
            <w:tcBorders>
              <w:top w:val="nil"/>
              <w:left w:val="nil"/>
              <w:bottom w:val="nil"/>
              <w:right w:val="nil"/>
            </w:tcBorders>
            <w:noWrap/>
            <w:vAlign w:val="bottom"/>
            <w:hideMark/>
          </w:tcPr>
          <w:p w14:paraId="46A7A435"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0.0145</w:t>
            </w:r>
          </w:p>
        </w:tc>
        <w:tc>
          <w:tcPr>
            <w:tcW w:w="0" w:type="auto"/>
            <w:tcBorders>
              <w:top w:val="nil"/>
              <w:left w:val="nil"/>
              <w:bottom w:val="nil"/>
              <w:right w:val="nil"/>
            </w:tcBorders>
            <w:noWrap/>
            <w:vAlign w:val="bottom"/>
            <w:hideMark/>
          </w:tcPr>
          <w:p w14:paraId="285354D4"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1FEA1F1C"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3B843B2"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F09EB49"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11712F08" w14:textId="77777777" w:rsidTr="00724758">
        <w:trPr>
          <w:trHeight w:val="300"/>
        </w:trPr>
        <w:tc>
          <w:tcPr>
            <w:tcW w:w="0" w:type="auto"/>
            <w:tcBorders>
              <w:top w:val="nil"/>
              <w:left w:val="nil"/>
              <w:bottom w:val="nil"/>
              <w:right w:val="nil"/>
            </w:tcBorders>
            <w:noWrap/>
            <w:vAlign w:val="bottom"/>
            <w:hideMark/>
          </w:tcPr>
          <w:p w14:paraId="67F9AFFC"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INF</w:t>
            </w:r>
          </w:p>
        </w:tc>
        <w:tc>
          <w:tcPr>
            <w:tcW w:w="801" w:type="dxa"/>
            <w:tcBorders>
              <w:top w:val="nil"/>
              <w:left w:val="nil"/>
              <w:bottom w:val="nil"/>
              <w:right w:val="nil"/>
            </w:tcBorders>
            <w:noWrap/>
            <w:vAlign w:val="bottom"/>
            <w:hideMark/>
          </w:tcPr>
          <w:p w14:paraId="70E14630"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0.0491</w:t>
            </w:r>
          </w:p>
        </w:tc>
        <w:tc>
          <w:tcPr>
            <w:tcW w:w="0" w:type="auto"/>
            <w:tcBorders>
              <w:top w:val="nil"/>
              <w:left w:val="nil"/>
              <w:bottom w:val="nil"/>
              <w:right w:val="nil"/>
            </w:tcBorders>
            <w:noWrap/>
            <w:vAlign w:val="bottom"/>
            <w:hideMark/>
          </w:tcPr>
          <w:p w14:paraId="0D4E9202"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-0.0394</w:t>
            </w:r>
          </w:p>
        </w:tc>
        <w:tc>
          <w:tcPr>
            <w:tcW w:w="0" w:type="auto"/>
            <w:tcBorders>
              <w:top w:val="nil"/>
              <w:left w:val="nil"/>
              <w:bottom w:val="nil"/>
              <w:right w:val="nil"/>
            </w:tcBorders>
            <w:noWrap/>
            <w:vAlign w:val="bottom"/>
            <w:hideMark/>
          </w:tcPr>
          <w:p w14:paraId="1A43FFDD"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0.0844</w:t>
            </w:r>
          </w:p>
        </w:tc>
        <w:tc>
          <w:tcPr>
            <w:tcW w:w="0" w:type="auto"/>
            <w:tcBorders>
              <w:top w:val="nil"/>
              <w:left w:val="nil"/>
              <w:bottom w:val="nil"/>
              <w:right w:val="nil"/>
            </w:tcBorders>
            <w:noWrap/>
            <w:vAlign w:val="bottom"/>
            <w:hideMark/>
          </w:tcPr>
          <w:p w14:paraId="3DBB9069"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0.2089*</w:t>
            </w:r>
          </w:p>
        </w:tc>
        <w:tc>
          <w:tcPr>
            <w:tcW w:w="0" w:type="auto"/>
            <w:tcBorders>
              <w:top w:val="nil"/>
              <w:left w:val="nil"/>
              <w:bottom w:val="nil"/>
              <w:right w:val="nil"/>
            </w:tcBorders>
            <w:noWrap/>
            <w:vAlign w:val="bottom"/>
            <w:hideMark/>
          </w:tcPr>
          <w:p w14:paraId="5F9FDECA"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-0.0542</w:t>
            </w:r>
          </w:p>
        </w:tc>
        <w:tc>
          <w:tcPr>
            <w:tcW w:w="0" w:type="auto"/>
            <w:tcBorders>
              <w:top w:val="nil"/>
              <w:left w:val="nil"/>
              <w:bottom w:val="nil"/>
              <w:right w:val="nil"/>
            </w:tcBorders>
            <w:noWrap/>
            <w:vAlign w:val="bottom"/>
            <w:hideMark/>
          </w:tcPr>
          <w:p w14:paraId="1332D2A3"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-0.0697</w:t>
            </w:r>
          </w:p>
        </w:tc>
        <w:tc>
          <w:tcPr>
            <w:tcW w:w="0" w:type="auto"/>
            <w:tcBorders>
              <w:top w:val="nil"/>
              <w:left w:val="nil"/>
              <w:bottom w:val="nil"/>
              <w:right w:val="nil"/>
            </w:tcBorders>
            <w:noWrap/>
            <w:vAlign w:val="bottom"/>
            <w:hideMark/>
          </w:tcPr>
          <w:p w14:paraId="1FC7763B"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0.1631*</w:t>
            </w:r>
          </w:p>
        </w:tc>
        <w:tc>
          <w:tcPr>
            <w:tcW w:w="0" w:type="auto"/>
            <w:tcBorders>
              <w:top w:val="nil"/>
              <w:left w:val="nil"/>
              <w:bottom w:val="nil"/>
              <w:right w:val="nil"/>
            </w:tcBorders>
            <w:noWrap/>
            <w:vAlign w:val="bottom"/>
            <w:hideMark/>
          </w:tcPr>
          <w:p w14:paraId="420F860E"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6896B202"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7837D848"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2011A57F" w14:textId="77777777" w:rsidTr="00724758">
        <w:trPr>
          <w:trHeight w:val="300"/>
        </w:trPr>
        <w:tc>
          <w:tcPr>
            <w:tcW w:w="0" w:type="auto"/>
            <w:tcBorders>
              <w:top w:val="nil"/>
              <w:left w:val="nil"/>
              <w:bottom w:val="nil"/>
              <w:right w:val="nil"/>
            </w:tcBorders>
            <w:noWrap/>
            <w:vAlign w:val="bottom"/>
            <w:hideMark/>
          </w:tcPr>
          <w:p w14:paraId="3E25F689"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516FBB30"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0.4491</w:t>
            </w:r>
          </w:p>
        </w:tc>
        <w:tc>
          <w:tcPr>
            <w:tcW w:w="0" w:type="auto"/>
            <w:tcBorders>
              <w:top w:val="nil"/>
              <w:left w:val="nil"/>
              <w:bottom w:val="nil"/>
              <w:right w:val="nil"/>
            </w:tcBorders>
            <w:noWrap/>
            <w:vAlign w:val="bottom"/>
            <w:hideMark/>
          </w:tcPr>
          <w:p w14:paraId="466CFCF9"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0.5435</w:t>
            </w:r>
          </w:p>
        </w:tc>
        <w:tc>
          <w:tcPr>
            <w:tcW w:w="0" w:type="auto"/>
            <w:tcBorders>
              <w:top w:val="nil"/>
              <w:left w:val="nil"/>
              <w:bottom w:val="nil"/>
              <w:right w:val="nil"/>
            </w:tcBorders>
            <w:noWrap/>
            <w:vAlign w:val="bottom"/>
            <w:hideMark/>
          </w:tcPr>
          <w:p w14:paraId="5E31C2CF"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0.1925</w:t>
            </w:r>
          </w:p>
        </w:tc>
        <w:tc>
          <w:tcPr>
            <w:tcW w:w="0" w:type="auto"/>
            <w:tcBorders>
              <w:top w:val="nil"/>
              <w:left w:val="nil"/>
              <w:bottom w:val="nil"/>
              <w:right w:val="nil"/>
            </w:tcBorders>
            <w:noWrap/>
            <w:vAlign w:val="bottom"/>
            <w:hideMark/>
          </w:tcPr>
          <w:p w14:paraId="360B5DAF"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0.0011</w:t>
            </w:r>
          </w:p>
        </w:tc>
        <w:tc>
          <w:tcPr>
            <w:tcW w:w="0" w:type="auto"/>
            <w:tcBorders>
              <w:top w:val="nil"/>
              <w:left w:val="nil"/>
              <w:bottom w:val="nil"/>
              <w:right w:val="nil"/>
            </w:tcBorders>
            <w:noWrap/>
            <w:vAlign w:val="bottom"/>
            <w:hideMark/>
          </w:tcPr>
          <w:p w14:paraId="6D15DE49"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0.4036</w:t>
            </w:r>
          </w:p>
        </w:tc>
        <w:tc>
          <w:tcPr>
            <w:tcW w:w="0" w:type="auto"/>
            <w:tcBorders>
              <w:top w:val="nil"/>
              <w:left w:val="nil"/>
              <w:bottom w:val="nil"/>
              <w:right w:val="nil"/>
            </w:tcBorders>
            <w:noWrap/>
            <w:vAlign w:val="bottom"/>
            <w:hideMark/>
          </w:tcPr>
          <w:p w14:paraId="7AFD7CF1"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0.2824</w:t>
            </w:r>
          </w:p>
        </w:tc>
        <w:tc>
          <w:tcPr>
            <w:tcW w:w="0" w:type="auto"/>
            <w:tcBorders>
              <w:top w:val="nil"/>
              <w:left w:val="nil"/>
              <w:bottom w:val="nil"/>
              <w:right w:val="nil"/>
            </w:tcBorders>
            <w:noWrap/>
            <w:vAlign w:val="bottom"/>
            <w:hideMark/>
          </w:tcPr>
          <w:p w14:paraId="69AF3571"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0.0114</w:t>
            </w:r>
          </w:p>
        </w:tc>
        <w:tc>
          <w:tcPr>
            <w:tcW w:w="0" w:type="auto"/>
            <w:tcBorders>
              <w:top w:val="nil"/>
              <w:left w:val="nil"/>
              <w:bottom w:val="nil"/>
              <w:right w:val="nil"/>
            </w:tcBorders>
            <w:noWrap/>
            <w:vAlign w:val="bottom"/>
            <w:hideMark/>
          </w:tcPr>
          <w:p w14:paraId="01A20EB0" w14:textId="77777777" w:rsidR="00691375" w:rsidRPr="00383A79"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411A3939"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26121DE5"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278FEACB" w14:textId="77777777" w:rsidTr="00724758">
        <w:trPr>
          <w:trHeight w:val="300"/>
        </w:trPr>
        <w:tc>
          <w:tcPr>
            <w:tcW w:w="0" w:type="auto"/>
            <w:tcBorders>
              <w:top w:val="nil"/>
              <w:left w:val="nil"/>
              <w:bottom w:val="nil"/>
              <w:right w:val="nil"/>
            </w:tcBorders>
            <w:noWrap/>
            <w:vAlign w:val="bottom"/>
            <w:hideMark/>
          </w:tcPr>
          <w:p w14:paraId="6006C1AA"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INR</w:t>
            </w:r>
          </w:p>
        </w:tc>
        <w:tc>
          <w:tcPr>
            <w:tcW w:w="801" w:type="dxa"/>
            <w:tcBorders>
              <w:top w:val="nil"/>
              <w:left w:val="nil"/>
              <w:bottom w:val="nil"/>
              <w:right w:val="nil"/>
            </w:tcBorders>
            <w:noWrap/>
            <w:vAlign w:val="bottom"/>
            <w:hideMark/>
          </w:tcPr>
          <w:p w14:paraId="7E40905D"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0.0721</w:t>
            </w:r>
          </w:p>
        </w:tc>
        <w:tc>
          <w:tcPr>
            <w:tcW w:w="0" w:type="auto"/>
            <w:tcBorders>
              <w:top w:val="nil"/>
              <w:left w:val="nil"/>
              <w:bottom w:val="nil"/>
              <w:right w:val="nil"/>
            </w:tcBorders>
            <w:noWrap/>
            <w:vAlign w:val="bottom"/>
            <w:hideMark/>
          </w:tcPr>
          <w:p w14:paraId="0DEF386C"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-0.027</w:t>
            </w:r>
          </w:p>
        </w:tc>
        <w:tc>
          <w:tcPr>
            <w:tcW w:w="0" w:type="auto"/>
            <w:tcBorders>
              <w:top w:val="nil"/>
              <w:left w:val="nil"/>
              <w:bottom w:val="nil"/>
              <w:right w:val="nil"/>
            </w:tcBorders>
            <w:noWrap/>
            <w:vAlign w:val="bottom"/>
            <w:hideMark/>
          </w:tcPr>
          <w:p w14:paraId="2D544BCC"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0.0556</w:t>
            </w:r>
          </w:p>
        </w:tc>
        <w:tc>
          <w:tcPr>
            <w:tcW w:w="0" w:type="auto"/>
            <w:tcBorders>
              <w:top w:val="nil"/>
              <w:left w:val="nil"/>
              <w:bottom w:val="nil"/>
              <w:right w:val="nil"/>
            </w:tcBorders>
            <w:noWrap/>
            <w:vAlign w:val="bottom"/>
            <w:hideMark/>
          </w:tcPr>
          <w:p w14:paraId="15EC8C4E"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0.1846*</w:t>
            </w:r>
          </w:p>
        </w:tc>
        <w:tc>
          <w:tcPr>
            <w:tcW w:w="0" w:type="auto"/>
            <w:tcBorders>
              <w:top w:val="nil"/>
              <w:left w:val="nil"/>
              <w:bottom w:val="nil"/>
              <w:right w:val="nil"/>
            </w:tcBorders>
            <w:noWrap/>
            <w:vAlign w:val="bottom"/>
            <w:hideMark/>
          </w:tcPr>
          <w:p w14:paraId="2ECF52D8"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-0.0107</w:t>
            </w:r>
          </w:p>
        </w:tc>
        <w:tc>
          <w:tcPr>
            <w:tcW w:w="0" w:type="auto"/>
            <w:tcBorders>
              <w:top w:val="nil"/>
              <w:left w:val="nil"/>
              <w:bottom w:val="nil"/>
              <w:right w:val="nil"/>
            </w:tcBorders>
            <w:noWrap/>
            <w:vAlign w:val="bottom"/>
            <w:hideMark/>
          </w:tcPr>
          <w:p w14:paraId="62A9FF62"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-0.0615</w:t>
            </w:r>
          </w:p>
        </w:tc>
        <w:tc>
          <w:tcPr>
            <w:tcW w:w="0" w:type="auto"/>
            <w:tcBorders>
              <w:top w:val="nil"/>
              <w:left w:val="nil"/>
              <w:bottom w:val="nil"/>
              <w:right w:val="nil"/>
            </w:tcBorders>
            <w:noWrap/>
            <w:vAlign w:val="bottom"/>
            <w:hideMark/>
          </w:tcPr>
          <w:p w14:paraId="2EB7476B"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0.1284*</w:t>
            </w:r>
          </w:p>
        </w:tc>
        <w:tc>
          <w:tcPr>
            <w:tcW w:w="0" w:type="auto"/>
            <w:tcBorders>
              <w:top w:val="nil"/>
              <w:left w:val="nil"/>
              <w:bottom w:val="nil"/>
              <w:right w:val="nil"/>
            </w:tcBorders>
            <w:noWrap/>
            <w:vAlign w:val="bottom"/>
            <w:hideMark/>
          </w:tcPr>
          <w:p w14:paraId="483B8E2A" w14:textId="77777777" w:rsidR="00691375" w:rsidRPr="00383A79" w:rsidRDefault="00691375" w:rsidP="00F76224">
            <w:pPr>
              <w:spacing w:after="0" w:line="240" w:lineRule="auto"/>
              <w:jc w:val="right"/>
              <w:rPr>
                <w:rFonts w:ascii="Times New Roman" w:eastAsia="Times New Roman" w:hAnsi="Times New Roman" w:cs="Times New Roman"/>
                <w:sz w:val="18"/>
                <w:szCs w:val="18"/>
              </w:rPr>
            </w:pPr>
            <w:r w:rsidRPr="00383A79">
              <w:rPr>
                <w:rFonts w:ascii="Times New Roman" w:eastAsia="Times New Roman" w:hAnsi="Times New Roman" w:cs="Times New Roman"/>
                <w:sz w:val="18"/>
                <w:szCs w:val="18"/>
              </w:rPr>
              <w:t>0.8046*</w:t>
            </w:r>
          </w:p>
        </w:tc>
        <w:tc>
          <w:tcPr>
            <w:tcW w:w="0" w:type="auto"/>
            <w:tcBorders>
              <w:top w:val="nil"/>
              <w:left w:val="nil"/>
              <w:bottom w:val="nil"/>
              <w:right w:val="nil"/>
            </w:tcBorders>
            <w:noWrap/>
            <w:vAlign w:val="bottom"/>
            <w:hideMark/>
          </w:tcPr>
          <w:p w14:paraId="2FC9C73D"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c>
          <w:tcPr>
            <w:tcW w:w="0" w:type="auto"/>
            <w:tcBorders>
              <w:top w:val="nil"/>
              <w:left w:val="nil"/>
              <w:bottom w:val="nil"/>
              <w:right w:val="nil"/>
            </w:tcBorders>
            <w:noWrap/>
            <w:vAlign w:val="bottom"/>
            <w:hideMark/>
          </w:tcPr>
          <w:p w14:paraId="6AED2ACD"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r>
      <w:tr w:rsidR="00691375" w:rsidRPr="0091096D" w14:paraId="3D0558F1" w14:textId="77777777" w:rsidTr="00724758">
        <w:trPr>
          <w:trHeight w:val="300"/>
        </w:trPr>
        <w:tc>
          <w:tcPr>
            <w:tcW w:w="0" w:type="auto"/>
            <w:tcBorders>
              <w:top w:val="nil"/>
              <w:left w:val="nil"/>
              <w:bottom w:val="nil"/>
              <w:right w:val="nil"/>
            </w:tcBorders>
            <w:noWrap/>
            <w:vAlign w:val="bottom"/>
            <w:hideMark/>
          </w:tcPr>
          <w:p w14:paraId="572F2C03" w14:textId="77777777" w:rsidR="00691375" w:rsidRPr="0091096D" w:rsidRDefault="00691375" w:rsidP="00F76224">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noWrap/>
            <w:vAlign w:val="bottom"/>
            <w:hideMark/>
          </w:tcPr>
          <w:p w14:paraId="47B846C1"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0.2661</w:t>
            </w:r>
          </w:p>
        </w:tc>
        <w:tc>
          <w:tcPr>
            <w:tcW w:w="0" w:type="auto"/>
            <w:tcBorders>
              <w:top w:val="nil"/>
              <w:left w:val="nil"/>
              <w:bottom w:val="nil"/>
              <w:right w:val="nil"/>
            </w:tcBorders>
            <w:noWrap/>
            <w:vAlign w:val="bottom"/>
            <w:hideMark/>
          </w:tcPr>
          <w:p w14:paraId="037F47E3"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0.6769</w:t>
            </w:r>
          </w:p>
        </w:tc>
        <w:tc>
          <w:tcPr>
            <w:tcW w:w="0" w:type="auto"/>
            <w:tcBorders>
              <w:top w:val="nil"/>
              <w:left w:val="nil"/>
              <w:bottom w:val="nil"/>
              <w:right w:val="nil"/>
            </w:tcBorders>
            <w:noWrap/>
            <w:vAlign w:val="bottom"/>
            <w:hideMark/>
          </w:tcPr>
          <w:p w14:paraId="44F586E9"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0.3908</w:t>
            </w:r>
          </w:p>
        </w:tc>
        <w:tc>
          <w:tcPr>
            <w:tcW w:w="0" w:type="auto"/>
            <w:tcBorders>
              <w:top w:val="nil"/>
              <w:left w:val="nil"/>
              <w:bottom w:val="nil"/>
              <w:right w:val="nil"/>
            </w:tcBorders>
            <w:noWrap/>
            <w:vAlign w:val="bottom"/>
            <w:hideMark/>
          </w:tcPr>
          <w:p w14:paraId="1A45825F"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0.0041</w:t>
            </w:r>
          </w:p>
        </w:tc>
        <w:tc>
          <w:tcPr>
            <w:tcW w:w="0" w:type="auto"/>
            <w:tcBorders>
              <w:top w:val="nil"/>
              <w:left w:val="nil"/>
              <w:bottom w:val="nil"/>
              <w:right w:val="nil"/>
            </w:tcBorders>
            <w:noWrap/>
            <w:vAlign w:val="bottom"/>
            <w:hideMark/>
          </w:tcPr>
          <w:p w14:paraId="77A7354C"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0.8694</w:t>
            </w:r>
          </w:p>
        </w:tc>
        <w:tc>
          <w:tcPr>
            <w:tcW w:w="0" w:type="auto"/>
            <w:tcBorders>
              <w:top w:val="nil"/>
              <w:left w:val="nil"/>
              <w:bottom w:val="nil"/>
              <w:right w:val="nil"/>
            </w:tcBorders>
            <w:noWrap/>
            <w:vAlign w:val="bottom"/>
            <w:hideMark/>
          </w:tcPr>
          <w:p w14:paraId="64B4AD0D"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0.3428</w:t>
            </w:r>
          </w:p>
        </w:tc>
        <w:tc>
          <w:tcPr>
            <w:tcW w:w="0" w:type="auto"/>
            <w:tcBorders>
              <w:top w:val="nil"/>
              <w:left w:val="nil"/>
              <w:bottom w:val="nil"/>
              <w:right w:val="nil"/>
            </w:tcBorders>
            <w:noWrap/>
            <w:vAlign w:val="bottom"/>
            <w:hideMark/>
          </w:tcPr>
          <w:p w14:paraId="025FC316"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0.0469</w:t>
            </w:r>
          </w:p>
        </w:tc>
        <w:tc>
          <w:tcPr>
            <w:tcW w:w="0" w:type="auto"/>
            <w:tcBorders>
              <w:top w:val="nil"/>
              <w:left w:val="nil"/>
              <w:bottom w:val="nil"/>
              <w:right w:val="nil"/>
            </w:tcBorders>
            <w:noWrap/>
            <w:vAlign w:val="bottom"/>
            <w:hideMark/>
          </w:tcPr>
          <w:p w14:paraId="2ECBE408"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nil"/>
              <w:right w:val="nil"/>
            </w:tcBorders>
            <w:noWrap/>
            <w:vAlign w:val="bottom"/>
            <w:hideMark/>
          </w:tcPr>
          <w:p w14:paraId="5EF7D3DC"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p>
        </w:tc>
        <w:tc>
          <w:tcPr>
            <w:tcW w:w="0" w:type="auto"/>
            <w:tcBorders>
              <w:top w:val="nil"/>
              <w:left w:val="nil"/>
              <w:bottom w:val="nil"/>
              <w:right w:val="nil"/>
            </w:tcBorders>
            <w:noWrap/>
            <w:vAlign w:val="bottom"/>
            <w:hideMark/>
          </w:tcPr>
          <w:p w14:paraId="64877E4E" w14:textId="77777777" w:rsidR="00691375" w:rsidRPr="0091096D" w:rsidRDefault="00691375" w:rsidP="00F76224">
            <w:pPr>
              <w:spacing w:after="0" w:line="240" w:lineRule="auto"/>
              <w:jc w:val="right"/>
              <w:rPr>
                <w:rFonts w:ascii="Times New Roman" w:eastAsia="Times New Roman" w:hAnsi="Times New Roman" w:cs="Times New Roman"/>
                <w:sz w:val="20"/>
                <w:szCs w:val="20"/>
              </w:rPr>
            </w:pPr>
          </w:p>
        </w:tc>
      </w:tr>
      <w:tr w:rsidR="00691375" w:rsidRPr="0091096D" w14:paraId="196CB34E" w14:textId="77777777" w:rsidTr="00724758">
        <w:trPr>
          <w:trHeight w:val="300"/>
        </w:trPr>
        <w:tc>
          <w:tcPr>
            <w:tcW w:w="0" w:type="auto"/>
            <w:tcBorders>
              <w:top w:val="nil"/>
              <w:left w:val="nil"/>
              <w:bottom w:val="nil"/>
              <w:right w:val="nil"/>
            </w:tcBorders>
            <w:noWrap/>
            <w:vAlign w:val="bottom"/>
            <w:hideMark/>
          </w:tcPr>
          <w:p w14:paraId="1131F0E4"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EXR</w:t>
            </w:r>
          </w:p>
        </w:tc>
        <w:tc>
          <w:tcPr>
            <w:tcW w:w="801" w:type="dxa"/>
            <w:tcBorders>
              <w:top w:val="nil"/>
              <w:left w:val="nil"/>
              <w:bottom w:val="nil"/>
              <w:right w:val="nil"/>
            </w:tcBorders>
            <w:noWrap/>
            <w:vAlign w:val="bottom"/>
            <w:hideMark/>
          </w:tcPr>
          <w:p w14:paraId="43F31E6A"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0.0661</w:t>
            </w:r>
          </w:p>
        </w:tc>
        <w:tc>
          <w:tcPr>
            <w:tcW w:w="0" w:type="auto"/>
            <w:tcBorders>
              <w:top w:val="nil"/>
              <w:left w:val="nil"/>
              <w:bottom w:val="nil"/>
              <w:right w:val="nil"/>
            </w:tcBorders>
            <w:noWrap/>
            <w:vAlign w:val="bottom"/>
            <w:hideMark/>
          </w:tcPr>
          <w:p w14:paraId="60E29C33"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-0.0435</w:t>
            </w:r>
          </w:p>
        </w:tc>
        <w:tc>
          <w:tcPr>
            <w:tcW w:w="0" w:type="auto"/>
            <w:tcBorders>
              <w:top w:val="nil"/>
              <w:left w:val="nil"/>
              <w:bottom w:val="nil"/>
              <w:right w:val="nil"/>
            </w:tcBorders>
            <w:noWrap/>
            <w:vAlign w:val="bottom"/>
            <w:hideMark/>
          </w:tcPr>
          <w:p w14:paraId="708F4C9B"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0.0922</w:t>
            </w:r>
          </w:p>
        </w:tc>
        <w:tc>
          <w:tcPr>
            <w:tcW w:w="0" w:type="auto"/>
            <w:tcBorders>
              <w:top w:val="nil"/>
              <w:left w:val="nil"/>
              <w:bottom w:val="nil"/>
              <w:right w:val="nil"/>
            </w:tcBorders>
            <w:noWrap/>
            <w:vAlign w:val="bottom"/>
            <w:hideMark/>
          </w:tcPr>
          <w:p w14:paraId="447ACEB8"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0.1855*</w:t>
            </w:r>
          </w:p>
        </w:tc>
        <w:tc>
          <w:tcPr>
            <w:tcW w:w="0" w:type="auto"/>
            <w:tcBorders>
              <w:top w:val="nil"/>
              <w:left w:val="nil"/>
              <w:bottom w:val="nil"/>
              <w:right w:val="nil"/>
            </w:tcBorders>
            <w:noWrap/>
            <w:vAlign w:val="bottom"/>
            <w:hideMark/>
          </w:tcPr>
          <w:p w14:paraId="36593ECA"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-0.0547</w:t>
            </w:r>
          </w:p>
        </w:tc>
        <w:tc>
          <w:tcPr>
            <w:tcW w:w="0" w:type="auto"/>
            <w:tcBorders>
              <w:top w:val="nil"/>
              <w:left w:val="nil"/>
              <w:bottom w:val="nil"/>
              <w:right w:val="nil"/>
            </w:tcBorders>
            <w:noWrap/>
            <w:vAlign w:val="bottom"/>
            <w:hideMark/>
          </w:tcPr>
          <w:p w14:paraId="18CA8BF9"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-0.084</w:t>
            </w:r>
          </w:p>
        </w:tc>
        <w:tc>
          <w:tcPr>
            <w:tcW w:w="0" w:type="auto"/>
            <w:tcBorders>
              <w:top w:val="nil"/>
              <w:left w:val="nil"/>
              <w:bottom w:val="nil"/>
              <w:right w:val="nil"/>
            </w:tcBorders>
            <w:noWrap/>
            <w:vAlign w:val="bottom"/>
            <w:hideMark/>
          </w:tcPr>
          <w:p w14:paraId="2D6898F7"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0.1801*</w:t>
            </w:r>
          </w:p>
        </w:tc>
        <w:tc>
          <w:tcPr>
            <w:tcW w:w="0" w:type="auto"/>
            <w:tcBorders>
              <w:top w:val="nil"/>
              <w:left w:val="nil"/>
              <w:bottom w:val="nil"/>
              <w:right w:val="nil"/>
            </w:tcBorders>
            <w:noWrap/>
            <w:vAlign w:val="bottom"/>
            <w:hideMark/>
          </w:tcPr>
          <w:p w14:paraId="20C0F67A" w14:textId="77777777" w:rsidR="00691375" w:rsidRPr="00AF6009" w:rsidRDefault="00691375" w:rsidP="00F76224">
            <w:pPr>
              <w:spacing w:after="0" w:line="240" w:lineRule="auto"/>
              <w:jc w:val="right"/>
              <w:rPr>
                <w:rFonts w:ascii="Times New Roman" w:eastAsia="Times New Roman" w:hAnsi="Times New Roman" w:cs="Times New Roman"/>
                <w:sz w:val="18"/>
                <w:szCs w:val="18"/>
              </w:rPr>
            </w:pPr>
            <w:r w:rsidRPr="00AF6009">
              <w:rPr>
                <w:rFonts w:ascii="Times New Roman" w:eastAsia="Times New Roman" w:hAnsi="Times New Roman" w:cs="Times New Roman"/>
                <w:sz w:val="18"/>
                <w:szCs w:val="18"/>
              </w:rPr>
              <w:t>0.8809*</w:t>
            </w:r>
          </w:p>
        </w:tc>
        <w:tc>
          <w:tcPr>
            <w:tcW w:w="0" w:type="auto"/>
            <w:tcBorders>
              <w:top w:val="nil"/>
              <w:left w:val="nil"/>
              <w:bottom w:val="nil"/>
              <w:right w:val="nil"/>
            </w:tcBorders>
            <w:noWrap/>
            <w:vAlign w:val="bottom"/>
            <w:hideMark/>
          </w:tcPr>
          <w:p w14:paraId="25BC6962" w14:textId="77777777" w:rsidR="00691375" w:rsidRPr="00AF6009" w:rsidRDefault="00691375" w:rsidP="00F76224">
            <w:pPr>
              <w:spacing w:after="0" w:line="240" w:lineRule="auto"/>
              <w:jc w:val="right"/>
              <w:rPr>
                <w:rFonts w:ascii="Times New Roman" w:eastAsia="Times New Roman" w:hAnsi="Times New Roman" w:cs="Times New Roman"/>
                <w:sz w:val="18"/>
                <w:szCs w:val="18"/>
              </w:rPr>
            </w:pPr>
            <w:r w:rsidRPr="00AF6009">
              <w:rPr>
                <w:rFonts w:ascii="Times New Roman" w:eastAsia="Times New Roman" w:hAnsi="Times New Roman" w:cs="Times New Roman"/>
                <w:sz w:val="18"/>
                <w:szCs w:val="18"/>
              </w:rPr>
              <w:t>0.7588*</w:t>
            </w:r>
          </w:p>
        </w:tc>
        <w:tc>
          <w:tcPr>
            <w:tcW w:w="0" w:type="auto"/>
            <w:tcBorders>
              <w:top w:val="nil"/>
              <w:left w:val="nil"/>
              <w:bottom w:val="nil"/>
              <w:right w:val="nil"/>
            </w:tcBorders>
            <w:noWrap/>
            <w:vAlign w:val="bottom"/>
            <w:hideMark/>
          </w:tcPr>
          <w:p w14:paraId="48239DE2"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1.0000</w:t>
            </w:r>
          </w:p>
        </w:tc>
      </w:tr>
      <w:tr w:rsidR="00691375" w:rsidRPr="0091096D" w14:paraId="34BE3B3B" w14:textId="77777777" w:rsidTr="00724758">
        <w:trPr>
          <w:trHeight w:val="300"/>
        </w:trPr>
        <w:tc>
          <w:tcPr>
            <w:tcW w:w="0" w:type="auto"/>
            <w:tcBorders>
              <w:top w:val="nil"/>
              <w:left w:val="nil"/>
              <w:bottom w:val="single" w:sz="4" w:space="0" w:color="auto"/>
              <w:right w:val="nil"/>
            </w:tcBorders>
            <w:noWrap/>
            <w:vAlign w:val="bottom"/>
            <w:hideMark/>
          </w:tcPr>
          <w:p w14:paraId="7A2786C2"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 </w:t>
            </w:r>
          </w:p>
        </w:tc>
        <w:tc>
          <w:tcPr>
            <w:tcW w:w="801" w:type="dxa"/>
            <w:tcBorders>
              <w:top w:val="nil"/>
              <w:left w:val="nil"/>
              <w:bottom w:val="single" w:sz="4" w:space="0" w:color="auto"/>
              <w:right w:val="nil"/>
            </w:tcBorders>
            <w:noWrap/>
            <w:vAlign w:val="bottom"/>
            <w:hideMark/>
          </w:tcPr>
          <w:p w14:paraId="5969AEFF"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0.3075</w:t>
            </w:r>
          </w:p>
        </w:tc>
        <w:tc>
          <w:tcPr>
            <w:tcW w:w="0" w:type="auto"/>
            <w:tcBorders>
              <w:top w:val="nil"/>
              <w:left w:val="nil"/>
              <w:bottom w:val="single" w:sz="4" w:space="0" w:color="auto"/>
              <w:right w:val="nil"/>
            </w:tcBorders>
            <w:noWrap/>
            <w:vAlign w:val="bottom"/>
            <w:hideMark/>
          </w:tcPr>
          <w:p w14:paraId="466B437B"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0.502</w:t>
            </w:r>
          </w:p>
        </w:tc>
        <w:tc>
          <w:tcPr>
            <w:tcW w:w="0" w:type="auto"/>
            <w:tcBorders>
              <w:top w:val="nil"/>
              <w:left w:val="nil"/>
              <w:bottom w:val="single" w:sz="4" w:space="0" w:color="auto"/>
              <w:right w:val="nil"/>
            </w:tcBorders>
            <w:noWrap/>
            <w:vAlign w:val="bottom"/>
            <w:hideMark/>
          </w:tcPr>
          <w:p w14:paraId="1C088D2B"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0.1543</w:t>
            </w:r>
          </w:p>
        </w:tc>
        <w:tc>
          <w:tcPr>
            <w:tcW w:w="0" w:type="auto"/>
            <w:tcBorders>
              <w:top w:val="nil"/>
              <w:left w:val="nil"/>
              <w:bottom w:val="single" w:sz="4" w:space="0" w:color="auto"/>
              <w:right w:val="nil"/>
            </w:tcBorders>
            <w:noWrap/>
            <w:vAlign w:val="bottom"/>
            <w:hideMark/>
          </w:tcPr>
          <w:p w14:paraId="0F1C690A"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0.0039</w:t>
            </w:r>
          </w:p>
        </w:tc>
        <w:tc>
          <w:tcPr>
            <w:tcW w:w="0" w:type="auto"/>
            <w:tcBorders>
              <w:top w:val="nil"/>
              <w:left w:val="nil"/>
              <w:bottom w:val="single" w:sz="4" w:space="0" w:color="auto"/>
              <w:right w:val="nil"/>
            </w:tcBorders>
            <w:noWrap/>
            <w:vAlign w:val="bottom"/>
            <w:hideMark/>
          </w:tcPr>
          <w:p w14:paraId="4FF663DF"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0.3987</w:t>
            </w:r>
          </w:p>
        </w:tc>
        <w:tc>
          <w:tcPr>
            <w:tcW w:w="0" w:type="auto"/>
            <w:tcBorders>
              <w:top w:val="nil"/>
              <w:left w:val="nil"/>
              <w:bottom w:val="single" w:sz="4" w:space="0" w:color="auto"/>
              <w:right w:val="nil"/>
            </w:tcBorders>
            <w:noWrap/>
            <w:vAlign w:val="bottom"/>
            <w:hideMark/>
          </w:tcPr>
          <w:p w14:paraId="3A62478A"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0.1946</w:t>
            </w:r>
          </w:p>
        </w:tc>
        <w:tc>
          <w:tcPr>
            <w:tcW w:w="0" w:type="auto"/>
            <w:tcBorders>
              <w:top w:val="nil"/>
              <w:left w:val="nil"/>
              <w:bottom w:val="single" w:sz="4" w:space="0" w:color="auto"/>
              <w:right w:val="nil"/>
            </w:tcBorders>
            <w:noWrap/>
            <w:vAlign w:val="bottom"/>
            <w:hideMark/>
          </w:tcPr>
          <w:p w14:paraId="675F57B1"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0.0051</w:t>
            </w:r>
          </w:p>
        </w:tc>
        <w:tc>
          <w:tcPr>
            <w:tcW w:w="0" w:type="auto"/>
            <w:tcBorders>
              <w:top w:val="nil"/>
              <w:left w:val="nil"/>
              <w:bottom w:val="single" w:sz="4" w:space="0" w:color="auto"/>
              <w:right w:val="nil"/>
            </w:tcBorders>
            <w:noWrap/>
            <w:vAlign w:val="bottom"/>
            <w:hideMark/>
          </w:tcPr>
          <w:p w14:paraId="4FB403FB"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single" w:sz="4" w:space="0" w:color="auto"/>
              <w:right w:val="nil"/>
            </w:tcBorders>
            <w:noWrap/>
            <w:vAlign w:val="bottom"/>
            <w:hideMark/>
          </w:tcPr>
          <w:p w14:paraId="4809967D" w14:textId="77777777" w:rsidR="00691375" w:rsidRPr="0091096D" w:rsidRDefault="00691375" w:rsidP="00F76224">
            <w:pPr>
              <w:spacing w:after="0" w:line="240" w:lineRule="auto"/>
              <w:jc w:val="right"/>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0.0000</w:t>
            </w:r>
          </w:p>
        </w:tc>
        <w:tc>
          <w:tcPr>
            <w:tcW w:w="0" w:type="auto"/>
            <w:tcBorders>
              <w:top w:val="nil"/>
              <w:left w:val="nil"/>
              <w:bottom w:val="single" w:sz="4" w:space="0" w:color="auto"/>
              <w:right w:val="nil"/>
            </w:tcBorders>
            <w:noWrap/>
            <w:vAlign w:val="bottom"/>
            <w:hideMark/>
          </w:tcPr>
          <w:p w14:paraId="32DF1F3D" w14:textId="77777777" w:rsidR="00691375" w:rsidRPr="0091096D" w:rsidRDefault="00691375" w:rsidP="00F76224">
            <w:pPr>
              <w:spacing w:after="0" w:line="240" w:lineRule="auto"/>
              <w:rPr>
                <w:rFonts w:ascii="Times New Roman" w:eastAsia="Times New Roman" w:hAnsi="Times New Roman" w:cs="Times New Roman"/>
                <w:sz w:val="18"/>
                <w:szCs w:val="18"/>
              </w:rPr>
            </w:pPr>
            <w:r w:rsidRPr="0091096D">
              <w:rPr>
                <w:rFonts w:ascii="Times New Roman" w:eastAsia="Times New Roman" w:hAnsi="Times New Roman" w:cs="Times New Roman"/>
                <w:sz w:val="18"/>
                <w:szCs w:val="18"/>
              </w:rPr>
              <w:t> </w:t>
            </w:r>
          </w:p>
        </w:tc>
      </w:tr>
    </w:tbl>
    <w:p w14:paraId="78782DA2" w14:textId="4B5B9752" w:rsidR="005A1296" w:rsidRPr="004939F9" w:rsidRDefault="005A1296" w:rsidP="00AD68D2">
      <w:pPr>
        <w:spacing w:after="0"/>
        <w:ind w:firstLine="720"/>
        <w:rPr>
          <w:rFonts w:ascii="Times New Roman" w:hAnsi="Times New Roman" w:cs="Times New Roman"/>
          <w:sz w:val="20"/>
          <w:szCs w:val="20"/>
        </w:rPr>
      </w:pPr>
      <w:r w:rsidRPr="004939F9">
        <w:rPr>
          <w:rFonts w:ascii="Times New Roman" w:hAnsi="Times New Roman" w:cs="Times New Roman"/>
          <w:sz w:val="20"/>
          <w:szCs w:val="20"/>
        </w:rPr>
        <w:t>Source: Output of STATA 17</w:t>
      </w:r>
      <w:r w:rsidR="00076FDF">
        <w:rPr>
          <w:rFonts w:ascii="Times New Roman" w:hAnsi="Times New Roman" w:cs="Times New Roman"/>
          <w:sz w:val="20"/>
          <w:szCs w:val="20"/>
        </w:rPr>
        <w:t>(*</w:t>
      </w:r>
      <w:r w:rsidR="00AD68D2">
        <w:rPr>
          <w:rFonts w:ascii="Times New Roman" w:hAnsi="Times New Roman" w:cs="Times New Roman"/>
          <w:sz w:val="20"/>
          <w:szCs w:val="20"/>
        </w:rPr>
        <w:t xml:space="preserve"> is 1% level of significance</w:t>
      </w:r>
      <w:r w:rsidR="00160F94">
        <w:rPr>
          <w:rFonts w:ascii="Times New Roman" w:hAnsi="Times New Roman" w:cs="Times New Roman"/>
          <w:sz w:val="20"/>
          <w:szCs w:val="20"/>
        </w:rPr>
        <w:t>)</w:t>
      </w:r>
    </w:p>
    <w:p w14:paraId="7F9C25AB" w14:textId="77777777" w:rsidR="005C586A" w:rsidRDefault="005C586A" w:rsidP="00160F94">
      <w:pPr>
        <w:spacing w:line="360" w:lineRule="auto"/>
        <w:jc w:val="both"/>
        <w:rPr>
          <w:rFonts w:ascii="Times New Roman" w:hAnsi="Times New Roman" w:cs="Times New Roman"/>
          <w:sz w:val="24"/>
          <w:szCs w:val="24"/>
        </w:rPr>
      </w:pPr>
    </w:p>
    <w:p w14:paraId="3DE8FD26" w14:textId="2DF3DE19" w:rsidR="00160F94" w:rsidRPr="00776FDA" w:rsidRDefault="00160F94" w:rsidP="00160F94">
      <w:pPr>
        <w:spacing w:line="360" w:lineRule="auto"/>
        <w:jc w:val="both"/>
        <w:rPr>
          <w:rFonts w:ascii="Times New Roman" w:hAnsi="Times New Roman" w:cs="Times New Roman"/>
          <w:sz w:val="24"/>
          <w:szCs w:val="24"/>
        </w:rPr>
      </w:pPr>
      <w:r w:rsidRPr="00776FDA">
        <w:rPr>
          <w:rFonts w:ascii="Times New Roman" w:hAnsi="Times New Roman" w:cs="Times New Roman"/>
          <w:sz w:val="24"/>
          <w:szCs w:val="24"/>
        </w:rPr>
        <w:t xml:space="preserve">Liquidity (CUR), leverage (DER), and operational efficiency (TAT) exhibit weak or mixed correlations with share price, signalling that their valuation effects may be context-dependent or conditional on other firm characteristics. Firm size is positively correlated with share price and </w:t>
      </w:r>
      <w:r w:rsidRPr="00776FDA">
        <w:rPr>
          <w:rFonts w:ascii="Times New Roman" w:hAnsi="Times New Roman" w:cs="Times New Roman"/>
          <w:sz w:val="24"/>
          <w:szCs w:val="24"/>
        </w:rPr>
        <w:lastRenderedPageBreak/>
        <w:t>profitability but negatively correlated with liquidity, suggesting that larger firms may operate with tighter working capital positions due to better access to capital markets.</w:t>
      </w:r>
    </w:p>
    <w:p w14:paraId="32FEEA31" w14:textId="543F87E8" w:rsidR="00992859" w:rsidRPr="005C586A" w:rsidRDefault="00160F94" w:rsidP="005C586A">
      <w:pPr>
        <w:spacing w:line="360" w:lineRule="auto"/>
        <w:jc w:val="both"/>
        <w:rPr>
          <w:rFonts w:ascii="Times New Roman" w:hAnsi="Times New Roman" w:cs="Times New Roman"/>
          <w:sz w:val="24"/>
          <w:szCs w:val="24"/>
        </w:rPr>
      </w:pPr>
      <w:r w:rsidRPr="00776FDA">
        <w:rPr>
          <w:rFonts w:ascii="Times New Roman" w:hAnsi="Times New Roman" w:cs="Times New Roman"/>
          <w:sz w:val="24"/>
          <w:szCs w:val="24"/>
        </w:rPr>
        <w:t>Strong correlations are observed among the macroeconomic variables, particularly between exchange rate and inflation (r = 0.88, p &lt; 0.01) and between exchange rate and interest rate (r = 0.76, p &lt; 0.01). While these correlations exceed conventional warning thresholds, variance inflation factor (VIF) diagnostics (mean VIF = 2.34) remain well below the critical value of 10, indicating the absence of severe multicollinearity. These correlations are theoretically expected in Nigeria’s macroeconomic context and reflect policy interdependence rather than statistical redundancy. Excluding these variables would risk omitted variable bias; hence, all controls are retained</w:t>
      </w:r>
      <w:r w:rsidRPr="004939F9">
        <w:rPr>
          <w:rFonts w:ascii="Times New Roman" w:hAnsi="Times New Roman" w:cs="Times New Roman"/>
          <w:sz w:val="24"/>
          <w:szCs w:val="24"/>
        </w:rPr>
        <w:t>.</w:t>
      </w:r>
    </w:p>
    <w:p w14:paraId="2901C6E3" w14:textId="77777777" w:rsidR="005C586A" w:rsidRPr="00A52D48" w:rsidRDefault="005C586A" w:rsidP="00A52D48">
      <w:pPr>
        <w:pStyle w:val="Heading2"/>
        <w:rPr>
          <w:rFonts w:asciiTheme="majorBidi" w:hAnsiTheme="majorBidi"/>
          <w:b/>
          <w:bCs/>
          <w:color w:val="auto"/>
          <w:sz w:val="24"/>
          <w:szCs w:val="24"/>
        </w:rPr>
      </w:pPr>
      <w:r w:rsidRPr="00A52D48">
        <w:rPr>
          <w:rFonts w:asciiTheme="majorBidi" w:hAnsiTheme="majorBidi"/>
          <w:b/>
          <w:bCs/>
          <w:color w:val="auto"/>
          <w:sz w:val="24"/>
          <w:szCs w:val="24"/>
        </w:rPr>
        <w:t>4.3 Regression Results and Discussion</w:t>
      </w:r>
    </w:p>
    <w:p w14:paraId="67F87AB2"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Table 4 reports the results of the Generalised Least Squares (GLS) regression examining the direct and moderating effects of financial metrics on share prices. GLS estimation is employed to address violations of normality and potential heteroscedasticity detected in preliminary diagnostics, ensuring efficient and unbiased coefficient estimates.</w:t>
      </w:r>
    </w:p>
    <w:p w14:paraId="46CF1155" w14:textId="7CEB9CFF" w:rsidR="00B53349" w:rsidRDefault="00165E36" w:rsidP="0096630C">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The results indicate that Return on Equity (ROE) has a positive and statistically significant effect on share price (β = 1.5715, z = 3.23, p = 0.001). This finding implies that profitability is a key driver of firm valuation in Nigeria’s agriculture and consumer goods sectors. Economically, a one-unit increase in ROE is associated with an approximate 1.57-unit increase in share price, holding other factors constant. This outcome aligns with clean surplus valuation theory and corroborates empirical evidence from emerging markets (Nugraha et al., 2024; Salouhi &amp; Bakari, 2024; Abel et al., 2024).</w:t>
      </w:r>
    </w:p>
    <w:p w14:paraId="40EB1632" w14:textId="77777777" w:rsidR="00B53349" w:rsidRDefault="00B53349" w:rsidP="00B533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 GLS Regression output of t</w:t>
      </w:r>
      <w:r w:rsidRPr="007C1550">
        <w:rPr>
          <w:rFonts w:ascii="Times New Roman" w:hAnsi="Times New Roman" w:cs="Times New Roman"/>
          <w:sz w:val="24"/>
          <w:szCs w:val="24"/>
        </w:rPr>
        <w:t>he interaction of Firm Size and Financial Metrics</w:t>
      </w:r>
    </w:p>
    <w:tbl>
      <w:tblPr>
        <w:tblW w:w="5416" w:type="dxa"/>
        <w:tblLook w:val="04A0" w:firstRow="1" w:lastRow="0" w:firstColumn="1" w:lastColumn="0" w:noHBand="0" w:noVBand="1"/>
      </w:tblPr>
      <w:tblGrid>
        <w:gridCol w:w="990"/>
        <w:gridCol w:w="1336"/>
        <w:gridCol w:w="1170"/>
        <w:gridCol w:w="960"/>
        <w:gridCol w:w="960"/>
      </w:tblGrid>
      <w:tr w:rsidR="00B53349" w:rsidRPr="00724758" w14:paraId="71DAF275" w14:textId="77777777" w:rsidTr="008D1B45">
        <w:trPr>
          <w:trHeight w:val="300"/>
        </w:trPr>
        <w:tc>
          <w:tcPr>
            <w:tcW w:w="990" w:type="dxa"/>
            <w:tcBorders>
              <w:top w:val="single" w:sz="4" w:space="0" w:color="auto"/>
              <w:left w:val="nil"/>
              <w:bottom w:val="single" w:sz="4" w:space="0" w:color="auto"/>
              <w:right w:val="nil"/>
            </w:tcBorders>
            <w:noWrap/>
            <w:vAlign w:val="bottom"/>
            <w:hideMark/>
          </w:tcPr>
          <w:p w14:paraId="15BF60CC" w14:textId="77777777" w:rsidR="00B53349" w:rsidRPr="00724758" w:rsidRDefault="00B53349" w:rsidP="008D1B45">
            <w:pPr>
              <w:spacing w:after="0" w:line="240" w:lineRule="auto"/>
              <w:rPr>
                <w:rFonts w:ascii="Times New Roman" w:eastAsia="Times New Roman" w:hAnsi="Times New Roman" w:cs="Times New Roman"/>
                <w:b/>
                <w:bCs/>
              </w:rPr>
            </w:pPr>
            <w:r w:rsidRPr="00724758">
              <w:rPr>
                <w:rFonts w:ascii="Times New Roman" w:eastAsia="Times New Roman" w:hAnsi="Times New Roman" w:cs="Times New Roman"/>
                <w:b/>
                <w:bCs/>
              </w:rPr>
              <w:t>lshp</w:t>
            </w:r>
          </w:p>
        </w:tc>
        <w:tc>
          <w:tcPr>
            <w:tcW w:w="1336" w:type="dxa"/>
            <w:tcBorders>
              <w:top w:val="single" w:sz="4" w:space="0" w:color="auto"/>
              <w:left w:val="nil"/>
              <w:bottom w:val="single" w:sz="4" w:space="0" w:color="auto"/>
              <w:right w:val="nil"/>
            </w:tcBorders>
            <w:noWrap/>
            <w:vAlign w:val="bottom"/>
            <w:hideMark/>
          </w:tcPr>
          <w:p w14:paraId="69F12369" w14:textId="77777777" w:rsidR="00B53349" w:rsidRPr="00724758" w:rsidRDefault="00B53349" w:rsidP="008D1B45">
            <w:pPr>
              <w:spacing w:after="0" w:line="240" w:lineRule="auto"/>
              <w:jc w:val="center"/>
              <w:rPr>
                <w:rFonts w:ascii="Times New Roman" w:eastAsia="Times New Roman" w:hAnsi="Times New Roman" w:cs="Times New Roman"/>
                <w:b/>
                <w:bCs/>
              </w:rPr>
            </w:pPr>
            <w:r w:rsidRPr="00724758">
              <w:rPr>
                <w:rFonts w:ascii="Times New Roman" w:eastAsia="Times New Roman" w:hAnsi="Times New Roman" w:cs="Times New Roman"/>
                <w:b/>
                <w:bCs/>
              </w:rPr>
              <w:t>Coefficient</w:t>
            </w:r>
          </w:p>
        </w:tc>
        <w:tc>
          <w:tcPr>
            <w:tcW w:w="1170" w:type="dxa"/>
            <w:tcBorders>
              <w:top w:val="single" w:sz="4" w:space="0" w:color="auto"/>
              <w:left w:val="nil"/>
              <w:bottom w:val="single" w:sz="4" w:space="0" w:color="auto"/>
              <w:right w:val="nil"/>
            </w:tcBorders>
            <w:noWrap/>
            <w:vAlign w:val="bottom"/>
            <w:hideMark/>
          </w:tcPr>
          <w:p w14:paraId="62E860EA" w14:textId="77777777" w:rsidR="00B53349" w:rsidRPr="00724758" w:rsidRDefault="00B53349" w:rsidP="008D1B45">
            <w:pPr>
              <w:spacing w:after="0" w:line="240" w:lineRule="auto"/>
              <w:jc w:val="center"/>
              <w:rPr>
                <w:rFonts w:ascii="Times New Roman" w:eastAsia="Times New Roman" w:hAnsi="Times New Roman" w:cs="Times New Roman"/>
                <w:b/>
                <w:bCs/>
              </w:rPr>
            </w:pPr>
            <w:r w:rsidRPr="00724758">
              <w:rPr>
                <w:rFonts w:ascii="Times New Roman" w:eastAsia="Times New Roman" w:hAnsi="Times New Roman" w:cs="Times New Roman"/>
                <w:b/>
                <w:bCs/>
              </w:rPr>
              <w:t>Std. err.</w:t>
            </w:r>
          </w:p>
        </w:tc>
        <w:tc>
          <w:tcPr>
            <w:tcW w:w="960" w:type="dxa"/>
            <w:tcBorders>
              <w:top w:val="single" w:sz="4" w:space="0" w:color="auto"/>
              <w:left w:val="nil"/>
              <w:bottom w:val="single" w:sz="4" w:space="0" w:color="auto"/>
              <w:right w:val="nil"/>
            </w:tcBorders>
            <w:noWrap/>
            <w:vAlign w:val="bottom"/>
            <w:hideMark/>
          </w:tcPr>
          <w:p w14:paraId="07DACED2" w14:textId="77777777" w:rsidR="00B53349" w:rsidRPr="00724758" w:rsidRDefault="00B53349" w:rsidP="008D1B45">
            <w:pPr>
              <w:spacing w:after="0" w:line="240" w:lineRule="auto"/>
              <w:jc w:val="center"/>
              <w:rPr>
                <w:rFonts w:ascii="Times New Roman" w:eastAsia="Times New Roman" w:hAnsi="Times New Roman" w:cs="Times New Roman"/>
                <w:b/>
                <w:bCs/>
              </w:rPr>
            </w:pPr>
            <w:r w:rsidRPr="00724758">
              <w:rPr>
                <w:rFonts w:ascii="Times New Roman" w:eastAsia="Times New Roman" w:hAnsi="Times New Roman" w:cs="Times New Roman"/>
                <w:b/>
                <w:bCs/>
              </w:rPr>
              <w:t>Z</w:t>
            </w:r>
          </w:p>
        </w:tc>
        <w:tc>
          <w:tcPr>
            <w:tcW w:w="960" w:type="dxa"/>
            <w:tcBorders>
              <w:top w:val="single" w:sz="4" w:space="0" w:color="auto"/>
              <w:left w:val="nil"/>
              <w:bottom w:val="single" w:sz="4" w:space="0" w:color="auto"/>
              <w:right w:val="nil"/>
            </w:tcBorders>
            <w:noWrap/>
            <w:vAlign w:val="bottom"/>
            <w:hideMark/>
          </w:tcPr>
          <w:p w14:paraId="703D11A6" w14:textId="77777777" w:rsidR="00B53349" w:rsidRPr="00724758" w:rsidRDefault="00B53349" w:rsidP="008D1B45">
            <w:pPr>
              <w:spacing w:after="0" w:line="240" w:lineRule="auto"/>
              <w:jc w:val="center"/>
              <w:rPr>
                <w:rFonts w:ascii="Times New Roman" w:eastAsia="Times New Roman" w:hAnsi="Times New Roman" w:cs="Times New Roman"/>
                <w:b/>
                <w:bCs/>
              </w:rPr>
            </w:pPr>
            <w:r w:rsidRPr="00724758">
              <w:rPr>
                <w:rFonts w:ascii="Times New Roman" w:eastAsia="Times New Roman" w:hAnsi="Times New Roman" w:cs="Times New Roman"/>
                <w:b/>
                <w:bCs/>
              </w:rPr>
              <w:t xml:space="preserve">   P</w:t>
            </w:r>
          </w:p>
        </w:tc>
      </w:tr>
      <w:tr w:rsidR="00B53349" w:rsidRPr="00724758" w14:paraId="6C31AFA4" w14:textId="77777777" w:rsidTr="008D1B45">
        <w:trPr>
          <w:trHeight w:val="300"/>
        </w:trPr>
        <w:tc>
          <w:tcPr>
            <w:tcW w:w="990" w:type="dxa"/>
            <w:tcBorders>
              <w:top w:val="nil"/>
              <w:left w:val="nil"/>
              <w:bottom w:val="nil"/>
              <w:right w:val="nil"/>
            </w:tcBorders>
            <w:noWrap/>
            <w:vAlign w:val="bottom"/>
            <w:hideMark/>
          </w:tcPr>
          <w:p w14:paraId="779454BB"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roe</w:t>
            </w:r>
          </w:p>
        </w:tc>
        <w:tc>
          <w:tcPr>
            <w:tcW w:w="1336" w:type="dxa"/>
            <w:tcBorders>
              <w:top w:val="nil"/>
              <w:left w:val="nil"/>
              <w:bottom w:val="nil"/>
              <w:right w:val="nil"/>
            </w:tcBorders>
            <w:noWrap/>
            <w:vAlign w:val="bottom"/>
            <w:hideMark/>
          </w:tcPr>
          <w:p w14:paraId="10838F3C"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1.5715</w:t>
            </w:r>
          </w:p>
        </w:tc>
        <w:tc>
          <w:tcPr>
            <w:tcW w:w="1170" w:type="dxa"/>
            <w:tcBorders>
              <w:top w:val="nil"/>
              <w:left w:val="nil"/>
              <w:bottom w:val="nil"/>
              <w:right w:val="nil"/>
            </w:tcBorders>
            <w:noWrap/>
            <w:vAlign w:val="bottom"/>
            <w:hideMark/>
          </w:tcPr>
          <w:p w14:paraId="221AA9AB"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0.4865</w:t>
            </w:r>
          </w:p>
        </w:tc>
        <w:tc>
          <w:tcPr>
            <w:tcW w:w="960" w:type="dxa"/>
            <w:tcBorders>
              <w:top w:val="nil"/>
              <w:left w:val="nil"/>
              <w:bottom w:val="nil"/>
              <w:right w:val="nil"/>
            </w:tcBorders>
            <w:noWrap/>
            <w:vAlign w:val="bottom"/>
            <w:hideMark/>
          </w:tcPr>
          <w:p w14:paraId="73EBD9CA"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3.230</w:t>
            </w:r>
          </w:p>
        </w:tc>
        <w:tc>
          <w:tcPr>
            <w:tcW w:w="960" w:type="dxa"/>
            <w:tcBorders>
              <w:top w:val="nil"/>
              <w:left w:val="nil"/>
              <w:bottom w:val="nil"/>
              <w:right w:val="nil"/>
            </w:tcBorders>
            <w:noWrap/>
            <w:vAlign w:val="bottom"/>
            <w:hideMark/>
          </w:tcPr>
          <w:p w14:paraId="3A0EFDF7"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0.001</w:t>
            </w:r>
          </w:p>
        </w:tc>
      </w:tr>
      <w:tr w:rsidR="00B53349" w:rsidRPr="00724758" w14:paraId="11125D3E" w14:textId="77777777" w:rsidTr="008D1B45">
        <w:trPr>
          <w:trHeight w:val="300"/>
        </w:trPr>
        <w:tc>
          <w:tcPr>
            <w:tcW w:w="990" w:type="dxa"/>
            <w:tcBorders>
              <w:top w:val="nil"/>
              <w:left w:val="nil"/>
              <w:bottom w:val="nil"/>
              <w:right w:val="nil"/>
            </w:tcBorders>
            <w:noWrap/>
            <w:vAlign w:val="bottom"/>
            <w:hideMark/>
          </w:tcPr>
          <w:p w14:paraId="492C0849"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cur</w:t>
            </w:r>
          </w:p>
        </w:tc>
        <w:tc>
          <w:tcPr>
            <w:tcW w:w="1336" w:type="dxa"/>
            <w:tcBorders>
              <w:top w:val="nil"/>
              <w:left w:val="nil"/>
              <w:bottom w:val="nil"/>
              <w:right w:val="nil"/>
            </w:tcBorders>
            <w:noWrap/>
            <w:vAlign w:val="bottom"/>
            <w:hideMark/>
          </w:tcPr>
          <w:p w14:paraId="3946ACF7"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-0.1450</w:t>
            </w:r>
          </w:p>
        </w:tc>
        <w:tc>
          <w:tcPr>
            <w:tcW w:w="1170" w:type="dxa"/>
            <w:tcBorders>
              <w:top w:val="nil"/>
              <w:left w:val="nil"/>
              <w:bottom w:val="nil"/>
              <w:right w:val="nil"/>
            </w:tcBorders>
            <w:noWrap/>
            <w:vAlign w:val="bottom"/>
            <w:hideMark/>
          </w:tcPr>
          <w:p w14:paraId="67664E67"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0.2210</w:t>
            </w:r>
          </w:p>
        </w:tc>
        <w:tc>
          <w:tcPr>
            <w:tcW w:w="960" w:type="dxa"/>
            <w:tcBorders>
              <w:top w:val="nil"/>
              <w:left w:val="nil"/>
              <w:bottom w:val="nil"/>
              <w:right w:val="nil"/>
            </w:tcBorders>
            <w:noWrap/>
            <w:vAlign w:val="bottom"/>
            <w:hideMark/>
          </w:tcPr>
          <w:p w14:paraId="5ADABAFB"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-0.660</w:t>
            </w:r>
          </w:p>
        </w:tc>
        <w:tc>
          <w:tcPr>
            <w:tcW w:w="960" w:type="dxa"/>
            <w:tcBorders>
              <w:top w:val="nil"/>
              <w:left w:val="nil"/>
              <w:bottom w:val="nil"/>
              <w:right w:val="nil"/>
            </w:tcBorders>
            <w:noWrap/>
            <w:vAlign w:val="bottom"/>
            <w:hideMark/>
          </w:tcPr>
          <w:p w14:paraId="144408CD"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0.512</w:t>
            </w:r>
          </w:p>
        </w:tc>
      </w:tr>
      <w:tr w:rsidR="00B53349" w:rsidRPr="00724758" w14:paraId="1A1EBE22" w14:textId="77777777" w:rsidTr="008D1B45">
        <w:trPr>
          <w:trHeight w:val="300"/>
        </w:trPr>
        <w:tc>
          <w:tcPr>
            <w:tcW w:w="990" w:type="dxa"/>
            <w:tcBorders>
              <w:top w:val="nil"/>
              <w:left w:val="nil"/>
              <w:bottom w:val="nil"/>
              <w:right w:val="nil"/>
            </w:tcBorders>
            <w:noWrap/>
            <w:vAlign w:val="bottom"/>
            <w:hideMark/>
          </w:tcPr>
          <w:p w14:paraId="088FD2EB"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der</w:t>
            </w:r>
          </w:p>
        </w:tc>
        <w:tc>
          <w:tcPr>
            <w:tcW w:w="1336" w:type="dxa"/>
            <w:tcBorders>
              <w:top w:val="nil"/>
              <w:left w:val="nil"/>
              <w:bottom w:val="nil"/>
              <w:right w:val="nil"/>
            </w:tcBorders>
            <w:noWrap/>
            <w:vAlign w:val="bottom"/>
            <w:hideMark/>
          </w:tcPr>
          <w:p w14:paraId="109B281D"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0.0389</w:t>
            </w:r>
          </w:p>
        </w:tc>
        <w:tc>
          <w:tcPr>
            <w:tcW w:w="1170" w:type="dxa"/>
            <w:tcBorders>
              <w:top w:val="nil"/>
              <w:left w:val="nil"/>
              <w:bottom w:val="nil"/>
              <w:right w:val="nil"/>
            </w:tcBorders>
            <w:noWrap/>
            <w:vAlign w:val="bottom"/>
            <w:hideMark/>
          </w:tcPr>
          <w:p w14:paraId="2B5E907E"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0.0568</w:t>
            </w:r>
          </w:p>
        </w:tc>
        <w:tc>
          <w:tcPr>
            <w:tcW w:w="960" w:type="dxa"/>
            <w:tcBorders>
              <w:top w:val="nil"/>
              <w:left w:val="nil"/>
              <w:bottom w:val="nil"/>
              <w:right w:val="nil"/>
            </w:tcBorders>
            <w:noWrap/>
            <w:vAlign w:val="bottom"/>
            <w:hideMark/>
          </w:tcPr>
          <w:p w14:paraId="65D9EED7"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0.680</w:t>
            </w:r>
          </w:p>
        </w:tc>
        <w:tc>
          <w:tcPr>
            <w:tcW w:w="960" w:type="dxa"/>
            <w:tcBorders>
              <w:top w:val="nil"/>
              <w:left w:val="nil"/>
              <w:bottom w:val="nil"/>
              <w:right w:val="nil"/>
            </w:tcBorders>
            <w:noWrap/>
            <w:vAlign w:val="bottom"/>
            <w:hideMark/>
          </w:tcPr>
          <w:p w14:paraId="74AC895E"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0.493</w:t>
            </w:r>
          </w:p>
        </w:tc>
      </w:tr>
      <w:tr w:rsidR="00B53349" w:rsidRPr="00724758" w14:paraId="3F9B1AB4" w14:textId="77777777" w:rsidTr="008D1B45">
        <w:trPr>
          <w:trHeight w:val="300"/>
        </w:trPr>
        <w:tc>
          <w:tcPr>
            <w:tcW w:w="990" w:type="dxa"/>
            <w:tcBorders>
              <w:top w:val="nil"/>
              <w:left w:val="nil"/>
              <w:bottom w:val="nil"/>
              <w:right w:val="nil"/>
            </w:tcBorders>
            <w:noWrap/>
            <w:vAlign w:val="bottom"/>
            <w:hideMark/>
          </w:tcPr>
          <w:p w14:paraId="2870CFE2"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tat</w:t>
            </w:r>
          </w:p>
        </w:tc>
        <w:tc>
          <w:tcPr>
            <w:tcW w:w="1336" w:type="dxa"/>
            <w:tcBorders>
              <w:top w:val="nil"/>
              <w:left w:val="nil"/>
              <w:bottom w:val="nil"/>
              <w:right w:val="nil"/>
            </w:tcBorders>
            <w:noWrap/>
            <w:vAlign w:val="bottom"/>
            <w:hideMark/>
          </w:tcPr>
          <w:p w14:paraId="0AE3C70E"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0.0750</w:t>
            </w:r>
          </w:p>
        </w:tc>
        <w:tc>
          <w:tcPr>
            <w:tcW w:w="1170" w:type="dxa"/>
            <w:tcBorders>
              <w:top w:val="nil"/>
              <w:left w:val="nil"/>
              <w:bottom w:val="nil"/>
              <w:right w:val="nil"/>
            </w:tcBorders>
            <w:noWrap/>
            <w:vAlign w:val="bottom"/>
            <w:hideMark/>
          </w:tcPr>
          <w:p w14:paraId="5F580F2B"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0.1832</w:t>
            </w:r>
          </w:p>
        </w:tc>
        <w:tc>
          <w:tcPr>
            <w:tcW w:w="960" w:type="dxa"/>
            <w:tcBorders>
              <w:top w:val="nil"/>
              <w:left w:val="nil"/>
              <w:bottom w:val="nil"/>
              <w:right w:val="nil"/>
            </w:tcBorders>
            <w:noWrap/>
            <w:vAlign w:val="bottom"/>
            <w:hideMark/>
          </w:tcPr>
          <w:p w14:paraId="504ACF78"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0.410</w:t>
            </w:r>
          </w:p>
        </w:tc>
        <w:tc>
          <w:tcPr>
            <w:tcW w:w="960" w:type="dxa"/>
            <w:tcBorders>
              <w:top w:val="nil"/>
              <w:left w:val="nil"/>
              <w:bottom w:val="nil"/>
              <w:right w:val="nil"/>
            </w:tcBorders>
            <w:noWrap/>
            <w:vAlign w:val="bottom"/>
            <w:hideMark/>
          </w:tcPr>
          <w:p w14:paraId="6106092E"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0.682</w:t>
            </w:r>
          </w:p>
        </w:tc>
      </w:tr>
      <w:tr w:rsidR="00B53349" w:rsidRPr="00724758" w14:paraId="1925E0BF" w14:textId="77777777" w:rsidTr="008D1B45">
        <w:trPr>
          <w:trHeight w:val="300"/>
        </w:trPr>
        <w:tc>
          <w:tcPr>
            <w:tcW w:w="990" w:type="dxa"/>
            <w:tcBorders>
              <w:top w:val="nil"/>
              <w:left w:val="nil"/>
              <w:bottom w:val="nil"/>
              <w:right w:val="nil"/>
            </w:tcBorders>
            <w:noWrap/>
            <w:vAlign w:val="bottom"/>
            <w:hideMark/>
          </w:tcPr>
          <w:p w14:paraId="3C5C41EF"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eps</w:t>
            </w:r>
          </w:p>
        </w:tc>
        <w:tc>
          <w:tcPr>
            <w:tcW w:w="1336" w:type="dxa"/>
            <w:tcBorders>
              <w:top w:val="nil"/>
              <w:left w:val="nil"/>
              <w:bottom w:val="nil"/>
              <w:right w:val="nil"/>
            </w:tcBorders>
            <w:noWrap/>
            <w:vAlign w:val="bottom"/>
            <w:hideMark/>
          </w:tcPr>
          <w:p w14:paraId="3A5A3FCC"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0.7935</w:t>
            </w:r>
          </w:p>
        </w:tc>
        <w:tc>
          <w:tcPr>
            <w:tcW w:w="1170" w:type="dxa"/>
            <w:tcBorders>
              <w:top w:val="nil"/>
              <w:left w:val="nil"/>
              <w:bottom w:val="nil"/>
              <w:right w:val="nil"/>
            </w:tcBorders>
            <w:noWrap/>
            <w:vAlign w:val="bottom"/>
            <w:hideMark/>
          </w:tcPr>
          <w:p w14:paraId="334E4403"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0.1799</w:t>
            </w:r>
          </w:p>
        </w:tc>
        <w:tc>
          <w:tcPr>
            <w:tcW w:w="960" w:type="dxa"/>
            <w:tcBorders>
              <w:top w:val="nil"/>
              <w:left w:val="nil"/>
              <w:bottom w:val="nil"/>
              <w:right w:val="nil"/>
            </w:tcBorders>
            <w:noWrap/>
            <w:vAlign w:val="bottom"/>
            <w:hideMark/>
          </w:tcPr>
          <w:p w14:paraId="5C93E4D4"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4.410</w:t>
            </w:r>
          </w:p>
        </w:tc>
        <w:tc>
          <w:tcPr>
            <w:tcW w:w="960" w:type="dxa"/>
            <w:tcBorders>
              <w:top w:val="nil"/>
              <w:left w:val="nil"/>
              <w:bottom w:val="nil"/>
              <w:right w:val="nil"/>
            </w:tcBorders>
            <w:noWrap/>
            <w:vAlign w:val="bottom"/>
            <w:hideMark/>
          </w:tcPr>
          <w:p w14:paraId="30BE8CA2"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w:t>
            </w:r>
          </w:p>
        </w:tc>
      </w:tr>
      <w:tr w:rsidR="00B53349" w:rsidRPr="00724758" w14:paraId="6AD7F5CE" w14:textId="77777777" w:rsidTr="008D1B45">
        <w:trPr>
          <w:trHeight w:val="300"/>
        </w:trPr>
        <w:tc>
          <w:tcPr>
            <w:tcW w:w="990" w:type="dxa"/>
            <w:tcBorders>
              <w:top w:val="nil"/>
              <w:left w:val="nil"/>
              <w:bottom w:val="nil"/>
              <w:right w:val="nil"/>
            </w:tcBorders>
            <w:noWrap/>
            <w:vAlign w:val="bottom"/>
            <w:hideMark/>
          </w:tcPr>
          <w:p w14:paraId="5D2BB436"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fsz</w:t>
            </w:r>
          </w:p>
        </w:tc>
        <w:tc>
          <w:tcPr>
            <w:tcW w:w="1336" w:type="dxa"/>
            <w:tcBorders>
              <w:top w:val="nil"/>
              <w:left w:val="nil"/>
              <w:bottom w:val="nil"/>
              <w:right w:val="nil"/>
            </w:tcBorders>
            <w:noWrap/>
            <w:vAlign w:val="bottom"/>
            <w:hideMark/>
          </w:tcPr>
          <w:p w14:paraId="70AD57A0"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0.5277</w:t>
            </w:r>
          </w:p>
        </w:tc>
        <w:tc>
          <w:tcPr>
            <w:tcW w:w="1170" w:type="dxa"/>
            <w:tcBorders>
              <w:top w:val="nil"/>
              <w:left w:val="nil"/>
              <w:bottom w:val="nil"/>
              <w:right w:val="nil"/>
            </w:tcBorders>
            <w:noWrap/>
            <w:vAlign w:val="bottom"/>
            <w:hideMark/>
          </w:tcPr>
          <w:p w14:paraId="4507976D"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0.0481</w:t>
            </w:r>
          </w:p>
        </w:tc>
        <w:tc>
          <w:tcPr>
            <w:tcW w:w="960" w:type="dxa"/>
            <w:tcBorders>
              <w:top w:val="nil"/>
              <w:left w:val="nil"/>
              <w:bottom w:val="nil"/>
              <w:right w:val="nil"/>
            </w:tcBorders>
            <w:noWrap/>
            <w:vAlign w:val="bottom"/>
            <w:hideMark/>
          </w:tcPr>
          <w:p w14:paraId="4F4905A4"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10.980</w:t>
            </w:r>
          </w:p>
        </w:tc>
        <w:tc>
          <w:tcPr>
            <w:tcW w:w="960" w:type="dxa"/>
            <w:tcBorders>
              <w:top w:val="nil"/>
              <w:left w:val="nil"/>
              <w:bottom w:val="nil"/>
              <w:right w:val="nil"/>
            </w:tcBorders>
            <w:noWrap/>
            <w:vAlign w:val="bottom"/>
            <w:hideMark/>
          </w:tcPr>
          <w:p w14:paraId="3F6A44A3"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w:t>
            </w:r>
          </w:p>
        </w:tc>
      </w:tr>
      <w:tr w:rsidR="00B53349" w:rsidRPr="00724758" w14:paraId="08CBB202" w14:textId="77777777" w:rsidTr="008D1B45">
        <w:trPr>
          <w:trHeight w:val="300"/>
        </w:trPr>
        <w:tc>
          <w:tcPr>
            <w:tcW w:w="990" w:type="dxa"/>
            <w:tcBorders>
              <w:top w:val="nil"/>
              <w:left w:val="nil"/>
              <w:bottom w:val="nil"/>
              <w:right w:val="nil"/>
            </w:tcBorders>
            <w:noWrap/>
            <w:vAlign w:val="bottom"/>
            <w:hideMark/>
          </w:tcPr>
          <w:p w14:paraId="79FDE2CF"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inf</w:t>
            </w:r>
          </w:p>
        </w:tc>
        <w:tc>
          <w:tcPr>
            <w:tcW w:w="1336" w:type="dxa"/>
            <w:tcBorders>
              <w:top w:val="nil"/>
              <w:left w:val="nil"/>
              <w:bottom w:val="nil"/>
              <w:right w:val="nil"/>
            </w:tcBorders>
            <w:noWrap/>
            <w:vAlign w:val="bottom"/>
            <w:hideMark/>
          </w:tcPr>
          <w:p w14:paraId="1BF30C86"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-0.0348</w:t>
            </w:r>
          </w:p>
        </w:tc>
        <w:tc>
          <w:tcPr>
            <w:tcW w:w="1170" w:type="dxa"/>
            <w:tcBorders>
              <w:top w:val="nil"/>
              <w:left w:val="nil"/>
              <w:bottom w:val="nil"/>
              <w:right w:val="nil"/>
            </w:tcBorders>
            <w:noWrap/>
            <w:vAlign w:val="bottom"/>
            <w:hideMark/>
          </w:tcPr>
          <w:p w14:paraId="563424C1"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0.0319</w:t>
            </w:r>
          </w:p>
        </w:tc>
        <w:tc>
          <w:tcPr>
            <w:tcW w:w="960" w:type="dxa"/>
            <w:tcBorders>
              <w:top w:val="nil"/>
              <w:left w:val="nil"/>
              <w:bottom w:val="nil"/>
              <w:right w:val="nil"/>
            </w:tcBorders>
            <w:noWrap/>
            <w:vAlign w:val="bottom"/>
            <w:hideMark/>
          </w:tcPr>
          <w:p w14:paraId="2972E32C"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-1.090</w:t>
            </w:r>
          </w:p>
        </w:tc>
        <w:tc>
          <w:tcPr>
            <w:tcW w:w="960" w:type="dxa"/>
            <w:tcBorders>
              <w:top w:val="nil"/>
              <w:left w:val="nil"/>
              <w:bottom w:val="nil"/>
              <w:right w:val="nil"/>
            </w:tcBorders>
            <w:noWrap/>
            <w:vAlign w:val="bottom"/>
            <w:hideMark/>
          </w:tcPr>
          <w:p w14:paraId="3781C768"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0.276</w:t>
            </w:r>
          </w:p>
        </w:tc>
      </w:tr>
      <w:tr w:rsidR="00B53349" w:rsidRPr="00724758" w14:paraId="5BEB69C5" w14:textId="77777777" w:rsidTr="008D1B45">
        <w:trPr>
          <w:trHeight w:val="300"/>
        </w:trPr>
        <w:tc>
          <w:tcPr>
            <w:tcW w:w="990" w:type="dxa"/>
            <w:tcBorders>
              <w:top w:val="nil"/>
              <w:left w:val="nil"/>
              <w:bottom w:val="nil"/>
              <w:right w:val="nil"/>
            </w:tcBorders>
            <w:noWrap/>
            <w:vAlign w:val="bottom"/>
            <w:hideMark/>
          </w:tcPr>
          <w:p w14:paraId="0978A64F"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inr</w:t>
            </w:r>
          </w:p>
        </w:tc>
        <w:tc>
          <w:tcPr>
            <w:tcW w:w="1336" w:type="dxa"/>
            <w:tcBorders>
              <w:top w:val="nil"/>
              <w:left w:val="nil"/>
              <w:bottom w:val="nil"/>
              <w:right w:val="nil"/>
            </w:tcBorders>
            <w:noWrap/>
            <w:vAlign w:val="bottom"/>
            <w:hideMark/>
          </w:tcPr>
          <w:p w14:paraId="7490E549"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0.0806</w:t>
            </w:r>
          </w:p>
        </w:tc>
        <w:tc>
          <w:tcPr>
            <w:tcW w:w="1170" w:type="dxa"/>
            <w:tcBorders>
              <w:top w:val="nil"/>
              <w:left w:val="nil"/>
              <w:bottom w:val="nil"/>
              <w:right w:val="nil"/>
            </w:tcBorders>
            <w:noWrap/>
            <w:vAlign w:val="bottom"/>
            <w:hideMark/>
          </w:tcPr>
          <w:p w14:paraId="75B91162"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0.0626</w:t>
            </w:r>
          </w:p>
        </w:tc>
        <w:tc>
          <w:tcPr>
            <w:tcW w:w="960" w:type="dxa"/>
            <w:tcBorders>
              <w:top w:val="nil"/>
              <w:left w:val="nil"/>
              <w:bottom w:val="nil"/>
              <w:right w:val="nil"/>
            </w:tcBorders>
            <w:noWrap/>
            <w:vAlign w:val="bottom"/>
            <w:hideMark/>
          </w:tcPr>
          <w:p w14:paraId="57DCE425"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1.290</w:t>
            </w:r>
          </w:p>
        </w:tc>
        <w:tc>
          <w:tcPr>
            <w:tcW w:w="960" w:type="dxa"/>
            <w:tcBorders>
              <w:top w:val="nil"/>
              <w:left w:val="nil"/>
              <w:bottom w:val="nil"/>
              <w:right w:val="nil"/>
            </w:tcBorders>
            <w:noWrap/>
            <w:vAlign w:val="bottom"/>
            <w:hideMark/>
          </w:tcPr>
          <w:p w14:paraId="50294FE8"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0.198</w:t>
            </w:r>
          </w:p>
        </w:tc>
      </w:tr>
      <w:tr w:rsidR="00B53349" w:rsidRPr="00724758" w14:paraId="6515B791" w14:textId="77777777" w:rsidTr="008D1B45">
        <w:trPr>
          <w:trHeight w:val="300"/>
        </w:trPr>
        <w:tc>
          <w:tcPr>
            <w:tcW w:w="990" w:type="dxa"/>
            <w:tcBorders>
              <w:top w:val="nil"/>
              <w:left w:val="nil"/>
              <w:bottom w:val="nil"/>
              <w:right w:val="nil"/>
            </w:tcBorders>
            <w:noWrap/>
            <w:vAlign w:val="bottom"/>
            <w:hideMark/>
          </w:tcPr>
          <w:p w14:paraId="71459962"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exr</w:t>
            </w:r>
          </w:p>
        </w:tc>
        <w:tc>
          <w:tcPr>
            <w:tcW w:w="1336" w:type="dxa"/>
            <w:tcBorders>
              <w:top w:val="nil"/>
              <w:left w:val="nil"/>
              <w:bottom w:val="nil"/>
              <w:right w:val="nil"/>
            </w:tcBorders>
            <w:noWrap/>
            <w:vAlign w:val="bottom"/>
            <w:hideMark/>
          </w:tcPr>
          <w:p w14:paraId="161A373F"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-0.0003</w:t>
            </w:r>
          </w:p>
        </w:tc>
        <w:tc>
          <w:tcPr>
            <w:tcW w:w="1170" w:type="dxa"/>
            <w:tcBorders>
              <w:top w:val="nil"/>
              <w:left w:val="nil"/>
              <w:bottom w:val="nil"/>
              <w:right w:val="nil"/>
            </w:tcBorders>
            <w:noWrap/>
            <w:vAlign w:val="bottom"/>
            <w:hideMark/>
          </w:tcPr>
          <w:p w14:paraId="06C61C12"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0.0009</w:t>
            </w:r>
          </w:p>
        </w:tc>
        <w:tc>
          <w:tcPr>
            <w:tcW w:w="960" w:type="dxa"/>
            <w:tcBorders>
              <w:top w:val="nil"/>
              <w:left w:val="nil"/>
              <w:bottom w:val="nil"/>
              <w:right w:val="nil"/>
            </w:tcBorders>
            <w:noWrap/>
            <w:vAlign w:val="bottom"/>
            <w:hideMark/>
          </w:tcPr>
          <w:p w14:paraId="792F8A25"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-0.320</w:t>
            </w:r>
          </w:p>
        </w:tc>
        <w:tc>
          <w:tcPr>
            <w:tcW w:w="960" w:type="dxa"/>
            <w:tcBorders>
              <w:top w:val="nil"/>
              <w:left w:val="nil"/>
              <w:bottom w:val="nil"/>
              <w:right w:val="nil"/>
            </w:tcBorders>
            <w:noWrap/>
            <w:vAlign w:val="bottom"/>
            <w:hideMark/>
          </w:tcPr>
          <w:p w14:paraId="2FD3A2B5"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0.746</w:t>
            </w:r>
          </w:p>
        </w:tc>
      </w:tr>
      <w:tr w:rsidR="00B53349" w:rsidRPr="00724758" w14:paraId="04877854" w14:textId="77777777" w:rsidTr="008D1B45">
        <w:trPr>
          <w:trHeight w:val="300"/>
        </w:trPr>
        <w:tc>
          <w:tcPr>
            <w:tcW w:w="990" w:type="dxa"/>
            <w:tcBorders>
              <w:top w:val="nil"/>
              <w:left w:val="nil"/>
              <w:bottom w:val="nil"/>
              <w:right w:val="nil"/>
            </w:tcBorders>
            <w:noWrap/>
            <w:vAlign w:val="bottom"/>
            <w:hideMark/>
          </w:tcPr>
          <w:p w14:paraId="0D303043"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lastRenderedPageBreak/>
              <w:t>fsz_roe</w:t>
            </w:r>
          </w:p>
        </w:tc>
        <w:tc>
          <w:tcPr>
            <w:tcW w:w="1336" w:type="dxa"/>
            <w:tcBorders>
              <w:top w:val="nil"/>
              <w:left w:val="nil"/>
              <w:bottom w:val="nil"/>
              <w:right w:val="nil"/>
            </w:tcBorders>
            <w:noWrap/>
            <w:vAlign w:val="bottom"/>
            <w:hideMark/>
          </w:tcPr>
          <w:p w14:paraId="0CB8341D"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0.0105</w:t>
            </w:r>
          </w:p>
        </w:tc>
        <w:tc>
          <w:tcPr>
            <w:tcW w:w="1170" w:type="dxa"/>
            <w:tcBorders>
              <w:top w:val="nil"/>
              <w:left w:val="nil"/>
              <w:bottom w:val="nil"/>
              <w:right w:val="nil"/>
            </w:tcBorders>
            <w:noWrap/>
            <w:vAlign w:val="bottom"/>
            <w:hideMark/>
          </w:tcPr>
          <w:p w14:paraId="11B3F1BD"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0.0084</w:t>
            </w:r>
          </w:p>
        </w:tc>
        <w:tc>
          <w:tcPr>
            <w:tcW w:w="960" w:type="dxa"/>
            <w:tcBorders>
              <w:top w:val="nil"/>
              <w:left w:val="nil"/>
              <w:bottom w:val="nil"/>
              <w:right w:val="nil"/>
            </w:tcBorders>
            <w:noWrap/>
            <w:vAlign w:val="bottom"/>
            <w:hideMark/>
          </w:tcPr>
          <w:p w14:paraId="3F4D91CA"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1.250</w:t>
            </w:r>
          </w:p>
        </w:tc>
        <w:tc>
          <w:tcPr>
            <w:tcW w:w="960" w:type="dxa"/>
            <w:tcBorders>
              <w:top w:val="nil"/>
              <w:left w:val="nil"/>
              <w:bottom w:val="nil"/>
              <w:right w:val="nil"/>
            </w:tcBorders>
            <w:noWrap/>
            <w:vAlign w:val="bottom"/>
            <w:hideMark/>
          </w:tcPr>
          <w:p w14:paraId="1DDEB9B8"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0.212</w:t>
            </w:r>
          </w:p>
        </w:tc>
      </w:tr>
      <w:tr w:rsidR="00B53349" w:rsidRPr="00724758" w14:paraId="5F9CAD13" w14:textId="77777777" w:rsidTr="008D1B45">
        <w:trPr>
          <w:trHeight w:val="300"/>
        </w:trPr>
        <w:tc>
          <w:tcPr>
            <w:tcW w:w="990" w:type="dxa"/>
            <w:tcBorders>
              <w:top w:val="nil"/>
              <w:left w:val="nil"/>
              <w:bottom w:val="nil"/>
              <w:right w:val="nil"/>
            </w:tcBorders>
            <w:noWrap/>
            <w:vAlign w:val="bottom"/>
            <w:hideMark/>
          </w:tcPr>
          <w:p w14:paraId="5C1FCFA2"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fsz_cur</w:t>
            </w:r>
          </w:p>
        </w:tc>
        <w:tc>
          <w:tcPr>
            <w:tcW w:w="1336" w:type="dxa"/>
            <w:tcBorders>
              <w:top w:val="nil"/>
              <w:left w:val="nil"/>
              <w:bottom w:val="nil"/>
              <w:right w:val="nil"/>
            </w:tcBorders>
            <w:noWrap/>
            <w:vAlign w:val="bottom"/>
            <w:hideMark/>
          </w:tcPr>
          <w:p w14:paraId="4B6D5EA1"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0.0158</w:t>
            </w:r>
          </w:p>
        </w:tc>
        <w:tc>
          <w:tcPr>
            <w:tcW w:w="1170" w:type="dxa"/>
            <w:tcBorders>
              <w:top w:val="nil"/>
              <w:left w:val="nil"/>
              <w:bottom w:val="nil"/>
              <w:right w:val="nil"/>
            </w:tcBorders>
            <w:noWrap/>
            <w:vAlign w:val="bottom"/>
            <w:hideMark/>
          </w:tcPr>
          <w:p w14:paraId="3DD42C17"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0.0063</w:t>
            </w:r>
          </w:p>
        </w:tc>
        <w:tc>
          <w:tcPr>
            <w:tcW w:w="960" w:type="dxa"/>
            <w:tcBorders>
              <w:top w:val="nil"/>
              <w:left w:val="nil"/>
              <w:bottom w:val="nil"/>
              <w:right w:val="nil"/>
            </w:tcBorders>
            <w:noWrap/>
            <w:vAlign w:val="bottom"/>
            <w:hideMark/>
          </w:tcPr>
          <w:p w14:paraId="0FAC53E3"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2.500</w:t>
            </w:r>
          </w:p>
        </w:tc>
        <w:tc>
          <w:tcPr>
            <w:tcW w:w="960" w:type="dxa"/>
            <w:tcBorders>
              <w:top w:val="nil"/>
              <w:left w:val="nil"/>
              <w:bottom w:val="nil"/>
              <w:right w:val="nil"/>
            </w:tcBorders>
            <w:noWrap/>
            <w:vAlign w:val="bottom"/>
            <w:hideMark/>
          </w:tcPr>
          <w:p w14:paraId="611AE3A9"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0.012</w:t>
            </w:r>
          </w:p>
        </w:tc>
      </w:tr>
      <w:tr w:rsidR="00B53349" w:rsidRPr="00724758" w14:paraId="264C6455" w14:textId="77777777" w:rsidTr="008D1B45">
        <w:trPr>
          <w:trHeight w:val="300"/>
        </w:trPr>
        <w:tc>
          <w:tcPr>
            <w:tcW w:w="990" w:type="dxa"/>
            <w:tcBorders>
              <w:top w:val="nil"/>
              <w:left w:val="nil"/>
              <w:bottom w:val="nil"/>
              <w:right w:val="nil"/>
            </w:tcBorders>
            <w:noWrap/>
            <w:vAlign w:val="bottom"/>
            <w:hideMark/>
          </w:tcPr>
          <w:p w14:paraId="18A89436"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fsz_der</w:t>
            </w:r>
          </w:p>
        </w:tc>
        <w:tc>
          <w:tcPr>
            <w:tcW w:w="1336" w:type="dxa"/>
            <w:tcBorders>
              <w:top w:val="nil"/>
              <w:left w:val="nil"/>
              <w:bottom w:val="nil"/>
              <w:right w:val="nil"/>
            </w:tcBorders>
            <w:noWrap/>
            <w:vAlign w:val="bottom"/>
            <w:hideMark/>
          </w:tcPr>
          <w:p w14:paraId="164A9B16"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0.0009</w:t>
            </w:r>
          </w:p>
        </w:tc>
        <w:tc>
          <w:tcPr>
            <w:tcW w:w="1170" w:type="dxa"/>
            <w:tcBorders>
              <w:top w:val="nil"/>
              <w:left w:val="nil"/>
              <w:bottom w:val="nil"/>
              <w:right w:val="nil"/>
            </w:tcBorders>
            <w:noWrap/>
            <w:vAlign w:val="bottom"/>
            <w:hideMark/>
          </w:tcPr>
          <w:p w14:paraId="472C48B3"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0.0007</w:t>
            </w:r>
          </w:p>
        </w:tc>
        <w:tc>
          <w:tcPr>
            <w:tcW w:w="960" w:type="dxa"/>
            <w:tcBorders>
              <w:top w:val="nil"/>
              <w:left w:val="nil"/>
              <w:bottom w:val="nil"/>
              <w:right w:val="nil"/>
            </w:tcBorders>
            <w:noWrap/>
            <w:vAlign w:val="bottom"/>
            <w:hideMark/>
          </w:tcPr>
          <w:p w14:paraId="08EDCD3A"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1.250</w:t>
            </w:r>
          </w:p>
        </w:tc>
        <w:tc>
          <w:tcPr>
            <w:tcW w:w="960" w:type="dxa"/>
            <w:tcBorders>
              <w:top w:val="nil"/>
              <w:left w:val="nil"/>
              <w:bottom w:val="nil"/>
              <w:right w:val="nil"/>
            </w:tcBorders>
            <w:noWrap/>
            <w:vAlign w:val="bottom"/>
            <w:hideMark/>
          </w:tcPr>
          <w:p w14:paraId="25E6E783"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0.211</w:t>
            </w:r>
          </w:p>
        </w:tc>
      </w:tr>
      <w:tr w:rsidR="00B53349" w:rsidRPr="00724758" w14:paraId="65664488" w14:textId="77777777" w:rsidTr="008D1B45">
        <w:trPr>
          <w:trHeight w:val="300"/>
        </w:trPr>
        <w:tc>
          <w:tcPr>
            <w:tcW w:w="990" w:type="dxa"/>
            <w:tcBorders>
              <w:top w:val="nil"/>
              <w:left w:val="nil"/>
              <w:bottom w:val="nil"/>
              <w:right w:val="nil"/>
            </w:tcBorders>
            <w:noWrap/>
            <w:vAlign w:val="bottom"/>
            <w:hideMark/>
          </w:tcPr>
          <w:p w14:paraId="5BB1DF41"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fsz_tat</w:t>
            </w:r>
          </w:p>
        </w:tc>
        <w:tc>
          <w:tcPr>
            <w:tcW w:w="1336" w:type="dxa"/>
            <w:tcBorders>
              <w:top w:val="nil"/>
              <w:left w:val="nil"/>
              <w:bottom w:val="nil"/>
              <w:right w:val="nil"/>
            </w:tcBorders>
            <w:noWrap/>
            <w:vAlign w:val="bottom"/>
            <w:hideMark/>
          </w:tcPr>
          <w:p w14:paraId="51CE9A4D"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-0.0024</w:t>
            </w:r>
          </w:p>
        </w:tc>
        <w:tc>
          <w:tcPr>
            <w:tcW w:w="1170" w:type="dxa"/>
            <w:tcBorders>
              <w:top w:val="nil"/>
              <w:left w:val="nil"/>
              <w:bottom w:val="nil"/>
              <w:right w:val="nil"/>
            </w:tcBorders>
            <w:noWrap/>
            <w:vAlign w:val="bottom"/>
            <w:hideMark/>
          </w:tcPr>
          <w:p w14:paraId="7E026611"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0.0026</w:t>
            </w:r>
          </w:p>
        </w:tc>
        <w:tc>
          <w:tcPr>
            <w:tcW w:w="960" w:type="dxa"/>
            <w:tcBorders>
              <w:top w:val="nil"/>
              <w:left w:val="nil"/>
              <w:bottom w:val="nil"/>
              <w:right w:val="nil"/>
            </w:tcBorders>
            <w:noWrap/>
            <w:vAlign w:val="bottom"/>
            <w:hideMark/>
          </w:tcPr>
          <w:p w14:paraId="3D12A22C"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-0.930</w:t>
            </w:r>
          </w:p>
        </w:tc>
        <w:tc>
          <w:tcPr>
            <w:tcW w:w="960" w:type="dxa"/>
            <w:tcBorders>
              <w:top w:val="nil"/>
              <w:left w:val="nil"/>
              <w:bottom w:val="nil"/>
              <w:right w:val="nil"/>
            </w:tcBorders>
            <w:noWrap/>
            <w:vAlign w:val="bottom"/>
            <w:hideMark/>
          </w:tcPr>
          <w:p w14:paraId="0EE43F8A"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0.351</w:t>
            </w:r>
          </w:p>
        </w:tc>
      </w:tr>
      <w:tr w:rsidR="00B53349" w:rsidRPr="00724758" w14:paraId="2485BB54" w14:textId="77777777" w:rsidTr="008D1B45">
        <w:trPr>
          <w:trHeight w:val="300"/>
        </w:trPr>
        <w:tc>
          <w:tcPr>
            <w:tcW w:w="990" w:type="dxa"/>
            <w:tcBorders>
              <w:top w:val="nil"/>
              <w:left w:val="nil"/>
              <w:bottom w:val="nil"/>
              <w:right w:val="nil"/>
            </w:tcBorders>
            <w:noWrap/>
            <w:vAlign w:val="bottom"/>
            <w:hideMark/>
          </w:tcPr>
          <w:p w14:paraId="1F60067A"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fsz_eps</w:t>
            </w:r>
          </w:p>
        </w:tc>
        <w:tc>
          <w:tcPr>
            <w:tcW w:w="1336" w:type="dxa"/>
            <w:tcBorders>
              <w:top w:val="nil"/>
              <w:left w:val="nil"/>
              <w:bottom w:val="nil"/>
              <w:right w:val="nil"/>
            </w:tcBorders>
            <w:noWrap/>
            <w:vAlign w:val="bottom"/>
            <w:hideMark/>
          </w:tcPr>
          <w:p w14:paraId="41E52D78"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-0.0393</w:t>
            </w:r>
          </w:p>
        </w:tc>
        <w:tc>
          <w:tcPr>
            <w:tcW w:w="1170" w:type="dxa"/>
            <w:tcBorders>
              <w:top w:val="nil"/>
              <w:left w:val="nil"/>
              <w:bottom w:val="nil"/>
              <w:right w:val="nil"/>
            </w:tcBorders>
            <w:noWrap/>
            <w:vAlign w:val="bottom"/>
            <w:hideMark/>
          </w:tcPr>
          <w:p w14:paraId="100E2273"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0.0092</w:t>
            </w:r>
          </w:p>
        </w:tc>
        <w:tc>
          <w:tcPr>
            <w:tcW w:w="960" w:type="dxa"/>
            <w:tcBorders>
              <w:top w:val="nil"/>
              <w:left w:val="nil"/>
              <w:bottom w:val="nil"/>
              <w:right w:val="nil"/>
            </w:tcBorders>
            <w:noWrap/>
            <w:vAlign w:val="bottom"/>
            <w:hideMark/>
          </w:tcPr>
          <w:p w14:paraId="094C3EB1"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-4.270</w:t>
            </w:r>
          </w:p>
        </w:tc>
        <w:tc>
          <w:tcPr>
            <w:tcW w:w="960" w:type="dxa"/>
            <w:tcBorders>
              <w:top w:val="nil"/>
              <w:left w:val="nil"/>
              <w:bottom w:val="nil"/>
              <w:right w:val="nil"/>
            </w:tcBorders>
            <w:noWrap/>
            <w:vAlign w:val="bottom"/>
            <w:hideMark/>
          </w:tcPr>
          <w:p w14:paraId="4D0DC685"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w:t>
            </w:r>
          </w:p>
        </w:tc>
      </w:tr>
      <w:tr w:rsidR="00B53349" w:rsidRPr="00724758" w14:paraId="10421CD0" w14:textId="77777777" w:rsidTr="008D1B45">
        <w:trPr>
          <w:trHeight w:val="300"/>
        </w:trPr>
        <w:tc>
          <w:tcPr>
            <w:tcW w:w="990" w:type="dxa"/>
            <w:tcBorders>
              <w:top w:val="nil"/>
              <w:left w:val="nil"/>
              <w:bottom w:val="single" w:sz="4" w:space="0" w:color="auto"/>
              <w:right w:val="nil"/>
            </w:tcBorders>
            <w:noWrap/>
            <w:vAlign w:val="bottom"/>
            <w:hideMark/>
          </w:tcPr>
          <w:p w14:paraId="39704548" w14:textId="77777777" w:rsidR="00B53349" w:rsidRPr="00724758" w:rsidRDefault="00B53349" w:rsidP="008D1B45">
            <w:pPr>
              <w:spacing w:after="0" w:line="240" w:lineRule="auto"/>
              <w:rPr>
                <w:rFonts w:ascii="Times New Roman" w:eastAsia="Times New Roman" w:hAnsi="Times New Roman" w:cs="Times New Roman"/>
              </w:rPr>
            </w:pPr>
            <w:r w:rsidRPr="00724758">
              <w:rPr>
                <w:rFonts w:ascii="Times New Roman" w:eastAsia="Times New Roman" w:hAnsi="Times New Roman" w:cs="Times New Roman"/>
              </w:rPr>
              <w:t>_cons</w:t>
            </w:r>
          </w:p>
        </w:tc>
        <w:tc>
          <w:tcPr>
            <w:tcW w:w="1336" w:type="dxa"/>
            <w:tcBorders>
              <w:top w:val="nil"/>
              <w:left w:val="nil"/>
              <w:bottom w:val="single" w:sz="4" w:space="0" w:color="auto"/>
              <w:right w:val="nil"/>
            </w:tcBorders>
            <w:noWrap/>
            <w:vAlign w:val="bottom"/>
            <w:hideMark/>
          </w:tcPr>
          <w:p w14:paraId="231EA4BD"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-7.7297</w:t>
            </w:r>
          </w:p>
        </w:tc>
        <w:tc>
          <w:tcPr>
            <w:tcW w:w="1170" w:type="dxa"/>
            <w:tcBorders>
              <w:top w:val="nil"/>
              <w:left w:val="nil"/>
              <w:bottom w:val="single" w:sz="4" w:space="0" w:color="auto"/>
              <w:right w:val="nil"/>
            </w:tcBorders>
            <w:noWrap/>
            <w:vAlign w:val="bottom"/>
            <w:hideMark/>
          </w:tcPr>
          <w:p w14:paraId="69A2A85F"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1.0760</w:t>
            </w:r>
          </w:p>
        </w:tc>
        <w:tc>
          <w:tcPr>
            <w:tcW w:w="960" w:type="dxa"/>
            <w:tcBorders>
              <w:top w:val="nil"/>
              <w:left w:val="nil"/>
              <w:bottom w:val="single" w:sz="4" w:space="0" w:color="auto"/>
              <w:right w:val="nil"/>
            </w:tcBorders>
            <w:noWrap/>
            <w:vAlign w:val="bottom"/>
            <w:hideMark/>
          </w:tcPr>
          <w:p w14:paraId="202229D1"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-7.180</w:t>
            </w:r>
          </w:p>
        </w:tc>
        <w:tc>
          <w:tcPr>
            <w:tcW w:w="960" w:type="dxa"/>
            <w:tcBorders>
              <w:top w:val="nil"/>
              <w:left w:val="nil"/>
              <w:bottom w:val="single" w:sz="4" w:space="0" w:color="auto"/>
              <w:right w:val="nil"/>
            </w:tcBorders>
            <w:noWrap/>
            <w:vAlign w:val="bottom"/>
            <w:hideMark/>
          </w:tcPr>
          <w:p w14:paraId="59AB0094" w14:textId="77777777" w:rsidR="00B53349" w:rsidRPr="00724758" w:rsidRDefault="00B53349" w:rsidP="008D1B45">
            <w:pPr>
              <w:spacing w:after="0" w:line="240" w:lineRule="auto"/>
              <w:jc w:val="right"/>
              <w:rPr>
                <w:rFonts w:ascii="Times New Roman" w:eastAsia="Times New Roman" w:hAnsi="Times New Roman" w:cs="Times New Roman"/>
              </w:rPr>
            </w:pPr>
            <w:r w:rsidRPr="00724758">
              <w:rPr>
                <w:rFonts w:ascii="Times New Roman" w:eastAsia="Times New Roman" w:hAnsi="Times New Roman" w:cs="Times New Roman"/>
              </w:rPr>
              <w:t>0.000</w:t>
            </w:r>
          </w:p>
        </w:tc>
      </w:tr>
    </w:tbl>
    <w:p w14:paraId="65386E44" w14:textId="51DC8614" w:rsidR="00B53349" w:rsidRPr="00165E36" w:rsidRDefault="00B53349" w:rsidP="00B53349">
      <w:pPr>
        <w:spacing w:after="0" w:line="480" w:lineRule="auto"/>
        <w:jc w:val="both"/>
        <w:rPr>
          <w:rFonts w:ascii="Times New Roman" w:hAnsi="Times New Roman" w:cs="Times New Roman"/>
          <w:b/>
          <w:bCs/>
          <w:sz w:val="24"/>
          <w:szCs w:val="24"/>
        </w:rPr>
      </w:pPr>
      <w:r w:rsidRPr="004939F9">
        <w:rPr>
          <w:rFonts w:ascii="Times New Roman" w:hAnsi="Times New Roman" w:cs="Times New Roman"/>
          <w:sz w:val="20"/>
          <w:szCs w:val="20"/>
        </w:rPr>
        <w:t>Source: Output of STATA 17</w:t>
      </w:r>
      <w:r w:rsidRPr="006746C1">
        <w:rPr>
          <w:rFonts w:ascii="Times New Roman" w:hAnsi="Times New Roman" w:cs="Times New Roman"/>
        </w:rPr>
        <w:tab/>
      </w:r>
      <w:r w:rsidRPr="006746C1">
        <w:rPr>
          <w:rFonts w:ascii="Times New Roman" w:hAnsi="Times New Roman" w:cs="Times New Roman"/>
        </w:rPr>
        <w:tab/>
      </w:r>
    </w:p>
    <w:p w14:paraId="767D19FD"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Liquidity, measured by the Current Ratio (CUR), exhibits a negative but statistically insignificant effect on share price (β = –0.1450, p = 0.512). This suggests that liquidity does not play a decisive role in equity valuation within the sampled firms. The negative sign indicates that excessive liquidity may be interpreted by investors as inefficient capital deployment rather than financial strength, consistent with prior findings in similar contexts.</w:t>
      </w:r>
    </w:p>
    <w:p w14:paraId="385B0136"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The Debt–Equity Ratio (DER) shows a positive but insignificant effect on share price (β = 0.0389, p = 0.493), indicating that leverage does not materially influence valuation in the sampled sectors. This result suggests that investors place greater emphasis on profitability and earnings performance than on capital structure decisions, possibly reflecting the relatively conservative financing practices in Nigerian agribusiness and consumer goods firms.</w:t>
      </w:r>
    </w:p>
    <w:p w14:paraId="164A49AA"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Operational efficiency, proxied by Total Assets Turnover (TAT), also exhibits a positive but insignificant relationship with share price (β = 0.0750, p = 0.682). This finding implies that asset utilisation efficiency is not a primary valuation signal for investors in this context, particularly when profitability and earnings information are available.</w:t>
      </w:r>
    </w:p>
    <w:p w14:paraId="3AF8B874"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In contrast, Earnings per Share (EPS) exerts a strong positive and highly significant effect on share price (β = 0.7935, z = 4.41, p &lt; 0.001). This confirms EPS as one of the most influential valuation metrics in Nigeria’s equity market, consistent with clean surplus theory and extensive empirical evidence. Higher EPS directly enhances shareholder value by signalling stronger earnings capacity and dividend potential.</w:t>
      </w:r>
    </w:p>
    <w:p w14:paraId="72C90EBB"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Firm size (FSZ) itself has a positive and significant direct effect on share price (β = 0.5277, p &lt; 0.001), indicating that larger firms command valuation premiums due to greater visibility, credibility, and perceived stability.</w:t>
      </w:r>
    </w:p>
    <w:p w14:paraId="26471EE9"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 xml:space="preserve">Turning to the moderating effects, the interaction between firm size and ROE (FSZ_ROE) is positive but statistically insignificant, suggesting that profitability is priced consistently across firms regardless of size. The interaction between firm size and liquidity (FSZ_CUR) is positive </w:t>
      </w:r>
      <w:r w:rsidRPr="00165E36">
        <w:rPr>
          <w:rFonts w:ascii="Times New Roman" w:hAnsi="Times New Roman" w:cs="Times New Roman"/>
          <w:sz w:val="24"/>
          <w:szCs w:val="24"/>
        </w:rPr>
        <w:lastRenderedPageBreak/>
        <w:t>and statistically significant (β = 0.0158, p = 0.012), indicating that liquidity signals are valued more strongly for larger firms, likely due to higher disclosure credibility and lower information asymmetry.</w:t>
      </w:r>
    </w:p>
    <w:p w14:paraId="1179979B"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The interaction between firm size and leverage (FSZ_DER) is insignificant, implying that the valuation impact of leverage does not vary meaningfully across firm sizes. Similarly, the interaction between firm size and asset turnover (FSZ_TAT) is negative but insignificant, indicating no size-dependent pricing of operational efficiency.</w:t>
      </w:r>
    </w:p>
    <w:p w14:paraId="00B9C950" w14:textId="77777777" w:rsidR="00165E36" w:rsidRPr="00165E36" w:rsidRDefault="00165E36" w:rsidP="00165E3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Notably, the interaction between firm size and earnings per share (FSZ_EPS) is negative and highly significant (β = –0.0393, p &lt; 0.001). This result indicates that the positive effect of EPS on share price is stronger for smaller firms than for larger firms. In larger firms, EPS information is more likely to be anticipated and already embedded in prices due to greater analyst coverage, whereas in smaller firms, EPS growth conveys greater informational novelty and elicits stronger market reactions.</w:t>
      </w:r>
    </w:p>
    <w:p w14:paraId="1A868871" w14:textId="72928C36" w:rsidR="0049016B" w:rsidRPr="00C80F86" w:rsidRDefault="00165E36" w:rsidP="00C80F86">
      <w:pPr>
        <w:spacing w:line="360" w:lineRule="auto"/>
        <w:jc w:val="both"/>
        <w:rPr>
          <w:rFonts w:ascii="Times New Roman" w:hAnsi="Times New Roman" w:cs="Times New Roman"/>
          <w:sz w:val="24"/>
          <w:szCs w:val="24"/>
        </w:rPr>
      </w:pPr>
      <w:r w:rsidRPr="00165E36">
        <w:rPr>
          <w:rFonts w:ascii="Times New Roman" w:hAnsi="Times New Roman" w:cs="Times New Roman"/>
          <w:sz w:val="24"/>
          <w:szCs w:val="24"/>
        </w:rPr>
        <w:t>Overall, the results provide robust evidence that profitability and earnings are the primary drivers of share prices in Nigeria’s agriculture and consumer goods sectors, while liquidity, leverage, and efficiency play secondary roles. Firm size emerges as a critical conditioning factor, amplifying some valuation effects while attenuating others, thereby highlighting the importance of accounting for firm heterogeneity in emerging market valuation studies</w:t>
      </w:r>
      <w:r w:rsidR="00124FAD" w:rsidRPr="00124FAD">
        <w:rPr>
          <w:rFonts w:ascii="Times New Roman" w:hAnsi="Times New Roman" w:cs="Times New Roman"/>
          <w:sz w:val="24"/>
          <w:szCs w:val="24"/>
        </w:rPr>
        <w:t>.</w:t>
      </w:r>
    </w:p>
    <w:p w14:paraId="3CCFD0F0" w14:textId="0F7BC6CE" w:rsidR="001212E8" w:rsidRPr="00C80F86" w:rsidRDefault="0064164D" w:rsidP="005E4EDE">
      <w:pPr>
        <w:pStyle w:val="Heading1"/>
        <w:rPr>
          <w:rFonts w:asciiTheme="majorBidi" w:hAnsiTheme="majorBidi"/>
          <w:b/>
          <w:bCs/>
          <w:color w:val="auto"/>
          <w:sz w:val="24"/>
          <w:szCs w:val="24"/>
        </w:rPr>
      </w:pPr>
      <w:r w:rsidRPr="00C80F86">
        <w:rPr>
          <w:rFonts w:asciiTheme="majorBidi" w:hAnsiTheme="majorBidi"/>
          <w:b/>
          <w:bCs/>
          <w:color w:val="auto"/>
          <w:sz w:val="24"/>
          <w:szCs w:val="24"/>
        </w:rPr>
        <w:t>5.0</w:t>
      </w:r>
      <w:r w:rsidRPr="00C80F86">
        <w:rPr>
          <w:rFonts w:asciiTheme="majorBidi" w:hAnsiTheme="majorBidi"/>
          <w:b/>
          <w:bCs/>
          <w:color w:val="auto"/>
          <w:sz w:val="24"/>
          <w:szCs w:val="24"/>
        </w:rPr>
        <w:tab/>
        <w:t>Conclusion and Recommendation</w:t>
      </w:r>
      <w:r w:rsidR="007933E2" w:rsidRPr="00C80F86">
        <w:rPr>
          <w:rFonts w:asciiTheme="majorBidi" w:hAnsiTheme="majorBidi"/>
          <w:b/>
          <w:bCs/>
          <w:color w:val="auto"/>
          <w:sz w:val="24"/>
          <w:szCs w:val="24"/>
        </w:rPr>
        <w:t>s</w:t>
      </w:r>
    </w:p>
    <w:p w14:paraId="60559FF8" w14:textId="77777777" w:rsidR="005D3088" w:rsidRPr="005D3088" w:rsidRDefault="005D3088" w:rsidP="005D3088">
      <w:pPr>
        <w:spacing w:line="360" w:lineRule="auto"/>
        <w:jc w:val="both"/>
        <w:rPr>
          <w:rFonts w:ascii="Times New Roman" w:hAnsi="Times New Roman" w:cs="Times New Roman"/>
          <w:sz w:val="24"/>
          <w:szCs w:val="24"/>
        </w:rPr>
      </w:pPr>
      <w:r w:rsidRPr="005D3088">
        <w:rPr>
          <w:rFonts w:ascii="Times New Roman" w:hAnsi="Times New Roman" w:cs="Times New Roman"/>
          <w:sz w:val="24"/>
          <w:szCs w:val="24"/>
        </w:rPr>
        <w:t>This study investigated the moderating role of firm size in the relationship between firm-level financial metrics and share prices of listed agriculture and consumer goods firms in Nigeria, using a twelve-year panel dataset and a generalised least squares estimation framework. Drawing on clean surplus valuation theory, signalling theory, and information asymmetry arguments, the study examined profitability, liquidity, leverage, operational efficiency, and earnings performance as key valuation signals within the Nigerian equity market.</w:t>
      </w:r>
    </w:p>
    <w:p w14:paraId="4FE6D000" w14:textId="77777777" w:rsidR="005D3088" w:rsidRPr="005D3088" w:rsidRDefault="005D3088" w:rsidP="005D3088">
      <w:pPr>
        <w:spacing w:line="360" w:lineRule="auto"/>
        <w:jc w:val="both"/>
        <w:rPr>
          <w:rFonts w:ascii="Times New Roman" w:hAnsi="Times New Roman" w:cs="Times New Roman"/>
          <w:sz w:val="24"/>
          <w:szCs w:val="24"/>
        </w:rPr>
      </w:pPr>
      <w:r w:rsidRPr="005D3088">
        <w:rPr>
          <w:rFonts w:ascii="Times New Roman" w:hAnsi="Times New Roman" w:cs="Times New Roman"/>
          <w:sz w:val="24"/>
          <w:szCs w:val="24"/>
        </w:rPr>
        <w:t xml:space="preserve">The empirical evidence shows that return on equity, earnings per share, and firm size exert statistically significant positive effects on share prices, while current ratio, debt–equity ratio, and total assets turnover display no direct significant valuation effects. These findings indicate that market participants in Nigeria’s agriculture and consumer goods sectors primarily price earnings-based performance and scale-related information, rather than balance-sheet structure or operational efficiency metrics. More importantly, the moderation analysis reveals that firm size conditions the </w:t>
      </w:r>
      <w:r w:rsidRPr="005D3088">
        <w:rPr>
          <w:rFonts w:ascii="Times New Roman" w:hAnsi="Times New Roman" w:cs="Times New Roman"/>
          <w:sz w:val="24"/>
          <w:szCs w:val="24"/>
        </w:rPr>
        <w:lastRenderedPageBreak/>
        <w:t>valuation relevance of financial metrics in a non-uniform manner. Firm size significantly strengthens the valuation effect of liquidity, suggesting that liquidity signals are more credible and value-enhancing for larger firms, while it weakens the impact of earnings per share, implying that earnings surprises carry greater informational content for smaller firms. In contrast, firm size does not materially alter the valuation effects of leverage or asset turnover.</w:t>
      </w:r>
    </w:p>
    <w:p w14:paraId="64C660D9" w14:textId="77777777" w:rsidR="005D3088" w:rsidRPr="005D3088" w:rsidRDefault="005D3088" w:rsidP="005D3088">
      <w:pPr>
        <w:spacing w:line="360" w:lineRule="auto"/>
        <w:jc w:val="both"/>
        <w:rPr>
          <w:rFonts w:ascii="Times New Roman" w:hAnsi="Times New Roman" w:cs="Times New Roman"/>
          <w:sz w:val="24"/>
          <w:szCs w:val="24"/>
        </w:rPr>
      </w:pPr>
      <w:r w:rsidRPr="005D3088">
        <w:rPr>
          <w:rFonts w:ascii="Times New Roman" w:hAnsi="Times New Roman" w:cs="Times New Roman"/>
          <w:sz w:val="24"/>
          <w:szCs w:val="24"/>
        </w:rPr>
        <w:t>From an interpretive standpoint, these results suggest that the Nigerian equity market does not price financial information homogeneously across firms. Instead, valuation responses reflect firm size–dependent information asymmetry, where larger firms benefit from credibility and visibility but face diminished marginal information effects, while smaller firms experience stronger price reactions to earnings signals. This pattern is consistent with semi-strong market efficiency operating under institutional and informational constraints typical of emerging markets.</w:t>
      </w:r>
    </w:p>
    <w:p w14:paraId="297E3E4C" w14:textId="77777777" w:rsidR="005D3088" w:rsidRPr="005D3088" w:rsidRDefault="005D3088" w:rsidP="005D3088">
      <w:pPr>
        <w:spacing w:line="360" w:lineRule="auto"/>
        <w:jc w:val="both"/>
        <w:rPr>
          <w:rFonts w:ascii="Times New Roman" w:hAnsi="Times New Roman" w:cs="Times New Roman"/>
          <w:sz w:val="24"/>
          <w:szCs w:val="24"/>
        </w:rPr>
      </w:pPr>
      <w:r w:rsidRPr="005D3088">
        <w:rPr>
          <w:rFonts w:ascii="Times New Roman" w:hAnsi="Times New Roman" w:cs="Times New Roman"/>
          <w:sz w:val="24"/>
          <w:szCs w:val="24"/>
        </w:rPr>
        <w:t>The study makes a distinct contribution to the literature by providing one of the first pieces of empirical evidence on heterogeneous firm size moderation in the financial metrics–share price nexus within Nigeria’s agribusiness and consumer goods sectors. Unlike prior studies that focus on direct mean effects, this research demonstrates that firm size does not merely influence valuation directly but systematically reshapes how accounting signals are priced. By integrating interaction-based valuation analysis into an emerging market setting, the study advances understanding of how informational frictions condition capital market outcomes.</w:t>
      </w:r>
    </w:p>
    <w:p w14:paraId="6B28BECD" w14:textId="77777777" w:rsidR="005D3088" w:rsidRPr="005D3088" w:rsidRDefault="005D3088" w:rsidP="005D3088">
      <w:pPr>
        <w:spacing w:line="360" w:lineRule="auto"/>
        <w:jc w:val="both"/>
        <w:rPr>
          <w:rFonts w:ascii="Times New Roman" w:hAnsi="Times New Roman" w:cs="Times New Roman"/>
          <w:sz w:val="24"/>
          <w:szCs w:val="24"/>
        </w:rPr>
      </w:pPr>
      <w:r w:rsidRPr="005D3088">
        <w:rPr>
          <w:rFonts w:ascii="Times New Roman" w:hAnsi="Times New Roman" w:cs="Times New Roman"/>
          <w:sz w:val="24"/>
          <w:szCs w:val="24"/>
        </w:rPr>
        <w:t>Notwithstanding these contributions, the study is subject to certain limitations that warrant cautious interpretation of the findings. First, the analysis focuses exclusively on listed agriculture and consumer goods firms, which may limit the generalisability of the results to other sectors of the Nigerian economy. Second, the use of annual data may obscure short-term market reactions to financial disclosures. Third, while macroeconomic controls were included, unobserved institutional or behavioural factors may still influence share price dynamics. These limitations, however, do not undermine the internal validity of the findings but rather delineate their scope.</w:t>
      </w:r>
    </w:p>
    <w:p w14:paraId="152CAC78" w14:textId="77777777" w:rsidR="005D3088" w:rsidRPr="005D3088" w:rsidRDefault="005D3088" w:rsidP="005D3088">
      <w:pPr>
        <w:spacing w:line="360" w:lineRule="auto"/>
        <w:jc w:val="both"/>
        <w:rPr>
          <w:rFonts w:ascii="Times New Roman" w:hAnsi="Times New Roman" w:cs="Times New Roman"/>
          <w:sz w:val="24"/>
          <w:szCs w:val="24"/>
        </w:rPr>
      </w:pPr>
      <w:r w:rsidRPr="005D3088">
        <w:rPr>
          <w:rFonts w:ascii="Times New Roman" w:hAnsi="Times New Roman" w:cs="Times New Roman"/>
          <w:sz w:val="24"/>
          <w:szCs w:val="24"/>
        </w:rPr>
        <w:t xml:space="preserve">Based on the empirical evidence, several policy and practical recommendations emerge. Regulators, particularly the Securities and Exchange Commission, should strengthen disclosure requirements around key valuation-relevant metrics such as return on equity, earnings per share, and liquidity indicators, while enforcing consistent reporting standards to reduce information asymmetry. Enhanced transparency in these areas would improve price discovery, deepen investor confidence, and support capital mobilisation into Nigeria’s agribusiness and consumer goods </w:t>
      </w:r>
      <w:r w:rsidRPr="005D3088">
        <w:rPr>
          <w:rFonts w:ascii="Times New Roman" w:hAnsi="Times New Roman" w:cs="Times New Roman"/>
          <w:sz w:val="24"/>
          <w:szCs w:val="24"/>
        </w:rPr>
        <w:lastRenderedPageBreak/>
        <w:t>sectors, with broader implications for food security, inflation management, and economic growth. For investors and portfolio managers, the findings underscore the importance of firm size–contingent investment strategies. Liquidity signals are more informative in large firms, while earnings performance offers stronger capital appreciation potential in smaller firms. Portfolio diversification across firm sizes can therefore improve risk-adjusted returns by balancing growth opportunities against informational stability.</w:t>
      </w:r>
    </w:p>
    <w:p w14:paraId="5E7BFDC5" w14:textId="452941BC" w:rsidR="008564AC" w:rsidRPr="00DD2405" w:rsidRDefault="005D3088" w:rsidP="00DD2405">
      <w:pPr>
        <w:spacing w:line="360" w:lineRule="auto"/>
        <w:jc w:val="both"/>
        <w:rPr>
          <w:rFonts w:ascii="Times New Roman" w:hAnsi="Times New Roman" w:cs="Times New Roman"/>
          <w:sz w:val="24"/>
          <w:szCs w:val="24"/>
        </w:rPr>
      </w:pPr>
      <w:r w:rsidRPr="005D3088">
        <w:rPr>
          <w:rFonts w:ascii="Times New Roman" w:hAnsi="Times New Roman" w:cs="Times New Roman"/>
          <w:sz w:val="24"/>
          <w:szCs w:val="24"/>
        </w:rPr>
        <w:t>Future research may extend this study by incorporating additional sectors, higher-frequency data, alternative valuation proxies, or behavioural variables to further unpack the mechanisms through which firm characteristics shape market valuation in emerging economies</w:t>
      </w:r>
      <w:r w:rsidR="008564AC" w:rsidRPr="00DD2405">
        <w:rPr>
          <w:rFonts w:ascii="Times New Roman" w:hAnsi="Times New Roman" w:cs="Times New Roman"/>
          <w:sz w:val="24"/>
          <w:szCs w:val="24"/>
        </w:rPr>
        <w:t>.</w:t>
      </w:r>
    </w:p>
    <w:p w14:paraId="16C2A506" w14:textId="77777777" w:rsidR="001D6CBC" w:rsidRDefault="001D6CBC" w:rsidP="004420E6">
      <w:pPr>
        <w:spacing w:line="360" w:lineRule="auto"/>
        <w:jc w:val="both"/>
        <w:rPr>
          <w:rFonts w:ascii="Times New Roman" w:hAnsi="Times New Roman" w:cs="Times New Roman"/>
          <w:sz w:val="24"/>
          <w:szCs w:val="24"/>
        </w:rPr>
      </w:pPr>
    </w:p>
    <w:p w14:paraId="13F9FC4B" w14:textId="77777777" w:rsidR="00824E4A" w:rsidRDefault="00824E4A" w:rsidP="00824E4A">
      <w:pPr>
        <w:pStyle w:val="Heading1"/>
        <w:rPr>
          <w:rFonts w:asciiTheme="majorBidi" w:hAnsiTheme="majorBidi"/>
          <w:b/>
          <w:bCs/>
          <w:color w:val="auto"/>
          <w:sz w:val="24"/>
          <w:szCs w:val="24"/>
        </w:rPr>
      </w:pPr>
      <w:r>
        <w:rPr>
          <w:rFonts w:asciiTheme="majorBidi" w:hAnsiTheme="majorBidi"/>
          <w:b/>
          <w:bCs/>
          <w:color w:val="auto"/>
          <w:sz w:val="24"/>
          <w:szCs w:val="24"/>
        </w:rPr>
        <w:t>References</w:t>
      </w:r>
    </w:p>
    <w:p w14:paraId="78508868"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Abel, S., Henry, M., Mokumako, T., Mukarati, J., &amp; Roux, P. L. (2024). Determinants of Share Prices of Agriculture Listed Firms. International Journal of Economics and Financial Issues, 14(4), 106-110. </w:t>
      </w:r>
      <w:hyperlink r:id="rId9" w:history="1">
        <w:r>
          <w:rPr>
            <w:rStyle w:val="Hyperlink"/>
            <w:rFonts w:ascii="Times New Roman" w:hAnsi="Times New Roman" w:cs="Times New Roman"/>
            <w:sz w:val="24"/>
            <w:szCs w:val="24"/>
          </w:rPr>
          <w:t>https://doi.org/10.32479/ijefi.16062</w:t>
        </w:r>
      </w:hyperlink>
    </w:p>
    <w:p w14:paraId="448E02B4" w14:textId="77777777" w:rsidR="00824E4A" w:rsidRDefault="00824E4A" w:rsidP="00824E4A">
      <w:pPr>
        <w:spacing w:after="0" w:line="240" w:lineRule="auto"/>
        <w:ind w:left="810" w:hanging="810"/>
        <w:jc w:val="both"/>
        <w:rPr>
          <w:rFonts w:ascii="Times New Roman" w:hAnsi="Times New Roman" w:cs="Times New Roman"/>
          <w:sz w:val="24"/>
          <w:szCs w:val="24"/>
          <w:lang w:val="pt-BR"/>
        </w:rPr>
      </w:pPr>
      <w:r>
        <w:rPr>
          <w:rFonts w:ascii="Times New Roman" w:hAnsi="Times New Roman" w:cs="Times New Roman"/>
          <w:sz w:val="24"/>
          <w:szCs w:val="24"/>
        </w:rPr>
        <w:t xml:space="preserve">Akbar, T. (2023). The role of firm size in moderating the relationship between profitability and share prices of food and beverage companies. *Ilomata International Journal of Tax and Accounting*, *4*(1), 1-13. </w:t>
      </w:r>
      <w:hyperlink r:id="rId10" w:history="1">
        <w:r>
          <w:rPr>
            <w:rStyle w:val="Hyperlink"/>
            <w:rFonts w:ascii="Times New Roman" w:hAnsi="Times New Roman" w:cs="Times New Roman"/>
            <w:sz w:val="24"/>
            <w:szCs w:val="24"/>
            <w:lang w:val="pt-BR"/>
          </w:rPr>
          <w:t>https://doi.org/10.52728/ijtc.v4i1.594</w:t>
        </w:r>
      </w:hyperlink>
    </w:p>
    <w:p w14:paraId="170A9639" w14:textId="77777777" w:rsidR="00824E4A" w:rsidRDefault="00824E4A" w:rsidP="00824E4A">
      <w:pPr>
        <w:spacing w:after="0" w:line="240" w:lineRule="auto"/>
        <w:ind w:left="810" w:hanging="81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Angrist, J. D., &amp; Pischke, J. S. (2009). Mostly harmless econometrics: An empiricist's companion. Princeton University Press. </w:t>
      </w:r>
      <w:hyperlink r:id="rId11" w:history="1">
        <w:r>
          <w:rPr>
            <w:rStyle w:val="Hyperlink"/>
            <w:rFonts w:ascii="Times New Roman" w:hAnsi="Times New Roman" w:cs="Times New Roman"/>
            <w:sz w:val="24"/>
            <w:szCs w:val="24"/>
            <w:lang w:val="en-IN"/>
          </w:rPr>
          <w:t>https://doi.org/10.2307/j.ctvcm4j72</w:t>
        </w:r>
      </w:hyperlink>
    </w:p>
    <w:p w14:paraId="0C31D297" w14:textId="77777777" w:rsidR="00824E4A" w:rsidRDefault="00824E4A" w:rsidP="00824E4A">
      <w:pPr>
        <w:spacing w:after="0" w:line="240" w:lineRule="auto"/>
        <w:ind w:left="810" w:hanging="810"/>
        <w:jc w:val="both"/>
        <w:rPr>
          <w:rFonts w:ascii="Times New Roman" w:hAnsi="Times New Roman" w:cs="Times New Roman"/>
          <w:sz w:val="24"/>
          <w:szCs w:val="24"/>
          <w:lang w:val="pt-BR"/>
        </w:rPr>
      </w:pPr>
      <w:r>
        <w:rPr>
          <w:rFonts w:ascii="Times New Roman" w:hAnsi="Times New Roman" w:cs="Times New Roman"/>
          <w:sz w:val="24"/>
          <w:szCs w:val="24"/>
        </w:rPr>
        <w:t xml:space="preserve">Amril, E., Sukraini, J., &amp; Defitri, S.Y. (2024). Determination of Share Prices in Automotive Manufacturing Companies. Jurnal Ilmiah Akuntansi Kesatuan. 12(1), 179-187. </w:t>
      </w:r>
      <w:hyperlink r:id="rId12" w:history="1">
        <w:r>
          <w:rPr>
            <w:rStyle w:val="Hyperlink"/>
            <w:rFonts w:ascii="Times New Roman" w:hAnsi="Times New Roman" w:cs="Times New Roman"/>
            <w:sz w:val="24"/>
            <w:szCs w:val="24"/>
            <w:lang w:val="pt-BR"/>
          </w:rPr>
          <w:t>https://doi.org/10.37641/jiakes.v12i1.2469</w:t>
        </w:r>
      </w:hyperlink>
    </w:p>
    <w:p w14:paraId="6E68A213" w14:textId="77777777" w:rsidR="00824E4A" w:rsidRDefault="00824E4A" w:rsidP="00824E4A">
      <w:pPr>
        <w:spacing w:after="0" w:line="240" w:lineRule="auto"/>
        <w:ind w:left="810" w:hanging="810"/>
        <w:jc w:val="both"/>
        <w:rPr>
          <w:rFonts w:ascii="Times New Roman" w:hAnsi="Times New Roman" w:cs="Times New Roman"/>
          <w:sz w:val="24"/>
          <w:szCs w:val="24"/>
          <w:lang w:val="pt-BR"/>
        </w:rPr>
      </w:pPr>
      <w:r>
        <w:rPr>
          <w:rFonts w:ascii="Times New Roman" w:hAnsi="Times New Roman" w:cs="Times New Roman"/>
          <w:sz w:val="24"/>
          <w:szCs w:val="24"/>
          <w:lang w:val="en-IN"/>
        </w:rPr>
        <w:t xml:space="preserve">Andy, A., Novana, C., Sartika, S., Sihaloho, M., &amp; Wulandari, B. (2020). The effect of current ratio (CR), return on equity (ROE), debt on equity ratio (DER), earning per share (EPS), and total turnover assets (TATO) on stock prices in property, real estate and construction companies which are listed Indonesia Exchange. </w:t>
      </w:r>
      <w:r>
        <w:rPr>
          <w:rFonts w:ascii="Times New Roman" w:hAnsi="Times New Roman" w:cs="Times New Roman"/>
          <w:sz w:val="24"/>
          <w:szCs w:val="24"/>
          <w:lang w:val="pt-BR"/>
        </w:rPr>
        <w:t xml:space="preserve">Jurnal Ilmiah Manajemen, Ekonomi, &amp; Akuntansi, 4(3), 311-325. </w:t>
      </w:r>
      <w:hyperlink r:id="rId13" w:history="1">
        <w:r>
          <w:rPr>
            <w:rStyle w:val="Hyperlink"/>
            <w:rFonts w:ascii="Times New Roman" w:hAnsi="Times New Roman" w:cs="Times New Roman"/>
            <w:sz w:val="24"/>
            <w:szCs w:val="24"/>
            <w:lang w:val="pt-BR"/>
          </w:rPr>
          <w:t>https://doi.org/10.31955/mea.v4i3.414</w:t>
        </w:r>
      </w:hyperlink>
    </w:p>
    <w:p w14:paraId="3F1EAE16" w14:textId="77777777" w:rsidR="00824E4A" w:rsidRDefault="00824E4A" w:rsidP="00824E4A">
      <w:pPr>
        <w:spacing w:after="0" w:line="240" w:lineRule="auto"/>
        <w:ind w:left="810" w:hanging="81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Anton, Lorensa, S., Purnama, I., Eddy, P., &amp; Andi. (2023). Net profit margin, earnings per share, return on asset, debt equity ratio, and current ratio on firm value in agricultural sector companies listed on Indonesia Stock Exchange 2016-2021. Journal of Applied Business and Technology, 4(2), 155-167. </w:t>
      </w:r>
      <w:hyperlink r:id="rId14" w:history="1">
        <w:r>
          <w:rPr>
            <w:rStyle w:val="Hyperlink"/>
            <w:rFonts w:ascii="Times New Roman" w:hAnsi="Times New Roman" w:cs="Times New Roman"/>
            <w:sz w:val="24"/>
            <w:szCs w:val="24"/>
            <w:lang w:val="en-IN"/>
          </w:rPr>
          <w:t>https://doi.org/10.35145/jabt.v4i2.131</w:t>
        </w:r>
      </w:hyperlink>
    </w:p>
    <w:p w14:paraId="17094D26"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Barde, I. M. &amp; Ekundayo, O. (2017). Impact of firm leverage on share price: Evidence from listed deposit money banks in Nigeria. </w:t>
      </w:r>
      <w:r>
        <w:rPr>
          <w:rFonts w:ascii="Times New Roman" w:hAnsi="Times New Roman" w:cs="Times New Roman"/>
          <w:i/>
          <w:iCs/>
          <w:sz w:val="24"/>
          <w:szCs w:val="24"/>
        </w:rPr>
        <w:t xml:space="preserve">Bayero International of Accounting Research, </w:t>
      </w:r>
      <w:r>
        <w:rPr>
          <w:rFonts w:ascii="Times New Roman" w:hAnsi="Times New Roman" w:cs="Times New Roman"/>
          <w:sz w:val="24"/>
          <w:szCs w:val="24"/>
        </w:rPr>
        <w:t>11(1), 199-219.</w:t>
      </w:r>
    </w:p>
    <w:p w14:paraId="5AE16566"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lang w:val="pt-BR"/>
        </w:rPr>
        <w:t xml:space="preserve">Batubara, K. N., &amp; Ardian, N. (2024). </w:t>
      </w:r>
      <w:r>
        <w:rPr>
          <w:rFonts w:ascii="Times New Roman" w:hAnsi="Times New Roman" w:cs="Times New Roman"/>
          <w:sz w:val="24"/>
          <w:szCs w:val="24"/>
        </w:rPr>
        <w:t xml:space="preserve">The effect of inflation, interest rates, working capital turnover, receivables turnover on share prices of property and real estate sub-sector companies listed on the IDX. World Journal of Advanced Research and Reviews, 22(2), 1147–1155. </w:t>
      </w:r>
      <w:hyperlink r:id="rId15" w:history="1">
        <w:r>
          <w:rPr>
            <w:rStyle w:val="Hyperlink"/>
            <w:rFonts w:ascii="Times New Roman" w:hAnsi="Times New Roman" w:cs="Times New Roman"/>
            <w:sz w:val="24"/>
            <w:szCs w:val="24"/>
          </w:rPr>
          <w:t>https://doi.org/10.30574/wjarr.2024.22.2.1496</w:t>
        </w:r>
      </w:hyperlink>
    </w:p>
    <w:p w14:paraId="13FBD58C"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Bernard, V. L., &amp; Thomas, J. K. (1989). Post-Earnings-Announcement Drift: Delayed Price Response or Risk Premium. Journal of Accounting Research, 27, 1–36. </w:t>
      </w:r>
      <w:hyperlink r:id="rId16" w:history="1">
        <w:r>
          <w:rPr>
            <w:rStyle w:val="Hyperlink"/>
            <w:rFonts w:ascii="Times New Roman" w:hAnsi="Times New Roman" w:cs="Times New Roman"/>
            <w:sz w:val="24"/>
            <w:szCs w:val="24"/>
          </w:rPr>
          <w:t>https://doi.org/10.2307/2491062</w:t>
        </w:r>
      </w:hyperlink>
    </w:p>
    <w:p w14:paraId="3F3C0705"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 xml:space="preserve">Brealey, R. A., Myers, S. C., &amp; Allen, F. (2017). </w:t>
      </w:r>
      <w:r>
        <w:rPr>
          <w:rFonts w:ascii="Times New Roman" w:hAnsi="Times New Roman" w:cs="Times New Roman"/>
          <w:i/>
          <w:iCs/>
          <w:sz w:val="24"/>
          <w:szCs w:val="24"/>
        </w:rPr>
        <w:t>Principles of corporate finance</w:t>
      </w:r>
      <w:r>
        <w:rPr>
          <w:rFonts w:ascii="Times New Roman" w:hAnsi="Times New Roman" w:cs="Times New Roman"/>
          <w:sz w:val="24"/>
          <w:szCs w:val="24"/>
        </w:rPr>
        <w:t>. McGraw-Hill.</w:t>
      </w:r>
    </w:p>
    <w:p w14:paraId="7CE61644"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Corporate Finance Institute. (2025, October 23). *Financial Ratios: Definition, Types, and Examples*. </w:t>
      </w:r>
      <w:hyperlink r:id="rId17" w:history="1">
        <w:r>
          <w:rPr>
            <w:rStyle w:val="Hyperlink"/>
            <w:rFonts w:ascii="Times New Roman" w:hAnsi="Times New Roman" w:cs="Times New Roman"/>
            <w:sz w:val="24"/>
            <w:szCs w:val="24"/>
          </w:rPr>
          <w:t>https://corporatefinanceinstitute.com/resources/accounting/financial-ratios/</w:t>
        </w:r>
      </w:hyperlink>
    </w:p>
    <w:p w14:paraId="21F12B89"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Chan, A. T. L., Ngai, E. W. T., &amp; Moon, K. K. L. (2017). The effects of strategic and manufacturing flexibilities and supply chain agility on firm performance in the fashion industry. European Journal of Operational Research, 259(2), 486–499. </w:t>
      </w:r>
      <w:hyperlink r:id="rId18" w:history="1">
        <w:r>
          <w:rPr>
            <w:rStyle w:val="Hyperlink"/>
            <w:rFonts w:ascii="Times New Roman" w:hAnsi="Times New Roman" w:cs="Times New Roman"/>
            <w:sz w:val="24"/>
            <w:szCs w:val="24"/>
          </w:rPr>
          <w:t>https://doi.org/10.1016/j.ejor.2016.11.006</w:t>
        </w:r>
      </w:hyperlink>
    </w:p>
    <w:p w14:paraId="3C1FF1EC" w14:textId="77777777" w:rsidR="00824E4A" w:rsidRDefault="00824E4A" w:rsidP="00824E4A">
      <w:pPr>
        <w:spacing w:after="0" w:line="240" w:lineRule="auto"/>
        <w:ind w:left="810" w:hanging="810"/>
        <w:jc w:val="both"/>
        <w:rPr>
          <w:rFonts w:ascii="Times New Roman" w:hAnsi="Times New Roman" w:cs="Times New Roman"/>
          <w:sz w:val="24"/>
          <w:szCs w:val="24"/>
          <w:lang w:val="fr-FR"/>
        </w:rPr>
      </w:pPr>
      <w:r>
        <w:rPr>
          <w:rFonts w:ascii="Times New Roman" w:hAnsi="Times New Roman" w:cs="Times New Roman"/>
          <w:sz w:val="24"/>
          <w:szCs w:val="24"/>
        </w:rPr>
        <w:t xml:space="preserve">Chhetri, R. (2023). Factors Affecting the Share Price of Commercial Banks in Nepal. Quest Journal of Management and Social Sciences, 5(1), 107-118. </w:t>
      </w:r>
      <w:hyperlink r:id="rId19" w:history="1">
        <w:r>
          <w:rPr>
            <w:rStyle w:val="Hyperlink"/>
            <w:rFonts w:ascii="Times New Roman" w:hAnsi="Times New Roman" w:cs="Times New Roman"/>
            <w:sz w:val="24"/>
            <w:szCs w:val="24"/>
            <w:lang w:val="fr-FR"/>
          </w:rPr>
          <w:t>https://doi.org/10.3126/qjmss.v5i1.56298</w:t>
        </w:r>
      </w:hyperlink>
    </w:p>
    <w:p w14:paraId="3090CBB1" w14:textId="77777777" w:rsidR="00824E4A" w:rsidRDefault="00824E4A" w:rsidP="00824E4A">
      <w:pPr>
        <w:spacing w:after="0" w:line="240" w:lineRule="auto"/>
        <w:ind w:left="810" w:hanging="81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Colombo, M. G., &amp; Grilli, L. (2005). Start-up size: The role of external financing. </w:t>
      </w:r>
      <w:r>
        <w:rPr>
          <w:rFonts w:ascii="Times New Roman" w:hAnsi="Times New Roman" w:cs="Times New Roman"/>
          <w:sz w:val="24"/>
          <w:szCs w:val="24"/>
          <w:lang w:val="fr-FR"/>
        </w:rPr>
        <w:t xml:space="preserve">Economics Letters, 88(2), 243-250. </w:t>
      </w:r>
      <w:hyperlink r:id="rId20" w:history="1">
        <w:r>
          <w:rPr>
            <w:rStyle w:val="Hyperlink"/>
            <w:rFonts w:ascii="Times New Roman" w:hAnsi="Times New Roman" w:cs="Times New Roman"/>
            <w:sz w:val="24"/>
            <w:szCs w:val="24"/>
            <w:lang w:val="en-IN"/>
          </w:rPr>
          <w:t>https://doi.org/10.1016/j.econlet.2005.02.018</w:t>
        </w:r>
      </w:hyperlink>
    </w:p>
    <w:p w14:paraId="3DE320CA"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Gardner, M. J., Mills, D. L., &amp; Cooperman, E. S. (2000). Managing financial institutions: An asset/liability approach. The Dryden Press.</w:t>
      </w:r>
    </w:p>
    <w:p w14:paraId="4D6DB6E8"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Damodaran, A. (2015). Applied corporate finance (4th ed.). Wiley. </w:t>
      </w:r>
      <w:hyperlink r:id="rId21" w:history="1">
        <w:r>
          <w:rPr>
            <w:rStyle w:val="Hyperlink"/>
            <w:rFonts w:ascii="Times New Roman" w:hAnsi="Times New Roman" w:cs="Times New Roman"/>
            <w:sz w:val="24"/>
            <w:szCs w:val="24"/>
          </w:rPr>
          <w:t>https://www.wiley.com/en-us/Applied+Corporate+Finance%2C+4th+Edition-p-9781118808931</w:t>
        </w:r>
      </w:hyperlink>
    </w:p>
    <w:p w14:paraId="050EADBD"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Dimyati, F. F. (2023). The influence of solvatibility ration, company size, TATO, ROA, DER on return price of properties subsectors in 2019-2021. Owner : Riset dan Jurnal Akuntansi, 7(4), 3197-3206. </w:t>
      </w:r>
      <w:hyperlink r:id="rId22" w:history="1">
        <w:r>
          <w:rPr>
            <w:rStyle w:val="Hyperlink"/>
            <w:rFonts w:ascii="Times New Roman" w:hAnsi="Times New Roman" w:cs="Times New Roman"/>
            <w:sz w:val="24"/>
            <w:szCs w:val="24"/>
          </w:rPr>
          <w:t>https://doi.org/10.33395/owner.v7i4.1692</w:t>
        </w:r>
      </w:hyperlink>
    </w:p>
    <w:p w14:paraId="1F2BDBC4"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Edokpa, S. I., Farouk, M. A., &amp; Uyagu, B. D. (2024). Moderating Effect of Share Price on the Relationship Between Capital Structure and Dividend Payout of Quoted Agriculture Firms in Nigeria. International Journal of Management and Economics Invention, 10(7), 3319-3330. </w:t>
      </w:r>
      <w:hyperlink r:id="rId23" w:history="1">
        <w:r>
          <w:rPr>
            <w:rStyle w:val="Hyperlink"/>
            <w:rFonts w:ascii="Times New Roman" w:hAnsi="Times New Roman" w:cs="Times New Roman"/>
            <w:sz w:val="24"/>
            <w:szCs w:val="24"/>
          </w:rPr>
          <w:t>https://doi.org/10.47191/ijmei/v10i7.02</w:t>
        </w:r>
      </w:hyperlink>
    </w:p>
    <w:p w14:paraId="709AB934"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Etale, L. M. (2020). Financial leverage and return on equity: A study of listed companies in Nigeria. International Journal of Finance and Accounting, 9(2), 1-11.</w:t>
      </w:r>
    </w:p>
    <w:p w14:paraId="7ABFF945"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lang w:val="pt-BR"/>
        </w:rPr>
        <w:t xml:space="preserve">Ezekwesili, T. P., &amp; Ezejiofor, R. A. (2022). </w:t>
      </w:r>
      <w:r>
        <w:rPr>
          <w:rFonts w:ascii="Times New Roman" w:hAnsi="Times New Roman" w:cs="Times New Roman"/>
          <w:sz w:val="24"/>
          <w:szCs w:val="24"/>
        </w:rPr>
        <w:t xml:space="preserve">Firm characteristics and tax aggressiveness of quoted industrial goods firms in Nigeria. International Journal of Research Publication and Reviews. </w:t>
      </w:r>
      <w:hyperlink r:id="rId24" w:history="1">
        <w:r>
          <w:rPr>
            <w:rStyle w:val="Hyperlink"/>
            <w:rFonts w:ascii="Times New Roman" w:hAnsi="Times New Roman" w:cs="Times New Roman"/>
            <w:sz w:val="24"/>
            <w:szCs w:val="24"/>
          </w:rPr>
          <w:t>https://www.researchgate.net/publication/360540000_FIRM_CHARACTERISTICS_AND_TAX_AGGRESSIVENESS_OF_QUOTED_INDUSTRIAL_GOODS_FIRMS_IN_NIGERIA</w:t>
        </w:r>
      </w:hyperlink>
    </w:p>
    <w:p w14:paraId="31CAD629" w14:textId="77777777" w:rsidR="00824E4A" w:rsidRDefault="00824E4A" w:rsidP="00824E4A">
      <w:pPr>
        <w:spacing w:after="0" w:line="240" w:lineRule="auto"/>
        <w:ind w:left="810" w:hanging="810"/>
        <w:jc w:val="both"/>
        <w:rPr>
          <w:rFonts w:ascii="Times New Roman" w:hAnsi="Times New Roman" w:cs="Times New Roman"/>
          <w:sz w:val="24"/>
          <w:szCs w:val="24"/>
          <w:lang w:val="en-IN"/>
        </w:rPr>
      </w:pPr>
      <w:r>
        <w:rPr>
          <w:rFonts w:ascii="Times New Roman" w:hAnsi="Times New Roman" w:cs="Times New Roman"/>
          <w:sz w:val="24"/>
          <w:szCs w:val="24"/>
          <w:lang w:val="pt-BR"/>
        </w:rPr>
        <w:t xml:space="preserve">Fama, E. F., &amp; French, K. R. (1993). </w:t>
      </w:r>
      <w:r>
        <w:rPr>
          <w:rFonts w:ascii="Times New Roman" w:hAnsi="Times New Roman" w:cs="Times New Roman"/>
          <w:sz w:val="24"/>
          <w:szCs w:val="24"/>
          <w:lang w:val="en-IN"/>
        </w:rPr>
        <w:t xml:space="preserve">Common risk factors in the returns on stocks and bonds. Journal of Financial Economics, 33(1), 3-56. </w:t>
      </w:r>
      <w:hyperlink r:id="rId25" w:history="1">
        <w:r>
          <w:rPr>
            <w:rStyle w:val="Hyperlink"/>
            <w:rFonts w:ascii="Times New Roman" w:hAnsi="Times New Roman" w:cs="Times New Roman"/>
            <w:sz w:val="24"/>
            <w:szCs w:val="24"/>
            <w:lang w:val="en-IN"/>
          </w:rPr>
          <w:t>https://doi.org/10.1016/0304-405X(93)90023-5</w:t>
        </w:r>
      </w:hyperlink>
    </w:p>
    <w:p w14:paraId="4D86B3BE"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lang w:val="pt-BR"/>
        </w:rPr>
        <w:t xml:space="preserve">Fama, E. F., &amp; French, K. R. (2004). </w:t>
      </w:r>
      <w:r>
        <w:rPr>
          <w:rFonts w:ascii="Times New Roman" w:hAnsi="Times New Roman" w:cs="Times New Roman"/>
          <w:sz w:val="24"/>
          <w:szCs w:val="24"/>
        </w:rPr>
        <w:t xml:space="preserve">The capital asset pricing model: Theory and evidence. Journal of Economic Perspectives, 18(3), 25-46. </w:t>
      </w:r>
      <w:hyperlink r:id="rId26" w:history="1">
        <w:r>
          <w:rPr>
            <w:rStyle w:val="Hyperlink"/>
            <w:rFonts w:ascii="Times New Roman" w:hAnsi="Times New Roman" w:cs="Times New Roman"/>
            <w:sz w:val="24"/>
            <w:szCs w:val="24"/>
          </w:rPr>
          <w:t>https://doi.org/10.1257/0895330042162430</w:t>
        </w:r>
      </w:hyperlink>
    </w:p>
    <w:p w14:paraId="43AA597D"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Fauzan, A., &amp; Matoati, R. (2021). Financial Ratios and Share Prices of JII70 Indexed Companies for the 2018-2020 Period. The Management Journal of Binaniaga, 6(1), 23-40. </w:t>
      </w:r>
      <w:hyperlink r:id="rId27" w:history="1">
        <w:r>
          <w:rPr>
            <w:rStyle w:val="Hyperlink"/>
            <w:rFonts w:ascii="Times New Roman" w:hAnsi="Times New Roman" w:cs="Times New Roman"/>
            <w:sz w:val="24"/>
            <w:szCs w:val="24"/>
          </w:rPr>
          <w:t>https://doi.org/10.33062/mjb.v6i1.422</w:t>
        </w:r>
      </w:hyperlink>
    </w:p>
    <w:p w14:paraId="7937E59A"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Ferniawan, M. F., Kusumawati, A., &amp; Afdal (2024). The influence of earnings per share, price earnings ratio, price to book value, and debt to equity ratio on the stock return. </w:t>
      </w:r>
      <w:r>
        <w:rPr>
          <w:rFonts w:ascii="Times New Roman" w:hAnsi="Times New Roman" w:cs="Times New Roman"/>
          <w:i/>
          <w:iCs/>
          <w:sz w:val="24"/>
          <w:szCs w:val="24"/>
        </w:rPr>
        <w:t>Jurnal Bisna and Akintansi Kontemporer</w:t>
      </w:r>
      <w:r>
        <w:rPr>
          <w:rFonts w:ascii="Times New Roman" w:hAnsi="Times New Roman" w:cs="Times New Roman"/>
          <w:sz w:val="24"/>
          <w:szCs w:val="24"/>
        </w:rPr>
        <w:t xml:space="preserve"> 17(1), 114-130.</w:t>
      </w:r>
    </w:p>
    <w:p w14:paraId="707032F0"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García-Meca, E., &amp; Sánchez-Ballesta, J. P. (2017). The influence of the size and age of firms on financial performance: Evidence from the Spanish REITs. </w:t>
      </w:r>
      <w:r>
        <w:rPr>
          <w:rFonts w:ascii="Times New Roman" w:hAnsi="Times New Roman" w:cs="Times New Roman"/>
          <w:i/>
          <w:iCs/>
          <w:sz w:val="24"/>
          <w:szCs w:val="24"/>
        </w:rPr>
        <w:t>International Review of Economics &amp; Finance</w:t>
      </w:r>
      <w:r>
        <w:rPr>
          <w:rFonts w:ascii="Times New Roman" w:hAnsi="Times New Roman" w:cs="Times New Roman"/>
          <w:sz w:val="24"/>
          <w:szCs w:val="24"/>
        </w:rPr>
        <w:t xml:space="preserve">, 48, 396-408. </w:t>
      </w:r>
    </w:p>
    <w:p w14:paraId="1B5F13E8"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Greene, W. H. (2012). Econometric analysis (7th ed.). Pearson. </w:t>
      </w:r>
      <w:hyperlink r:id="rId28" w:history="1">
        <w:r>
          <w:rPr>
            <w:rStyle w:val="Hyperlink"/>
            <w:rFonts w:ascii="Times New Roman" w:hAnsi="Times New Roman" w:cs="Times New Roman"/>
            <w:sz w:val="24"/>
            <w:szCs w:val="24"/>
          </w:rPr>
          <w:t>http://pages.stern.nyu.edu/~wgreene/Text/econometricanalysis.html</w:t>
        </w:r>
      </w:hyperlink>
    </w:p>
    <w:p w14:paraId="298B625B" w14:textId="77777777" w:rsidR="00824E4A" w:rsidRDefault="00824E4A" w:rsidP="00824E4A">
      <w:pPr>
        <w:spacing w:after="0" w:line="240" w:lineRule="auto"/>
        <w:ind w:left="810" w:hanging="810"/>
        <w:jc w:val="both"/>
        <w:rPr>
          <w:rFonts w:ascii="Times New Roman" w:hAnsi="Times New Roman" w:cs="Times New Roman"/>
          <w:sz w:val="24"/>
          <w:szCs w:val="24"/>
          <w:lang w:val="pt-BR"/>
        </w:rPr>
      </w:pPr>
      <w:r>
        <w:rPr>
          <w:rFonts w:ascii="Times New Roman" w:hAnsi="Times New Roman" w:cs="Times New Roman"/>
          <w:sz w:val="24"/>
          <w:szCs w:val="24"/>
        </w:rPr>
        <w:lastRenderedPageBreak/>
        <w:t xml:space="preserve">Halim, H. B., Oyon, M. S. S., &amp; Ahmed, M. (2023). Examining the moderating effect of company size on the relationship between financial performance, capital structure and firm value. International Journal of Business Society, 7(12), 847-852. </w:t>
      </w:r>
      <w:hyperlink r:id="rId29" w:history="1">
        <w:r>
          <w:rPr>
            <w:rStyle w:val="Hyperlink"/>
            <w:rFonts w:ascii="Times New Roman" w:hAnsi="Times New Roman" w:cs="Times New Roman"/>
            <w:sz w:val="24"/>
            <w:szCs w:val="24"/>
            <w:lang w:val="pt-BR"/>
          </w:rPr>
          <w:t>https://doi.org/10.30566/ijo-bs/2023.12.117</w:t>
        </w:r>
      </w:hyperlink>
    </w:p>
    <w:p w14:paraId="634903F0" w14:textId="77777777" w:rsidR="00824E4A" w:rsidRDefault="00824E4A" w:rsidP="00824E4A">
      <w:pPr>
        <w:spacing w:after="0" w:line="240" w:lineRule="auto"/>
        <w:ind w:left="810" w:hanging="81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Handayani, A., &amp; Winingrum, W. A. (2023). Financial Performance On Banking Share Price. Moneter: Jurnal Keuangan dan Perbankan, 11(2), 303-307. </w:t>
      </w:r>
      <w:hyperlink r:id="rId30" w:history="1">
        <w:r>
          <w:rPr>
            <w:rStyle w:val="Hyperlink"/>
            <w:rFonts w:ascii="Times New Roman" w:hAnsi="Times New Roman" w:cs="Times New Roman"/>
            <w:sz w:val="24"/>
            <w:szCs w:val="24"/>
            <w:lang w:val="en-IN"/>
          </w:rPr>
          <w:t>https://doi.org/10.32832/moneter.v11i2.116</w:t>
        </w:r>
      </w:hyperlink>
    </w:p>
    <w:p w14:paraId="032907F3"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Harinurdin, E. (2022). The effects of financial performance and institutional ownership on the stock price of mining company in Indonesia Stock Exchange (IDX) Year 2016-2020. Jurnal Keuangan dan Perbankan (KEBAN), 2(1), 21-47. </w:t>
      </w:r>
      <w:hyperlink r:id="rId31" w:history="1">
        <w:r>
          <w:rPr>
            <w:rStyle w:val="Hyperlink"/>
            <w:rFonts w:ascii="Times New Roman" w:hAnsi="Times New Roman" w:cs="Times New Roman"/>
            <w:sz w:val="24"/>
            <w:szCs w:val="24"/>
          </w:rPr>
          <w:t>https://doi.org/10.30656/jkk.v2i1.5909</w:t>
        </w:r>
      </w:hyperlink>
    </w:p>
    <w:p w14:paraId="5822AF1F"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Hutasoit, D. T. M., Toni, N., &amp; Ariesa, Y. (2022). Effect of loan to deposit ratio, capital adequacy ratio, return on equity, and dividend payout ratio on stock prices with Bank Indonesia interest rates as moderating variables in banking companies on the Indonesia Stock Exchange. </w:t>
      </w:r>
      <w:r>
        <w:rPr>
          <w:rFonts w:ascii="Times New Roman" w:hAnsi="Times New Roman" w:cs="Times New Roman"/>
          <w:i/>
          <w:iCs/>
          <w:sz w:val="24"/>
          <w:szCs w:val="24"/>
        </w:rPr>
        <w:t>International Journal of Social and Management Studies</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 xml:space="preserve">(3), 137–149. </w:t>
      </w:r>
      <w:hyperlink r:id="rId32" w:history="1">
        <w:r>
          <w:rPr>
            <w:rStyle w:val="Hyperlink"/>
            <w:rFonts w:ascii="Times New Roman" w:hAnsi="Times New Roman" w:cs="Times New Roman"/>
            <w:color w:val="auto"/>
            <w:sz w:val="24"/>
            <w:szCs w:val="24"/>
          </w:rPr>
          <w:t>https://doi.org/10.5555/ijosmas.v3i3.207</w:t>
        </w:r>
      </w:hyperlink>
    </w:p>
    <w:p w14:paraId="45A51ACB"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lang w:val="pt-BR"/>
        </w:rPr>
        <w:t xml:space="preserve">Idawati, I. A. A., &amp; Paramananda, N. (2022). </w:t>
      </w:r>
      <w:r>
        <w:rPr>
          <w:rFonts w:ascii="Times New Roman" w:hAnsi="Times New Roman" w:cs="Times New Roman"/>
          <w:sz w:val="24"/>
          <w:szCs w:val="24"/>
        </w:rPr>
        <w:t xml:space="preserve">Analysis of the Relationship between Financial Performance and Stock Prices in Food and Beverage Sub-Sector Companies Listed on the IDX. Account and Financial Management Journal, 7(08), 2875-2882. </w:t>
      </w:r>
      <w:hyperlink r:id="rId33" w:history="1">
        <w:r>
          <w:rPr>
            <w:rStyle w:val="Hyperlink"/>
            <w:rFonts w:ascii="Times New Roman" w:hAnsi="Times New Roman" w:cs="Times New Roman"/>
            <w:sz w:val="24"/>
            <w:szCs w:val="24"/>
          </w:rPr>
          <w:t>https://doi.org/10.47191/afmj/v7i8.02</w:t>
        </w:r>
      </w:hyperlink>
    </w:p>
    <w:p w14:paraId="6A01C91E"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Ighosewe, E. F., Akpokerere, O. E., &amp; Agbogun, O. E. (2023). Accounting information and market value of quoted healthcare firms in Nigeria. </w:t>
      </w:r>
      <w:r>
        <w:rPr>
          <w:rFonts w:ascii="Times New Roman" w:hAnsi="Times New Roman" w:cs="Times New Roman"/>
          <w:i/>
          <w:iCs/>
          <w:sz w:val="24"/>
          <w:szCs w:val="24"/>
        </w:rPr>
        <w:t>Journal of Xidian University</w:t>
      </w:r>
      <w:r>
        <w:rPr>
          <w:rFonts w:ascii="Times New Roman" w:hAnsi="Times New Roman" w:cs="Times New Roman"/>
          <w:sz w:val="24"/>
          <w:szCs w:val="24"/>
        </w:rPr>
        <w:t xml:space="preserve"> 16(12), 587-603.</w:t>
      </w:r>
    </w:p>
    <w:p w14:paraId="618D68E6"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Islam, M. R., Khan, T. R., Choudhury, T. T., &amp; Adnan, A. M. (2014). How Earning Per Share (EPS) Affects on Share Price and Firm Value. European Journal of Business and Management, 6(17), 97-108. </w:t>
      </w:r>
      <w:hyperlink r:id="rId34" w:history="1">
        <w:r>
          <w:rPr>
            <w:rStyle w:val="Hyperlink"/>
            <w:rFonts w:ascii="Times New Roman" w:hAnsi="Times New Roman" w:cs="Times New Roman"/>
            <w:sz w:val="24"/>
            <w:szCs w:val="24"/>
          </w:rPr>
          <w:t>https://doi.org/10.7176/EJBM/6-17-13</w:t>
        </w:r>
      </w:hyperlink>
    </w:p>
    <w:p w14:paraId="08FE3A11"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Irawan, A. D., Herlinawati , E., &amp; Herlina, L. (2023). The effect of earning per share, price to book value, and price earnings ratio on the share price of PT. Express Transindo Utama Tbk . </w:t>
      </w:r>
      <w:r>
        <w:rPr>
          <w:rFonts w:ascii="Times New Roman" w:hAnsi="Times New Roman" w:cs="Times New Roman"/>
          <w:i/>
          <w:iCs/>
          <w:sz w:val="24"/>
          <w:szCs w:val="24"/>
        </w:rPr>
        <w:t>International Journal of Finance Research</w:t>
      </w:r>
      <w:r>
        <w:rPr>
          <w:rFonts w:ascii="Times New Roman" w:hAnsi="Times New Roman" w:cs="Times New Roman"/>
          <w:sz w:val="24"/>
          <w:szCs w:val="24"/>
        </w:rPr>
        <w:t>, </w:t>
      </w:r>
      <w:r>
        <w:rPr>
          <w:rFonts w:ascii="Times New Roman" w:hAnsi="Times New Roman" w:cs="Times New Roman"/>
          <w:i/>
          <w:iCs/>
          <w:sz w:val="24"/>
          <w:szCs w:val="24"/>
        </w:rPr>
        <w:t>4</w:t>
      </w:r>
      <w:r>
        <w:rPr>
          <w:rFonts w:ascii="Times New Roman" w:hAnsi="Times New Roman" w:cs="Times New Roman"/>
          <w:sz w:val="24"/>
          <w:szCs w:val="24"/>
        </w:rPr>
        <w:t>(4), 279 - 290. https://doi.org/10.47747/ijfr.v4i4.1591</w:t>
      </w:r>
    </w:p>
    <w:p w14:paraId="1C0650FB"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Ohlson, J. A. (1995). Earnings, Book Values, and Dividends in Equity Valuation. Contemporary Accounting Research, 11(2), 661-687. </w:t>
      </w:r>
      <w:hyperlink r:id="rId35" w:history="1">
        <w:r>
          <w:rPr>
            <w:rStyle w:val="Hyperlink"/>
            <w:rFonts w:ascii="Times New Roman" w:hAnsi="Times New Roman" w:cs="Times New Roman"/>
            <w:sz w:val="24"/>
            <w:szCs w:val="24"/>
          </w:rPr>
          <w:t>https://doi.org/10.1111/j.1911-3846.1995.tb00461.x</w:t>
        </w:r>
      </w:hyperlink>
    </w:p>
    <w:p w14:paraId="395D6681"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Kaplan, S. N., &amp; Zingales, L. (1997). Do Investment-Cash Flow Sensitivities Provide Useful Measures of Financing Constraints? Quarterly Journal of Economics, 112, 169-215. </w:t>
      </w:r>
      <w:hyperlink r:id="rId36" w:history="1">
        <w:r>
          <w:rPr>
            <w:rStyle w:val="Hyperlink"/>
            <w:rFonts w:ascii="Times New Roman" w:hAnsi="Times New Roman" w:cs="Times New Roman"/>
            <w:sz w:val="24"/>
            <w:szCs w:val="24"/>
          </w:rPr>
          <w:t>https://doi.org/10.1162/003355397555163</w:t>
        </w:r>
      </w:hyperlink>
    </w:p>
    <w:p w14:paraId="4F323AFA"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Kartika, A., Handrijaningsih, L., T.R., S. M., &amp; Anisah. (2022). The effect of price earning ratio, return on equity, debt to equity ratio, firm size, and dividend payout ratio to the stock returns on banks listed in LQ45 Index 2015-2020. Ilomata International Journal of Tax and Accounting, 3(4), 435-447. </w:t>
      </w:r>
      <w:hyperlink r:id="rId37" w:history="1">
        <w:r>
          <w:rPr>
            <w:rStyle w:val="Hyperlink"/>
            <w:rFonts w:ascii="Times New Roman" w:hAnsi="Times New Roman" w:cs="Times New Roman"/>
            <w:sz w:val="24"/>
            <w:szCs w:val="24"/>
          </w:rPr>
          <w:t>https://doi.org/10.52728/ijtc.v3i4.592</w:t>
        </w:r>
      </w:hyperlink>
    </w:p>
    <w:p w14:paraId="550D7A09"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Kothari, M. P., Shu, S., &amp; Wysocki, P. T. (2010). Do managers admit to fraudulent financial reporting in managerial earnings guidance? Journal of Accounting and Economics, 49(1-2), 101-116.</w:t>
      </w:r>
    </w:p>
    <w:p w14:paraId="010F96B9"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Kulkarni, S. S., Kulkarni, S. P., &amp; Deshmukh, A. (2020). Firm size, industry, and return on equity: An empirical study of Indian companies. Journal of Management Research, 12(2), 1-15.</w:t>
      </w:r>
    </w:p>
    <w:p w14:paraId="4E15D674" w14:textId="77777777" w:rsidR="00824E4A" w:rsidRDefault="00824E4A" w:rsidP="00824E4A">
      <w:pPr>
        <w:spacing w:after="0" w:line="240" w:lineRule="auto"/>
        <w:ind w:left="810" w:hanging="810"/>
        <w:jc w:val="both"/>
        <w:rPr>
          <w:rFonts w:ascii="Times New Roman" w:hAnsi="Times New Roman" w:cs="Times New Roman"/>
          <w:sz w:val="24"/>
          <w:szCs w:val="24"/>
          <w:lang w:val="pt-BR"/>
        </w:rPr>
      </w:pPr>
      <w:r>
        <w:rPr>
          <w:rFonts w:ascii="Times New Roman" w:hAnsi="Times New Roman" w:cs="Times New Roman"/>
          <w:sz w:val="24"/>
          <w:szCs w:val="24"/>
        </w:rPr>
        <w:t xml:space="preserve">Maringka, T. S. (2024). The influence of earnings per share and interest rate on stock prices in the mediation of firm value (Study on Financial Companies Listed on the Indonesia Stock Exchange). KnE Social Sciences, 9(10), 210–225. </w:t>
      </w:r>
      <w:hyperlink r:id="rId38" w:history="1">
        <w:r>
          <w:rPr>
            <w:rStyle w:val="Hyperlink"/>
            <w:rFonts w:ascii="Times New Roman" w:hAnsi="Times New Roman" w:cs="Times New Roman"/>
            <w:sz w:val="24"/>
            <w:szCs w:val="24"/>
            <w:lang w:val="pt-BR"/>
          </w:rPr>
          <w:t>https://doi.org/10.18502/kss.v9i10.15728</w:t>
        </w:r>
      </w:hyperlink>
    </w:p>
    <w:p w14:paraId="36D0F02B" w14:textId="77777777" w:rsidR="00824E4A" w:rsidRDefault="00824E4A" w:rsidP="00824E4A">
      <w:pPr>
        <w:spacing w:after="0" w:line="240" w:lineRule="auto"/>
        <w:ind w:left="810" w:hanging="810"/>
        <w:jc w:val="both"/>
        <w:rPr>
          <w:rFonts w:ascii="Times New Roman" w:hAnsi="Times New Roman" w:cs="Times New Roman"/>
          <w:sz w:val="24"/>
          <w:szCs w:val="24"/>
          <w:lang w:val="en-IN"/>
        </w:rPr>
      </w:pPr>
      <w:r>
        <w:rPr>
          <w:rFonts w:ascii="Times New Roman" w:hAnsi="Times New Roman" w:cs="Times New Roman"/>
          <w:sz w:val="24"/>
          <w:szCs w:val="24"/>
          <w:lang w:val="pt-BR"/>
        </w:rPr>
        <w:lastRenderedPageBreak/>
        <w:t xml:space="preserve">Meliza, M., Magetana, D. Y., &amp; Ayuningtyas, A. (2024). </w:t>
      </w:r>
      <w:r>
        <w:rPr>
          <w:rFonts w:ascii="Times New Roman" w:hAnsi="Times New Roman" w:cs="Times New Roman"/>
          <w:sz w:val="24"/>
          <w:szCs w:val="24"/>
          <w:lang w:val="en-IN"/>
        </w:rPr>
        <w:t xml:space="preserve">Financial performance and share price: The moderating role of exchange rate. Jurnal Sistem Informasi, Manajemen, dan Akuntansi, 22(1), 1-15. </w:t>
      </w:r>
      <w:hyperlink r:id="rId39" w:history="1">
        <w:r>
          <w:rPr>
            <w:rStyle w:val="Hyperlink"/>
            <w:rFonts w:ascii="Times New Roman" w:hAnsi="Times New Roman" w:cs="Times New Roman"/>
            <w:sz w:val="24"/>
            <w:szCs w:val="24"/>
            <w:lang w:val="en-IN"/>
          </w:rPr>
          <w:t>https://doi.org/10.35129/simak.v22i01.498</w:t>
        </w:r>
      </w:hyperlink>
    </w:p>
    <w:p w14:paraId="089A6044"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Moseri, N. M., Owualah, S. I., &amp; Ogbebor, P. I. (2024). Earnings Per Share, Dividends Per Share, Dividend Yield and Firm Size on Share Price Behaviour of Manufacturing Firms in Nigeria: Causal Effect. International Journal of Economics, Finance and Management Sciences, 12(2), 54-65. </w:t>
      </w:r>
      <w:hyperlink r:id="rId40" w:history="1">
        <w:r>
          <w:rPr>
            <w:rStyle w:val="Hyperlink"/>
            <w:rFonts w:ascii="Times New Roman" w:hAnsi="Times New Roman" w:cs="Times New Roman"/>
            <w:sz w:val="24"/>
            <w:szCs w:val="24"/>
          </w:rPr>
          <w:t>https://doi.org/10.11648/j.ijefm.20241202.12</w:t>
        </w:r>
      </w:hyperlink>
    </w:p>
    <w:p w14:paraId="256BBE7C"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Morgan, S. L., &amp; Winship, C. (2007). Counterfactuals and causal inference: Methods and principles for social research. Cambridge University Press. </w:t>
      </w:r>
      <w:hyperlink r:id="rId41" w:history="1">
        <w:r>
          <w:rPr>
            <w:rStyle w:val="Hyperlink"/>
            <w:rFonts w:ascii="Times New Roman" w:hAnsi="Times New Roman" w:cs="Times New Roman"/>
            <w:sz w:val="24"/>
            <w:szCs w:val="24"/>
          </w:rPr>
          <w:t>https://doi.org/10.1017/CBO9780511804564</w:t>
        </w:r>
      </w:hyperlink>
    </w:p>
    <w:p w14:paraId="31777436" w14:textId="77777777" w:rsidR="00824E4A" w:rsidRDefault="00824E4A" w:rsidP="00824E4A">
      <w:pPr>
        <w:spacing w:after="0" w:line="240" w:lineRule="auto"/>
        <w:ind w:left="810" w:hanging="810"/>
        <w:jc w:val="both"/>
        <w:rPr>
          <w:rFonts w:ascii="Times New Roman" w:hAnsi="Times New Roman" w:cs="Times New Roman"/>
          <w:sz w:val="24"/>
          <w:szCs w:val="24"/>
          <w:lang w:val="pt-BR"/>
        </w:rPr>
      </w:pPr>
      <w:r>
        <w:rPr>
          <w:rFonts w:ascii="Times New Roman" w:hAnsi="Times New Roman" w:cs="Times New Roman"/>
          <w:sz w:val="24"/>
          <w:szCs w:val="24"/>
        </w:rPr>
        <w:t xml:space="preserve">Nazir, Y., Hussain, F. Z., Mukhtar, A., &amp; Khalid, S. (2022). The impact of firm-specific factors on the stock prices: New insight from emerging market of Asia. Journal of Accounting and Finance in Emerging Economies, 8(1), 101-112. </w:t>
      </w:r>
      <w:hyperlink r:id="rId42" w:history="1">
        <w:r>
          <w:rPr>
            <w:rStyle w:val="Hyperlink"/>
            <w:rFonts w:ascii="Times New Roman" w:hAnsi="Times New Roman" w:cs="Times New Roman"/>
            <w:sz w:val="24"/>
            <w:szCs w:val="24"/>
            <w:lang w:val="pt-BR"/>
          </w:rPr>
          <w:t>https://doi.org/10.26710/jafee.v8i1.2197</w:t>
        </w:r>
      </w:hyperlink>
    </w:p>
    <w:p w14:paraId="4EB21B4D" w14:textId="77777777" w:rsidR="00824E4A" w:rsidRDefault="00824E4A" w:rsidP="00824E4A">
      <w:pPr>
        <w:spacing w:after="0" w:line="240" w:lineRule="auto"/>
        <w:ind w:left="810" w:hanging="81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Nugraha, I. A., Fadila, N., &amp; Parlina, N. D. (2024). </w:t>
      </w:r>
      <w:r>
        <w:rPr>
          <w:rFonts w:ascii="Times New Roman" w:hAnsi="Times New Roman" w:cs="Times New Roman"/>
          <w:sz w:val="24"/>
          <w:szCs w:val="24"/>
          <w:lang w:val="en-IN"/>
        </w:rPr>
        <w:t xml:space="preserve">Analysis towards stock price with earnings per share as moderating variable. International Journal of Humanities Education and Social Sciences. </w:t>
      </w:r>
      <w:hyperlink r:id="rId43" w:history="1">
        <w:r>
          <w:rPr>
            <w:rStyle w:val="Hyperlink"/>
            <w:rFonts w:ascii="Times New Roman" w:hAnsi="Times New Roman" w:cs="Times New Roman"/>
            <w:sz w:val="24"/>
            <w:szCs w:val="24"/>
            <w:lang w:val="pt-BR"/>
          </w:rPr>
          <w:t>https://doi.org/10.55227/ijhess.v3i6.963</w:t>
        </w:r>
      </w:hyperlink>
    </w:p>
    <w:p w14:paraId="21CE3117" w14:textId="77777777" w:rsidR="00824E4A" w:rsidRDefault="00824E4A" w:rsidP="00824E4A">
      <w:pPr>
        <w:spacing w:after="0" w:line="240" w:lineRule="auto"/>
        <w:ind w:left="810" w:hanging="810"/>
        <w:jc w:val="both"/>
        <w:rPr>
          <w:rFonts w:ascii="Times New Roman" w:hAnsi="Times New Roman" w:cs="Times New Roman"/>
          <w:sz w:val="24"/>
          <w:szCs w:val="24"/>
          <w:lang w:val="en-IN"/>
        </w:rPr>
      </w:pPr>
      <w:r>
        <w:rPr>
          <w:rFonts w:ascii="Times New Roman" w:hAnsi="Times New Roman" w:cs="Times New Roman"/>
          <w:sz w:val="24"/>
          <w:szCs w:val="24"/>
          <w:lang w:val="pt-BR"/>
        </w:rPr>
        <w:t xml:space="preserve">Nugroho, M. T., Maria, &amp; Hakim, L. (2023). </w:t>
      </w:r>
      <w:r>
        <w:rPr>
          <w:rFonts w:ascii="Times New Roman" w:hAnsi="Times New Roman" w:cs="Times New Roman"/>
          <w:sz w:val="24"/>
          <w:szCs w:val="24"/>
          <w:lang w:val="en-IN"/>
        </w:rPr>
        <w:t xml:space="preserve">Determinants on share market price of mining companies (Case study in Indonesia). PENANOMICS International Journal of Economics, 2(3), 29-40. </w:t>
      </w:r>
      <w:hyperlink r:id="rId44" w:history="1">
        <w:r>
          <w:rPr>
            <w:rStyle w:val="Hyperlink"/>
            <w:rFonts w:ascii="Times New Roman" w:hAnsi="Times New Roman" w:cs="Times New Roman"/>
            <w:sz w:val="24"/>
            <w:szCs w:val="24"/>
            <w:lang w:val="en-IN"/>
          </w:rPr>
          <w:t>https://doi.org/10.56107/penanomics.v2i3.141</w:t>
        </w:r>
      </w:hyperlink>
    </w:p>
    <w:p w14:paraId="7E3E0A35" w14:textId="77777777" w:rsidR="00824E4A" w:rsidRDefault="00824E4A" w:rsidP="00824E4A">
      <w:pPr>
        <w:spacing w:after="0" w:line="240" w:lineRule="auto"/>
        <w:ind w:left="810" w:hanging="810"/>
        <w:jc w:val="both"/>
        <w:rPr>
          <w:rFonts w:ascii="Times New Roman" w:hAnsi="Times New Roman" w:cs="Times New Roman"/>
          <w:sz w:val="24"/>
          <w:szCs w:val="24"/>
          <w:lang w:val="pt-BR"/>
        </w:rPr>
      </w:pPr>
      <w:r>
        <w:rPr>
          <w:rFonts w:ascii="Times New Roman" w:hAnsi="Times New Roman" w:cs="Times New Roman"/>
          <w:sz w:val="24"/>
          <w:szCs w:val="24"/>
        </w:rPr>
        <w:t xml:space="preserve">Nusron, L. A., Setianingsih, R., &amp; Fachrunnisa, Z. H. (2022). Determinant of share price in property and real estate subsector companies. Journal of Applied Managerial Accounting, 6(1), 93-101. </w:t>
      </w:r>
      <w:hyperlink r:id="rId45" w:history="1">
        <w:r>
          <w:rPr>
            <w:rStyle w:val="Hyperlink"/>
            <w:rFonts w:ascii="Times New Roman" w:hAnsi="Times New Roman" w:cs="Times New Roman"/>
            <w:sz w:val="24"/>
            <w:szCs w:val="24"/>
            <w:lang w:val="pt-BR"/>
          </w:rPr>
          <w:t>https://doi.org/10.30871/jama.v6i1.3909</w:t>
        </w:r>
      </w:hyperlink>
    </w:p>
    <w:p w14:paraId="2D1A7EB4" w14:textId="77777777" w:rsidR="00824E4A" w:rsidRDefault="00824E4A" w:rsidP="00824E4A">
      <w:pPr>
        <w:spacing w:after="0" w:line="240" w:lineRule="auto"/>
        <w:ind w:left="810" w:hanging="81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Obembe, O. B., &amp; Bolarinwa, S. T. (2017). Firm Size–Profitability Nexus: An Empirical Evidence from Nigerian Listed Financial Firms. Global Business Review, 20(5), 1109–1121. </w:t>
      </w:r>
      <w:hyperlink r:id="rId46" w:history="1">
        <w:r>
          <w:rPr>
            <w:rStyle w:val="Hyperlink"/>
            <w:rFonts w:ascii="Times New Roman" w:hAnsi="Times New Roman" w:cs="Times New Roman"/>
            <w:sz w:val="24"/>
            <w:szCs w:val="24"/>
            <w:lang w:val="en-IN"/>
          </w:rPr>
          <w:t>https://doi.org/10.1177/0972150917733834</w:t>
        </w:r>
      </w:hyperlink>
    </w:p>
    <w:p w14:paraId="6C7B8525" w14:textId="77777777" w:rsidR="00824E4A" w:rsidRDefault="00824E4A" w:rsidP="00824E4A">
      <w:pPr>
        <w:spacing w:after="0" w:line="240" w:lineRule="auto"/>
        <w:ind w:left="810" w:hanging="810"/>
        <w:jc w:val="both"/>
        <w:rPr>
          <w:rFonts w:ascii="Times New Roman" w:hAnsi="Times New Roman" w:cs="Times New Roman"/>
          <w:sz w:val="24"/>
          <w:szCs w:val="24"/>
          <w:lang w:val="pt-BR"/>
        </w:rPr>
      </w:pPr>
      <w:r>
        <w:rPr>
          <w:rFonts w:ascii="Times New Roman" w:hAnsi="Times New Roman" w:cs="Times New Roman"/>
          <w:sz w:val="24"/>
          <w:szCs w:val="24"/>
        </w:rPr>
        <w:t xml:space="preserve">Oktoriza, L. A., &amp; Puspitasari, D. (2023). The effect of debt-to-asset ratio, stock price, and return of equity on firm value with size as variable moderation (study on food and beverages companies 2017-2021). Fokus Ekonomi Jurnal Ilmiah Ekonomi, 18(2), 129-137. </w:t>
      </w:r>
      <w:hyperlink r:id="rId47" w:history="1">
        <w:r>
          <w:rPr>
            <w:rStyle w:val="Hyperlink"/>
            <w:rFonts w:ascii="Times New Roman" w:hAnsi="Times New Roman" w:cs="Times New Roman"/>
            <w:sz w:val="24"/>
            <w:szCs w:val="24"/>
            <w:lang w:val="pt-BR"/>
          </w:rPr>
          <w:t>https://doi.org/10.34152/fe.18.2.129-137</w:t>
        </w:r>
      </w:hyperlink>
    </w:p>
    <w:p w14:paraId="59AFE0C3"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lang w:val="pt-BR"/>
        </w:rPr>
        <w:t xml:space="preserve">Oladunjoye, O. O., Ogbebor, P. I. &amp; Alalade, Y.S.A. (2021). </w:t>
      </w:r>
      <w:r>
        <w:rPr>
          <w:rFonts w:ascii="Times New Roman" w:hAnsi="Times New Roman" w:cs="Times New Roman"/>
          <w:sz w:val="24"/>
          <w:szCs w:val="24"/>
        </w:rPr>
        <w:t xml:space="preserve">Debt equity and share price performance of manufacturing companies listed in Nigeria. </w:t>
      </w:r>
      <w:r>
        <w:rPr>
          <w:rFonts w:ascii="Times New Roman" w:hAnsi="Times New Roman" w:cs="Times New Roman"/>
          <w:i/>
          <w:iCs/>
          <w:sz w:val="24"/>
          <w:szCs w:val="24"/>
        </w:rPr>
        <w:t>International Journal of Advanced Research,</w:t>
      </w:r>
      <w:r>
        <w:rPr>
          <w:rFonts w:ascii="Times New Roman" w:hAnsi="Times New Roman" w:cs="Times New Roman"/>
          <w:sz w:val="24"/>
          <w:szCs w:val="24"/>
        </w:rPr>
        <w:t xml:space="preserve"> 9(07), 1016-1024     DOI: 10.21474/IJAR01/13206</w:t>
      </w:r>
    </w:p>
    <w:p w14:paraId="4B4E90A6" w14:textId="77777777" w:rsidR="00824E4A" w:rsidRDefault="00824E4A" w:rsidP="00824E4A">
      <w:pPr>
        <w:spacing w:after="0" w:line="240" w:lineRule="auto"/>
        <w:ind w:left="810" w:hanging="810"/>
        <w:jc w:val="both"/>
        <w:rPr>
          <w:rFonts w:ascii="Times New Roman" w:hAnsi="Times New Roman" w:cs="Times New Roman"/>
          <w:sz w:val="24"/>
          <w:szCs w:val="24"/>
        </w:rPr>
      </w:pPr>
      <w:bookmarkStart w:id="0" w:name="OLE_LINK10"/>
      <w:r>
        <w:rPr>
          <w:rFonts w:ascii="Times New Roman" w:hAnsi="Times New Roman" w:cs="Times New Roman"/>
          <w:sz w:val="24"/>
          <w:szCs w:val="24"/>
        </w:rPr>
        <w:t xml:space="preserve">Olaniyi, C. O., Simon-Oke, O. O., Obembe, O. B., &amp; Bolarinwa, S. T. (2017). Re-examining firm size-profitability nexus: empirical evidence from non-financial listed firms in Nigeria. Global Business Review, 18(3), 543–558. </w:t>
      </w:r>
      <w:hyperlink r:id="rId48" w:history="1">
        <w:r>
          <w:rPr>
            <w:rStyle w:val="Hyperlink"/>
            <w:rFonts w:ascii="Times New Roman" w:hAnsi="Times New Roman" w:cs="Times New Roman"/>
            <w:sz w:val="24"/>
            <w:szCs w:val="24"/>
          </w:rPr>
          <w:t>https://doi.org/10.1177/0972150917692064</w:t>
        </w:r>
      </w:hyperlink>
    </w:p>
    <w:p w14:paraId="20101B28"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Olawale, L.S., Ilo, B. M., &amp; Lawal, F. K. (2017). The effect of firm size on performance of firms in Nigeria, AESTIMATIO, </w:t>
      </w:r>
      <w:r>
        <w:rPr>
          <w:rFonts w:ascii="Times New Roman" w:hAnsi="Times New Roman" w:cs="Times New Roman"/>
          <w:i/>
          <w:iCs/>
          <w:sz w:val="24"/>
          <w:szCs w:val="24"/>
        </w:rPr>
        <w:t>The IEB International Journal of Finance</w:t>
      </w:r>
      <w:r>
        <w:rPr>
          <w:rFonts w:ascii="Times New Roman" w:hAnsi="Times New Roman" w:cs="Times New Roman"/>
          <w:sz w:val="24"/>
          <w:szCs w:val="24"/>
        </w:rPr>
        <w:t xml:space="preserve">, 15, 2-21. doi:10.5605/IEB.15 </w:t>
      </w:r>
    </w:p>
    <w:bookmarkEnd w:id="0"/>
    <w:p w14:paraId="24EE81C2"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lang w:val="pt-BR"/>
        </w:rPr>
        <w:t xml:space="preserve">Onibiyo, E. R., Nwala, N., Mungadi, D. D., Adekola, N. O., Aminu, B., &amp; Shittu, H. B. (2022). </w:t>
      </w:r>
      <w:r>
        <w:rPr>
          <w:rFonts w:ascii="Times New Roman" w:hAnsi="Times New Roman" w:cs="Times New Roman"/>
          <w:sz w:val="24"/>
          <w:szCs w:val="24"/>
        </w:rPr>
        <w:t xml:space="preserve">Effect of financial performance indicators on share price of listed commercial banks in Nigeria. World Journal of Advanced Research and Reviews, 16(02), 145–155. </w:t>
      </w:r>
      <w:hyperlink r:id="rId49" w:history="1">
        <w:r>
          <w:rPr>
            <w:rStyle w:val="Hyperlink"/>
            <w:rFonts w:ascii="Times New Roman" w:hAnsi="Times New Roman" w:cs="Times New Roman"/>
            <w:sz w:val="24"/>
            <w:szCs w:val="24"/>
          </w:rPr>
          <w:t>https://doi.org/10.30574/wjarr.2022.16.2.1131</w:t>
        </w:r>
      </w:hyperlink>
    </w:p>
    <w:p w14:paraId="6CF4BA1A"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Paramitra, Y. (2024). How to equity ratio, profitability and firm value shape stock prices: An in-depth analysis. Research of Accounting and Governance. </w:t>
      </w:r>
      <w:hyperlink r:id="rId50" w:history="1">
        <w:r>
          <w:rPr>
            <w:rStyle w:val="Hyperlink"/>
            <w:rFonts w:ascii="Times New Roman" w:hAnsi="Times New Roman" w:cs="Times New Roman"/>
            <w:sz w:val="24"/>
            <w:szCs w:val="24"/>
          </w:rPr>
          <w:t>https://doi.org/10.58777/rag.v2i2.287</w:t>
        </w:r>
      </w:hyperlink>
    </w:p>
    <w:p w14:paraId="0394745B"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Porter, M. E. (1985). Competitive advantage: Creating and sustaining superior performance. Free Press. </w:t>
      </w:r>
      <w:hyperlink r:id="rId51" w:history="1">
        <w:r>
          <w:rPr>
            <w:rStyle w:val="Hyperlink"/>
            <w:rFonts w:ascii="Times New Roman" w:hAnsi="Times New Roman" w:cs="Times New Roman"/>
            <w:sz w:val="24"/>
            <w:szCs w:val="24"/>
          </w:rPr>
          <w:t>https://www.hbs.edu/faculty/research/pages/item.aspx?num=30000</w:t>
        </w:r>
      </w:hyperlink>
    </w:p>
    <w:p w14:paraId="714072BD"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 xml:space="preserve">Putri, L. N., Febriani, R., &amp; Mardiyani (2024). Affecting factors stock price: Earnings per share as moderating variable. </w:t>
      </w:r>
      <w:r>
        <w:rPr>
          <w:rFonts w:ascii="Times New Roman" w:hAnsi="Times New Roman" w:cs="Times New Roman"/>
          <w:i/>
          <w:iCs/>
          <w:sz w:val="24"/>
          <w:szCs w:val="24"/>
        </w:rPr>
        <w:t>International Journal of Entrepreneurship and Business Development</w:t>
      </w:r>
      <w:r>
        <w:rPr>
          <w:rFonts w:ascii="Times New Roman" w:hAnsi="Times New Roman" w:cs="Times New Roman"/>
          <w:sz w:val="24"/>
          <w:szCs w:val="24"/>
        </w:rPr>
        <w:t>. 7(2), 393-402</w:t>
      </w:r>
    </w:p>
    <w:p w14:paraId="507EB8E4"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lang w:val="pt-BR"/>
        </w:rPr>
        <w:t xml:space="preserve">Ramadhani, S. M. T., Ekanova, A. P., &amp; Anwar, Ch. S. (2024). </w:t>
      </w:r>
      <w:r>
        <w:rPr>
          <w:rFonts w:ascii="Times New Roman" w:hAnsi="Times New Roman" w:cs="Times New Roman"/>
          <w:sz w:val="24"/>
          <w:szCs w:val="24"/>
        </w:rPr>
        <w:t xml:space="preserve">The effect of firm size, dividend yield, earning per share and net profit margin on stock prices in pharmacy companies listed on the Indonesia stock exchange for the 2017-2022 period. Journal of Comprehensive Science, 3(7), 2320-2331. </w:t>
      </w:r>
      <w:hyperlink r:id="rId52" w:history="1">
        <w:r>
          <w:rPr>
            <w:rStyle w:val="Hyperlink"/>
            <w:rFonts w:ascii="Times New Roman" w:hAnsi="Times New Roman" w:cs="Times New Roman"/>
            <w:sz w:val="24"/>
            <w:szCs w:val="24"/>
          </w:rPr>
          <w:t>https://doi.org/10.59188/jcs.v3i7.795</w:t>
        </w:r>
      </w:hyperlink>
    </w:p>
    <w:p w14:paraId="2887E2F6"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Raza, H., Ramakrishnan, S., Gillani, S. M. A. H., &amp; Gillani, S. M. A. H. (2020). Firm-specific factors of share prices: An empirical evidence from automobile sector in Pakistan. International Journal of Management, 11(8), 1690-1698. </w:t>
      </w:r>
      <w:hyperlink r:id="rId53" w:history="1">
        <w:r>
          <w:rPr>
            <w:rStyle w:val="Hyperlink"/>
            <w:rFonts w:ascii="Times New Roman" w:hAnsi="Times New Roman" w:cs="Times New Roman"/>
            <w:sz w:val="24"/>
            <w:szCs w:val="24"/>
          </w:rPr>
          <w:t>https://doi.org/10.34218/IJM.11.8.2020.150</w:t>
        </w:r>
      </w:hyperlink>
    </w:p>
    <w:p w14:paraId="001AD2EF" w14:textId="77777777" w:rsidR="00824E4A" w:rsidRDefault="00824E4A" w:rsidP="00824E4A">
      <w:pPr>
        <w:spacing w:after="0" w:line="240" w:lineRule="auto"/>
        <w:ind w:left="810" w:hanging="810"/>
        <w:rPr>
          <w:rFonts w:ascii="Times New Roman" w:hAnsi="Times New Roman" w:cs="Times New Roman"/>
          <w:sz w:val="24"/>
          <w:szCs w:val="24"/>
        </w:rPr>
      </w:pPr>
      <w:r>
        <w:rPr>
          <w:rFonts w:ascii="Times New Roman" w:hAnsi="Times New Roman" w:cs="Times New Roman"/>
          <w:sz w:val="24"/>
          <w:szCs w:val="24"/>
        </w:rPr>
        <w:t xml:space="preserve">Richard, P. J., Devinney, T. M., Yip, G. S., &amp; Johnson, G. (2009). Measuring organizational performance: Towards methodological best practice. Journal of Management, 35(3), 718–804. </w:t>
      </w:r>
      <w:hyperlink r:id="rId54" w:history="1">
        <w:r>
          <w:rPr>
            <w:rStyle w:val="Hyperlink"/>
            <w:rFonts w:ascii="Times New Roman" w:hAnsi="Times New Roman" w:cs="Times New Roman"/>
            <w:sz w:val="24"/>
            <w:szCs w:val="24"/>
          </w:rPr>
          <w:t>https://doi.org/10.1177/0149206308330560</w:t>
        </w:r>
      </w:hyperlink>
    </w:p>
    <w:p w14:paraId="201ACCF4" w14:textId="77777777" w:rsidR="00824E4A" w:rsidRDefault="00824E4A" w:rsidP="00824E4A">
      <w:pPr>
        <w:spacing w:after="0" w:line="240" w:lineRule="auto"/>
        <w:ind w:left="810" w:hanging="810"/>
        <w:rPr>
          <w:rFonts w:ascii="Times New Roman" w:hAnsi="Times New Roman" w:cs="Times New Roman"/>
          <w:sz w:val="24"/>
          <w:szCs w:val="24"/>
        </w:rPr>
      </w:pPr>
      <w:r>
        <w:rPr>
          <w:rFonts w:ascii="Times New Roman" w:hAnsi="Times New Roman" w:cs="Times New Roman"/>
          <w:sz w:val="24"/>
          <w:szCs w:val="24"/>
        </w:rPr>
        <w:t xml:space="preserve">Ribera, J., &amp; Sanz, J. (2021). The effect of firm size on financial performance: Evidence from Spanish SMEs. </w:t>
      </w:r>
      <w:r>
        <w:rPr>
          <w:rFonts w:ascii="Times New Roman" w:hAnsi="Times New Roman" w:cs="Times New Roman"/>
          <w:i/>
          <w:iCs/>
          <w:sz w:val="24"/>
          <w:szCs w:val="24"/>
        </w:rPr>
        <w:t>Economics of Innovation and New Technology</w:t>
      </w:r>
      <w:r>
        <w:rPr>
          <w:rFonts w:ascii="Times New Roman" w:hAnsi="Times New Roman" w:cs="Times New Roman"/>
          <w:sz w:val="24"/>
          <w:szCs w:val="24"/>
        </w:rPr>
        <w:t xml:space="preserve">, 30(8), 817-833. </w:t>
      </w:r>
    </w:p>
    <w:p w14:paraId="3F3573F9"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Rohana, K. (2023). Financial performance and share price: Evidence from manufacturing firms before and during the Covid-19 pandemic. </w:t>
      </w:r>
      <w:r>
        <w:rPr>
          <w:rFonts w:ascii="Times New Roman" w:hAnsi="Times New Roman" w:cs="Times New Roman"/>
          <w:i/>
          <w:iCs/>
          <w:sz w:val="24"/>
          <w:szCs w:val="24"/>
        </w:rPr>
        <w:t>Jurnal Samudra Ekonomi dan Bisnis,</w:t>
      </w:r>
      <w:r>
        <w:rPr>
          <w:rFonts w:ascii="Times New Roman" w:hAnsi="Times New Roman" w:cs="Times New Roman"/>
          <w:sz w:val="24"/>
          <w:szCs w:val="24"/>
        </w:rPr>
        <w:t xml:space="preserve"> 14(3), 429-442. doi: 10.33059/ jseb.v14i3.6843.</w:t>
      </w:r>
    </w:p>
    <w:p w14:paraId="00AEFCB0"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Salouhi, B. M. &amp; Al-Bakari, J. K. (2024). The influence of internal financial factors on share price trends of companies listed on Iraq Share Exchange. </w:t>
      </w:r>
      <w:r>
        <w:rPr>
          <w:rFonts w:ascii="Times New Roman" w:hAnsi="Times New Roman" w:cs="Times New Roman"/>
          <w:i/>
          <w:iCs/>
          <w:sz w:val="24"/>
          <w:szCs w:val="24"/>
        </w:rPr>
        <w:t>Cuadernos de Economía</w:t>
      </w:r>
      <w:r>
        <w:rPr>
          <w:rFonts w:ascii="Times New Roman" w:hAnsi="Times New Roman" w:cs="Times New Roman"/>
          <w:sz w:val="24"/>
          <w:szCs w:val="24"/>
        </w:rPr>
        <w:t xml:space="preserve"> 45(128) 98-104</w:t>
      </w:r>
    </w:p>
    <w:p w14:paraId="5420AE9F"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Shadish, W. R., Cook, T. D., &amp; Campbell, D. T. (2002). Experimental and quasi-experimental designs for generalized causal inference. Houghton Mifflin. </w:t>
      </w:r>
      <w:hyperlink r:id="rId55" w:history="1">
        <w:r>
          <w:rPr>
            <w:rStyle w:val="Hyperlink"/>
            <w:rFonts w:ascii="Times New Roman" w:hAnsi="Times New Roman" w:cs="Times New Roman"/>
            <w:sz w:val="24"/>
            <w:szCs w:val="24"/>
          </w:rPr>
          <w:t>https://books.google.com/books/about/Experimental_and_Quasi_experimental_Desi.html?id=y_y_AAAAMAAJ</w:t>
        </w:r>
      </w:hyperlink>
    </w:p>
    <w:p w14:paraId="04D7FCEE" w14:textId="77777777" w:rsidR="00824E4A" w:rsidRDefault="00824E4A" w:rsidP="00824E4A">
      <w:pPr>
        <w:spacing w:after="0" w:line="240" w:lineRule="auto"/>
        <w:ind w:left="810" w:hanging="810"/>
        <w:jc w:val="both"/>
        <w:rPr>
          <w:rFonts w:ascii="Times New Roman" w:hAnsi="Times New Roman" w:cs="Times New Roman"/>
          <w:sz w:val="24"/>
          <w:szCs w:val="24"/>
          <w:lang w:val="pt-BR"/>
        </w:rPr>
      </w:pPr>
      <w:r>
        <w:rPr>
          <w:rFonts w:ascii="Times New Roman" w:hAnsi="Times New Roman" w:cs="Times New Roman"/>
          <w:sz w:val="24"/>
          <w:szCs w:val="24"/>
          <w:lang w:val="fr-FR"/>
        </w:rPr>
        <w:t xml:space="preserve">Shrestha, P. M., &amp; Lamichhane, P. (2022). </w:t>
      </w:r>
      <w:r>
        <w:rPr>
          <w:rFonts w:ascii="Times New Roman" w:hAnsi="Times New Roman" w:cs="Times New Roman"/>
          <w:sz w:val="24"/>
          <w:szCs w:val="24"/>
        </w:rPr>
        <w:t xml:space="preserve">Effect of firm-specific variables on stock returns: Evidence from Nepal. Quest Journal of Management and Social Sciences, 4(2), 249-259. </w:t>
      </w:r>
      <w:hyperlink r:id="rId56" w:history="1">
        <w:r>
          <w:rPr>
            <w:rStyle w:val="Hyperlink"/>
            <w:rFonts w:ascii="Times New Roman" w:hAnsi="Times New Roman" w:cs="Times New Roman"/>
            <w:sz w:val="24"/>
            <w:szCs w:val="24"/>
            <w:lang w:val="pt-BR"/>
          </w:rPr>
          <w:t>https://doi.org/10.3126/qjmss.v4i2.50320</w:t>
        </w:r>
      </w:hyperlink>
    </w:p>
    <w:p w14:paraId="6D0EFC5E" w14:textId="77777777" w:rsidR="00824E4A" w:rsidRDefault="00824E4A" w:rsidP="00824E4A">
      <w:pPr>
        <w:spacing w:after="0" w:line="240" w:lineRule="auto"/>
        <w:ind w:left="810" w:hanging="810"/>
        <w:jc w:val="both"/>
        <w:rPr>
          <w:rFonts w:ascii="Times New Roman" w:hAnsi="Times New Roman" w:cs="Times New Roman"/>
          <w:sz w:val="24"/>
          <w:szCs w:val="24"/>
          <w:lang w:val="en-IN"/>
        </w:rPr>
      </w:pPr>
      <w:r>
        <w:rPr>
          <w:rFonts w:ascii="Times New Roman" w:hAnsi="Times New Roman" w:cs="Times New Roman"/>
          <w:sz w:val="24"/>
          <w:szCs w:val="24"/>
          <w:lang w:val="pt-BR"/>
        </w:rPr>
        <w:t xml:space="preserve">Sorono, Y., Simarmata, J., Riady, Y., Yati, I., Pratiwi, H., &amp; Hutabarai, Z. S. (2023). </w:t>
      </w:r>
      <w:r>
        <w:rPr>
          <w:rFonts w:ascii="Times New Roman" w:hAnsi="Times New Roman" w:cs="Times New Roman"/>
          <w:sz w:val="24"/>
          <w:szCs w:val="24"/>
          <w:lang w:val="en-IN"/>
        </w:rPr>
        <w:t xml:space="preserve">Looking at financial performance, analysis of its effect on share prices. </w:t>
      </w:r>
      <w:r>
        <w:rPr>
          <w:rFonts w:ascii="Times New Roman" w:hAnsi="Times New Roman" w:cs="Times New Roman"/>
          <w:sz w:val="24"/>
          <w:szCs w:val="24"/>
          <w:lang w:val="pt-BR"/>
        </w:rPr>
        <w:t xml:space="preserve">International Journal of Multidisciplinary Sciences and Arts. </w:t>
      </w:r>
      <w:hyperlink r:id="rId57" w:history="1">
        <w:r>
          <w:rPr>
            <w:rStyle w:val="Hyperlink"/>
            <w:rFonts w:ascii="Times New Roman" w:hAnsi="Times New Roman" w:cs="Times New Roman"/>
            <w:sz w:val="24"/>
            <w:szCs w:val="24"/>
            <w:lang w:val="en-IN"/>
          </w:rPr>
          <w:t>https://doi.org/10.47709/ijmdsa.v2i2.3564</w:t>
        </w:r>
      </w:hyperlink>
    </w:p>
    <w:p w14:paraId="72F48E0B"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Subedi, K. R. (2024). Quest on Determinants of Stock Price in Nepal: Evidence of Microfinance Sector Share Listed in NEPSE. Journal of Tikapur Multiple Campus, 7(1-2), 85–106. </w:t>
      </w:r>
      <w:hyperlink r:id="rId58" w:history="1">
        <w:r>
          <w:rPr>
            <w:rStyle w:val="Hyperlink"/>
            <w:rFonts w:ascii="Times New Roman" w:hAnsi="Times New Roman" w:cs="Times New Roman"/>
            <w:sz w:val="24"/>
            <w:szCs w:val="24"/>
          </w:rPr>
          <w:t>https://doi.org/10.3126/jotmc.v7i1-2.63178</w:t>
        </w:r>
      </w:hyperlink>
    </w:p>
    <w:p w14:paraId="2AFA2B6B"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Sulaiman, A. S., &amp; Khalid, K. M. (2024). Moderating effect of firm size on debt capital and financial performance of listed agricultural firms in Nigeria. FULafia International Journal of Business and Allied Studies, 2(1), 91-106. </w:t>
      </w:r>
      <w:hyperlink r:id="rId59" w:history="1">
        <w:r>
          <w:rPr>
            <w:rStyle w:val="Hyperlink"/>
            <w:rFonts w:ascii="Times New Roman" w:hAnsi="Times New Roman" w:cs="Times New Roman"/>
            <w:sz w:val="24"/>
            <w:szCs w:val="24"/>
          </w:rPr>
          <w:t>https://fijbas.org/index.php/FIJBAS/article/view/54</w:t>
        </w:r>
      </w:hyperlink>
    </w:p>
    <w:p w14:paraId="5A605F3E" w14:textId="77777777" w:rsidR="00824E4A" w:rsidRDefault="00824E4A" w:rsidP="00824E4A">
      <w:pPr>
        <w:spacing w:after="0" w:line="240" w:lineRule="auto"/>
        <w:ind w:left="810" w:hanging="810"/>
        <w:jc w:val="both"/>
        <w:rPr>
          <w:rFonts w:ascii="Times New Roman" w:hAnsi="Times New Roman" w:cs="Times New Roman"/>
          <w:sz w:val="24"/>
          <w:szCs w:val="24"/>
          <w:lang w:val="pt-BR"/>
        </w:rPr>
      </w:pPr>
      <w:r>
        <w:rPr>
          <w:rFonts w:ascii="Times New Roman" w:hAnsi="Times New Roman" w:cs="Times New Roman"/>
          <w:sz w:val="24"/>
          <w:szCs w:val="24"/>
        </w:rPr>
        <w:t xml:space="preserve">Sunday, O. M., Nwoha, C., &amp; Okorie, N. A. (2022). Evaluating the effect of financial performance on dividend payout of deposit money banks in Nigeria. International Journal of Trend in Scientific Research and Development, 6(7), 1090-1109. </w:t>
      </w:r>
      <w:hyperlink r:id="rId60" w:history="1">
        <w:r>
          <w:rPr>
            <w:rStyle w:val="Hyperlink"/>
            <w:rFonts w:ascii="Times New Roman" w:hAnsi="Times New Roman" w:cs="Times New Roman"/>
            <w:sz w:val="24"/>
            <w:szCs w:val="24"/>
            <w:lang w:val="pt-BR"/>
          </w:rPr>
          <w:t>https://www.ijtsrd.com/papers/ijtsrd52574.pdf</w:t>
        </w:r>
      </w:hyperlink>
    </w:p>
    <w:p w14:paraId="3E32B048" w14:textId="77777777" w:rsidR="00824E4A" w:rsidRDefault="00824E4A" w:rsidP="00824E4A">
      <w:pPr>
        <w:spacing w:after="0" w:line="240" w:lineRule="auto"/>
        <w:ind w:left="810" w:hanging="81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Syofyan, R., Putra, D., &amp; Aprayuda, R. (2020). Influence of company value information, dividend policy, and capital structure on stock price. Soedirman Accounting Review: Journal of Accounting and Business, 5(2), 152-169. </w:t>
      </w:r>
      <w:hyperlink r:id="rId61" w:history="1">
        <w:r>
          <w:rPr>
            <w:rStyle w:val="Hyperlink"/>
            <w:rFonts w:ascii="Times New Roman" w:hAnsi="Times New Roman" w:cs="Times New Roman"/>
            <w:sz w:val="24"/>
            <w:szCs w:val="24"/>
            <w:lang w:val="en-IN"/>
          </w:rPr>
          <w:t>https://doi.org/10.20884/1.sar.2020.5.2.3554</w:t>
        </w:r>
      </w:hyperlink>
    </w:p>
    <w:p w14:paraId="39A17D11" w14:textId="77777777" w:rsidR="00824E4A" w:rsidRDefault="00824E4A" w:rsidP="00824E4A">
      <w:pPr>
        <w:spacing w:after="0" w:line="240" w:lineRule="auto"/>
        <w:ind w:left="810" w:hanging="810"/>
        <w:jc w:val="both"/>
        <w:rPr>
          <w:rFonts w:ascii="Times New Roman" w:hAnsi="Times New Roman" w:cs="Times New Roman"/>
          <w:sz w:val="24"/>
          <w:szCs w:val="24"/>
          <w:lang w:val="pt-BR"/>
        </w:rPr>
      </w:pPr>
      <w:r>
        <w:rPr>
          <w:rFonts w:ascii="Times New Roman" w:hAnsi="Times New Roman" w:cs="Times New Roman"/>
          <w:sz w:val="24"/>
          <w:szCs w:val="24"/>
        </w:rPr>
        <w:lastRenderedPageBreak/>
        <w:t xml:space="preserve">Thapa, B. K., &amp; Paudel, R. R. (2024). Impact of Fundamental Factors on Share Price of Non-life Insurance Companies in Nepal. International Journal of Social Sciences and Management, 11(3), 76–82. </w:t>
      </w:r>
      <w:hyperlink r:id="rId62" w:history="1">
        <w:r>
          <w:rPr>
            <w:rStyle w:val="Hyperlink"/>
            <w:rFonts w:ascii="Times New Roman" w:hAnsi="Times New Roman" w:cs="Times New Roman"/>
            <w:sz w:val="24"/>
            <w:szCs w:val="24"/>
            <w:lang w:val="pt-BR"/>
          </w:rPr>
          <w:t>https://doi.org/10.3126/ijssm.v11i3.68378</w:t>
        </w:r>
      </w:hyperlink>
    </w:p>
    <w:p w14:paraId="0347D6E3"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lang w:val="pt-BR"/>
        </w:rPr>
        <w:t xml:space="preserve">Taubah, I. A., Roslina, N. Y., Damayanti, I., &amp; Tansar, I. A. (2024). </w:t>
      </w:r>
      <w:r>
        <w:rPr>
          <w:rFonts w:ascii="Times New Roman" w:hAnsi="Times New Roman" w:cs="Times New Roman"/>
          <w:sz w:val="24"/>
          <w:szCs w:val="24"/>
        </w:rPr>
        <w:t xml:space="preserve">The influence of earning per share and price earnings ratio on stock prices in the food and beverage sector on the Indonesian Stock Exchange for the 2015-2019 period. </w:t>
      </w:r>
      <w:r>
        <w:rPr>
          <w:rFonts w:ascii="Times New Roman" w:hAnsi="Times New Roman" w:cs="Times New Roman"/>
          <w:i/>
          <w:iCs/>
          <w:sz w:val="24"/>
          <w:szCs w:val="24"/>
        </w:rPr>
        <w:t xml:space="preserve">Journal of Economics, Management and Entrepreneurship, </w:t>
      </w:r>
      <w:r>
        <w:rPr>
          <w:rFonts w:ascii="Times New Roman" w:hAnsi="Times New Roman" w:cs="Times New Roman"/>
          <w:sz w:val="24"/>
          <w:szCs w:val="24"/>
        </w:rPr>
        <w:t>2(1), 49-63.</w:t>
      </w:r>
    </w:p>
    <w:p w14:paraId="760B708B"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Ullah, A., Pinglu, C., Ullah, S., Zaman, M., &amp; Hashmi, S. H. (2020). The nexus between capital structure, firm-specific factors, macroeconomic factors and financial performance in the textile sector of Pakistan. Heliyon, 6(8), 1-10. </w:t>
      </w:r>
      <w:hyperlink r:id="rId63" w:history="1">
        <w:r>
          <w:rPr>
            <w:rStyle w:val="Hyperlink"/>
            <w:rFonts w:ascii="Times New Roman" w:hAnsi="Times New Roman" w:cs="Times New Roman"/>
            <w:sz w:val="24"/>
            <w:szCs w:val="24"/>
          </w:rPr>
          <w:t>https://doi.org/10.1016/j.heliyon.2020.e04741</w:t>
        </w:r>
      </w:hyperlink>
    </w:p>
    <w:p w14:paraId="2FE9798A" w14:textId="77777777" w:rsidR="00824E4A" w:rsidRDefault="00824E4A" w:rsidP="00824E4A">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Wanda, J. A. (2021). Impact of earnings per share on stock price volatility: A study of listed companies on Nairobi Securities Exchange in Kenya. IOSR Journal of Economics and Finance, 12(5), 49-54. </w:t>
      </w:r>
      <w:hyperlink r:id="rId64" w:history="1">
        <w:r>
          <w:rPr>
            <w:rStyle w:val="Hyperlink"/>
            <w:rFonts w:ascii="Times New Roman" w:hAnsi="Times New Roman" w:cs="Times New Roman"/>
            <w:sz w:val="24"/>
            <w:szCs w:val="24"/>
          </w:rPr>
          <w:t>https://doi.org/10.9790/5933-1205024954</w:t>
        </w:r>
      </w:hyperlink>
    </w:p>
    <w:p w14:paraId="2AE8630C" w14:textId="77777777" w:rsidR="00824E4A" w:rsidRDefault="00824E4A" w:rsidP="00824E4A">
      <w:pPr>
        <w:spacing w:line="276"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Yousefinejad, M., Kassim, A. A. M., Hakami, T. A., Othman, J., &amp; Manivannan, P. (2022). Effect of Financial Performance on Stock Prices of Manufacturing Companies in Malaysia; Moderating Role of Sustainability Reporting. International Business and Accounting Research Journal, 6(1), 46-62 </w:t>
      </w:r>
      <w:hyperlink r:id="rId65" w:history="1">
        <w:r>
          <w:rPr>
            <w:rStyle w:val="Hyperlink"/>
            <w:rFonts w:ascii="Times New Roman" w:hAnsi="Times New Roman" w:cs="Times New Roman"/>
            <w:sz w:val="24"/>
            <w:szCs w:val="24"/>
          </w:rPr>
          <w:t>https://doi.org/10.35474/ibarj.v6i1.235</w:t>
        </w:r>
      </w:hyperlink>
    </w:p>
    <w:p w14:paraId="78814B3A" w14:textId="77777777" w:rsidR="00F82440" w:rsidRPr="004939F9" w:rsidRDefault="00F82440" w:rsidP="00BD2A3E">
      <w:pPr>
        <w:spacing w:line="276" w:lineRule="auto"/>
        <w:ind w:left="810" w:hanging="810"/>
        <w:jc w:val="both"/>
        <w:rPr>
          <w:rFonts w:ascii="Times New Roman" w:hAnsi="Times New Roman" w:cs="Times New Roman"/>
          <w:sz w:val="24"/>
          <w:szCs w:val="24"/>
        </w:rPr>
      </w:pPr>
      <w:bookmarkStart w:id="1" w:name="_GoBack"/>
      <w:bookmarkEnd w:id="1"/>
    </w:p>
    <w:sectPr w:rsidR="00F82440" w:rsidRPr="004939F9" w:rsidSect="004A1AD6">
      <w:headerReference w:type="even" r:id="rId66"/>
      <w:headerReference w:type="default" r:id="rId67"/>
      <w:footerReference w:type="even" r:id="rId68"/>
      <w:footerReference w:type="default" r:id="rId69"/>
      <w:headerReference w:type="first" r:id="rId70"/>
      <w:footerReference w:type="first" r:id="rId71"/>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76691" w14:textId="77777777" w:rsidR="00654162" w:rsidRDefault="00654162" w:rsidP="00E35264">
      <w:pPr>
        <w:spacing w:after="0" w:line="240" w:lineRule="auto"/>
      </w:pPr>
      <w:r>
        <w:separator/>
      </w:r>
    </w:p>
  </w:endnote>
  <w:endnote w:type="continuationSeparator" w:id="0">
    <w:p w14:paraId="65115AAE" w14:textId="77777777" w:rsidR="00654162" w:rsidRDefault="00654162" w:rsidP="00E35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BE21" w14:textId="77777777" w:rsidR="00F70F42" w:rsidRDefault="00F70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010713"/>
      <w:docPartObj>
        <w:docPartGallery w:val="Page Numbers (Bottom of Page)"/>
        <w:docPartUnique/>
      </w:docPartObj>
    </w:sdtPr>
    <w:sdtEndPr>
      <w:rPr>
        <w:noProof/>
      </w:rPr>
    </w:sdtEndPr>
    <w:sdtContent>
      <w:p w14:paraId="52D558A9" w14:textId="587DA50D" w:rsidR="00E35264" w:rsidRDefault="00E352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1F9B9B" w14:textId="77777777" w:rsidR="00E35264" w:rsidRDefault="00E35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A95FA" w14:textId="77777777" w:rsidR="00F70F42" w:rsidRDefault="00F70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38D71" w14:textId="77777777" w:rsidR="00654162" w:rsidRDefault="00654162" w:rsidP="00E35264">
      <w:pPr>
        <w:spacing w:after="0" w:line="240" w:lineRule="auto"/>
      </w:pPr>
      <w:r>
        <w:separator/>
      </w:r>
    </w:p>
  </w:footnote>
  <w:footnote w:type="continuationSeparator" w:id="0">
    <w:p w14:paraId="3F37D5C4" w14:textId="77777777" w:rsidR="00654162" w:rsidRDefault="00654162" w:rsidP="00E35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E1DE" w14:textId="2DAFF5E1" w:rsidR="00F70F42" w:rsidRDefault="00654162">
    <w:pPr>
      <w:pStyle w:val="Header"/>
    </w:pPr>
    <w:r>
      <w:rPr>
        <w:noProof/>
      </w:rPr>
      <w:pict w14:anchorId="32381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48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D292" w14:textId="77B9BDE7" w:rsidR="00F70F42" w:rsidRDefault="00654162">
    <w:pPr>
      <w:pStyle w:val="Header"/>
    </w:pPr>
    <w:r>
      <w:rPr>
        <w:noProof/>
      </w:rPr>
      <w:pict w14:anchorId="7A5DB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48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3D8B1" w14:textId="3B70F1BE" w:rsidR="00F70F42" w:rsidRDefault="00654162">
    <w:pPr>
      <w:pStyle w:val="Header"/>
    </w:pPr>
    <w:r>
      <w:rPr>
        <w:noProof/>
      </w:rPr>
      <w:pict w14:anchorId="74109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48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4F8F"/>
    <w:multiLevelType w:val="hybridMultilevel"/>
    <w:tmpl w:val="B48E5AB0"/>
    <w:lvl w:ilvl="0" w:tplc="739489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27D8D"/>
    <w:multiLevelType w:val="hybridMultilevel"/>
    <w:tmpl w:val="B03C8B7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F458B"/>
    <w:multiLevelType w:val="hybridMultilevel"/>
    <w:tmpl w:val="62B8909A"/>
    <w:lvl w:ilvl="0" w:tplc="739489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24EC9"/>
    <w:multiLevelType w:val="hybridMultilevel"/>
    <w:tmpl w:val="61BA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E62D26"/>
    <w:multiLevelType w:val="hybridMultilevel"/>
    <w:tmpl w:val="BDF6FAA8"/>
    <w:lvl w:ilvl="0" w:tplc="C4FEFD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D1988"/>
    <w:multiLevelType w:val="hybridMultilevel"/>
    <w:tmpl w:val="7904119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C81622"/>
    <w:multiLevelType w:val="hybridMultilevel"/>
    <w:tmpl w:val="09FC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90"/>
    <w:rsid w:val="00000070"/>
    <w:rsid w:val="00000E7B"/>
    <w:rsid w:val="00002224"/>
    <w:rsid w:val="0000247C"/>
    <w:rsid w:val="00003276"/>
    <w:rsid w:val="00003C47"/>
    <w:rsid w:val="00006F68"/>
    <w:rsid w:val="000073D9"/>
    <w:rsid w:val="00007DCC"/>
    <w:rsid w:val="000107DE"/>
    <w:rsid w:val="000113EC"/>
    <w:rsid w:val="0001156F"/>
    <w:rsid w:val="00011E3F"/>
    <w:rsid w:val="00011F62"/>
    <w:rsid w:val="00012307"/>
    <w:rsid w:val="00014C7D"/>
    <w:rsid w:val="00015E59"/>
    <w:rsid w:val="00017852"/>
    <w:rsid w:val="00017B21"/>
    <w:rsid w:val="000228F1"/>
    <w:rsid w:val="00022991"/>
    <w:rsid w:val="00022D45"/>
    <w:rsid w:val="0002315B"/>
    <w:rsid w:val="00023682"/>
    <w:rsid w:val="00024107"/>
    <w:rsid w:val="0002549F"/>
    <w:rsid w:val="00025686"/>
    <w:rsid w:val="00026457"/>
    <w:rsid w:val="00026FA6"/>
    <w:rsid w:val="000271F2"/>
    <w:rsid w:val="00030003"/>
    <w:rsid w:val="000301A9"/>
    <w:rsid w:val="0003026B"/>
    <w:rsid w:val="0003195F"/>
    <w:rsid w:val="000319D4"/>
    <w:rsid w:val="00032C58"/>
    <w:rsid w:val="00032DE8"/>
    <w:rsid w:val="000342ED"/>
    <w:rsid w:val="00035363"/>
    <w:rsid w:val="0003599D"/>
    <w:rsid w:val="00037654"/>
    <w:rsid w:val="000377B6"/>
    <w:rsid w:val="00040B43"/>
    <w:rsid w:val="00041BC1"/>
    <w:rsid w:val="00042B8F"/>
    <w:rsid w:val="000431E5"/>
    <w:rsid w:val="0004384A"/>
    <w:rsid w:val="00052DDA"/>
    <w:rsid w:val="00052EC0"/>
    <w:rsid w:val="00054060"/>
    <w:rsid w:val="00054546"/>
    <w:rsid w:val="00055E6A"/>
    <w:rsid w:val="0005779C"/>
    <w:rsid w:val="00061699"/>
    <w:rsid w:val="00062412"/>
    <w:rsid w:val="000631AD"/>
    <w:rsid w:val="00063DC2"/>
    <w:rsid w:val="000641A7"/>
    <w:rsid w:val="00064400"/>
    <w:rsid w:val="00064513"/>
    <w:rsid w:val="00065D71"/>
    <w:rsid w:val="00065E2C"/>
    <w:rsid w:val="0006655E"/>
    <w:rsid w:val="00067108"/>
    <w:rsid w:val="00067947"/>
    <w:rsid w:val="00070714"/>
    <w:rsid w:val="00070EF8"/>
    <w:rsid w:val="00074D86"/>
    <w:rsid w:val="00074DD5"/>
    <w:rsid w:val="00075B0D"/>
    <w:rsid w:val="0007657A"/>
    <w:rsid w:val="00076FDF"/>
    <w:rsid w:val="0008041E"/>
    <w:rsid w:val="0008072C"/>
    <w:rsid w:val="0008195D"/>
    <w:rsid w:val="000822DB"/>
    <w:rsid w:val="00083110"/>
    <w:rsid w:val="00084664"/>
    <w:rsid w:val="000856D0"/>
    <w:rsid w:val="00087839"/>
    <w:rsid w:val="0009049D"/>
    <w:rsid w:val="00093638"/>
    <w:rsid w:val="00093B65"/>
    <w:rsid w:val="000952BF"/>
    <w:rsid w:val="000973B9"/>
    <w:rsid w:val="000A05C7"/>
    <w:rsid w:val="000A2171"/>
    <w:rsid w:val="000A30DA"/>
    <w:rsid w:val="000A548B"/>
    <w:rsid w:val="000A5A93"/>
    <w:rsid w:val="000A61F8"/>
    <w:rsid w:val="000A7846"/>
    <w:rsid w:val="000B2A38"/>
    <w:rsid w:val="000B2D86"/>
    <w:rsid w:val="000B3C62"/>
    <w:rsid w:val="000B565D"/>
    <w:rsid w:val="000B6677"/>
    <w:rsid w:val="000B6E70"/>
    <w:rsid w:val="000B7179"/>
    <w:rsid w:val="000B72E1"/>
    <w:rsid w:val="000C0164"/>
    <w:rsid w:val="000C01A3"/>
    <w:rsid w:val="000C10A8"/>
    <w:rsid w:val="000C1C28"/>
    <w:rsid w:val="000C20EB"/>
    <w:rsid w:val="000C2393"/>
    <w:rsid w:val="000C41CC"/>
    <w:rsid w:val="000C42DD"/>
    <w:rsid w:val="000C5154"/>
    <w:rsid w:val="000C5A17"/>
    <w:rsid w:val="000C7B9A"/>
    <w:rsid w:val="000D0765"/>
    <w:rsid w:val="000D0AFB"/>
    <w:rsid w:val="000D550E"/>
    <w:rsid w:val="000D7616"/>
    <w:rsid w:val="000E0399"/>
    <w:rsid w:val="000E1DD5"/>
    <w:rsid w:val="000E1E8A"/>
    <w:rsid w:val="000E3181"/>
    <w:rsid w:val="000E37BD"/>
    <w:rsid w:val="000E5276"/>
    <w:rsid w:val="000F02DA"/>
    <w:rsid w:val="000F2669"/>
    <w:rsid w:val="000F31E3"/>
    <w:rsid w:val="000F3C27"/>
    <w:rsid w:val="000F4FD4"/>
    <w:rsid w:val="000F5A09"/>
    <w:rsid w:val="000F5DCE"/>
    <w:rsid w:val="000F693F"/>
    <w:rsid w:val="000F7DA6"/>
    <w:rsid w:val="00100343"/>
    <w:rsid w:val="00101768"/>
    <w:rsid w:val="001021C1"/>
    <w:rsid w:val="00104723"/>
    <w:rsid w:val="00104AB5"/>
    <w:rsid w:val="00104F27"/>
    <w:rsid w:val="0010702D"/>
    <w:rsid w:val="00110269"/>
    <w:rsid w:val="00110C57"/>
    <w:rsid w:val="0011599E"/>
    <w:rsid w:val="00117929"/>
    <w:rsid w:val="001212E8"/>
    <w:rsid w:val="001216BB"/>
    <w:rsid w:val="001221DF"/>
    <w:rsid w:val="00122479"/>
    <w:rsid w:val="00123252"/>
    <w:rsid w:val="00124FAD"/>
    <w:rsid w:val="001250B1"/>
    <w:rsid w:val="001257A1"/>
    <w:rsid w:val="001265AF"/>
    <w:rsid w:val="00127E68"/>
    <w:rsid w:val="00131106"/>
    <w:rsid w:val="00131B19"/>
    <w:rsid w:val="00132017"/>
    <w:rsid w:val="00132120"/>
    <w:rsid w:val="001322C1"/>
    <w:rsid w:val="001338E1"/>
    <w:rsid w:val="00134BE4"/>
    <w:rsid w:val="00135770"/>
    <w:rsid w:val="0013645D"/>
    <w:rsid w:val="001372E7"/>
    <w:rsid w:val="0013770F"/>
    <w:rsid w:val="00137A16"/>
    <w:rsid w:val="001426BB"/>
    <w:rsid w:val="00142B2C"/>
    <w:rsid w:val="001432B6"/>
    <w:rsid w:val="00144270"/>
    <w:rsid w:val="0014541C"/>
    <w:rsid w:val="0014556D"/>
    <w:rsid w:val="0014672E"/>
    <w:rsid w:val="0014772D"/>
    <w:rsid w:val="001477D0"/>
    <w:rsid w:val="00147DEA"/>
    <w:rsid w:val="001504B3"/>
    <w:rsid w:val="001509C1"/>
    <w:rsid w:val="0015101B"/>
    <w:rsid w:val="001523EE"/>
    <w:rsid w:val="0015326F"/>
    <w:rsid w:val="00153270"/>
    <w:rsid w:val="001534F5"/>
    <w:rsid w:val="001537FD"/>
    <w:rsid w:val="00154AC7"/>
    <w:rsid w:val="00154F15"/>
    <w:rsid w:val="00154FE6"/>
    <w:rsid w:val="00155237"/>
    <w:rsid w:val="001556E0"/>
    <w:rsid w:val="0015656C"/>
    <w:rsid w:val="001577DC"/>
    <w:rsid w:val="00160586"/>
    <w:rsid w:val="00160F94"/>
    <w:rsid w:val="0016324F"/>
    <w:rsid w:val="001634F1"/>
    <w:rsid w:val="00164440"/>
    <w:rsid w:val="00164E47"/>
    <w:rsid w:val="00165E36"/>
    <w:rsid w:val="00165EBC"/>
    <w:rsid w:val="00165FEE"/>
    <w:rsid w:val="001660B9"/>
    <w:rsid w:val="00166318"/>
    <w:rsid w:val="0016643E"/>
    <w:rsid w:val="001669C5"/>
    <w:rsid w:val="00167265"/>
    <w:rsid w:val="00171BBB"/>
    <w:rsid w:val="00173100"/>
    <w:rsid w:val="00173912"/>
    <w:rsid w:val="00173C17"/>
    <w:rsid w:val="00175CA4"/>
    <w:rsid w:val="00175EC7"/>
    <w:rsid w:val="00176EDD"/>
    <w:rsid w:val="00177402"/>
    <w:rsid w:val="00181ABF"/>
    <w:rsid w:val="0018384C"/>
    <w:rsid w:val="00184F28"/>
    <w:rsid w:val="00185B6A"/>
    <w:rsid w:val="00187C4A"/>
    <w:rsid w:val="00190D78"/>
    <w:rsid w:val="00191358"/>
    <w:rsid w:val="0019514F"/>
    <w:rsid w:val="001A1221"/>
    <w:rsid w:val="001A143E"/>
    <w:rsid w:val="001A1544"/>
    <w:rsid w:val="001A2A39"/>
    <w:rsid w:val="001A2B98"/>
    <w:rsid w:val="001A3AFE"/>
    <w:rsid w:val="001A3B03"/>
    <w:rsid w:val="001A3C49"/>
    <w:rsid w:val="001A66D0"/>
    <w:rsid w:val="001A7361"/>
    <w:rsid w:val="001B35CF"/>
    <w:rsid w:val="001B3F88"/>
    <w:rsid w:val="001B4BDC"/>
    <w:rsid w:val="001B5D75"/>
    <w:rsid w:val="001B5DA2"/>
    <w:rsid w:val="001B69F2"/>
    <w:rsid w:val="001B7051"/>
    <w:rsid w:val="001C1E3E"/>
    <w:rsid w:val="001C3D0D"/>
    <w:rsid w:val="001C42CA"/>
    <w:rsid w:val="001C5AE4"/>
    <w:rsid w:val="001C72B9"/>
    <w:rsid w:val="001C7C63"/>
    <w:rsid w:val="001D0A65"/>
    <w:rsid w:val="001D181B"/>
    <w:rsid w:val="001D390C"/>
    <w:rsid w:val="001D3AFA"/>
    <w:rsid w:val="001D3E6D"/>
    <w:rsid w:val="001D6A14"/>
    <w:rsid w:val="001D6CBC"/>
    <w:rsid w:val="001D7470"/>
    <w:rsid w:val="001D7F6A"/>
    <w:rsid w:val="001E0B61"/>
    <w:rsid w:val="001E1318"/>
    <w:rsid w:val="001E154A"/>
    <w:rsid w:val="001E1712"/>
    <w:rsid w:val="001E2A4A"/>
    <w:rsid w:val="001E480B"/>
    <w:rsid w:val="001E4B96"/>
    <w:rsid w:val="001E7004"/>
    <w:rsid w:val="001F05B8"/>
    <w:rsid w:val="001F10A7"/>
    <w:rsid w:val="001F1153"/>
    <w:rsid w:val="001F1B30"/>
    <w:rsid w:val="001F2085"/>
    <w:rsid w:val="001F3E20"/>
    <w:rsid w:val="001F4129"/>
    <w:rsid w:val="001F4C97"/>
    <w:rsid w:val="001F6056"/>
    <w:rsid w:val="00200DE8"/>
    <w:rsid w:val="00203DBF"/>
    <w:rsid w:val="002057F8"/>
    <w:rsid w:val="00205C38"/>
    <w:rsid w:val="002068A7"/>
    <w:rsid w:val="0020795A"/>
    <w:rsid w:val="00210420"/>
    <w:rsid w:val="00211283"/>
    <w:rsid w:val="0021258A"/>
    <w:rsid w:val="00212751"/>
    <w:rsid w:val="0021345D"/>
    <w:rsid w:val="00214074"/>
    <w:rsid w:val="00214ABD"/>
    <w:rsid w:val="00216EA8"/>
    <w:rsid w:val="00216F04"/>
    <w:rsid w:val="002206EB"/>
    <w:rsid w:val="00220B4F"/>
    <w:rsid w:val="00220E27"/>
    <w:rsid w:val="0022472C"/>
    <w:rsid w:val="0022502B"/>
    <w:rsid w:val="00226533"/>
    <w:rsid w:val="00226956"/>
    <w:rsid w:val="00230FE3"/>
    <w:rsid w:val="002316D6"/>
    <w:rsid w:val="00232FAC"/>
    <w:rsid w:val="0023382E"/>
    <w:rsid w:val="00234706"/>
    <w:rsid w:val="002357BF"/>
    <w:rsid w:val="00236AAF"/>
    <w:rsid w:val="0023796D"/>
    <w:rsid w:val="00237B77"/>
    <w:rsid w:val="002405AA"/>
    <w:rsid w:val="002409BB"/>
    <w:rsid w:val="002412F8"/>
    <w:rsid w:val="0024242B"/>
    <w:rsid w:val="00242AA8"/>
    <w:rsid w:val="00243F30"/>
    <w:rsid w:val="0024441A"/>
    <w:rsid w:val="002449C2"/>
    <w:rsid w:val="00244C8F"/>
    <w:rsid w:val="00245811"/>
    <w:rsid w:val="00245F62"/>
    <w:rsid w:val="002468B1"/>
    <w:rsid w:val="002476A9"/>
    <w:rsid w:val="002502D0"/>
    <w:rsid w:val="0025034B"/>
    <w:rsid w:val="0025110A"/>
    <w:rsid w:val="00251932"/>
    <w:rsid w:val="00252A26"/>
    <w:rsid w:val="00253D12"/>
    <w:rsid w:val="00253F81"/>
    <w:rsid w:val="00254FC9"/>
    <w:rsid w:val="00255077"/>
    <w:rsid w:val="002553D7"/>
    <w:rsid w:val="00255AED"/>
    <w:rsid w:val="00255BBF"/>
    <w:rsid w:val="0025794E"/>
    <w:rsid w:val="00260AEA"/>
    <w:rsid w:val="00260B55"/>
    <w:rsid w:val="002614DF"/>
    <w:rsid w:val="002615DA"/>
    <w:rsid w:val="002617CE"/>
    <w:rsid w:val="00261FD9"/>
    <w:rsid w:val="0026340A"/>
    <w:rsid w:val="00263BB3"/>
    <w:rsid w:val="0026452D"/>
    <w:rsid w:val="00265385"/>
    <w:rsid w:val="00265E4A"/>
    <w:rsid w:val="00265E89"/>
    <w:rsid w:val="0026746B"/>
    <w:rsid w:val="00267640"/>
    <w:rsid w:val="0026781C"/>
    <w:rsid w:val="00267E8A"/>
    <w:rsid w:val="0027167D"/>
    <w:rsid w:val="00271703"/>
    <w:rsid w:val="00271AB8"/>
    <w:rsid w:val="002724BD"/>
    <w:rsid w:val="00272887"/>
    <w:rsid w:val="00273339"/>
    <w:rsid w:val="002736A3"/>
    <w:rsid w:val="00273D93"/>
    <w:rsid w:val="002742AF"/>
    <w:rsid w:val="00274989"/>
    <w:rsid w:val="002807FE"/>
    <w:rsid w:val="00280A9C"/>
    <w:rsid w:val="00280AAE"/>
    <w:rsid w:val="002815E4"/>
    <w:rsid w:val="00285CA2"/>
    <w:rsid w:val="00286110"/>
    <w:rsid w:val="002862AF"/>
    <w:rsid w:val="002869A1"/>
    <w:rsid w:val="0028760B"/>
    <w:rsid w:val="0029245D"/>
    <w:rsid w:val="00292A39"/>
    <w:rsid w:val="00292DA9"/>
    <w:rsid w:val="0029326F"/>
    <w:rsid w:val="00293C42"/>
    <w:rsid w:val="00293D7E"/>
    <w:rsid w:val="0029524C"/>
    <w:rsid w:val="0029581E"/>
    <w:rsid w:val="00295B0B"/>
    <w:rsid w:val="00297324"/>
    <w:rsid w:val="00297978"/>
    <w:rsid w:val="002A00E2"/>
    <w:rsid w:val="002A03DB"/>
    <w:rsid w:val="002A1D23"/>
    <w:rsid w:val="002A4F57"/>
    <w:rsid w:val="002A518A"/>
    <w:rsid w:val="002A61B9"/>
    <w:rsid w:val="002A6B9E"/>
    <w:rsid w:val="002A6D97"/>
    <w:rsid w:val="002A7FC1"/>
    <w:rsid w:val="002B11A9"/>
    <w:rsid w:val="002B1B5A"/>
    <w:rsid w:val="002B1DB7"/>
    <w:rsid w:val="002B2ED6"/>
    <w:rsid w:val="002B3338"/>
    <w:rsid w:val="002B43CB"/>
    <w:rsid w:val="002B44E0"/>
    <w:rsid w:val="002B46FF"/>
    <w:rsid w:val="002B48F6"/>
    <w:rsid w:val="002B5D8F"/>
    <w:rsid w:val="002B7515"/>
    <w:rsid w:val="002C11A4"/>
    <w:rsid w:val="002C35AF"/>
    <w:rsid w:val="002C35C2"/>
    <w:rsid w:val="002C66DA"/>
    <w:rsid w:val="002C68D2"/>
    <w:rsid w:val="002D0565"/>
    <w:rsid w:val="002D210F"/>
    <w:rsid w:val="002D2890"/>
    <w:rsid w:val="002D32DF"/>
    <w:rsid w:val="002D3D78"/>
    <w:rsid w:val="002D41C0"/>
    <w:rsid w:val="002D4B9D"/>
    <w:rsid w:val="002D6145"/>
    <w:rsid w:val="002D69D4"/>
    <w:rsid w:val="002D7345"/>
    <w:rsid w:val="002E2700"/>
    <w:rsid w:val="002E2869"/>
    <w:rsid w:val="002E3364"/>
    <w:rsid w:val="002E3AD8"/>
    <w:rsid w:val="002E5F8E"/>
    <w:rsid w:val="002E639A"/>
    <w:rsid w:val="002E6F17"/>
    <w:rsid w:val="002F111A"/>
    <w:rsid w:val="002F1590"/>
    <w:rsid w:val="002F19FA"/>
    <w:rsid w:val="002F2783"/>
    <w:rsid w:val="002F2EE9"/>
    <w:rsid w:val="002F375C"/>
    <w:rsid w:val="002F41AE"/>
    <w:rsid w:val="002F66D9"/>
    <w:rsid w:val="003001E8"/>
    <w:rsid w:val="00302A2E"/>
    <w:rsid w:val="00302D30"/>
    <w:rsid w:val="00302DDA"/>
    <w:rsid w:val="00302DE3"/>
    <w:rsid w:val="003037E6"/>
    <w:rsid w:val="00304205"/>
    <w:rsid w:val="0030525A"/>
    <w:rsid w:val="0030624F"/>
    <w:rsid w:val="00306281"/>
    <w:rsid w:val="00306A93"/>
    <w:rsid w:val="003079A7"/>
    <w:rsid w:val="00307BEF"/>
    <w:rsid w:val="00310138"/>
    <w:rsid w:val="00311A75"/>
    <w:rsid w:val="00312E66"/>
    <w:rsid w:val="0031312F"/>
    <w:rsid w:val="0031365B"/>
    <w:rsid w:val="00314FE3"/>
    <w:rsid w:val="003177B9"/>
    <w:rsid w:val="00317DD0"/>
    <w:rsid w:val="00321151"/>
    <w:rsid w:val="0032147B"/>
    <w:rsid w:val="00323977"/>
    <w:rsid w:val="0032434F"/>
    <w:rsid w:val="00324A0C"/>
    <w:rsid w:val="00325246"/>
    <w:rsid w:val="003264E1"/>
    <w:rsid w:val="0032689A"/>
    <w:rsid w:val="00327AD2"/>
    <w:rsid w:val="00332CA7"/>
    <w:rsid w:val="003333A4"/>
    <w:rsid w:val="00333C5C"/>
    <w:rsid w:val="00333D11"/>
    <w:rsid w:val="00334F57"/>
    <w:rsid w:val="003367E0"/>
    <w:rsid w:val="0033706F"/>
    <w:rsid w:val="00340BEC"/>
    <w:rsid w:val="00341CD7"/>
    <w:rsid w:val="003423CF"/>
    <w:rsid w:val="00343E54"/>
    <w:rsid w:val="00343EC2"/>
    <w:rsid w:val="0035089D"/>
    <w:rsid w:val="00350A40"/>
    <w:rsid w:val="00351989"/>
    <w:rsid w:val="00353C4B"/>
    <w:rsid w:val="00356009"/>
    <w:rsid w:val="00356E60"/>
    <w:rsid w:val="00357732"/>
    <w:rsid w:val="00360178"/>
    <w:rsid w:val="003605FD"/>
    <w:rsid w:val="00360C22"/>
    <w:rsid w:val="003614D3"/>
    <w:rsid w:val="00361A0E"/>
    <w:rsid w:val="0036429A"/>
    <w:rsid w:val="00364782"/>
    <w:rsid w:val="003648F4"/>
    <w:rsid w:val="003661B0"/>
    <w:rsid w:val="003670CC"/>
    <w:rsid w:val="00367DD4"/>
    <w:rsid w:val="00370154"/>
    <w:rsid w:val="00371963"/>
    <w:rsid w:val="0037231F"/>
    <w:rsid w:val="00372567"/>
    <w:rsid w:val="00373BC9"/>
    <w:rsid w:val="00373EF9"/>
    <w:rsid w:val="00375155"/>
    <w:rsid w:val="00375E77"/>
    <w:rsid w:val="00376662"/>
    <w:rsid w:val="00376781"/>
    <w:rsid w:val="00376874"/>
    <w:rsid w:val="00376B93"/>
    <w:rsid w:val="00377167"/>
    <w:rsid w:val="0038032C"/>
    <w:rsid w:val="00380E14"/>
    <w:rsid w:val="003816A8"/>
    <w:rsid w:val="003830E7"/>
    <w:rsid w:val="00383743"/>
    <w:rsid w:val="00384D71"/>
    <w:rsid w:val="003853CC"/>
    <w:rsid w:val="00385AAC"/>
    <w:rsid w:val="00386412"/>
    <w:rsid w:val="00387F8F"/>
    <w:rsid w:val="00392041"/>
    <w:rsid w:val="00392314"/>
    <w:rsid w:val="003941DD"/>
    <w:rsid w:val="00394A1F"/>
    <w:rsid w:val="00394E63"/>
    <w:rsid w:val="003A0B3D"/>
    <w:rsid w:val="003A0E73"/>
    <w:rsid w:val="003A2E11"/>
    <w:rsid w:val="003A3DE1"/>
    <w:rsid w:val="003B0760"/>
    <w:rsid w:val="003B25DC"/>
    <w:rsid w:val="003B308B"/>
    <w:rsid w:val="003B42F8"/>
    <w:rsid w:val="003B4931"/>
    <w:rsid w:val="003B61C5"/>
    <w:rsid w:val="003C0046"/>
    <w:rsid w:val="003C008E"/>
    <w:rsid w:val="003C0173"/>
    <w:rsid w:val="003C0AE9"/>
    <w:rsid w:val="003C2FD0"/>
    <w:rsid w:val="003C39E4"/>
    <w:rsid w:val="003C5048"/>
    <w:rsid w:val="003D0611"/>
    <w:rsid w:val="003D2DE4"/>
    <w:rsid w:val="003D378A"/>
    <w:rsid w:val="003D4B23"/>
    <w:rsid w:val="003D51A7"/>
    <w:rsid w:val="003E0D3B"/>
    <w:rsid w:val="003E123A"/>
    <w:rsid w:val="003E12EB"/>
    <w:rsid w:val="003E2AD9"/>
    <w:rsid w:val="003E2C58"/>
    <w:rsid w:val="003E614D"/>
    <w:rsid w:val="003E6F75"/>
    <w:rsid w:val="003E7660"/>
    <w:rsid w:val="003F13D6"/>
    <w:rsid w:val="003F1806"/>
    <w:rsid w:val="003F191A"/>
    <w:rsid w:val="003F1F38"/>
    <w:rsid w:val="003F233A"/>
    <w:rsid w:val="003F3371"/>
    <w:rsid w:val="003F3A0C"/>
    <w:rsid w:val="003F5108"/>
    <w:rsid w:val="003F6D9F"/>
    <w:rsid w:val="003F72A9"/>
    <w:rsid w:val="003F7728"/>
    <w:rsid w:val="00404A14"/>
    <w:rsid w:val="0040773D"/>
    <w:rsid w:val="0041315F"/>
    <w:rsid w:val="0041475E"/>
    <w:rsid w:val="0041695C"/>
    <w:rsid w:val="0041733F"/>
    <w:rsid w:val="004175CD"/>
    <w:rsid w:val="004178C2"/>
    <w:rsid w:val="00417DAA"/>
    <w:rsid w:val="00424543"/>
    <w:rsid w:val="0042689A"/>
    <w:rsid w:val="00426EEB"/>
    <w:rsid w:val="00427443"/>
    <w:rsid w:val="00430806"/>
    <w:rsid w:val="00432CFA"/>
    <w:rsid w:val="00432FCB"/>
    <w:rsid w:val="00433BEE"/>
    <w:rsid w:val="004344C5"/>
    <w:rsid w:val="004357F9"/>
    <w:rsid w:val="004377A3"/>
    <w:rsid w:val="00440C7E"/>
    <w:rsid w:val="004417E6"/>
    <w:rsid w:val="00441FC0"/>
    <w:rsid w:val="004420E6"/>
    <w:rsid w:val="00442704"/>
    <w:rsid w:val="004436D1"/>
    <w:rsid w:val="004440D2"/>
    <w:rsid w:val="00444238"/>
    <w:rsid w:val="00446141"/>
    <w:rsid w:val="00446789"/>
    <w:rsid w:val="004507DE"/>
    <w:rsid w:val="00451D8A"/>
    <w:rsid w:val="0045274D"/>
    <w:rsid w:val="00452C98"/>
    <w:rsid w:val="00453550"/>
    <w:rsid w:val="00454E84"/>
    <w:rsid w:val="00455066"/>
    <w:rsid w:val="0045600C"/>
    <w:rsid w:val="00460644"/>
    <w:rsid w:val="004616CC"/>
    <w:rsid w:val="00462B36"/>
    <w:rsid w:val="00462D57"/>
    <w:rsid w:val="00463231"/>
    <w:rsid w:val="004635E6"/>
    <w:rsid w:val="00463C6B"/>
    <w:rsid w:val="004647D4"/>
    <w:rsid w:val="00464D66"/>
    <w:rsid w:val="004654C6"/>
    <w:rsid w:val="00465520"/>
    <w:rsid w:val="0046583D"/>
    <w:rsid w:val="00465C3C"/>
    <w:rsid w:val="0046720E"/>
    <w:rsid w:val="0046752C"/>
    <w:rsid w:val="00471294"/>
    <w:rsid w:val="00471E79"/>
    <w:rsid w:val="0047397F"/>
    <w:rsid w:val="00473C05"/>
    <w:rsid w:val="004761D1"/>
    <w:rsid w:val="00476DA3"/>
    <w:rsid w:val="00480173"/>
    <w:rsid w:val="00480556"/>
    <w:rsid w:val="004808C5"/>
    <w:rsid w:val="00481C22"/>
    <w:rsid w:val="004828AE"/>
    <w:rsid w:val="00482DD7"/>
    <w:rsid w:val="0048319B"/>
    <w:rsid w:val="004832E9"/>
    <w:rsid w:val="00484A0C"/>
    <w:rsid w:val="004864AA"/>
    <w:rsid w:val="00487230"/>
    <w:rsid w:val="00487445"/>
    <w:rsid w:val="0049016B"/>
    <w:rsid w:val="00490EFA"/>
    <w:rsid w:val="00491166"/>
    <w:rsid w:val="0049167E"/>
    <w:rsid w:val="00491C1E"/>
    <w:rsid w:val="004939F9"/>
    <w:rsid w:val="004942D9"/>
    <w:rsid w:val="00494EB5"/>
    <w:rsid w:val="004950AD"/>
    <w:rsid w:val="00495964"/>
    <w:rsid w:val="00495D16"/>
    <w:rsid w:val="00497386"/>
    <w:rsid w:val="00497A14"/>
    <w:rsid w:val="004A061A"/>
    <w:rsid w:val="004A150E"/>
    <w:rsid w:val="004A17EF"/>
    <w:rsid w:val="004A19B5"/>
    <w:rsid w:val="004A1AA1"/>
    <w:rsid w:val="004A1AD6"/>
    <w:rsid w:val="004A2574"/>
    <w:rsid w:val="004A263C"/>
    <w:rsid w:val="004A64B3"/>
    <w:rsid w:val="004A6AB7"/>
    <w:rsid w:val="004A7425"/>
    <w:rsid w:val="004B038B"/>
    <w:rsid w:val="004B3B2F"/>
    <w:rsid w:val="004B564B"/>
    <w:rsid w:val="004C046E"/>
    <w:rsid w:val="004C24DA"/>
    <w:rsid w:val="004C3013"/>
    <w:rsid w:val="004C4092"/>
    <w:rsid w:val="004C4F41"/>
    <w:rsid w:val="004C555D"/>
    <w:rsid w:val="004C5E4E"/>
    <w:rsid w:val="004C62A1"/>
    <w:rsid w:val="004C63D6"/>
    <w:rsid w:val="004C6804"/>
    <w:rsid w:val="004C740C"/>
    <w:rsid w:val="004D1DE7"/>
    <w:rsid w:val="004D23A2"/>
    <w:rsid w:val="004D2425"/>
    <w:rsid w:val="004D2D11"/>
    <w:rsid w:val="004D32DF"/>
    <w:rsid w:val="004D4B11"/>
    <w:rsid w:val="004D57B8"/>
    <w:rsid w:val="004D629B"/>
    <w:rsid w:val="004D66E1"/>
    <w:rsid w:val="004D75EE"/>
    <w:rsid w:val="004D791B"/>
    <w:rsid w:val="004E0136"/>
    <w:rsid w:val="004E0630"/>
    <w:rsid w:val="004E0753"/>
    <w:rsid w:val="004E0A79"/>
    <w:rsid w:val="004E1F8B"/>
    <w:rsid w:val="004E20C0"/>
    <w:rsid w:val="004E3086"/>
    <w:rsid w:val="004E327D"/>
    <w:rsid w:val="004E3BAC"/>
    <w:rsid w:val="004E48F8"/>
    <w:rsid w:val="004E49BA"/>
    <w:rsid w:val="004E4A90"/>
    <w:rsid w:val="004E4FC7"/>
    <w:rsid w:val="004E543A"/>
    <w:rsid w:val="004E5F80"/>
    <w:rsid w:val="004E7115"/>
    <w:rsid w:val="004E7E92"/>
    <w:rsid w:val="004F03F7"/>
    <w:rsid w:val="004F0855"/>
    <w:rsid w:val="004F0E7B"/>
    <w:rsid w:val="004F14B8"/>
    <w:rsid w:val="004F25B5"/>
    <w:rsid w:val="004F3735"/>
    <w:rsid w:val="004F3934"/>
    <w:rsid w:val="004F3935"/>
    <w:rsid w:val="004F43B2"/>
    <w:rsid w:val="004F5043"/>
    <w:rsid w:val="004F74CE"/>
    <w:rsid w:val="00500108"/>
    <w:rsid w:val="00500F8A"/>
    <w:rsid w:val="00501754"/>
    <w:rsid w:val="00503A8A"/>
    <w:rsid w:val="00504094"/>
    <w:rsid w:val="005050DC"/>
    <w:rsid w:val="00505BE3"/>
    <w:rsid w:val="00506781"/>
    <w:rsid w:val="00512C97"/>
    <w:rsid w:val="00512E7B"/>
    <w:rsid w:val="00513AF2"/>
    <w:rsid w:val="005140AE"/>
    <w:rsid w:val="0051439B"/>
    <w:rsid w:val="00514ECD"/>
    <w:rsid w:val="00514F11"/>
    <w:rsid w:val="00516623"/>
    <w:rsid w:val="00516C34"/>
    <w:rsid w:val="00516F3A"/>
    <w:rsid w:val="0051799A"/>
    <w:rsid w:val="0052038E"/>
    <w:rsid w:val="00523E0A"/>
    <w:rsid w:val="00523F34"/>
    <w:rsid w:val="0052523F"/>
    <w:rsid w:val="00526C2F"/>
    <w:rsid w:val="005274C3"/>
    <w:rsid w:val="005307BF"/>
    <w:rsid w:val="00530A95"/>
    <w:rsid w:val="00530F71"/>
    <w:rsid w:val="005317C5"/>
    <w:rsid w:val="005325CA"/>
    <w:rsid w:val="00532BE0"/>
    <w:rsid w:val="005330E4"/>
    <w:rsid w:val="005330E5"/>
    <w:rsid w:val="00533BC2"/>
    <w:rsid w:val="00535690"/>
    <w:rsid w:val="00535DF5"/>
    <w:rsid w:val="00540550"/>
    <w:rsid w:val="005437BD"/>
    <w:rsid w:val="005439C3"/>
    <w:rsid w:val="00544AA8"/>
    <w:rsid w:val="00545558"/>
    <w:rsid w:val="00545823"/>
    <w:rsid w:val="00547031"/>
    <w:rsid w:val="00547111"/>
    <w:rsid w:val="00547314"/>
    <w:rsid w:val="00547A34"/>
    <w:rsid w:val="00550B34"/>
    <w:rsid w:val="00551238"/>
    <w:rsid w:val="0055134A"/>
    <w:rsid w:val="00552924"/>
    <w:rsid w:val="0055334D"/>
    <w:rsid w:val="00554AE4"/>
    <w:rsid w:val="00556396"/>
    <w:rsid w:val="00557239"/>
    <w:rsid w:val="00560C31"/>
    <w:rsid w:val="005627AC"/>
    <w:rsid w:val="00562B2F"/>
    <w:rsid w:val="00562D73"/>
    <w:rsid w:val="005648E0"/>
    <w:rsid w:val="00565B08"/>
    <w:rsid w:val="00565B84"/>
    <w:rsid w:val="0056653F"/>
    <w:rsid w:val="00566F0B"/>
    <w:rsid w:val="005675A8"/>
    <w:rsid w:val="00570633"/>
    <w:rsid w:val="005713DB"/>
    <w:rsid w:val="00571634"/>
    <w:rsid w:val="00573731"/>
    <w:rsid w:val="00576233"/>
    <w:rsid w:val="00576BBA"/>
    <w:rsid w:val="0057771F"/>
    <w:rsid w:val="00580343"/>
    <w:rsid w:val="00581DC9"/>
    <w:rsid w:val="005855C4"/>
    <w:rsid w:val="00586BDC"/>
    <w:rsid w:val="00590148"/>
    <w:rsid w:val="0059143E"/>
    <w:rsid w:val="005932D6"/>
    <w:rsid w:val="00593D84"/>
    <w:rsid w:val="00594FA9"/>
    <w:rsid w:val="00596B02"/>
    <w:rsid w:val="005A1296"/>
    <w:rsid w:val="005A326E"/>
    <w:rsid w:val="005A45FE"/>
    <w:rsid w:val="005A50E2"/>
    <w:rsid w:val="005A628D"/>
    <w:rsid w:val="005A6A50"/>
    <w:rsid w:val="005A7245"/>
    <w:rsid w:val="005B0628"/>
    <w:rsid w:val="005B0633"/>
    <w:rsid w:val="005B23D1"/>
    <w:rsid w:val="005B25FC"/>
    <w:rsid w:val="005B32F8"/>
    <w:rsid w:val="005B3A82"/>
    <w:rsid w:val="005B41D4"/>
    <w:rsid w:val="005B5545"/>
    <w:rsid w:val="005B58AE"/>
    <w:rsid w:val="005B5942"/>
    <w:rsid w:val="005B6675"/>
    <w:rsid w:val="005B6D27"/>
    <w:rsid w:val="005B76D4"/>
    <w:rsid w:val="005C1CC0"/>
    <w:rsid w:val="005C586A"/>
    <w:rsid w:val="005C75B3"/>
    <w:rsid w:val="005D1102"/>
    <w:rsid w:val="005D2E5E"/>
    <w:rsid w:val="005D3088"/>
    <w:rsid w:val="005D5984"/>
    <w:rsid w:val="005D5BB7"/>
    <w:rsid w:val="005D69D1"/>
    <w:rsid w:val="005D6DF2"/>
    <w:rsid w:val="005D706E"/>
    <w:rsid w:val="005E0393"/>
    <w:rsid w:val="005E1028"/>
    <w:rsid w:val="005E1AE3"/>
    <w:rsid w:val="005E210E"/>
    <w:rsid w:val="005E3191"/>
    <w:rsid w:val="005E3E95"/>
    <w:rsid w:val="005E4CB0"/>
    <w:rsid w:val="005E4EDE"/>
    <w:rsid w:val="005E4F2D"/>
    <w:rsid w:val="005E6E2F"/>
    <w:rsid w:val="005E7ABC"/>
    <w:rsid w:val="005F0E7A"/>
    <w:rsid w:val="005F2B54"/>
    <w:rsid w:val="005F32AA"/>
    <w:rsid w:val="005F3881"/>
    <w:rsid w:val="005F3D63"/>
    <w:rsid w:val="005F4183"/>
    <w:rsid w:val="005F489B"/>
    <w:rsid w:val="005F521A"/>
    <w:rsid w:val="005F6458"/>
    <w:rsid w:val="005F7C46"/>
    <w:rsid w:val="00600506"/>
    <w:rsid w:val="00600BCC"/>
    <w:rsid w:val="0060196B"/>
    <w:rsid w:val="00603A8D"/>
    <w:rsid w:val="00604999"/>
    <w:rsid w:val="00606BDA"/>
    <w:rsid w:val="00607CDD"/>
    <w:rsid w:val="00611B96"/>
    <w:rsid w:val="00613350"/>
    <w:rsid w:val="006143B0"/>
    <w:rsid w:val="006143B5"/>
    <w:rsid w:val="00614732"/>
    <w:rsid w:val="00615613"/>
    <w:rsid w:val="00616081"/>
    <w:rsid w:val="006169BE"/>
    <w:rsid w:val="006170D4"/>
    <w:rsid w:val="00620CA4"/>
    <w:rsid w:val="0062305E"/>
    <w:rsid w:val="006233EE"/>
    <w:rsid w:val="006234AC"/>
    <w:rsid w:val="006238D8"/>
    <w:rsid w:val="006239DC"/>
    <w:rsid w:val="006242FF"/>
    <w:rsid w:val="00624CD7"/>
    <w:rsid w:val="00626A2A"/>
    <w:rsid w:val="00627764"/>
    <w:rsid w:val="00631669"/>
    <w:rsid w:val="006332E6"/>
    <w:rsid w:val="00633571"/>
    <w:rsid w:val="00634807"/>
    <w:rsid w:val="00634859"/>
    <w:rsid w:val="00634ADC"/>
    <w:rsid w:val="006356F9"/>
    <w:rsid w:val="00635F5B"/>
    <w:rsid w:val="006372D4"/>
    <w:rsid w:val="006401C6"/>
    <w:rsid w:val="0064164D"/>
    <w:rsid w:val="006428CC"/>
    <w:rsid w:val="0064494A"/>
    <w:rsid w:val="006464A8"/>
    <w:rsid w:val="00646539"/>
    <w:rsid w:val="006466AF"/>
    <w:rsid w:val="006470ED"/>
    <w:rsid w:val="00647C94"/>
    <w:rsid w:val="006517A1"/>
    <w:rsid w:val="00651AD2"/>
    <w:rsid w:val="00652674"/>
    <w:rsid w:val="006529FE"/>
    <w:rsid w:val="00654162"/>
    <w:rsid w:val="00654E75"/>
    <w:rsid w:val="006550CD"/>
    <w:rsid w:val="00655E7E"/>
    <w:rsid w:val="00656B74"/>
    <w:rsid w:val="00656C20"/>
    <w:rsid w:val="00660FA2"/>
    <w:rsid w:val="00660FBF"/>
    <w:rsid w:val="00662674"/>
    <w:rsid w:val="0066701A"/>
    <w:rsid w:val="0067065C"/>
    <w:rsid w:val="0067118C"/>
    <w:rsid w:val="00671ED3"/>
    <w:rsid w:val="006730B9"/>
    <w:rsid w:val="00675E46"/>
    <w:rsid w:val="00677638"/>
    <w:rsid w:val="00677DCF"/>
    <w:rsid w:val="00680774"/>
    <w:rsid w:val="00681910"/>
    <w:rsid w:val="00681970"/>
    <w:rsid w:val="00683286"/>
    <w:rsid w:val="00684F35"/>
    <w:rsid w:val="00685B93"/>
    <w:rsid w:val="0068639B"/>
    <w:rsid w:val="006876B7"/>
    <w:rsid w:val="00687812"/>
    <w:rsid w:val="00687ECA"/>
    <w:rsid w:val="00691375"/>
    <w:rsid w:val="00691F05"/>
    <w:rsid w:val="006928FB"/>
    <w:rsid w:val="00692C4B"/>
    <w:rsid w:val="00693986"/>
    <w:rsid w:val="00693E4C"/>
    <w:rsid w:val="00694CEF"/>
    <w:rsid w:val="00694FE9"/>
    <w:rsid w:val="00695405"/>
    <w:rsid w:val="006957AE"/>
    <w:rsid w:val="006A0A7B"/>
    <w:rsid w:val="006A1C87"/>
    <w:rsid w:val="006A2ED3"/>
    <w:rsid w:val="006A3458"/>
    <w:rsid w:val="006A34A8"/>
    <w:rsid w:val="006A3B46"/>
    <w:rsid w:val="006A5D8D"/>
    <w:rsid w:val="006A5DDA"/>
    <w:rsid w:val="006A6600"/>
    <w:rsid w:val="006A6DFF"/>
    <w:rsid w:val="006A7C7D"/>
    <w:rsid w:val="006B039E"/>
    <w:rsid w:val="006B10CD"/>
    <w:rsid w:val="006B1152"/>
    <w:rsid w:val="006B1160"/>
    <w:rsid w:val="006B1D39"/>
    <w:rsid w:val="006B2CEA"/>
    <w:rsid w:val="006B33A2"/>
    <w:rsid w:val="006B4CD1"/>
    <w:rsid w:val="006B5804"/>
    <w:rsid w:val="006B592B"/>
    <w:rsid w:val="006B5997"/>
    <w:rsid w:val="006B62A3"/>
    <w:rsid w:val="006B66F4"/>
    <w:rsid w:val="006B6F44"/>
    <w:rsid w:val="006C0158"/>
    <w:rsid w:val="006C2AEC"/>
    <w:rsid w:val="006C3217"/>
    <w:rsid w:val="006C33A7"/>
    <w:rsid w:val="006C5415"/>
    <w:rsid w:val="006C57BF"/>
    <w:rsid w:val="006C5FA9"/>
    <w:rsid w:val="006C6924"/>
    <w:rsid w:val="006C740D"/>
    <w:rsid w:val="006D04C6"/>
    <w:rsid w:val="006D1A4D"/>
    <w:rsid w:val="006D348E"/>
    <w:rsid w:val="006D4131"/>
    <w:rsid w:val="006D52E3"/>
    <w:rsid w:val="006D626F"/>
    <w:rsid w:val="006D6F9C"/>
    <w:rsid w:val="006D7241"/>
    <w:rsid w:val="006D7273"/>
    <w:rsid w:val="006E01A4"/>
    <w:rsid w:val="006E2BD3"/>
    <w:rsid w:val="006E4C4B"/>
    <w:rsid w:val="006E4D4C"/>
    <w:rsid w:val="006E52F4"/>
    <w:rsid w:val="006E6381"/>
    <w:rsid w:val="006E71B8"/>
    <w:rsid w:val="006E71E7"/>
    <w:rsid w:val="006F3CB1"/>
    <w:rsid w:val="006F3EB8"/>
    <w:rsid w:val="006F5196"/>
    <w:rsid w:val="006F7489"/>
    <w:rsid w:val="006F7845"/>
    <w:rsid w:val="0070038D"/>
    <w:rsid w:val="00701957"/>
    <w:rsid w:val="007034BD"/>
    <w:rsid w:val="00703E61"/>
    <w:rsid w:val="007045D5"/>
    <w:rsid w:val="00707720"/>
    <w:rsid w:val="00711AD7"/>
    <w:rsid w:val="00711B08"/>
    <w:rsid w:val="00712E0A"/>
    <w:rsid w:val="007161A3"/>
    <w:rsid w:val="00716959"/>
    <w:rsid w:val="00717AAD"/>
    <w:rsid w:val="00717E9E"/>
    <w:rsid w:val="00720842"/>
    <w:rsid w:val="00720941"/>
    <w:rsid w:val="00721DAF"/>
    <w:rsid w:val="00724758"/>
    <w:rsid w:val="00725584"/>
    <w:rsid w:val="0072564C"/>
    <w:rsid w:val="00725E11"/>
    <w:rsid w:val="00725EBB"/>
    <w:rsid w:val="007269A4"/>
    <w:rsid w:val="00726F48"/>
    <w:rsid w:val="00727DB7"/>
    <w:rsid w:val="0073187A"/>
    <w:rsid w:val="0073272B"/>
    <w:rsid w:val="007329B5"/>
    <w:rsid w:val="00733483"/>
    <w:rsid w:val="0073419D"/>
    <w:rsid w:val="0073431B"/>
    <w:rsid w:val="007349AB"/>
    <w:rsid w:val="00737064"/>
    <w:rsid w:val="0073708F"/>
    <w:rsid w:val="007375C3"/>
    <w:rsid w:val="00737898"/>
    <w:rsid w:val="00737E6A"/>
    <w:rsid w:val="00737FC6"/>
    <w:rsid w:val="00740ED1"/>
    <w:rsid w:val="007435C8"/>
    <w:rsid w:val="00743BAE"/>
    <w:rsid w:val="00744CC6"/>
    <w:rsid w:val="00744D6B"/>
    <w:rsid w:val="00745C17"/>
    <w:rsid w:val="00746EF5"/>
    <w:rsid w:val="007473A2"/>
    <w:rsid w:val="00747405"/>
    <w:rsid w:val="007504B0"/>
    <w:rsid w:val="00751C39"/>
    <w:rsid w:val="00751D23"/>
    <w:rsid w:val="0075269C"/>
    <w:rsid w:val="00754AC5"/>
    <w:rsid w:val="00756DC8"/>
    <w:rsid w:val="007574E8"/>
    <w:rsid w:val="00760860"/>
    <w:rsid w:val="0076126D"/>
    <w:rsid w:val="00763640"/>
    <w:rsid w:val="007637E9"/>
    <w:rsid w:val="0076551E"/>
    <w:rsid w:val="007660C0"/>
    <w:rsid w:val="007669D9"/>
    <w:rsid w:val="00770648"/>
    <w:rsid w:val="0077072D"/>
    <w:rsid w:val="0077115C"/>
    <w:rsid w:val="0077133C"/>
    <w:rsid w:val="00771BED"/>
    <w:rsid w:val="0077423D"/>
    <w:rsid w:val="0077487D"/>
    <w:rsid w:val="007750C1"/>
    <w:rsid w:val="00775348"/>
    <w:rsid w:val="00776FDA"/>
    <w:rsid w:val="00777A7F"/>
    <w:rsid w:val="00777A90"/>
    <w:rsid w:val="00777ED9"/>
    <w:rsid w:val="007800CD"/>
    <w:rsid w:val="007828AF"/>
    <w:rsid w:val="00782AE7"/>
    <w:rsid w:val="00783F6A"/>
    <w:rsid w:val="00784500"/>
    <w:rsid w:val="00784C15"/>
    <w:rsid w:val="00785AA3"/>
    <w:rsid w:val="00786114"/>
    <w:rsid w:val="007866B6"/>
    <w:rsid w:val="00786D78"/>
    <w:rsid w:val="00787931"/>
    <w:rsid w:val="0079022A"/>
    <w:rsid w:val="00790753"/>
    <w:rsid w:val="007907C1"/>
    <w:rsid w:val="007912B4"/>
    <w:rsid w:val="007921A4"/>
    <w:rsid w:val="007929F0"/>
    <w:rsid w:val="00792DF8"/>
    <w:rsid w:val="007933E2"/>
    <w:rsid w:val="00796945"/>
    <w:rsid w:val="00797A26"/>
    <w:rsid w:val="007A1A94"/>
    <w:rsid w:val="007A32EF"/>
    <w:rsid w:val="007A3D60"/>
    <w:rsid w:val="007A4426"/>
    <w:rsid w:val="007A6BA0"/>
    <w:rsid w:val="007A7884"/>
    <w:rsid w:val="007A7CA4"/>
    <w:rsid w:val="007B08C4"/>
    <w:rsid w:val="007B0DE1"/>
    <w:rsid w:val="007B0E3F"/>
    <w:rsid w:val="007B213C"/>
    <w:rsid w:val="007B2CCC"/>
    <w:rsid w:val="007B45F6"/>
    <w:rsid w:val="007B4B86"/>
    <w:rsid w:val="007B511A"/>
    <w:rsid w:val="007B51FB"/>
    <w:rsid w:val="007B60A5"/>
    <w:rsid w:val="007C0954"/>
    <w:rsid w:val="007C12B1"/>
    <w:rsid w:val="007C1550"/>
    <w:rsid w:val="007C18BA"/>
    <w:rsid w:val="007C2B75"/>
    <w:rsid w:val="007C2C3F"/>
    <w:rsid w:val="007C394F"/>
    <w:rsid w:val="007C3D6E"/>
    <w:rsid w:val="007C4089"/>
    <w:rsid w:val="007C52D3"/>
    <w:rsid w:val="007D0CC3"/>
    <w:rsid w:val="007D16CC"/>
    <w:rsid w:val="007D2626"/>
    <w:rsid w:val="007D42DD"/>
    <w:rsid w:val="007D5FC0"/>
    <w:rsid w:val="007D64A5"/>
    <w:rsid w:val="007D6ADC"/>
    <w:rsid w:val="007D70C1"/>
    <w:rsid w:val="007D778C"/>
    <w:rsid w:val="007E08F5"/>
    <w:rsid w:val="007E0D3F"/>
    <w:rsid w:val="007E0F37"/>
    <w:rsid w:val="007E2C52"/>
    <w:rsid w:val="007E58C9"/>
    <w:rsid w:val="007E5C85"/>
    <w:rsid w:val="007E779B"/>
    <w:rsid w:val="007E7BA7"/>
    <w:rsid w:val="007F0ABA"/>
    <w:rsid w:val="007F0FD5"/>
    <w:rsid w:val="007F28CC"/>
    <w:rsid w:val="007F3AC6"/>
    <w:rsid w:val="007F3C52"/>
    <w:rsid w:val="007F72BC"/>
    <w:rsid w:val="007F7BCB"/>
    <w:rsid w:val="007F7D14"/>
    <w:rsid w:val="00802105"/>
    <w:rsid w:val="00803C72"/>
    <w:rsid w:val="00805F86"/>
    <w:rsid w:val="0081052E"/>
    <w:rsid w:val="00810786"/>
    <w:rsid w:val="008116F3"/>
    <w:rsid w:val="008125C6"/>
    <w:rsid w:val="00812938"/>
    <w:rsid w:val="0081299D"/>
    <w:rsid w:val="00812C1E"/>
    <w:rsid w:val="00812D6A"/>
    <w:rsid w:val="00813CA3"/>
    <w:rsid w:val="00813D31"/>
    <w:rsid w:val="00814485"/>
    <w:rsid w:val="008179B7"/>
    <w:rsid w:val="00820CC7"/>
    <w:rsid w:val="00821B1F"/>
    <w:rsid w:val="00824E4A"/>
    <w:rsid w:val="00825F6F"/>
    <w:rsid w:val="00827163"/>
    <w:rsid w:val="008304F0"/>
    <w:rsid w:val="008309C7"/>
    <w:rsid w:val="00831DC4"/>
    <w:rsid w:val="00833183"/>
    <w:rsid w:val="00833ED4"/>
    <w:rsid w:val="00834A64"/>
    <w:rsid w:val="008361DE"/>
    <w:rsid w:val="008368CC"/>
    <w:rsid w:val="00837376"/>
    <w:rsid w:val="00841333"/>
    <w:rsid w:val="0084141E"/>
    <w:rsid w:val="008456BA"/>
    <w:rsid w:val="0084797F"/>
    <w:rsid w:val="00850650"/>
    <w:rsid w:val="00851F60"/>
    <w:rsid w:val="00855041"/>
    <w:rsid w:val="008552F0"/>
    <w:rsid w:val="0085532C"/>
    <w:rsid w:val="008559B3"/>
    <w:rsid w:val="008564AC"/>
    <w:rsid w:val="00857305"/>
    <w:rsid w:val="00857F5B"/>
    <w:rsid w:val="00860116"/>
    <w:rsid w:val="00861BD9"/>
    <w:rsid w:val="0086274B"/>
    <w:rsid w:val="00862DD9"/>
    <w:rsid w:val="008632BB"/>
    <w:rsid w:val="00864DF5"/>
    <w:rsid w:val="00865448"/>
    <w:rsid w:val="00866FFB"/>
    <w:rsid w:val="00867D7D"/>
    <w:rsid w:val="00870736"/>
    <w:rsid w:val="0087112E"/>
    <w:rsid w:val="008711FE"/>
    <w:rsid w:val="0087141B"/>
    <w:rsid w:val="008726D7"/>
    <w:rsid w:val="00872BA8"/>
    <w:rsid w:val="008739E1"/>
    <w:rsid w:val="0087568E"/>
    <w:rsid w:val="00875725"/>
    <w:rsid w:val="00875DED"/>
    <w:rsid w:val="008766FF"/>
    <w:rsid w:val="008768D8"/>
    <w:rsid w:val="00880442"/>
    <w:rsid w:val="00884F01"/>
    <w:rsid w:val="008864A4"/>
    <w:rsid w:val="00887D08"/>
    <w:rsid w:val="00892A95"/>
    <w:rsid w:val="00893B1E"/>
    <w:rsid w:val="00895646"/>
    <w:rsid w:val="00896BDD"/>
    <w:rsid w:val="00897232"/>
    <w:rsid w:val="008A0865"/>
    <w:rsid w:val="008A0AF6"/>
    <w:rsid w:val="008A1B65"/>
    <w:rsid w:val="008A38A5"/>
    <w:rsid w:val="008A3E74"/>
    <w:rsid w:val="008A4BDA"/>
    <w:rsid w:val="008A71FE"/>
    <w:rsid w:val="008A785D"/>
    <w:rsid w:val="008A78B4"/>
    <w:rsid w:val="008A7DDB"/>
    <w:rsid w:val="008B05DE"/>
    <w:rsid w:val="008B0910"/>
    <w:rsid w:val="008B09AD"/>
    <w:rsid w:val="008B1E23"/>
    <w:rsid w:val="008B201D"/>
    <w:rsid w:val="008B36EE"/>
    <w:rsid w:val="008B380B"/>
    <w:rsid w:val="008B3F12"/>
    <w:rsid w:val="008B7699"/>
    <w:rsid w:val="008C023B"/>
    <w:rsid w:val="008C16B9"/>
    <w:rsid w:val="008C1B51"/>
    <w:rsid w:val="008C2B4D"/>
    <w:rsid w:val="008C317F"/>
    <w:rsid w:val="008C3894"/>
    <w:rsid w:val="008C443C"/>
    <w:rsid w:val="008C4787"/>
    <w:rsid w:val="008C56CE"/>
    <w:rsid w:val="008C6D64"/>
    <w:rsid w:val="008C7924"/>
    <w:rsid w:val="008D0A92"/>
    <w:rsid w:val="008D10D0"/>
    <w:rsid w:val="008D1DAE"/>
    <w:rsid w:val="008D3FF0"/>
    <w:rsid w:val="008D4121"/>
    <w:rsid w:val="008D45DE"/>
    <w:rsid w:val="008D48BA"/>
    <w:rsid w:val="008D5A1C"/>
    <w:rsid w:val="008E1E49"/>
    <w:rsid w:val="008E2600"/>
    <w:rsid w:val="008E38CE"/>
    <w:rsid w:val="008E39E4"/>
    <w:rsid w:val="008E45A0"/>
    <w:rsid w:val="008E48FD"/>
    <w:rsid w:val="008E4C4D"/>
    <w:rsid w:val="008E524C"/>
    <w:rsid w:val="008E6D48"/>
    <w:rsid w:val="008F0A01"/>
    <w:rsid w:val="008F25AE"/>
    <w:rsid w:val="00900FA7"/>
    <w:rsid w:val="00901B01"/>
    <w:rsid w:val="009032B9"/>
    <w:rsid w:val="00903819"/>
    <w:rsid w:val="00903A8B"/>
    <w:rsid w:val="0090459C"/>
    <w:rsid w:val="009050F8"/>
    <w:rsid w:val="0090680F"/>
    <w:rsid w:val="00907667"/>
    <w:rsid w:val="0090766C"/>
    <w:rsid w:val="00907B9A"/>
    <w:rsid w:val="009108AA"/>
    <w:rsid w:val="00910D98"/>
    <w:rsid w:val="009120F4"/>
    <w:rsid w:val="00912866"/>
    <w:rsid w:val="00913497"/>
    <w:rsid w:val="00913A5F"/>
    <w:rsid w:val="00913DF9"/>
    <w:rsid w:val="00914CDD"/>
    <w:rsid w:val="00915515"/>
    <w:rsid w:val="00915552"/>
    <w:rsid w:val="00917BC8"/>
    <w:rsid w:val="00920904"/>
    <w:rsid w:val="00920B1F"/>
    <w:rsid w:val="00922BFE"/>
    <w:rsid w:val="009239CD"/>
    <w:rsid w:val="0092440F"/>
    <w:rsid w:val="0092601D"/>
    <w:rsid w:val="009266D7"/>
    <w:rsid w:val="00927047"/>
    <w:rsid w:val="009274D9"/>
    <w:rsid w:val="009302FA"/>
    <w:rsid w:val="00930F9C"/>
    <w:rsid w:val="0093152F"/>
    <w:rsid w:val="00932045"/>
    <w:rsid w:val="009321A5"/>
    <w:rsid w:val="0093291A"/>
    <w:rsid w:val="00932B1E"/>
    <w:rsid w:val="009350B8"/>
    <w:rsid w:val="00935D04"/>
    <w:rsid w:val="00936482"/>
    <w:rsid w:val="0093681C"/>
    <w:rsid w:val="0094068C"/>
    <w:rsid w:val="00940E08"/>
    <w:rsid w:val="009414B9"/>
    <w:rsid w:val="00942442"/>
    <w:rsid w:val="00942629"/>
    <w:rsid w:val="009439FD"/>
    <w:rsid w:val="00943A24"/>
    <w:rsid w:val="00944319"/>
    <w:rsid w:val="0094504C"/>
    <w:rsid w:val="00945E5D"/>
    <w:rsid w:val="00950640"/>
    <w:rsid w:val="00951A4C"/>
    <w:rsid w:val="00952AFE"/>
    <w:rsid w:val="00955E29"/>
    <w:rsid w:val="009575B6"/>
    <w:rsid w:val="00957AEE"/>
    <w:rsid w:val="00960969"/>
    <w:rsid w:val="00961412"/>
    <w:rsid w:val="009616B3"/>
    <w:rsid w:val="00963B4A"/>
    <w:rsid w:val="00963CAA"/>
    <w:rsid w:val="00964173"/>
    <w:rsid w:val="0096630C"/>
    <w:rsid w:val="0096667A"/>
    <w:rsid w:val="009667BA"/>
    <w:rsid w:val="00966F91"/>
    <w:rsid w:val="00970634"/>
    <w:rsid w:val="00970A74"/>
    <w:rsid w:val="00970F56"/>
    <w:rsid w:val="00971C61"/>
    <w:rsid w:val="00971E47"/>
    <w:rsid w:val="009727E1"/>
    <w:rsid w:val="00972EF8"/>
    <w:rsid w:val="0097383E"/>
    <w:rsid w:val="0097499C"/>
    <w:rsid w:val="0097517A"/>
    <w:rsid w:val="00975254"/>
    <w:rsid w:val="009753BA"/>
    <w:rsid w:val="009756FD"/>
    <w:rsid w:val="0097590D"/>
    <w:rsid w:val="009767C0"/>
    <w:rsid w:val="00976858"/>
    <w:rsid w:val="009818C6"/>
    <w:rsid w:val="009835B0"/>
    <w:rsid w:val="0098711B"/>
    <w:rsid w:val="009910A6"/>
    <w:rsid w:val="0099187A"/>
    <w:rsid w:val="009922C0"/>
    <w:rsid w:val="00992859"/>
    <w:rsid w:val="00993737"/>
    <w:rsid w:val="00993B9B"/>
    <w:rsid w:val="009943CE"/>
    <w:rsid w:val="00994B42"/>
    <w:rsid w:val="00994D51"/>
    <w:rsid w:val="00995294"/>
    <w:rsid w:val="0099534A"/>
    <w:rsid w:val="00996DFD"/>
    <w:rsid w:val="009A0776"/>
    <w:rsid w:val="009A2863"/>
    <w:rsid w:val="009A2E29"/>
    <w:rsid w:val="009A3261"/>
    <w:rsid w:val="009A4015"/>
    <w:rsid w:val="009A4408"/>
    <w:rsid w:val="009A76F2"/>
    <w:rsid w:val="009B0FA2"/>
    <w:rsid w:val="009B144C"/>
    <w:rsid w:val="009B1B09"/>
    <w:rsid w:val="009B2909"/>
    <w:rsid w:val="009B352F"/>
    <w:rsid w:val="009B36B9"/>
    <w:rsid w:val="009B38CB"/>
    <w:rsid w:val="009B3CF5"/>
    <w:rsid w:val="009B6816"/>
    <w:rsid w:val="009B6D36"/>
    <w:rsid w:val="009B6F7E"/>
    <w:rsid w:val="009C00E0"/>
    <w:rsid w:val="009C039B"/>
    <w:rsid w:val="009C198E"/>
    <w:rsid w:val="009C1BF4"/>
    <w:rsid w:val="009C1DC6"/>
    <w:rsid w:val="009C23E1"/>
    <w:rsid w:val="009C3682"/>
    <w:rsid w:val="009C399E"/>
    <w:rsid w:val="009C4489"/>
    <w:rsid w:val="009C449F"/>
    <w:rsid w:val="009C59CB"/>
    <w:rsid w:val="009C7CC0"/>
    <w:rsid w:val="009D101D"/>
    <w:rsid w:val="009D1D1A"/>
    <w:rsid w:val="009D2BE6"/>
    <w:rsid w:val="009D2D06"/>
    <w:rsid w:val="009D3647"/>
    <w:rsid w:val="009D44E6"/>
    <w:rsid w:val="009D5DD2"/>
    <w:rsid w:val="009D66F5"/>
    <w:rsid w:val="009D739B"/>
    <w:rsid w:val="009E11AA"/>
    <w:rsid w:val="009E2280"/>
    <w:rsid w:val="009E5A7E"/>
    <w:rsid w:val="009E6D3A"/>
    <w:rsid w:val="009E75DD"/>
    <w:rsid w:val="009E7EAB"/>
    <w:rsid w:val="009F0FC9"/>
    <w:rsid w:val="009F2D87"/>
    <w:rsid w:val="009F2F73"/>
    <w:rsid w:val="009F30EB"/>
    <w:rsid w:val="009F32E1"/>
    <w:rsid w:val="009F3718"/>
    <w:rsid w:val="009F4327"/>
    <w:rsid w:val="009F45EF"/>
    <w:rsid w:val="009F4973"/>
    <w:rsid w:val="00A0102F"/>
    <w:rsid w:val="00A02AAE"/>
    <w:rsid w:val="00A056E5"/>
    <w:rsid w:val="00A07951"/>
    <w:rsid w:val="00A07B28"/>
    <w:rsid w:val="00A1033D"/>
    <w:rsid w:val="00A10B82"/>
    <w:rsid w:val="00A11822"/>
    <w:rsid w:val="00A14BE9"/>
    <w:rsid w:val="00A14E02"/>
    <w:rsid w:val="00A1568E"/>
    <w:rsid w:val="00A21C46"/>
    <w:rsid w:val="00A224E2"/>
    <w:rsid w:val="00A22C47"/>
    <w:rsid w:val="00A23382"/>
    <w:rsid w:val="00A237F5"/>
    <w:rsid w:val="00A252A3"/>
    <w:rsid w:val="00A2556B"/>
    <w:rsid w:val="00A25919"/>
    <w:rsid w:val="00A25C5B"/>
    <w:rsid w:val="00A25F48"/>
    <w:rsid w:val="00A27A10"/>
    <w:rsid w:val="00A30306"/>
    <w:rsid w:val="00A3045E"/>
    <w:rsid w:val="00A310F4"/>
    <w:rsid w:val="00A337A3"/>
    <w:rsid w:val="00A33C89"/>
    <w:rsid w:val="00A34C72"/>
    <w:rsid w:val="00A35AC0"/>
    <w:rsid w:val="00A37468"/>
    <w:rsid w:val="00A403FF"/>
    <w:rsid w:val="00A412B0"/>
    <w:rsid w:val="00A42348"/>
    <w:rsid w:val="00A432A3"/>
    <w:rsid w:val="00A43672"/>
    <w:rsid w:val="00A441C4"/>
    <w:rsid w:val="00A44504"/>
    <w:rsid w:val="00A44E97"/>
    <w:rsid w:val="00A453BD"/>
    <w:rsid w:val="00A46CA4"/>
    <w:rsid w:val="00A478EC"/>
    <w:rsid w:val="00A515D7"/>
    <w:rsid w:val="00A51B62"/>
    <w:rsid w:val="00A51DD9"/>
    <w:rsid w:val="00A52ACD"/>
    <w:rsid w:val="00A52D48"/>
    <w:rsid w:val="00A536E3"/>
    <w:rsid w:val="00A5541E"/>
    <w:rsid w:val="00A555F0"/>
    <w:rsid w:val="00A55ACF"/>
    <w:rsid w:val="00A56418"/>
    <w:rsid w:val="00A576C1"/>
    <w:rsid w:val="00A57E2D"/>
    <w:rsid w:val="00A605F3"/>
    <w:rsid w:val="00A60BD3"/>
    <w:rsid w:val="00A62608"/>
    <w:rsid w:val="00A627C1"/>
    <w:rsid w:val="00A64504"/>
    <w:rsid w:val="00A66729"/>
    <w:rsid w:val="00A6787E"/>
    <w:rsid w:val="00A72DD5"/>
    <w:rsid w:val="00A75066"/>
    <w:rsid w:val="00A77F59"/>
    <w:rsid w:val="00A801E4"/>
    <w:rsid w:val="00A81C38"/>
    <w:rsid w:val="00A82072"/>
    <w:rsid w:val="00A83928"/>
    <w:rsid w:val="00A85004"/>
    <w:rsid w:val="00A8531C"/>
    <w:rsid w:val="00A8608D"/>
    <w:rsid w:val="00A863A1"/>
    <w:rsid w:val="00A8641B"/>
    <w:rsid w:val="00A9000B"/>
    <w:rsid w:val="00A91086"/>
    <w:rsid w:val="00A9119C"/>
    <w:rsid w:val="00A917A3"/>
    <w:rsid w:val="00A94035"/>
    <w:rsid w:val="00A942EB"/>
    <w:rsid w:val="00A94A7D"/>
    <w:rsid w:val="00A94DE6"/>
    <w:rsid w:val="00A95073"/>
    <w:rsid w:val="00A95FBD"/>
    <w:rsid w:val="00A97487"/>
    <w:rsid w:val="00A977E4"/>
    <w:rsid w:val="00AA043C"/>
    <w:rsid w:val="00AA173E"/>
    <w:rsid w:val="00AA23D0"/>
    <w:rsid w:val="00AA313A"/>
    <w:rsid w:val="00AA3D05"/>
    <w:rsid w:val="00AA48EC"/>
    <w:rsid w:val="00AA4F72"/>
    <w:rsid w:val="00AA57E1"/>
    <w:rsid w:val="00AA5EF1"/>
    <w:rsid w:val="00AA6E20"/>
    <w:rsid w:val="00AB035C"/>
    <w:rsid w:val="00AB0459"/>
    <w:rsid w:val="00AB0A4B"/>
    <w:rsid w:val="00AB10D9"/>
    <w:rsid w:val="00AB13E9"/>
    <w:rsid w:val="00AB2055"/>
    <w:rsid w:val="00AB3C17"/>
    <w:rsid w:val="00AB41DD"/>
    <w:rsid w:val="00AB5667"/>
    <w:rsid w:val="00AB6845"/>
    <w:rsid w:val="00AB684E"/>
    <w:rsid w:val="00AB75E3"/>
    <w:rsid w:val="00AB7E0D"/>
    <w:rsid w:val="00AC014D"/>
    <w:rsid w:val="00AC0520"/>
    <w:rsid w:val="00AC09F9"/>
    <w:rsid w:val="00AC0EE4"/>
    <w:rsid w:val="00AC3052"/>
    <w:rsid w:val="00AC3A35"/>
    <w:rsid w:val="00AC4376"/>
    <w:rsid w:val="00AC4727"/>
    <w:rsid w:val="00AC53B1"/>
    <w:rsid w:val="00AC7AB1"/>
    <w:rsid w:val="00AD0718"/>
    <w:rsid w:val="00AD1252"/>
    <w:rsid w:val="00AD5113"/>
    <w:rsid w:val="00AD5856"/>
    <w:rsid w:val="00AD68D2"/>
    <w:rsid w:val="00AD7A91"/>
    <w:rsid w:val="00AE0447"/>
    <w:rsid w:val="00AE08FC"/>
    <w:rsid w:val="00AE10FD"/>
    <w:rsid w:val="00AE1E81"/>
    <w:rsid w:val="00AE4263"/>
    <w:rsid w:val="00AE57EC"/>
    <w:rsid w:val="00AE629A"/>
    <w:rsid w:val="00AE6856"/>
    <w:rsid w:val="00AE6934"/>
    <w:rsid w:val="00AF166E"/>
    <w:rsid w:val="00AF177F"/>
    <w:rsid w:val="00AF1951"/>
    <w:rsid w:val="00AF1CDD"/>
    <w:rsid w:val="00AF255A"/>
    <w:rsid w:val="00AF2CE9"/>
    <w:rsid w:val="00AF404A"/>
    <w:rsid w:val="00AF4345"/>
    <w:rsid w:val="00AF448B"/>
    <w:rsid w:val="00AF56D5"/>
    <w:rsid w:val="00AF6D13"/>
    <w:rsid w:val="00B013BD"/>
    <w:rsid w:val="00B02128"/>
    <w:rsid w:val="00B02264"/>
    <w:rsid w:val="00B0236B"/>
    <w:rsid w:val="00B02849"/>
    <w:rsid w:val="00B02BBB"/>
    <w:rsid w:val="00B042EA"/>
    <w:rsid w:val="00B04C5F"/>
    <w:rsid w:val="00B04DF8"/>
    <w:rsid w:val="00B053B4"/>
    <w:rsid w:val="00B06075"/>
    <w:rsid w:val="00B064D7"/>
    <w:rsid w:val="00B06AAF"/>
    <w:rsid w:val="00B0771D"/>
    <w:rsid w:val="00B10865"/>
    <w:rsid w:val="00B11701"/>
    <w:rsid w:val="00B11C65"/>
    <w:rsid w:val="00B1401A"/>
    <w:rsid w:val="00B147AF"/>
    <w:rsid w:val="00B14F1B"/>
    <w:rsid w:val="00B15C8A"/>
    <w:rsid w:val="00B17F97"/>
    <w:rsid w:val="00B2002B"/>
    <w:rsid w:val="00B2041F"/>
    <w:rsid w:val="00B21D9A"/>
    <w:rsid w:val="00B2245C"/>
    <w:rsid w:val="00B24B64"/>
    <w:rsid w:val="00B262AB"/>
    <w:rsid w:val="00B268F5"/>
    <w:rsid w:val="00B26FC0"/>
    <w:rsid w:val="00B27231"/>
    <w:rsid w:val="00B308A5"/>
    <w:rsid w:val="00B317BF"/>
    <w:rsid w:val="00B322D9"/>
    <w:rsid w:val="00B32CC3"/>
    <w:rsid w:val="00B33F0F"/>
    <w:rsid w:val="00B347C5"/>
    <w:rsid w:val="00B349E3"/>
    <w:rsid w:val="00B35996"/>
    <w:rsid w:val="00B36A55"/>
    <w:rsid w:val="00B36E40"/>
    <w:rsid w:val="00B37006"/>
    <w:rsid w:val="00B43936"/>
    <w:rsid w:val="00B43CA6"/>
    <w:rsid w:val="00B45F4D"/>
    <w:rsid w:val="00B465DC"/>
    <w:rsid w:val="00B501AE"/>
    <w:rsid w:val="00B50305"/>
    <w:rsid w:val="00B505B6"/>
    <w:rsid w:val="00B53020"/>
    <w:rsid w:val="00B53349"/>
    <w:rsid w:val="00B53B6A"/>
    <w:rsid w:val="00B546F1"/>
    <w:rsid w:val="00B547A4"/>
    <w:rsid w:val="00B54D31"/>
    <w:rsid w:val="00B55C36"/>
    <w:rsid w:val="00B56A72"/>
    <w:rsid w:val="00B603EE"/>
    <w:rsid w:val="00B62184"/>
    <w:rsid w:val="00B621B5"/>
    <w:rsid w:val="00B64271"/>
    <w:rsid w:val="00B65AFF"/>
    <w:rsid w:val="00B67547"/>
    <w:rsid w:val="00B70771"/>
    <w:rsid w:val="00B75930"/>
    <w:rsid w:val="00B76E36"/>
    <w:rsid w:val="00B77EB7"/>
    <w:rsid w:val="00B84242"/>
    <w:rsid w:val="00B842FD"/>
    <w:rsid w:val="00B846C4"/>
    <w:rsid w:val="00B85F28"/>
    <w:rsid w:val="00B8625A"/>
    <w:rsid w:val="00B90776"/>
    <w:rsid w:val="00B91CCF"/>
    <w:rsid w:val="00B93370"/>
    <w:rsid w:val="00B93A48"/>
    <w:rsid w:val="00B93D17"/>
    <w:rsid w:val="00B94552"/>
    <w:rsid w:val="00B94ED1"/>
    <w:rsid w:val="00B95CCD"/>
    <w:rsid w:val="00B97BDF"/>
    <w:rsid w:val="00B97C5D"/>
    <w:rsid w:val="00BA2171"/>
    <w:rsid w:val="00BA5B79"/>
    <w:rsid w:val="00BA706B"/>
    <w:rsid w:val="00BB114E"/>
    <w:rsid w:val="00BB2DAE"/>
    <w:rsid w:val="00BB39F8"/>
    <w:rsid w:val="00BB456B"/>
    <w:rsid w:val="00BB45D8"/>
    <w:rsid w:val="00BC0E2F"/>
    <w:rsid w:val="00BC16BA"/>
    <w:rsid w:val="00BC1C13"/>
    <w:rsid w:val="00BC2AD0"/>
    <w:rsid w:val="00BC3691"/>
    <w:rsid w:val="00BC3C5B"/>
    <w:rsid w:val="00BC4ED4"/>
    <w:rsid w:val="00BC508F"/>
    <w:rsid w:val="00BD221E"/>
    <w:rsid w:val="00BD248D"/>
    <w:rsid w:val="00BD2A3E"/>
    <w:rsid w:val="00BD37CC"/>
    <w:rsid w:val="00BD3BE2"/>
    <w:rsid w:val="00BD3E91"/>
    <w:rsid w:val="00BD5285"/>
    <w:rsid w:val="00BD5ED7"/>
    <w:rsid w:val="00BD6DBB"/>
    <w:rsid w:val="00BD7050"/>
    <w:rsid w:val="00BD7BEB"/>
    <w:rsid w:val="00BE0360"/>
    <w:rsid w:val="00BE05E7"/>
    <w:rsid w:val="00BE2059"/>
    <w:rsid w:val="00BE2E51"/>
    <w:rsid w:val="00BE2EAD"/>
    <w:rsid w:val="00BE2FCA"/>
    <w:rsid w:val="00BE3AB3"/>
    <w:rsid w:val="00BE3C92"/>
    <w:rsid w:val="00BE445E"/>
    <w:rsid w:val="00BE4BAA"/>
    <w:rsid w:val="00BE61D4"/>
    <w:rsid w:val="00BE73DA"/>
    <w:rsid w:val="00BF1576"/>
    <w:rsid w:val="00BF1790"/>
    <w:rsid w:val="00BF303F"/>
    <w:rsid w:val="00BF32A8"/>
    <w:rsid w:val="00BF498B"/>
    <w:rsid w:val="00BF4ABD"/>
    <w:rsid w:val="00BF6559"/>
    <w:rsid w:val="00BF679E"/>
    <w:rsid w:val="00C00376"/>
    <w:rsid w:val="00C006EB"/>
    <w:rsid w:val="00C01065"/>
    <w:rsid w:val="00C0138F"/>
    <w:rsid w:val="00C01BDA"/>
    <w:rsid w:val="00C03EA5"/>
    <w:rsid w:val="00C053E7"/>
    <w:rsid w:val="00C0688B"/>
    <w:rsid w:val="00C1056B"/>
    <w:rsid w:val="00C10677"/>
    <w:rsid w:val="00C11124"/>
    <w:rsid w:val="00C11205"/>
    <w:rsid w:val="00C12E0D"/>
    <w:rsid w:val="00C146D2"/>
    <w:rsid w:val="00C152A9"/>
    <w:rsid w:val="00C1594F"/>
    <w:rsid w:val="00C1732A"/>
    <w:rsid w:val="00C206C3"/>
    <w:rsid w:val="00C20976"/>
    <w:rsid w:val="00C2116E"/>
    <w:rsid w:val="00C211E4"/>
    <w:rsid w:val="00C21742"/>
    <w:rsid w:val="00C24888"/>
    <w:rsid w:val="00C2556C"/>
    <w:rsid w:val="00C25823"/>
    <w:rsid w:val="00C26013"/>
    <w:rsid w:val="00C30D47"/>
    <w:rsid w:val="00C310C2"/>
    <w:rsid w:val="00C32688"/>
    <w:rsid w:val="00C36519"/>
    <w:rsid w:val="00C37D21"/>
    <w:rsid w:val="00C400CD"/>
    <w:rsid w:val="00C4317E"/>
    <w:rsid w:val="00C43D1F"/>
    <w:rsid w:val="00C45DD2"/>
    <w:rsid w:val="00C45FEE"/>
    <w:rsid w:val="00C46B68"/>
    <w:rsid w:val="00C52391"/>
    <w:rsid w:val="00C52E17"/>
    <w:rsid w:val="00C53829"/>
    <w:rsid w:val="00C55AE2"/>
    <w:rsid w:val="00C561DE"/>
    <w:rsid w:val="00C56394"/>
    <w:rsid w:val="00C56432"/>
    <w:rsid w:val="00C56EC3"/>
    <w:rsid w:val="00C57653"/>
    <w:rsid w:val="00C6045D"/>
    <w:rsid w:val="00C60D50"/>
    <w:rsid w:val="00C62114"/>
    <w:rsid w:val="00C64504"/>
    <w:rsid w:val="00C64A5D"/>
    <w:rsid w:val="00C64DEB"/>
    <w:rsid w:val="00C65786"/>
    <w:rsid w:val="00C665FC"/>
    <w:rsid w:val="00C66CC9"/>
    <w:rsid w:val="00C702F4"/>
    <w:rsid w:val="00C71EDE"/>
    <w:rsid w:val="00C72123"/>
    <w:rsid w:val="00C727C5"/>
    <w:rsid w:val="00C72C67"/>
    <w:rsid w:val="00C74128"/>
    <w:rsid w:val="00C75CBE"/>
    <w:rsid w:val="00C75FB4"/>
    <w:rsid w:val="00C769F9"/>
    <w:rsid w:val="00C77223"/>
    <w:rsid w:val="00C8061E"/>
    <w:rsid w:val="00C80D0D"/>
    <w:rsid w:val="00C80F44"/>
    <w:rsid w:val="00C80F86"/>
    <w:rsid w:val="00C81245"/>
    <w:rsid w:val="00C821E1"/>
    <w:rsid w:val="00C82FD5"/>
    <w:rsid w:val="00C83DF5"/>
    <w:rsid w:val="00C84188"/>
    <w:rsid w:val="00C842D8"/>
    <w:rsid w:val="00C84FCE"/>
    <w:rsid w:val="00C84FD2"/>
    <w:rsid w:val="00C868F6"/>
    <w:rsid w:val="00C905A1"/>
    <w:rsid w:val="00C9168D"/>
    <w:rsid w:val="00C91B2D"/>
    <w:rsid w:val="00C95615"/>
    <w:rsid w:val="00C95859"/>
    <w:rsid w:val="00C9674E"/>
    <w:rsid w:val="00C96C31"/>
    <w:rsid w:val="00C97EFA"/>
    <w:rsid w:val="00CA04F0"/>
    <w:rsid w:val="00CA060C"/>
    <w:rsid w:val="00CA0E68"/>
    <w:rsid w:val="00CA1261"/>
    <w:rsid w:val="00CA1B65"/>
    <w:rsid w:val="00CA1F1A"/>
    <w:rsid w:val="00CA304C"/>
    <w:rsid w:val="00CA486F"/>
    <w:rsid w:val="00CA7ADB"/>
    <w:rsid w:val="00CB039D"/>
    <w:rsid w:val="00CB0D17"/>
    <w:rsid w:val="00CB0EDE"/>
    <w:rsid w:val="00CB1097"/>
    <w:rsid w:val="00CB1483"/>
    <w:rsid w:val="00CB387A"/>
    <w:rsid w:val="00CB455B"/>
    <w:rsid w:val="00CB48AE"/>
    <w:rsid w:val="00CB4E89"/>
    <w:rsid w:val="00CB6174"/>
    <w:rsid w:val="00CB6EE4"/>
    <w:rsid w:val="00CB747C"/>
    <w:rsid w:val="00CC0687"/>
    <w:rsid w:val="00CC0E45"/>
    <w:rsid w:val="00CC1C30"/>
    <w:rsid w:val="00CC41C8"/>
    <w:rsid w:val="00CC46F6"/>
    <w:rsid w:val="00CC4F62"/>
    <w:rsid w:val="00CC553D"/>
    <w:rsid w:val="00CC5B79"/>
    <w:rsid w:val="00CC5DC0"/>
    <w:rsid w:val="00CC684D"/>
    <w:rsid w:val="00CC7114"/>
    <w:rsid w:val="00CD13F0"/>
    <w:rsid w:val="00CD1634"/>
    <w:rsid w:val="00CD2EE8"/>
    <w:rsid w:val="00CD5A04"/>
    <w:rsid w:val="00CD5AF8"/>
    <w:rsid w:val="00CD663B"/>
    <w:rsid w:val="00CD73A6"/>
    <w:rsid w:val="00CD7E37"/>
    <w:rsid w:val="00CE1AF5"/>
    <w:rsid w:val="00CE1C22"/>
    <w:rsid w:val="00CE441D"/>
    <w:rsid w:val="00CE5685"/>
    <w:rsid w:val="00CE6823"/>
    <w:rsid w:val="00CE69D1"/>
    <w:rsid w:val="00CF206F"/>
    <w:rsid w:val="00CF25FA"/>
    <w:rsid w:val="00CF3542"/>
    <w:rsid w:val="00CF3A0D"/>
    <w:rsid w:val="00CF5C49"/>
    <w:rsid w:val="00CF5E2F"/>
    <w:rsid w:val="00CF661F"/>
    <w:rsid w:val="00CF726F"/>
    <w:rsid w:val="00CF78B7"/>
    <w:rsid w:val="00D0003B"/>
    <w:rsid w:val="00D03FC6"/>
    <w:rsid w:val="00D055F4"/>
    <w:rsid w:val="00D07BA1"/>
    <w:rsid w:val="00D10DA2"/>
    <w:rsid w:val="00D112A7"/>
    <w:rsid w:val="00D11D82"/>
    <w:rsid w:val="00D12CD6"/>
    <w:rsid w:val="00D1331C"/>
    <w:rsid w:val="00D13529"/>
    <w:rsid w:val="00D13DE5"/>
    <w:rsid w:val="00D15354"/>
    <w:rsid w:val="00D15455"/>
    <w:rsid w:val="00D210F5"/>
    <w:rsid w:val="00D22786"/>
    <w:rsid w:val="00D22895"/>
    <w:rsid w:val="00D22C1B"/>
    <w:rsid w:val="00D245F0"/>
    <w:rsid w:val="00D247E8"/>
    <w:rsid w:val="00D24962"/>
    <w:rsid w:val="00D253CA"/>
    <w:rsid w:val="00D25C6B"/>
    <w:rsid w:val="00D309CF"/>
    <w:rsid w:val="00D316E5"/>
    <w:rsid w:val="00D3275E"/>
    <w:rsid w:val="00D330AF"/>
    <w:rsid w:val="00D34B06"/>
    <w:rsid w:val="00D36598"/>
    <w:rsid w:val="00D41E52"/>
    <w:rsid w:val="00D428EE"/>
    <w:rsid w:val="00D433ED"/>
    <w:rsid w:val="00D46460"/>
    <w:rsid w:val="00D52544"/>
    <w:rsid w:val="00D52B51"/>
    <w:rsid w:val="00D54BB5"/>
    <w:rsid w:val="00D54F47"/>
    <w:rsid w:val="00D55187"/>
    <w:rsid w:val="00D5577D"/>
    <w:rsid w:val="00D560F2"/>
    <w:rsid w:val="00D576B7"/>
    <w:rsid w:val="00D61670"/>
    <w:rsid w:val="00D6213B"/>
    <w:rsid w:val="00D634E3"/>
    <w:rsid w:val="00D64D67"/>
    <w:rsid w:val="00D651ED"/>
    <w:rsid w:val="00D65CD5"/>
    <w:rsid w:val="00D66F41"/>
    <w:rsid w:val="00D6721E"/>
    <w:rsid w:val="00D6798A"/>
    <w:rsid w:val="00D722AE"/>
    <w:rsid w:val="00D726B2"/>
    <w:rsid w:val="00D72732"/>
    <w:rsid w:val="00D750D7"/>
    <w:rsid w:val="00D755B1"/>
    <w:rsid w:val="00D75C3C"/>
    <w:rsid w:val="00D75EE0"/>
    <w:rsid w:val="00D770C8"/>
    <w:rsid w:val="00D77818"/>
    <w:rsid w:val="00D8044F"/>
    <w:rsid w:val="00D86937"/>
    <w:rsid w:val="00D86E92"/>
    <w:rsid w:val="00D87A64"/>
    <w:rsid w:val="00D907F8"/>
    <w:rsid w:val="00D91E20"/>
    <w:rsid w:val="00D92004"/>
    <w:rsid w:val="00D923C9"/>
    <w:rsid w:val="00D9259E"/>
    <w:rsid w:val="00D92B0B"/>
    <w:rsid w:val="00D94643"/>
    <w:rsid w:val="00D957D3"/>
    <w:rsid w:val="00DA0136"/>
    <w:rsid w:val="00DA153F"/>
    <w:rsid w:val="00DA1CBB"/>
    <w:rsid w:val="00DA2E42"/>
    <w:rsid w:val="00DA319F"/>
    <w:rsid w:val="00DA471C"/>
    <w:rsid w:val="00DA4BC4"/>
    <w:rsid w:val="00DA5089"/>
    <w:rsid w:val="00DA67E8"/>
    <w:rsid w:val="00DA6C76"/>
    <w:rsid w:val="00DA7B44"/>
    <w:rsid w:val="00DB1299"/>
    <w:rsid w:val="00DB3827"/>
    <w:rsid w:val="00DB3F5A"/>
    <w:rsid w:val="00DB4803"/>
    <w:rsid w:val="00DB5AA1"/>
    <w:rsid w:val="00DB6CB6"/>
    <w:rsid w:val="00DB6D67"/>
    <w:rsid w:val="00DC0232"/>
    <w:rsid w:val="00DC0944"/>
    <w:rsid w:val="00DC1425"/>
    <w:rsid w:val="00DC170B"/>
    <w:rsid w:val="00DC1D9C"/>
    <w:rsid w:val="00DC274B"/>
    <w:rsid w:val="00DC68B0"/>
    <w:rsid w:val="00DD0BD1"/>
    <w:rsid w:val="00DD0DE2"/>
    <w:rsid w:val="00DD13AF"/>
    <w:rsid w:val="00DD2405"/>
    <w:rsid w:val="00DD30FB"/>
    <w:rsid w:val="00DD466E"/>
    <w:rsid w:val="00DE5616"/>
    <w:rsid w:val="00DE58E1"/>
    <w:rsid w:val="00DE5ABA"/>
    <w:rsid w:val="00DE7C07"/>
    <w:rsid w:val="00DE7E0A"/>
    <w:rsid w:val="00DF0B3A"/>
    <w:rsid w:val="00DF3C98"/>
    <w:rsid w:val="00DF48B0"/>
    <w:rsid w:val="00DF6DD6"/>
    <w:rsid w:val="00E005B1"/>
    <w:rsid w:val="00E016FF"/>
    <w:rsid w:val="00E019A5"/>
    <w:rsid w:val="00E032D9"/>
    <w:rsid w:val="00E03FEE"/>
    <w:rsid w:val="00E04D83"/>
    <w:rsid w:val="00E04DBA"/>
    <w:rsid w:val="00E05009"/>
    <w:rsid w:val="00E0571E"/>
    <w:rsid w:val="00E0572E"/>
    <w:rsid w:val="00E06542"/>
    <w:rsid w:val="00E07E05"/>
    <w:rsid w:val="00E100E4"/>
    <w:rsid w:val="00E10C04"/>
    <w:rsid w:val="00E11171"/>
    <w:rsid w:val="00E1163A"/>
    <w:rsid w:val="00E11A9A"/>
    <w:rsid w:val="00E121A9"/>
    <w:rsid w:val="00E12260"/>
    <w:rsid w:val="00E12574"/>
    <w:rsid w:val="00E131EC"/>
    <w:rsid w:val="00E14799"/>
    <w:rsid w:val="00E14CAF"/>
    <w:rsid w:val="00E15696"/>
    <w:rsid w:val="00E15728"/>
    <w:rsid w:val="00E1629C"/>
    <w:rsid w:val="00E1691A"/>
    <w:rsid w:val="00E16967"/>
    <w:rsid w:val="00E171C5"/>
    <w:rsid w:val="00E1735F"/>
    <w:rsid w:val="00E231EE"/>
    <w:rsid w:val="00E24D24"/>
    <w:rsid w:val="00E24DAF"/>
    <w:rsid w:val="00E25AF3"/>
    <w:rsid w:val="00E25C48"/>
    <w:rsid w:val="00E273A2"/>
    <w:rsid w:val="00E279D9"/>
    <w:rsid w:val="00E27C93"/>
    <w:rsid w:val="00E30E48"/>
    <w:rsid w:val="00E31F39"/>
    <w:rsid w:val="00E324E8"/>
    <w:rsid w:val="00E327B7"/>
    <w:rsid w:val="00E330E9"/>
    <w:rsid w:val="00E332D0"/>
    <w:rsid w:val="00E335BC"/>
    <w:rsid w:val="00E34DE2"/>
    <w:rsid w:val="00E35264"/>
    <w:rsid w:val="00E352E5"/>
    <w:rsid w:val="00E368CE"/>
    <w:rsid w:val="00E36A43"/>
    <w:rsid w:val="00E419F7"/>
    <w:rsid w:val="00E41B3B"/>
    <w:rsid w:val="00E41C90"/>
    <w:rsid w:val="00E44E19"/>
    <w:rsid w:val="00E45704"/>
    <w:rsid w:val="00E46C37"/>
    <w:rsid w:val="00E47846"/>
    <w:rsid w:val="00E47C22"/>
    <w:rsid w:val="00E5037D"/>
    <w:rsid w:val="00E50FDE"/>
    <w:rsid w:val="00E51096"/>
    <w:rsid w:val="00E519EB"/>
    <w:rsid w:val="00E5236F"/>
    <w:rsid w:val="00E52C6D"/>
    <w:rsid w:val="00E52D5B"/>
    <w:rsid w:val="00E534A0"/>
    <w:rsid w:val="00E54294"/>
    <w:rsid w:val="00E55EA6"/>
    <w:rsid w:val="00E577E2"/>
    <w:rsid w:val="00E57D75"/>
    <w:rsid w:val="00E57FC2"/>
    <w:rsid w:val="00E6488B"/>
    <w:rsid w:val="00E65907"/>
    <w:rsid w:val="00E66561"/>
    <w:rsid w:val="00E67389"/>
    <w:rsid w:val="00E715DD"/>
    <w:rsid w:val="00E72066"/>
    <w:rsid w:val="00E72D3A"/>
    <w:rsid w:val="00E7308B"/>
    <w:rsid w:val="00E731FD"/>
    <w:rsid w:val="00E73AD2"/>
    <w:rsid w:val="00E7406D"/>
    <w:rsid w:val="00E740F2"/>
    <w:rsid w:val="00E74358"/>
    <w:rsid w:val="00E74916"/>
    <w:rsid w:val="00E7638A"/>
    <w:rsid w:val="00E76AD3"/>
    <w:rsid w:val="00E81ACF"/>
    <w:rsid w:val="00E81D46"/>
    <w:rsid w:val="00E82A09"/>
    <w:rsid w:val="00E84039"/>
    <w:rsid w:val="00E843B0"/>
    <w:rsid w:val="00E84556"/>
    <w:rsid w:val="00E866E0"/>
    <w:rsid w:val="00E87404"/>
    <w:rsid w:val="00E87452"/>
    <w:rsid w:val="00E91E1F"/>
    <w:rsid w:val="00E923E4"/>
    <w:rsid w:val="00E926EA"/>
    <w:rsid w:val="00E94C3E"/>
    <w:rsid w:val="00E96186"/>
    <w:rsid w:val="00E9669C"/>
    <w:rsid w:val="00EA0C33"/>
    <w:rsid w:val="00EA1AA9"/>
    <w:rsid w:val="00EA2670"/>
    <w:rsid w:val="00EA2D5C"/>
    <w:rsid w:val="00EA3D24"/>
    <w:rsid w:val="00EA44E7"/>
    <w:rsid w:val="00EA4EC3"/>
    <w:rsid w:val="00EA5181"/>
    <w:rsid w:val="00EA5695"/>
    <w:rsid w:val="00EA5E63"/>
    <w:rsid w:val="00EB0459"/>
    <w:rsid w:val="00EB1026"/>
    <w:rsid w:val="00EB10A4"/>
    <w:rsid w:val="00EB3439"/>
    <w:rsid w:val="00EB3453"/>
    <w:rsid w:val="00EB4F9C"/>
    <w:rsid w:val="00EB6940"/>
    <w:rsid w:val="00EB75A1"/>
    <w:rsid w:val="00EB7E20"/>
    <w:rsid w:val="00EC0DA2"/>
    <w:rsid w:val="00EC3159"/>
    <w:rsid w:val="00EC3AB7"/>
    <w:rsid w:val="00EC760A"/>
    <w:rsid w:val="00EC7722"/>
    <w:rsid w:val="00ED032B"/>
    <w:rsid w:val="00ED2489"/>
    <w:rsid w:val="00ED6D5E"/>
    <w:rsid w:val="00ED717E"/>
    <w:rsid w:val="00EE0894"/>
    <w:rsid w:val="00EE4AF6"/>
    <w:rsid w:val="00EE4C03"/>
    <w:rsid w:val="00EE4D38"/>
    <w:rsid w:val="00EE6D88"/>
    <w:rsid w:val="00EE6E6A"/>
    <w:rsid w:val="00EE75A4"/>
    <w:rsid w:val="00EF0FE4"/>
    <w:rsid w:val="00EF1150"/>
    <w:rsid w:val="00EF2639"/>
    <w:rsid w:val="00EF5D73"/>
    <w:rsid w:val="00EF62CE"/>
    <w:rsid w:val="00EF790A"/>
    <w:rsid w:val="00F0030A"/>
    <w:rsid w:val="00F02BA4"/>
    <w:rsid w:val="00F02F73"/>
    <w:rsid w:val="00F03680"/>
    <w:rsid w:val="00F0371E"/>
    <w:rsid w:val="00F03E5C"/>
    <w:rsid w:val="00F04552"/>
    <w:rsid w:val="00F061EA"/>
    <w:rsid w:val="00F07055"/>
    <w:rsid w:val="00F10C0B"/>
    <w:rsid w:val="00F11FFA"/>
    <w:rsid w:val="00F12264"/>
    <w:rsid w:val="00F1241C"/>
    <w:rsid w:val="00F13016"/>
    <w:rsid w:val="00F133C0"/>
    <w:rsid w:val="00F13AC0"/>
    <w:rsid w:val="00F13ECB"/>
    <w:rsid w:val="00F14AA4"/>
    <w:rsid w:val="00F2183E"/>
    <w:rsid w:val="00F2264F"/>
    <w:rsid w:val="00F23E6A"/>
    <w:rsid w:val="00F248DC"/>
    <w:rsid w:val="00F25B1B"/>
    <w:rsid w:val="00F26983"/>
    <w:rsid w:val="00F26C37"/>
    <w:rsid w:val="00F30438"/>
    <w:rsid w:val="00F31404"/>
    <w:rsid w:val="00F339A8"/>
    <w:rsid w:val="00F33EE0"/>
    <w:rsid w:val="00F3646C"/>
    <w:rsid w:val="00F36D90"/>
    <w:rsid w:val="00F40778"/>
    <w:rsid w:val="00F4123B"/>
    <w:rsid w:val="00F430A4"/>
    <w:rsid w:val="00F43901"/>
    <w:rsid w:val="00F444B2"/>
    <w:rsid w:val="00F45588"/>
    <w:rsid w:val="00F455B2"/>
    <w:rsid w:val="00F45803"/>
    <w:rsid w:val="00F45B5D"/>
    <w:rsid w:val="00F45FC2"/>
    <w:rsid w:val="00F46F77"/>
    <w:rsid w:val="00F474AA"/>
    <w:rsid w:val="00F55EDF"/>
    <w:rsid w:val="00F5662F"/>
    <w:rsid w:val="00F56B79"/>
    <w:rsid w:val="00F578CA"/>
    <w:rsid w:val="00F607A7"/>
    <w:rsid w:val="00F612ED"/>
    <w:rsid w:val="00F61AFF"/>
    <w:rsid w:val="00F635CD"/>
    <w:rsid w:val="00F6365B"/>
    <w:rsid w:val="00F65759"/>
    <w:rsid w:val="00F668DE"/>
    <w:rsid w:val="00F70875"/>
    <w:rsid w:val="00F70F21"/>
    <w:rsid w:val="00F70F42"/>
    <w:rsid w:val="00F7153F"/>
    <w:rsid w:val="00F71F3F"/>
    <w:rsid w:val="00F7307B"/>
    <w:rsid w:val="00F732F3"/>
    <w:rsid w:val="00F75833"/>
    <w:rsid w:val="00F77952"/>
    <w:rsid w:val="00F81532"/>
    <w:rsid w:val="00F823B2"/>
    <w:rsid w:val="00F82440"/>
    <w:rsid w:val="00F836F0"/>
    <w:rsid w:val="00F843DD"/>
    <w:rsid w:val="00F85373"/>
    <w:rsid w:val="00F86442"/>
    <w:rsid w:val="00F875B5"/>
    <w:rsid w:val="00F87CAA"/>
    <w:rsid w:val="00F9154F"/>
    <w:rsid w:val="00F91805"/>
    <w:rsid w:val="00F927E0"/>
    <w:rsid w:val="00F93155"/>
    <w:rsid w:val="00F93773"/>
    <w:rsid w:val="00F93CB7"/>
    <w:rsid w:val="00F944BF"/>
    <w:rsid w:val="00F94C20"/>
    <w:rsid w:val="00F94F87"/>
    <w:rsid w:val="00F961A9"/>
    <w:rsid w:val="00F96E08"/>
    <w:rsid w:val="00F972E3"/>
    <w:rsid w:val="00F97F81"/>
    <w:rsid w:val="00FA03D4"/>
    <w:rsid w:val="00FA13EC"/>
    <w:rsid w:val="00FA19F0"/>
    <w:rsid w:val="00FA1B53"/>
    <w:rsid w:val="00FA24BD"/>
    <w:rsid w:val="00FA5052"/>
    <w:rsid w:val="00FA5D79"/>
    <w:rsid w:val="00FB0293"/>
    <w:rsid w:val="00FB076D"/>
    <w:rsid w:val="00FB0E29"/>
    <w:rsid w:val="00FB1760"/>
    <w:rsid w:val="00FB1C9C"/>
    <w:rsid w:val="00FB25AE"/>
    <w:rsid w:val="00FB2B97"/>
    <w:rsid w:val="00FB4306"/>
    <w:rsid w:val="00FB4B82"/>
    <w:rsid w:val="00FB4E7D"/>
    <w:rsid w:val="00FB5933"/>
    <w:rsid w:val="00FB636B"/>
    <w:rsid w:val="00FB69E5"/>
    <w:rsid w:val="00FB719B"/>
    <w:rsid w:val="00FB7373"/>
    <w:rsid w:val="00FB776E"/>
    <w:rsid w:val="00FB78EB"/>
    <w:rsid w:val="00FB7F84"/>
    <w:rsid w:val="00FC2522"/>
    <w:rsid w:val="00FC2606"/>
    <w:rsid w:val="00FC4766"/>
    <w:rsid w:val="00FC4798"/>
    <w:rsid w:val="00FC568A"/>
    <w:rsid w:val="00FC58FE"/>
    <w:rsid w:val="00FC6FA7"/>
    <w:rsid w:val="00FC78F4"/>
    <w:rsid w:val="00FC7A2B"/>
    <w:rsid w:val="00FD00F2"/>
    <w:rsid w:val="00FD0C0A"/>
    <w:rsid w:val="00FD2781"/>
    <w:rsid w:val="00FD28C1"/>
    <w:rsid w:val="00FD3E87"/>
    <w:rsid w:val="00FD6BD9"/>
    <w:rsid w:val="00FE2530"/>
    <w:rsid w:val="00FE2AB6"/>
    <w:rsid w:val="00FE2ABE"/>
    <w:rsid w:val="00FE31FD"/>
    <w:rsid w:val="00FE3767"/>
    <w:rsid w:val="00FE3BED"/>
    <w:rsid w:val="00FE3C01"/>
    <w:rsid w:val="00FE469F"/>
    <w:rsid w:val="00FE500A"/>
    <w:rsid w:val="00FE6DA6"/>
    <w:rsid w:val="00FE76D3"/>
    <w:rsid w:val="00FE7822"/>
    <w:rsid w:val="00FE78D8"/>
    <w:rsid w:val="00FF06F1"/>
    <w:rsid w:val="00FF17A1"/>
    <w:rsid w:val="00FF2DE9"/>
    <w:rsid w:val="00FF3628"/>
    <w:rsid w:val="00FF6C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97B2C"/>
  <w15:chartTrackingRefBased/>
  <w15:docId w15:val="{CA65CA0A-A915-4160-984E-3A96FAE4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124"/>
  </w:style>
  <w:style w:type="paragraph" w:styleId="Heading1">
    <w:name w:val="heading 1"/>
    <w:basedOn w:val="Normal"/>
    <w:next w:val="Normal"/>
    <w:link w:val="Heading1Char"/>
    <w:uiPriority w:val="9"/>
    <w:qFormat/>
    <w:rsid w:val="00356E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7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0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A90"/>
    <w:rPr>
      <w:color w:val="0563C1" w:themeColor="hyperlink"/>
      <w:u w:val="single"/>
    </w:rPr>
  </w:style>
  <w:style w:type="character" w:styleId="UnresolvedMention">
    <w:name w:val="Unresolved Mention"/>
    <w:basedOn w:val="DefaultParagraphFont"/>
    <w:uiPriority w:val="99"/>
    <w:semiHidden/>
    <w:unhideWhenUsed/>
    <w:rsid w:val="004E4A90"/>
    <w:rPr>
      <w:color w:val="605E5C"/>
      <w:shd w:val="clear" w:color="auto" w:fill="E1DFDD"/>
    </w:rPr>
  </w:style>
  <w:style w:type="paragraph" w:styleId="Header">
    <w:name w:val="header"/>
    <w:basedOn w:val="Normal"/>
    <w:link w:val="HeaderChar"/>
    <w:uiPriority w:val="99"/>
    <w:unhideWhenUsed/>
    <w:rsid w:val="00E3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264"/>
  </w:style>
  <w:style w:type="paragraph" w:styleId="Footer">
    <w:name w:val="footer"/>
    <w:basedOn w:val="Normal"/>
    <w:link w:val="FooterChar"/>
    <w:uiPriority w:val="99"/>
    <w:unhideWhenUsed/>
    <w:rsid w:val="00E3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264"/>
  </w:style>
  <w:style w:type="table" w:styleId="TableGrid">
    <w:name w:val="Table Grid"/>
    <w:basedOn w:val="TableNormal"/>
    <w:uiPriority w:val="39"/>
    <w:rsid w:val="00213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A7884"/>
    <w:pPr>
      <w:widowControl w:val="0"/>
      <w:spacing w:before="2" w:after="0" w:line="240" w:lineRule="auto"/>
      <w:ind w:left="435"/>
    </w:pPr>
    <w:rPr>
      <w:rFonts w:ascii="Courier New" w:eastAsia="Courier New" w:hAnsi="Courier New"/>
      <w:sz w:val="17"/>
      <w:szCs w:val="17"/>
    </w:rPr>
  </w:style>
  <w:style w:type="character" w:customStyle="1" w:styleId="BodyTextChar">
    <w:name w:val="Body Text Char"/>
    <w:basedOn w:val="DefaultParagraphFont"/>
    <w:link w:val="BodyText"/>
    <w:uiPriority w:val="1"/>
    <w:rsid w:val="007A7884"/>
    <w:rPr>
      <w:rFonts w:ascii="Courier New" w:eastAsia="Courier New" w:hAnsi="Courier New"/>
      <w:sz w:val="17"/>
      <w:szCs w:val="17"/>
    </w:rPr>
  </w:style>
  <w:style w:type="paragraph" w:customStyle="1" w:styleId="TableParagraph">
    <w:name w:val="Table Paragraph"/>
    <w:basedOn w:val="Normal"/>
    <w:uiPriority w:val="1"/>
    <w:qFormat/>
    <w:rsid w:val="007A7884"/>
    <w:pPr>
      <w:widowControl w:val="0"/>
      <w:spacing w:after="0" w:line="240" w:lineRule="auto"/>
    </w:pPr>
  </w:style>
  <w:style w:type="paragraph" w:styleId="ListParagraph">
    <w:name w:val="List Paragraph"/>
    <w:basedOn w:val="Normal"/>
    <w:uiPriority w:val="34"/>
    <w:qFormat/>
    <w:rsid w:val="00D86937"/>
    <w:pPr>
      <w:ind w:left="720"/>
      <w:contextualSpacing/>
    </w:pPr>
  </w:style>
  <w:style w:type="paragraph" w:styleId="Caption">
    <w:name w:val="caption"/>
    <w:basedOn w:val="Normal"/>
    <w:next w:val="Normal"/>
    <w:uiPriority w:val="35"/>
    <w:unhideWhenUsed/>
    <w:qFormat/>
    <w:rsid w:val="00333C5C"/>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356E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0D4"/>
    <w:rPr>
      <w:rFonts w:asciiTheme="majorHAnsi" w:eastAsiaTheme="majorEastAsia" w:hAnsiTheme="majorHAnsi" w:cstheme="majorBidi"/>
      <w:color w:val="1F3763" w:themeColor="accent1" w:themeShade="7F"/>
      <w:sz w:val="24"/>
      <w:szCs w:val="24"/>
    </w:rPr>
  </w:style>
  <w:style w:type="table" w:styleId="TableGridLight">
    <w:name w:val="Grid Table Light"/>
    <w:basedOn w:val="TableNormal"/>
    <w:uiPriority w:val="40"/>
    <w:rsid w:val="007161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161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C576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11761">
      <w:bodyDiv w:val="1"/>
      <w:marLeft w:val="0"/>
      <w:marRight w:val="0"/>
      <w:marTop w:val="0"/>
      <w:marBottom w:val="0"/>
      <w:divBdr>
        <w:top w:val="none" w:sz="0" w:space="0" w:color="auto"/>
        <w:left w:val="none" w:sz="0" w:space="0" w:color="auto"/>
        <w:bottom w:val="none" w:sz="0" w:space="0" w:color="auto"/>
        <w:right w:val="none" w:sz="0" w:space="0" w:color="auto"/>
      </w:divBdr>
    </w:div>
    <w:div w:id="2095858667">
      <w:bodyDiv w:val="1"/>
      <w:marLeft w:val="0"/>
      <w:marRight w:val="0"/>
      <w:marTop w:val="0"/>
      <w:marBottom w:val="0"/>
      <w:divBdr>
        <w:top w:val="none" w:sz="0" w:space="0" w:color="auto"/>
        <w:left w:val="none" w:sz="0" w:space="0" w:color="auto"/>
        <w:bottom w:val="none" w:sz="0" w:space="0" w:color="auto"/>
        <w:right w:val="none" w:sz="0" w:space="0" w:color="auto"/>
      </w:divBdr>
      <w:divsChild>
        <w:div w:id="1235242743">
          <w:marLeft w:val="0"/>
          <w:marRight w:val="0"/>
          <w:marTop w:val="0"/>
          <w:marBottom w:val="0"/>
          <w:divBdr>
            <w:top w:val="none" w:sz="0" w:space="0" w:color="auto"/>
            <w:left w:val="none" w:sz="0" w:space="0" w:color="auto"/>
            <w:bottom w:val="none" w:sz="0" w:space="0" w:color="auto"/>
            <w:right w:val="none" w:sz="0" w:space="0" w:color="auto"/>
          </w:divBdr>
          <w:divsChild>
            <w:div w:id="10718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257/0895330042162430" TargetMode="External"/><Relationship Id="rId21" Type="http://schemas.openxmlformats.org/officeDocument/2006/relationships/hyperlink" Target="https://www.wiley.com/en-us/Applied+Corporate+Finance%2C+4th+Edition-p-9781118808931" TargetMode="External"/><Relationship Id="rId42" Type="http://schemas.openxmlformats.org/officeDocument/2006/relationships/hyperlink" Target="https://doi.org/10.26710/jafee.v8i1.2197" TargetMode="External"/><Relationship Id="rId47" Type="http://schemas.openxmlformats.org/officeDocument/2006/relationships/hyperlink" Target="https://doi.org/10.34152/fe.18.2.129-137" TargetMode="External"/><Relationship Id="rId63" Type="http://schemas.openxmlformats.org/officeDocument/2006/relationships/hyperlink" Target="https://doi.org/10.1016/j.heliyon.2020.e04741"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307/2491062" TargetMode="External"/><Relationship Id="rId29" Type="http://schemas.openxmlformats.org/officeDocument/2006/relationships/hyperlink" Target="https://doi.org/10.30566/ijo-bs/2023.12.117" TargetMode="External"/><Relationship Id="rId11" Type="http://schemas.openxmlformats.org/officeDocument/2006/relationships/hyperlink" Target="https://doi.org/10.2307/j.ctvcm4j72" TargetMode="External"/><Relationship Id="rId24" Type="http://schemas.openxmlformats.org/officeDocument/2006/relationships/hyperlink" Target="https://www.researchgate.net/publication/360540000_FIRM_CHARACTERISTICS_AND_TAX_AGGRESSIVENESS_OF_QUOTED_INDUSTRIAL_GOODS_FIRMS_IN_NIGERIA" TargetMode="External"/><Relationship Id="rId32" Type="http://schemas.openxmlformats.org/officeDocument/2006/relationships/hyperlink" Target="https://doi.org/10.5555/ijosmas.v3i3.207" TargetMode="External"/><Relationship Id="rId37" Type="http://schemas.openxmlformats.org/officeDocument/2006/relationships/hyperlink" Target="https://doi.org/10.52728/ijtc.v3i4.592" TargetMode="External"/><Relationship Id="rId40" Type="http://schemas.openxmlformats.org/officeDocument/2006/relationships/hyperlink" Target="https://doi.org/10.11648/j.ijefm.20241202.12" TargetMode="External"/><Relationship Id="rId45" Type="http://schemas.openxmlformats.org/officeDocument/2006/relationships/hyperlink" Target="https://doi.org/10.30871/jama.v6i1.3909" TargetMode="External"/><Relationship Id="rId53" Type="http://schemas.openxmlformats.org/officeDocument/2006/relationships/hyperlink" Target="https://doi.org/10.34218/IJM.11.8.2020.150" TargetMode="External"/><Relationship Id="rId58" Type="http://schemas.openxmlformats.org/officeDocument/2006/relationships/hyperlink" Target="https://doi.org/10.3126/jotmc.v7i1-2.63178"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oi.org/10.20884/1.sar.2020.5.2.3554" TargetMode="External"/><Relationship Id="rId19" Type="http://schemas.openxmlformats.org/officeDocument/2006/relationships/hyperlink" Target="https://doi.org/10.3126/qjmss.v5i1.56298" TargetMode="External"/><Relationship Id="rId14" Type="http://schemas.openxmlformats.org/officeDocument/2006/relationships/hyperlink" Target="https://doi.org/10.35145/jabt.v4i2.131" TargetMode="External"/><Relationship Id="rId22" Type="http://schemas.openxmlformats.org/officeDocument/2006/relationships/hyperlink" Target="https://doi.org/10.33395/owner.v7i4.1692" TargetMode="External"/><Relationship Id="rId27" Type="http://schemas.openxmlformats.org/officeDocument/2006/relationships/hyperlink" Target="https://doi.org/10.33062/mjb.v6i1.422" TargetMode="External"/><Relationship Id="rId30" Type="http://schemas.openxmlformats.org/officeDocument/2006/relationships/hyperlink" Target="https://doi.org/10.32832/moneter.v11i2.116" TargetMode="External"/><Relationship Id="rId35" Type="http://schemas.openxmlformats.org/officeDocument/2006/relationships/hyperlink" Target="https://doi.org/10.1111/j.1911-3846.1995.tb00461.x" TargetMode="External"/><Relationship Id="rId43" Type="http://schemas.openxmlformats.org/officeDocument/2006/relationships/hyperlink" Target="https://doi.org/10.55227/ijhess.v3i6.963" TargetMode="External"/><Relationship Id="rId48" Type="http://schemas.openxmlformats.org/officeDocument/2006/relationships/hyperlink" Target="https://doi.org/10.1177/0972150917692064" TargetMode="External"/><Relationship Id="rId56" Type="http://schemas.openxmlformats.org/officeDocument/2006/relationships/hyperlink" Target="https://doi.org/10.3126/qjmss.v4i2.50320" TargetMode="External"/><Relationship Id="rId64" Type="http://schemas.openxmlformats.org/officeDocument/2006/relationships/hyperlink" Target="https://doi.org/10.9790/5933-1205024954" TargetMode="External"/><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www.hbs.edu/faculty/research/pages/item.aspx?num=3000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37641/jiakes.v12i1.2469" TargetMode="External"/><Relationship Id="rId17" Type="http://schemas.openxmlformats.org/officeDocument/2006/relationships/hyperlink" Target="https://corporatefinanceinstitute.com/resources/accounting/financial-ratios/" TargetMode="External"/><Relationship Id="rId25" Type="http://schemas.openxmlformats.org/officeDocument/2006/relationships/hyperlink" Target="https://doi.org/10.1016/0304-405X(93)90023-5" TargetMode="External"/><Relationship Id="rId33" Type="http://schemas.openxmlformats.org/officeDocument/2006/relationships/hyperlink" Target="https://doi.org/10.47191/afmj/v7i8.02" TargetMode="External"/><Relationship Id="rId38" Type="http://schemas.openxmlformats.org/officeDocument/2006/relationships/hyperlink" Target="https://doi.org/10.18502/kss.v9i10.15728" TargetMode="External"/><Relationship Id="rId46" Type="http://schemas.openxmlformats.org/officeDocument/2006/relationships/hyperlink" Target="https://doi.org/10.1177/0972150917733834" TargetMode="External"/><Relationship Id="rId59" Type="http://schemas.openxmlformats.org/officeDocument/2006/relationships/hyperlink" Target="https://fijbas.org/index.php/FIJBAS/article/view/54" TargetMode="External"/><Relationship Id="rId67" Type="http://schemas.openxmlformats.org/officeDocument/2006/relationships/header" Target="header2.xml"/><Relationship Id="rId20" Type="http://schemas.openxmlformats.org/officeDocument/2006/relationships/hyperlink" Target="https://doi.org/10.1016/j.econlet.2005.02.018" TargetMode="External"/><Relationship Id="rId41" Type="http://schemas.openxmlformats.org/officeDocument/2006/relationships/hyperlink" Target="https://doi.org/10.1017/CBO9780511804564" TargetMode="External"/><Relationship Id="rId54" Type="http://schemas.openxmlformats.org/officeDocument/2006/relationships/hyperlink" Target="https://doi.org/10.1177/0149206308330560" TargetMode="External"/><Relationship Id="rId62" Type="http://schemas.openxmlformats.org/officeDocument/2006/relationships/hyperlink" Target="https://doi.org/10.3126/ijssm.v11i3.68378"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0574/wjarr.2024.22.2.1496" TargetMode="External"/><Relationship Id="rId23" Type="http://schemas.openxmlformats.org/officeDocument/2006/relationships/hyperlink" Target="https://doi.org/10.47191/ijmei/v10i7.02" TargetMode="External"/><Relationship Id="rId28" Type="http://schemas.openxmlformats.org/officeDocument/2006/relationships/hyperlink" Target="http://pages.stern.nyu.edu/~wgreene/Text/econometricanalysis.html" TargetMode="External"/><Relationship Id="rId36" Type="http://schemas.openxmlformats.org/officeDocument/2006/relationships/hyperlink" Target="https://doi.org/10.1162/003355397555163" TargetMode="External"/><Relationship Id="rId49" Type="http://schemas.openxmlformats.org/officeDocument/2006/relationships/hyperlink" Target="https://doi.org/10.30574/wjarr.2022.16.2.1131" TargetMode="External"/><Relationship Id="rId57" Type="http://schemas.openxmlformats.org/officeDocument/2006/relationships/hyperlink" Target="https://doi.org/10.47709/ijmdsa.v2i2.3564" TargetMode="External"/><Relationship Id="rId10" Type="http://schemas.openxmlformats.org/officeDocument/2006/relationships/hyperlink" Target="https://doi.org/10.52728/ijtc.v4i1.594" TargetMode="External"/><Relationship Id="rId31" Type="http://schemas.openxmlformats.org/officeDocument/2006/relationships/hyperlink" Target="https://doi.org/10.30656/jkk.v2i1.5909" TargetMode="External"/><Relationship Id="rId44" Type="http://schemas.openxmlformats.org/officeDocument/2006/relationships/hyperlink" Target="https://doi.org/10.56107/penanomics.v2i3.141" TargetMode="External"/><Relationship Id="rId52" Type="http://schemas.openxmlformats.org/officeDocument/2006/relationships/hyperlink" Target="https://doi.org/10.59188/jcs.v3i7.795" TargetMode="External"/><Relationship Id="rId60" Type="http://schemas.openxmlformats.org/officeDocument/2006/relationships/hyperlink" Target="https://www.ijtsrd.com/papers/ijtsrd52574.pdf" TargetMode="External"/><Relationship Id="rId65" Type="http://schemas.openxmlformats.org/officeDocument/2006/relationships/hyperlink" Target="https://doi.org/10.35474/ibarj.v6i1.235"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2479/ijefi.16062" TargetMode="External"/><Relationship Id="rId13" Type="http://schemas.openxmlformats.org/officeDocument/2006/relationships/hyperlink" Target="https://doi.org/10.31955/mea.v4i3.414" TargetMode="External"/><Relationship Id="rId18" Type="http://schemas.openxmlformats.org/officeDocument/2006/relationships/hyperlink" Target="https://doi.org/10.1016/j.ejor.2016.11.006" TargetMode="External"/><Relationship Id="rId39" Type="http://schemas.openxmlformats.org/officeDocument/2006/relationships/hyperlink" Target="https://doi.org/10.35129/simak.v22i01.498" TargetMode="External"/><Relationship Id="rId34" Type="http://schemas.openxmlformats.org/officeDocument/2006/relationships/hyperlink" Target="https://doi.org/10.7176/EJBM/6-17-13" TargetMode="External"/><Relationship Id="rId50" Type="http://schemas.openxmlformats.org/officeDocument/2006/relationships/hyperlink" Target="https://doi.org/10.58777/rag.v2i2.287" TargetMode="External"/><Relationship Id="rId55" Type="http://schemas.openxmlformats.org/officeDocument/2006/relationships/hyperlink" Target="https://books.google.com/books/about/Experimental_and_Quasi_experimental_Desi.html?id=y_y_AAAAMAAJ" TargetMode="Externa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91E3F-DDF2-4140-8051-9BC730E8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22</Pages>
  <Words>9185</Words>
  <Characters>52359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Edokpa</dc:creator>
  <cp:keywords/>
  <dc:description/>
  <cp:lastModifiedBy>SDI 1181</cp:lastModifiedBy>
  <cp:revision>50</cp:revision>
  <cp:lastPrinted>2025-05-29T15:29:00Z</cp:lastPrinted>
  <dcterms:created xsi:type="dcterms:W3CDTF">2025-12-18T22:18:00Z</dcterms:created>
  <dcterms:modified xsi:type="dcterms:W3CDTF">2025-12-24T07:23:00Z</dcterms:modified>
</cp:coreProperties>
</file>