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78E26" w14:textId="77777777" w:rsidR="007F713D" w:rsidRDefault="00B70B8E">
      <w:pPr>
        <w:pStyle w:val="Title"/>
      </w:pPr>
      <w:r>
        <w:t>A</w:t>
      </w:r>
      <w:r>
        <w:rPr>
          <w:spacing w:val="-8"/>
        </w:rPr>
        <w:t xml:space="preserve"> </w:t>
      </w:r>
      <w:r>
        <w:t>Methodological</w:t>
      </w:r>
      <w:r>
        <w:rPr>
          <w:spacing w:val="-8"/>
        </w:rPr>
        <w:t xml:space="preserve"> </w:t>
      </w:r>
      <w:r>
        <w:t>Framework</w:t>
      </w:r>
      <w:r>
        <w:rPr>
          <w:spacing w:val="-5"/>
        </w:rPr>
        <w:t xml:space="preserve"> </w:t>
      </w:r>
      <w:r>
        <w:t>for</w:t>
      </w:r>
      <w:r>
        <w:rPr>
          <w:spacing w:val="-6"/>
        </w:rPr>
        <w:t xml:space="preserve"> </w:t>
      </w:r>
      <w:r>
        <w:t>the</w:t>
      </w:r>
      <w:r>
        <w:rPr>
          <w:spacing w:val="-9"/>
        </w:rPr>
        <w:t xml:space="preserve"> </w:t>
      </w:r>
      <w:r>
        <w:t>Assessment</w:t>
      </w:r>
      <w:r>
        <w:rPr>
          <w:spacing w:val="-9"/>
        </w:rPr>
        <w:t xml:space="preserve"> </w:t>
      </w:r>
      <w:r>
        <w:t>of</w:t>
      </w:r>
      <w:r>
        <w:rPr>
          <w:spacing w:val="-6"/>
        </w:rPr>
        <w:t xml:space="preserve"> </w:t>
      </w:r>
      <w:r>
        <w:t xml:space="preserve">State </w:t>
      </w:r>
      <w:r>
        <w:rPr>
          <w:spacing w:val="-2"/>
        </w:rPr>
        <w:t>Finances</w:t>
      </w:r>
    </w:p>
    <w:p w14:paraId="4A150638" w14:textId="77777777" w:rsidR="007F713D" w:rsidRDefault="007F713D">
      <w:pPr>
        <w:pStyle w:val="BodyText"/>
        <w:spacing w:before="3"/>
        <w:rPr>
          <w:b/>
        </w:rPr>
      </w:pPr>
    </w:p>
    <w:p w14:paraId="21AFB43A" w14:textId="2C2AFE4E" w:rsidR="009B5E7E" w:rsidRDefault="009B5E7E">
      <w:pPr>
        <w:pStyle w:val="BodyText"/>
        <w:ind w:left="7550" w:right="666" w:firstLine="201"/>
        <w:jc w:val="right"/>
      </w:pPr>
    </w:p>
    <w:p w14:paraId="086AAEC3" w14:textId="77777777" w:rsidR="00735AFC" w:rsidRDefault="00735AFC">
      <w:pPr>
        <w:pStyle w:val="BodyText"/>
        <w:ind w:left="7550" w:right="666" w:firstLine="201"/>
        <w:jc w:val="right"/>
      </w:pPr>
      <w:bookmarkStart w:id="0" w:name="_GoBack"/>
      <w:bookmarkEnd w:id="0"/>
    </w:p>
    <w:p w14:paraId="44B26471" w14:textId="77777777" w:rsidR="007F713D" w:rsidRDefault="007F713D">
      <w:pPr>
        <w:pStyle w:val="BodyText"/>
      </w:pPr>
    </w:p>
    <w:p w14:paraId="0AC4219D" w14:textId="77777777" w:rsidR="007F713D" w:rsidRDefault="00B70B8E">
      <w:pPr>
        <w:ind w:left="51"/>
        <w:jc w:val="center"/>
        <w:rPr>
          <w:b/>
          <w:i/>
          <w:sz w:val="24"/>
        </w:rPr>
      </w:pPr>
      <w:r>
        <w:rPr>
          <w:b/>
          <w:i/>
          <w:spacing w:val="-2"/>
          <w:sz w:val="24"/>
        </w:rPr>
        <w:t>Abstract</w:t>
      </w:r>
    </w:p>
    <w:p w14:paraId="214A405B" w14:textId="77777777" w:rsidR="007F713D" w:rsidRPr="00BC2C53" w:rsidRDefault="00B70B8E">
      <w:pPr>
        <w:ind w:left="1572" w:right="1556"/>
        <w:jc w:val="both"/>
        <w:rPr>
          <w:bCs/>
          <w:i/>
          <w:sz w:val="24"/>
        </w:rPr>
      </w:pPr>
      <w:r w:rsidRPr="00BC2C53">
        <w:rPr>
          <w:bCs/>
          <w:i/>
          <w:sz w:val="24"/>
        </w:rPr>
        <w:t>This paper develops a comprehensive methodological framework for assessing state finances in India by integrating insights from both classical and contemporary public finance literature. Drawing on Haughton (1998) on tax buoyancy, elasticity, and stability; Leuthold and</w:t>
      </w:r>
      <w:r w:rsidRPr="00BC2C53">
        <w:rPr>
          <w:bCs/>
          <w:i/>
          <w:spacing w:val="-15"/>
          <w:sz w:val="24"/>
        </w:rPr>
        <w:t xml:space="preserve"> </w:t>
      </w:r>
      <w:r w:rsidRPr="00BC2C53">
        <w:rPr>
          <w:bCs/>
          <w:i/>
          <w:sz w:val="24"/>
        </w:rPr>
        <w:t>N’Guessan</w:t>
      </w:r>
      <w:r w:rsidRPr="00BC2C53">
        <w:rPr>
          <w:bCs/>
          <w:i/>
          <w:spacing w:val="-15"/>
          <w:sz w:val="24"/>
        </w:rPr>
        <w:t xml:space="preserve"> </w:t>
      </w:r>
      <w:r w:rsidRPr="00BC2C53">
        <w:rPr>
          <w:bCs/>
          <w:i/>
          <w:sz w:val="24"/>
        </w:rPr>
        <w:t>(1986)</w:t>
      </w:r>
      <w:r w:rsidRPr="00BC2C53">
        <w:rPr>
          <w:bCs/>
          <w:i/>
          <w:spacing w:val="-15"/>
          <w:sz w:val="24"/>
        </w:rPr>
        <w:t xml:space="preserve"> </w:t>
      </w:r>
      <w:r w:rsidRPr="00BC2C53">
        <w:rPr>
          <w:bCs/>
          <w:i/>
          <w:sz w:val="24"/>
        </w:rPr>
        <w:t>on</w:t>
      </w:r>
      <w:r w:rsidRPr="00BC2C53">
        <w:rPr>
          <w:bCs/>
          <w:i/>
          <w:spacing w:val="-15"/>
          <w:sz w:val="24"/>
        </w:rPr>
        <w:t xml:space="preserve"> </w:t>
      </w:r>
      <w:r w:rsidRPr="00BC2C53">
        <w:rPr>
          <w:bCs/>
          <w:i/>
          <w:sz w:val="24"/>
        </w:rPr>
        <w:t>structural</w:t>
      </w:r>
      <w:r w:rsidRPr="00BC2C53">
        <w:rPr>
          <w:bCs/>
          <w:i/>
          <w:spacing w:val="-15"/>
          <w:sz w:val="24"/>
        </w:rPr>
        <w:t xml:space="preserve"> </w:t>
      </w:r>
      <w:r w:rsidRPr="00BC2C53">
        <w:rPr>
          <w:bCs/>
          <w:i/>
          <w:sz w:val="24"/>
        </w:rPr>
        <w:t>responsiveness</w:t>
      </w:r>
      <w:r w:rsidRPr="00BC2C53">
        <w:rPr>
          <w:bCs/>
          <w:i/>
          <w:spacing w:val="-15"/>
          <w:sz w:val="24"/>
        </w:rPr>
        <w:t xml:space="preserve"> </w:t>
      </w:r>
      <w:r w:rsidRPr="00BC2C53">
        <w:rPr>
          <w:bCs/>
          <w:i/>
          <w:sz w:val="24"/>
        </w:rPr>
        <w:t>of</w:t>
      </w:r>
      <w:r w:rsidRPr="00BC2C53">
        <w:rPr>
          <w:bCs/>
          <w:i/>
          <w:spacing w:val="-15"/>
          <w:sz w:val="24"/>
        </w:rPr>
        <w:t xml:space="preserve"> </w:t>
      </w:r>
      <w:r w:rsidRPr="00BC2C53">
        <w:rPr>
          <w:bCs/>
          <w:i/>
          <w:sz w:val="24"/>
        </w:rPr>
        <w:t>tax</w:t>
      </w:r>
      <w:r w:rsidRPr="00BC2C53">
        <w:rPr>
          <w:bCs/>
          <w:i/>
          <w:spacing w:val="-15"/>
          <w:sz w:val="24"/>
        </w:rPr>
        <w:t xml:space="preserve"> </w:t>
      </w:r>
      <w:r w:rsidRPr="00BC2C53">
        <w:rPr>
          <w:bCs/>
          <w:i/>
          <w:sz w:val="24"/>
        </w:rPr>
        <w:t>systems;</w:t>
      </w:r>
      <w:r w:rsidRPr="00BC2C53">
        <w:rPr>
          <w:bCs/>
          <w:i/>
          <w:spacing w:val="-15"/>
          <w:sz w:val="24"/>
        </w:rPr>
        <w:t xml:space="preserve"> </w:t>
      </w:r>
      <w:r w:rsidRPr="00BC2C53">
        <w:rPr>
          <w:bCs/>
          <w:i/>
          <w:sz w:val="24"/>
        </w:rPr>
        <w:t xml:space="preserve">and </w:t>
      </w:r>
      <w:proofErr w:type="spellStart"/>
      <w:r w:rsidRPr="00BC2C53">
        <w:rPr>
          <w:bCs/>
          <w:i/>
          <w:sz w:val="24"/>
        </w:rPr>
        <w:t>Dalamagas</w:t>
      </w:r>
      <w:proofErr w:type="spellEnd"/>
      <w:r w:rsidRPr="00BC2C53">
        <w:rPr>
          <w:bCs/>
          <w:i/>
          <w:sz w:val="24"/>
        </w:rPr>
        <w:t xml:space="preserve">, </w:t>
      </w:r>
      <w:proofErr w:type="spellStart"/>
      <w:r w:rsidRPr="00BC2C53">
        <w:rPr>
          <w:bCs/>
          <w:i/>
          <w:sz w:val="24"/>
        </w:rPr>
        <w:t>Palaios</w:t>
      </w:r>
      <w:proofErr w:type="spellEnd"/>
      <w:r w:rsidRPr="00BC2C53">
        <w:rPr>
          <w:bCs/>
          <w:i/>
          <w:sz w:val="24"/>
        </w:rPr>
        <w:t>, and Tantos (2019) on welfare-based tax effort measurement, the framework combines revenue and expenditure diagnostics—including composition, efficiency, developmental orientation, standard fiscal ratios, and relevant equations. It provides an integrated</w:t>
      </w:r>
      <w:r w:rsidRPr="00BC2C53">
        <w:rPr>
          <w:bCs/>
          <w:i/>
          <w:spacing w:val="-2"/>
          <w:sz w:val="24"/>
        </w:rPr>
        <w:t xml:space="preserve"> </w:t>
      </w:r>
      <w:r w:rsidRPr="00BC2C53">
        <w:rPr>
          <w:bCs/>
          <w:i/>
          <w:sz w:val="24"/>
        </w:rPr>
        <w:t>toolkit</w:t>
      </w:r>
      <w:r w:rsidRPr="00BC2C53">
        <w:rPr>
          <w:bCs/>
          <w:i/>
          <w:spacing w:val="-2"/>
          <w:sz w:val="24"/>
        </w:rPr>
        <w:t xml:space="preserve"> </w:t>
      </w:r>
      <w:r w:rsidRPr="00BC2C53">
        <w:rPr>
          <w:bCs/>
          <w:i/>
          <w:sz w:val="24"/>
        </w:rPr>
        <w:t>for</w:t>
      </w:r>
      <w:r w:rsidRPr="00BC2C53">
        <w:rPr>
          <w:bCs/>
          <w:i/>
          <w:spacing w:val="-4"/>
          <w:sz w:val="24"/>
        </w:rPr>
        <w:t xml:space="preserve"> </w:t>
      </w:r>
      <w:r w:rsidRPr="00BC2C53">
        <w:rPr>
          <w:bCs/>
          <w:i/>
          <w:sz w:val="24"/>
        </w:rPr>
        <w:t>evaluating</w:t>
      </w:r>
      <w:r w:rsidRPr="00BC2C53">
        <w:rPr>
          <w:bCs/>
          <w:i/>
          <w:spacing w:val="-1"/>
          <w:sz w:val="24"/>
        </w:rPr>
        <w:t xml:space="preserve"> </w:t>
      </w:r>
      <w:r w:rsidRPr="00BC2C53">
        <w:rPr>
          <w:bCs/>
          <w:i/>
          <w:sz w:val="24"/>
        </w:rPr>
        <w:t>revenue</w:t>
      </w:r>
      <w:r w:rsidRPr="00BC2C53">
        <w:rPr>
          <w:bCs/>
          <w:i/>
          <w:spacing w:val="-2"/>
          <w:sz w:val="24"/>
        </w:rPr>
        <w:t xml:space="preserve"> </w:t>
      </w:r>
      <w:r w:rsidRPr="00BC2C53">
        <w:rPr>
          <w:bCs/>
          <w:i/>
          <w:sz w:val="24"/>
        </w:rPr>
        <w:t>performance,</w:t>
      </w:r>
      <w:r w:rsidRPr="00BC2C53">
        <w:rPr>
          <w:bCs/>
          <w:i/>
          <w:spacing w:val="-1"/>
          <w:sz w:val="24"/>
        </w:rPr>
        <w:t xml:space="preserve"> </w:t>
      </w:r>
      <w:r w:rsidRPr="00BC2C53">
        <w:rPr>
          <w:bCs/>
          <w:i/>
          <w:sz w:val="24"/>
        </w:rPr>
        <w:t>expenditure efficiency, transfer dependency, and debt sustainability, serving as a structured methodological guide for empirical and comparative state-level fiscal analysis in India.</w:t>
      </w:r>
    </w:p>
    <w:p w14:paraId="38939F01" w14:textId="77777777" w:rsidR="007F713D" w:rsidRPr="00913C85" w:rsidRDefault="00B70B8E">
      <w:pPr>
        <w:pStyle w:val="Heading1"/>
        <w:spacing w:before="1"/>
        <w:ind w:right="1558"/>
        <w:rPr>
          <w:b w:val="0"/>
          <w:i/>
          <w:iCs/>
        </w:rPr>
      </w:pPr>
      <w:r w:rsidRPr="00913C85">
        <w:rPr>
          <w:b w:val="0"/>
          <w:i/>
          <w:iCs/>
        </w:rPr>
        <w:t>Keywords:</w:t>
      </w:r>
      <w:r w:rsidRPr="00913C85">
        <w:rPr>
          <w:b w:val="0"/>
          <w:i/>
          <w:iCs/>
          <w:spacing w:val="-12"/>
        </w:rPr>
        <w:t xml:space="preserve"> </w:t>
      </w:r>
      <w:r w:rsidRPr="00913C85">
        <w:rPr>
          <w:b w:val="0"/>
          <w:i/>
          <w:iCs/>
        </w:rPr>
        <w:t>Revenue</w:t>
      </w:r>
      <w:r w:rsidRPr="00913C85">
        <w:rPr>
          <w:b w:val="0"/>
          <w:i/>
          <w:iCs/>
          <w:spacing w:val="-13"/>
        </w:rPr>
        <w:t xml:space="preserve"> </w:t>
      </w:r>
      <w:r w:rsidRPr="00913C85">
        <w:rPr>
          <w:b w:val="0"/>
          <w:i/>
          <w:iCs/>
        </w:rPr>
        <w:t>Performance,</w:t>
      </w:r>
      <w:r w:rsidRPr="00913C85">
        <w:rPr>
          <w:b w:val="0"/>
          <w:i/>
          <w:iCs/>
          <w:spacing w:val="-12"/>
        </w:rPr>
        <w:t xml:space="preserve"> </w:t>
      </w:r>
      <w:r w:rsidRPr="00913C85">
        <w:rPr>
          <w:b w:val="0"/>
          <w:i/>
          <w:iCs/>
        </w:rPr>
        <w:t>Expenditure</w:t>
      </w:r>
      <w:r w:rsidRPr="00913C85">
        <w:rPr>
          <w:b w:val="0"/>
          <w:i/>
          <w:iCs/>
          <w:spacing w:val="-12"/>
        </w:rPr>
        <w:t xml:space="preserve"> </w:t>
      </w:r>
      <w:r w:rsidRPr="00913C85">
        <w:rPr>
          <w:b w:val="0"/>
          <w:i/>
          <w:iCs/>
        </w:rPr>
        <w:t>Efficiency,</w:t>
      </w:r>
      <w:r w:rsidRPr="00913C85">
        <w:rPr>
          <w:b w:val="0"/>
          <w:i/>
          <w:iCs/>
          <w:spacing w:val="-10"/>
        </w:rPr>
        <w:t xml:space="preserve"> </w:t>
      </w:r>
      <w:r w:rsidRPr="00913C85">
        <w:rPr>
          <w:b w:val="0"/>
          <w:i/>
          <w:iCs/>
        </w:rPr>
        <w:t>Transfer Dependency, Debt Sustainability, Methodologies.</w:t>
      </w:r>
    </w:p>
    <w:p w14:paraId="1247A8D5" w14:textId="77777777" w:rsidR="007F713D" w:rsidRPr="00913C85" w:rsidRDefault="00B70B8E">
      <w:pPr>
        <w:pStyle w:val="Heading1"/>
        <w:spacing w:before="1"/>
        <w:rPr>
          <w:b w:val="0"/>
          <w:i/>
          <w:iCs/>
        </w:rPr>
      </w:pPr>
      <w:r w:rsidRPr="00913C85">
        <w:rPr>
          <w:b w:val="0"/>
          <w:i/>
          <w:iCs/>
          <w:noProof/>
        </w:rPr>
        <mc:AlternateContent>
          <mc:Choice Requires="wps">
            <w:drawing>
              <wp:anchor distT="0" distB="0" distL="0" distR="0" simplePos="0" relativeHeight="487587840" behindDoc="1" locked="0" layoutInCell="1" allowOverlap="1" wp14:anchorId="393F44EF" wp14:editId="4B445B71">
                <wp:simplePos x="0" y="0"/>
                <wp:positionH relativeFrom="page">
                  <wp:posOffset>1665985</wp:posOffset>
                </wp:positionH>
                <wp:positionV relativeFrom="paragraph">
                  <wp:posOffset>188551</wp:posOffset>
                </wp:positionV>
                <wp:extent cx="4448175" cy="1841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8175" cy="18415"/>
                        </a:xfrm>
                        <a:custGeom>
                          <a:avLst/>
                          <a:gdLst/>
                          <a:ahLst/>
                          <a:cxnLst/>
                          <a:rect l="l" t="t" r="r" b="b"/>
                          <a:pathLst>
                            <a:path w="4448175" h="18415">
                              <a:moveTo>
                                <a:pt x="4447921" y="0"/>
                              </a:moveTo>
                              <a:lnTo>
                                <a:pt x="0" y="0"/>
                              </a:lnTo>
                              <a:lnTo>
                                <a:pt x="0" y="18287"/>
                              </a:lnTo>
                              <a:lnTo>
                                <a:pt x="4447921" y="18287"/>
                              </a:lnTo>
                              <a:lnTo>
                                <a:pt x="444792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F87786B" id="Graphic 2" o:spid="_x0000_s1026" style="position:absolute;margin-left:131.2pt;margin-top:14.85pt;width:350.25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444817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" path="m4447921,l,,,18287r4447921,l4447921,xe" fillcolor="black" stroked="f">
                <v:path arrowok="t"/>
                <w10:wrap type="topAndBottom" anchorx="page"/>
              </v:shape>
            </w:pict>
          </mc:Fallback>
        </mc:AlternateContent>
      </w:r>
      <w:r w:rsidRPr="00913C85">
        <w:rPr>
          <w:b w:val="0"/>
          <w:i/>
          <w:iCs/>
        </w:rPr>
        <w:t>JEL</w:t>
      </w:r>
      <w:r w:rsidRPr="00913C85">
        <w:rPr>
          <w:b w:val="0"/>
          <w:i/>
          <w:iCs/>
          <w:spacing w:val="-1"/>
        </w:rPr>
        <w:t xml:space="preserve"> </w:t>
      </w:r>
      <w:r w:rsidRPr="00913C85">
        <w:rPr>
          <w:b w:val="0"/>
          <w:i/>
          <w:iCs/>
        </w:rPr>
        <w:t>Classification</w:t>
      </w:r>
      <w:r w:rsidRPr="00913C85">
        <w:rPr>
          <w:b w:val="0"/>
          <w:i/>
          <w:iCs/>
          <w:spacing w:val="-1"/>
        </w:rPr>
        <w:t xml:space="preserve"> </w:t>
      </w:r>
      <w:r w:rsidRPr="00913C85">
        <w:rPr>
          <w:b w:val="0"/>
          <w:i/>
          <w:iCs/>
        </w:rPr>
        <w:t>Code:H20,</w:t>
      </w:r>
      <w:r w:rsidRPr="00913C85">
        <w:rPr>
          <w:b w:val="0"/>
          <w:i/>
          <w:iCs/>
          <w:spacing w:val="-1"/>
        </w:rPr>
        <w:t xml:space="preserve"> </w:t>
      </w:r>
      <w:r w:rsidRPr="00913C85">
        <w:rPr>
          <w:b w:val="0"/>
          <w:i/>
          <w:iCs/>
        </w:rPr>
        <w:t>H72,</w:t>
      </w:r>
      <w:r w:rsidRPr="00913C85">
        <w:rPr>
          <w:b w:val="0"/>
          <w:i/>
          <w:iCs/>
          <w:spacing w:val="-1"/>
        </w:rPr>
        <w:t xml:space="preserve"> </w:t>
      </w:r>
      <w:r w:rsidRPr="00913C85">
        <w:rPr>
          <w:b w:val="0"/>
          <w:i/>
          <w:iCs/>
        </w:rPr>
        <w:t>H77,</w:t>
      </w:r>
      <w:r w:rsidRPr="00913C85">
        <w:rPr>
          <w:b w:val="0"/>
          <w:i/>
          <w:iCs/>
          <w:spacing w:val="-1"/>
        </w:rPr>
        <w:t xml:space="preserve"> </w:t>
      </w:r>
      <w:r w:rsidRPr="00913C85">
        <w:rPr>
          <w:b w:val="0"/>
          <w:i/>
          <w:iCs/>
        </w:rPr>
        <w:t xml:space="preserve">H63, </w:t>
      </w:r>
      <w:r w:rsidRPr="00913C85">
        <w:rPr>
          <w:b w:val="0"/>
          <w:i/>
          <w:iCs/>
          <w:spacing w:val="-4"/>
        </w:rPr>
        <w:t>B41.</w:t>
      </w:r>
    </w:p>
    <w:p w14:paraId="6224A115" w14:textId="77777777" w:rsidR="007F713D" w:rsidRDefault="007F713D">
      <w:pPr>
        <w:pStyle w:val="BodyText"/>
        <w:rPr>
          <w:b/>
        </w:rPr>
      </w:pPr>
    </w:p>
    <w:p w14:paraId="0D02643F" w14:textId="77777777" w:rsidR="007F713D" w:rsidRDefault="00B70B8E">
      <w:pPr>
        <w:pStyle w:val="ListParagraph"/>
        <w:numPr>
          <w:ilvl w:val="0"/>
          <w:numId w:val="7"/>
        </w:numPr>
        <w:tabs>
          <w:tab w:val="left" w:pos="4519"/>
        </w:tabs>
        <w:ind w:left="4519" w:hanging="213"/>
        <w:jc w:val="both"/>
        <w:rPr>
          <w:b/>
          <w:sz w:val="24"/>
        </w:rPr>
      </w:pPr>
      <w:r>
        <w:rPr>
          <w:b/>
          <w:spacing w:val="-2"/>
          <w:sz w:val="24"/>
        </w:rPr>
        <w:t>Introduction</w:t>
      </w:r>
    </w:p>
    <w:p w14:paraId="2FCC7644" w14:textId="77777777" w:rsidR="007F713D" w:rsidRDefault="00B70B8E">
      <w:pPr>
        <w:pStyle w:val="BodyText"/>
        <w:spacing w:before="41" w:line="276" w:lineRule="auto"/>
        <w:ind w:left="720" w:right="665"/>
        <w:jc w:val="both"/>
      </w:pPr>
      <w:r>
        <w:t>A</w:t>
      </w:r>
      <w:r>
        <w:rPr>
          <w:spacing w:val="-12"/>
        </w:rPr>
        <w:t xml:space="preserve"> </w:t>
      </w:r>
      <w:r>
        <w:t>comprehensive</w:t>
      </w:r>
      <w:r>
        <w:rPr>
          <w:spacing w:val="-12"/>
        </w:rPr>
        <w:t xml:space="preserve"> </w:t>
      </w:r>
      <w:r>
        <w:t>assessment</w:t>
      </w:r>
      <w:r>
        <w:rPr>
          <w:spacing w:val="-11"/>
        </w:rPr>
        <w:t xml:space="preserve"> </w:t>
      </w:r>
      <w:r>
        <w:t>of</w:t>
      </w:r>
      <w:r>
        <w:rPr>
          <w:spacing w:val="-12"/>
        </w:rPr>
        <w:t xml:space="preserve"> </w:t>
      </w:r>
      <w:r>
        <w:t>state</w:t>
      </w:r>
      <w:r>
        <w:rPr>
          <w:spacing w:val="-12"/>
        </w:rPr>
        <w:t xml:space="preserve"> </w:t>
      </w:r>
      <w:r>
        <w:t>finances</w:t>
      </w:r>
      <w:r>
        <w:rPr>
          <w:spacing w:val="-11"/>
        </w:rPr>
        <w:t xml:space="preserve"> </w:t>
      </w:r>
      <w:r>
        <w:t>is</w:t>
      </w:r>
      <w:r>
        <w:rPr>
          <w:spacing w:val="-11"/>
        </w:rPr>
        <w:t xml:space="preserve"> </w:t>
      </w:r>
      <w:r>
        <w:t>crucial</w:t>
      </w:r>
      <w:r>
        <w:rPr>
          <w:spacing w:val="-12"/>
        </w:rPr>
        <w:t xml:space="preserve"> </w:t>
      </w:r>
      <w:r>
        <w:t>for</w:t>
      </w:r>
      <w:r>
        <w:rPr>
          <w:spacing w:val="-13"/>
        </w:rPr>
        <w:t xml:space="preserve"> </w:t>
      </w:r>
      <w:r>
        <w:t>understanding</w:t>
      </w:r>
      <w:r>
        <w:rPr>
          <w:spacing w:val="-11"/>
        </w:rPr>
        <w:t xml:space="preserve"> </w:t>
      </w:r>
      <w:r>
        <w:t>fiscal</w:t>
      </w:r>
      <w:r>
        <w:rPr>
          <w:spacing w:val="-11"/>
        </w:rPr>
        <w:t xml:space="preserve"> </w:t>
      </w:r>
      <w:r>
        <w:t>federalism in India, as the responsibilities of state governments in the domains of development and welfare have steadily expanded while their revenue-raising authority remains relatively constrained. This situation has intensified both vertical fiscal imbalances—between the Union and the States—and horizontal imbalances—among the States themselves. These structural disparities highlight the growing need for a systematic and robust evaluation of state finances. Although existing research has examined specific dimensions such as revenue</w:t>
      </w:r>
      <w:r>
        <w:rPr>
          <w:spacing w:val="-14"/>
        </w:rPr>
        <w:t xml:space="preserve"> </w:t>
      </w:r>
      <w:r>
        <w:t>capacity,</w:t>
      </w:r>
      <w:r>
        <w:rPr>
          <w:spacing w:val="-13"/>
        </w:rPr>
        <w:t xml:space="preserve"> </w:t>
      </w:r>
      <w:r>
        <w:t>tax</w:t>
      </w:r>
      <w:r>
        <w:rPr>
          <w:spacing w:val="-13"/>
        </w:rPr>
        <w:t xml:space="preserve"> </w:t>
      </w:r>
      <w:r>
        <w:t>performance,</w:t>
      </w:r>
      <w:r>
        <w:rPr>
          <w:spacing w:val="-13"/>
        </w:rPr>
        <w:t xml:space="preserve"> </w:t>
      </w:r>
      <w:r>
        <w:t>intergovernmental</w:t>
      </w:r>
      <w:r>
        <w:rPr>
          <w:spacing w:val="-13"/>
        </w:rPr>
        <w:t xml:space="preserve"> </w:t>
      </w:r>
      <w:r>
        <w:t>transfers,</w:t>
      </w:r>
      <w:r>
        <w:rPr>
          <w:spacing w:val="-13"/>
        </w:rPr>
        <w:t xml:space="preserve"> </w:t>
      </w:r>
      <w:r>
        <w:t>and</w:t>
      </w:r>
      <w:r>
        <w:rPr>
          <w:spacing w:val="-13"/>
        </w:rPr>
        <w:t xml:space="preserve"> </w:t>
      </w:r>
      <w:r>
        <w:t>debt</w:t>
      </w:r>
      <w:r>
        <w:rPr>
          <w:spacing w:val="-12"/>
        </w:rPr>
        <w:t xml:space="preserve"> </w:t>
      </w:r>
      <w:r>
        <w:t>sustainability,</w:t>
      </w:r>
      <w:r>
        <w:rPr>
          <w:spacing w:val="-12"/>
        </w:rPr>
        <w:t xml:space="preserve"> </w:t>
      </w:r>
      <w:r>
        <w:t>the methodologies employed are dispersed and lack coherence across studies. Consequently, there is a pressing need for an integrated analytical framework capable of presenting a complete and accurate picture of the fiscal condition of state governments.</w:t>
      </w:r>
    </w:p>
    <w:p w14:paraId="51E1DD14" w14:textId="77777777" w:rsidR="007F713D" w:rsidRDefault="00B70B8E">
      <w:pPr>
        <w:pStyle w:val="BodyText"/>
        <w:spacing w:before="3"/>
        <w:rPr>
          <w:sz w:val="12"/>
        </w:rPr>
      </w:pPr>
      <w:r>
        <w:rPr>
          <w:noProof/>
          <w:sz w:val="12"/>
        </w:rPr>
        <mc:AlternateContent>
          <mc:Choice Requires="wps">
            <w:drawing>
              <wp:anchor distT="0" distB="0" distL="0" distR="0" simplePos="0" relativeHeight="487588352" behindDoc="1" locked="0" layoutInCell="1" allowOverlap="1" wp14:anchorId="1874D6FE" wp14:editId="5568990D">
                <wp:simplePos x="0" y="0"/>
                <wp:positionH relativeFrom="page">
                  <wp:posOffset>1143304</wp:posOffset>
                </wp:positionH>
                <wp:positionV relativeFrom="paragraph">
                  <wp:posOffset>105389</wp:posOffset>
                </wp:positionV>
                <wp:extent cx="1829435" cy="762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1CA9633" id="Graphic 3" o:spid="_x0000_s1026" style="position:absolute;margin-left:90pt;margin-top:8.3pt;width:144.05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" path="m1829054,l,,,7619r1829054,l1829054,xe" fillcolor="black" stroked="f">
                <v:path arrowok="t"/>
                <w10:wrap type="topAndBottom" anchorx="page"/>
              </v:shape>
            </w:pict>
          </mc:Fallback>
        </mc:AlternateContent>
      </w:r>
    </w:p>
    <w:p w14:paraId="26A25501" w14:textId="77777777" w:rsidR="007F713D" w:rsidRDefault="007F713D">
      <w:pPr>
        <w:rPr>
          <w:i/>
          <w:sz w:val="20"/>
        </w:rPr>
        <w:sectPr w:rsidR="007F713D" w:rsidSect="00403586">
          <w:headerReference w:type="even" r:id="rId7"/>
          <w:headerReference w:type="default" r:id="rId8"/>
          <w:footerReference w:type="even" r:id="rId9"/>
          <w:footerReference w:type="default" r:id="rId10"/>
          <w:headerReference w:type="first" r:id="rId11"/>
          <w:footerReference w:type="first" r:id="rId12"/>
          <w:type w:val="continuous"/>
          <w:pgSz w:w="12240" w:h="15840"/>
          <w:pgMar w:top="1276" w:right="1080" w:bottom="1220" w:left="1080" w:header="0" w:footer="1035" w:gutter="0"/>
          <w:pgNumType w:start="1"/>
          <w:cols w:space="720"/>
        </w:sectPr>
      </w:pPr>
      <w:bookmarkStart w:id="1" w:name="_bookmark0"/>
      <w:bookmarkEnd w:id="1"/>
    </w:p>
    <w:p w14:paraId="3CA3D630" w14:textId="77777777" w:rsidR="007F713D" w:rsidRDefault="00B70B8E">
      <w:pPr>
        <w:pStyle w:val="BodyText"/>
        <w:spacing w:before="61" w:line="276" w:lineRule="auto"/>
        <w:ind w:left="720" w:right="666"/>
        <w:jc w:val="both"/>
      </w:pPr>
      <w:r>
        <w:lastRenderedPageBreak/>
        <w:t>Addressing this gap, the present study develops a unified and comprehensive methodological framework applicable to any Indian state. This framework synthesizes traditional fiscal indicators with modern theoretical concepts such as tax responsiveness, tax effort, revenue stability, transfer dependency, and solvency. Additionally, it incorporates expenditure-based dimensions including allocative efficiency, expenditure productivity, and the balance between developmental and committed spending. Taken together, these parameters enable an assessment of how effectively states mobilize their own financial resources, translate public expenditure into meaningful developmental outcomes, and manage</w:t>
      </w:r>
      <w:r>
        <w:rPr>
          <w:spacing w:val="-1"/>
        </w:rPr>
        <w:t xml:space="preserve"> </w:t>
      </w:r>
      <w:r>
        <w:t>their</w:t>
      </w:r>
      <w:r>
        <w:rPr>
          <w:spacing w:val="-1"/>
        </w:rPr>
        <w:t xml:space="preserve"> </w:t>
      </w:r>
      <w:r>
        <w:t>debt and debt-servicing obligations to ensure</w:t>
      </w:r>
      <w:r>
        <w:rPr>
          <w:spacing w:val="-1"/>
        </w:rPr>
        <w:t xml:space="preserve"> </w:t>
      </w:r>
      <w:r>
        <w:t>long-term fiscal sustainability.</w:t>
      </w:r>
      <w:r>
        <w:rPr>
          <w:spacing w:val="-12"/>
        </w:rPr>
        <w:t xml:space="preserve"> </w:t>
      </w:r>
      <w:r>
        <w:t>Thus,</w:t>
      </w:r>
      <w:r>
        <w:rPr>
          <w:spacing w:val="-13"/>
        </w:rPr>
        <w:t xml:space="preserve"> </w:t>
      </w:r>
      <w:r>
        <w:t>the</w:t>
      </w:r>
      <w:r>
        <w:rPr>
          <w:spacing w:val="-12"/>
        </w:rPr>
        <w:t xml:space="preserve"> </w:t>
      </w:r>
      <w:r>
        <w:t>proposed</w:t>
      </w:r>
      <w:r>
        <w:rPr>
          <w:spacing w:val="-12"/>
        </w:rPr>
        <w:t xml:space="preserve"> </w:t>
      </w:r>
      <w:r>
        <w:t>framework</w:t>
      </w:r>
      <w:r>
        <w:rPr>
          <w:spacing w:val="-12"/>
        </w:rPr>
        <w:t xml:space="preserve"> </w:t>
      </w:r>
      <w:r>
        <w:t>provides</w:t>
      </w:r>
      <w:r>
        <w:rPr>
          <w:spacing w:val="-11"/>
        </w:rPr>
        <w:t xml:space="preserve"> </w:t>
      </w:r>
      <w:r>
        <w:t>a</w:t>
      </w:r>
      <w:r>
        <w:rPr>
          <w:spacing w:val="-13"/>
        </w:rPr>
        <w:t xml:space="preserve"> </w:t>
      </w:r>
      <w:r>
        <w:t>holistic</w:t>
      </w:r>
      <w:r>
        <w:rPr>
          <w:spacing w:val="-13"/>
        </w:rPr>
        <w:t xml:space="preserve"> </w:t>
      </w:r>
      <w:r>
        <w:t>and</w:t>
      </w:r>
      <w:r>
        <w:rPr>
          <w:spacing w:val="-12"/>
        </w:rPr>
        <w:t xml:space="preserve"> </w:t>
      </w:r>
      <w:r>
        <w:t>clear</w:t>
      </w:r>
      <w:r>
        <w:rPr>
          <w:spacing w:val="-12"/>
        </w:rPr>
        <w:t xml:space="preserve"> </w:t>
      </w:r>
      <w:r>
        <w:t>understanding</w:t>
      </w:r>
      <w:r>
        <w:rPr>
          <w:spacing w:val="-11"/>
        </w:rPr>
        <w:t xml:space="preserve"> </w:t>
      </w:r>
      <w:r>
        <w:t>of the financial health of states, facilitating evidence-based policy interventions and reform initiatives aimed at strengthening their economic and developmental performance.</w:t>
      </w:r>
    </w:p>
    <w:p w14:paraId="745CCC92" w14:textId="77777777" w:rsidR="007F713D" w:rsidRDefault="007F713D">
      <w:pPr>
        <w:pStyle w:val="BodyText"/>
        <w:spacing w:before="41"/>
      </w:pPr>
    </w:p>
    <w:p w14:paraId="2720F4C7" w14:textId="77777777" w:rsidR="007F713D" w:rsidRPr="00AF16A8" w:rsidRDefault="00B70B8E">
      <w:pPr>
        <w:pStyle w:val="Heading1"/>
        <w:numPr>
          <w:ilvl w:val="0"/>
          <w:numId w:val="7"/>
        </w:numPr>
        <w:tabs>
          <w:tab w:val="left" w:pos="4151"/>
        </w:tabs>
        <w:spacing w:before="1"/>
        <w:ind w:left="4151" w:hanging="306"/>
        <w:jc w:val="both"/>
      </w:pPr>
      <w:r>
        <w:t>Review</w:t>
      </w:r>
      <w:r>
        <w:rPr>
          <w:spacing w:val="-2"/>
        </w:rPr>
        <w:t xml:space="preserve"> </w:t>
      </w:r>
      <w:r>
        <w:t>of</w:t>
      </w:r>
      <w:r>
        <w:rPr>
          <w:spacing w:val="-2"/>
        </w:rPr>
        <w:t xml:space="preserve"> Literature</w:t>
      </w:r>
    </w:p>
    <w:p w14:paraId="4E263D30" w14:textId="0534C4F9" w:rsidR="00AF16A8" w:rsidRPr="00AF16A8" w:rsidRDefault="00AF16A8" w:rsidP="00AF16A8">
      <w:pPr>
        <w:pStyle w:val="Heading1"/>
        <w:tabs>
          <w:tab w:val="left" w:pos="3261"/>
        </w:tabs>
        <w:spacing w:before="1" w:line="276" w:lineRule="auto"/>
        <w:ind w:left="709" w:right="724"/>
        <w:rPr>
          <w:b w:val="0"/>
          <w:bCs w:val="0"/>
          <w:i/>
          <w:iCs/>
        </w:rPr>
      </w:pPr>
      <w:r w:rsidRPr="00AF16A8">
        <w:rPr>
          <w:b w:val="0"/>
          <w:bCs w:val="0"/>
          <w:i/>
          <w:iCs/>
        </w:rPr>
        <w:t>The literature review examines existing studies on tax capacity and tax effort, highlighting key concepts and methodological developments. It identifies gaps in traditional approaches and motivates the framework used in this study.</w:t>
      </w:r>
    </w:p>
    <w:p w14:paraId="365B33F6" w14:textId="0B5C8161" w:rsidR="007F713D" w:rsidRDefault="00B70B8E" w:rsidP="00AF16A8">
      <w:pPr>
        <w:pStyle w:val="BodyText"/>
        <w:spacing w:before="43" w:line="276" w:lineRule="auto"/>
        <w:ind w:left="720" w:right="665"/>
        <w:jc w:val="both"/>
      </w:pPr>
      <w:r>
        <w:t>Classical</w:t>
      </w:r>
      <w:r>
        <w:rPr>
          <w:spacing w:val="-4"/>
        </w:rPr>
        <w:t xml:space="preserve"> </w:t>
      </w:r>
      <w:r>
        <w:t>works</w:t>
      </w:r>
      <w:r>
        <w:rPr>
          <w:spacing w:val="-4"/>
        </w:rPr>
        <w:t xml:space="preserve"> </w:t>
      </w:r>
      <w:r>
        <w:t>by</w:t>
      </w:r>
      <w:r>
        <w:rPr>
          <w:spacing w:val="-4"/>
        </w:rPr>
        <w:t xml:space="preserve"> </w:t>
      </w:r>
      <w:r>
        <w:t>Prest</w:t>
      </w:r>
      <w:r>
        <w:rPr>
          <w:spacing w:val="-6"/>
        </w:rPr>
        <w:t xml:space="preserve"> </w:t>
      </w:r>
      <w:r>
        <w:t>(1962),</w:t>
      </w:r>
      <w:r>
        <w:rPr>
          <w:spacing w:val="-4"/>
        </w:rPr>
        <w:t xml:space="preserve"> </w:t>
      </w:r>
      <w:r>
        <w:t>Chelliah</w:t>
      </w:r>
      <w:r>
        <w:rPr>
          <w:spacing w:val="-4"/>
        </w:rPr>
        <w:t xml:space="preserve"> </w:t>
      </w:r>
      <w:r>
        <w:t>(1971),</w:t>
      </w:r>
      <w:r>
        <w:rPr>
          <w:spacing w:val="-4"/>
        </w:rPr>
        <w:t xml:space="preserve"> </w:t>
      </w:r>
      <w:r>
        <w:t>Lotz</w:t>
      </w:r>
      <w:r>
        <w:rPr>
          <w:spacing w:val="-5"/>
        </w:rPr>
        <w:t xml:space="preserve"> </w:t>
      </w:r>
      <w:r>
        <w:t>and</w:t>
      </w:r>
      <w:r>
        <w:rPr>
          <w:spacing w:val="-4"/>
        </w:rPr>
        <w:t xml:space="preserve"> </w:t>
      </w:r>
      <w:r>
        <w:t>Morse</w:t>
      </w:r>
      <w:r>
        <w:rPr>
          <w:spacing w:val="-6"/>
        </w:rPr>
        <w:t xml:space="preserve"> </w:t>
      </w:r>
      <w:r>
        <w:t>(1967),</w:t>
      </w:r>
      <w:r>
        <w:rPr>
          <w:spacing w:val="-4"/>
        </w:rPr>
        <w:t xml:space="preserve"> </w:t>
      </w:r>
      <w:r>
        <w:t>and</w:t>
      </w:r>
      <w:r>
        <w:rPr>
          <w:spacing w:val="-4"/>
        </w:rPr>
        <w:t xml:space="preserve"> </w:t>
      </w:r>
      <w:r>
        <w:t>Bahl</w:t>
      </w:r>
      <w:r>
        <w:rPr>
          <w:spacing w:val="-4"/>
        </w:rPr>
        <w:t xml:space="preserve"> </w:t>
      </w:r>
      <w:r>
        <w:t xml:space="preserve">(1972) established the basis for tax buoyancy, elasticity, and tax effort measurement. Rao (1979) further refined the conceptual foundations for </w:t>
      </w:r>
      <w:proofErr w:type="spellStart"/>
      <w:r>
        <w:t>analysing</w:t>
      </w:r>
      <w:proofErr w:type="spellEnd"/>
      <w:r>
        <w:t xml:space="preserve"> tax performance in developing countries. Haughton (1998) provided one of the most detailed methodological treatments for estimating buoyancy, elasticity, and tax stability. He demonstrated the superiority of log–log</w:t>
      </w:r>
      <w:r>
        <w:rPr>
          <w:spacing w:val="-10"/>
        </w:rPr>
        <w:t xml:space="preserve"> </w:t>
      </w:r>
      <w:r>
        <w:t>models</w:t>
      </w:r>
      <w:r>
        <w:rPr>
          <w:spacing w:val="-10"/>
        </w:rPr>
        <w:t xml:space="preserve"> </w:t>
      </w:r>
      <w:r>
        <w:t>for</w:t>
      </w:r>
      <w:r>
        <w:rPr>
          <w:spacing w:val="-12"/>
        </w:rPr>
        <w:t xml:space="preserve"> </w:t>
      </w:r>
      <w:r>
        <w:t>buoyancy</w:t>
      </w:r>
      <w:r>
        <w:rPr>
          <w:spacing w:val="-11"/>
        </w:rPr>
        <w:t xml:space="preserve"> </w:t>
      </w:r>
      <w:r>
        <w:t>estimation</w:t>
      </w:r>
      <w:r>
        <w:rPr>
          <w:spacing w:val="-10"/>
        </w:rPr>
        <w:t xml:space="preserve"> </w:t>
      </w:r>
      <w:r>
        <w:t>and</w:t>
      </w:r>
      <w:r>
        <w:rPr>
          <w:spacing w:val="-11"/>
        </w:rPr>
        <w:t xml:space="preserve"> </w:t>
      </w:r>
      <w:r>
        <w:t>proposed</w:t>
      </w:r>
      <w:r>
        <w:rPr>
          <w:spacing w:val="-11"/>
        </w:rPr>
        <w:t xml:space="preserve"> </w:t>
      </w:r>
      <w:r>
        <w:t>the</w:t>
      </w:r>
      <w:r>
        <w:rPr>
          <w:spacing w:val="-11"/>
        </w:rPr>
        <w:t xml:space="preserve"> </w:t>
      </w:r>
      <w:r>
        <w:t>Prest-adjusted</w:t>
      </w:r>
      <w:r>
        <w:rPr>
          <w:spacing w:val="-11"/>
        </w:rPr>
        <w:t xml:space="preserve"> </w:t>
      </w:r>
      <w:r>
        <w:t>revenue</w:t>
      </w:r>
      <w:r>
        <w:rPr>
          <w:spacing w:val="-12"/>
        </w:rPr>
        <w:t xml:space="preserve"> </w:t>
      </w:r>
      <w:r>
        <w:t>approach for measuring elasticity net of discretionary tax changes. Leuthold and N’Guessan (1986) examined the divergence between buoyancy and elasticity in developing economies, showing that buoyancy tends to be inflated due to frequent discretionary changes. Their work</w:t>
      </w:r>
      <w:r>
        <w:rPr>
          <w:spacing w:val="-5"/>
        </w:rPr>
        <w:t xml:space="preserve"> </w:t>
      </w:r>
      <w:r>
        <w:t>highlights</w:t>
      </w:r>
      <w:r>
        <w:rPr>
          <w:spacing w:val="-5"/>
        </w:rPr>
        <w:t xml:space="preserve"> </w:t>
      </w:r>
      <w:r>
        <w:t>the</w:t>
      </w:r>
      <w:r>
        <w:rPr>
          <w:spacing w:val="-5"/>
        </w:rPr>
        <w:t xml:space="preserve"> </w:t>
      </w:r>
      <w:r>
        <w:t>limitations</w:t>
      </w:r>
      <w:r>
        <w:rPr>
          <w:spacing w:val="-4"/>
        </w:rPr>
        <w:t xml:space="preserve"> </w:t>
      </w:r>
      <w:r>
        <w:t>of</w:t>
      </w:r>
      <w:r>
        <w:rPr>
          <w:spacing w:val="-6"/>
        </w:rPr>
        <w:t xml:space="preserve"> </w:t>
      </w:r>
      <w:r>
        <w:t>dummy-variable</w:t>
      </w:r>
      <w:r>
        <w:rPr>
          <w:spacing w:val="-6"/>
        </w:rPr>
        <w:t xml:space="preserve"> </w:t>
      </w:r>
      <w:r>
        <w:t>techniques</w:t>
      </w:r>
      <w:r>
        <w:rPr>
          <w:spacing w:val="-5"/>
        </w:rPr>
        <w:t xml:space="preserve"> </w:t>
      </w:r>
      <w:r>
        <w:t>for</w:t>
      </w:r>
      <w:r>
        <w:rPr>
          <w:spacing w:val="-6"/>
        </w:rPr>
        <w:t xml:space="preserve"> </w:t>
      </w:r>
      <w:r>
        <w:t>short</w:t>
      </w:r>
      <w:r>
        <w:rPr>
          <w:spacing w:val="-5"/>
        </w:rPr>
        <w:t xml:space="preserve"> </w:t>
      </w:r>
      <w:r>
        <w:t>time</w:t>
      </w:r>
      <w:r>
        <w:rPr>
          <w:spacing w:val="-6"/>
        </w:rPr>
        <w:t xml:space="preserve"> </w:t>
      </w:r>
      <w:r>
        <w:t>series.</w:t>
      </w:r>
      <w:r>
        <w:rPr>
          <w:spacing w:val="-5"/>
        </w:rPr>
        <w:t xml:space="preserve"> </w:t>
      </w:r>
      <w:r w:rsidR="000025B2" w:rsidRPr="000025B2">
        <w:t xml:space="preserve">Recent advancements in tax effort measurement, particularly the welfare-based model proposed by </w:t>
      </w:r>
      <w:r w:rsidR="000025B2" w:rsidRPr="000025B2">
        <w:rPr>
          <w:rStyle w:val="Strong"/>
          <w:b w:val="0"/>
          <w:bCs w:val="0"/>
        </w:rPr>
        <w:t>Dala Magas et al. (2019)</w:t>
      </w:r>
      <w:r w:rsidR="000025B2" w:rsidRPr="000025B2">
        <w:t xml:space="preserve">, redefine taxable capacity as </w:t>
      </w:r>
      <w:r w:rsidR="000025B2" w:rsidRPr="000025B2">
        <w:rPr>
          <w:rStyle w:val="Emphasis"/>
        </w:rPr>
        <w:t>(GDP – consumption)</w:t>
      </w:r>
      <w:r w:rsidR="000025B2" w:rsidRPr="000025B2">
        <w:t xml:space="preserve">, offering a more theoretically grounded alternative to traditional tax-capacity regressions. Building on this perspective, </w:t>
      </w:r>
      <w:r w:rsidR="000025B2" w:rsidRPr="000025B2">
        <w:rPr>
          <w:rStyle w:val="Strong"/>
          <w:b w:val="0"/>
          <w:bCs w:val="0"/>
        </w:rPr>
        <w:t xml:space="preserve">Cyan, Martinez-Vazquez, and </w:t>
      </w:r>
      <w:proofErr w:type="spellStart"/>
      <w:r w:rsidR="000025B2" w:rsidRPr="000025B2">
        <w:rPr>
          <w:rStyle w:val="Strong"/>
          <w:b w:val="0"/>
          <w:bCs w:val="0"/>
        </w:rPr>
        <w:t>Vulovic</w:t>
      </w:r>
      <w:proofErr w:type="spellEnd"/>
      <w:r w:rsidR="000025B2" w:rsidRPr="000025B2">
        <w:rPr>
          <w:rStyle w:val="Strong"/>
          <w:b w:val="0"/>
          <w:bCs w:val="0"/>
        </w:rPr>
        <w:t xml:space="preserve"> (2014)</w:t>
      </w:r>
      <w:r w:rsidR="000025B2" w:rsidRPr="000025B2">
        <w:t xml:space="preserve"> extend the literature by advocating </w:t>
      </w:r>
      <w:r w:rsidR="000025B2" w:rsidRPr="000025B2">
        <w:rPr>
          <w:rStyle w:val="Strong"/>
          <w:b w:val="0"/>
          <w:bCs w:val="0"/>
        </w:rPr>
        <w:t>efficiency-oriented methodologies</w:t>
      </w:r>
      <w:r w:rsidR="000025B2" w:rsidRPr="000025B2">
        <w:t xml:space="preserve"> that explicitly distinguish between taxable capacity and actual tax performance. These approaches incorporate key </w:t>
      </w:r>
      <w:r w:rsidR="000025B2" w:rsidRPr="000025B2">
        <w:rPr>
          <w:rStyle w:val="Strong"/>
          <w:b w:val="0"/>
          <w:bCs w:val="0"/>
        </w:rPr>
        <w:t>structural variables</w:t>
      </w:r>
      <w:r w:rsidR="000025B2" w:rsidRPr="000025B2">
        <w:t xml:space="preserve"> such as per capita income, economic structure, trade openness, and urbanization, alongside </w:t>
      </w:r>
      <w:r w:rsidR="000025B2" w:rsidRPr="000025B2">
        <w:rPr>
          <w:rStyle w:val="Strong"/>
          <w:b w:val="0"/>
          <w:bCs w:val="0"/>
        </w:rPr>
        <w:t>institutional and policy variables</w:t>
      </w:r>
      <w:r w:rsidR="000025B2" w:rsidRPr="000025B2">
        <w:t xml:space="preserve"> including tax administration quality, compliance levels, governance effectiveness, and the assignment of fiscal powers. By accounting for these factors, their framework provides a more nuanced assessment of tax effort, particularly suited to developing and federal economies.</w:t>
      </w:r>
      <w:r w:rsidR="007B7299">
        <w:t xml:space="preserve"> </w:t>
      </w:r>
      <w:r>
        <w:t>Contemporary literature further examines GST implications, transfer dependency, debt stress, fiscal discipline, and sustainability metrics using indicators such as the debt–GSDP ratio, interest–revenue receipts ratio, and interest–</w:t>
      </w:r>
      <w:r>
        <w:lastRenderedPageBreak/>
        <w:t>growth differential.</w:t>
      </w:r>
    </w:p>
    <w:p w14:paraId="63E52AA6" w14:textId="77777777" w:rsidR="007F713D" w:rsidRDefault="00B70B8E" w:rsidP="00AF16A8">
      <w:pPr>
        <w:pStyle w:val="BodyText"/>
        <w:spacing w:line="276" w:lineRule="auto"/>
        <w:ind w:left="720" w:right="668"/>
        <w:jc w:val="both"/>
        <w:rPr>
          <w:b/>
        </w:rPr>
      </w:pPr>
      <w:r>
        <w:t>In</w:t>
      </w:r>
      <w:r>
        <w:rPr>
          <w:spacing w:val="-6"/>
        </w:rPr>
        <w:t xml:space="preserve"> </w:t>
      </w:r>
      <w:r>
        <w:t>light</w:t>
      </w:r>
      <w:r>
        <w:rPr>
          <w:spacing w:val="-5"/>
        </w:rPr>
        <w:t xml:space="preserve"> </w:t>
      </w:r>
      <w:r>
        <w:t>of</w:t>
      </w:r>
      <w:r>
        <w:rPr>
          <w:spacing w:val="-7"/>
        </w:rPr>
        <w:t xml:space="preserve"> </w:t>
      </w:r>
      <w:r>
        <w:t>the</w:t>
      </w:r>
      <w:r>
        <w:rPr>
          <w:spacing w:val="-3"/>
        </w:rPr>
        <w:t xml:space="preserve"> </w:t>
      </w:r>
      <w:r>
        <w:t>above</w:t>
      </w:r>
      <w:r>
        <w:rPr>
          <w:spacing w:val="-7"/>
        </w:rPr>
        <w:t xml:space="preserve"> </w:t>
      </w:r>
      <w:r>
        <w:t>decisions</w:t>
      </w:r>
      <w:r>
        <w:rPr>
          <w:spacing w:val="-6"/>
        </w:rPr>
        <w:t xml:space="preserve"> </w:t>
      </w:r>
      <w:r>
        <w:t>and</w:t>
      </w:r>
      <w:r>
        <w:rPr>
          <w:spacing w:val="-6"/>
        </w:rPr>
        <w:t xml:space="preserve"> </w:t>
      </w:r>
      <w:r>
        <w:t>facts,</w:t>
      </w:r>
      <w:r>
        <w:rPr>
          <w:spacing w:val="-5"/>
        </w:rPr>
        <w:t xml:space="preserve"> </w:t>
      </w:r>
      <w:r>
        <w:t>the</w:t>
      </w:r>
      <w:r>
        <w:rPr>
          <w:spacing w:val="-6"/>
        </w:rPr>
        <w:t xml:space="preserve"> </w:t>
      </w:r>
      <w:r>
        <w:t>following</w:t>
      </w:r>
      <w:r>
        <w:rPr>
          <w:spacing w:val="-3"/>
        </w:rPr>
        <w:t xml:space="preserve"> </w:t>
      </w:r>
      <w:r>
        <w:rPr>
          <w:i/>
        </w:rPr>
        <w:t>objectives</w:t>
      </w:r>
      <w:r>
        <w:rPr>
          <w:i/>
          <w:spacing w:val="-5"/>
        </w:rPr>
        <w:t xml:space="preserve"> </w:t>
      </w:r>
      <w:r>
        <w:t>have</w:t>
      </w:r>
      <w:r>
        <w:rPr>
          <w:spacing w:val="-7"/>
        </w:rPr>
        <w:t xml:space="preserve"> </w:t>
      </w:r>
      <w:r>
        <w:t>been</w:t>
      </w:r>
      <w:r>
        <w:rPr>
          <w:spacing w:val="-6"/>
        </w:rPr>
        <w:t xml:space="preserve"> </w:t>
      </w:r>
      <w:r>
        <w:t>formulated</w:t>
      </w:r>
      <w:r>
        <w:rPr>
          <w:spacing w:val="-6"/>
        </w:rPr>
        <w:t xml:space="preserve"> </w:t>
      </w:r>
      <w:r>
        <w:t xml:space="preserve">for this study, which will help enhance understanding of state finances and facilitate their </w:t>
      </w:r>
      <w:r>
        <w:rPr>
          <w:spacing w:val="-2"/>
        </w:rPr>
        <w:t>evaluation</w:t>
      </w:r>
      <w:r>
        <w:rPr>
          <w:b/>
          <w:spacing w:val="-2"/>
        </w:rPr>
        <w:t>:</w:t>
      </w:r>
    </w:p>
    <w:p w14:paraId="69A20AAD" w14:textId="77777777" w:rsidR="007F713D" w:rsidRDefault="00B70B8E" w:rsidP="00AF16A8">
      <w:pPr>
        <w:pStyle w:val="ListParagraph"/>
        <w:numPr>
          <w:ilvl w:val="0"/>
          <w:numId w:val="6"/>
        </w:numPr>
        <w:tabs>
          <w:tab w:val="left" w:pos="1440"/>
        </w:tabs>
        <w:spacing w:line="276" w:lineRule="auto"/>
        <w:ind w:right="672"/>
        <w:jc w:val="both"/>
        <w:rPr>
          <w:sz w:val="24"/>
        </w:rPr>
      </w:pPr>
      <w:r>
        <w:rPr>
          <w:sz w:val="24"/>
        </w:rPr>
        <w:t xml:space="preserve">To design a standardized methodological framework for assessing state finances, focusing on tax performance, transfer dependence, expenditure patterns, and debt </w:t>
      </w:r>
      <w:r>
        <w:rPr>
          <w:spacing w:val="-2"/>
          <w:sz w:val="24"/>
        </w:rPr>
        <w:t>sustainability.</w:t>
      </w:r>
    </w:p>
    <w:p w14:paraId="08809007" w14:textId="77777777" w:rsidR="007F713D" w:rsidRDefault="00B70B8E" w:rsidP="00AF16A8">
      <w:pPr>
        <w:pStyle w:val="ListParagraph"/>
        <w:numPr>
          <w:ilvl w:val="0"/>
          <w:numId w:val="6"/>
        </w:numPr>
        <w:tabs>
          <w:tab w:val="left" w:pos="1440"/>
        </w:tabs>
        <w:spacing w:line="276" w:lineRule="auto"/>
        <w:ind w:right="666"/>
        <w:jc w:val="both"/>
        <w:rPr>
          <w:sz w:val="24"/>
        </w:rPr>
      </w:pPr>
      <w:r>
        <w:rPr>
          <w:sz w:val="24"/>
        </w:rPr>
        <w:t>To promote clearer understanding of state-finance analysis by outlining simple, replicable tools—formulas, ratios, and basic econometric steps—for evaluating fiscal indicators and diagnosing states’ financial health.</w:t>
      </w:r>
    </w:p>
    <w:p w14:paraId="20AC573C" w14:textId="77777777" w:rsidR="007F713D" w:rsidRDefault="007F713D">
      <w:pPr>
        <w:pStyle w:val="ListParagraph"/>
        <w:spacing w:line="276" w:lineRule="auto"/>
        <w:rPr>
          <w:sz w:val="24"/>
        </w:rPr>
      </w:pPr>
    </w:p>
    <w:p w14:paraId="01A7D7AA" w14:textId="77777777" w:rsidR="007F713D" w:rsidRDefault="00B70B8E">
      <w:pPr>
        <w:pStyle w:val="Heading1"/>
        <w:numPr>
          <w:ilvl w:val="0"/>
          <w:numId w:val="7"/>
        </w:numPr>
        <w:tabs>
          <w:tab w:val="left" w:pos="4041"/>
        </w:tabs>
        <w:spacing w:before="61"/>
        <w:ind w:left="4041" w:hanging="400"/>
        <w:jc w:val="both"/>
      </w:pPr>
      <w:r>
        <w:t>Conceptual</w:t>
      </w:r>
      <w:r>
        <w:rPr>
          <w:spacing w:val="-2"/>
        </w:rPr>
        <w:t xml:space="preserve"> Framework</w:t>
      </w:r>
    </w:p>
    <w:p w14:paraId="1F09417E" w14:textId="77777777" w:rsidR="007F713D" w:rsidRDefault="00B70B8E">
      <w:pPr>
        <w:spacing w:before="41" w:line="276" w:lineRule="auto"/>
        <w:ind w:left="720" w:right="670"/>
        <w:jc w:val="both"/>
        <w:rPr>
          <w:i/>
          <w:sz w:val="24"/>
        </w:rPr>
      </w:pPr>
      <w:r>
        <w:rPr>
          <w:i/>
          <w:sz w:val="24"/>
        </w:rPr>
        <w:t>This section explains the five core analytical pillars used to evaluate state fiscal performance and shows how each pillar helps assess the overall fiscal health of a state. It clarifies the structure of analysis and sets the foundation for understanding revenue strength, expenditure behaviour, debt sustainability, and fiscal discipline. These pillars together provide a comprehensive picture of how efficiently and responsibly a state manages its public finances: -</w:t>
      </w:r>
    </w:p>
    <w:p w14:paraId="4122431C" w14:textId="77777777" w:rsidR="007F713D" w:rsidRDefault="007F713D">
      <w:pPr>
        <w:pStyle w:val="BodyText"/>
        <w:spacing w:before="42"/>
        <w:rPr>
          <w:i/>
        </w:rPr>
      </w:pPr>
    </w:p>
    <w:p w14:paraId="5A756153" w14:textId="77777777" w:rsidR="007F713D" w:rsidRDefault="00B70B8E">
      <w:pPr>
        <w:pStyle w:val="ListParagraph"/>
        <w:numPr>
          <w:ilvl w:val="0"/>
          <w:numId w:val="5"/>
        </w:numPr>
        <w:tabs>
          <w:tab w:val="left" w:pos="1145"/>
          <w:tab w:val="left" w:pos="1147"/>
        </w:tabs>
        <w:spacing w:line="276" w:lineRule="auto"/>
        <w:ind w:right="670"/>
        <w:jc w:val="both"/>
        <w:rPr>
          <w:sz w:val="24"/>
        </w:rPr>
      </w:pPr>
      <w:r>
        <w:rPr>
          <w:i/>
          <w:sz w:val="24"/>
        </w:rPr>
        <w:t xml:space="preserve">Composition and Trends </w:t>
      </w:r>
      <w:r>
        <w:rPr>
          <w:sz w:val="24"/>
        </w:rPr>
        <w:t xml:space="preserve">of various kinds of receipts and expenditures over the study </w:t>
      </w:r>
      <w:r>
        <w:rPr>
          <w:spacing w:val="-2"/>
          <w:sz w:val="24"/>
        </w:rPr>
        <w:t>period.</w:t>
      </w:r>
    </w:p>
    <w:p w14:paraId="64238EB5" w14:textId="77777777" w:rsidR="007F713D" w:rsidRDefault="00B70B8E">
      <w:pPr>
        <w:pStyle w:val="ListParagraph"/>
        <w:numPr>
          <w:ilvl w:val="0"/>
          <w:numId w:val="5"/>
        </w:numPr>
        <w:tabs>
          <w:tab w:val="left" w:pos="1071"/>
        </w:tabs>
        <w:spacing w:before="2"/>
        <w:ind w:left="1071" w:hanging="351"/>
        <w:jc w:val="both"/>
        <w:rPr>
          <w:sz w:val="24"/>
        </w:rPr>
      </w:pPr>
      <w:r>
        <w:rPr>
          <w:i/>
          <w:sz w:val="24"/>
        </w:rPr>
        <w:t>Tax</w:t>
      </w:r>
      <w:r>
        <w:rPr>
          <w:i/>
          <w:spacing w:val="-2"/>
          <w:sz w:val="24"/>
        </w:rPr>
        <w:t xml:space="preserve"> </w:t>
      </w:r>
      <w:r>
        <w:rPr>
          <w:i/>
          <w:sz w:val="24"/>
        </w:rPr>
        <w:t>Buoyancy</w:t>
      </w:r>
      <w:r>
        <w:rPr>
          <w:i/>
          <w:spacing w:val="-2"/>
          <w:sz w:val="24"/>
        </w:rPr>
        <w:t xml:space="preserve"> </w:t>
      </w:r>
      <w:r>
        <w:rPr>
          <w:i/>
          <w:sz w:val="24"/>
        </w:rPr>
        <w:t>and</w:t>
      </w:r>
      <w:r>
        <w:rPr>
          <w:i/>
          <w:spacing w:val="1"/>
          <w:sz w:val="24"/>
        </w:rPr>
        <w:t xml:space="preserve"> </w:t>
      </w:r>
      <w:r>
        <w:rPr>
          <w:i/>
          <w:sz w:val="24"/>
        </w:rPr>
        <w:t xml:space="preserve">Elasticity </w:t>
      </w:r>
      <w:r>
        <w:rPr>
          <w:sz w:val="24"/>
        </w:rPr>
        <w:t>of various</w:t>
      </w:r>
      <w:r>
        <w:rPr>
          <w:spacing w:val="-1"/>
          <w:sz w:val="24"/>
        </w:rPr>
        <w:t xml:space="preserve"> </w:t>
      </w:r>
      <w:r>
        <w:rPr>
          <w:sz w:val="24"/>
        </w:rPr>
        <w:t>kinds</w:t>
      </w:r>
      <w:r>
        <w:rPr>
          <w:spacing w:val="-1"/>
          <w:sz w:val="24"/>
        </w:rPr>
        <w:t xml:space="preserve"> </w:t>
      </w:r>
      <w:r>
        <w:rPr>
          <w:sz w:val="24"/>
        </w:rPr>
        <w:t>of</w:t>
      </w:r>
      <w:r>
        <w:rPr>
          <w:spacing w:val="-1"/>
          <w:sz w:val="24"/>
        </w:rPr>
        <w:t xml:space="preserve"> </w:t>
      </w:r>
      <w:r>
        <w:rPr>
          <w:sz w:val="24"/>
        </w:rPr>
        <w:t xml:space="preserve">taxes: </w:t>
      </w:r>
      <w:r>
        <w:rPr>
          <w:spacing w:val="-10"/>
          <w:sz w:val="24"/>
        </w:rPr>
        <w:t>-</w:t>
      </w:r>
    </w:p>
    <w:p w14:paraId="4326A2A0" w14:textId="77777777" w:rsidR="007F713D" w:rsidRDefault="00B70B8E">
      <w:pPr>
        <w:pStyle w:val="ListParagraph"/>
        <w:numPr>
          <w:ilvl w:val="1"/>
          <w:numId w:val="5"/>
        </w:numPr>
        <w:tabs>
          <w:tab w:val="left" w:pos="1440"/>
        </w:tabs>
        <w:spacing w:before="41" w:line="276" w:lineRule="auto"/>
        <w:ind w:right="669"/>
        <w:rPr>
          <w:sz w:val="24"/>
        </w:rPr>
      </w:pPr>
      <w:r>
        <w:rPr>
          <w:i/>
          <w:sz w:val="24"/>
        </w:rPr>
        <w:t xml:space="preserve">Tax buoyancy: </w:t>
      </w:r>
      <w:r>
        <w:rPr>
          <w:sz w:val="24"/>
        </w:rPr>
        <w:t>measures overall responsiveness of tax revenue to income growth, inclusive of discretionary changes.</w:t>
      </w:r>
    </w:p>
    <w:p w14:paraId="3C39AB0B" w14:textId="77777777" w:rsidR="007F713D" w:rsidRDefault="00B70B8E">
      <w:pPr>
        <w:pStyle w:val="ListParagraph"/>
        <w:numPr>
          <w:ilvl w:val="1"/>
          <w:numId w:val="5"/>
        </w:numPr>
        <w:tabs>
          <w:tab w:val="left" w:pos="1440"/>
        </w:tabs>
        <w:spacing w:line="278" w:lineRule="auto"/>
        <w:ind w:right="670"/>
        <w:rPr>
          <w:sz w:val="24"/>
        </w:rPr>
      </w:pPr>
      <w:r>
        <w:rPr>
          <w:i/>
          <w:sz w:val="24"/>
        </w:rPr>
        <w:t>Tax elasticity</w:t>
      </w:r>
      <w:r>
        <w:rPr>
          <w:sz w:val="24"/>
        </w:rPr>
        <w:t>: however, isolates automatic revenue movements by adjusting tax collections for discretionary effects.</w:t>
      </w:r>
    </w:p>
    <w:p w14:paraId="0B639373" w14:textId="77777777" w:rsidR="007F713D" w:rsidRDefault="00B70B8E">
      <w:pPr>
        <w:pStyle w:val="ListParagraph"/>
        <w:numPr>
          <w:ilvl w:val="1"/>
          <w:numId w:val="5"/>
        </w:numPr>
        <w:tabs>
          <w:tab w:val="left" w:pos="1428"/>
        </w:tabs>
        <w:spacing w:line="276" w:lineRule="auto"/>
        <w:ind w:left="1428" w:right="672" w:hanging="425"/>
        <w:rPr>
          <w:sz w:val="24"/>
        </w:rPr>
      </w:pPr>
      <w:r>
        <w:rPr>
          <w:i/>
          <w:sz w:val="24"/>
        </w:rPr>
        <w:t xml:space="preserve">Tax Effort: </w:t>
      </w:r>
      <w:r>
        <w:rPr>
          <w:sz w:val="24"/>
        </w:rPr>
        <w:t>assesses how effectively a state utilizes its tax base relative to its potential. A higher tax effort reflects administrative efficiency and willingness to mobilize own resources.</w:t>
      </w:r>
    </w:p>
    <w:p w14:paraId="061C5D13" w14:textId="77777777" w:rsidR="007F713D" w:rsidRDefault="00B70B8E">
      <w:pPr>
        <w:pStyle w:val="BodyText"/>
        <w:spacing w:line="274" w:lineRule="exact"/>
        <w:ind w:left="1428"/>
        <w:jc w:val="both"/>
      </w:pPr>
      <w:r>
        <w:t>These</w:t>
      </w:r>
      <w:r>
        <w:rPr>
          <w:spacing w:val="-3"/>
        </w:rPr>
        <w:t xml:space="preserve"> </w:t>
      </w:r>
      <w:r>
        <w:t>indicators capture</w:t>
      </w:r>
      <w:r>
        <w:rPr>
          <w:spacing w:val="-1"/>
        </w:rPr>
        <w:t xml:space="preserve"> </w:t>
      </w:r>
      <w:r>
        <w:t>the</w:t>
      </w:r>
      <w:r>
        <w:rPr>
          <w:spacing w:val="-2"/>
        </w:rPr>
        <w:t xml:space="preserve"> </w:t>
      </w:r>
      <w:r>
        <w:t>structure/strength</w:t>
      </w:r>
      <w:r>
        <w:rPr>
          <w:spacing w:val="-1"/>
        </w:rPr>
        <w:t xml:space="preserve"> </w:t>
      </w:r>
      <w:r>
        <w:t>of</w:t>
      </w:r>
      <w:r>
        <w:rPr>
          <w:spacing w:val="-1"/>
        </w:rPr>
        <w:t xml:space="preserve"> </w:t>
      </w:r>
      <w:r>
        <w:t>a</w:t>
      </w:r>
      <w:r>
        <w:rPr>
          <w:spacing w:val="-2"/>
        </w:rPr>
        <w:t xml:space="preserve"> </w:t>
      </w:r>
      <w:r>
        <w:t>state's</w:t>
      </w:r>
      <w:r>
        <w:rPr>
          <w:spacing w:val="-2"/>
        </w:rPr>
        <w:t xml:space="preserve"> </w:t>
      </w:r>
      <w:r>
        <w:t>tax</w:t>
      </w:r>
      <w:r>
        <w:rPr>
          <w:spacing w:val="-1"/>
        </w:rPr>
        <w:t xml:space="preserve"> </w:t>
      </w:r>
      <w:r>
        <w:rPr>
          <w:spacing w:val="-2"/>
        </w:rPr>
        <w:t>system.</w:t>
      </w:r>
    </w:p>
    <w:p w14:paraId="092B6185" w14:textId="77777777" w:rsidR="007F713D" w:rsidRDefault="00B70B8E">
      <w:pPr>
        <w:pStyle w:val="ListParagraph"/>
        <w:numPr>
          <w:ilvl w:val="0"/>
          <w:numId w:val="5"/>
        </w:numPr>
        <w:tabs>
          <w:tab w:val="left" w:pos="1145"/>
          <w:tab w:val="left" w:pos="1147"/>
        </w:tabs>
        <w:spacing w:before="38" w:line="276" w:lineRule="auto"/>
        <w:ind w:right="667"/>
        <w:jc w:val="both"/>
        <w:rPr>
          <w:sz w:val="24"/>
        </w:rPr>
      </w:pPr>
      <w:r>
        <w:rPr>
          <w:i/>
          <w:sz w:val="24"/>
        </w:rPr>
        <w:t xml:space="preserve">Expenditure Impacts and Efficiencies: </w:t>
      </w:r>
      <w:r>
        <w:rPr>
          <w:sz w:val="24"/>
        </w:rPr>
        <w:t>assess how productively government spending translates into developmental outcomes. The focus is on the composition and quality of</w:t>
      </w:r>
      <w:r>
        <w:rPr>
          <w:spacing w:val="-7"/>
          <w:sz w:val="24"/>
        </w:rPr>
        <w:t xml:space="preserve"> </w:t>
      </w:r>
      <w:r>
        <w:rPr>
          <w:sz w:val="24"/>
        </w:rPr>
        <w:t>expenditure,</w:t>
      </w:r>
      <w:r>
        <w:rPr>
          <w:spacing w:val="-4"/>
          <w:sz w:val="24"/>
        </w:rPr>
        <w:t xml:space="preserve"> </w:t>
      </w:r>
      <w:r>
        <w:rPr>
          <w:sz w:val="24"/>
        </w:rPr>
        <w:t>its</w:t>
      </w:r>
      <w:r>
        <w:rPr>
          <w:spacing w:val="-6"/>
          <w:sz w:val="24"/>
        </w:rPr>
        <w:t xml:space="preserve"> </w:t>
      </w:r>
      <w:r>
        <w:rPr>
          <w:sz w:val="24"/>
        </w:rPr>
        <w:t>effect</w:t>
      </w:r>
      <w:r>
        <w:rPr>
          <w:spacing w:val="-4"/>
          <w:sz w:val="24"/>
        </w:rPr>
        <w:t xml:space="preserve"> </w:t>
      </w:r>
      <w:r>
        <w:rPr>
          <w:sz w:val="24"/>
        </w:rPr>
        <w:t>on</w:t>
      </w:r>
      <w:r>
        <w:rPr>
          <w:spacing w:val="-5"/>
          <w:sz w:val="24"/>
        </w:rPr>
        <w:t xml:space="preserve"> </w:t>
      </w:r>
      <w:r>
        <w:rPr>
          <w:sz w:val="24"/>
        </w:rPr>
        <w:t>growth</w:t>
      </w:r>
      <w:r>
        <w:rPr>
          <w:spacing w:val="-5"/>
          <w:sz w:val="24"/>
        </w:rPr>
        <w:t xml:space="preserve"> </w:t>
      </w:r>
      <w:r>
        <w:rPr>
          <w:sz w:val="24"/>
        </w:rPr>
        <w:t>and</w:t>
      </w:r>
      <w:r>
        <w:rPr>
          <w:spacing w:val="-6"/>
          <w:sz w:val="24"/>
        </w:rPr>
        <w:t xml:space="preserve"> </w:t>
      </w:r>
      <w:r>
        <w:rPr>
          <w:sz w:val="24"/>
        </w:rPr>
        <w:t>social</w:t>
      </w:r>
      <w:r>
        <w:rPr>
          <w:spacing w:val="-6"/>
          <w:sz w:val="24"/>
        </w:rPr>
        <w:t xml:space="preserve"> </w:t>
      </w:r>
      <w:r>
        <w:rPr>
          <w:sz w:val="24"/>
        </w:rPr>
        <w:t>services,</w:t>
      </w:r>
      <w:r>
        <w:rPr>
          <w:spacing w:val="-6"/>
          <w:sz w:val="24"/>
        </w:rPr>
        <w:t xml:space="preserve"> </w:t>
      </w:r>
      <w:r>
        <w:rPr>
          <w:sz w:val="24"/>
        </w:rPr>
        <w:t>and</w:t>
      </w:r>
      <w:r>
        <w:rPr>
          <w:spacing w:val="-6"/>
          <w:sz w:val="24"/>
        </w:rPr>
        <w:t xml:space="preserve"> </w:t>
      </w:r>
      <w:r>
        <w:rPr>
          <w:sz w:val="24"/>
        </w:rPr>
        <w:t>whether</w:t>
      </w:r>
      <w:r>
        <w:rPr>
          <w:spacing w:val="-7"/>
          <w:sz w:val="24"/>
        </w:rPr>
        <w:t xml:space="preserve"> </w:t>
      </w:r>
      <w:r>
        <w:rPr>
          <w:sz w:val="24"/>
        </w:rPr>
        <w:t>spending</w:t>
      </w:r>
      <w:r>
        <w:rPr>
          <w:spacing w:val="-5"/>
          <w:sz w:val="24"/>
        </w:rPr>
        <w:t xml:space="preserve"> </w:t>
      </w:r>
      <w:r>
        <w:rPr>
          <w:sz w:val="24"/>
        </w:rPr>
        <w:t>delivers value without being crowded out by committed liabilities. It can also be assessed comparatively how a state is performing relative to other states.</w:t>
      </w:r>
    </w:p>
    <w:p w14:paraId="6048E6F5" w14:textId="77777777" w:rsidR="007F713D" w:rsidRDefault="00B70B8E">
      <w:pPr>
        <w:pStyle w:val="ListParagraph"/>
        <w:numPr>
          <w:ilvl w:val="0"/>
          <w:numId w:val="5"/>
        </w:numPr>
        <w:tabs>
          <w:tab w:val="left" w:pos="1145"/>
          <w:tab w:val="left" w:pos="1147"/>
        </w:tabs>
        <w:spacing w:line="276" w:lineRule="auto"/>
        <w:ind w:right="665"/>
        <w:jc w:val="both"/>
        <w:rPr>
          <w:sz w:val="24"/>
        </w:rPr>
      </w:pPr>
      <w:r>
        <w:rPr>
          <w:i/>
          <w:sz w:val="24"/>
        </w:rPr>
        <w:t xml:space="preserve">Central Transfer Dependency: </w:t>
      </w:r>
      <w:r>
        <w:rPr>
          <w:sz w:val="24"/>
        </w:rPr>
        <w:t>Transfer dependency measures the degree to which a state relies on central transfers to finance its expenditure needs. High dependency suggests weak fiscal autonomy.</w:t>
      </w:r>
    </w:p>
    <w:p w14:paraId="67D13552" w14:textId="77777777" w:rsidR="007F713D" w:rsidRDefault="00B70B8E">
      <w:pPr>
        <w:pStyle w:val="ListParagraph"/>
        <w:numPr>
          <w:ilvl w:val="0"/>
          <w:numId w:val="5"/>
        </w:numPr>
        <w:tabs>
          <w:tab w:val="left" w:pos="1051"/>
          <w:tab w:val="left" w:pos="1147"/>
        </w:tabs>
        <w:spacing w:line="276" w:lineRule="auto"/>
        <w:ind w:right="670"/>
        <w:jc w:val="both"/>
        <w:rPr>
          <w:sz w:val="24"/>
        </w:rPr>
      </w:pPr>
      <w:r>
        <w:rPr>
          <w:i/>
          <w:sz w:val="24"/>
        </w:rPr>
        <w:t>Debt</w:t>
      </w:r>
      <w:r>
        <w:rPr>
          <w:i/>
          <w:spacing w:val="-9"/>
          <w:sz w:val="24"/>
        </w:rPr>
        <w:t xml:space="preserve"> </w:t>
      </w:r>
      <w:r>
        <w:rPr>
          <w:i/>
          <w:sz w:val="24"/>
        </w:rPr>
        <w:t>Sustainability:</w:t>
      </w:r>
      <w:r>
        <w:rPr>
          <w:i/>
          <w:spacing w:val="-12"/>
          <w:sz w:val="24"/>
        </w:rPr>
        <w:t xml:space="preserve"> </w:t>
      </w:r>
      <w:r>
        <w:rPr>
          <w:sz w:val="24"/>
        </w:rPr>
        <w:t>Debt</w:t>
      </w:r>
      <w:r>
        <w:rPr>
          <w:spacing w:val="-9"/>
          <w:sz w:val="24"/>
        </w:rPr>
        <w:t xml:space="preserve"> </w:t>
      </w:r>
      <w:r>
        <w:rPr>
          <w:sz w:val="24"/>
        </w:rPr>
        <w:t>sustainability</w:t>
      </w:r>
      <w:r>
        <w:rPr>
          <w:spacing w:val="-9"/>
          <w:sz w:val="24"/>
        </w:rPr>
        <w:t xml:space="preserve"> </w:t>
      </w:r>
      <w:r>
        <w:rPr>
          <w:sz w:val="24"/>
        </w:rPr>
        <w:t>evaluates</w:t>
      </w:r>
      <w:r>
        <w:rPr>
          <w:spacing w:val="-10"/>
          <w:sz w:val="24"/>
        </w:rPr>
        <w:t xml:space="preserve"> </w:t>
      </w:r>
      <w:r>
        <w:rPr>
          <w:sz w:val="24"/>
        </w:rPr>
        <w:t>a</w:t>
      </w:r>
      <w:r>
        <w:rPr>
          <w:spacing w:val="-10"/>
          <w:sz w:val="24"/>
        </w:rPr>
        <w:t xml:space="preserve"> </w:t>
      </w:r>
      <w:r>
        <w:rPr>
          <w:sz w:val="24"/>
        </w:rPr>
        <w:t>state's</w:t>
      </w:r>
      <w:r>
        <w:rPr>
          <w:spacing w:val="-9"/>
          <w:sz w:val="24"/>
        </w:rPr>
        <w:t xml:space="preserve"> </w:t>
      </w:r>
      <w:r>
        <w:rPr>
          <w:sz w:val="24"/>
        </w:rPr>
        <w:t>ability</w:t>
      </w:r>
      <w:r>
        <w:rPr>
          <w:spacing w:val="-9"/>
          <w:sz w:val="24"/>
        </w:rPr>
        <w:t xml:space="preserve"> </w:t>
      </w:r>
      <w:r>
        <w:rPr>
          <w:sz w:val="24"/>
        </w:rPr>
        <w:t>to</w:t>
      </w:r>
      <w:r>
        <w:rPr>
          <w:spacing w:val="-11"/>
          <w:sz w:val="24"/>
        </w:rPr>
        <w:t xml:space="preserve"> </w:t>
      </w:r>
      <w:r>
        <w:rPr>
          <w:sz w:val="24"/>
        </w:rPr>
        <w:t>service</w:t>
      </w:r>
      <w:r>
        <w:rPr>
          <w:spacing w:val="-10"/>
          <w:sz w:val="24"/>
        </w:rPr>
        <w:t xml:space="preserve"> </w:t>
      </w:r>
      <w:r>
        <w:rPr>
          <w:sz w:val="24"/>
        </w:rPr>
        <w:t>and</w:t>
      </w:r>
      <w:r>
        <w:rPr>
          <w:spacing w:val="-9"/>
          <w:sz w:val="24"/>
        </w:rPr>
        <w:t xml:space="preserve"> </w:t>
      </w:r>
      <w:r>
        <w:rPr>
          <w:sz w:val="24"/>
        </w:rPr>
        <w:t>manage its long-term liabilities without compromising future development expenditure.</w:t>
      </w:r>
    </w:p>
    <w:p w14:paraId="5FF76F57" w14:textId="77777777" w:rsidR="007F713D" w:rsidRDefault="00B70B8E">
      <w:pPr>
        <w:pStyle w:val="BodyText"/>
        <w:spacing w:line="275" w:lineRule="exact"/>
        <w:ind w:left="720"/>
        <w:jc w:val="both"/>
      </w:pPr>
      <w:r>
        <w:lastRenderedPageBreak/>
        <w:t>All</w:t>
      </w:r>
      <w:r>
        <w:rPr>
          <w:spacing w:val="-1"/>
        </w:rPr>
        <w:t xml:space="preserve"> </w:t>
      </w:r>
      <w:r>
        <w:t>these</w:t>
      </w:r>
      <w:r>
        <w:rPr>
          <w:spacing w:val="-2"/>
        </w:rPr>
        <w:t xml:space="preserve"> </w:t>
      </w:r>
      <w:r>
        <w:t>pillars</w:t>
      </w:r>
      <w:r>
        <w:rPr>
          <w:spacing w:val="-1"/>
        </w:rPr>
        <w:t xml:space="preserve"> </w:t>
      </w:r>
      <w:r>
        <w:t>together</w:t>
      </w:r>
      <w:r>
        <w:rPr>
          <w:spacing w:val="2"/>
        </w:rPr>
        <w:t xml:space="preserve"> </w:t>
      </w:r>
      <w:r>
        <w:t>provide</w:t>
      </w:r>
      <w:r>
        <w:rPr>
          <w:spacing w:val="-3"/>
        </w:rPr>
        <w:t xml:space="preserve"> </w:t>
      </w:r>
      <w:r>
        <w:t>a</w:t>
      </w:r>
      <w:r>
        <w:rPr>
          <w:spacing w:val="-1"/>
        </w:rPr>
        <w:t xml:space="preserve"> </w:t>
      </w:r>
      <w:r>
        <w:t>multidimensional view</w:t>
      </w:r>
      <w:r>
        <w:rPr>
          <w:spacing w:val="-1"/>
        </w:rPr>
        <w:t xml:space="preserve"> </w:t>
      </w:r>
      <w:r>
        <w:t>of</w:t>
      </w:r>
      <w:r>
        <w:rPr>
          <w:spacing w:val="-2"/>
        </w:rPr>
        <w:t xml:space="preserve"> </w:t>
      </w:r>
      <w:r>
        <w:t>a</w:t>
      </w:r>
      <w:r>
        <w:rPr>
          <w:spacing w:val="-2"/>
        </w:rPr>
        <w:t xml:space="preserve"> </w:t>
      </w:r>
      <w:r>
        <w:t xml:space="preserve">state's fiscal </w:t>
      </w:r>
      <w:r>
        <w:rPr>
          <w:spacing w:val="-2"/>
        </w:rPr>
        <w:t>health.</w:t>
      </w:r>
    </w:p>
    <w:p w14:paraId="327753AB" w14:textId="77777777" w:rsidR="007F713D" w:rsidRDefault="007F713D">
      <w:pPr>
        <w:pStyle w:val="BodyText"/>
      </w:pPr>
    </w:p>
    <w:p w14:paraId="50F3C7BD" w14:textId="77777777" w:rsidR="007F713D" w:rsidRDefault="00B70B8E">
      <w:pPr>
        <w:pStyle w:val="Heading1"/>
        <w:numPr>
          <w:ilvl w:val="0"/>
          <w:numId w:val="7"/>
        </w:numPr>
        <w:tabs>
          <w:tab w:val="left" w:pos="4014"/>
        </w:tabs>
        <w:ind w:left="4014" w:hanging="385"/>
        <w:jc w:val="both"/>
      </w:pPr>
      <w:r>
        <w:t>Integrated</w:t>
      </w:r>
      <w:r>
        <w:rPr>
          <w:spacing w:val="-5"/>
        </w:rPr>
        <w:t xml:space="preserve"> </w:t>
      </w:r>
      <w:r>
        <w:rPr>
          <w:spacing w:val="-2"/>
        </w:rPr>
        <w:t>Methodology</w:t>
      </w:r>
    </w:p>
    <w:p w14:paraId="33428AE8" w14:textId="77777777" w:rsidR="007F713D" w:rsidRPr="00886C93" w:rsidRDefault="00B70B8E">
      <w:pPr>
        <w:pStyle w:val="BodyText"/>
        <w:spacing w:before="41" w:line="276" w:lineRule="auto"/>
        <w:ind w:left="720" w:right="672"/>
        <w:jc w:val="both"/>
        <w:rPr>
          <w:i/>
          <w:iCs/>
        </w:rPr>
      </w:pPr>
      <w:r w:rsidRPr="00886C93">
        <w:rPr>
          <w:i/>
          <w:iCs/>
        </w:rPr>
        <w:t>This section presents the methods that may be used to understand, estimate, and evaluate the various aspects of state finances discussed in Section III of the present paper. The methods for evaluating different aspects of state finances are as follows: -</w:t>
      </w:r>
    </w:p>
    <w:p w14:paraId="1AD7B9AE" w14:textId="77777777" w:rsidR="007F713D" w:rsidRDefault="007F713D">
      <w:pPr>
        <w:pStyle w:val="BodyText"/>
        <w:spacing w:before="41"/>
      </w:pPr>
    </w:p>
    <w:p w14:paraId="60FB020E" w14:textId="77777777" w:rsidR="007F713D" w:rsidRDefault="00B70B8E">
      <w:pPr>
        <w:pStyle w:val="ListParagraph"/>
        <w:numPr>
          <w:ilvl w:val="0"/>
          <w:numId w:val="4"/>
        </w:numPr>
        <w:tabs>
          <w:tab w:val="left" w:pos="1146"/>
        </w:tabs>
        <w:ind w:left="1146" w:hanging="426"/>
        <w:jc w:val="both"/>
        <w:rPr>
          <w:i/>
          <w:sz w:val="24"/>
        </w:rPr>
      </w:pPr>
      <w:r>
        <w:rPr>
          <w:i/>
          <w:sz w:val="24"/>
        </w:rPr>
        <w:t>A</w:t>
      </w:r>
      <w:r>
        <w:rPr>
          <w:i/>
          <w:spacing w:val="-3"/>
          <w:sz w:val="24"/>
        </w:rPr>
        <w:t xml:space="preserve"> </w:t>
      </w:r>
      <w:r>
        <w:rPr>
          <w:i/>
          <w:sz w:val="24"/>
        </w:rPr>
        <w:t>Trend</w:t>
      </w:r>
      <w:r>
        <w:rPr>
          <w:i/>
          <w:spacing w:val="-1"/>
          <w:sz w:val="24"/>
        </w:rPr>
        <w:t xml:space="preserve"> </w:t>
      </w:r>
      <w:r>
        <w:rPr>
          <w:i/>
          <w:sz w:val="24"/>
        </w:rPr>
        <w:t>and</w:t>
      </w:r>
      <w:r>
        <w:rPr>
          <w:i/>
          <w:spacing w:val="-1"/>
          <w:sz w:val="24"/>
        </w:rPr>
        <w:t xml:space="preserve"> </w:t>
      </w:r>
      <w:r>
        <w:rPr>
          <w:i/>
          <w:sz w:val="24"/>
        </w:rPr>
        <w:t>Composition</w:t>
      </w:r>
      <w:r>
        <w:rPr>
          <w:i/>
          <w:spacing w:val="-1"/>
          <w:sz w:val="24"/>
        </w:rPr>
        <w:t xml:space="preserve"> </w:t>
      </w:r>
      <w:r>
        <w:rPr>
          <w:i/>
          <w:sz w:val="24"/>
        </w:rPr>
        <w:t>Analysis</w:t>
      </w:r>
      <w:r>
        <w:rPr>
          <w:i/>
          <w:spacing w:val="-1"/>
          <w:sz w:val="24"/>
        </w:rPr>
        <w:t xml:space="preserve"> </w:t>
      </w:r>
      <w:r>
        <w:rPr>
          <w:i/>
          <w:sz w:val="24"/>
        </w:rPr>
        <w:t>(Basic</w:t>
      </w:r>
      <w:r>
        <w:rPr>
          <w:i/>
          <w:spacing w:val="-2"/>
          <w:sz w:val="24"/>
        </w:rPr>
        <w:t xml:space="preserve"> </w:t>
      </w:r>
      <w:r>
        <w:rPr>
          <w:i/>
          <w:sz w:val="24"/>
        </w:rPr>
        <w:t xml:space="preserve">Statistical </w:t>
      </w:r>
      <w:r>
        <w:rPr>
          <w:i/>
          <w:spacing w:val="-2"/>
          <w:sz w:val="24"/>
        </w:rPr>
        <w:t>Tools)</w:t>
      </w:r>
    </w:p>
    <w:p w14:paraId="1C6642C5" w14:textId="77777777" w:rsidR="007F713D" w:rsidRDefault="00B70B8E">
      <w:pPr>
        <w:pStyle w:val="BodyText"/>
        <w:spacing w:before="61" w:line="276" w:lineRule="auto"/>
        <w:ind w:left="720" w:right="666"/>
        <w:jc w:val="both"/>
      </w:pPr>
      <w:r>
        <w:t xml:space="preserve">Before applying advanced tools such as tax buoyancy, elasticity estimation, or debt-sustainability models, the study begins with a </w:t>
      </w:r>
      <w:r w:rsidRPr="005E447E">
        <w:t>structured trend and composition analysis</w:t>
      </w:r>
      <w:r>
        <w:rPr>
          <w:b/>
        </w:rPr>
        <w:t xml:space="preserve"> </w:t>
      </w:r>
      <w:r>
        <w:t>to establish the underlying fiscal behaviour of the state.</w:t>
      </w:r>
    </w:p>
    <w:p w14:paraId="1A1C4747" w14:textId="77777777" w:rsidR="007F713D" w:rsidRDefault="00B70B8E">
      <w:pPr>
        <w:pStyle w:val="BodyText"/>
        <w:spacing w:before="1" w:line="276" w:lineRule="auto"/>
        <w:ind w:left="720" w:right="663"/>
        <w:jc w:val="both"/>
      </w:pPr>
      <w:r>
        <w:t>This preliminary analysis uses basic statistical techniques—percentages and ratios to examine</w:t>
      </w:r>
      <w:r>
        <w:rPr>
          <w:spacing w:val="-14"/>
        </w:rPr>
        <w:t xml:space="preserve"> </w:t>
      </w:r>
      <w:r>
        <w:t>the</w:t>
      </w:r>
      <w:r>
        <w:rPr>
          <w:spacing w:val="-14"/>
        </w:rPr>
        <w:t xml:space="preserve"> </w:t>
      </w:r>
      <w:r>
        <w:t>structure</w:t>
      </w:r>
      <w:r>
        <w:rPr>
          <w:spacing w:val="-15"/>
        </w:rPr>
        <w:t xml:space="preserve"> </w:t>
      </w:r>
      <w:r>
        <w:t>of</w:t>
      </w:r>
      <w:r>
        <w:rPr>
          <w:spacing w:val="-11"/>
        </w:rPr>
        <w:t xml:space="preserve"> </w:t>
      </w:r>
      <w:r>
        <w:t>receipts</w:t>
      </w:r>
      <w:r>
        <w:rPr>
          <w:spacing w:val="-13"/>
        </w:rPr>
        <w:t xml:space="preserve"> </w:t>
      </w:r>
      <w:r>
        <w:t>and</w:t>
      </w:r>
      <w:r>
        <w:rPr>
          <w:spacing w:val="-11"/>
        </w:rPr>
        <w:t xml:space="preserve"> </w:t>
      </w:r>
      <w:r>
        <w:t>expenditure,</w:t>
      </w:r>
      <w:r>
        <w:rPr>
          <w:spacing w:val="-11"/>
        </w:rPr>
        <w:t xml:space="preserve"> </w:t>
      </w:r>
      <w:r>
        <w:t>averages</w:t>
      </w:r>
      <w:r>
        <w:rPr>
          <w:spacing w:val="-13"/>
        </w:rPr>
        <w:t xml:space="preserve"> </w:t>
      </w:r>
      <w:r>
        <w:t>and</w:t>
      </w:r>
      <w:r>
        <w:rPr>
          <w:spacing w:val="-13"/>
        </w:rPr>
        <w:t xml:space="preserve"> </w:t>
      </w:r>
      <w:r>
        <w:t>moving</w:t>
      </w:r>
      <w:r>
        <w:rPr>
          <w:spacing w:val="-13"/>
        </w:rPr>
        <w:t xml:space="preserve"> </w:t>
      </w:r>
      <w:r>
        <w:t>averages</w:t>
      </w:r>
      <w:r>
        <w:rPr>
          <w:spacing w:val="-13"/>
        </w:rPr>
        <w:t xml:space="preserve"> </w:t>
      </w:r>
      <w:r>
        <w:t>to</w:t>
      </w:r>
      <w:r>
        <w:rPr>
          <w:spacing w:val="-13"/>
        </w:rPr>
        <w:t xml:space="preserve"> </w:t>
      </w:r>
      <w:r>
        <w:t>smooth short-term fluctuations, and both annual and compound annual growth rates (CAGR) to capture short-term and long-term growth patterns. Trend lines and simple decomposition methods are further employed to identify structural shifts in major fiscal variables.</w:t>
      </w:r>
    </w:p>
    <w:p w14:paraId="49E71BC0" w14:textId="77777777" w:rsidR="007F713D" w:rsidRDefault="00B70B8E">
      <w:pPr>
        <w:pStyle w:val="BodyText"/>
        <w:spacing w:line="276" w:lineRule="exact"/>
        <w:ind w:left="720"/>
        <w:jc w:val="both"/>
      </w:pPr>
      <w:r>
        <w:t>This</w:t>
      </w:r>
      <w:r>
        <w:rPr>
          <w:spacing w:val="-2"/>
        </w:rPr>
        <w:t xml:space="preserve"> </w:t>
      </w:r>
      <w:r>
        <w:t>framework</w:t>
      </w:r>
      <w:r>
        <w:rPr>
          <w:spacing w:val="-1"/>
        </w:rPr>
        <w:t xml:space="preserve"> </w:t>
      </w:r>
      <w:r>
        <w:t>enables a</w:t>
      </w:r>
      <w:r>
        <w:rPr>
          <w:spacing w:val="-2"/>
        </w:rPr>
        <w:t xml:space="preserve"> </w:t>
      </w:r>
      <w:r>
        <w:t>systematic</w:t>
      </w:r>
      <w:r>
        <w:rPr>
          <w:spacing w:val="-1"/>
        </w:rPr>
        <w:t xml:space="preserve"> </w:t>
      </w:r>
      <w:r>
        <w:t>assessment</w:t>
      </w:r>
      <w:r>
        <w:rPr>
          <w:spacing w:val="1"/>
        </w:rPr>
        <w:t xml:space="preserve"> </w:t>
      </w:r>
      <w:r>
        <w:rPr>
          <w:spacing w:val="-5"/>
        </w:rPr>
        <w:t>of:</w:t>
      </w:r>
    </w:p>
    <w:p w14:paraId="42206DFD" w14:textId="77777777" w:rsidR="007F713D" w:rsidRDefault="00B70B8E">
      <w:pPr>
        <w:pStyle w:val="ListParagraph"/>
        <w:numPr>
          <w:ilvl w:val="1"/>
          <w:numId w:val="4"/>
        </w:numPr>
        <w:tabs>
          <w:tab w:val="left" w:pos="1001"/>
          <w:tab w:val="left" w:pos="1003"/>
        </w:tabs>
        <w:spacing w:before="41" w:line="278" w:lineRule="auto"/>
        <w:ind w:left="1003" w:right="666" w:hanging="284"/>
        <w:rPr>
          <w:rFonts w:ascii="Symbol" w:hAnsi="Symbol"/>
          <w:sz w:val="20"/>
        </w:rPr>
      </w:pPr>
      <w:r w:rsidRPr="00886C93">
        <w:rPr>
          <w:bCs/>
          <w:i/>
          <w:iCs/>
          <w:sz w:val="24"/>
        </w:rPr>
        <w:t>Receipts structure</w:t>
      </w:r>
      <w:r>
        <w:rPr>
          <w:sz w:val="24"/>
        </w:rPr>
        <w:t>—revenue vs. capital receipts, tax vs. non-tax components, and the relative contribution of own-source revenue and central transfers.</w:t>
      </w:r>
    </w:p>
    <w:p w14:paraId="7128698F" w14:textId="77777777" w:rsidR="007F713D" w:rsidRDefault="00B70B8E">
      <w:pPr>
        <w:pStyle w:val="ListParagraph"/>
        <w:numPr>
          <w:ilvl w:val="1"/>
          <w:numId w:val="4"/>
        </w:numPr>
        <w:tabs>
          <w:tab w:val="left" w:pos="1001"/>
          <w:tab w:val="left" w:pos="1003"/>
        </w:tabs>
        <w:spacing w:line="276" w:lineRule="auto"/>
        <w:ind w:left="1003" w:right="667" w:hanging="284"/>
        <w:rPr>
          <w:rFonts w:ascii="Symbol" w:hAnsi="Symbol"/>
          <w:sz w:val="20"/>
        </w:rPr>
      </w:pPr>
      <w:r w:rsidRPr="00886C93">
        <w:rPr>
          <w:bCs/>
          <w:i/>
          <w:iCs/>
          <w:sz w:val="24"/>
        </w:rPr>
        <w:t>Expenditure structure</w:t>
      </w:r>
      <w:r>
        <w:rPr>
          <w:sz w:val="24"/>
        </w:rPr>
        <w:t>—revenue vs. capital expenditure, developmental vs. non-developmental spending, and committed expenditure such as salaries, pensions, and interest payments.</w:t>
      </w:r>
    </w:p>
    <w:p w14:paraId="36668D4F" w14:textId="77777777" w:rsidR="007F713D" w:rsidRDefault="00B70B8E">
      <w:pPr>
        <w:pStyle w:val="ListParagraph"/>
        <w:numPr>
          <w:ilvl w:val="1"/>
          <w:numId w:val="4"/>
        </w:numPr>
        <w:tabs>
          <w:tab w:val="left" w:pos="1002"/>
        </w:tabs>
        <w:spacing w:line="276" w:lineRule="auto"/>
        <w:ind w:left="720" w:right="668" w:firstLine="0"/>
        <w:jc w:val="left"/>
        <w:rPr>
          <w:rFonts w:ascii="Symbol" w:hAnsi="Symbol"/>
          <w:sz w:val="20"/>
        </w:rPr>
      </w:pPr>
      <w:r w:rsidRPr="00886C93">
        <w:rPr>
          <w:bCs/>
          <w:i/>
          <w:iCs/>
          <w:sz w:val="24"/>
        </w:rPr>
        <w:t>Debt behaviour</w:t>
      </w:r>
      <w:r>
        <w:rPr>
          <w:sz w:val="24"/>
        </w:rPr>
        <w:t>—growth patterns, composition, and movement in interest burdens.</w:t>
      </w:r>
      <w:r>
        <w:rPr>
          <w:spacing w:val="40"/>
          <w:sz w:val="24"/>
        </w:rPr>
        <w:t xml:space="preserve"> </w:t>
      </w:r>
      <w:r>
        <w:rPr>
          <w:sz w:val="24"/>
        </w:rPr>
        <w:t>By</w:t>
      </w:r>
      <w:r>
        <w:rPr>
          <w:spacing w:val="-8"/>
          <w:sz w:val="24"/>
        </w:rPr>
        <w:t xml:space="preserve"> </w:t>
      </w:r>
      <w:r>
        <w:rPr>
          <w:sz w:val="24"/>
        </w:rPr>
        <w:t>mapping</w:t>
      </w:r>
      <w:r>
        <w:rPr>
          <w:spacing w:val="-8"/>
          <w:sz w:val="24"/>
        </w:rPr>
        <w:t xml:space="preserve"> </w:t>
      </w:r>
      <w:r>
        <w:rPr>
          <w:sz w:val="24"/>
        </w:rPr>
        <w:t>long-term</w:t>
      </w:r>
      <w:r>
        <w:rPr>
          <w:spacing w:val="-7"/>
          <w:sz w:val="24"/>
        </w:rPr>
        <w:t xml:space="preserve"> </w:t>
      </w:r>
      <w:r>
        <w:rPr>
          <w:sz w:val="24"/>
        </w:rPr>
        <w:t>fiscal</w:t>
      </w:r>
      <w:r>
        <w:rPr>
          <w:spacing w:val="-7"/>
          <w:sz w:val="24"/>
        </w:rPr>
        <w:t xml:space="preserve"> </w:t>
      </w:r>
      <w:r>
        <w:rPr>
          <w:sz w:val="24"/>
        </w:rPr>
        <w:t>patterns</w:t>
      </w:r>
      <w:r>
        <w:rPr>
          <w:spacing w:val="-8"/>
          <w:sz w:val="24"/>
        </w:rPr>
        <w:t xml:space="preserve"> </w:t>
      </w:r>
      <w:r>
        <w:rPr>
          <w:sz w:val="24"/>
        </w:rPr>
        <w:t>and</w:t>
      </w:r>
      <w:r>
        <w:rPr>
          <w:spacing w:val="-8"/>
          <w:sz w:val="24"/>
        </w:rPr>
        <w:t xml:space="preserve"> </w:t>
      </w:r>
      <w:r>
        <w:rPr>
          <w:sz w:val="24"/>
        </w:rPr>
        <w:t>compositional</w:t>
      </w:r>
      <w:r>
        <w:rPr>
          <w:spacing w:val="-8"/>
          <w:sz w:val="24"/>
        </w:rPr>
        <w:t xml:space="preserve"> </w:t>
      </w:r>
      <w:r>
        <w:rPr>
          <w:sz w:val="24"/>
        </w:rPr>
        <w:t>changes,</w:t>
      </w:r>
      <w:r>
        <w:rPr>
          <w:spacing w:val="-8"/>
          <w:sz w:val="24"/>
        </w:rPr>
        <w:t xml:space="preserve"> </w:t>
      </w:r>
      <w:r>
        <w:rPr>
          <w:sz w:val="24"/>
        </w:rPr>
        <w:t>this</w:t>
      </w:r>
      <w:r>
        <w:rPr>
          <w:spacing w:val="-8"/>
          <w:sz w:val="24"/>
        </w:rPr>
        <w:t xml:space="preserve"> </w:t>
      </w:r>
      <w:r>
        <w:rPr>
          <w:sz w:val="24"/>
        </w:rPr>
        <w:t>trend-based</w:t>
      </w:r>
      <w:r>
        <w:rPr>
          <w:spacing w:val="-8"/>
          <w:sz w:val="24"/>
        </w:rPr>
        <w:t xml:space="preserve"> </w:t>
      </w:r>
      <w:r>
        <w:rPr>
          <w:sz w:val="24"/>
        </w:rPr>
        <w:t>analysis builds</w:t>
      </w:r>
      <w:r>
        <w:rPr>
          <w:spacing w:val="-8"/>
          <w:sz w:val="24"/>
        </w:rPr>
        <w:t xml:space="preserve"> </w:t>
      </w:r>
      <w:r>
        <w:rPr>
          <w:sz w:val="24"/>
        </w:rPr>
        <w:t>a</w:t>
      </w:r>
      <w:r>
        <w:rPr>
          <w:spacing w:val="-9"/>
          <w:sz w:val="24"/>
        </w:rPr>
        <w:t xml:space="preserve"> </w:t>
      </w:r>
      <w:r>
        <w:rPr>
          <w:sz w:val="24"/>
        </w:rPr>
        <w:t>necessary</w:t>
      </w:r>
      <w:r>
        <w:rPr>
          <w:spacing w:val="-9"/>
          <w:sz w:val="24"/>
        </w:rPr>
        <w:t xml:space="preserve"> </w:t>
      </w:r>
      <w:r>
        <w:rPr>
          <w:sz w:val="24"/>
        </w:rPr>
        <w:t>foundation</w:t>
      </w:r>
      <w:r>
        <w:rPr>
          <w:spacing w:val="-8"/>
          <w:sz w:val="24"/>
        </w:rPr>
        <w:t xml:space="preserve"> </w:t>
      </w:r>
      <w:r>
        <w:rPr>
          <w:sz w:val="24"/>
        </w:rPr>
        <w:t>for</w:t>
      </w:r>
      <w:r>
        <w:rPr>
          <w:spacing w:val="-10"/>
          <w:sz w:val="24"/>
        </w:rPr>
        <w:t xml:space="preserve"> </w:t>
      </w:r>
      <w:r>
        <w:rPr>
          <w:sz w:val="24"/>
        </w:rPr>
        <w:t>interpreting</w:t>
      </w:r>
      <w:r>
        <w:rPr>
          <w:spacing w:val="-8"/>
          <w:sz w:val="24"/>
        </w:rPr>
        <w:t xml:space="preserve"> </w:t>
      </w:r>
      <w:r>
        <w:rPr>
          <w:sz w:val="24"/>
        </w:rPr>
        <w:t>the</w:t>
      </w:r>
      <w:r>
        <w:rPr>
          <w:spacing w:val="-6"/>
          <w:sz w:val="24"/>
        </w:rPr>
        <w:t xml:space="preserve"> </w:t>
      </w:r>
      <w:r>
        <w:rPr>
          <w:sz w:val="24"/>
        </w:rPr>
        <w:t>behaviour</w:t>
      </w:r>
      <w:r>
        <w:rPr>
          <w:spacing w:val="-9"/>
          <w:sz w:val="24"/>
        </w:rPr>
        <w:t xml:space="preserve"> </w:t>
      </w:r>
      <w:r>
        <w:rPr>
          <w:sz w:val="24"/>
        </w:rPr>
        <w:t>and</w:t>
      </w:r>
      <w:r>
        <w:rPr>
          <w:spacing w:val="-6"/>
          <w:sz w:val="24"/>
        </w:rPr>
        <w:t xml:space="preserve"> </w:t>
      </w:r>
      <w:r>
        <w:rPr>
          <w:sz w:val="24"/>
        </w:rPr>
        <w:t>stability</w:t>
      </w:r>
      <w:r>
        <w:rPr>
          <w:spacing w:val="-8"/>
          <w:sz w:val="24"/>
        </w:rPr>
        <w:t xml:space="preserve"> </w:t>
      </w:r>
      <w:r>
        <w:rPr>
          <w:sz w:val="24"/>
        </w:rPr>
        <w:t>of</w:t>
      </w:r>
      <w:r>
        <w:rPr>
          <w:spacing w:val="-9"/>
          <w:sz w:val="24"/>
        </w:rPr>
        <w:t xml:space="preserve"> </w:t>
      </w:r>
      <w:r>
        <w:rPr>
          <w:sz w:val="24"/>
        </w:rPr>
        <w:t>fiscal</w:t>
      </w:r>
      <w:r>
        <w:rPr>
          <w:spacing w:val="-8"/>
          <w:sz w:val="24"/>
        </w:rPr>
        <w:t xml:space="preserve"> </w:t>
      </w:r>
      <w:r>
        <w:rPr>
          <w:sz w:val="24"/>
        </w:rPr>
        <w:t>variables before estimating tax buoyancy, elasticity, or</w:t>
      </w:r>
      <w:r>
        <w:rPr>
          <w:spacing w:val="-1"/>
          <w:sz w:val="24"/>
        </w:rPr>
        <w:t xml:space="preserve"> </w:t>
      </w:r>
      <w:r>
        <w:rPr>
          <w:sz w:val="24"/>
        </w:rPr>
        <w:t>undertaking debt-sustainability assessments.</w:t>
      </w:r>
    </w:p>
    <w:p w14:paraId="1747DB01" w14:textId="77777777" w:rsidR="007F713D" w:rsidRDefault="007F713D">
      <w:pPr>
        <w:pStyle w:val="BodyText"/>
        <w:spacing w:before="37"/>
      </w:pPr>
    </w:p>
    <w:p w14:paraId="3AA97DE5" w14:textId="77777777" w:rsidR="007F713D" w:rsidRDefault="00B70B8E">
      <w:pPr>
        <w:pStyle w:val="ListParagraph"/>
        <w:numPr>
          <w:ilvl w:val="0"/>
          <w:numId w:val="4"/>
        </w:numPr>
        <w:tabs>
          <w:tab w:val="left" w:pos="1206"/>
        </w:tabs>
        <w:spacing w:before="1"/>
        <w:ind w:left="1206" w:hanging="486"/>
        <w:jc w:val="both"/>
        <w:rPr>
          <w:i/>
          <w:sz w:val="24"/>
        </w:rPr>
      </w:pPr>
      <w:r>
        <w:rPr>
          <w:i/>
          <w:sz w:val="24"/>
        </w:rPr>
        <w:t>Estimating</w:t>
      </w:r>
      <w:r>
        <w:rPr>
          <w:i/>
          <w:spacing w:val="-1"/>
          <w:sz w:val="24"/>
        </w:rPr>
        <w:t xml:space="preserve"> </w:t>
      </w:r>
      <w:r>
        <w:rPr>
          <w:i/>
          <w:sz w:val="24"/>
        </w:rPr>
        <w:t>Tax</w:t>
      </w:r>
      <w:r>
        <w:rPr>
          <w:i/>
          <w:spacing w:val="-1"/>
          <w:sz w:val="24"/>
        </w:rPr>
        <w:t xml:space="preserve"> </w:t>
      </w:r>
      <w:r>
        <w:rPr>
          <w:i/>
          <w:sz w:val="24"/>
        </w:rPr>
        <w:t>Buoyancy</w:t>
      </w:r>
      <w:r>
        <w:rPr>
          <w:i/>
          <w:spacing w:val="-2"/>
          <w:sz w:val="24"/>
        </w:rPr>
        <w:t xml:space="preserve"> </w:t>
      </w:r>
      <w:r>
        <w:rPr>
          <w:i/>
          <w:sz w:val="24"/>
        </w:rPr>
        <w:t xml:space="preserve">and </w:t>
      </w:r>
      <w:r>
        <w:rPr>
          <w:i/>
          <w:spacing w:val="-2"/>
          <w:sz w:val="24"/>
        </w:rPr>
        <w:t>Elasticity</w:t>
      </w:r>
    </w:p>
    <w:p w14:paraId="134F8D71" w14:textId="77777777" w:rsidR="007F713D" w:rsidRDefault="00B70B8E">
      <w:pPr>
        <w:pStyle w:val="ListParagraph"/>
        <w:numPr>
          <w:ilvl w:val="1"/>
          <w:numId w:val="4"/>
        </w:numPr>
        <w:tabs>
          <w:tab w:val="left" w:pos="1439"/>
        </w:tabs>
        <w:spacing w:before="42"/>
        <w:ind w:left="1439" w:hanging="359"/>
        <w:rPr>
          <w:rFonts w:ascii="Symbol" w:hAnsi="Symbol"/>
          <w:sz w:val="24"/>
        </w:rPr>
      </w:pPr>
      <w:r>
        <w:rPr>
          <w:sz w:val="24"/>
        </w:rPr>
        <w:t>Buoyancy</w:t>
      </w:r>
      <w:r>
        <w:rPr>
          <w:spacing w:val="-2"/>
          <w:sz w:val="24"/>
        </w:rPr>
        <w:t xml:space="preserve"> </w:t>
      </w:r>
      <w:r>
        <w:rPr>
          <w:sz w:val="24"/>
        </w:rPr>
        <w:t>Estimation</w:t>
      </w:r>
      <w:r>
        <w:rPr>
          <w:spacing w:val="-1"/>
          <w:sz w:val="24"/>
        </w:rPr>
        <w:t xml:space="preserve"> </w:t>
      </w:r>
      <w:r>
        <w:rPr>
          <w:sz w:val="24"/>
        </w:rPr>
        <w:t>(Haughton,</w:t>
      </w:r>
      <w:r>
        <w:rPr>
          <w:spacing w:val="-1"/>
          <w:sz w:val="24"/>
        </w:rPr>
        <w:t xml:space="preserve"> </w:t>
      </w:r>
      <w:r>
        <w:rPr>
          <w:spacing w:val="-2"/>
          <w:sz w:val="24"/>
        </w:rPr>
        <w:t>1998)</w:t>
      </w:r>
    </w:p>
    <w:p w14:paraId="6DF1D3F5" w14:textId="77777777" w:rsidR="007F713D" w:rsidRDefault="00B70B8E">
      <w:pPr>
        <w:pStyle w:val="BodyText"/>
        <w:spacing w:before="38" w:line="276" w:lineRule="auto"/>
        <w:ind w:left="720" w:right="673"/>
        <w:jc w:val="both"/>
      </w:pPr>
      <w:r>
        <w:t>Tax buoyancy captures the overall responsiveness of tax revenue to changes in income, reflecting both automatic revenue growth and the impact of discretionary tax policy interventions. It is estimated using the standard log–linear model:</w:t>
      </w:r>
    </w:p>
    <w:p w14:paraId="715D48C6" w14:textId="77777777" w:rsidR="007F713D" w:rsidRDefault="007F713D">
      <w:pPr>
        <w:pStyle w:val="BodyText"/>
        <w:spacing w:before="42"/>
      </w:pPr>
    </w:p>
    <w:p w14:paraId="22BDCDFD" w14:textId="77777777" w:rsidR="007F713D" w:rsidRDefault="00B70B8E">
      <w:pPr>
        <w:pStyle w:val="BodyText"/>
        <w:ind w:left="51"/>
        <w:jc w:val="center"/>
        <w:rPr>
          <w:rFonts w:ascii="Cambria Math" w:eastAsia="Cambria Math" w:hAnsi="Cambria Math"/>
        </w:rPr>
      </w:pPr>
      <w:r>
        <w:rPr>
          <w:rFonts w:ascii="Cambria Math" w:eastAsia="Cambria Math" w:hAnsi="Cambria Math"/>
        </w:rPr>
        <w:t>ln (𝑇)</w:t>
      </w:r>
      <w:r>
        <w:rPr>
          <w:rFonts w:ascii="Cambria Math" w:eastAsia="Cambria Math" w:hAnsi="Cambria Math"/>
          <w:spacing w:val="15"/>
        </w:rPr>
        <w:t xml:space="preserve"> </w:t>
      </w:r>
      <w:r>
        <w:rPr>
          <w:rFonts w:ascii="Cambria Math" w:eastAsia="Cambria Math" w:hAnsi="Cambria Math"/>
        </w:rPr>
        <w:t>=</w:t>
      </w:r>
      <w:r>
        <w:rPr>
          <w:rFonts w:ascii="Cambria Math" w:eastAsia="Cambria Math" w:hAnsi="Cambria Math"/>
          <w:spacing w:val="13"/>
        </w:rPr>
        <w:t xml:space="preserve"> </w:t>
      </w:r>
      <w:r>
        <w:rPr>
          <w:rFonts w:ascii="Cambria Math" w:eastAsia="Cambria Math" w:hAnsi="Cambria Math"/>
        </w:rPr>
        <w:t>ln</w:t>
      </w:r>
      <w:r>
        <w:rPr>
          <w:rFonts w:ascii="Cambria Math" w:eastAsia="Cambria Math" w:hAnsi="Cambria Math"/>
          <w:spacing w:val="1"/>
        </w:rPr>
        <w:t xml:space="preserve"> </w:t>
      </w:r>
      <w:r>
        <w:rPr>
          <w:rFonts w:ascii="Cambria Math" w:eastAsia="Cambria Math" w:hAnsi="Cambria Math"/>
        </w:rPr>
        <w:t>(𝑎)</w:t>
      </w:r>
      <w:r>
        <w:rPr>
          <w:rFonts w:ascii="Cambria Math" w:eastAsia="Cambria Math" w:hAnsi="Cambria Math"/>
          <w:spacing w:val="2"/>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𝛽</w:t>
      </w:r>
      <w:r>
        <w:rPr>
          <w:rFonts w:ascii="Cambria Math" w:eastAsia="Cambria Math" w:hAnsi="Cambria Math"/>
          <w:spacing w:val="6"/>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rPr>
        <w:t>ln</w:t>
      </w:r>
      <w:r>
        <w:rPr>
          <w:rFonts w:ascii="Cambria Math" w:eastAsia="Cambria Math" w:hAnsi="Cambria Math"/>
          <w:spacing w:val="1"/>
        </w:rPr>
        <w:t xml:space="preserve"> </w:t>
      </w:r>
      <w:r>
        <w:rPr>
          <w:rFonts w:ascii="Cambria Math" w:eastAsia="Cambria Math" w:hAnsi="Cambria Math"/>
          <w:spacing w:val="-5"/>
        </w:rPr>
        <w:t>(𝑌)</w:t>
      </w:r>
    </w:p>
    <w:p w14:paraId="669438B3" w14:textId="77777777" w:rsidR="007F713D" w:rsidRDefault="007F713D">
      <w:pPr>
        <w:pStyle w:val="BodyText"/>
        <w:spacing w:before="77"/>
        <w:rPr>
          <w:rFonts w:ascii="Cambria Math"/>
        </w:rPr>
      </w:pPr>
    </w:p>
    <w:p w14:paraId="5F502A67" w14:textId="77777777" w:rsidR="007F713D" w:rsidRDefault="00B70B8E">
      <w:pPr>
        <w:pStyle w:val="BodyText"/>
        <w:spacing w:before="1" w:line="276" w:lineRule="auto"/>
        <w:ind w:left="720" w:right="666"/>
        <w:jc w:val="both"/>
      </w:pPr>
      <w:r>
        <w:t>where T is actual tax revenue, Y represents Gross State Domestic Product (GSDP), and β is the buoyancy coefficient. The value of β provides important insights. A buoyancy coefficient greater than 1 implies that tax collections rise more than proportionately with economic growth, indicating a responsive and potentially progressive tax system. A value equal to 1 suggests proportionate growth, while a value below 1 indicates that revenue growth</w:t>
      </w:r>
      <w:r>
        <w:rPr>
          <w:spacing w:val="-4"/>
        </w:rPr>
        <w:t xml:space="preserve"> </w:t>
      </w:r>
      <w:r>
        <w:t>lags</w:t>
      </w:r>
      <w:r>
        <w:rPr>
          <w:spacing w:val="-4"/>
        </w:rPr>
        <w:t xml:space="preserve"> </w:t>
      </w:r>
      <w:r>
        <w:t>behind</w:t>
      </w:r>
      <w:r>
        <w:rPr>
          <w:spacing w:val="-4"/>
        </w:rPr>
        <w:t xml:space="preserve"> </w:t>
      </w:r>
      <w:r>
        <w:t>GSDP,</w:t>
      </w:r>
      <w:r>
        <w:rPr>
          <w:spacing w:val="-4"/>
        </w:rPr>
        <w:t xml:space="preserve"> </w:t>
      </w:r>
      <w:r>
        <w:t>often</w:t>
      </w:r>
      <w:r>
        <w:rPr>
          <w:spacing w:val="-4"/>
        </w:rPr>
        <w:t xml:space="preserve"> </w:t>
      </w:r>
      <w:r>
        <w:t>reflecting</w:t>
      </w:r>
      <w:r>
        <w:rPr>
          <w:spacing w:val="-4"/>
        </w:rPr>
        <w:t xml:space="preserve"> </w:t>
      </w:r>
      <w:r>
        <w:t>a</w:t>
      </w:r>
      <w:r>
        <w:rPr>
          <w:spacing w:val="-5"/>
        </w:rPr>
        <w:t xml:space="preserve"> </w:t>
      </w:r>
      <w:r>
        <w:t>narrow</w:t>
      </w:r>
      <w:r>
        <w:rPr>
          <w:spacing w:val="-4"/>
        </w:rPr>
        <w:t xml:space="preserve"> </w:t>
      </w:r>
      <w:r>
        <w:t>tax</w:t>
      </w:r>
      <w:r>
        <w:rPr>
          <w:spacing w:val="-4"/>
        </w:rPr>
        <w:t xml:space="preserve"> </w:t>
      </w:r>
      <w:r>
        <w:t>base,</w:t>
      </w:r>
      <w:r>
        <w:rPr>
          <w:spacing w:val="-4"/>
        </w:rPr>
        <w:t xml:space="preserve"> </w:t>
      </w:r>
      <w:r>
        <w:t>weak</w:t>
      </w:r>
      <w:r>
        <w:rPr>
          <w:spacing w:val="-4"/>
        </w:rPr>
        <w:t xml:space="preserve"> </w:t>
      </w:r>
      <w:r>
        <w:t>compliance,</w:t>
      </w:r>
      <w:r>
        <w:rPr>
          <w:spacing w:val="-4"/>
        </w:rPr>
        <w:t xml:space="preserve"> </w:t>
      </w:r>
      <w:r>
        <w:t>or</w:t>
      </w:r>
      <w:r>
        <w:rPr>
          <w:spacing w:val="-4"/>
        </w:rPr>
        <w:t xml:space="preserve"> </w:t>
      </w:r>
      <w:r>
        <w:t xml:space="preserve">limited </w:t>
      </w:r>
      <w:r>
        <w:lastRenderedPageBreak/>
        <w:t>rate adjustment.</w:t>
      </w:r>
    </w:p>
    <w:p w14:paraId="2177A988" w14:textId="77777777" w:rsidR="007F713D" w:rsidRDefault="007F713D">
      <w:pPr>
        <w:pStyle w:val="BodyText"/>
        <w:spacing w:before="8"/>
      </w:pPr>
    </w:p>
    <w:p w14:paraId="06AF8068" w14:textId="77777777" w:rsidR="007F713D" w:rsidRDefault="00B70B8E">
      <w:pPr>
        <w:pStyle w:val="ListParagraph"/>
        <w:numPr>
          <w:ilvl w:val="1"/>
          <w:numId w:val="4"/>
        </w:numPr>
        <w:tabs>
          <w:tab w:val="left" w:pos="1439"/>
        </w:tabs>
        <w:ind w:left="1439" w:hanging="359"/>
        <w:rPr>
          <w:rFonts w:ascii="Symbol" w:hAnsi="Symbol"/>
          <w:sz w:val="24"/>
        </w:rPr>
      </w:pPr>
      <w:r>
        <w:rPr>
          <w:sz w:val="24"/>
        </w:rPr>
        <w:t>Elasticity</w:t>
      </w:r>
      <w:r>
        <w:rPr>
          <w:spacing w:val="-2"/>
          <w:sz w:val="24"/>
        </w:rPr>
        <w:t xml:space="preserve"> </w:t>
      </w:r>
      <w:r>
        <w:rPr>
          <w:sz w:val="24"/>
        </w:rPr>
        <w:t>Estimation</w:t>
      </w:r>
      <w:r>
        <w:rPr>
          <w:spacing w:val="-2"/>
          <w:sz w:val="24"/>
        </w:rPr>
        <w:t xml:space="preserve"> </w:t>
      </w:r>
      <w:r>
        <w:rPr>
          <w:sz w:val="24"/>
        </w:rPr>
        <w:t>(Prest-Adjusted</w:t>
      </w:r>
      <w:r>
        <w:rPr>
          <w:spacing w:val="-2"/>
          <w:sz w:val="24"/>
        </w:rPr>
        <w:t xml:space="preserve"> Method)</w:t>
      </w:r>
    </w:p>
    <w:p w14:paraId="15DDB986" w14:textId="77777777" w:rsidR="007F713D" w:rsidRDefault="00B70B8E">
      <w:pPr>
        <w:pStyle w:val="BodyText"/>
        <w:spacing w:before="37" w:line="276" w:lineRule="auto"/>
        <w:ind w:left="720" w:right="666"/>
        <w:jc w:val="both"/>
      </w:pPr>
      <w:r>
        <w:t>Tax</w:t>
      </w:r>
      <w:r>
        <w:rPr>
          <w:spacing w:val="-13"/>
        </w:rPr>
        <w:t xml:space="preserve"> </w:t>
      </w:r>
      <w:r>
        <w:t>elasticity</w:t>
      </w:r>
      <w:r>
        <w:rPr>
          <w:spacing w:val="-13"/>
        </w:rPr>
        <w:t xml:space="preserve"> </w:t>
      </w:r>
      <w:r>
        <w:t>measures</w:t>
      </w:r>
      <w:r>
        <w:rPr>
          <w:spacing w:val="-13"/>
        </w:rPr>
        <w:t xml:space="preserve"> </w:t>
      </w:r>
      <w:r>
        <w:t>the</w:t>
      </w:r>
      <w:r>
        <w:rPr>
          <w:spacing w:val="-12"/>
        </w:rPr>
        <w:t xml:space="preserve"> </w:t>
      </w:r>
      <w:r>
        <w:rPr>
          <w:i/>
        </w:rPr>
        <w:t>structural</w:t>
      </w:r>
      <w:r>
        <w:rPr>
          <w:i/>
          <w:spacing w:val="-12"/>
        </w:rPr>
        <w:t xml:space="preserve"> </w:t>
      </w:r>
      <w:r>
        <w:t>responsiveness</w:t>
      </w:r>
      <w:r>
        <w:rPr>
          <w:spacing w:val="-13"/>
        </w:rPr>
        <w:t xml:space="preserve"> </w:t>
      </w:r>
      <w:r>
        <w:t>of</w:t>
      </w:r>
      <w:r>
        <w:rPr>
          <w:spacing w:val="-13"/>
        </w:rPr>
        <w:t xml:space="preserve"> </w:t>
      </w:r>
      <w:r>
        <w:t>tax</w:t>
      </w:r>
      <w:r>
        <w:rPr>
          <w:spacing w:val="-11"/>
        </w:rPr>
        <w:t xml:space="preserve"> </w:t>
      </w:r>
      <w:r>
        <w:t>revenue</w:t>
      </w:r>
      <w:r>
        <w:rPr>
          <w:spacing w:val="-13"/>
        </w:rPr>
        <w:t xml:space="preserve"> </w:t>
      </w:r>
      <w:r>
        <w:t>to</w:t>
      </w:r>
      <w:r>
        <w:rPr>
          <w:spacing w:val="-13"/>
        </w:rPr>
        <w:t xml:space="preserve"> </w:t>
      </w:r>
      <w:r>
        <w:t>income</w:t>
      </w:r>
      <w:r>
        <w:rPr>
          <w:spacing w:val="-13"/>
        </w:rPr>
        <w:t xml:space="preserve"> </w:t>
      </w:r>
      <w:r>
        <w:t>growth</w:t>
      </w:r>
      <w:r>
        <w:rPr>
          <w:spacing w:val="-13"/>
        </w:rPr>
        <w:t xml:space="preserve"> </w:t>
      </w:r>
      <w:r>
        <w:t>after removing the impact of discretionary policy changes. Using the Prest-adjusted method, discretionary</w:t>
      </w:r>
      <w:r>
        <w:rPr>
          <w:spacing w:val="-14"/>
        </w:rPr>
        <w:t xml:space="preserve"> </w:t>
      </w:r>
      <w:r>
        <w:t>revisions</w:t>
      </w:r>
      <w:r>
        <w:rPr>
          <w:spacing w:val="-13"/>
        </w:rPr>
        <w:t xml:space="preserve"> </w:t>
      </w:r>
      <w:r>
        <w:t>are</w:t>
      </w:r>
      <w:r>
        <w:rPr>
          <w:spacing w:val="-14"/>
        </w:rPr>
        <w:t xml:space="preserve"> </w:t>
      </w:r>
      <w:r>
        <w:t>filtered</w:t>
      </w:r>
      <w:r>
        <w:rPr>
          <w:spacing w:val="-13"/>
        </w:rPr>
        <w:t xml:space="preserve"> </w:t>
      </w:r>
      <w:r>
        <w:t>out</w:t>
      </w:r>
      <w:r>
        <w:rPr>
          <w:spacing w:val="-13"/>
        </w:rPr>
        <w:t xml:space="preserve"> </w:t>
      </w:r>
      <w:r>
        <w:t>by</w:t>
      </w:r>
      <w:r>
        <w:rPr>
          <w:spacing w:val="-13"/>
        </w:rPr>
        <w:t xml:space="preserve"> </w:t>
      </w:r>
      <w:r>
        <w:t>constructing</w:t>
      </w:r>
      <w:r>
        <w:rPr>
          <w:spacing w:val="-13"/>
        </w:rPr>
        <w:t xml:space="preserve"> </w:t>
      </w:r>
      <w:r>
        <w:t>an</w:t>
      </w:r>
      <w:r>
        <w:rPr>
          <w:spacing w:val="-13"/>
        </w:rPr>
        <w:t xml:space="preserve"> </w:t>
      </w:r>
      <w:r>
        <w:t>adjusted</w:t>
      </w:r>
      <w:r>
        <w:rPr>
          <w:spacing w:val="-13"/>
        </w:rPr>
        <w:t xml:space="preserve"> </w:t>
      </w:r>
      <w:r>
        <w:t>revenue</w:t>
      </w:r>
      <w:r>
        <w:rPr>
          <w:spacing w:val="-14"/>
        </w:rPr>
        <w:t xml:space="preserve"> </w:t>
      </w:r>
      <w:r>
        <w:t>series.</w:t>
      </w:r>
      <w:r>
        <w:rPr>
          <w:spacing w:val="-13"/>
        </w:rPr>
        <w:t xml:space="preserve"> </w:t>
      </w:r>
      <w:r>
        <w:t>Elasticity is then estimated through:</w:t>
      </w:r>
    </w:p>
    <w:p w14:paraId="05CE8F3F" w14:textId="77777777" w:rsidR="007F713D" w:rsidRDefault="007F713D">
      <w:pPr>
        <w:pStyle w:val="BodyText"/>
        <w:spacing w:line="276" w:lineRule="auto"/>
        <w:jc w:val="both"/>
      </w:pPr>
    </w:p>
    <w:p w14:paraId="3B086EA8" w14:textId="77777777" w:rsidR="007F713D" w:rsidRDefault="00B70B8E">
      <w:pPr>
        <w:pStyle w:val="BodyText"/>
        <w:spacing w:before="42"/>
        <w:ind w:left="51"/>
        <w:jc w:val="center"/>
        <w:rPr>
          <w:rFonts w:ascii="Cambria Math" w:eastAsia="Cambria Math" w:hAnsi="Cambria Math"/>
        </w:rPr>
      </w:pPr>
      <w:r>
        <w:rPr>
          <w:rFonts w:ascii="Cambria Math" w:eastAsia="Cambria Math" w:hAnsi="Cambria Math"/>
        </w:rPr>
        <w:t>ln (𝐴𝑇)</w:t>
      </w:r>
      <w:r>
        <w:rPr>
          <w:rFonts w:ascii="Cambria Math" w:eastAsia="Cambria Math" w:hAnsi="Cambria Math"/>
          <w:spacing w:val="14"/>
        </w:rPr>
        <w:t xml:space="preserve"> </w:t>
      </w:r>
      <w:r>
        <w:rPr>
          <w:rFonts w:ascii="Cambria Math" w:eastAsia="Cambria Math" w:hAnsi="Cambria Math"/>
        </w:rPr>
        <w:t>=</w:t>
      </w:r>
      <w:r>
        <w:rPr>
          <w:rFonts w:ascii="Cambria Math" w:eastAsia="Cambria Math" w:hAnsi="Cambria Math"/>
          <w:spacing w:val="16"/>
        </w:rPr>
        <w:t xml:space="preserve"> </w:t>
      </w:r>
      <w:r>
        <w:rPr>
          <w:rFonts w:ascii="Cambria Math" w:eastAsia="Cambria Math" w:hAnsi="Cambria Math"/>
        </w:rPr>
        <w:t>ln</w:t>
      </w:r>
      <w:r>
        <w:rPr>
          <w:rFonts w:ascii="Cambria Math" w:eastAsia="Cambria Math" w:hAnsi="Cambria Math"/>
          <w:spacing w:val="1"/>
        </w:rPr>
        <w:t xml:space="preserve"> </w:t>
      </w:r>
      <w:r>
        <w:rPr>
          <w:rFonts w:ascii="Cambria Math" w:eastAsia="Cambria Math" w:hAnsi="Cambria Math"/>
        </w:rPr>
        <w:t>(𝛼)</w:t>
      </w:r>
      <w:r>
        <w:rPr>
          <w:rFonts w:ascii="Cambria Math" w:eastAsia="Cambria Math" w:hAnsi="Cambria Math"/>
          <w:spacing w:val="2"/>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𝛽</w:t>
      </w:r>
      <w:r>
        <w:rPr>
          <w:rFonts w:ascii="Cambria Math" w:eastAsia="Cambria Math" w:hAnsi="Cambria Math"/>
          <w:spacing w:val="6"/>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rPr>
        <w:t>ln</w:t>
      </w:r>
      <w:r>
        <w:rPr>
          <w:rFonts w:ascii="Cambria Math" w:eastAsia="Cambria Math" w:hAnsi="Cambria Math"/>
          <w:spacing w:val="1"/>
        </w:rPr>
        <w:t xml:space="preserve"> </w:t>
      </w:r>
      <w:r>
        <w:rPr>
          <w:rFonts w:ascii="Cambria Math" w:eastAsia="Cambria Math" w:hAnsi="Cambria Math"/>
          <w:spacing w:val="-5"/>
        </w:rPr>
        <w:t>(𝑌)</w:t>
      </w:r>
    </w:p>
    <w:p w14:paraId="4D89EF62" w14:textId="77777777" w:rsidR="007F713D" w:rsidRDefault="007F713D">
      <w:pPr>
        <w:pStyle w:val="BodyText"/>
        <w:spacing w:before="77"/>
        <w:rPr>
          <w:rFonts w:ascii="Cambria Math"/>
        </w:rPr>
      </w:pPr>
    </w:p>
    <w:p w14:paraId="3FB15FF6" w14:textId="77777777" w:rsidR="007F713D" w:rsidRDefault="00B70B8E">
      <w:pPr>
        <w:pStyle w:val="BodyText"/>
        <w:spacing w:line="276" w:lineRule="auto"/>
        <w:ind w:left="720" w:right="666"/>
        <w:jc w:val="both"/>
      </w:pPr>
      <w:r>
        <w:t>where AT denotes adjusted (policy-neutral) tax revenue and β is the elasticity coefficient. Interpreting</w:t>
      </w:r>
      <w:r>
        <w:rPr>
          <w:spacing w:val="-3"/>
        </w:rPr>
        <w:t xml:space="preserve"> </w:t>
      </w:r>
      <w:r>
        <w:t>β</w:t>
      </w:r>
      <w:r>
        <w:rPr>
          <w:spacing w:val="-1"/>
        </w:rPr>
        <w:t xml:space="preserve"> </w:t>
      </w:r>
      <w:r>
        <w:t>allows</w:t>
      </w:r>
      <w:r>
        <w:rPr>
          <w:spacing w:val="-4"/>
        </w:rPr>
        <w:t xml:space="preserve"> </w:t>
      </w:r>
      <w:r>
        <w:t>researchers</w:t>
      </w:r>
      <w:r>
        <w:rPr>
          <w:spacing w:val="-4"/>
        </w:rPr>
        <w:t xml:space="preserve"> </w:t>
      </w:r>
      <w:r>
        <w:t>to</w:t>
      </w:r>
      <w:r>
        <w:rPr>
          <w:spacing w:val="-3"/>
        </w:rPr>
        <w:t xml:space="preserve"> </w:t>
      </w:r>
      <w:r>
        <w:t>understand</w:t>
      </w:r>
      <w:r>
        <w:rPr>
          <w:spacing w:val="-3"/>
        </w:rPr>
        <w:t xml:space="preserve"> </w:t>
      </w:r>
      <w:r>
        <w:t>the</w:t>
      </w:r>
      <w:r>
        <w:rPr>
          <w:spacing w:val="-2"/>
        </w:rPr>
        <w:t xml:space="preserve"> </w:t>
      </w:r>
      <w:r>
        <w:t>inherent</w:t>
      </w:r>
      <w:r>
        <w:rPr>
          <w:spacing w:val="-3"/>
        </w:rPr>
        <w:t xml:space="preserve"> </w:t>
      </w:r>
      <w:r>
        <w:t>productivity</w:t>
      </w:r>
      <w:r>
        <w:rPr>
          <w:spacing w:val="-3"/>
        </w:rPr>
        <w:t xml:space="preserve"> </w:t>
      </w:r>
      <w:r>
        <w:t>of</w:t>
      </w:r>
      <w:r>
        <w:rPr>
          <w:spacing w:val="-3"/>
        </w:rPr>
        <w:t xml:space="preserve"> </w:t>
      </w:r>
      <w:r>
        <w:t>the</w:t>
      </w:r>
      <w:r>
        <w:rPr>
          <w:spacing w:val="-5"/>
        </w:rPr>
        <w:t xml:space="preserve"> </w:t>
      </w:r>
      <w:r>
        <w:t>tax</w:t>
      </w:r>
      <w:r>
        <w:rPr>
          <w:spacing w:val="-3"/>
        </w:rPr>
        <w:t xml:space="preserve"> </w:t>
      </w:r>
      <w:r>
        <w:t>system. A</w:t>
      </w:r>
      <w:r>
        <w:rPr>
          <w:spacing w:val="-13"/>
        </w:rPr>
        <w:t xml:space="preserve"> </w:t>
      </w:r>
      <w:r>
        <w:t>coefficient</w:t>
      </w:r>
      <w:r>
        <w:rPr>
          <w:spacing w:val="-12"/>
        </w:rPr>
        <w:t xml:space="preserve"> </w:t>
      </w:r>
      <w:r>
        <w:t>greater</w:t>
      </w:r>
      <w:r>
        <w:rPr>
          <w:spacing w:val="-13"/>
        </w:rPr>
        <w:t xml:space="preserve"> </w:t>
      </w:r>
      <w:r>
        <w:t>than</w:t>
      </w:r>
      <w:r>
        <w:rPr>
          <w:spacing w:val="-10"/>
        </w:rPr>
        <w:t xml:space="preserve"> </w:t>
      </w:r>
      <w:r>
        <w:t>1</w:t>
      </w:r>
      <w:r>
        <w:rPr>
          <w:spacing w:val="-12"/>
        </w:rPr>
        <w:t xml:space="preserve"> </w:t>
      </w:r>
      <w:r>
        <w:t>indicates</w:t>
      </w:r>
      <w:r>
        <w:rPr>
          <w:spacing w:val="-12"/>
        </w:rPr>
        <w:t xml:space="preserve"> </w:t>
      </w:r>
      <w:r>
        <w:t>that</w:t>
      </w:r>
      <w:r>
        <w:rPr>
          <w:spacing w:val="-12"/>
        </w:rPr>
        <w:t xml:space="preserve"> </w:t>
      </w:r>
      <w:r>
        <w:t>the</w:t>
      </w:r>
      <w:r>
        <w:rPr>
          <w:spacing w:val="-13"/>
        </w:rPr>
        <w:t xml:space="preserve"> </w:t>
      </w:r>
      <w:r>
        <w:t>tax</w:t>
      </w:r>
      <w:r>
        <w:rPr>
          <w:spacing w:val="-13"/>
        </w:rPr>
        <w:t xml:space="preserve"> </w:t>
      </w:r>
      <w:r>
        <w:t>base</w:t>
      </w:r>
      <w:r>
        <w:rPr>
          <w:spacing w:val="-13"/>
        </w:rPr>
        <w:t xml:space="preserve"> </w:t>
      </w:r>
      <w:r>
        <w:t>naturally</w:t>
      </w:r>
      <w:r>
        <w:rPr>
          <w:spacing w:val="-10"/>
        </w:rPr>
        <w:t xml:space="preserve"> </w:t>
      </w:r>
      <w:r>
        <w:t>expands</w:t>
      </w:r>
      <w:r>
        <w:rPr>
          <w:spacing w:val="-12"/>
        </w:rPr>
        <w:t xml:space="preserve"> </w:t>
      </w:r>
      <w:r>
        <w:t>faster</w:t>
      </w:r>
      <w:r>
        <w:rPr>
          <w:spacing w:val="-13"/>
        </w:rPr>
        <w:t xml:space="preserve"> </w:t>
      </w:r>
      <w:r>
        <w:t>than</w:t>
      </w:r>
      <w:r>
        <w:rPr>
          <w:spacing w:val="-13"/>
        </w:rPr>
        <w:t xml:space="preserve"> </w:t>
      </w:r>
      <w:r>
        <w:t>income, even without policy action. A value equal to 1 reflects proportional structural responsiveness,</w:t>
      </w:r>
      <w:r>
        <w:rPr>
          <w:spacing w:val="-13"/>
        </w:rPr>
        <w:t xml:space="preserve"> </w:t>
      </w:r>
      <w:r>
        <w:t>while</w:t>
      </w:r>
      <w:r>
        <w:rPr>
          <w:spacing w:val="-14"/>
        </w:rPr>
        <w:t xml:space="preserve"> </w:t>
      </w:r>
      <w:r>
        <w:t>β</w:t>
      </w:r>
      <w:r>
        <w:rPr>
          <w:spacing w:val="-13"/>
        </w:rPr>
        <w:t xml:space="preserve"> </w:t>
      </w:r>
      <w:r>
        <w:t>&lt;</w:t>
      </w:r>
      <w:r>
        <w:rPr>
          <w:spacing w:val="-13"/>
        </w:rPr>
        <w:t xml:space="preserve"> </w:t>
      </w:r>
      <w:r>
        <w:t>1</w:t>
      </w:r>
      <w:r>
        <w:rPr>
          <w:spacing w:val="-13"/>
        </w:rPr>
        <w:t xml:space="preserve"> </w:t>
      </w:r>
      <w:r>
        <w:t>reveals</w:t>
      </w:r>
      <w:r>
        <w:rPr>
          <w:spacing w:val="-13"/>
        </w:rPr>
        <w:t xml:space="preserve"> </w:t>
      </w:r>
      <w:r>
        <w:t>weak</w:t>
      </w:r>
      <w:r>
        <w:rPr>
          <w:spacing w:val="-13"/>
        </w:rPr>
        <w:t xml:space="preserve"> </w:t>
      </w:r>
      <w:r>
        <w:t>automatic</w:t>
      </w:r>
      <w:r>
        <w:rPr>
          <w:spacing w:val="-13"/>
        </w:rPr>
        <w:t xml:space="preserve"> </w:t>
      </w:r>
      <w:r>
        <w:t>revenue</w:t>
      </w:r>
      <w:r>
        <w:rPr>
          <w:spacing w:val="-14"/>
        </w:rPr>
        <w:t xml:space="preserve"> </w:t>
      </w:r>
      <w:r>
        <w:t>growth—often</w:t>
      </w:r>
      <w:r>
        <w:rPr>
          <w:spacing w:val="-13"/>
        </w:rPr>
        <w:t xml:space="preserve"> </w:t>
      </w:r>
      <w:r>
        <w:t>seen</w:t>
      </w:r>
      <w:r>
        <w:rPr>
          <w:spacing w:val="-13"/>
        </w:rPr>
        <w:t xml:space="preserve"> </w:t>
      </w:r>
      <w:r>
        <w:t>in</w:t>
      </w:r>
      <w:r>
        <w:rPr>
          <w:spacing w:val="-13"/>
        </w:rPr>
        <w:t xml:space="preserve"> </w:t>
      </w:r>
      <w:r>
        <w:t>systems with narrow bases or inadequate administrative capacity.</w:t>
      </w:r>
    </w:p>
    <w:p w14:paraId="12BB46A6" w14:textId="77777777" w:rsidR="007F713D" w:rsidRDefault="007F713D">
      <w:pPr>
        <w:pStyle w:val="BodyText"/>
        <w:spacing w:before="6"/>
      </w:pPr>
    </w:p>
    <w:p w14:paraId="3591FF75" w14:textId="77777777" w:rsidR="007F713D" w:rsidRDefault="00B70B8E">
      <w:pPr>
        <w:pStyle w:val="BodyText"/>
        <w:spacing w:before="1" w:line="276" w:lineRule="auto"/>
        <w:ind w:left="720" w:right="667"/>
        <w:jc w:val="both"/>
      </w:pPr>
      <w:r>
        <w:t>Because</w:t>
      </w:r>
      <w:r>
        <w:rPr>
          <w:spacing w:val="-9"/>
        </w:rPr>
        <w:t xml:space="preserve"> </w:t>
      </w:r>
      <w:r>
        <w:t>elasticity</w:t>
      </w:r>
      <w:r>
        <w:rPr>
          <w:spacing w:val="-11"/>
        </w:rPr>
        <w:t xml:space="preserve"> </w:t>
      </w:r>
      <w:r>
        <w:t>isolates</w:t>
      </w:r>
      <w:r>
        <w:rPr>
          <w:spacing w:val="-11"/>
        </w:rPr>
        <w:t xml:space="preserve"> </w:t>
      </w:r>
      <w:r>
        <w:t>automatic</w:t>
      </w:r>
      <w:r>
        <w:rPr>
          <w:spacing w:val="-12"/>
        </w:rPr>
        <w:t xml:space="preserve"> </w:t>
      </w:r>
      <w:r>
        <w:t>responses,</w:t>
      </w:r>
      <w:r>
        <w:rPr>
          <w:spacing w:val="-11"/>
        </w:rPr>
        <w:t xml:space="preserve"> </w:t>
      </w:r>
      <w:r>
        <w:t>it</w:t>
      </w:r>
      <w:r>
        <w:rPr>
          <w:spacing w:val="-10"/>
        </w:rPr>
        <w:t xml:space="preserve"> </w:t>
      </w:r>
      <w:r>
        <w:t>is</w:t>
      </w:r>
      <w:r>
        <w:rPr>
          <w:spacing w:val="-10"/>
        </w:rPr>
        <w:t xml:space="preserve"> </w:t>
      </w:r>
      <w:r>
        <w:t>considered</w:t>
      </w:r>
      <w:r>
        <w:rPr>
          <w:spacing w:val="-11"/>
        </w:rPr>
        <w:t xml:space="preserve"> </w:t>
      </w:r>
      <w:r>
        <w:t>a</w:t>
      </w:r>
      <w:r>
        <w:rPr>
          <w:spacing w:val="-12"/>
        </w:rPr>
        <w:t xml:space="preserve"> </w:t>
      </w:r>
      <w:r>
        <w:t>more</w:t>
      </w:r>
      <w:r>
        <w:rPr>
          <w:spacing w:val="-12"/>
        </w:rPr>
        <w:t xml:space="preserve"> </w:t>
      </w:r>
      <w:r>
        <w:t>accurate</w:t>
      </w:r>
      <w:r>
        <w:rPr>
          <w:spacing w:val="-11"/>
        </w:rPr>
        <w:t xml:space="preserve"> </w:t>
      </w:r>
      <w:r>
        <w:t>measure</w:t>
      </w:r>
      <w:r>
        <w:rPr>
          <w:spacing w:val="-12"/>
        </w:rPr>
        <w:t xml:space="preserve"> </w:t>
      </w:r>
      <w:r>
        <w:t>of underlying tax performance in settings where discretionary changes are frequent. Hence, the combination of buoyancy and elasticity provides a clearer distinction between policy-driven and structural components of tax revenue growth.</w:t>
      </w:r>
    </w:p>
    <w:p w14:paraId="3E3A14B0" w14:textId="77777777" w:rsidR="009B5E7E" w:rsidRDefault="009B5E7E">
      <w:pPr>
        <w:pStyle w:val="BodyText"/>
        <w:spacing w:before="1" w:line="276" w:lineRule="auto"/>
        <w:ind w:left="720" w:right="667"/>
        <w:jc w:val="both"/>
      </w:pPr>
    </w:p>
    <w:p w14:paraId="74B97BE4" w14:textId="254031B7" w:rsidR="009B5E7E" w:rsidRPr="009B5E7E" w:rsidRDefault="009B5E7E" w:rsidP="00881020">
      <w:pPr>
        <w:pStyle w:val="BodyText"/>
        <w:numPr>
          <w:ilvl w:val="0"/>
          <w:numId w:val="7"/>
        </w:numPr>
        <w:spacing w:before="1" w:line="276" w:lineRule="auto"/>
        <w:ind w:right="667"/>
        <w:jc w:val="left"/>
        <w:rPr>
          <w:b/>
          <w:bCs/>
        </w:rPr>
      </w:pPr>
      <w:r w:rsidRPr="009B5E7E">
        <w:rPr>
          <w:b/>
          <w:bCs/>
        </w:rPr>
        <w:t>Result &amp; Discussion</w:t>
      </w:r>
    </w:p>
    <w:p w14:paraId="3D020B56" w14:textId="77777777" w:rsidR="007F713D" w:rsidRDefault="007F713D">
      <w:pPr>
        <w:pStyle w:val="BodyText"/>
        <w:spacing w:before="2"/>
      </w:pPr>
    </w:p>
    <w:p w14:paraId="1279C84C" w14:textId="77777777" w:rsidR="007F713D" w:rsidRDefault="00B70B8E">
      <w:pPr>
        <w:ind w:left="51" w:right="6947"/>
        <w:jc w:val="center"/>
        <w:rPr>
          <w:i/>
          <w:sz w:val="24"/>
        </w:rPr>
      </w:pPr>
      <w:r>
        <w:rPr>
          <w:i/>
          <w:sz w:val="24"/>
        </w:rPr>
        <w:t>Illustrative</w:t>
      </w:r>
      <w:r>
        <w:rPr>
          <w:i/>
          <w:spacing w:val="-2"/>
          <w:sz w:val="24"/>
        </w:rPr>
        <w:t xml:space="preserve"> Table:</w:t>
      </w:r>
    </w:p>
    <w:p w14:paraId="6505CE38" w14:textId="77777777" w:rsidR="007F713D" w:rsidRDefault="00B70B8E">
      <w:pPr>
        <w:pStyle w:val="BodyText"/>
        <w:spacing w:before="41" w:after="42"/>
        <w:ind w:left="51" w:right="3"/>
        <w:jc w:val="center"/>
      </w:pPr>
      <w:r>
        <w:t>Table</w:t>
      </w:r>
      <w:r>
        <w:rPr>
          <w:spacing w:val="-1"/>
        </w:rPr>
        <w:t xml:space="preserve"> </w:t>
      </w:r>
      <w:r>
        <w:t>1:</w:t>
      </w:r>
      <w:r>
        <w:rPr>
          <w:spacing w:val="-1"/>
        </w:rPr>
        <w:t xml:space="preserve"> </w:t>
      </w:r>
      <w:r>
        <w:t>Tax</w:t>
      </w:r>
      <w:r>
        <w:rPr>
          <w:spacing w:val="-1"/>
        </w:rPr>
        <w:t xml:space="preserve"> </w:t>
      </w:r>
      <w:r>
        <w:t>Buoyancy</w:t>
      </w:r>
      <w:r>
        <w:rPr>
          <w:spacing w:val="1"/>
        </w:rPr>
        <w:t xml:space="preserve"> </w:t>
      </w:r>
      <w:r>
        <w:t>and</w:t>
      </w:r>
      <w:r>
        <w:rPr>
          <w:spacing w:val="-1"/>
        </w:rPr>
        <w:t xml:space="preserve"> </w:t>
      </w:r>
      <w:r>
        <w:rPr>
          <w:spacing w:val="-2"/>
        </w:rPr>
        <w:t>Elasticity</w:t>
      </w:r>
    </w:p>
    <w:tbl>
      <w:tblPr>
        <w:tblW w:w="0" w:type="auto"/>
        <w:tblInd w:w="1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4"/>
        <w:gridCol w:w="2081"/>
        <w:gridCol w:w="2268"/>
      </w:tblGrid>
      <w:tr w:rsidR="007F713D" w14:paraId="22911A33" w14:textId="77777777">
        <w:trPr>
          <w:trHeight w:val="318"/>
        </w:trPr>
        <w:tc>
          <w:tcPr>
            <w:tcW w:w="2314" w:type="dxa"/>
          </w:tcPr>
          <w:p w14:paraId="2AC5268B" w14:textId="77777777" w:rsidR="007F713D" w:rsidRDefault="00B70B8E">
            <w:pPr>
              <w:pStyle w:val="TableParagraph"/>
              <w:spacing w:before="1"/>
              <w:ind w:left="7"/>
              <w:jc w:val="center"/>
              <w:rPr>
                <w:sz w:val="24"/>
              </w:rPr>
            </w:pPr>
            <w:r>
              <w:rPr>
                <w:sz w:val="24"/>
              </w:rPr>
              <w:t>Tax</w:t>
            </w:r>
            <w:r>
              <w:rPr>
                <w:spacing w:val="-2"/>
                <w:sz w:val="24"/>
              </w:rPr>
              <w:t xml:space="preserve"> </w:t>
            </w:r>
            <w:r>
              <w:rPr>
                <w:spacing w:val="-4"/>
                <w:sz w:val="24"/>
              </w:rPr>
              <w:t>Type</w:t>
            </w:r>
          </w:p>
        </w:tc>
        <w:tc>
          <w:tcPr>
            <w:tcW w:w="2081" w:type="dxa"/>
          </w:tcPr>
          <w:p w14:paraId="6864610F" w14:textId="77777777" w:rsidR="007F713D" w:rsidRDefault="00B70B8E">
            <w:pPr>
              <w:pStyle w:val="TableParagraph"/>
              <w:spacing w:before="1"/>
              <w:ind w:left="10" w:right="6"/>
              <w:jc w:val="center"/>
              <w:rPr>
                <w:sz w:val="24"/>
              </w:rPr>
            </w:pPr>
            <w:r>
              <w:rPr>
                <w:spacing w:val="-2"/>
                <w:sz w:val="24"/>
              </w:rPr>
              <w:t>Buoyancy</w:t>
            </w:r>
          </w:p>
        </w:tc>
        <w:tc>
          <w:tcPr>
            <w:tcW w:w="2268" w:type="dxa"/>
          </w:tcPr>
          <w:p w14:paraId="6DEC6FFC" w14:textId="77777777" w:rsidR="007F713D" w:rsidRDefault="00B70B8E">
            <w:pPr>
              <w:pStyle w:val="TableParagraph"/>
              <w:spacing w:before="1"/>
              <w:ind w:left="10" w:right="3"/>
              <w:jc w:val="center"/>
              <w:rPr>
                <w:sz w:val="24"/>
              </w:rPr>
            </w:pPr>
            <w:r>
              <w:rPr>
                <w:spacing w:val="-2"/>
                <w:sz w:val="24"/>
              </w:rPr>
              <w:t>Elasticity</w:t>
            </w:r>
          </w:p>
        </w:tc>
      </w:tr>
      <w:tr w:rsidR="007F713D" w14:paraId="252224A0" w14:textId="77777777">
        <w:trPr>
          <w:trHeight w:val="316"/>
        </w:trPr>
        <w:tc>
          <w:tcPr>
            <w:tcW w:w="2314" w:type="dxa"/>
          </w:tcPr>
          <w:p w14:paraId="33A6CF8D" w14:textId="77777777" w:rsidR="007F713D" w:rsidRDefault="00B70B8E">
            <w:pPr>
              <w:pStyle w:val="TableParagraph"/>
              <w:spacing w:line="275" w:lineRule="exact"/>
              <w:ind w:left="7"/>
              <w:jc w:val="center"/>
              <w:rPr>
                <w:sz w:val="24"/>
              </w:rPr>
            </w:pPr>
            <w:r>
              <w:rPr>
                <w:spacing w:val="-5"/>
                <w:sz w:val="24"/>
              </w:rPr>
              <w:t>GST</w:t>
            </w:r>
          </w:p>
        </w:tc>
        <w:tc>
          <w:tcPr>
            <w:tcW w:w="2081" w:type="dxa"/>
          </w:tcPr>
          <w:p w14:paraId="21751078" w14:textId="77777777" w:rsidR="007F713D" w:rsidRDefault="00B70B8E">
            <w:pPr>
              <w:pStyle w:val="TableParagraph"/>
              <w:spacing w:line="275" w:lineRule="exact"/>
              <w:ind w:left="10"/>
              <w:jc w:val="center"/>
              <w:rPr>
                <w:sz w:val="24"/>
              </w:rPr>
            </w:pPr>
            <w:r>
              <w:rPr>
                <w:spacing w:val="-5"/>
                <w:sz w:val="24"/>
              </w:rPr>
              <w:t>1.2</w:t>
            </w:r>
          </w:p>
        </w:tc>
        <w:tc>
          <w:tcPr>
            <w:tcW w:w="2268" w:type="dxa"/>
          </w:tcPr>
          <w:p w14:paraId="23058092" w14:textId="77777777" w:rsidR="007F713D" w:rsidRDefault="00B70B8E">
            <w:pPr>
              <w:pStyle w:val="TableParagraph"/>
              <w:spacing w:line="275" w:lineRule="exact"/>
              <w:ind w:left="10"/>
              <w:jc w:val="center"/>
              <w:rPr>
                <w:sz w:val="24"/>
              </w:rPr>
            </w:pPr>
            <w:r>
              <w:rPr>
                <w:spacing w:val="-5"/>
                <w:sz w:val="24"/>
              </w:rPr>
              <w:t>0.9</w:t>
            </w:r>
          </w:p>
        </w:tc>
      </w:tr>
      <w:tr w:rsidR="007F713D" w14:paraId="6AFD0ACC" w14:textId="77777777">
        <w:trPr>
          <w:trHeight w:val="319"/>
        </w:trPr>
        <w:tc>
          <w:tcPr>
            <w:tcW w:w="2314" w:type="dxa"/>
          </w:tcPr>
          <w:p w14:paraId="29E3E1D2" w14:textId="77777777" w:rsidR="007F713D" w:rsidRDefault="00B70B8E">
            <w:pPr>
              <w:pStyle w:val="TableParagraph"/>
              <w:spacing w:line="275" w:lineRule="exact"/>
              <w:ind w:left="7" w:right="2"/>
              <w:jc w:val="center"/>
              <w:rPr>
                <w:sz w:val="24"/>
              </w:rPr>
            </w:pPr>
            <w:r>
              <w:rPr>
                <w:spacing w:val="-2"/>
                <w:sz w:val="24"/>
              </w:rPr>
              <w:t>Excise</w:t>
            </w:r>
          </w:p>
        </w:tc>
        <w:tc>
          <w:tcPr>
            <w:tcW w:w="2081" w:type="dxa"/>
          </w:tcPr>
          <w:p w14:paraId="265B0B02" w14:textId="77777777" w:rsidR="007F713D" w:rsidRDefault="00B70B8E">
            <w:pPr>
              <w:pStyle w:val="TableParagraph"/>
              <w:spacing w:line="275" w:lineRule="exact"/>
              <w:ind w:left="10"/>
              <w:jc w:val="center"/>
              <w:rPr>
                <w:sz w:val="24"/>
              </w:rPr>
            </w:pPr>
            <w:r>
              <w:rPr>
                <w:spacing w:val="-5"/>
                <w:sz w:val="24"/>
              </w:rPr>
              <w:t>0.8</w:t>
            </w:r>
          </w:p>
        </w:tc>
        <w:tc>
          <w:tcPr>
            <w:tcW w:w="2268" w:type="dxa"/>
          </w:tcPr>
          <w:p w14:paraId="0DC21DC7" w14:textId="77777777" w:rsidR="007F713D" w:rsidRDefault="00B70B8E">
            <w:pPr>
              <w:pStyle w:val="TableParagraph"/>
              <w:spacing w:line="275" w:lineRule="exact"/>
              <w:ind w:left="10"/>
              <w:jc w:val="center"/>
              <w:rPr>
                <w:sz w:val="24"/>
              </w:rPr>
            </w:pPr>
            <w:r>
              <w:rPr>
                <w:spacing w:val="-5"/>
                <w:sz w:val="24"/>
              </w:rPr>
              <w:t>0.6</w:t>
            </w:r>
          </w:p>
        </w:tc>
      </w:tr>
    </w:tbl>
    <w:p w14:paraId="08941419" w14:textId="77777777" w:rsidR="007F713D" w:rsidRDefault="007F713D">
      <w:pPr>
        <w:pStyle w:val="BodyText"/>
        <w:spacing w:before="40"/>
      </w:pPr>
    </w:p>
    <w:p w14:paraId="33D3AA6C" w14:textId="77777777" w:rsidR="007F713D" w:rsidRDefault="00B70B8E">
      <w:pPr>
        <w:pStyle w:val="BodyText"/>
        <w:spacing w:before="1" w:line="276" w:lineRule="auto"/>
        <w:ind w:left="720" w:right="665"/>
        <w:jc w:val="both"/>
      </w:pPr>
      <w:r>
        <w:t>Table 1 shows that GST has higher buoyancy (1.2) compared to excise duties (0.8), indicating that GST revenues respond more strongly to economic growth. However, its elasticity (0.9) is comparatively lower, because elasticity captures only the effect of GSDP/GDP growth on tax revenue, whereas buoyancy reflects the combined impact of economic</w:t>
      </w:r>
      <w:r>
        <w:rPr>
          <w:spacing w:val="-15"/>
        </w:rPr>
        <w:t xml:space="preserve"> </w:t>
      </w:r>
      <w:r>
        <w:t>expansion</w:t>
      </w:r>
      <w:r>
        <w:rPr>
          <w:spacing w:val="-15"/>
        </w:rPr>
        <w:t xml:space="preserve"> </w:t>
      </w:r>
      <w:r>
        <w:t>and</w:t>
      </w:r>
      <w:r>
        <w:rPr>
          <w:spacing w:val="-14"/>
        </w:rPr>
        <w:t xml:space="preserve"> </w:t>
      </w:r>
      <w:r>
        <w:t>various</w:t>
      </w:r>
      <w:r>
        <w:rPr>
          <w:spacing w:val="-15"/>
        </w:rPr>
        <w:t xml:space="preserve"> </w:t>
      </w:r>
      <w:r>
        <w:t>discretionary</w:t>
      </w:r>
      <w:r>
        <w:rPr>
          <w:spacing w:val="-15"/>
        </w:rPr>
        <w:t xml:space="preserve"> </w:t>
      </w:r>
      <w:r>
        <w:t>policy</w:t>
      </w:r>
      <w:r>
        <w:rPr>
          <w:spacing w:val="-14"/>
        </w:rPr>
        <w:t xml:space="preserve"> </w:t>
      </w:r>
      <w:r>
        <w:t>interventions—such</w:t>
      </w:r>
      <w:r>
        <w:rPr>
          <w:spacing w:val="-15"/>
        </w:rPr>
        <w:t xml:space="preserve"> </w:t>
      </w:r>
      <w:r>
        <w:t>as</w:t>
      </w:r>
      <w:r>
        <w:rPr>
          <w:spacing w:val="-14"/>
        </w:rPr>
        <w:t xml:space="preserve"> </w:t>
      </w:r>
      <w:r>
        <w:t>changes</w:t>
      </w:r>
      <w:r>
        <w:rPr>
          <w:spacing w:val="-15"/>
        </w:rPr>
        <w:t xml:space="preserve"> </w:t>
      </w:r>
      <w:r>
        <w:t>in</w:t>
      </w:r>
      <w:r>
        <w:rPr>
          <w:spacing w:val="-14"/>
        </w:rPr>
        <w:t xml:space="preserve"> </w:t>
      </w:r>
      <w:r>
        <w:t>tax rates, expansion of the tax base, or other revenue-enhancing measures. In contrast, excise taxes exhibit both lower buoyancy (0.8) and lower elasticity (0.6) than GST, pointing to a structurally weaker tax base with limited responsiveness to economic growth.</w:t>
      </w:r>
    </w:p>
    <w:p w14:paraId="5A3DB292" w14:textId="77777777" w:rsidR="007F713D" w:rsidRDefault="00B70B8E">
      <w:pPr>
        <w:pStyle w:val="BodyText"/>
        <w:spacing w:line="276" w:lineRule="auto"/>
        <w:ind w:left="720" w:right="667"/>
        <w:jc w:val="both"/>
      </w:pPr>
      <w:r>
        <w:t>The</w:t>
      </w:r>
      <w:r>
        <w:rPr>
          <w:spacing w:val="-13"/>
        </w:rPr>
        <w:t xml:space="preserve"> </w:t>
      </w:r>
      <w:r>
        <w:t>divergence</w:t>
      </w:r>
      <w:r>
        <w:rPr>
          <w:spacing w:val="-10"/>
        </w:rPr>
        <w:t xml:space="preserve"> </w:t>
      </w:r>
      <w:r>
        <w:t>between</w:t>
      </w:r>
      <w:r>
        <w:rPr>
          <w:spacing w:val="-9"/>
        </w:rPr>
        <w:t xml:space="preserve"> </w:t>
      </w:r>
      <w:r>
        <w:t>buoyancy</w:t>
      </w:r>
      <w:r>
        <w:rPr>
          <w:spacing w:val="-12"/>
        </w:rPr>
        <w:t xml:space="preserve"> </w:t>
      </w:r>
      <w:r>
        <w:t>and</w:t>
      </w:r>
      <w:r>
        <w:rPr>
          <w:spacing w:val="-10"/>
        </w:rPr>
        <w:t xml:space="preserve"> </w:t>
      </w:r>
      <w:r>
        <w:t>elasticity</w:t>
      </w:r>
      <w:r>
        <w:rPr>
          <w:spacing w:val="-12"/>
        </w:rPr>
        <w:t xml:space="preserve"> </w:t>
      </w:r>
      <w:r>
        <w:t>across</w:t>
      </w:r>
      <w:r>
        <w:rPr>
          <w:spacing w:val="-12"/>
        </w:rPr>
        <w:t xml:space="preserve"> </w:t>
      </w:r>
      <w:r>
        <w:t>both</w:t>
      </w:r>
      <w:r>
        <w:rPr>
          <w:spacing w:val="-11"/>
        </w:rPr>
        <w:t xml:space="preserve"> </w:t>
      </w:r>
      <w:r>
        <w:t>tax</w:t>
      </w:r>
      <w:r>
        <w:rPr>
          <w:spacing w:val="-10"/>
        </w:rPr>
        <w:t xml:space="preserve"> </w:t>
      </w:r>
      <w:r>
        <w:t>categories</w:t>
      </w:r>
      <w:r>
        <w:rPr>
          <w:spacing w:val="-5"/>
        </w:rPr>
        <w:t xml:space="preserve"> </w:t>
      </w:r>
      <w:r>
        <w:t>underscores</w:t>
      </w:r>
      <w:r>
        <w:rPr>
          <w:spacing w:val="-11"/>
        </w:rPr>
        <w:t xml:space="preserve"> </w:t>
      </w:r>
      <w:r>
        <w:t xml:space="preserve">the need to distinguish between discretionary policy effects and the inherent structural tax capacity when </w:t>
      </w:r>
      <w:proofErr w:type="spellStart"/>
      <w:r>
        <w:t>analysing</w:t>
      </w:r>
      <w:proofErr w:type="spellEnd"/>
      <w:r>
        <w:t xml:space="preserve"> revenue performance. A larger gap between buoyancy and </w:t>
      </w:r>
      <w:r>
        <w:lastRenderedPageBreak/>
        <w:t>elasticity indicates that the government is more actively mobilising revenue from its available resources, whereas a smaller gap suggests lower levels of such activity. In essence, this difference serves as an indicator of the government's efficiency and the intensity of its revenue-raising efforts.</w:t>
      </w:r>
    </w:p>
    <w:p w14:paraId="0BF873DE" w14:textId="77777777" w:rsidR="007F713D" w:rsidRDefault="007F713D">
      <w:pPr>
        <w:pStyle w:val="BodyText"/>
        <w:spacing w:before="42"/>
      </w:pPr>
    </w:p>
    <w:p w14:paraId="5581C38B" w14:textId="77777777" w:rsidR="007F713D" w:rsidRDefault="00B70B8E">
      <w:pPr>
        <w:pStyle w:val="ListParagraph"/>
        <w:numPr>
          <w:ilvl w:val="0"/>
          <w:numId w:val="4"/>
        </w:numPr>
        <w:tabs>
          <w:tab w:val="left" w:pos="1146"/>
        </w:tabs>
        <w:ind w:left="1146" w:hanging="426"/>
        <w:jc w:val="both"/>
        <w:rPr>
          <w:i/>
          <w:sz w:val="24"/>
        </w:rPr>
      </w:pPr>
      <w:r>
        <w:rPr>
          <w:i/>
          <w:sz w:val="24"/>
        </w:rPr>
        <w:t>Measuring</w:t>
      </w:r>
      <w:r>
        <w:rPr>
          <w:i/>
          <w:spacing w:val="-1"/>
          <w:sz w:val="24"/>
        </w:rPr>
        <w:t xml:space="preserve"> </w:t>
      </w:r>
      <w:r>
        <w:rPr>
          <w:i/>
          <w:sz w:val="24"/>
        </w:rPr>
        <w:t>Tax</w:t>
      </w:r>
      <w:r>
        <w:rPr>
          <w:i/>
          <w:spacing w:val="-1"/>
          <w:sz w:val="24"/>
        </w:rPr>
        <w:t xml:space="preserve"> </w:t>
      </w:r>
      <w:r>
        <w:rPr>
          <w:i/>
          <w:sz w:val="24"/>
        </w:rPr>
        <w:t>Capacities</w:t>
      </w:r>
      <w:r>
        <w:rPr>
          <w:i/>
          <w:spacing w:val="-1"/>
          <w:sz w:val="24"/>
        </w:rPr>
        <w:t xml:space="preserve"> </w:t>
      </w:r>
      <w:r>
        <w:rPr>
          <w:i/>
          <w:sz w:val="24"/>
        </w:rPr>
        <w:t xml:space="preserve">and </w:t>
      </w:r>
      <w:r>
        <w:rPr>
          <w:i/>
          <w:spacing w:val="-2"/>
          <w:sz w:val="24"/>
        </w:rPr>
        <w:t>Efforts</w:t>
      </w:r>
    </w:p>
    <w:p w14:paraId="6E3798AA" w14:textId="77777777" w:rsidR="007F713D" w:rsidRDefault="00B70B8E">
      <w:pPr>
        <w:pStyle w:val="BodyText"/>
        <w:spacing w:before="41" w:line="276" w:lineRule="auto"/>
        <w:ind w:left="720" w:right="807"/>
        <w:jc w:val="both"/>
      </w:pPr>
      <w:r>
        <w:t>Tax</w:t>
      </w:r>
      <w:r>
        <w:rPr>
          <w:spacing w:val="-2"/>
        </w:rPr>
        <w:t xml:space="preserve"> </w:t>
      </w:r>
      <w:r>
        <w:t>capacity</w:t>
      </w:r>
      <w:r>
        <w:rPr>
          <w:spacing w:val="-2"/>
        </w:rPr>
        <w:t xml:space="preserve"> </w:t>
      </w:r>
      <w:r>
        <w:t>refers</w:t>
      </w:r>
      <w:r>
        <w:rPr>
          <w:spacing w:val="-2"/>
        </w:rPr>
        <w:t xml:space="preserve"> </w:t>
      </w:r>
      <w:r>
        <w:t>to</w:t>
      </w:r>
      <w:r>
        <w:rPr>
          <w:spacing w:val="-2"/>
        </w:rPr>
        <w:t xml:space="preserve"> </w:t>
      </w:r>
      <w:r>
        <w:t>the</w:t>
      </w:r>
      <w:r>
        <w:rPr>
          <w:spacing w:val="-1"/>
        </w:rPr>
        <w:t xml:space="preserve"> </w:t>
      </w:r>
      <w:r>
        <w:t>theoretical</w:t>
      </w:r>
      <w:r>
        <w:rPr>
          <w:spacing w:val="-2"/>
        </w:rPr>
        <w:t xml:space="preserve"> </w:t>
      </w:r>
      <w:r>
        <w:t>maximum</w:t>
      </w:r>
      <w:r>
        <w:rPr>
          <w:spacing w:val="-2"/>
        </w:rPr>
        <w:t xml:space="preserve"> </w:t>
      </w:r>
      <w:r>
        <w:t>revenue</w:t>
      </w:r>
      <w:r>
        <w:rPr>
          <w:spacing w:val="-3"/>
        </w:rPr>
        <w:t xml:space="preserve"> </w:t>
      </w:r>
      <w:r>
        <w:t>a</w:t>
      </w:r>
      <w:r>
        <w:rPr>
          <w:spacing w:val="-3"/>
        </w:rPr>
        <w:t xml:space="preserve"> </w:t>
      </w:r>
      <w:r>
        <w:t>government</w:t>
      </w:r>
      <w:r>
        <w:rPr>
          <w:spacing w:val="-2"/>
        </w:rPr>
        <w:t xml:space="preserve"> </w:t>
      </w:r>
      <w:r>
        <w:t>can generate</w:t>
      </w:r>
      <w:r>
        <w:rPr>
          <w:spacing w:val="-3"/>
        </w:rPr>
        <w:t xml:space="preserve"> </w:t>
      </w:r>
      <w:r>
        <w:t>from taxes,</w:t>
      </w:r>
      <w:r>
        <w:rPr>
          <w:spacing w:val="-4"/>
        </w:rPr>
        <w:t xml:space="preserve"> </w:t>
      </w:r>
      <w:r>
        <w:t>given</w:t>
      </w:r>
      <w:r>
        <w:rPr>
          <w:spacing w:val="-4"/>
        </w:rPr>
        <w:t xml:space="preserve"> </w:t>
      </w:r>
      <w:r>
        <w:t>the</w:t>
      </w:r>
      <w:r>
        <w:rPr>
          <w:spacing w:val="-4"/>
        </w:rPr>
        <w:t xml:space="preserve"> </w:t>
      </w:r>
      <w:r>
        <w:t>economic,</w:t>
      </w:r>
      <w:r>
        <w:rPr>
          <w:spacing w:val="-4"/>
        </w:rPr>
        <w:t xml:space="preserve"> </w:t>
      </w:r>
      <w:r>
        <w:t>demographic,</w:t>
      </w:r>
      <w:r>
        <w:rPr>
          <w:spacing w:val="-3"/>
        </w:rPr>
        <w:t xml:space="preserve"> </w:t>
      </w:r>
      <w:r>
        <w:t>and</w:t>
      </w:r>
      <w:r>
        <w:rPr>
          <w:spacing w:val="-4"/>
        </w:rPr>
        <w:t xml:space="preserve"> </w:t>
      </w:r>
      <w:r>
        <w:t>administrative</w:t>
      </w:r>
      <w:r>
        <w:rPr>
          <w:spacing w:val="-5"/>
        </w:rPr>
        <w:t xml:space="preserve"> </w:t>
      </w:r>
      <w:r>
        <w:t>characteristics</w:t>
      </w:r>
      <w:r>
        <w:rPr>
          <w:spacing w:val="-3"/>
        </w:rPr>
        <w:t xml:space="preserve"> </w:t>
      </w:r>
      <w:r>
        <w:t>of</w:t>
      </w:r>
      <w:r>
        <w:rPr>
          <w:spacing w:val="-4"/>
        </w:rPr>
        <w:t xml:space="preserve"> </w:t>
      </w:r>
      <w:r>
        <w:t>a</w:t>
      </w:r>
      <w:r>
        <w:rPr>
          <w:spacing w:val="-6"/>
        </w:rPr>
        <w:t xml:space="preserve"> </w:t>
      </w:r>
      <w:r>
        <w:t>region</w:t>
      </w:r>
      <w:r>
        <w:rPr>
          <w:spacing w:val="-4"/>
        </w:rPr>
        <w:t xml:space="preserve"> </w:t>
      </w:r>
      <w:r>
        <w:t>or country, without changing tax rates beyond what is considered normal.</w:t>
      </w:r>
    </w:p>
    <w:p w14:paraId="79733125" w14:textId="77777777" w:rsidR="007F713D" w:rsidRDefault="007F713D">
      <w:pPr>
        <w:pStyle w:val="BodyText"/>
        <w:spacing w:line="276" w:lineRule="auto"/>
        <w:jc w:val="both"/>
      </w:pPr>
    </w:p>
    <w:p w14:paraId="28FD7331" w14:textId="77777777" w:rsidR="007F713D" w:rsidRDefault="00B70B8E">
      <w:pPr>
        <w:pStyle w:val="BodyText"/>
        <w:spacing w:before="61" w:line="276" w:lineRule="auto"/>
        <w:ind w:left="720" w:right="1345"/>
        <w:jc w:val="both"/>
      </w:pPr>
      <w:r>
        <w:t>In</w:t>
      </w:r>
      <w:r>
        <w:rPr>
          <w:spacing w:val="-3"/>
        </w:rPr>
        <w:t xml:space="preserve"> </w:t>
      </w:r>
      <w:r>
        <w:t>other</w:t>
      </w:r>
      <w:r>
        <w:rPr>
          <w:spacing w:val="-3"/>
        </w:rPr>
        <w:t xml:space="preserve"> </w:t>
      </w:r>
      <w:r>
        <w:t>words,</w:t>
      </w:r>
      <w:r>
        <w:rPr>
          <w:spacing w:val="-3"/>
        </w:rPr>
        <w:t xml:space="preserve"> </w:t>
      </w:r>
      <w:r>
        <w:t>it</w:t>
      </w:r>
      <w:r>
        <w:rPr>
          <w:spacing w:val="-3"/>
        </w:rPr>
        <w:t xml:space="preserve"> </w:t>
      </w:r>
      <w:r>
        <w:t>is</w:t>
      </w:r>
      <w:r>
        <w:rPr>
          <w:spacing w:val="-3"/>
        </w:rPr>
        <w:t xml:space="preserve"> </w:t>
      </w:r>
      <w:r>
        <w:t>an</w:t>
      </w:r>
      <w:r>
        <w:rPr>
          <w:spacing w:val="-3"/>
        </w:rPr>
        <w:t xml:space="preserve"> </w:t>
      </w:r>
      <w:r>
        <w:t>estimate</w:t>
      </w:r>
      <w:r>
        <w:rPr>
          <w:spacing w:val="-4"/>
        </w:rPr>
        <w:t xml:space="preserve"> </w:t>
      </w:r>
      <w:r>
        <w:t>of</w:t>
      </w:r>
      <w:r>
        <w:rPr>
          <w:spacing w:val="-3"/>
        </w:rPr>
        <w:t xml:space="preserve"> </w:t>
      </w:r>
      <w:r>
        <w:t>the</w:t>
      </w:r>
      <w:r>
        <w:rPr>
          <w:spacing w:val="-5"/>
        </w:rPr>
        <w:t xml:space="preserve"> </w:t>
      </w:r>
      <w:r>
        <w:t>amount</w:t>
      </w:r>
      <w:r>
        <w:rPr>
          <w:spacing w:val="-3"/>
        </w:rPr>
        <w:t xml:space="preserve"> </w:t>
      </w:r>
      <w:r>
        <w:t>of</w:t>
      </w:r>
      <w:r>
        <w:rPr>
          <w:spacing w:val="-3"/>
        </w:rPr>
        <w:t xml:space="preserve"> </w:t>
      </w:r>
      <w:r>
        <w:t>tax</w:t>
      </w:r>
      <w:r>
        <w:rPr>
          <w:spacing w:val="-3"/>
        </w:rPr>
        <w:t xml:space="preserve"> </w:t>
      </w:r>
      <w:r>
        <w:t>a</w:t>
      </w:r>
      <w:r>
        <w:rPr>
          <w:spacing w:val="-4"/>
        </w:rPr>
        <w:t xml:space="preserve"> </w:t>
      </w:r>
      <w:r>
        <w:t>state</w:t>
      </w:r>
      <w:r>
        <w:rPr>
          <w:spacing w:val="-4"/>
        </w:rPr>
        <w:t xml:space="preserve"> </w:t>
      </w:r>
      <w:r>
        <w:t>or</w:t>
      </w:r>
      <w:r>
        <w:rPr>
          <w:spacing w:val="-2"/>
        </w:rPr>
        <w:t xml:space="preserve"> </w:t>
      </w:r>
      <w:r>
        <w:t>country</w:t>
      </w:r>
      <w:r>
        <w:rPr>
          <w:spacing w:val="-3"/>
        </w:rPr>
        <w:t xml:space="preserve"> </w:t>
      </w:r>
      <w:r>
        <w:t>is</w:t>
      </w:r>
      <w:r>
        <w:rPr>
          <w:spacing w:val="-3"/>
        </w:rPr>
        <w:t xml:space="preserve"> </w:t>
      </w:r>
      <w:r>
        <w:t>capable</w:t>
      </w:r>
      <w:r>
        <w:rPr>
          <w:spacing w:val="-3"/>
        </w:rPr>
        <w:t xml:space="preserve"> </w:t>
      </w:r>
      <w:r>
        <w:t>of collecting under normal circumstances, based on factors such as:</w:t>
      </w:r>
    </w:p>
    <w:p w14:paraId="1E38DA99" w14:textId="77777777" w:rsidR="007F713D" w:rsidRDefault="00B70B8E">
      <w:pPr>
        <w:pStyle w:val="ListParagraph"/>
        <w:numPr>
          <w:ilvl w:val="1"/>
          <w:numId w:val="4"/>
        </w:numPr>
        <w:tabs>
          <w:tab w:val="left" w:pos="1439"/>
        </w:tabs>
        <w:spacing w:before="1"/>
        <w:ind w:left="1439" w:hanging="359"/>
        <w:rPr>
          <w:rFonts w:ascii="Symbol" w:hAnsi="Symbol"/>
          <w:sz w:val="20"/>
        </w:rPr>
      </w:pPr>
      <w:r>
        <w:rPr>
          <w:sz w:val="24"/>
        </w:rPr>
        <w:t>Income</w:t>
      </w:r>
      <w:r>
        <w:rPr>
          <w:spacing w:val="-3"/>
          <w:sz w:val="24"/>
        </w:rPr>
        <w:t xml:space="preserve"> </w:t>
      </w:r>
      <w:r>
        <w:rPr>
          <w:sz w:val="24"/>
        </w:rPr>
        <w:t>levels</w:t>
      </w:r>
      <w:r>
        <w:rPr>
          <w:spacing w:val="-1"/>
          <w:sz w:val="24"/>
        </w:rPr>
        <w:t xml:space="preserve"> </w:t>
      </w:r>
      <w:r>
        <w:rPr>
          <w:sz w:val="24"/>
        </w:rPr>
        <w:t>(Y)</w:t>
      </w:r>
      <w:r>
        <w:rPr>
          <w:spacing w:val="-1"/>
          <w:sz w:val="24"/>
        </w:rPr>
        <w:t xml:space="preserve"> </w:t>
      </w:r>
      <w:r>
        <w:rPr>
          <w:sz w:val="24"/>
        </w:rPr>
        <w:t>–</w:t>
      </w:r>
      <w:r>
        <w:rPr>
          <w:spacing w:val="-1"/>
          <w:sz w:val="24"/>
        </w:rPr>
        <w:t xml:space="preserve"> </w:t>
      </w:r>
      <w:r>
        <w:rPr>
          <w:sz w:val="24"/>
        </w:rPr>
        <w:t>higher</w:t>
      </w:r>
      <w:r>
        <w:rPr>
          <w:spacing w:val="-1"/>
          <w:sz w:val="24"/>
        </w:rPr>
        <w:t xml:space="preserve"> </w:t>
      </w:r>
      <w:r>
        <w:rPr>
          <w:sz w:val="24"/>
        </w:rPr>
        <w:t>income</w:t>
      </w:r>
      <w:r>
        <w:rPr>
          <w:spacing w:val="-1"/>
          <w:sz w:val="24"/>
        </w:rPr>
        <w:t xml:space="preserve"> </w:t>
      </w:r>
      <w:r>
        <w:rPr>
          <w:sz w:val="24"/>
        </w:rPr>
        <w:t>generally</w:t>
      </w:r>
      <w:r>
        <w:rPr>
          <w:spacing w:val="-1"/>
          <w:sz w:val="24"/>
        </w:rPr>
        <w:t xml:space="preserve"> </w:t>
      </w:r>
      <w:r>
        <w:rPr>
          <w:sz w:val="24"/>
        </w:rPr>
        <w:t>allows</w:t>
      </w:r>
      <w:r>
        <w:rPr>
          <w:spacing w:val="-1"/>
          <w:sz w:val="24"/>
        </w:rPr>
        <w:t xml:space="preserve"> </w:t>
      </w:r>
      <w:r>
        <w:rPr>
          <w:sz w:val="24"/>
        </w:rPr>
        <w:t>higher</w:t>
      </w:r>
      <w:r>
        <w:rPr>
          <w:spacing w:val="-1"/>
          <w:sz w:val="24"/>
        </w:rPr>
        <w:t xml:space="preserve"> </w:t>
      </w:r>
      <w:r>
        <w:rPr>
          <w:sz w:val="24"/>
        </w:rPr>
        <w:t xml:space="preserve">tax </w:t>
      </w:r>
      <w:r>
        <w:rPr>
          <w:spacing w:val="-2"/>
          <w:sz w:val="24"/>
        </w:rPr>
        <w:t>collections.</w:t>
      </w:r>
    </w:p>
    <w:p w14:paraId="0626D11D" w14:textId="77777777" w:rsidR="007F713D" w:rsidRDefault="00B70B8E">
      <w:pPr>
        <w:pStyle w:val="ListParagraph"/>
        <w:numPr>
          <w:ilvl w:val="1"/>
          <w:numId w:val="4"/>
        </w:numPr>
        <w:tabs>
          <w:tab w:val="left" w:pos="1439"/>
        </w:tabs>
        <w:spacing w:before="41"/>
        <w:ind w:left="1439" w:hanging="359"/>
        <w:rPr>
          <w:rFonts w:ascii="Symbol" w:hAnsi="Symbol"/>
          <w:sz w:val="20"/>
        </w:rPr>
      </w:pPr>
      <w:r>
        <w:rPr>
          <w:sz w:val="24"/>
        </w:rPr>
        <w:t>Population</w:t>
      </w:r>
      <w:r>
        <w:rPr>
          <w:spacing w:val="-3"/>
          <w:sz w:val="24"/>
        </w:rPr>
        <w:t xml:space="preserve"> </w:t>
      </w:r>
      <w:r>
        <w:rPr>
          <w:sz w:val="24"/>
        </w:rPr>
        <w:t>(P)</w:t>
      </w:r>
      <w:r>
        <w:rPr>
          <w:spacing w:val="-1"/>
          <w:sz w:val="24"/>
        </w:rPr>
        <w:t xml:space="preserve"> </w:t>
      </w:r>
      <w:r>
        <w:rPr>
          <w:sz w:val="24"/>
        </w:rPr>
        <w:t>– more</w:t>
      </w:r>
      <w:r>
        <w:rPr>
          <w:spacing w:val="-3"/>
          <w:sz w:val="24"/>
        </w:rPr>
        <w:t xml:space="preserve"> </w:t>
      </w:r>
      <w:r>
        <w:rPr>
          <w:sz w:val="24"/>
        </w:rPr>
        <w:t>people usually</w:t>
      </w:r>
      <w:r>
        <w:rPr>
          <w:spacing w:val="-1"/>
          <w:sz w:val="24"/>
        </w:rPr>
        <w:t xml:space="preserve"> </w:t>
      </w:r>
      <w:r>
        <w:rPr>
          <w:sz w:val="24"/>
        </w:rPr>
        <w:t>mean</w:t>
      </w:r>
      <w:r>
        <w:rPr>
          <w:spacing w:val="-1"/>
          <w:sz w:val="24"/>
        </w:rPr>
        <w:t xml:space="preserve"> </w:t>
      </w:r>
      <w:r>
        <w:rPr>
          <w:sz w:val="24"/>
        </w:rPr>
        <w:t>a</w:t>
      </w:r>
      <w:r>
        <w:rPr>
          <w:spacing w:val="-1"/>
          <w:sz w:val="24"/>
        </w:rPr>
        <w:t xml:space="preserve"> </w:t>
      </w:r>
      <w:r>
        <w:rPr>
          <w:sz w:val="24"/>
        </w:rPr>
        <w:t>larger</w:t>
      </w:r>
      <w:r>
        <w:rPr>
          <w:spacing w:val="-1"/>
          <w:sz w:val="24"/>
        </w:rPr>
        <w:t xml:space="preserve"> </w:t>
      </w:r>
      <w:r>
        <w:rPr>
          <w:sz w:val="24"/>
        </w:rPr>
        <w:t xml:space="preserve">tax </w:t>
      </w:r>
      <w:r>
        <w:rPr>
          <w:spacing w:val="-2"/>
          <w:sz w:val="24"/>
        </w:rPr>
        <w:t>base.</w:t>
      </w:r>
    </w:p>
    <w:p w14:paraId="1A30FB7C" w14:textId="77777777" w:rsidR="007F713D" w:rsidRDefault="00B70B8E">
      <w:pPr>
        <w:pStyle w:val="ListParagraph"/>
        <w:numPr>
          <w:ilvl w:val="1"/>
          <w:numId w:val="4"/>
        </w:numPr>
        <w:tabs>
          <w:tab w:val="left" w:pos="1440"/>
        </w:tabs>
        <w:spacing w:before="41" w:line="276" w:lineRule="auto"/>
        <w:ind w:right="1587"/>
        <w:rPr>
          <w:rFonts w:ascii="Symbol" w:hAnsi="Symbol"/>
          <w:sz w:val="20"/>
        </w:rPr>
      </w:pPr>
      <w:r>
        <w:rPr>
          <w:sz w:val="24"/>
        </w:rPr>
        <w:t>Administrative/structural</w:t>
      </w:r>
      <w:r>
        <w:rPr>
          <w:spacing w:val="-6"/>
          <w:sz w:val="24"/>
        </w:rPr>
        <w:t xml:space="preserve"> </w:t>
      </w:r>
      <w:r>
        <w:rPr>
          <w:sz w:val="24"/>
        </w:rPr>
        <w:t>variables</w:t>
      </w:r>
      <w:r>
        <w:rPr>
          <w:spacing w:val="-6"/>
          <w:sz w:val="24"/>
        </w:rPr>
        <w:t xml:space="preserve"> </w:t>
      </w:r>
      <w:r>
        <w:rPr>
          <w:sz w:val="24"/>
        </w:rPr>
        <w:t>(A)</w:t>
      </w:r>
      <w:r>
        <w:rPr>
          <w:spacing w:val="-5"/>
          <w:sz w:val="24"/>
        </w:rPr>
        <w:t xml:space="preserve"> </w:t>
      </w:r>
      <w:r>
        <w:rPr>
          <w:sz w:val="24"/>
        </w:rPr>
        <w:t>–</w:t>
      </w:r>
      <w:r>
        <w:rPr>
          <w:spacing w:val="-6"/>
          <w:sz w:val="24"/>
        </w:rPr>
        <w:t xml:space="preserve"> </w:t>
      </w:r>
      <w:r>
        <w:rPr>
          <w:sz w:val="24"/>
        </w:rPr>
        <w:t>efficiency</w:t>
      </w:r>
      <w:r>
        <w:rPr>
          <w:spacing w:val="-6"/>
          <w:sz w:val="24"/>
        </w:rPr>
        <w:t xml:space="preserve"> </w:t>
      </w:r>
      <w:r>
        <w:rPr>
          <w:sz w:val="24"/>
        </w:rPr>
        <w:t>of</w:t>
      </w:r>
      <w:r>
        <w:rPr>
          <w:spacing w:val="-6"/>
          <w:sz w:val="24"/>
        </w:rPr>
        <w:t xml:space="preserve"> </w:t>
      </w:r>
      <w:r>
        <w:rPr>
          <w:sz w:val="24"/>
        </w:rPr>
        <w:t>tax</w:t>
      </w:r>
      <w:r>
        <w:rPr>
          <w:spacing w:val="-6"/>
          <w:sz w:val="24"/>
        </w:rPr>
        <w:t xml:space="preserve"> </w:t>
      </w:r>
      <w:r>
        <w:rPr>
          <w:sz w:val="24"/>
        </w:rPr>
        <w:t>administration, compliance levels, and governance structures.</w:t>
      </w:r>
    </w:p>
    <w:p w14:paraId="642C957E" w14:textId="77777777" w:rsidR="007F713D" w:rsidRDefault="00B70B8E">
      <w:pPr>
        <w:pStyle w:val="ListParagraph"/>
        <w:numPr>
          <w:ilvl w:val="1"/>
          <w:numId w:val="4"/>
        </w:numPr>
        <w:tabs>
          <w:tab w:val="left" w:pos="1439"/>
        </w:tabs>
        <w:spacing w:before="1"/>
        <w:ind w:left="1439" w:hanging="359"/>
        <w:rPr>
          <w:rFonts w:ascii="Symbol" w:hAnsi="Symbol"/>
          <w:sz w:val="20"/>
        </w:rPr>
      </w:pPr>
      <w:r>
        <w:rPr>
          <w:sz w:val="24"/>
        </w:rPr>
        <w:t>Consumption</w:t>
      </w:r>
      <w:r>
        <w:rPr>
          <w:spacing w:val="-1"/>
          <w:sz w:val="24"/>
        </w:rPr>
        <w:t xml:space="preserve"> </w:t>
      </w:r>
      <w:r>
        <w:rPr>
          <w:sz w:val="24"/>
        </w:rPr>
        <w:t>patterns</w:t>
      </w:r>
      <w:r>
        <w:rPr>
          <w:spacing w:val="-1"/>
          <w:sz w:val="24"/>
        </w:rPr>
        <w:t xml:space="preserve"> </w:t>
      </w:r>
      <w:r>
        <w:rPr>
          <w:sz w:val="24"/>
        </w:rPr>
        <w:t>or</w:t>
      </w:r>
      <w:r>
        <w:rPr>
          <w:spacing w:val="-3"/>
          <w:sz w:val="24"/>
        </w:rPr>
        <w:t xml:space="preserve"> </w:t>
      </w:r>
      <w:r>
        <w:rPr>
          <w:sz w:val="24"/>
        </w:rPr>
        <w:t>sectoral composition</w:t>
      </w:r>
      <w:r>
        <w:rPr>
          <w:spacing w:val="1"/>
          <w:sz w:val="24"/>
        </w:rPr>
        <w:t xml:space="preserve"> </w:t>
      </w:r>
      <w:r>
        <w:rPr>
          <w:sz w:val="24"/>
        </w:rPr>
        <w:t>–</w:t>
      </w:r>
      <w:r>
        <w:rPr>
          <w:spacing w:val="-1"/>
          <w:sz w:val="24"/>
        </w:rPr>
        <w:t xml:space="preserve"> </w:t>
      </w:r>
      <w:r>
        <w:rPr>
          <w:sz w:val="24"/>
        </w:rPr>
        <w:t>in</w:t>
      </w:r>
      <w:r>
        <w:rPr>
          <w:spacing w:val="-1"/>
          <w:sz w:val="24"/>
        </w:rPr>
        <w:t xml:space="preserve"> </w:t>
      </w:r>
      <w:r>
        <w:rPr>
          <w:sz w:val="24"/>
        </w:rPr>
        <w:t>some</w:t>
      </w:r>
      <w:r>
        <w:rPr>
          <w:spacing w:val="-1"/>
          <w:sz w:val="24"/>
        </w:rPr>
        <w:t xml:space="preserve"> </w:t>
      </w:r>
      <w:r>
        <w:rPr>
          <w:spacing w:val="-2"/>
          <w:sz w:val="24"/>
        </w:rPr>
        <w:t>methods.</w:t>
      </w:r>
    </w:p>
    <w:p w14:paraId="1D6FEDA0" w14:textId="77777777" w:rsidR="007F713D" w:rsidRDefault="00B70B8E">
      <w:pPr>
        <w:pStyle w:val="BodyText"/>
        <w:spacing w:before="41" w:line="276" w:lineRule="auto"/>
        <w:ind w:left="720" w:right="672"/>
        <w:jc w:val="both"/>
      </w:pPr>
      <w:r>
        <w:t>Tax capacity is typically used together with actual tax collections to determine tax effort, which shows whether a government is collecting less than, equal to, or more than its potential revenue.</w:t>
      </w:r>
    </w:p>
    <w:p w14:paraId="69FBC759" w14:textId="77777777" w:rsidR="007F713D" w:rsidRDefault="00B70B8E">
      <w:pPr>
        <w:pStyle w:val="BodyText"/>
        <w:spacing w:before="1" w:line="276" w:lineRule="auto"/>
        <w:ind w:left="720" w:right="664"/>
        <w:jc w:val="both"/>
      </w:pPr>
      <w:r>
        <w:t>Tax effort essentially measures how effectively a government is mobilising taxes relative to its tax capacity - that is, the proportion of actual revenue collected compared to what could reasonably be collected under normal conditions. A Tax Effort equal to 1 indicates that the government is collecting taxes exactly at its estimated capacity, while a value less than 1 signifies under-performance due to administrative inefficiencies or low taxpayer compliance.</w:t>
      </w:r>
      <w:r>
        <w:rPr>
          <w:spacing w:val="-9"/>
        </w:rPr>
        <w:t xml:space="preserve"> </w:t>
      </w:r>
      <w:r>
        <w:t>Conversely,</w:t>
      </w:r>
      <w:r>
        <w:rPr>
          <w:spacing w:val="-6"/>
        </w:rPr>
        <w:t xml:space="preserve"> </w:t>
      </w:r>
      <w:r>
        <w:t>a</w:t>
      </w:r>
      <w:r>
        <w:rPr>
          <w:spacing w:val="-10"/>
        </w:rPr>
        <w:t xml:space="preserve"> </w:t>
      </w:r>
      <w:r>
        <w:t>Tax</w:t>
      </w:r>
      <w:r>
        <w:rPr>
          <w:spacing w:val="-9"/>
        </w:rPr>
        <w:t xml:space="preserve"> </w:t>
      </w:r>
      <w:r>
        <w:t>Effort</w:t>
      </w:r>
      <w:r>
        <w:rPr>
          <w:spacing w:val="-9"/>
        </w:rPr>
        <w:t xml:space="preserve"> </w:t>
      </w:r>
      <w:r>
        <w:t>greater</w:t>
      </w:r>
      <w:r>
        <w:rPr>
          <w:spacing w:val="-10"/>
        </w:rPr>
        <w:t xml:space="preserve"> </w:t>
      </w:r>
      <w:r>
        <w:t>than</w:t>
      </w:r>
      <w:r>
        <w:rPr>
          <w:spacing w:val="-7"/>
        </w:rPr>
        <w:t xml:space="preserve"> </w:t>
      </w:r>
      <w:r>
        <w:t>1</w:t>
      </w:r>
      <w:r>
        <w:rPr>
          <w:spacing w:val="-9"/>
        </w:rPr>
        <w:t xml:space="preserve"> </w:t>
      </w:r>
      <w:r>
        <w:t>show</w:t>
      </w:r>
      <w:r>
        <w:rPr>
          <w:spacing w:val="-10"/>
        </w:rPr>
        <w:t xml:space="preserve"> </w:t>
      </w:r>
      <w:r>
        <w:t>that</w:t>
      </w:r>
      <w:r>
        <w:rPr>
          <w:spacing w:val="-9"/>
        </w:rPr>
        <w:t xml:space="preserve"> </w:t>
      </w:r>
      <w:r>
        <w:t>the</w:t>
      </w:r>
      <w:r>
        <w:rPr>
          <w:spacing w:val="-10"/>
        </w:rPr>
        <w:t xml:space="preserve"> </w:t>
      </w:r>
      <w:r>
        <w:t>government</w:t>
      </w:r>
      <w:r>
        <w:rPr>
          <w:spacing w:val="-9"/>
        </w:rPr>
        <w:t xml:space="preserve"> </w:t>
      </w:r>
      <w:r>
        <w:t>is</w:t>
      </w:r>
      <w:r>
        <w:rPr>
          <w:spacing w:val="-9"/>
        </w:rPr>
        <w:t xml:space="preserve"> </w:t>
      </w:r>
      <w:r>
        <w:t>collecting more than its estimated capacity, possibly through strong administration, broader tax coverage, or enhanced measures such as audits and Digitalisation.</w:t>
      </w:r>
    </w:p>
    <w:p w14:paraId="7B1B9252" w14:textId="77777777" w:rsidR="007F713D" w:rsidRDefault="007F713D">
      <w:pPr>
        <w:pStyle w:val="BodyText"/>
        <w:spacing w:before="41"/>
      </w:pPr>
    </w:p>
    <w:p w14:paraId="6BC950B1" w14:textId="77777777" w:rsidR="007F713D" w:rsidRDefault="00B70B8E">
      <w:pPr>
        <w:pStyle w:val="BodyText"/>
        <w:spacing w:before="1"/>
        <w:ind w:left="720"/>
        <w:jc w:val="both"/>
      </w:pPr>
      <w:r>
        <w:t>The</w:t>
      </w:r>
      <w:r>
        <w:rPr>
          <w:spacing w:val="-5"/>
        </w:rPr>
        <w:t xml:space="preserve"> </w:t>
      </w:r>
      <w:r>
        <w:t>following</w:t>
      </w:r>
      <w:r>
        <w:rPr>
          <w:spacing w:val="-1"/>
        </w:rPr>
        <w:t xml:space="preserve"> </w:t>
      </w:r>
      <w:r>
        <w:t>methods</w:t>
      </w:r>
      <w:r>
        <w:rPr>
          <w:spacing w:val="-1"/>
        </w:rPr>
        <w:t xml:space="preserve"> </w:t>
      </w:r>
      <w:r>
        <w:t>are</w:t>
      </w:r>
      <w:r>
        <w:rPr>
          <w:spacing w:val="-2"/>
        </w:rPr>
        <w:t xml:space="preserve"> </w:t>
      </w:r>
      <w:r>
        <w:t>widely</w:t>
      </w:r>
      <w:r>
        <w:rPr>
          <w:spacing w:val="-1"/>
        </w:rPr>
        <w:t xml:space="preserve"> </w:t>
      </w:r>
      <w:r>
        <w:t>used for</w:t>
      </w:r>
      <w:r>
        <w:rPr>
          <w:spacing w:val="-3"/>
        </w:rPr>
        <w:t xml:space="preserve"> </w:t>
      </w:r>
      <w:r>
        <w:t>measuring tax</w:t>
      </w:r>
      <w:r>
        <w:rPr>
          <w:spacing w:val="-1"/>
        </w:rPr>
        <w:t xml:space="preserve"> </w:t>
      </w:r>
      <w:r>
        <w:t>capacity</w:t>
      </w:r>
      <w:r>
        <w:rPr>
          <w:spacing w:val="-1"/>
        </w:rPr>
        <w:t xml:space="preserve"> </w:t>
      </w:r>
      <w:r>
        <w:t>and</w:t>
      </w:r>
      <w:r>
        <w:rPr>
          <w:spacing w:val="-1"/>
        </w:rPr>
        <w:t xml:space="preserve"> </w:t>
      </w:r>
      <w:r>
        <w:t>tax</w:t>
      </w:r>
      <w:r>
        <w:rPr>
          <w:spacing w:val="1"/>
        </w:rPr>
        <w:t xml:space="preserve"> </w:t>
      </w:r>
      <w:r>
        <w:rPr>
          <w:spacing w:val="-2"/>
        </w:rPr>
        <w:t>effort…</w:t>
      </w:r>
    </w:p>
    <w:p w14:paraId="25298EB6" w14:textId="77777777" w:rsidR="007F713D" w:rsidRDefault="007F713D">
      <w:pPr>
        <w:pStyle w:val="BodyText"/>
        <w:spacing w:before="81"/>
      </w:pPr>
    </w:p>
    <w:p w14:paraId="4654B20F" w14:textId="77777777" w:rsidR="007F713D" w:rsidRDefault="00B70B8E">
      <w:pPr>
        <w:ind w:left="720"/>
        <w:jc w:val="both"/>
        <w:rPr>
          <w:sz w:val="24"/>
        </w:rPr>
      </w:pPr>
      <w:r>
        <w:rPr>
          <w:i/>
          <w:sz w:val="24"/>
        </w:rPr>
        <w:t>Method</w:t>
      </w:r>
      <w:r>
        <w:rPr>
          <w:i/>
          <w:spacing w:val="-2"/>
          <w:sz w:val="24"/>
        </w:rPr>
        <w:t xml:space="preserve"> </w:t>
      </w:r>
      <w:r>
        <w:rPr>
          <w:i/>
          <w:sz w:val="24"/>
        </w:rPr>
        <w:t>1:</w:t>
      </w:r>
      <w:r>
        <w:rPr>
          <w:i/>
          <w:spacing w:val="-2"/>
          <w:sz w:val="24"/>
        </w:rPr>
        <w:t xml:space="preserve"> </w:t>
      </w:r>
      <w:r>
        <w:rPr>
          <w:sz w:val="24"/>
        </w:rPr>
        <w:t>Regression-based</w:t>
      </w:r>
      <w:r>
        <w:rPr>
          <w:spacing w:val="-1"/>
          <w:sz w:val="24"/>
        </w:rPr>
        <w:t xml:space="preserve"> </w:t>
      </w:r>
      <w:r>
        <w:rPr>
          <w:sz w:val="24"/>
        </w:rPr>
        <w:t>Tax</w:t>
      </w:r>
      <w:r>
        <w:rPr>
          <w:spacing w:val="-1"/>
          <w:sz w:val="24"/>
        </w:rPr>
        <w:t xml:space="preserve"> </w:t>
      </w:r>
      <w:r>
        <w:rPr>
          <w:sz w:val="24"/>
        </w:rPr>
        <w:t>Capacity</w:t>
      </w:r>
      <w:r>
        <w:rPr>
          <w:spacing w:val="-1"/>
          <w:sz w:val="24"/>
        </w:rPr>
        <w:t xml:space="preserve"> </w:t>
      </w:r>
      <w:r>
        <w:rPr>
          <w:spacing w:val="-2"/>
          <w:sz w:val="24"/>
        </w:rPr>
        <w:t>Model</w:t>
      </w:r>
    </w:p>
    <w:p w14:paraId="3A3FD067" w14:textId="77777777" w:rsidR="007F713D" w:rsidRDefault="007F713D">
      <w:pPr>
        <w:pStyle w:val="BodyText"/>
        <w:spacing w:before="84"/>
      </w:pPr>
    </w:p>
    <w:p w14:paraId="3D2AC8EC" w14:textId="77777777" w:rsidR="007F713D" w:rsidRDefault="00B70B8E">
      <w:pPr>
        <w:pStyle w:val="BodyText"/>
        <w:spacing w:line="276" w:lineRule="auto"/>
        <w:ind w:left="720" w:right="665"/>
        <w:jc w:val="both"/>
      </w:pPr>
      <w:r>
        <w:t>Regression-based Tax Capacity Model is a method to estimate a state or country’s tax capacity</w:t>
      </w:r>
      <w:r>
        <w:rPr>
          <w:spacing w:val="-6"/>
        </w:rPr>
        <w:t xml:space="preserve"> </w:t>
      </w:r>
      <w:r>
        <w:t>using</w:t>
      </w:r>
      <w:r>
        <w:rPr>
          <w:spacing w:val="-6"/>
        </w:rPr>
        <w:t xml:space="preserve"> </w:t>
      </w:r>
      <w:r>
        <w:t>statistical</w:t>
      </w:r>
      <w:r>
        <w:rPr>
          <w:spacing w:val="-9"/>
        </w:rPr>
        <w:t xml:space="preserve"> </w:t>
      </w:r>
      <w:r>
        <w:t>analysis.</w:t>
      </w:r>
      <w:r>
        <w:rPr>
          <w:spacing w:val="-7"/>
        </w:rPr>
        <w:t xml:space="preserve"> </w:t>
      </w:r>
      <w:r>
        <w:t>It</w:t>
      </w:r>
      <w:r>
        <w:rPr>
          <w:spacing w:val="-6"/>
        </w:rPr>
        <w:t xml:space="preserve"> </w:t>
      </w:r>
      <w:r>
        <w:t>relates</w:t>
      </w:r>
      <w:r>
        <w:rPr>
          <w:spacing w:val="-4"/>
        </w:rPr>
        <w:t xml:space="preserve"> </w:t>
      </w:r>
      <w:r>
        <w:t>tax</w:t>
      </w:r>
      <w:r>
        <w:rPr>
          <w:spacing w:val="-7"/>
        </w:rPr>
        <w:t xml:space="preserve"> </w:t>
      </w:r>
      <w:r>
        <w:t>revenue</w:t>
      </w:r>
      <w:r>
        <w:rPr>
          <w:spacing w:val="-8"/>
        </w:rPr>
        <w:t xml:space="preserve"> </w:t>
      </w:r>
      <w:r>
        <w:t>(dependent</w:t>
      </w:r>
      <w:r>
        <w:rPr>
          <w:spacing w:val="-6"/>
        </w:rPr>
        <w:t xml:space="preserve"> </w:t>
      </w:r>
      <w:r>
        <w:t>variable)</w:t>
      </w:r>
      <w:r>
        <w:rPr>
          <w:spacing w:val="-5"/>
        </w:rPr>
        <w:t xml:space="preserve"> </w:t>
      </w:r>
      <w:r>
        <w:t>to</w:t>
      </w:r>
      <w:r>
        <w:rPr>
          <w:spacing w:val="-6"/>
        </w:rPr>
        <w:t xml:space="preserve"> </w:t>
      </w:r>
      <w:r>
        <w:t>factors</w:t>
      </w:r>
      <w:r>
        <w:rPr>
          <w:spacing w:val="-7"/>
        </w:rPr>
        <w:t xml:space="preserve"> </w:t>
      </w:r>
      <w:r>
        <w:t>like income, population, and administrative efficiency (independent/explanatory variables) through</w:t>
      </w:r>
      <w:r>
        <w:rPr>
          <w:spacing w:val="-2"/>
        </w:rPr>
        <w:t xml:space="preserve"> </w:t>
      </w:r>
      <w:r>
        <w:t>a</w:t>
      </w:r>
      <w:r>
        <w:rPr>
          <w:spacing w:val="-2"/>
        </w:rPr>
        <w:t xml:space="preserve"> </w:t>
      </w:r>
      <w:r>
        <w:t>regression</w:t>
      </w:r>
      <w:r>
        <w:rPr>
          <w:spacing w:val="-1"/>
        </w:rPr>
        <w:t xml:space="preserve"> </w:t>
      </w:r>
      <w:r>
        <w:t>equation. In</w:t>
      </w:r>
      <w:r>
        <w:rPr>
          <w:spacing w:val="-1"/>
        </w:rPr>
        <w:t xml:space="preserve"> </w:t>
      </w:r>
      <w:r>
        <w:t>short,</w:t>
      </w:r>
      <w:r>
        <w:rPr>
          <w:spacing w:val="-1"/>
        </w:rPr>
        <w:t xml:space="preserve"> </w:t>
      </w:r>
      <w:r>
        <w:t>it</w:t>
      </w:r>
      <w:r>
        <w:rPr>
          <w:spacing w:val="-1"/>
        </w:rPr>
        <w:t xml:space="preserve"> </w:t>
      </w:r>
      <w:r>
        <w:t>shows</w:t>
      </w:r>
      <w:r>
        <w:rPr>
          <w:spacing w:val="-1"/>
        </w:rPr>
        <w:t xml:space="preserve"> </w:t>
      </w:r>
      <w:r>
        <w:t>how</w:t>
      </w:r>
      <w:r>
        <w:rPr>
          <w:spacing w:val="-2"/>
        </w:rPr>
        <w:t xml:space="preserve"> </w:t>
      </w:r>
      <w:r>
        <w:t>these</w:t>
      </w:r>
      <w:r>
        <w:rPr>
          <w:spacing w:val="-3"/>
        </w:rPr>
        <w:t xml:space="preserve"> </w:t>
      </w:r>
      <w:r>
        <w:t>factors</w:t>
      </w:r>
      <w:r>
        <w:rPr>
          <w:spacing w:val="-1"/>
        </w:rPr>
        <w:t xml:space="preserve"> </w:t>
      </w:r>
      <w:r>
        <w:t>influence</w:t>
      </w:r>
      <w:r>
        <w:rPr>
          <w:spacing w:val="-2"/>
        </w:rPr>
        <w:t xml:space="preserve"> </w:t>
      </w:r>
      <w:r>
        <w:t>tax</w:t>
      </w:r>
      <w:r>
        <w:rPr>
          <w:spacing w:val="-2"/>
        </w:rPr>
        <w:t xml:space="preserve"> </w:t>
      </w:r>
      <w:r>
        <w:t>collection and helps measure both tax capacity and tax effort.</w:t>
      </w:r>
    </w:p>
    <w:p w14:paraId="2D6AE6D8" w14:textId="77777777" w:rsidR="007F713D" w:rsidRDefault="007F713D">
      <w:pPr>
        <w:pStyle w:val="BodyText"/>
        <w:spacing w:before="42"/>
      </w:pPr>
    </w:p>
    <w:p w14:paraId="7926AF87" w14:textId="77777777" w:rsidR="007F713D" w:rsidRDefault="00B70B8E">
      <w:pPr>
        <w:tabs>
          <w:tab w:val="left" w:pos="3843"/>
          <w:tab w:val="left" w:leader="dot" w:pos="8329"/>
        </w:tabs>
        <w:ind w:left="1577"/>
        <w:rPr>
          <w:sz w:val="24"/>
        </w:rPr>
      </w:pPr>
      <w:r>
        <w:rPr>
          <w:i/>
          <w:sz w:val="24"/>
        </w:rPr>
        <w:t>Tax</w:t>
      </w:r>
      <w:r>
        <w:rPr>
          <w:i/>
          <w:spacing w:val="-1"/>
          <w:sz w:val="24"/>
        </w:rPr>
        <w:t xml:space="preserve"> </w:t>
      </w:r>
      <w:r>
        <w:rPr>
          <w:i/>
          <w:spacing w:val="-2"/>
          <w:sz w:val="24"/>
        </w:rPr>
        <w:t>Capacity:</w:t>
      </w:r>
      <w:r>
        <w:rPr>
          <w:i/>
          <w:sz w:val="24"/>
        </w:rPr>
        <w:tab/>
      </w:r>
      <w:r>
        <w:rPr>
          <w:rFonts w:ascii="Cambria Math" w:eastAsia="Cambria Math"/>
          <w:sz w:val="24"/>
        </w:rPr>
        <w:t>𝑇</w:t>
      </w:r>
      <w:r>
        <w:rPr>
          <w:rFonts w:ascii="Cambria Math" w:eastAsia="Cambria Math"/>
          <w:spacing w:val="21"/>
          <w:sz w:val="24"/>
        </w:rPr>
        <w:t xml:space="preserve"> </w:t>
      </w:r>
      <w:r>
        <w:rPr>
          <w:rFonts w:ascii="Cambria Math" w:eastAsia="Cambria Math"/>
          <w:sz w:val="24"/>
        </w:rPr>
        <w:t>=</w:t>
      </w:r>
      <w:r>
        <w:rPr>
          <w:rFonts w:ascii="Cambria Math" w:eastAsia="Cambria Math"/>
          <w:spacing w:val="13"/>
          <w:sz w:val="24"/>
        </w:rPr>
        <w:t xml:space="preserve"> </w:t>
      </w:r>
      <w:r>
        <w:rPr>
          <w:rFonts w:ascii="Cambria Math" w:eastAsia="Cambria Math"/>
          <w:sz w:val="24"/>
        </w:rPr>
        <w:t>𝛼</w:t>
      </w:r>
      <w:r>
        <w:rPr>
          <w:rFonts w:ascii="Cambria Math" w:eastAsia="Cambria Math"/>
          <w:spacing w:val="10"/>
          <w:sz w:val="24"/>
        </w:rPr>
        <w:t xml:space="preserve"> </w:t>
      </w:r>
      <w:r>
        <w:rPr>
          <w:rFonts w:ascii="Cambria Math" w:eastAsia="Cambria Math"/>
          <w:sz w:val="24"/>
        </w:rPr>
        <w:t>+</w:t>
      </w:r>
      <w:r>
        <w:rPr>
          <w:rFonts w:ascii="Cambria Math" w:eastAsia="Cambria Math"/>
          <w:spacing w:val="-1"/>
          <w:sz w:val="24"/>
        </w:rPr>
        <w:t xml:space="preserve"> </w:t>
      </w:r>
      <w:r>
        <w:rPr>
          <w:rFonts w:ascii="Cambria Math" w:eastAsia="Cambria Math"/>
          <w:sz w:val="24"/>
        </w:rPr>
        <w:t>𝛽</w:t>
      </w:r>
      <w:r>
        <w:rPr>
          <w:rFonts w:ascii="Cambria Math" w:eastAsia="Cambria Math"/>
          <w:sz w:val="24"/>
          <w:vertAlign w:val="subscript"/>
        </w:rPr>
        <w:t>1</w:t>
      </w:r>
      <w:r>
        <w:rPr>
          <w:rFonts w:ascii="Cambria Math" w:eastAsia="Cambria Math"/>
          <w:sz w:val="24"/>
        </w:rPr>
        <w:t>𝑌</w:t>
      </w:r>
      <w:r>
        <w:rPr>
          <w:rFonts w:ascii="Cambria Math" w:eastAsia="Cambria Math"/>
          <w:spacing w:val="6"/>
          <w:sz w:val="24"/>
        </w:rPr>
        <w:t xml:space="preserve"> </w:t>
      </w:r>
      <w:r>
        <w:rPr>
          <w:rFonts w:ascii="Cambria Math" w:eastAsia="Cambria Math"/>
          <w:sz w:val="24"/>
        </w:rPr>
        <w:t>+</w:t>
      </w:r>
      <w:r>
        <w:rPr>
          <w:rFonts w:ascii="Cambria Math" w:eastAsia="Cambria Math"/>
          <w:spacing w:val="-1"/>
          <w:sz w:val="24"/>
        </w:rPr>
        <w:t xml:space="preserve"> </w:t>
      </w:r>
      <w:r>
        <w:rPr>
          <w:rFonts w:ascii="Cambria Math" w:eastAsia="Cambria Math"/>
          <w:sz w:val="24"/>
        </w:rPr>
        <w:t>𝛽</w:t>
      </w:r>
      <w:r>
        <w:rPr>
          <w:rFonts w:ascii="Cambria Math" w:eastAsia="Cambria Math"/>
          <w:sz w:val="24"/>
          <w:vertAlign w:val="subscript"/>
        </w:rPr>
        <w:t>2</w:t>
      </w:r>
      <w:r>
        <w:rPr>
          <w:rFonts w:ascii="Cambria Math" w:eastAsia="Cambria Math"/>
          <w:sz w:val="24"/>
        </w:rPr>
        <w:t>𝑃</w:t>
      </w:r>
      <w:r>
        <w:rPr>
          <w:rFonts w:ascii="Cambria Math" w:eastAsia="Cambria Math"/>
          <w:spacing w:val="8"/>
          <w:sz w:val="24"/>
        </w:rPr>
        <w:t xml:space="preserve"> </w:t>
      </w:r>
      <w:r>
        <w:rPr>
          <w:rFonts w:ascii="Cambria Math" w:eastAsia="Cambria Math"/>
          <w:sz w:val="24"/>
        </w:rPr>
        <w:t>+</w:t>
      </w:r>
      <w:r>
        <w:rPr>
          <w:rFonts w:ascii="Cambria Math" w:eastAsia="Cambria Math"/>
          <w:spacing w:val="-1"/>
          <w:sz w:val="24"/>
        </w:rPr>
        <w:t xml:space="preserve"> </w:t>
      </w:r>
      <w:r>
        <w:rPr>
          <w:rFonts w:ascii="Cambria Math" w:eastAsia="Cambria Math"/>
          <w:sz w:val="24"/>
        </w:rPr>
        <w:t>𝛽</w:t>
      </w:r>
      <w:r>
        <w:rPr>
          <w:rFonts w:ascii="Cambria Math" w:eastAsia="Cambria Math"/>
          <w:sz w:val="24"/>
          <w:vertAlign w:val="subscript"/>
        </w:rPr>
        <w:t>3</w:t>
      </w:r>
      <w:r>
        <w:rPr>
          <w:rFonts w:ascii="Cambria Math" w:eastAsia="Cambria Math"/>
          <w:sz w:val="24"/>
        </w:rPr>
        <w:t>𝐴</w:t>
      </w:r>
      <w:r>
        <w:rPr>
          <w:rFonts w:ascii="Cambria Math" w:eastAsia="Cambria Math"/>
          <w:spacing w:val="2"/>
          <w:sz w:val="24"/>
        </w:rPr>
        <w:t xml:space="preserve"> </w:t>
      </w:r>
      <w:r>
        <w:rPr>
          <w:rFonts w:ascii="Cambria Math" w:eastAsia="Cambria Math"/>
          <w:sz w:val="24"/>
        </w:rPr>
        <w:t>+</w:t>
      </w:r>
      <w:r>
        <w:rPr>
          <w:rFonts w:ascii="Cambria Math" w:eastAsia="Cambria Math"/>
          <w:spacing w:val="1"/>
          <w:sz w:val="24"/>
        </w:rPr>
        <w:t xml:space="preserve"> </w:t>
      </w:r>
      <w:r>
        <w:rPr>
          <w:rFonts w:ascii="Cambria Math" w:eastAsia="Cambria Math"/>
          <w:spacing w:val="-10"/>
          <w:sz w:val="24"/>
        </w:rPr>
        <w:t>𝜖</w:t>
      </w:r>
      <w:r>
        <w:rPr>
          <w:sz w:val="24"/>
        </w:rPr>
        <w:tab/>
      </w:r>
      <w:r>
        <w:rPr>
          <w:spacing w:val="-5"/>
          <w:sz w:val="24"/>
        </w:rPr>
        <w:t>(</w:t>
      </w:r>
      <w:proofErr w:type="spellStart"/>
      <w:r>
        <w:rPr>
          <w:spacing w:val="-5"/>
          <w:sz w:val="24"/>
        </w:rPr>
        <w:t>i</w:t>
      </w:r>
      <w:proofErr w:type="spellEnd"/>
      <w:r>
        <w:rPr>
          <w:spacing w:val="-5"/>
          <w:sz w:val="24"/>
        </w:rPr>
        <w:t>)</w:t>
      </w:r>
    </w:p>
    <w:p w14:paraId="5C28BDAF" w14:textId="77777777" w:rsidR="007F713D" w:rsidRDefault="007F713D">
      <w:pPr>
        <w:pStyle w:val="BodyText"/>
        <w:spacing w:before="82"/>
      </w:pPr>
    </w:p>
    <w:p w14:paraId="2201D54B" w14:textId="77777777" w:rsidR="007F713D" w:rsidRDefault="00B70B8E">
      <w:pPr>
        <w:pStyle w:val="BodyText"/>
        <w:spacing w:before="1" w:line="276" w:lineRule="auto"/>
        <w:ind w:left="720" w:right="667"/>
        <w:jc w:val="both"/>
      </w:pPr>
      <w:r>
        <w:t>Y represents income, P denotes population, and A refers to administrative or structural factors,</w:t>
      </w:r>
      <w:r>
        <w:rPr>
          <w:spacing w:val="-3"/>
        </w:rPr>
        <w:t xml:space="preserve"> </w:t>
      </w:r>
      <w:r>
        <w:t>all</w:t>
      </w:r>
      <w:r>
        <w:rPr>
          <w:spacing w:val="-5"/>
        </w:rPr>
        <w:t xml:space="preserve"> </w:t>
      </w:r>
      <w:r>
        <w:t>of</w:t>
      </w:r>
      <w:r>
        <w:rPr>
          <w:spacing w:val="-7"/>
        </w:rPr>
        <w:t xml:space="preserve"> </w:t>
      </w:r>
      <w:r>
        <w:t>which</w:t>
      </w:r>
      <w:r>
        <w:rPr>
          <w:spacing w:val="-4"/>
        </w:rPr>
        <w:t xml:space="preserve"> </w:t>
      </w:r>
      <w:r>
        <w:t>serve</w:t>
      </w:r>
      <w:r>
        <w:rPr>
          <w:spacing w:val="-7"/>
        </w:rPr>
        <w:t xml:space="preserve"> </w:t>
      </w:r>
      <w:r>
        <w:t>as</w:t>
      </w:r>
      <w:r>
        <w:rPr>
          <w:spacing w:val="-3"/>
        </w:rPr>
        <w:t xml:space="preserve"> </w:t>
      </w:r>
      <w:r>
        <w:t>explanatory</w:t>
      </w:r>
      <w:r>
        <w:rPr>
          <w:spacing w:val="-6"/>
        </w:rPr>
        <w:t xml:space="preserve"> </w:t>
      </w:r>
      <w:r>
        <w:t>variables.</w:t>
      </w:r>
      <w:r>
        <w:rPr>
          <w:spacing w:val="-6"/>
        </w:rPr>
        <w:t xml:space="preserve"> </w:t>
      </w:r>
      <w:r>
        <w:t>The</w:t>
      </w:r>
      <w:r>
        <w:rPr>
          <w:spacing w:val="-7"/>
        </w:rPr>
        <w:t xml:space="preserve"> </w:t>
      </w:r>
      <w:r>
        <w:t>coefficients</w:t>
      </w:r>
      <w:r>
        <w:rPr>
          <w:spacing w:val="-1"/>
        </w:rPr>
        <w:t xml:space="preserve"> </w:t>
      </w:r>
      <w:r>
        <w:rPr>
          <w:rFonts w:ascii="Cambria Math" w:eastAsia="Cambria Math" w:hAnsi="Cambria Math"/>
        </w:rPr>
        <w:t>𝛽</w:t>
      </w:r>
      <w:r>
        <w:t>₁,</w:t>
      </w:r>
      <w:r>
        <w:rPr>
          <w:spacing w:val="-6"/>
        </w:rPr>
        <w:t xml:space="preserve"> </w:t>
      </w:r>
      <w:r>
        <w:rPr>
          <w:rFonts w:ascii="Cambria Math" w:eastAsia="Cambria Math" w:hAnsi="Cambria Math"/>
        </w:rPr>
        <w:t>𝛽</w:t>
      </w:r>
      <w:r>
        <w:t>₂,</w:t>
      </w:r>
      <w:r>
        <w:rPr>
          <w:spacing w:val="-6"/>
        </w:rPr>
        <w:t xml:space="preserve"> </w:t>
      </w:r>
      <w:r>
        <w:t>and</w:t>
      </w:r>
      <w:r>
        <w:rPr>
          <w:spacing w:val="-6"/>
        </w:rPr>
        <w:t xml:space="preserve"> </w:t>
      </w:r>
      <w:r>
        <w:rPr>
          <w:rFonts w:ascii="Cambria Math" w:eastAsia="Cambria Math" w:hAnsi="Cambria Math"/>
        </w:rPr>
        <w:t>𝛽</w:t>
      </w:r>
      <w:r>
        <w:t>₃</w:t>
      </w:r>
      <w:r>
        <w:rPr>
          <w:spacing w:val="-6"/>
        </w:rPr>
        <w:t xml:space="preserve"> </w:t>
      </w:r>
      <w:r>
        <w:t>indicate how</w:t>
      </w:r>
      <w:r>
        <w:rPr>
          <w:spacing w:val="-13"/>
        </w:rPr>
        <w:t xml:space="preserve"> </w:t>
      </w:r>
      <w:r>
        <w:t>changes</w:t>
      </w:r>
      <w:r>
        <w:rPr>
          <w:spacing w:val="-12"/>
        </w:rPr>
        <w:t xml:space="preserve"> </w:t>
      </w:r>
      <w:r>
        <w:t>in</w:t>
      </w:r>
      <w:r>
        <w:rPr>
          <w:spacing w:val="-12"/>
        </w:rPr>
        <w:t xml:space="preserve"> </w:t>
      </w:r>
      <w:r>
        <w:t>these</w:t>
      </w:r>
      <w:r>
        <w:rPr>
          <w:spacing w:val="-10"/>
        </w:rPr>
        <w:t xml:space="preserve"> </w:t>
      </w:r>
      <w:r>
        <w:t>explanatory</w:t>
      </w:r>
      <w:r>
        <w:rPr>
          <w:spacing w:val="-12"/>
        </w:rPr>
        <w:t xml:space="preserve"> </w:t>
      </w:r>
      <w:r>
        <w:t>variables</w:t>
      </w:r>
      <w:r>
        <w:rPr>
          <w:spacing w:val="-10"/>
        </w:rPr>
        <w:t xml:space="preserve"> </w:t>
      </w:r>
      <w:r>
        <w:t>affect</w:t>
      </w:r>
      <w:r>
        <w:rPr>
          <w:spacing w:val="-7"/>
        </w:rPr>
        <w:t xml:space="preserve"> </w:t>
      </w:r>
      <w:r>
        <w:t>a</w:t>
      </w:r>
      <w:r>
        <w:rPr>
          <w:spacing w:val="-13"/>
        </w:rPr>
        <w:t xml:space="preserve"> </w:t>
      </w:r>
      <w:r>
        <w:t>particular</w:t>
      </w:r>
      <w:r>
        <w:rPr>
          <w:spacing w:val="-13"/>
        </w:rPr>
        <w:t xml:space="preserve"> </w:t>
      </w:r>
      <w:r>
        <w:t>tax</w:t>
      </w:r>
      <w:r>
        <w:rPr>
          <w:spacing w:val="-12"/>
        </w:rPr>
        <w:t xml:space="preserve"> </w:t>
      </w:r>
      <w:r>
        <w:t>and</w:t>
      </w:r>
      <w:r>
        <w:rPr>
          <w:spacing w:val="-10"/>
        </w:rPr>
        <w:t xml:space="preserve"> </w:t>
      </w:r>
      <w:r>
        <w:t>help</w:t>
      </w:r>
      <w:r>
        <w:rPr>
          <w:spacing w:val="-12"/>
        </w:rPr>
        <w:t xml:space="preserve"> </w:t>
      </w:r>
      <w:r>
        <w:t>determine</w:t>
      </w:r>
      <w:r>
        <w:rPr>
          <w:spacing w:val="-13"/>
        </w:rPr>
        <w:t xml:space="preserve"> </w:t>
      </w:r>
      <w:r>
        <w:t>its</w:t>
      </w:r>
      <w:r>
        <w:rPr>
          <w:spacing w:val="-12"/>
        </w:rPr>
        <w:t xml:space="preserve"> </w:t>
      </w:r>
      <w:r>
        <w:t>tax capacity.</w:t>
      </w:r>
      <w:r>
        <w:rPr>
          <w:spacing w:val="-15"/>
        </w:rPr>
        <w:t xml:space="preserve"> </w:t>
      </w:r>
      <w:r>
        <w:t>For</w:t>
      </w:r>
      <w:r>
        <w:rPr>
          <w:spacing w:val="-15"/>
        </w:rPr>
        <w:t xml:space="preserve"> </w:t>
      </w:r>
      <w:r>
        <w:t>each</w:t>
      </w:r>
      <w:r>
        <w:rPr>
          <w:spacing w:val="-15"/>
        </w:rPr>
        <w:t xml:space="preserve"> </w:t>
      </w:r>
      <w:r>
        <w:t>type</w:t>
      </w:r>
      <w:r>
        <w:rPr>
          <w:spacing w:val="-15"/>
        </w:rPr>
        <w:t xml:space="preserve"> </w:t>
      </w:r>
      <w:r>
        <w:t>of</w:t>
      </w:r>
      <w:r>
        <w:rPr>
          <w:spacing w:val="-15"/>
        </w:rPr>
        <w:t xml:space="preserve"> </w:t>
      </w:r>
      <w:r>
        <w:t>tax,</w:t>
      </w:r>
      <w:r>
        <w:rPr>
          <w:spacing w:val="-15"/>
        </w:rPr>
        <w:t xml:space="preserve"> </w:t>
      </w:r>
      <w:r>
        <w:t>appropriate</w:t>
      </w:r>
      <w:r>
        <w:rPr>
          <w:spacing w:val="-15"/>
        </w:rPr>
        <w:t xml:space="preserve"> </w:t>
      </w:r>
      <w:r>
        <w:t>variables</w:t>
      </w:r>
      <w:r>
        <w:rPr>
          <w:spacing w:val="-15"/>
        </w:rPr>
        <w:t xml:space="preserve"> </w:t>
      </w:r>
      <w:r>
        <w:t>will</w:t>
      </w:r>
      <w:r>
        <w:rPr>
          <w:spacing w:val="-15"/>
        </w:rPr>
        <w:t xml:space="preserve"> </w:t>
      </w:r>
      <w:r>
        <w:t>be</w:t>
      </w:r>
      <w:r>
        <w:rPr>
          <w:spacing w:val="-15"/>
        </w:rPr>
        <w:t xml:space="preserve"> </w:t>
      </w:r>
      <w:r>
        <w:t>identified</w:t>
      </w:r>
      <w:r>
        <w:rPr>
          <w:spacing w:val="-15"/>
        </w:rPr>
        <w:t xml:space="preserve"> </w:t>
      </w:r>
      <w:r>
        <w:t>to</w:t>
      </w:r>
      <w:r>
        <w:rPr>
          <w:spacing w:val="-15"/>
        </w:rPr>
        <w:t xml:space="preserve"> </w:t>
      </w:r>
      <w:r>
        <w:t>assess</w:t>
      </w:r>
      <w:r>
        <w:rPr>
          <w:spacing w:val="-15"/>
        </w:rPr>
        <w:t xml:space="preserve"> </w:t>
      </w:r>
      <w:r>
        <w:t>the</w:t>
      </w:r>
      <w:r>
        <w:rPr>
          <w:spacing w:val="-15"/>
        </w:rPr>
        <w:t xml:space="preserve"> </w:t>
      </w:r>
      <w:r>
        <w:t>influence of</w:t>
      </w:r>
      <w:r>
        <w:rPr>
          <w:spacing w:val="-2"/>
        </w:rPr>
        <w:t xml:space="preserve"> </w:t>
      </w:r>
      <w:r>
        <w:t>explanatory</w:t>
      </w:r>
      <w:r>
        <w:rPr>
          <w:spacing w:val="-1"/>
        </w:rPr>
        <w:t xml:space="preserve"> </w:t>
      </w:r>
      <w:r>
        <w:t>variables</w:t>
      </w:r>
      <w:r>
        <w:rPr>
          <w:spacing w:val="-2"/>
        </w:rPr>
        <w:t xml:space="preserve"> </w:t>
      </w:r>
      <w:r>
        <w:t>through</w:t>
      </w:r>
      <w:r>
        <w:rPr>
          <w:spacing w:val="-1"/>
        </w:rPr>
        <w:t xml:space="preserve"> </w:t>
      </w:r>
      <w:r>
        <w:t>regression</w:t>
      </w:r>
      <w:r>
        <w:rPr>
          <w:spacing w:val="-1"/>
        </w:rPr>
        <w:t xml:space="preserve"> </w:t>
      </w:r>
      <w:r>
        <w:t>analysis,</w:t>
      </w:r>
      <w:r>
        <w:rPr>
          <w:spacing w:val="-1"/>
        </w:rPr>
        <w:t xml:space="preserve"> </w:t>
      </w:r>
      <w:r>
        <w:t>ensuring</w:t>
      </w:r>
      <w:r>
        <w:rPr>
          <w:spacing w:val="-1"/>
        </w:rPr>
        <w:t xml:space="preserve"> </w:t>
      </w:r>
      <w:r>
        <w:t>that</w:t>
      </w:r>
      <w:r>
        <w:rPr>
          <w:spacing w:val="-1"/>
        </w:rPr>
        <w:t xml:space="preserve"> </w:t>
      </w:r>
      <w:r>
        <w:t>both</w:t>
      </w:r>
      <w:r>
        <w:rPr>
          <w:spacing w:val="-1"/>
        </w:rPr>
        <w:t xml:space="preserve"> </w:t>
      </w:r>
      <w:r>
        <w:t>direct</w:t>
      </w:r>
      <w:r>
        <w:rPr>
          <w:spacing w:val="-1"/>
        </w:rPr>
        <w:t xml:space="preserve"> </w:t>
      </w:r>
      <w:r>
        <w:t>and</w:t>
      </w:r>
      <w:r>
        <w:rPr>
          <w:spacing w:val="-1"/>
        </w:rPr>
        <w:t xml:space="preserve"> </w:t>
      </w:r>
      <w:r>
        <w:t>indirect relationships with the dependent variable are adequately captured.</w:t>
      </w:r>
    </w:p>
    <w:p w14:paraId="3B60553E" w14:textId="77777777" w:rsidR="007F713D" w:rsidRDefault="007F713D">
      <w:pPr>
        <w:pStyle w:val="BodyText"/>
        <w:spacing w:before="14"/>
      </w:pPr>
    </w:p>
    <w:p w14:paraId="79B311CC" w14:textId="77777777" w:rsidR="007F713D" w:rsidRDefault="00B70B8E">
      <w:pPr>
        <w:ind w:left="1713"/>
        <w:rPr>
          <w:i/>
          <w:sz w:val="24"/>
        </w:rPr>
      </w:pPr>
      <w:r>
        <w:rPr>
          <w:i/>
          <w:sz w:val="24"/>
        </w:rPr>
        <w:t>Tax</w:t>
      </w:r>
      <w:r>
        <w:rPr>
          <w:i/>
          <w:spacing w:val="-1"/>
          <w:sz w:val="24"/>
        </w:rPr>
        <w:t xml:space="preserve"> </w:t>
      </w:r>
      <w:r>
        <w:rPr>
          <w:i/>
          <w:spacing w:val="-2"/>
          <w:sz w:val="24"/>
        </w:rPr>
        <w:t>Effort:</w:t>
      </w:r>
    </w:p>
    <w:p w14:paraId="616515BE" w14:textId="77777777" w:rsidR="007F713D" w:rsidRDefault="00B70B8E">
      <w:pPr>
        <w:pStyle w:val="BodyText"/>
        <w:spacing w:before="75" w:line="232" w:lineRule="exact"/>
        <w:ind w:left="4661"/>
        <w:rPr>
          <w:rFonts w:ascii="Cambria Math"/>
        </w:rPr>
      </w:pPr>
      <w:r>
        <w:t>Actual</w:t>
      </w:r>
      <w:r>
        <w:rPr>
          <w:spacing w:val="-4"/>
        </w:rPr>
        <w:t xml:space="preserve"> </w:t>
      </w:r>
      <w:r>
        <w:t>T</w:t>
      </w:r>
      <w:r>
        <w:rPr>
          <w:rFonts w:ascii="Cambria Math"/>
        </w:rPr>
        <w:t>ax</w:t>
      </w:r>
      <w:r>
        <w:rPr>
          <w:rFonts w:ascii="Cambria Math"/>
          <w:spacing w:val="-2"/>
        </w:rPr>
        <w:t xml:space="preserve"> collection</w:t>
      </w:r>
    </w:p>
    <w:p w14:paraId="7E000013" w14:textId="77777777" w:rsidR="007F713D" w:rsidRDefault="00B70B8E">
      <w:pPr>
        <w:pStyle w:val="BodyText"/>
        <w:spacing w:line="391" w:lineRule="exact"/>
        <w:ind w:left="51" w:right="2"/>
        <w:jc w:val="center"/>
      </w:pPr>
      <w:r>
        <w:rPr>
          <w:noProof/>
        </w:rPr>
        <mc:AlternateContent>
          <mc:Choice Requires="wps">
            <w:drawing>
              <wp:anchor distT="0" distB="0" distL="0" distR="0" simplePos="0" relativeHeight="487237632" behindDoc="1" locked="0" layoutInCell="1" allowOverlap="1" wp14:anchorId="13205BA9" wp14:editId="5B692408">
                <wp:simplePos x="0" y="0"/>
                <wp:positionH relativeFrom="page">
                  <wp:posOffset>3589654</wp:posOffset>
                </wp:positionH>
                <wp:positionV relativeFrom="paragraph">
                  <wp:posOffset>64716</wp:posOffset>
                </wp:positionV>
                <wp:extent cx="1464945" cy="1079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4945" cy="10795"/>
                        </a:xfrm>
                        <a:custGeom>
                          <a:avLst/>
                          <a:gdLst/>
                          <a:ahLst/>
                          <a:cxnLst/>
                          <a:rect l="l" t="t" r="r" b="b"/>
                          <a:pathLst>
                            <a:path w="1464945" h="10795">
                              <a:moveTo>
                                <a:pt x="1464818" y="0"/>
                              </a:moveTo>
                              <a:lnTo>
                                <a:pt x="0" y="0"/>
                              </a:lnTo>
                              <a:lnTo>
                                <a:pt x="0" y="10668"/>
                              </a:lnTo>
                              <a:lnTo>
                                <a:pt x="1464818" y="10668"/>
                              </a:lnTo>
                              <a:lnTo>
                                <a:pt x="14648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E9768C5" id="Graphic 6" o:spid="_x0000_s1026" style="position:absolute;margin-left:282.65pt;margin-top:5.1pt;width:115.35pt;height:.85pt;z-index:-16078848;visibility:visible;mso-wrap-style:square;mso-wrap-distance-left:0;mso-wrap-distance-top:0;mso-wrap-distance-right:0;mso-wrap-distance-bottom:0;mso-position-horizontal:absolute;mso-position-horizontal-relative:page;mso-position-vertical:absolute;mso-position-vertical-relative:text;v-text-anchor:top" coordsize="146494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" path="m1464818,l,,,10668r1464818,l1464818,xe" fillcolor="black" stroked="f">
                <v:path arrowok="t"/>
                <w10:wrap anchorx="page"/>
              </v:shape>
            </w:pict>
          </mc:Fallback>
        </mc:AlternateContent>
      </w:r>
      <w:r>
        <w:rPr>
          <w:position w:val="16"/>
        </w:rPr>
        <w:t>Tax</w:t>
      </w:r>
      <w:r>
        <w:rPr>
          <w:spacing w:val="-2"/>
          <w:position w:val="16"/>
        </w:rPr>
        <w:t xml:space="preserve"> </w:t>
      </w:r>
      <w:r>
        <w:rPr>
          <w:position w:val="16"/>
        </w:rPr>
        <w:t>Effort</w:t>
      </w:r>
      <w:r>
        <w:rPr>
          <w:spacing w:val="7"/>
          <w:position w:val="16"/>
        </w:rPr>
        <w:t xml:space="preserve"> </w:t>
      </w:r>
      <w:r>
        <w:rPr>
          <w:rFonts w:ascii="Cambria Math"/>
          <w:position w:val="16"/>
        </w:rPr>
        <w:t>=</w:t>
      </w:r>
      <w:r>
        <w:rPr>
          <w:rFonts w:ascii="Cambria Math"/>
          <w:spacing w:val="14"/>
          <w:position w:val="16"/>
        </w:rPr>
        <w:t xml:space="preserve"> </w:t>
      </w:r>
      <w:r>
        <w:t>Estimated</w:t>
      </w:r>
      <w:r>
        <w:rPr>
          <w:spacing w:val="-1"/>
        </w:rPr>
        <w:t xml:space="preserve"> </w:t>
      </w:r>
      <w:r>
        <w:t>Tax</w:t>
      </w:r>
      <w:r>
        <w:rPr>
          <w:spacing w:val="-1"/>
        </w:rPr>
        <w:t xml:space="preserve"> </w:t>
      </w:r>
      <w:r>
        <w:rPr>
          <w:spacing w:val="-2"/>
        </w:rPr>
        <w:t>Capacity</w:t>
      </w:r>
    </w:p>
    <w:p w14:paraId="610FC1E0" w14:textId="77777777" w:rsidR="007F713D" w:rsidRDefault="007F713D">
      <w:pPr>
        <w:pStyle w:val="BodyText"/>
        <w:spacing w:before="89"/>
      </w:pPr>
    </w:p>
    <w:p w14:paraId="348D9AA6" w14:textId="77777777" w:rsidR="007F713D" w:rsidRDefault="00B70B8E">
      <w:pPr>
        <w:ind w:left="720"/>
        <w:jc w:val="both"/>
        <w:rPr>
          <w:rFonts w:ascii="Cambria"/>
        </w:rPr>
      </w:pPr>
      <w:r>
        <w:rPr>
          <w:i/>
          <w:sz w:val="24"/>
        </w:rPr>
        <w:t>Method</w:t>
      </w:r>
      <w:r>
        <w:rPr>
          <w:i/>
          <w:spacing w:val="-1"/>
          <w:sz w:val="24"/>
        </w:rPr>
        <w:t xml:space="preserve"> </w:t>
      </w:r>
      <w:r>
        <w:rPr>
          <w:i/>
          <w:sz w:val="24"/>
        </w:rPr>
        <w:t>2:</w:t>
      </w:r>
      <w:r>
        <w:rPr>
          <w:i/>
          <w:spacing w:val="-2"/>
          <w:sz w:val="24"/>
        </w:rPr>
        <w:t xml:space="preserve"> </w:t>
      </w:r>
      <w:r>
        <w:rPr>
          <w:sz w:val="24"/>
        </w:rPr>
        <w:t>Representative</w:t>
      </w:r>
      <w:r>
        <w:rPr>
          <w:spacing w:val="-2"/>
          <w:sz w:val="24"/>
        </w:rPr>
        <w:t xml:space="preserve"> </w:t>
      </w:r>
      <w:r>
        <w:rPr>
          <w:sz w:val="24"/>
        </w:rPr>
        <w:t>Tax</w:t>
      </w:r>
      <w:r>
        <w:rPr>
          <w:spacing w:val="-1"/>
          <w:sz w:val="24"/>
        </w:rPr>
        <w:t xml:space="preserve"> </w:t>
      </w:r>
      <w:r>
        <w:rPr>
          <w:sz w:val="24"/>
        </w:rPr>
        <w:t xml:space="preserve">System </w:t>
      </w:r>
      <w:r>
        <w:rPr>
          <w:spacing w:val="-2"/>
          <w:sz w:val="24"/>
        </w:rPr>
        <w:t>(RTS</w:t>
      </w:r>
      <w:r>
        <w:rPr>
          <w:rFonts w:ascii="Cambria"/>
          <w:spacing w:val="-2"/>
        </w:rPr>
        <w:t>)</w:t>
      </w:r>
    </w:p>
    <w:p w14:paraId="377297D7" w14:textId="77777777" w:rsidR="007F713D" w:rsidRDefault="007F713D">
      <w:pPr>
        <w:pStyle w:val="BodyText"/>
        <w:spacing w:before="79"/>
        <w:rPr>
          <w:rFonts w:ascii="Cambria"/>
        </w:rPr>
      </w:pPr>
    </w:p>
    <w:p w14:paraId="4237DC29" w14:textId="77777777" w:rsidR="007F713D" w:rsidRDefault="00B70B8E">
      <w:pPr>
        <w:pStyle w:val="BodyText"/>
        <w:spacing w:line="276" w:lineRule="auto"/>
        <w:ind w:left="720" w:right="667"/>
        <w:jc w:val="both"/>
        <w:rPr>
          <w:b/>
        </w:rPr>
      </w:pPr>
      <w:r>
        <w:t>Representative</w:t>
      </w:r>
      <w:r>
        <w:rPr>
          <w:spacing w:val="-4"/>
        </w:rPr>
        <w:t xml:space="preserve"> </w:t>
      </w:r>
      <w:r>
        <w:t>Tax</w:t>
      </w:r>
      <w:r>
        <w:rPr>
          <w:spacing w:val="-4"/>
        </w:rPr>
        <w:t xml:space="preserve"> </w:t>
      </w:r>
      <w:r>
        <w:t>System</w:t>
      </w:r>
      <w:r>
        <w:rPr>
          <w:spacing w:val="-4"/>
        </w:rPr>
        <w:t xml:space="preserve"> </w:t>
      </w:r>
      <w:r>
        <w:t>(RTS)</w:t>
      </w:r>
      <w:r>
        <w:rPr>
          <w:spacing w:val="-3"/>
        </w:rPr>
        <w:t xml:space="preserve"> </w:t>
      </w:r>
      <w:r>
        <w:t>is</w:t>
      </w:r>
      <w:r>
        <w:rPr>
          <w:spacing w:val="-4"/>
        </w:rPr>
        <w:t xml:space="preserve"> </w:t>
      </w:r>
      <w:r>
        <w:t>a</w:t>
      </w:r>
      <w:r>
        <w:rPr>
          <w:spacing w:val="-4"/>
        </w:rPr>
        <w:t xml:space="preserve"> </w:t>
      </w:r>
      <w:r>
        <w:t>method</w:t>
      </w:r>
      <w:r>
        <w:rPr>
          <w:spacing w:val="-4"/>
        </w:rPr>
        <w:t xml:space="preserve"> </w:t>
      </w:r>
      <w:r>
        <w:t>used</w:t>
      </w:r>
      <w:r>
        <w:rPr>
          <w:spacing w:val="-4"/>
        </w:rPr>
        <w:t xml:space="preserve"> </w:t>
      </w:r>
      <w:r>
        <w:t>to</w:t>
      </w:r>
      <w:r>
        <w:rPr>
          <w:spacing w:val="-4"/>
        </w:rPr>
        <w:t xml:space="preserve"> </w:t>
      </w:r>
      <w:r>
        <w:t>estimate</w:t>
      </w:r>
      <w:r>
        <w:rPr>
          <w:spacing w:val="-5"/>
        </w:rPr>
        <w:t xml:space="preserve"> </w:t>
      </w:r>
      <w:r>
        <w:t>the</w:t>
      </w:r>
      <w:r>
        <w:rPr>
          <w:spacing w:val="-4"/>
        </w:rPr>
        <w:t xml:space="preserve"> </w:t>
      </w:r>
      <w:r>
        <w:t>theoretical</w:t>
      </w:r>
      <w:r>
        <w:rPr>
          <w:spacing w:val="-4"/>
        </w:rPr>
        <w:t xml:space="preserve"> </w:t>
      </w:r>
      <w:r>
        <w:t>tax</w:t>
      </w:r>
      <w:r>
        <w:rPr>
          <w:spacing w:val="-4"/>
        </w:rPr>
        <w:t xml:space="preserve"> </w:t>
      </w:r>
      <w:r>
        <w:t>capacity of a state or country. It assumes that if the tax structure and rates of a high-income or average region were applied to the target region, it would generate a certain amount of revenue. In short, RTS uses a “representative tax system” to estimate the potential maximum tax revenue</w:t>
      </w:r>
      <w:r>
        <w:rPr>
          <w:b/>
        </w:rPr>
        <w:t>.</w:t>
      </w:r>
    </w:p>
    <w:p w14:paraId="7405EE8D" w14:textId="77777777" w:rsidR="007F713D" w:rsidRDefault="007F713D">
      <w:pPr>
        <w:pStyle w:val="BodyText"/>
        <w:spacing w:before="41"/>
        <w:rPr>
          <w:b/>
        </w:rPr>
      </w:pPr>
    </w:p>
    <w:p w14:paraId="229D9960" w14:textId="77777777" w:rsidR="007F713D" w:rsidRDefault="00B70B8E">
      <w:pPr>
        <w:pStyle w:val="BodyText"/>
        <w:tabs>
          <w:tab w:val="left" w:leader="dot" w:pos="7821"/>
        </w:tabs>
        <w:spacing w:before="1"/>
        <w:ind w:left="2016"/>
      </w:pPr>
      <w:r>
        <w:t>Tax</w:t>
      </w:r>
      <w:r>
        <w:rPr>
          <w:spacing w:val="-2"/>
        </w:rPr>
        <w:t xml:space="preserve"> </w:t>
      </w:r>
      <w:r>
        <w:t>Capacity</w:t>
      </w:r>
      <w:r>
        <w:rPr>
          <w:spacing w:val="8"/>
        </w:rPr>
        <w:t xml:space="preserve"> </w:t>
      </w:r>
      <w:r>
        <w:rPr>
          <w:rFonts w:ascii="Cambria Math" w:hAnsi="Cambria Math"/>
        </w:rPr>
        <w:t>=</w:t>
      </w:r>
      <w:r>
        <w:rPr>
          <w:rFonts w:ascii="Cambria Math" w:hAnsi="Cambria Math"/>
          <w:spacing w:val="11"/>
        </w:rPr>
        <w:t xml:space="preserve"> </w:t>
      </w:r>
      <w:r>
        <w:t>Normative</w:t>
      </w:r>
      <w:r>
        <w:rPr>
          <w:spacing w:val="-2"/>
        </w:rPr>
        <w:t xml:space="preserve"> </w:t>
      </w:r>
      <w:r>
        <w:t>Rate</w:t>
      </w:r>
      <w:r>
        <w:rPr>
          <w:spacing w:val="-6"/>
        </w:rPr>
        <w:t xml:space="preserve"> </w:t>
      </w:r>
      <w:r>
        <w:rPr>
          <w:rFonts w:ascii="Cambria Math" w:hAnsi="Cambria Math"/>
        </w:rPr>
        <w:t xml:space="preserve">× </w:t>
      </w:r>
      <w:r>
        <w:t>Tax</w:t>
      </w:r>
      <w:r>
        <w:rPr>
          <w:spacing w:val="-1"/>
        </w:rPr>
        <w:t xml:space="preserve"> </w:t>
      </w:r>
      <w:r>
        <w:rPr>
          <w:spacing w:val="-4"/>
        </w:rPr>
        <w:t>Base</w:t>
      </w:r>
      <w:r>
        <w:tab/>
      </w:r>
      <w:r>
        <w:rPr>
          <w:spacing w:val="-4"/>
        </w:rPr>
        <w:t>(ii)</w:t>
      </w:r>
    </w:p>
    <w:p w14:paraId="1311BEFC" w14:textId="77777777" w:rsidR="007F713D" w:rsidRDefault="00B70B8E">
      <w:pPr>
        <w:spacing w:before="41"/>
        <w:ind w:left="720"/>
        <w:rPr>
          <w:i/>
          <w:sz w:val="24"/>
        </w:rPr>
      </w:pPr>
      <w:r>
        <w:rPr>
          <w:i/>
          <w:spacing w:val="-2"/>
          <w:sz w:val="24"/>
        </w:rPr>
        <w:t>Here:</w:t>
      </w:r>
    </w:p>
    <w:p w14:paraId="2AD88B7C" w14:textId="77777777" w:rsidR="007F713D" w:rsidRDefault="00B70B8E">
      <w:pPr>
        <w:pStyle w:val="BodyText"/>
        <w:spacing w:before="41" w:line="276" w:lineRule="auto"/>
        <w:ind w:left="720" w:right="669"/>
        <w:jc w:val="both"/>
        <w:rPr>
          <w:b/>
        </w:rPr>
      </w:pPr>
      <w:r>
        <w:rPr>
          <w:i/>
        </w:rPr>
        <w:t>Normative</w:t>
      </w:r>
      <w:r>
        <w:rPr>
          <w:i/>
          <w:spacing w:val="-14"/>
        </w:rPr>
        <w:t xml:space="preserve"> </w:t>
      </w:r>
      <w:r>
        <w:rPr>
          <w:i/>
        </w:rPr>
        <w:t>Rate</w:t>
      </w:r>
      <w:r>
        <w:rPr>
          <w:b/>
          <w:i/>
        </w:rPr>
        <w:t>:</w:t>
      </w:r>
      <w:r>
        <w:rPr>
          <w:b/>
          <w:i/>
          <w:spacing w:val="-14"/>
        </w:rPr>
        <w:t xml:space="preserve"> </w:t>
      </w:r>
      <w:r>
        <w:t>This</w:t>
      </w:r>
      <w:r>
        <w:rPr>
          <w:spacing w:val="-13"/>
        </w:rPr>
        <w:t xml:space="preserve"> </w:t>
      </w:r>
      <w:r>
        <w:t>is</w:t>
      </w:r>
      <w:r>
        <w:rPr>
          <w:spacing w:val="-12"/>
        </w:rPr>
        <w:t xml:space="preserve"> </w:t>
      </w:r>
      <w:r>
        <w:t>the</w:t>
      </w:r>
      <w:r>
        <w:rPr>
          <w:spacing w:val="-14"/>
        </w:rPr>
        <w:t xml:space="preserve"> </w:t>
      </w:r>
      <w:r>
        <w:t>theoretical</w:t>
      </w:r>
      <w:r>
        <w:rPr>
          <w:spacing w:val="-13"/>
        </w:rPr>
        <w:t xml:space="preserve"> </w:t>
      </w:r>
      <w:r>
        <w:t>or</w:t>
      </w:r>
      <w:r>
        <w:rPr>
          <w:spacing w:val="-14"/>
        </w:rPr>
        <w:t xml:space="preserve"> </w:t>
      </w:r>
      <w:r>
        <w:t>standard</w:t>
      </w:r>
      <w:r>
        <w:rPr>
          <w:spacing w:val="-14"/>
        </w:rPr>
        <w:t xml:space="preserve"> </w:t>
      </w:r>
      <w:r>
        <w:t>tax</w:t>
      </w:r>
      <w:r>
        <w:rPr>
          <w:spacing w:val="-14"/>
        </w:rPr>
        <w:t xml:space="preserve"> </w:t>
      </w:r>
      <w:r>
        <w:t>rate</w:t>
      </w:r>
      <w:r>
        <w:rPr>
          <w:spacing w:val="-14"/>
        </w:rPr>
        <w:t xml:space="preserve"> </w:t>
      </w:r>
      <w:r>
        <w:t>that</w:t>
      </w:r>
      <w:r>
        <w:rPr>
          <w:spacing w:val="-13"/>
        </w:rPr>
        <w:t xml:space="preserve"> </w:t>
      </w:r>
      <w:r>
        <w:t>can</w:t>
      </w:r>
      <w:r>
        <w:rPr>
          <w:spacing w:val="-13"/>
        </w:rPr>
        <w:t xml:space="preserve"> </w:t>
      </w:r>
      <w:r>
        <w:t>be</w:t>
      </w:r>
      <w:r>
        <w:rPr>
          <w:spacing w:val="-14"/>
        </w:rPr>
        <w:t xml:space="preserve"> </w:t>
      </w:r>
      <w:r>
        <w:t>applied</w:t>
      </w:r>
      <w:r>
        <w:rPr>
          <w:spacing w:val="-13"/>
        </w:rPr>
        <w:t xml:space="preserve"> </w:t>
      </w:r>
      <w:r>
        <w:t>under</w:t>
      </w:r>
      <w:r>
        <w:rPr>
          <w:spacing w:val="-14"/>
        </w:rPr>
        <w:t xml:space="preserve"> </w:t>
      </w:r>
      <w:r>
        <w:t>normal circumstances. It is considered a fair and practical rate that taxpayers can reasonably pay. For</w:t>
      </w:r>
      <w:r>
        <w:rPr>
          <w:spacing w:val="-7"/>
        </w:rPr>
        <w:t xml:space="preserve"> </w:t>
      </w:r>
      <w:r>
        <w:t>example,</w:t>
      </w:r>
      <w:r>
        <w:rPr>
          <w:spacing w:val="-6"/>
        </w:rPr>
        <w:t xml:space="preserve"> </w:t>
      </w:r>
      <w:r>
        <w:t>if</w:t>
      </w:r>
      <w:r>
        <w:rPr>
          <w:spacing w:val="-6"/>
        </w:rPr>
        <w:t xml:space="preserve"> </w:t>
      </w:r>
      <w:r>
        <w:t>the</w:t>
      </w:r>
      <w:r>
        <w:rPr>
          <w:spacing w:val="-6"/>
        </w:rPr>
        <w:t xml:space="preserve"> </w:t>
      </w:r>
      <w:r>
        <w:t>general</w:t>
      </w:r>
      <w:r>
        <w:rPr>
          <w:spacing w:val="-5"/>
        </w:rPr>
        <w:t xml:space="preserve"> </w:t>
      </w:r>
      <w:r>
        <w:t>income</w:t>
      </w:r>
      <w:r>
        <w:rPr>
          <w:spacing w:val="-7"/>
        </w:rPr>
        <w:t xml:space="preserve"> </w:t>
      </w:r>
      <w:r>
        <w:t>tax</w:t>
      </w:r>
      <w:r>
        <w:rPr>
          <w:spacing w:val="-6"/>
        </w:rPr>
        <w:t xml:space="preserve"> </w:t>
      </w:r>
      <w:r>
        <w:t>rate</w:t>
      </w:r>
      <w:r>
        <w:rPr>
          <w:spacing w:val="-6"/>
        </w:rPr>
        <w:t xml:space="preserve"> </w:t>
      </w:r>
      <w:r>
        <w:t>is</w:t>
      </w:r>
      <w:r>
        <w:rPr>
          <w:spacing w:val="-5"/>
        </w:rPr>
        <w:t xml:space="preserve"> </w:t>
      </w:r>
      <w:r>
        <w:t>10%,</w:t>
      </w:r>
      <w:r>
        <w:rPr>
          <w:spacing w:val="-6"/>
        </w:rPr>
        <w:t xml:space="preserve"> </w:t>
      </w:r>
      <w:r>
        <w:t>then</w:t>
      </w:r>
      <w:r>
        <w:rPr>
          <w:spacing w:val="-6"/>
        </w:rPr>
        <w:t xml:space="preserve"> </w:t>
      </w:r>
      <w:r>
        <w:t>this</w:t>
      </w:r>
      <w:r>
        <w:rPr>
          <w:spacing w:val="-6"/>
        </w:rPr>
        <w:t xml:space="preserve"> </w:t>
      </w:r>
      <w:r>
        <w:t>would</w:t>
      </w:r>
      <w:r>
        <w:rPr>
          <w:spacing w:val="-6"/>
        </w:rPr>
        <w:t xml:space="preserve"> </w:t>
      </w:r>
      <w:r>
        <w:t>be</w:t>
      </w:r>
      <w:r>
        <w:rPr>
          <w:spacing w:val="-7"/>
        </w:rPr>
        <w:t xml:space="preserve"> </w:t>
      </w:r>
      <w:r>
        <w:t>the</w:t>
      </w:r>
      <w:r>
        <w:rPr>
          <w:spacing w:val="-3"/>
        </w:rPr>
        <w:t xml:space="preserve"> </w:t>
      </w:r>
      <w:r>
        <w:t>Normative</w:t>
      </w:r>
      <w:r>
        <w:rPr>
          <w:spacing w:val="-7"/>
        </w:rPr>
        <w:t xml:space="preserve"> </w:t>
      </w:r>
      <w:r>
        <w:t>Rate</w:t>
      </w:r>
      <w:r>
        <w:rPr>
          <w:b/>
        </w:rPr>
        <w:t xml:space="preserve">. </w:t>
      </w:r>
      <w:r>
        <w:rPr>
          <w:i/>
        </w:rPr>
        <w:t>Tax</w:t>
      </w:r>
      <w:r>
        <w:rPr>
          <w:i/>
          <w:spacing w:val="-15"/>
        </w:rPr>
        <w:t xml:space="preserve"> </w:t>
      </w:r>
      <w:r>
        <w:rPr>
          <w:i/>
        </w:rPr>
        <w:t>Base</w:t>
      </w:r>
      <w:r>
        <w:rPr>
          <w:b/>
          <w:i/>
        </w:rPr>
        <w:t>:</w:t>
      </w:r>
      <w:r>
        <w:rPr>
          <w:b/>
          <w:i/>
          <w:spacing w:val="-13"/>
        </w:rPr>
        <w:t xml:space="preserve"> </w:t>
      </w:r>
      <w:r>
        <w:t>This</w:t>
      </w:r>
      <w:r>
        <w:rPr>
          <w:spacing w:val="-14"/>
        </w:rPr>
        <w:t xml:space="preserve"> </w:t>
      </w:r>
      <w:r>
        <w:t>is</w:t>
      </w:r>
      <w:r>
        <w:rPr>
          <w:spacing w:val="-14"/>
        </w:rPr>
        <w:t xml:space="preserve"> </w:t>
      </w:r>
      <w:r>
        <w:t>the</w:t>
      </w:r>
      <w:r>
        <w:rPr>
          <w:spacing w:val="-13"/>
        </w:rPr>
        <w:t xml:space="preserve"> </w:t>
      </w:r>
      <w:r>
        <w:t>base</w:t>
      </w:r>
      <w:r>
        <w:rPr>
          <w:spacing w:val="-15"/>
        </w:rPr>
        <w:t xml:space="preserve"> </w:t>
      </w:r>
      <w:r>
        <w:t>on</w:t>
      </w:r>
      <w:r>
        <w:rPr>
          <w:spacing w:val="-14"/>
        </w:rPr>
        <w:t xml:space="preserve"> </w:t>
      </w:r>
      <w:r>
        <w:t>which</w:t>
      </w:r>
      <w:r>
        <w:rPr>
          <w:spacing w:val="-15"/>
        </w:rPr>
        <w:t xml:space="preserve"> </w:t>
      </w:r>
      <w:r>
        <w:t>the</w:t>
      </w:r>
      <w:r>
        <w:rPr>
          <w:spacing w:val="-13"/>
        </w:rPr>
        <w:t xml:space="preserve"> </w:t>
      </w:r>
      <w:r>
        <w:t>tax</w:t>
      </w:r>
      <w:r>
        <w:rPr>
          <w:spacing w:val="-15"/>
        </w:rPr>
        <w:t xml:space="preserve"> </w:t>
      </w:r>
      <w:r>
        <w:t>is</w:t>
      </w:r>
      <w:r>
        <w:rPr>
          <w:spacing w:val="-11"/>
        </w:rPr>
        <w:t xml:space="preserve"> </w:t>
      </w:r>
      <w:r>
        <w:t>applied.</w:t>
      </w:r>
      <w:r>
        <w:rPr>
          <w:spacing w:val="-12"/>
        </w:rPr>
        <w:t xml:space="preserve"> </w:t>
      </w:r>
      <w:r>
        <w:t>It</w:t>
      </w:r>
      <w:r>
        <w:rPr>
          <w:spacing w:val="-14"/>
        </w:rPr>
        <w:t xml:space="preserve"> </w:t>
      </w:r>
      <w:r>
        <w:t>is</w:t>
      </w:r>
      <w:r>
        <w:rPr>
          <w:spacing w:val="-12"/>
        </w:rPr>
        <w:t xml:space="preserve"> </w:t>
      </w:r>
      <w:r>
        <w:t>usually</w:t>
      </w:r>
      <w:r>
        <w:rPr>
          <w:spacing w:val="-14"/>
        </w:rPr>
        <w:t xml:space="preserve"> </w:t>
      </w:r>
      <w:r>
        <w:t>the</w:t>
      </w:r>
      <w:r>
        <w:rPr>
          <w:spacing w:val="-15"/>
        </w:rPr>
        <w:t xml:space="preserve"> </w:t>
      </w:r>
      <w:r>
        <w:t>total</w:t>
      </w:r>
      <w:r>
        <w:rPr>
          <w:spacing w:val="-12"/>
        </w:rPr>
        <w:t xml:space="preserve"> </w:t>
      </w:r>
      <w:r>
        <w:t>value</w:t>
      </w:r>
      <w:r>
        <w:rPr>
          <w:spacing w:val="-15"/>
        </w:rPr>
        <w:t xml:space="preserve"> </w:t>
      </w:r>
      <w:r>
        <w:t>of</w:t>
      </w:r>
      <w:r>
        <w:rPr>
          <w:spacing w:val="-13"/>
        </w:rPr>
        <w:t xml:space="preserve"> </w:t>
      </w:r>
      <w:r>
        <w:t>income, sales, property, or other economic activity. For example, the total personal income, total sales, or total property value of a state would be considered the Tax Base</w:t>
      </w:r>
      <w:r>
        <w:rPr>
          <w:b/>
        </w:rPr>
        <w:t>.</w:t>
      </w:r>
    </w:p>
    <w:p w14:paraId="506BE7E4" w14:textId="77777777" w:rsidR="007F713D" w:rsidRDefault="00B70B8E">
      <w:pPr>
        <w:pStyle w:val="BodyText"/>
        <w:spacing w:line="276" w:lineRule="auto"/>
        <w:ind w:left="720" w:right="671"/>
        <w:jc w:val="both"/>
      </w:pPr>
      <w:r>
        <w:t>In short, Tax Capacity indicates the maximum revenue that can be collected from the tax base at a normal rate.</w:t>
      </w:r>
    </w:p>
    <w:p w14:paraId="56ABF97B" w14:textId="77777777" w:rsidR="007F713D" w:rsidRDefault="007F713D">
      <w:pPr>
        <w:pStyle w:val="BodyText"/>
        <w:spacing w:line="276" w:lineRule="auto"/>
        <w:jc w:val="both"/>
        <w:sectPr w:rsidR="007F713D">
          <w:pgSz w:w="12240" w:h="15840"/>
          <w:pgMar w:top="1600" w:right="1080" w:bottom="1220" w:left="1080" w:header="0" w:footer="1035" w:gutter="0"/>
          <w:cols w:space="720"/>
        </w:sectPr>
      </w:pPr>
    </w:p>
    <w:p w14:paraId="1E8ED3DB" w14:textId="77777777" w:rsidR="007F713D" w:rsidRDefault="00B70B8E">
      <w:pPr>
        <w:pStyle w:val="BodyText"/>
        <w:spacing w:before="158"/>
        <w:jc w:val="right"/>
        <w:rPr>
          <w:rFonts w:ascii="Cambria Math"/>
        </w:rPr>
      </w:pPr>
      <w:r>
        <w:t>Tax</w:t>
      </w:r>
      <w:r>
        <w:rPr>
          <w:spacing w:val="-3"/>
        </w:rPr>
        <w:t xml:space="preserve"> </w:t>
      </w:r>
      <w:r>
        <w:t>Effort</w:t>
      </w:r>
      <w:r>
        <w:rPr>
          <w:spacing w:val="8"/>
        </w:rPr>
        <w:t xml:space="preserve"> </w:t>
      </w:r>
      <w:r>
        <w:rPr>
          <w:rFonts w:ascii="Cambria Math"/>
          <w:spacing w:val="-10"/>
        </w:rPr>
        <w:t>=</w:t>
      </w:r>
    </w:p>
    <w:p w14:paraId="686228CF" w14:textId="77777777" w:rsidR="007F713D" w:rsidRDefault="00B70B8E">
      <w:pPr>
        <w:pStyle w:val="BodyText"/>
        <w:spacing w:line="257" w:lineRule="exact"/>
        <w:ind w:left="147"/>
      </w:pPr>
      <w:r>
        <w:br w:type="column"/>
      </w:r>
      <w:r>
        <w:t>Actual</w:t>
      </w:r>
      <w:r>
        <w:rPr>
          <w:spacing w:val="-1"/>
        </w:rPr>
        <w:t xml:space="preserve"> </w:t>
      </w:r>
      <w:r>
        <w:rPr>
          <w:rFonts w:ascii="Cambria Math"/>
        </w:rPr>
        <w:t>Tax</w:t>
      </w:r>
      <w:r>
        <w:rPr>
          <w:rFonts w:ascii="Cambria Math"/>
          <w:spacing w:val="-2"/>
        </w:rPr>
        <w:t xml:space="preserve"> </w:t>
      </w:r>
      <w:r>
        <w:rPr>
          <w:spacing w:val="-2"/>
        </w:rPr>
        <w:t>Collection</w:t>
      </w:r>
    </w:p>
    <w:p w14:paraId="18C48C81" w14:textId="77777777" w:rsidR="007F713D" w:rsidRDefault="007F713D">
      <w:pPr>
        <w:pStyle w:val="BodyText"/>
        <w:spacing w:before="6"/>
        <w:rPr>
          <w:sz w:val="4"/>
        </w:rPr>
      </w:pPr>
    </w:p>
    <w:p w14:paraId="474EFBA4" w14:textId="77777777" w:rsidR="007F713D" w:rsidRDefault="00B70B8E">
      <w:pPr>
        <w:spacing w:line="20" w:lineRule="exact"/>
        <w:ind w:left="25"/>
        <w:rPr>
          <w:sz w:val="2"/>
        </w:rPr>
      </w:pPr>
      <w:r>
        <w:rPr>
          <w:noProof/>
          <w:sz w:val="2"/>
        </w:rPr>
        <mc:AlternateContent>
          <mc:Choice Requires="wpg">
            <w:drawing>
              <wp:inline distT="0" distB="0" distL="0" distR="0" wp14:anchorId="6B98253D" wp14:editId="46D9894D">
                <wp:extent cx="1509395" cy="10795"/>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09395" cy="10795"/>
                          <a:chOff x="0" y="0"/>
                          <a:chExt cx="1509395" cy="10795"/>
                        </a:xfrm>
                      </wpg:grpSpPr>
                      <wps:wsp>
                        <wps:cNvPr id="8" name="Graphic 8"/>
                        <wps:cNvSpPr/>
                        <wps:spPr>
                          <a:xfrm>
                            <a:off x="0" y="0"/>
                            <a:ext cx="1509395" cy="10795"/>
                          </a:xfrm>
                          <a:custGeom>
                            <a:avLst/>
                            <a:gdLst/>
                            <a:ahLst/>
                            <a:cxnLst/>
                            <a:rect l="l" t="t" r="r" b="b"/>
                            <a:pathLst>
                              <a:path w="1509395" h="10795">
                                <a:moveTo>
                                  <a:pt x="1509014" y="0"/>
                                </a:moveTo>
                                <a:lnTo>
                                  <a:pt x="0" y="0"/>
                                </a:lnTo>
                                <a:lnTo>
                                  <a:pt x="0" y="10667"/>
                                </a:lnTo>
                                <a:lnTo>
                                  <a:pt x="1509014" y="10667"/>
                                </a:lnTo>
                                <a:lnTo>
                                  <a:pt x="150901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00F3CDB5" id="Group 7" o:spid="_x0000_s1026" style="width:118.85pt;height:.85pt;mso-position-horizontal-relative:char;mso-position-vertical-relative:line" coordsize="15093,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">
                <v:shape id="Graphic 8" o:spid="_x0000_s1027" style="position:absolute;width:15093;height:107;visibility:visible;mso-wrap-style:square;v-text-anchor:top" coordsize="15093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" path="m1509014,l,,,10667r1509014,l1509014,xe" fillcolor="black" stroked="f">
                  <v:path arrowok="t"/>
                </v:shape>
                <w10:anchorlock/>
              </v:group>
            </w:pict>
          </mc:Fallback>
        </mc:AlternateContent>
      </w:r>
    </w:p>
    <w:p w14:paraId="3C18A70F" w14:textId="77777777" w:rsidR="007F713D" w:rsidRDefault="00B70B8E">
      <w:pPr>
        <w:pStyle w:val="BodyText"/>
        <w:ind w:left="25"/>
      </w:pPr>
      <w:r>
        <w:rPr>
          <w:rFonts w:ascii="Cambria Math"/>
        </w:rPr>
        <w:t>Estimated</w:t>
      </w:r>
      <w:r>
        <w:rPr>
          <w:rFonts w:ascii="Cambria Math"/>
          <w:spacing w:val="-2"/>
        </w:rPr>
        <w:t xml:space="preserve"> </w:t>
      </w:r>
      <w:r>
        <w:t>Tax</w:t>
      </w:r>
      <w:r>
        <w:rPr>
          <w:spacing w:val="-1"/>
        </w:rPr>
        <w:t xml:space="preserve"> </w:t>
      </w:r>
      <w:r>
        <w:rPr>
          <w:spacing w:val="-2"/>
        </w:rPr>
        <w:t>Capacity</w:t>
      </w:r>
    </w:p>
    <w:p w14:paraId="198C1650" w14:textId="77777777" w:rsidR="007F713D" w:rsidRDefault="007F713D">
      <w:pPr>
        <w:pStyle w:val="BodyText"/>
      </w:pPr>
    </w:p>
    <w:p w14:paraId="18CDB42E" w14:textId="77777777" w:rsidR="00886C93" w:rsidRDefault="00886C93">
      <w:pPr>
        <w:pStyle w:val="BodyText"/>
        <w:sectPr w:rsidR="00886C93">
          <w:type w:val="continuous"/>
          <w:pgSz w:w="12240" w:h="15840"/>
          <w:pgMar w:top="1640" w:right="1080" w:bottom="1220" w:left="1080" w:header="0" w:footer="1035" w:gutter="0"/>
          <w:cols w:num="2" w:space="720" w:equalWidth="0">
            <w:col w:w="4472" w:space="40"/>
            <w:col w:w="5568"/>
          </w:cols>
        </w:sectPr>
      </w:pPr>
    </w:p>
    <w:p w14:paraId="01615E7D" w14:textId="77777777" w:rsidR="007F713D" w:rsidRDefault="00B70B8E">
      <w:pPr>
        <w:pStyle w:val="BodyText"/>
        <w:ind w:left="720"/>
      </w:pPr>
      <w:r>
        <w:rPr>
          <w:i/>
        </w:rPr>
        <w:lastRenderedPageBreak/>
        <w:t>Method</w:t>
      </w:r>
      <w:r>
        <w:rPr>
          <w:i/>
          <w:spacing w:val="-2"/>
        </w:rPr>
        <w:t xml:space="preserve"> </w:t>
      </w:r>
      <w:r>
        <w:rPr>
          <w:i/>
        </w:rPr>
        <w:t>3:</w:t>
      </w:r>
      <w:r>
        <w:rPr>
          <w:i/>
          <w:spacing w:val="-2"/>
        </w:rPr>
        <w:t xml:space="preserve"> </w:t>
      </w:r>
      <w:r>
        <w:t>Welfare-based Taxable</w:t>
      </w:r>
      <w:r>
        <w:rPr>
          <w:spacing w:val="-1"/>
        </w:rPr>
        <w:t xml:space="preserve"> </w:t>
      </w:r>
      <w:r>
        <w:t>Capacity</w:t>
      </w:r>
      <w:r>
        <w:rPr>
          <w:spacing w:val="-1"/>
        </w:rPr>
        <w:t xml:space="preserve"> </w:t>
      </w:r>
      <w:r>
        <w:t>(</w:t>
      </w:r>
      <w:proofErr w:type="spellStart"/>
      <w:r>
        <w:t>Dalamagas</w:t>
      </w:r>
      <w:proofErr w:type="spellEnd"/>
      <w:r>
        <w:rPr>
          <w:spacing w:val="-2"/>
        </w:rPr>
        <w:t xml:space="preserve"> </w:t>
      </w:r>
      <w:r>
        <w:t>et</w:t>
      </w:r>
      <w:r>
        <w:rPr>
          <w:spacing w:val="-1"/>
        </w:rPr>
        <w:t xml:space="preserve"> </w:t>
      </w:r>
      <w:r>
        <w:t>al.,</w:t>
      </w:r>
      <w:r>
        <w:rPr>
          <w:spacing w:val="-1"/>
        </w:rPr>
        <w:t xml:space="preserve"> </w:t>
      </w:r>
      <w:r>
        <w:rPr>
          <w:spacing w:val="-2"/>
        </w:rPr>
        <w:t>2019)</w:t>
      </w:r>
    </w:p>
    <w:p w14:paraId="0F728574" w14:textId="77777777" w:rsidR="007F713D" w:rsidRDefault="007F713D">
      <w:pPr>
        <w:pStyle w:val="BodyText"/>
        <w:spacing w:before="81"/>
      </w:pPr>
    </w:p>
    <w:p w14:paraId="377674C8" w14:textId="77777777" w:rsidR="007F713D" w:rsidRDefault="00B70B8E">
      <w:pPr>
        <w:pStyle w:val="BodyText"/>
        <w:spacing w:before="1" w:line="276" w:lineRule="auto"/>
        <w:ind w:left="720" w:right="671"/>
        <w:jc w:val="both"/>
      </w:pPr>
      <w:r>
        <w:t>Welfare-based Taxable Capacity is the highest level of tax revenue a government can collect</w:t>
      </w:r>
      <w:r>
        <w:rPr>
          <w:spacing w:val="-5"/>
        </w:rPr>
        <w:t xml:space="preserve"> </w:t>
      </w:r>
      <w:r>
        <w:t>without</w:t>
      </w:r>
      <w:r>
        <w:rPr>
          <w:spacing w:val="-5"/>
        </w:rPr>
        <w:t xml:space="preserve"> </w:t>
      </w:r>
      <w:r>
        <w:t>lowering</w:t>
      </w:r>
      <w:r>
        <w:rPr>
          <w:spacing w:val="-3"/>
        </w:rPr>
        <w:t xml:space="preserve"> </w:t>
      </w:r>
      <w:r>
        <w:t>the</w:t>
      </w:r>
      <w:r>
        <w:rPr>
          <w:spacing w:val="-7"/>
        </w:rPr>
        <w:t xml:space="preserve"> </w:t>
      </w:r>
      <w:r>
        <w:t>welfare</w:t>
      </w:r>
      <w:r>
        <w:rPr>
          <w:spacing w:val="-8"/>
        </w:rPr>
        <w:t xml:space="preserve"> </w:t>
      </w:r>
      <w:r>
        <w:t>or</w:t>
      </w:r>
      <w:r>
        <w:rPr>
          <w:spacing w:val="-7"/>
        </w:rPr>
        <w:t xml:space="preserve"> </w:t>
      </w:r>
      <w:r>
        <w:t>living</w:t>
      </w:r>
      <w:r>
        <w:rPr>
          <w:spacing w:val="-5"/>
        </w:rPr>
        <w:t xml:space="preserve"> </w:t>
      </w:r>
      <w:r>
        <w:t>standards</w:t>
      </w:r>
      <w:r>
        <w:rPr>
          <w:spacing w:val="-6"/>
        </w:rPr>
        <w:t xml:space="preserve"> </w:t>
      </w:r>
      <w:r>
        <w:t>of</w:t>
      </w:r>
      <w:r>
        <w:rPr>
          <w:spacing w:val="-7"/>
        </w:rPr>
        <w:t xml:space="preserve"> </w:t>
      </w:r>
      <w:r>
        <w:t>its</w:t>
      </w:r>
      <w:r>
        <w:rPr>
          <w:spacing w:val="-6"/>
        </w:rPr>
        <w:t xml:space="preserve"> </w:t>
      </w:r>
      <w:r>
        <w:t>citizens.</w:t>
      </w:r>
      <w:r>
        <w:rPr>
          <w:spacing w:val="-3"/>
        </w:rPr>
        <w:t xml:space="preserve"> </w:t>
      </w:r>
      <w:r>
        <w:t>It</w:t>
      </w:r>
      <w:r>
        <w:rPr>
          <w:spacing w:val="-5"/>
        </w:rPr>
        <w:t xml:space="preserve"> </w:t>
      </w:r>
      <w:r>
        <w:t>takes</w:t>
      </w:r>
      <w:r>
        <w:rPr>
          <w:spacing w:val="-6"/>
        </w:rPr>
        <w:t xml:space="preserve"> </w:t>
      </w:r>
      <w:r>
        <w:t>into</w:t>
      </w:r>
      <w:r>
        <w:rPr>
          <w:spacing w:val="-6"/>
        </w:rPr>
        <w:t xml:space="preserve"> </w:t>
      </w:r>
      <w:r>
        <w:t>account both the economic base and social welfare factors, ensuring that taxation does not harm people's well-being while estimating the potential tax revenue.</w:t>
      </w:r>
    </w:p>
    <w:p w14:paraId="566AE021" w14:textId="77777777" w:rsidR="007F713D" w:rsidRDefault="007F713D">
      <w:pPr>
        <w:pStyle w:val="BodyText"/>
        <w:spacing w:before="5"/>
      </w:pPr>
    </w:p>
    <w:p w14:paraId="5D252E73" w14:textId="77777777" w:rsidR="007F713D" w:rsidRDefault="00B70B8E">
      <w:pPr>
        <w:pStyle w:val="BodyText"/>
        <w:ind w:left="720"/>
      </w:pPr>
      <w:r>
        <w:t>Optimal</w:t>
      </w:r>
      <w:r>
        <w:rPr>
          <w:spacing w:val="-3"/>
        </w:rPr>
        <w:t xml:space="preserve"> </w:t>
      </w:r>
      <w:r>
        <w:t>Taxable</w:t>
      </w:r>
      <w:r>
        <w:rPr>
          <w:spacing w:val="-2"/>
        </w:rPr>
        <w:t xml:space="preserve"> Capacity:</w:t>
      </w:r>
    </w:p>
    <w:p w14:paraId="7673D128" w14:textId="77777777" w:rsidR="007F713D" w:rsidRDefault="007F713D">
      <w:pPr>
        <w:pStyle w:val="BodyText"/>
        <w:spacing w:before="46"/>
      </w:pPr>
    </w:p>
    <w:p w14:paraId="542BF480" w14:textId="77777777" w:rsidR="007F713D" w:rsidRDefault="00B70B8E">
      <w:pPr>
        <w:spacing w:before="1"/>
        <w:ind w:left="51" w:right="9"/>
        <w:jc w:val="center"/>
        <w:rPr>
          <w:rFonts w:ascii="Cambria Math" w:eastAsia="Cambria Math" w:hAnsi="Cambria Math"/>
          <w:sz w:val="24"/>
        </w:rPr>
      </w:pPr>
      <w:r>
        <w:rPr>
          <w:rFonts w:ascii="Cambria Math" w:eastAsia="Cambria Math" w:hAnsi="Cambria Math"/>
          <w:sz w:val="24"/>
        </w:rPr>
        <w:t>𝑇𝐶</w:t>
      </w:r>
      <w:r>
        <w:rPr>
          <w:rFonts w:ascii="Cambria Math" w:eastAsia="Cambria Math" w:hAnsi="Cambria Math"/>
          <w:spacing w:val="21"/>
          <w:sz w:val="24"/>
        </w:rPr>
        <w:t xml:space="preserve"> </w:t>
      </w:r>
      <w:r>
        <w:rPr>
          <w:rFonts w:ascii="Cambria Math" w:eastAsia="Cambria Math" w:hAnsi="Cambria Math"/>
          <w:sz w:val="24"/>
        </w:rPr>
        <w:t>=</w:t>
      </w:r>
      <w:r>
        <w:rPr>
          <w:rFonts w:ascii="Cambria Math" w:eastAsia="Cambria Math" w:hAnsi="Cambria Math"/>
          <w:spacing w:val="13"/>
          <w:sz w:val="24"/>
        </w:rPr>
        <w:t xml:space="preserve"> </w:t>
      </w:r>
      <w:r>
        <w:rPr>
          <w:rFonts w:ascii="Cambria Math" w:eastAsia="Cambria Math" w:hAnsi="Cambria Math"/>
          <w:sz w:val="24"/>
        </w:rPr>
        <w:t>𝑌</w:t>
      </w:r>
      <w:r>
        <w:rPr>
          <w:rFonts w:ascii="Cambria Math" w:eastAsia="Cambria Math" w:hAnsi="Cambria Math"/>
          <w:spacing w:val="6"/>
          <w:sz w:val="24"/>
        </w:rPr>
        <w:t xml:space="preserve"> </w:t>
      </w:r>
      <w:r>
        <w:rPr>
          <w:rFonts w:ascii="Cambria Math" w:eastAsia="Cambria Math" w:hAnsi="Cambria Math"/>
          <w:sz w:val="24"/>
        </w:rPr>
        <w:t xml:space="preserve">− </w:t>
      </w:r>
      <w:r>
        <w:rPr>
          <w:rFonts w:ascii="Cambria Math" w:eastAsia="Cambria Math" w:hAnsi="Cambria Math"/>
          <w:spacing w:val="-10"/>
          <w:sz w:val="24"/>
        </w:rPr>
        <w:t>𝐶</w:t>
      </w:r>
    </w:p>
    <w:p w14:paraId="354FADD7" w14:textId="77777777" w:rsidR="007F713D" w:rsidRDefault="00B70B8E">
      <w:pPr>
        <w:pStyle w:val="BodyText"/>
        <w:spacing w:before="41"/>
        <w:ind w:left="720"/>
      </w:pPr>
      <w:r>
        <w:t>Where:</w:t>
      </w:r>
      <w:r>
        <w:rPr>
          <w:spacing w:val="1"/>
        </w:rPr>
        <w:t xml:space="preserve"> </w:t>
      </w:r>
      <w:r>
        <w:t>-</w:t>
      </w:r>
      <w:r>
        <w:rPr>
          <w:spacing w:val="-2"/>
        </w:rPr>
        <w:t xml:space="preserve"> </w:t>
      </w:r>
      <w:r>
        <w:rPr>
          <w:i/>
        </w:rPr>
        <w:t>Y</w:t>
      </w:r>
      <w:r>
        <w:rPr>
          <w:i/>
          <w:spacing w:val="-1"/>
        </w:rPr>
        <w:t xml:space="preserve"> </w:t>
      </w:r>
      <w:r>
        <w:t>=</w:t>
      </w:r>
      <w:r>
        <w:rPr>
          <w:spacing w:val="-1"/>
        </w:rPr>
        <w:t xml:space="preserve"> </w:t>
      </w:r>
      <w:r>
        <w:t>income,</w:t>
      </w:r>
      <w:r>
        <w:rPr>
          <w:spacing w:val="-1"/>
        </w:rPr>
        <w:t xml:space="preserve"> </w:t>
      </w:r>
      <w:r>
        <w:rPr>
          <w:i/>
        </w:rPr>
        <w:t>C</w:t>
      </w:r>
      <w:r>
        <w:rPr>
          <w:i/>
          <w:spacing w:val="2"/>
        </w:rPr>
        <w:t xml:space="preserve"> </w:t>
      </w:r>
      <w:r>
        <w:t>=</w:t>
      </w:r>
      <w:r>
        <w:rPr>
          <w:spacing w:val="-1"/>
        </w:rPr>
        <w:t xml:space="preserve"> </w:t>
      </w:r>
      <w:r>
        <w:rPr>
          <w:spacing w:val="-2"/>
        </w:rPr>
        <w:t>consumption.</w:t>
      </w:r>
    </w:p>
    <w:p w14:paraId="4CCCD4B1" w14:textId="77777777" w:rsidR="007F713D" w:rsidRDefault="00B70B8E">
      <w:pPr>
        <w:pStyle w:val="BodyText"/>
        <w:spacing w:before="41" w:line="276" w:lineRule="auto"/>
        <w:ind w:left="720" w:right="676"/>
      </w:pPr>
      <w:r>
        <w:t>This</w:t>
      </w:r>
      <w:r>
        <w:rPr>
          <w:spacing w:val="-4"/>
        </w:rPr>
        <w:t xml:space="preserve"> </w:t>
      </w:r>
      <w:r>
        <w:t>method</w:t>
      </w:r>
      <w:r>
        <w:rPr>
          <w:spacing w:val="-4"/>
        </w:rPr>
        <w:t xml:space="preserve"> </w:t>
      </w:r>
      <w:r>
        <w:t>avoids</w:t>
      </w:r>
      <w:r>
        <w:rPr>
          <w:spacing w:val="-4"/>
        </w:rPr>
        <w:t xml:space="preserve"> </w:t>
      </w:r>
      <w:r>
        <w:t>arbitrary</w:t>
      </w:r>
      <w:r>
        <w:rPr>
          <w:spacing w:val="-4"/>
        </w:rPr>
        <w:t xml:space="preserve"> </w:t>
      </w:r>
      <w:r>
        <w:t>variable</w:t>
      </w:r>
      <w:r>
        <w:rPr>
          <w:spacing w:val="-4"/>
        </w:rPr>
        <w:t xml:space="preserve"> </w:t>
      </w:r>
      <w:r>
        <w:t>selection</w:t>
      </w:r>
      <w:r>
        <w:rPr>
          <w:spacing w:val="-4"/>
        </w:rPr>
        <w:t xml:space="preserve"> </w:t>
      </w:r>
      <w:r>
        <w:t>and</w:t>
      </w:r>
      <w:r>
        <w:rPr>
          <w:spacing w:val="-4"/>
        </w:rPr>
        <w:t xml:space="preserve"> </w:t>
      </w:r>
      <w:r>
        <w:t>provides</w:t>
      </w:r>
      <w:r>
        <w:rPr>
          <w:spacing w:val="-4"/>
        </w:rPr>
        <w:t xml:space="preserve"> </w:t>
      </w:r>
      <w:r>
        <w:t>a</w:t>
      </w:r>
      <w:r>
        <w:rPr>
          <w:spacing w:val="-6"/>
        </w:rPr>
        <w:t xml:space="preserve"> </w:t>
      </w:r>
      <w:r>
        <w:t>theoretical</w:t>
      </w:r>
      <w:r>
        <w:rPr>
          <w:spacing w:val="-4"/>
        </w:rPr>
        <w:t xml:space="preserve"> </w:t>
      </w:r>
      <w:r>
        <w:t>benchmark</w:t>
      </w:r>
      <w:r>
        <w:rPr>
          <w:spacing w:val="-2"/>
        </w:rPr>
        <w:t xml:space="preserve"> </w:t>
      </w:r>
      <w:r>
        <w:t>for tax effort.</w:t>
      </w:r>
    </w:p>
    <w:p w14:paraId="69085DFE" w14:textId="77777777" w:rsidR="007F713D" w:rsidRDefault="007F713D">
      <w:pPr>
        <w:pStyle w:val="BodyText"/>
        <w:spacing w:before="43"/>
      </w:pPr>
    </w:p>
    <w:p w14:paraId="010AD55C" w14:textId="77777777" w:rsidR="007F713D" w:rsidRDefault="00B70B8E">
      <w:pPr>
        <w:ind w:left="51" w:right="6947"/>
        <w:jc w:val="center"/>
        <w:rPr>
          <w:i/>
          <w:sz w:val="24"/>
        </w:rPr>
      </w:pPr>
      <w:r>
        <w:rPr>
          <w:i/>
          <w:sz w:val="24"/>
        </w:rPr>
        <w:t>Illustrative</w:t>
      </w:r>
      <w:r>
        <w:rPr>
          <w:i/>
          <w:spacing w:val="-2"/>
          <w:sz w:val="24"/>
        </w:rPr>
        <w:t xml:space="preserve"> Table:</w:t>
      </w:r>
    </w:p>
    <w:p w14:paraId="17A7D61C" w14:textId="77777777" w:rsidR="007F713D" w:rsidRDefault="00B70B8E">
      <w:pPr>
        <w:pStyle w:val="BodyText"/>
        <w:spacing w:before="41"/>
        <w:ind w:left="51"/>
        <w:jc w:val="center"/>
      </w:pPr>
      <w:r>
        <w:t>Table</w:t>
      </w:r>
      <w:r>
        <w:rPr>
          <w:spacing w:val="-2"/>
        </w:rPr>
        <w:t xml:space="preserve"> </w:t>
      </w:r>
      <w:r>
        <w:t>2:</w:t>
      </w:r>
      <w:r>
        <w:rPr>
          <w:spacing w:val="-1"/>
        </w:rPr>
        <w:t xml:space="preserve"> </w:t>
      </w:r>
      <w:r>
        <w:t>Tax</w:t>
      </w:r>
      <w:r>
        <w:rPr>
          <w:spacing w:val="-1"/>
        </w:rPr>
        <w:t xml:space="preserve"> </w:t>
      </w:r>
      <w:r>
        <w:t>Effort</w:t>
      </w:r>
      <w:r>
        <w:rPr>
          <w:spacing w:val="1"/>
        </w:rPr>
        <w:t xml:space="preserve"> </w:t>
      </w:r>
      <w:r>
        <w:rPr>
          <w:spacing w:val="-2"/>
        </w:rPr>
        <w:t>Indicators</w:t>
      </w:r>
    </w:p>
    <w:tbl>
      <w:tblPr>
        <w:tblW w:w="0" w:type="auto"/>
        <w:tblInd w:w="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1"/>
        <w:gridCol w:w="2458"/>
        <w:gridCol w:w="2552"/>
        <w:gridCol w:w="1843"/>
      </w:tblGrid>
      <w:tr w:rsidR="007F713D" w14:paraId="19A766E9" w14:textId="77777777">
        <w:trPr>
          <w:trHeight w:val="635"/>
        </w:trPr>
        <w:tc>
          <w:tcPr>
            <w:tcW w:w="1981" w:type="dxa"/>
          </w:tcPr>
          <w:p w14:paraId="17739B56" w14:textId="77777777" w:rsidR="007F713D" w:rsidRDefault="00B70B8E">
            <w:pPr>
              <w:pStyle w:val="TableParagraph"/>
              <w:spacing w:before="157"/>
              <w:ind w:left="42"/>
              <w:jc w:val="center"/>
              <w:rPr>
                <w:sz w:val="24"/>
              </w:rPr>
            </w:pPr>
            <w:r>
              <w:rPr>
                <w:sz w:val="24"/>
              </w:rPr>
              <w:t>State</w:t>
            </w:r>
            <w:r>
              <w:rPr>
                <w:spacing w:val="-3"/>
                <w:sz w:val="24"/>
              </w:rPr>
              <w:t xml:space="preserve"> </w:t>
            </w:r>
            <w:r>
              <w:rPr>
                <w:sz w:val="24"/>
              </w:rPr>
              <w:t xml:space="preserve">/ </w:t>
            </w:r>
            <w:r>
              <w:rPr>
                <w:spacing w:val="-4"/>
                <w:sz w:val="24"/>
              </w:rPr>
              <w:t>Year</w:t>
            </w:r>
          </w:p>
        </w:tc>
        <w:tc>
          <w:tcPr>
            <w:tcW w:w="2458" w:type="dxa"/>
          </w:tcPr>
          <w:p w14:paraId="491AE827" w14:textId="77777777" w:rsidR="007F713D" w:rsidRDefault="00B70B8E">
            <w:pPr>
              <w:pStyle w:val="TableParagraph"/>
              <w:spacing w:line="275" w:lineRule="exact"/>
              <w:ind w:left="5" w:right="3"/>
              <w:jc w:val="center"/>
              <w:rPr>
                <w:sz w:val="24"/>
              </w:rPr>
            </w:pPr>
            <w:r>
              <w:rPr>
                <w:sz w:val="24"/>
              </w:rPr>
              <w:t>Actual</w:t>
            </w:r>
            <w:r>
              <w:rPr>
                <w:spacing w:val="-2"/>
                <w:sz w:val="24"/>
              </w:rPr>
              <w:t xml:space="preserve"> </w:t>
            </w:r>
            <w:r>
              <w:rPr>
                <w:sz w:val="24"/>
              </w:rPr>
              <w:t>Tax</w:t>
            </w:r>
            <w:r>
              <w:rPr>
                <w:spacing w:val="-2"/>
                <w:sz w:val="24"/>
              </w:rPr>
              <w:t xml:space="preserve"> Collection</w:t>
            </w:r>
          </w:p>
          <w:p w14:paraId="28490150" w14:textId="77777777" w:rsidR="007F713D" w:rsidRDefault="00B70B8E">
            <w:pPr>
              <w:pStyle w:val="TableParagraph"/>
              <w:spacing w:before="43"/>
              <w:ind w:left="5" w:right="2"/>
              <w:jc w:val="center"/>
              <w:rPr>
                <w:sz w:val="24"/>
              </w:rPr>
            </w:pPr>
            <w:r>
              <w:rPr>
                <w:sz w:val="24"/>
              </w:rPr>
              <w:t xml:space="preserve">(₹ </w:t>
            </w:r>
            <w:r>
              <w:rPr>
                <w:spacing w:val="-2"/>
                <w:sz w:val="24"/>
              </w:rPr>
              <w:t>crore)</w:t>
            </w:r>
          </w:p>
        </w:tc>
        <w:tc>
          <w:tcPr>
            <w:tcW w:w="2552" w:type="dxa"/>
          </w:tcPr>
          <w:p w14:paraId="13C433D4" w14:textId="77777777" w:rsidR="007F713D" w:rsidRDefault="00B70B8E">
            <w:pPr>
              <w:pStyle w:val="TableParagraph"/>
              <w:spacing w:line="275" w:lineRule="exact"/>
              <w:ind w:left="12" w:right="3"/>
              <w:jc w:val="center"/>
              <w:rPr>
                <w:sz w:val="24"/>
              </w:rPr>
            </w:pPr>
            <w:r>
              <w:rPr>
                <w:sz w:val="24"/>
              </w:rPr>
              <w:t>Estimated</w:t>
            </w:r>
            <w:r>
              <w:rPr>
                <w:spacing w:val="-2"/>
                <w:sz w:val="24"/>
              </w:rPr>
              <w:t xml:space="preserve"> </w:t>
            </w:r>
            <w:r>
              <w:rPr>
                <w:sz w:val="24"/>
              </w:rPr>
              <w:t>Tax</w:t>
            </w:r>
            <w:r>
              <w:rPr>
                <w:spacing w:val="-1"/>
                <w:sz w:val="24"/>
              </w:rPr>
              <w:t xml:space="preserve"> </w:t>
            </w:r>
            <w:r>
              <w:rPr>
                <w:spacing w:val="-2"/>
                <w:sz w:val="24"/>
              </w:rPr>
              <w:t>Capacity</w:t>
            </w:r>
          </w:p>
          <w:p w14:paraId="690516B8" w14:textId="77777777" w:rsidR="007F713D" w:rsidRDefault="00B70B8E">
            <w:pPr>
              <w:pStyle w:val="TableParagraph"/>
              <w:spacing w:before="43"/>
              <w:ind w:left="12" w:right="2"/>
              <w:jc w:val="center"/>
              <w:rPr>
                <w:sz w:val="24"/>
              </w:rPr>
            </w:pPr>
            <w:r>
              <w:rPr>
                <w:sz w:val="24"/>
              </w:rPr>
              <w:t xml:space="preserve">(₹ </w:t>
            </w:r>
            <w:r>
              <w:rPr>
                <w:spacing w:val="-2"/>
                <w:sz w:val="24"/>
              </w:rPr>
              <w:t>crore)</w:t>
            </w:r>
          </w:p>
        </w:tc>
        <w:tc>
          <w:tcPr>
            <w:tcW w:w="1843" w:type="dxa"/>
          </w:tcPr>
          <w:p w14:paraId="03456E5C" w14:textId="77777777" w:rsidR="007F713D" w:rsidRDefault="00B70B8E">
            <w:pPr>
              <w:pStyle w:val="TableParagraph"/>
              <w:spacing w:before="157"/>
              <w:ind w:left="6" w:right="4"/>
              <w:jc w:val="center"/>
              <w:rPr>
                <w:sz w:val="24"/>
              </w:rPr>
            </w:pPr>
            <w:r>
              <w:rPr>
                <w:sz w:val="24"/>
              </w:rPr>
              <w:t>Tax</w:t>
            </w:r>
            <w:r>
              <w:rPr>
                <w:spacing w:val="-3"/>
                <w:sz w:val="24"/>
              </w:rPr>
              <w:t xml:space="preserve"> </w:t>
            </w:r>
            <w:r>
              <w:rPr>
                <w:sz w:val="24"/>
              </w:rPr>
              <w:t>Effort</w:t>
            </w:r>
            <w:r>
              <w:rPr>
                <w:spacing w:val="-2"/>
                <w:sz w:val="24"/>
              </w:rPr>
              <w:t xml:space="preserve"> Ratio</w:t>
            </w:r>
          </w:p>
        </w:tc>
      </w:tr>
      <w:tr w:rsidR="007F713D" w14:paraId="48B09927" w14:textId="77777777">
        <w:trPr>
          <w:trHeight w:val="316"/>
        </w:trPr>
        <w:tc>
          <w:tcPr>
            <w:tcW w:w="1981" w:type="dxa"/>
          </w:tcPr>
          <w:p w14:paraId="4623C7EC" w14:textId="77777777" w:rsidR="007F713D" w:rsidRDefault="00B70B8E">
            <w:pPr>
              <w:pStyle w:val="TableParagraph"/>
              <w:spacing w:line="275" w:lineRule="exact"/>
              <w:ind w:left="42" w:right="34"/>
              <w:jc w:val="center"/>
              <w:rPr>
                <w:sz w:val="24"/>
              </w:rPr>
            </w:pPr>
            <w:r>
              <w:rPr>
                <w:sz w:val="24"/>
              </w:rPr>
              <w:t>State</w:t>
            </w:r>
            <w:r>
              <w:rPr>
                <w:spacing w:val="-1"/>
                <w:sz w:val="24"/>
              </w:rPr>
              <w:t xml:space="preserve"> </w:t>
            </w:r>
            <w:r>
              <w:rPr>
                <w:spacing w:val="-10"/>
                <w:sz w:val="24"/>
              </w:rPr>
              <w:t>A</w:t>
            </w:r>
          </w:p>
        </w:tc>
        <w:tc>
          <w:tcPr>
            <w:tcW w:w="2458" w:type="dxa"/>
          </w:tcPr>
          <w:p w14:paraId="65B979F4" w14:textId="77777777" w:rsidR="007F713D" w:rsidRDefault="00B70B8E">
            <w:pPr>
              <w:pStyle w:val="TableParagraph"/>
              <w:spacing w:line="275" w:lineRule="exact"/>
              <w:ind w:left="5"/>
              <w:jc w:val="center"/>
              <w:rPr>
                <w:sz w:val="24"/>
              </w:rPr>
            </w:pPr>
            <w:r>
              <w:rPr>
                <w:spacing w:val="-2"/>
                <w:sz w:val="24"/>
              </w:rPr>
              <w:t>19,500</w:t>
            </w:r>
          </w:p>
        </w:tc>
        <w:tc>
          <w:tcPr>
            <w:tcW w:w="2552" w:type="dxa"/>
          </w:tcPr>
          <w:p w14:paraId="178881F3" w14:textId="77777777" w:rsidR="007F713D" w:rsidRDefault="00B70B8E">
            <w:pPr>
              <w:pStyle w:val="TableParagraph"/>
              <w:spacing w:line="275" w:lineRule="exact"/>
              <w:ind w:left="12"/>
              <w:jc w:val="center"/>
              <w:rPr>
                <w:sz w:val="24"/>
              </w:rPr>
            </w:pPr>
            <w:r>
              <w:rPr>
                <w:spacing w:val="-2"/>
                <w:sz w:val="24"/>
              </w:rPr>
              <w:t>25,000</w:t>
            </w:r>
          </w:p>
        </w:tc>
        <w:tc>
          <w:tcPr>
            <w:tcW w:w="1843" w:type="dxa"/>
          </w:tcPr>
          <w:p w14:paraId="6AEE07DD" w14:textId="77777777" w:rsidR="007F713D" w:rsidRDefault="00B70B8E">
            <w:pPr>
              <w:pStyle w:val="TableParagraph"/>
              <w:spacing w:line="275" w:lineRule="exact"/>
              <w:ind w:left="6"/>
              <w:jc w:val="center"/>
              <w:rPr>
                <w:sz w:val="24"/>
              </w:rPr>
            </w:pPr>
            <w:r>
              <w:rPr>
                <w:spacing w:val="-4"/>
                <w:sz w:val="24"/>
              </w:rPr>
              <w:t>0.78</w:t>
            </w:r>
          </w:p>
        </w:tc>
      </w:tr>
      <w:tr w:rsidR="007F713D" w14:paraId="34E287A5" w14:textId="77777777">
        <w:trPr>
          <w:trHeight w:val="318"/>
        </w:trPr>
        <w:tc>
          <w:tcPr>
            <w:tcW w:w="1981" w:type="dxa"/>
          </w:tcPr>
          <w:p w14:paraId="39F04E5A" w14:textId="77777777" w:rsidR="007F713D" w:rsidRDefault="00B70B8E">
            <w:pPr>
              <w:pStyle w:val="TableParagraph"/>
              <w:spacing w:line="275" w:lineRule="exact"/>
              <w:ind w:left="42" w:right="38"/>
              <w:jc w:val="center"/>
              <w:rPr>
                <w:sz w:val="24"/>
              </w:rPr>
            </w:pPr>
            <w:r>
              <w:rPr>
                <w:sz w:val="24"/>
              </w:rPr>
              <w:t>State</w:t>
            </w:r>
            <w:r>
              <w:rPr>
                <w:spacing w:val="-1"/>
                <w:sz w:val="24"/>
              </w:rPr>
              <w:t xml:space="preserve"> </w:t>
            </w:r>
            <w:r>
              <w:rPr>
                <w:spacing w:val="-10"/>
                <w:sz w:val="24"/>
              </w:rPr>
              <w:t>B</w:t>
            </w:r>
          </w:p>
        </w:tc>
        <w:tc>
          <w:tcPr>
            <w:tcW w:w="2458" w:type="dxa"/>
          </w:tcPr>
          <w:p w14:paraId="52FA9CB9" w14:textId="77777777" w:rsidR="007F713D" w:rsidRDefault="00B70B8E">
            <w:pPr>
              <w:pStyle w:val="TableParagraph"/>
              <w:spacing w:line="275" w:lineRule="exact"/>
              <w:ind w:left="5"/>
              <w:jc w:val="center"/>
              <w:rPr>
                <w:sz w:val="24"/>
              </w:rPr>
            </w:pPr>
            <w:r>
              <w:rPr>
                <w:spacing w:val="-2"/>
                <w:sz w:val="24"/>
              </w:rPr>
              <w:t>32,000</w:t>
            </w:r>
          </w:p>
        </w:tc>
        <w:tc>
          <w:tcPr>
            <w:tcW w:w="2552" w:type="dxa"/>
          </w:tcPr>
          <w:p w14:paraId="735B50BA" w14:textId="77777777" w:rsidR="007F713D" w:rsidRDefault="00B70B8E">
            <w:pPr>
              <w:pStyle w:val="TableParagraph"/>
              <w:spacing w:line="275" w:lineRule="exact"/>
              <w:ind w:left="12"/>
              <w:jc w:val="center"/>
              <w:rPr>
                <w:sz w:val="24"/>
              </w:rPr>
            </w:pPr>
            <w:r>
              <w:rPr>
                <w:spacing w:val="-2"/>
                <w:sz w:val="24"/>
              </w:rPr>
              <w:t>30,500</w:t>
            </w:r>
          </w:p>
        </w:tc>
        <w:tc>
          <w:tcPr>
            <w:tcW w:w="1843" w:type="dxa"/>
          </w:tcPr>
          <w:p w14:paraId="1134E283" w14:textId="77777777" w:rsidR="007F713D" w:rsidRDefault="00B70B8E">
            <w:pPr>
              <w:pStyle w:val="TableParagraph"/>
              <w:spacing w:line="275" w:lineRule="exact"/>
              <w:ind w:left="6"/>
              <w:jc w:val="center"/>
              <w:rPr>
                <w:sz w:val="24"/>
              </w:rPr>
            </w:pPr>
            <w:r>
              <w:rPr>
                <w:spacing w:val="-4"/>
                <w:sz w:val="24"/>
              </w:rPr>
              <w:t>1.05</w:t>
            </w:r>
          </w:p>
        </w:tc>
      </w:tr>
    </w:tbl>
    <w:p w14:paraId="717A866D" w14:textId="77777777" w:rsidR="007F713D" w:rsidRDefault="00B70B8E">
      <w:pPr>
        <w:spacing w:before="24" w:line="276" w:lineRule="auto"/>
        <w:ind w:left="720" w:right="668"/>
        <w:jc w:val="both"/>
        <w:rPr>
          <w:i/>
          <w:sz w:val="20"/>
        </w:rPr>
      </w:pPr>
      <w:r>
        <w:rPr>
          <w:i/>
          <w:sz w:val="20"/>
        </w:rPr>
        <w:t>All</w:t>
      </w:r>
      <w:r>
        <w:rPr>
          <w:i/>
          <w:spacing w:val="-4"/>
          <w:sz w:val="20"/>
        </w:rPr>
        <w:t xml:space="preserve"> </w:t>
      </w:r>
      <w:r>
        <w:rPr>
          <w:i/>
          <w:sz w:val="20"/>
        </w:rPr>
        <w:t>values</w:t>
      </w:r>
      <w:r>
        <w:rPr>
          <w:i/>
          <w:spacing w:val="-4"/>
          <w:sz w:val="20"/>
        </w:rPr>
        <w:t xml:space="preserve"> </w:t>
      </w:r>
      <w:r>
        <w:rPr>
          <w:i/>
          <w:sz w:val="20"/>
        </w:rPr>
        <w:t>in</w:t>
      </w:r>
      <w:r>
        <w:rPr>
          <w:i/>
          <w:spacing w:val="-2"/>
          <w:sz w:val="20"/>
        </w:rPr>
        <w:t xml:space="preserve"> </w:t>
      </w:r>
      <w:r>
        <w:rPr>
          <w:i/>
          <w:sz w:val="20"/>
        </w:rPr>
        <w:t>this</w:t>
      </w:r>
      <w:r>
        <w:rPr>
          <w:i/>
          <w:spacing w:val="-4"/>
          <w:sz w:val="20"/>
        </w:rPr>
        <w:t xml:space="preserve"> </w:t>
      </w:r>
      <w:r>
        <w:rPr>
          <w:i/>
          <w:sz w:val="20"/>
        </w:rPr>
        <w:t>table</w:t>
      </w:r>
      <w:r>
        <w:rPr>
          <w:i/>
          <w:spacing w:val="-3"/>
          <w:sz w:val="20"/>
        </w:rPr>
        <w:t xml:space="preserve"> </w:t>
      </w:r>
      <w:r>
        <w:rPr>
          <w:i/>
          <w:sz w:val="20"/>
        </w:rPr>
        <w:t>are</w:t>
      </w:r>
      <w:r>
        <w:rPr>
          <w:i/>
          <w:spacing w:val="-3"/>
          <w:sz w:val="20"/>
        </w:rPr>
        <w:t xml:space="preserve"> </w:t>
      </w:r>
      <w:r>
        <w:rPr>
          <w:i/>
          <w:sz w:val="20"/>
        </w:rPr>
        <w:t>illustrative</w:t>
      </w:r>
      <w:r>
        <w:rPr>
          <w:i/>
          <w:spacing w:val="-3"/>
          <w:sz w:val="20"/>
        </w:rPr>
        <w:t xml:space="preserve"> </w:t>
      </w:r>
      <w:r>
        <w:rPr>
          <w:i/>
          <w:sz w:val="20"/>
        </w:rPr>
        <w:t>and</w:t>
      </w:r>
      <w:r>
        <w:rPr>
          <w:i/>
          <w:spacing w:val="-2"/>
          <w:sz w:val="20"/>
        </w:rPr>
        <w:t xml:space="preserve"> </w:t>
      </w:r>
      <w:r>
        <w:rPr>
          <w:i/>
          <w:sz w:val="20"/>
        </w:rPr>
        <w:t>have</w:t>
      </w:r>
      <w:r>
        <w:rPr>
          <w:i/>
          <w:spacing w:val="-3"/>
          <w:sz w:val="20"/>
        </w:rPr>
        <w:t xml:space="preserve"> </w:t>
      </w:r>
      <w:r>
        <w:rPr>
          <w:i/>
          <w:sz w:val="20"/>
        </w:rPr>
        <w:t>been</w:t>
      </w:r>
      <w:r>
        <w:rPr>
          <w:i/>
          <w:spacing w:val="-2"/>
          <w:sz w:val="20"/>
        </w:rPr>
        <w:t xml:space="preserve"> </w:t>
      </w:r>
      <w:r>
        <w:rPr>
          <w:i/>
          <w:sz w:val="20"/>
        </w:rPr>
        <w:t>included</w:t>
      </w:r>
      <w:r>
        <w:rPr>
          <w:i/>
          <w:spacing w:val="-2"/>
          <w:sz w:val="20"/>
        </w:rPr>
        <w:t xml:space="preserve"> </w:t>
      </w:r>
      <w:r>
        <w:rPr>
          <w:i/>
          <w:sz w:val="20"/>
        </w:rPr>
        <w:t>only</w:t>
      </w:r>
      <w:r>
        <w:rPr>
          <w:i/>
          <w:spacing w:val="-3"/>
          <w:sz w:val="20"/>
        </w:rPr>
        <w:t xml:space="preserve"> </w:t>
      </w:r>
      <w:r>
        <w:rPr>
          <w:i/>
          <w:sz w:val="20"/>
        </w:rPr>
        <w:t>to demonstrate</w:t>
      </w:r>
      <w:r>
        <w:rPr>
          <w:i/>
          <w:spacing w:val="-3"/>
          <w:sz w:val="20"/>
        </w:rPr>
        <w:t xml:space="preserve"> </w:t>
      </w:r>
      <w:r>
        <w:rPr>
          <w:i/>
          <w:sz w:val="20"/>
        </w:rPr>
        <w:t>the</w:t>
      </w:r>
      <w:r>
        <w:rPr>
          <w:i/>
          <w:spacing w:val="-1"/>
          <w:sz w:val="20"/>
        </w:rPr>
        <w:t xml:space="preserve"> </w:t>
      </w:r>
      <w:r>
        <w:rPr>
          <w:i/>
          <w:sz w:val="20"/>
        </w:rPr>
        <w:t>methodology;</w:t>
      </w:r>
      <w:r>
        <w:rPr>
          <w:i/>
          <w:spacing w:val="-2"/>
          <w:sz w:val="20"/>
        </w:rPr>
        <w:t xml:space="preserve"> </w:t>
      </w:r>
      <w:r>
        <w:rPr>
          <w:i/>
          <w:sz w:val="20"/>
        </w:rPr>
        <w:t>they</w:t>
      </w:r>
      <w:r>
        <w:rPr>
          <w:i/>
          <w:spacing w:val="-5"/>
          <w:sz w:val="20"/>
        </w:rPr>
        <w:t xml:space="preserve"> </w:t>
      </w:r>
      <w:r>
        <w:rPr>
          <w:i/>
          <w:sz w:val="20"/>
        </w:rPr>
        <w:t>do not represent actual state data.</w:t>
      </w:r>
    </w:p>
    <w:p w14:paraId="113F3051" w14:textId="77777777" w:rsidR="00403586" w:rsidRDefault="00403586">
      <w:pPr>
        <w:spacing w:before="24" w:line="276" w:lineRule="auto"/>
        <w:ind w:left="720" w:right="668"/>
        <w:jc w:val="both"/>
        <w:rPr>
          <w:i/>
          <w:sz w:val="20"/>
        </w:rPr>
      </w:pPr>
    </w:p>
    <w:p w14:paraId="0483FA5D" w14:textId="77777777" w:rsidR="007F713D" w:rsidRDefault="00B70B8E">
      <w:pPr>
        <w:pStyle w:val="BodyText"/>
        <w:spacing w:line="276" w:lineRule="auto"/>
        <w:ind w:left="720" w:right="667"/>
        <w:jc w:val="both"/>
      </w:pPr>
      <w:r>
        <w:t xml:space="preserve">In Table 2, the tax effort ratio provides insights into how effectively a state utilizes its taxable capacity. State A shows a tax effort of 0.78, indicating under-performance, as it collects only 78% of its estimated tax capacity. This suggests inefficiencies in tax administration, a narrow tax base, low compliance, or a lack of revenue mobilisation </w:t>
      </w:r>
      <w:r>
        <w:rPr>
          <w:spacing w:val="-2"/>
        </w:rPr>
        <w:t>initiatives.</w:t>
      </w:r>
    </w:p>
    <w:p w14:paraId="56287183" w14:textId="77777777" w:rsidR="007F713D" w:rsidRDefault="00B70B8E">
      <w:pPr>
        <w:pStyle w:val="BodyText"/>
        <w:spacing w:line="276" w:lineRule="auto"/>
        <w:ind w:left="720" w:right="669"/>
        <w:jc w:val="both"/>
      </w:pPr>
      <w:r>
        <w:t>In contrast, State B has a tax effort of 1.05, meaning it collects slightly more than its estimated capacity. This reflects stronger administrative efficiency, broader tax coverage, and greater effectiveness in enforcement and compliance mechanisms. Such a value also suggests that State B is pushing its tax system beyond standard norms, possibly through improved digitalisation, audits, or rationalisation of tax rates.</w:t>
      </w:r>
    </w:p>
    <w:p w14:paraId="6897A37A" w14:textId="77777777" w:rsidR="007F713D" w:rsidRDefault="00B70B8E">
      <w:pPr>
        <w:pStyle w:val="BodyText"/>
        <w:spacing w:line="276" w:lineRule="auto"/>
        <w:ind w:left="720" w:right="668"/>
        <w:jc w:val="both"/>
      </w:pPr>
      <w:r>
        <w:t xml:space="preserve">Overall, the divergence between the two tax effort ratios highlights the importance of evaluating both structural tax capacity and administrative efficiency. A high tax effort </w:t>
      </w:r>
      <w:r>
        <w:rPr>
          <w:spacing w:val="-2"/>
        </w:rPr>
        <w:t>underscores</w:t>
      </w:r>
      <w:r>
        <w:rPr>
          <w:spacing w:val="-3"/>
        </w:rPr>
        <w:t xml:space="preserve"> </w:t>
      </w:r>
      <w:r>
        <w:rPr>
          <w:spacing w:val="-2"/>
        </w:rPr>
        <w:t>strong</w:t>
      </w:r>
      <w:r>
        <w:rPr>
          <w:spacing w:val="-3"/>
        </w:rPr>
        <w:t xml:space="preserve"> </w:t>
      </w:r>
      <w:r>
        <w:rPr>
          <w:spacing w:val="-2"/>
        </w:rPr>
        <w:t>revenue</w:t>
      </w:r>
      <w:r>
        <w:rPr>
          <w:spacing w:val="-4"/>
        </w:rPr>
        <w:t xml:space="preserve"> </w:t>
      </w:r>
      <w:r>
        <w:rPr>
          <w:spacing w:val="-2"/>
        </w:rPr>
        <w:t>mobilisation,</w:t>
      </w:r>
      <w:r>
        <w:rPr>
          <w:spacing w:val="-3"/>
        </w:rPr>
        <w:t xml:space="preserve"> </w:t>
      </w:r>
      <w:r>
        <w:rPr>
          <w:spacing w:val="-2"/>
        </w:rPr>
        <w:t>while</w:t>
      </w:r>
      <w:r>
        <w:rPr>
          <w:spacing w:val="-3"/>
        </w:rPr>
        <w:t xml:space="preserve"> </w:t>
      </w:r>
      <w:r>
        <w:rPr>
          <w:spacing w:val="-2"/>
        </w:rPr>
        <w:t>a</w:t>
      </w:r>
      <w:r>
        <w:rPr>
          <w:spacing w:val="-4"/>
        </w:rPr>
        <w:t xml:space="preserve"> </w:t>
      </w:r>
      <w:r>
        <w:rPr>
          <w:spacing w:val="-2"/>
        </w:rPr>
        <w:t>low</w:t>
      </w:r>
      <w:r>
        <w:rPr>
          <w:spacing w:val="-3"/>
        </w:rPr>
        <w:t xml:space="preserve"> </w:t>
      </w:r>
      <w:r>
        <w:rPr>
          <w:spacing w:val="-2"/>
        </w:rPr>
        <w:t>ratio</w:t>
      </w:r>
      <w:r>
        <w:rPr>
          <w:spacing w:val="-3"/>
        </w:rPr>
        <w:t xml:space="preserve"> </w:t>
      </w:r>
      <w:r>
        <w:rPr>
          <w:spacing w:val="-2"/>
        </w:rPr>
        <w:t>indicates</w:t>
      </w:r>
      <w:r>
        <w:rPr>
          <w:spacing w:val="-3"/>
        </w:rPr>
        <w:t xml:space="preserve"> </w:t>
      </w:r>
      <w:r>
        <w:rPr>
          <w:spacing w:val="-2"/>
        </w:rPr>
        <w:t>potential</w:t>
      </w:r>
      <w:r>
        <w:rPr>
          <w:spacing w:val="-3"/>
        </w:rPr>
        <w:t xml:space="preserve"> </w:t>
      </w:r>
      <w:r>
        <w:rPr>
          <w:spacing w:val="-2"/>
        </w:rPr>
        <w:t>for</w:t>
      </w:r>
      <w:r>
        <w:rPr>
          <w:spacing w:val="-4"/>
        </w:rPr>
        <w:t xml:space="preserve"> </w:t>
      </w:r>
      <w:r>
        <w:rPr>
          <w:spacing w:val="-2"/>
        </w:rPr>
        <w:t xml:space="preserve">significant </w:t>
      </w:r>
      <w:r>
        <w:t>improvement through policy reforms and capacity-building measures.</w:t>
      </w:r>
    </w:p>
    <w:p w14:paraId="1C6766F3" w14:textId="77777777" w:rsidR="007F713D" w:rsidRDefault="007F713D">
      <w:pPr>
        <w:pStyle w:val="BodyText"/>
        <w:spacing w:before="40"/>
      </w:pPr>
    </w:p>
    <w:p w14:paraId="45E533C5" w14:textId="77777777" w:rsidR="007F713D" w:rsidRDefault="00B70B8E">
      <w:pPr>
        <w:pStyle w:val="ListParagraph"/>
        <w:numPr>
          <w:ilvl w:val="0"/>
          <w:numId w:val="4"/>
        </w:numPr>
        <w:tabs>
          <w:tab w:val="left" w:pos="1146"/>
        </w:tabs>
        <w:spacing w:before="1"/>
        <w:ind w:left="1146" w:hanging="426"/>
        <w:jc w:val="both"/>
        <w:rPr>
          <w:i/>
          <w:sz w:val="24"/>
        </w:rPr>
      </w:pPr>
      <w:r>
        <w:rPr>
          <w:i/>
          <w:sz w:val="24"/>
        </w:rPr>
        <w:t>Assessing</w:t>
      </w:r>
      <w:r>
        <w:rPr>
          <w:i/>
          <w:spacing w:val="-2"/>
          <w:sz w:val="24"/>
        </w:rPr>
        <w:t xml:space="preserve"> </w:t>
      </w:r>
      <w:r>
        <w:rPr>
          <w:i/>
          <w:sz w:val="24"/>
        </w:rPr>
        <w:t>Central</w:t>
      </w:r>
      <w:r>
        <w:rPr>
          <w:i/>
          <w:spacing w:val="-2"/>
          <w:sz w:val="24"/>
        </w:rPr>
        <w:t xml:space="preserve"> </w:t>
      </w:r>
      <w:r>
        <w:rPr>
          <w:i/>
          <w:sz w:val="24"/>
        </w:rPr>
        <w:t>Transfer</w:t>
      </w:r>
      <w:r>
        <w:rPr>
          <w:i/>
          <w:spacing w:val="-1"/>
          <w:sz w:val="24"/>
        </w:rPr>
        <w:t xml:space="preserve"> </w:t>
      </w:r>
      <w:r>
        <w:rPr>
          <w:i/>
          <w:spacing w:val="-2"/>
          <w:sz w:val="24"/>
        </w:rPr>
        <w:t>Dependency</w:t>
      </w:r>
    </w:p>
    <w:p w14:paraId="04FFEEF4" w14:textId="77777777" w:rsidR="007F713D" w:rsidRDefault="00B70B8E">
      <w:pPr>
        <w:pStyle w:val="BodyText"/>
        <w:spacing w:before="41" w:line="276" w:lineRule="auto"/>
        <w:ind w:left="720" w:right="665"/>
        <w:jc w:val="both"/>
      </w:pPr>
      <w:r>
        <w:t>The study evaluates the state’s fiscal dependence on the Union government by using a structured</w:t>
      </w:r>
      <w:r>
        <w:rPr>
          <w:spacing w:val="-3"/>
        </w:rPr>
        <w:t xml:space="preserve"> </w:t>
      </w:r>
      <w:r>
        <w:t>set</w:t>
      </w:r>
      <w:r>
        <w:rPr>
          <w:spacing w:val="-3"/>
        </w:rPr>
        <w:t xml:space="preserve"> </w:t>
      </w:r>
      <w:r>
        <w:t>of</w:t>
      </w:r>
      <w:r>
        <w:rPr>
          <w:spacing w:val="-4"/>
        </w:rPr>
        <w:t xml:space="preserve"> </w:t>
      </w:r>
      <w:r>
        <w:t>receipts-based</w:t>
      </w:r>
      <w:r>
        <w:rPr>
          <w:spacing w:val="-3"/>
        </w:rPr>
        <w:t xml:space="preserve"> </w:t>
      </w:r>
      <w:r>
        <w:t>and</w:t>
      </w:r>
      <w:r>
        <w:rPr>
          <w:spacing w:val="-3"/>
        </w:rPr>
        <w:t xml:space="preserve"> </w:t>
      </w:r>
      <w:r>
        <w:t>expenditure-based</w:t>
      </w:r>
      <w:r>
        <w:rPr>
          <w:spacing w:val="-3"/>
        </w:rPr>
        <w:t xml:space="preserve"> </w:t>
      </w:r>
      <w:r>
        <w:t>indicators.</w:t>
      </w:r>
      <w:r>
        <w:rPr>
          <w:spacing w:val="-3"/>
        </w:rPr>
        <w:t xml:space="preserve"> </w:t>
      </w:r>
      <w:r>
        <w:t>These</w:t>
      </w:r>
      <w:r>
        <w:rPr>
          <w:spacing w:val="-4"/>
        </w:rPr>
        <w:t xml:space="preserve"> </w:t>
      </w:r>
      <w:r>
        <w:t>ratios</w:t>
      </w:r>
      <w:r>
        <w:rPr>
          <w:spacing w:val="-3"/>
        </w:rPr>
        <w:t xml:space="preserve"> </w:t>
      </w:r>
      <w:r>
        <w:t>collectively measure</w:t>
      </w:r>
      <w:r>
        <w:rPr>
          <w:spacing w:val="-10"/>
        </w:rPr>
        <w:t xml:space="preserve"> </w:t>
      </w:r>
      <w:r>
        <w:t>how</w:t>
      </w:r>
      <w:r>
        <w:rPr>
          <w:spacing w:val="-9"/>
        </w:rPr>
        <w:t xml:space="preserve"> </w:t>
      </w:r>
      <w:r>
        <w:t>much</w:t>
      </w:r>
      <w:r>
        <w:rPr>
          <w:spacing w:val="-9"/>
        </w:rPr>
        <w:t xml:space="preserve"> </w:t>
      </w:r>
      <w:r>
        <w:t>of</w:t>
      </w:r>
      <w:r>
        <w:rPr>
          <w:spacing w:val="-7"/>
        </w:rPr>
        <w:t xml:space="preserve"> </w:t>
      </w:r>
      <w:r>
        <w:t>a</w:t>
      </w:r>
      <w:r>
        <w:rPr>
          <w:spacing w:val="-9"/>
        </w:rPr>
        <w:t xml:space="preserve"> </w:t>
      </w:r>
      <w:r>
        <w:t>state’s</w:t>
      </w:r>
      <w:r>
        <w:rPr>
          <w:spacing w:val="-9"/>
        </w:rPr>
        <w:t xml:space="preserve"> </w:t>
      </w:r>
      <w:r>
        <w:t>revenue,</w:t>
      </w:r>
      <w:r>
        <w:rPr>
          <w:spacing w:val="-6"/>
        </w:rPr>
        <w:t xml:space="preserve"> </w:t>
      </w:r>
      <w:r>
        <w:t>capital</w:t>
      </w:r>
      <w:r>
        <w:rPr>
          <w:spacing w:val="-8"/>
        </w:rPr>
        <w:t xml:space="preserve"> </w:t>
      </w:r>
      <w:r>
        <w:t>receipts,</w:t>
      </w:r>
      <w:r>
        <w:rPr>
          <w:spacing w:val="-8"/>
        </w:rPr>
        <w:t xml:space="preserve"> </w:t>
      </w:r>
      <w:r>
        <w:t>and</w:t>
      </w:r>
      <w:r>
        <w:rPr>
          <w:spacing w:val="-8"/>
        </w:rPr>
        <w:t xml:space="preserve"> </w:t>
      </w:r>
      <w:r>
        <w:t>overall</w:t>
      </w:r>
      <w:r>
        <w:rPr>
          <w:spacing w:val="-8"/>
        </w:rPr>
        <w:t xml:space="preserve"> </w:t>
      </w:r>
      <w:r>
        <w:t>resources</w:t>
      </w:r>
      <w:r>
        <w:rPr>
          <w:spacing w:val="-4"/>
        </w:rPr>
        <w:t xml:space="preserve"> </w:t>
      </w:r>
      <w:r>
        <w:t>are</w:t>
      </w:r>
      <w:r>
        <w:rPr>
          <w:spacing w:val="-8"/>
        </w:rPr>
        <w:t xml:space="preserve"> </w:t>
      </w:r>
      <w:r>
        <w:t xml:space="preserve">financed </w:t>
      </w:r>
      <w:r>
        <w:lastRenderedPageBreak/>
        <w:t>through central transfers such as tax devolution, grants, and loans. While receipts-based ratios assess the proportion of funds received from the Centre relative to the state’s total revenue</w:t>
      </w:r>
      <w:r>
        <w:rPr>
          <w:spacing w:val="-15"/>
        </w:rPr>
        <w:t xml:space="preserve"> </w:t>
      </w:r>
      <w:r>
        <w:t>and</w:t>
      </w:r>
      <w:r>
        <w:rPr>
          <w:spacing w:val="-15"/>
        </w:rPr>
        <w:t xml:space="preserve"> </w:t>
      </w:r>
      <w:r>
        <w:t>capital</w:t>
      </w:r>
      <w:r>
        <w:rPr>
          <w:spacing w:val="-15"/>
        </w:rPr>
        <w:t xml:space="preserve"> </w:t>
      </w:r>
      <w:r>
        <w:t>inflows,</w:t>
      </w:r>
      <w:r>
        <w:rPr>
          <w:spacing w:val="-15"/>
        </w:rPr>
        <w:t xml:space="preserve"> </w:t>
      </w:r>
      <w:r>
        <w:t>expenditure-based</w:t>
      </w:r>
      <w:r>
        <w:rPr>
          <w:spacing w:val="-15"/>
        </w:rPr>
        <w:t xml:space="preserve"> </w:t>
      </w:r>
      <w:r>
        <w:t>ratios</w:t>
      </w:r>
      <w:r>
        <w:rPr>
          <w:spacing w:val="-15"/>
        </w:rPr>
        <w:t xml:space="preserve"> </w:t>
      </w:r>
      <w:r>
        <w:t>indicate</w:t>
      </w:r>
      <w:r>
        <w:rPr>
          <w:spacing w:val="-15"/>
        </w:rPr>
        <w:t xml:space="preserve"> </w:t>
      </w:r>
      <w:r>
        <w:t>the</w:t>
      </w:r>
      <w:r>
        <w:rPr>
          <w:spacing w:val="-15"/>
        </w:rPr>
        <w:t xml:space="preserve"> </w:t>
      </w:r>
      <w:r>
        <w:t>extent</w:t>
      </w:r>
      <w:r>
        <w:rPr>
          <w:spacing w:val="-15"/>
        </w:rPr>
        <w:t xml:space="preserve"> </w:t>
      </w:r>
      <w:r>
        <w:t>to</w:t>
      </w:r>
      <w:r>
        <w:rPr>
          <w:spacing w:val="-15"/>
        </w:rPr>
        <w:t xml:space="preserve"> </w:t>
      </w:r>
      <w:r>
        <w:t>which</w:t>
      </w:r>
      <w:r>
        <w:rPr>
          <w:spacing w:val="-15"/>
        </w:rPr>
        <w:t xml:space="preserve"> </w:t>
      </w:r>
      <w:r>
        <w:t>the</w:t>
      </w:r>
      <w:r>
        <w:rPr>
          <w:spacing w:val="-15"/>
        </w:rPr>
        <w:t xml:space="preserve"> </w:t>
      </w:r>
      <w:r>
        <w:t>state’s spending commitments are supported by these transfers. Together, these indicators offer a comprehensive picture of the state’s financial reliance on the Union government and help identify vulnerabilities that may arise from fluctuations in central assistance.</w:t>
      </w:r>
    </w:p>
    <w:p w14:paraId="697EA6B5" w14:textId="77777777" w:rsidR="007F713D" w:rsidRDefault="007F713D">
      <w:pPr>
        <w:pStyle w:val="BodyText"/>
        <w:spacing w:before="40"/>
      </w:pPr>
    </w:p>
    <w:p w14:paraId="3ACE6411" w14:textId="77777777" w:rsidR="007F713D" w:rsidRDefault="00B70B8E">
      <w:pPr>
        <w:pStyle w:val="ListParagraph"/>
        <w:numPr>
          <w:ilvl w:val="0"/>
          <w:numId w:val="3"/>
        </w:numPr>
        <w:tabs>
          <w:tab w:val="left" w:pos="1044"/>
        </w:tabs>
        <w:spacing w:before="1"/>
        <w:ind w:left="1044" w:hanging="264"/>
        <w:jc w:val="both"/>
        <w:rPr>
          <w:i/>
          <w:sz w:val="24"/>
        </w:rPr>
      </w:pPr>
      <w:r>
        <w:rPr>
          <w:i/>
          <w:sz w:val="24"/>
        </w:rPr>
        <w:t>Receipts-based</w:t>
      </w:r>
      <w:r>
        <w:rPr>
          <w:i/>
          <w:spacing w:val="-4"/>
          <w:sz w:val="24"/>
        </w:rPr>
        <w:t xml:space="preserve"> </w:t>
      </w:r>
      <w:r>
        <w:rPr>
          <w:i/>
          <w:spacing w:val="-2"/>
          <w:sz w:val="24"/>
        </w:rPr>
        <w:t>Ratios</w:t>
      </w:r>
    </w:p>
    <w:p w14:paraId="1AE1B2C0" w14:textId="77777777" w:rsidR="007F713D" w:rsidRDefault="007F713D">
      <w:pPr>
        <w:pStyle w:val="BodyText"/>
        <w:spacing w:before="83"/>
        <w:rPr>
          <w:i/>
        </w:rPr>
      </w:pPr>
    </w:p>
    <w:p w14:paraId="5F9329AB" w14:textId="77777777" w:rsidR="007F713D" w:rsidRDefault="00B70B8E">
      <w:pPr>
        <w:pStyle w:val="ListParagraph"/>
        <w:numPr>
          <w:ilvl w:val="1"/>
          <w:numId w:val="3"/>
        </w:numPr>
        <w:tabs>
          <w:tab w:val="left" w:pos="960"/>
        </w:tabs>
        <w:spacing w:before="1"/>
        <w:rPr>
          <w:sz w:val="24"/>
        </w:rPr>
      </w:pPr>
      <w:r>
        <w:rPr>
          <w:sz w:val="24"/>
        </w:rPr>
        <w:t>Revenue</w:t>
      </w:r>
      <w:r>
        <w:rPr>
          <w:spacing w:val="-4"/>
          <w:sz w:val="24"/>
        </w:rPr>
        <w:t xml:space="preserve"> </w:t>
      </w:r>
      <w:r>
        <w:rPr>
          <w:sz w:val="24"/>
        </w:rPr>
        <w:t>Transfers</w:t>
      </w:r>
      <w:r>
        <w:rPr>
          <w:spacing w:val="-1"/>
          <w:sz w:val="24"/>
        </w:rPr>
        <w:t xml:space="preserve"> </w:t>
      </w:r>
      <w:r>
        <w:rPr>
          <w:sz w:val="24"/>
        </w:rPr>
        <w:t>as a</w:t>
      </w:r>
      <w:r>
        <w:rPr>
          <w:spacing w:val="-1"/>
          <w:sz w:val="24"/>
        </w:rPr>
        <w:t xml:space="preserve"> </w:t>
      </w:r>
      <w:r>
        <w:rPr>
          <w:sz w:val="24"/>
        </w:rPr>
        <w:t>Percentage</w:t>
      </w:r>
      <w:r>
        <w:rPr>
          <w:spacing w:val="-2"/>
          <w:sz w:val="24"/>
        </w:rPr>
        <w:t xml:space="preserve"> </w:t>
      </w:r>
      <w:r>
        <w:rPr>
          <w:sz w:val="24"/>
        </w:rPr>
        <w:t>of</w:t>
      </w:r>
      <w:r>
        <w:rPr>
          <w:spacing w:val="-1"/>
          <w:sz w:val="24"/>
        </w:rPr>
        <w:t xml:space="preserve"> </w:t>
      </w:r>
      <w:r>
        <w:rPr>
          <w:sz w:val="24"/>
        </w:rPr>
        <w:t xml:space="preserve">Revenue </w:t>
      </w:r>
      <w:r>
        <w:rPr>
          <w:spacing w:val="-2"/>
          <w:sz w:val="24"/>
        </w:rPr>
        <w:t>Receipts</w:t>
      </w:r>
    </w:p>
    <w:p w14:paraId="2BB26E9F" w14:textId="77777777" w:rsidR="007F713D" w:rsidRDefault="00B70B8E">
      <w:pPr>
        <w:pStyle w:val="BodyText"/>
        <w:spacing w:before="40"/>
        <w:ind w:left="1181"/>
      </w:pPr>
      <w:r>
        <w:t>Revenue</w:t>
      </w:r>
      <w:r>
        <w:rPr>
          <w:spacing w:val="-2"/>
        </w:rPr>
        <w:t xml:space="preserve"> </w:t>
      </w:r>
      <w:r>
        <w:t>Transfer</w:t>
      </w:r>
      <w:r>
        <w:rPr>
          <w:spacing w:val="-1"/>
        </w:rPr>
        <w:t xml:space="preserve"> </w:t>
      </w:r>
      <w:r>
        <w:t>%</w:t>
      </w:r>
      <w:r>
        <w:rPr>
          <w:spacing w:val="-2"/>
        </w:rPr>
        <w:t xml:space="preserve"> </w:t>
      </w:r>
      <w:r>
        <w:t>(Receipts)</w:t>
      </w:r>
      <w:r>
        <w:rPr>
          <w:spacing w:val="-1"/>
        </w:rPr>
        <w:t xml:space="preserve"> </w:t>
      </w:r>
      <w:r>
        <w:t>=</w:t>
      </w:r>
      <w:r>
        <w:rPr>
          <w:spacing w:val="-3"/>
        </w:rPr>
        <w:t xml:space="preserve"> </w:t>
      </w:r>
      <w:r>
        <w:t>(Revenue</w:t>
      </w:r>
      <w:r>
        <w:rPr>
          <w:spacing w:val="-1"/>
        </w:rPr>
        <w:t xml:space="preserve"> </w:t>
      </w:r>
      <w:r>
        <w:t>Transfers</w:t>
      </w:r>
      <w:r>
        <w:rPr>
          <w:spacing w:val="-1"/>
        </w:rPr>
        <w:t xml:space="preserve"> </w:t>
      </w:r>
      <w:r>
        <w:t>/</w:t>
      </w:r>
      <w:r>
        <w:rPr>
          <w:spacing w:val="-1"/>
        </w:rPr>
        <w:t xml:space="preserve"> </w:t>
      </w:r>
      <w:r>
        <w:t>Revenue</w:t>
      </w:r>
      <w:r>
        <w:rPr>
          <w:spacing w:val="-1"/>
        </w:rPr>
        <w:t xml:space="preserve"> </w:t>
      </w:r>
      <w:r>
        <w:t>Receipts) ×</w:t>
      </w:r>
      <w:r>
        <w:rPr>
          <w:spacing w:val="-1"/>
        </w:rPr>
        <w:t xml:space="preserve"> </w:t>
      </w:r>
      <w:r>
        <w:rPr>
          <w:spacing w:val="-5"/>
        </w:rPr>
        <w:t>100</w:t>
      </w:r>
    </w:p>
    <w:p w14:paraId="774A9A02" w14:textId="77777777" w:rsidR="007F713D" w:rsidRDefault="007F713D">
      <w:pPr>
        <w:pStyle w:val="BodyText"/>
        <w:spacing w:before="84"/>
      </w:pPr>
    </w:p>
    <w:p w14:paraId="04032D2D" w14:textId="77777777" w:rsidR="007F713D" w:rsidRDefault="00B70B8E">
      <w:pPr>
        <w:pStyle w:val="ListParagraph"/>
        <w:numPr>
          <w:ilvl w:val="1"/>
          <w:numId w:val="3"/>
        </w:numPr>
        <w:tabs>
          <w:tab w:val="left" w:pos="960"/>
        </w:tabs>
        <w:rPr>
          <w:sz w:val="24"/>
        </w:rPr>
      </w:pPr>
      <w:r>
        <w:rPr>
          <w:sz w:val="24"/>
        </w:rPr>
        <w:t>Loan</w:t>
      </w:r>
      <w:r>
        <w:rPr>
          <w:spacing w:val="-2"/>
          <w:sz w:val="24"/>
        </w:rPr>
        <w:t xml:space="preserve"> </w:t>
      </w:r>
      <w:r>
        <w:rPr>
          <w:sz w:val="24"/>
        </w:rPr>
        <w:t>Transfers as</w:t>
      </w:r>
      <w:r>
        <w:rPr>
          <w:spacing w:val="-1"/>
          <w:sz w:val="24"/>
        </w:rPr>
        <w:t xml:space="preserve"> </w:t>
      </w:r>
      <w:r>
        <w:rPr>
          <w:sz w:val="24"/>
        </w:rPr>
        <w:t>a</w:t>
      </w:r>
      <w:r>
        <w:rPr>
          <w:spacing w:val="-2"/>
          <w:sz w:val="24"/>
        </w:rPr>
        <w:t xml:space="preserve"> </w:t>
      </w:r>
      <w:r>
        <w:rPr>
          <w:sz w:val="24"/>
        </w:rPr>
        <w:t>Percentage</w:t>
      </w:r>
      <w:r>
        <w:rPr>
          <w:spacing w:val="-2"/>
          <w:sz w:val="24"/>
        </w:rPr>
        <w:t xml:space="preserve"> </w:t>
      </w:r>
      <w:r>
        <w:rPr>
          <w:sz w:val="24"/>
        </w:rPr>
        <w:t>of</w:t>
      </w:r>
      <w:r>
        <w:rPr>
          <w:spacing w:val="-1"/>
          <w:sz w:val="24"/>
        </w:rPr>
        <w:t xml:space="preserve"> </w:t>
      </w:r>
      <w:r>
        <w:rPr>
          <w:sz w:val="24"/>
        </w:rPr>
        <w:t>Capital</w:t>
      </w:r>
      <w:r>
        <w:rPr>
          <w:spacing w:val="-1"/>
          <w:sz w:val="24"/>
        </w:rPr>
        <w:t xml:space="preserve"> </w:t>
      </w:r>
      <w:r>
        <w:rPr>
          <w:spacing w:val="-2"/>
          <w:sz w:val="24"/>
        </w:rPr>
        <w:t>Receipts</w:t>
      </w:r>
    </w:p>
    <w:p w14:paraId="08E8C0F0" w14:textId="77777777" w:rsidR="007F713D" w:rsidRDefault="00B70B8E">
      <w:pPr>
        <w:pStyle w:val="BodyText"/>
        <w:spacing w:before="42"/>
        <w:ind w:left="1601"/>
        <w:rPr>
          <w:spacing w:val="-5"/>
        </w:rPr>
      </w:pPr>
      <w:r>
        <w:t>Loan</w:t>
      </w:r>
      <w:r>
        <w:rPr>
          <w:spacing w:val="-4"/>
        </w:rPr>
        <w:t xml:space="preserve"> </w:t>
      </w:r>
      <w:r>
        <w:t>Transfer</w:t>
      </w:r>
      <w:r>
        <w:rPr>
          <w:spacing w:val="-1"/>
        </w:rPr>
        <w:t xml:space="preserve"> </w:t>
      </w:r>
      <w:r>
        <w:t>%</w:t>
      </w:r>
      <w:r>
        <w:rPr>
          <w:spacing w:val="-1"/>
        </w:rPr>
        <w:t xml:space="preserve"> </w:t>
      </w:r>
      <w:r>
        <w:t>(Receipts)</w:t>
      </w:r>
      <w:r>
        <w:rPr>
          <w:spacing w:val="-1"/>
        </w:rPr>
        <w:t xml:space="preserve"> </w:t>
      </w:r>
      <w:r>
        <w:t>=</w:t>
      </w:r>
      <w:r>
        <w:rPr>
          <w:spacing w:val="-3"/>
        </w:rPr>
        <w:t xml:space="preserve"> </w:t>
      </w:r>
      <w:r>
        <w:t>(Loan Transfers</w:t>
      </w:r>
      <w:r>
        <w:rPr>
          <w:spacing w:val="-1"/>
        </w:rPr>
        <w:t xml:space="preserve"> </w:t>
      </w:r>
      <w:r>
        <w:t>/</w:t>
      </w:r>
      <w:r>
        <w:rPr>
          <w:spacing w:val="-1"/>
        </w:rPr>
        <w:t xml:space="preserve"> </w:t>
      </w:r>
      <w:r>
        <w:t>Capital</w:t>
      </w:r>
      <w:r>
        <w:rPr>
          <w:spacing w:val="-1"/>
        </w:rPr>
        <w:t xml:space="preserve"> </w:t>
      </w:r>
      <w:r>
        <w:t>Receipts)</w:t>
      </w:r>
      <w:r>
        <w:rPr>
          <w:spacing w:val="-1"/>
        </w:rPr>
        <w:t xml:space="preserve"> </w:t>
      </w:r>
      <w:r>
        <w:t>×</w:t>
      </w:r>
      <w:r>
        <w:rPr>
          <w:spacing w:val="-3"/>
        </w:rPr>
        <w:t xml:space="preserve"> </w:t>
      </w:r>
      <w:r>
        <w:rPr>
          <w:spacing w:val="-5"/>
        </w:rPr>
        <w:t>100</w:t>
      </w:r>
    </w:p>
    <w:p w14:paraId="021DAAB1" w14:textId="77777777" w:rsidR="00AF16A8" w:rsidRDefault="00AF16A8">
      <w:pPr>
        <w:pStyle w:val="BodyText"/>
        <w:spacing w:before="42"/>
        <w:ind w:left="1601"/>
      </w:pPr>
    </w:p>
    <w:p w14:paraId="4877F9F9" w14:textId="77777777" w:rsidR="007F713D" w:rsidRDefault="00B70B8E">
      <w:pPr>
        <w:pStyle w:val="ListParagraph"/>
        <w:numPr>
          <w:ilvl w:val="1"/>
          <w:numId w:val="3"/>
        </w:numPr>
        <w:tabs>
          <w:tab w:val="left" w:pos="960"/>
        </w:tabs>
        <w:spacing w:before="61"/>
        <w:rPr>
          <w:sz w:val="24"/>
        </w:rPr>
      </w:pPr>
      <w:r>
        <w:rPr>
          <w:sz w:val="24"/>
        </w:rPr>
        <w:t>Aggregate</w:t>
      </w:r>
      <w:r>
        <w:rPr>
          <w:spacing w:val="-1"/>
          <w:sz w:val="24"/>
        </w:rPr>
        <w:t xml:space="preserve"> </w:t>
      </w:r>
      <w:r>
        <w:rPr>
          <w:sz w:val="24"/>
        </w:rPr>
        <w:t>Transfers as</w:t>
      </w:r>
      <w:r>
        <w:rPr>
          <w:spacing w:val="-2"/>
          <w:sz w:val="24"/>
        </w:rPr>
        <w:t xml:space="preserve"> </w:t>
      </w:r>
      <w:r>
        <w:rPr>
          <w:sz w:val="24"/>
        </w:rPr>
        <w:t>a</w:t>
      </w:r>
      <w:r>
        <w:rPr>
          <w:spacing w:val="-2"/>
          <w:sz w:val="24"/>
        </w:rPr>
        <w:t xml:space="preserve"> </w:t>
      </w:r>
      <w:r>
        <w:rPr>
          <w:sz w:val="24"/>
        </w:rPr>
        <w:t>Percentage</w:t>
      </w:r>
      <w:r>
        <w:rPr>
          <w:spacing w:val="-3"/>
          <w:sz w:val="24"/>
        </w:rPr>
        <w:t xml:space="preserve"> </w:t>
      </w:r>
      <w:r>
        <w:rPr>
          <w:sz w:val="24"/>
        </w:rPr>
        <w:t>of Aggregate</w:t>
      </w:r>
      <w:r>
        <w:rPr>
          <w:spacing w:val="-1"/>
          <w:sz w:val="24"/>
        </w:rPr>
        <w:t xml:space="preserve"> </w:t>
      </w:r>
      <w:r>
        <w:rPr>
          <w:spacing w:val="-2"/>
          <w:sz w:val="24"/>
        </w:rPr>
        <w:t>Receipts</w:t>
      </w:r>
    </w:p>
    <w:p w14:paraId="3DBDAEF5" w14:textId="77777777" w:rsidR="007F713D" w:rsidRDefault="00B70B8E">
      <w:pPr>
        <w:pStyle w:val="BodyText"/>
        <w:spacing w:before="41"/>
        <w:ind w:left="1188"/>
      </w:pPr>
      <w:r>
        <w:t>Aggregate</w:t>
      </w:r>
      <w:r>
        <w:rPr>
          <w:spacing w:val="-1"/>
        </w:rPr>
        <w:t xml:space="preserve"> </w:t>
      </w:r>
      <w:r>
        <w:t>Transfer</w:t>
      </w:r>
      <w:r>
        <w:rPr>
          <w:spacing w:val="-1"/>
        </w:rPr>
        <w:t xml:space="preserve"> </w:t>
      </w:r>
      <w:r>
        <w:t>%</w:t>
      </w:r>
      <w:r>
        <w:rPr>
          <w:spacing w:val="-2"/>
        </w:rPr>
        <w:t xml:space="preserve"> </w:t>
      </w:r>
      <w:r>
        <w:t>(Receipts)</w:t>
      </w:r>
      <w:r>
        <w:rPr>
          <w:spacing w:val="-1"/>
        </w:rPr>
        <w:t xml:space="preserve"> </w:t>
      </w:r>
      <w:r>
        <w:t>=</w:t>
      </w:r>
      <w:r>
        <w:rPr>
          <w:spacing w:val="-1"/>
        </w:rPr>
        <w:t xml:space="preserve"> </w:t>
      </w:r>
      <w:r>
        <w:t>(Total</w:t>
      </w:r>
      <w:r>
        <w:rPr>
          <w:spacing w:val="-2"/>
        </w:rPr>
        <w:t xml:space="preserve"> </w:t>
      </w:r>
      <w:r>
        <w:t>Transfers</w:t>
      </w:r>
      <w:r>
        <w:rPr>
          <w:spacing w:val="-1"/>
        </w:rPr>
        <w:t xml:space="preserve"> </w:t>
      </w:r>
      <w:r>
        <w:t>/</w:t>
      </w:r>
      <w:r>
        <w:rPr>
          <w:spacing w:val="-1"/>
        </w:rPr>
        <w:t xml:space="preserve"> </w:t>
      </w:r>
      <w:r>
        <w:t>Aggregate</w:t>
      </w:r>
      <w:r>
        <w:rPr>
          <w:spacing w:val="-1"/>
        </w:rPr>
        <w:t xml:space="preserve"> </w:t>
      </w:r>
      <w:r>
        <w:t>Receipts) ×</w:t>
      </w:r>
      <w:r>
        <w:rPr>
          <w:spacing w:val="-2"/>
        </w:rPr>
        <w:t xml:space="preserve"> </w:t>
      </w:r>
      <w:r>
        <w:rPr>
          <w:spacing w:val="-5"/>
        </w:rPr>
        <w:t>100</w:t>
      </w:r>
    </w:p>
    <w:p w14:paraId="30EDBD41" w14:textId="77777777" w:rsidR="007F713D" w:rsidRDefault="007F713D">
      <w:pPr>
        <w:pStyle w:val="BodyText"/>
        <w:spacing w:before="84"/>
      </w:pPr>
    </w:p>
    <w:p w14:paraId="2B822EB2" w14:textId="77777777" w:rsidR="007F713D" w:rsidRDefault="00B70B8E">
      <w:pPr>
        <w:pStyle w:val="ListParagraph"/>
        <w:numPr>
          <w:ilvl w:val="0"/>
          <w:numId w:val="3"/>
        </w:numPr>
        <w:tabs>
          <w:tab w:val="left" w:pos="986"/>
        </w:tabs>
        <w:ind w:left="986" w:hanging="266"/>
        <w:rPr>
          <w:i/>
          <w:sz w:val="24"/>
        </w:rPr>
      </w:pPr>
      <w:r>
        <w:rPr>
          <w:i/>
          <w:sz w:val="24"/>
        </w:rPr>
        <w:t>Expenditure-based</w:t>
      </w:r>
      <w:r>
        <w:rPr>
          <w:i/>
          <w:spacing w:val="-4"/>
          <w:sz w:val="24"/>
        </w:rPr>
        <w:t xml:space="preserve"> </w:t>
      </w:r>
      <w:r>
        <w:rPr>
          <w:i/>
          <w:spacing w:val="-2"/>
          <w:sz w:val="24"/>
        </w:rPr>
        <w:t>Ratios</w:t>
      </w:r>
    </w:p>
    <w:p w14:paraId="3C463277" w14:textId="77777777" w:rsidR="007F713D" w:rsidRDefault="007F713D">
      <w:pPr>
        <w:pStyle w:val="BodyText"/>
        <w:spacing w:before="81"/>
        <w:rPr>
          <w:i/>
        </w:rPr>
      </w:pPr>
    </w:p>
    <w:p w14:paraId="6C0AC3DD" w14:textId="77777777" w:rsidR="007F713D" w:rsidRDefault="00B70B8E">
      <w:pPr>
        <w:pStyle w:val="ListParagraph"/>
        <w:numPr>
          <w:ilvl w:val="0"/>
          <w:numId w:val="2"/>
        </w:numPr>
        <w:tabs>
          <w:tab w:val="left" w:pos="960"/>
        </w:tabs>
        <w:rPr>
          <w:sz w:val="24"/>
        </w:rPr>
      </w:pPr>
      <w:r>
        <w:rPr>
          <w:sz w:val="24"/>
        </w:rPr>
        <w:t>Revenue</w:t>
      </w:r>
      <w:r>
        <w:rPr>
          <w:spacing w:val="-4"/>
          <w:sz w:val="24"/>
        </w:rPr>
        <w:t xml:space="preserve"> </w:t>
      </w:r>
      <w:r>
        <w:rPr>
          <w:sz w:val="24"/>
        </w:rPr>
        <w:t>Transfers</w:t>
      </w:r>
      <w:r>
        <w:rPr>
          <w:spacing w:val="-1"/>
          <w:sz w:val="24"/>
        </w:rPr>
        <w:t xml:space="preserve"> </w:t>
      </w:r>
      <w:r>
        <w:rPr>
          <w:sz w:val="24"/>
        </w:rPr>
        <w:t>as a</w:t>
      </w:r>
      <w:r>
        <w:rPr>
          <w:spacing w:val="-1"/>
          <w:sz w:val="24"/>
        </w:rPr>
        <w:t xml:space="preserve"> </w:t>
      </w:r>
      <w:r>
        <w:rPr>
          <w:sz w:val="24"/>
        </w:rPr>
        <w:t>Percentage</w:t>
      </w:r>
      <w:r>
        <w:rPr>
          <w:spacing w:val="-2"/>
          <w:sz w:val="24"/>
        </w:rPr>
        <w:t xml:space="preserve"> </w:t>
      </w:r>
      <w:r>
        <w:rPr>
          <w:sz w:val="24"/>
        </w:rPr>
        <w:t>of</w:t>
      </w:r>
      <w:r>
        <w:rPr>
          <w:spacing w:val="-1"/>
          <w:sz w:val="24"/>
        </w:rPr>
        <w:t xml:space="preserve"> </w:t>
      </w:r>
      <w:r>
        <w:rPr>
          <w:sz w:val="24"/>
        </w:rPr>
        <w:t xml:space="preserve">Revenue </w:t>
      </w:r>
      <w:r>
        <w:rPr>
          <w:spacing w:val="-2"/>
          <w:sz w:val="24"/>
        </w:rPr>
        <w:t>Expenditure</w:t>
      </w:r>
    </w:p>
    <w:p w14:paraId="7408DDCF" w14:textId="77777777" w:rsidR="007F713D" w:rsidRDefault="00B70B8E">
      <w:pPr>
        <w:pStyle w:val="BodyText"/>
        <w:spacing w:before="44"/>
        <w:ind w:left="835"/>
      </w:pPr>
      <w:r>
        <w:t>Revenue</w:t>
      </w:r>
      <w:r>
        <w:rPr>
          <w:spacing w:val="-2"/>
        </w:rPr>
        <w:t xml:space="preserve"> </w:t>
      </w:r>
      <w:r>
        <w:t>Transfer</w:t>
      </w:r>
      <w:r>
        <w:rPr>
          <w:spacing w:val="-1"/>
        </w:rPr>
        <w:t xml:space="preserve"> </w:t>
      </w:r>
      <w:r>
        <w:t>%</w:t>
      </w:r>
      <w:r>
        <w:rPr>
          <w:spacing w:val="-3"/>
        </w:rPr>
        <w:t xml:space="preserve"> </w:t>
      </w:r>
      <w:r>
        <w:t>(Expenditure) =</w:t>
      </w:r>
      <w:r>
        <w:rPr>
          <w:spacing w:val="-1"/>
        </w:rPr>
        <w:t xml:space="preserve"> </w:t>
      </w:r>
      <w:r>
        <w:t>(Revenue</w:t>
      </w:r>
      <w:r>
        <w:rPr>
          <w:spacing w:val="-2"/>
        </w:rPr>
        <w:t xml:space="preserve"> </w:t>
      </w:r>
      <w:r>
        <w:t>Transfers</w:t>
      </w:r>
      <w:r>
        <w:rPr>
          <w:spacing w:val="-1"/>
        </w:rPr>
        <w:t xml:space="preserve"> </w:t>
      </w:r>
      <w:r>
        <w:t>/ Revenue</w:t>
      </w:r>
      <w:r>
        <w:rPr>
          <w:spacing w:val="-2"/>
        </w:rPr>
        <w:t xml:space="preserve"> </w:t>
      </w:r>
      <w:r>
        <w:t>Expenditure)</w:t>
      </w:r>
      <w:r>
        <w:rPr>
          <w:spacing w:val="-1"/>
        </w:rPr>
        <w:t xml:space="preserve"> </w:t>
      </w:r>
      <w:r>
        <w:t>×</w:t>
      </w:r>
      <w:r>
        <w:rPr>
          <w:spacing w:val="-2"/>
        </w:rPr>
        <w:t xml:space="preserve"> </w:t>
      </w:r>
      <w:r>
        <w:rPr>
          <w:spacing w:val="-5"/>
        </w:rPr>
        <w:t>100</w:t>
      </w:r>
    </w:p>
    <w:p w14:paraId="13323707" w14:textId="77777777" w:rsidR="007F713D" w:rsidRDefault="007F713D">
      <w:pPr>
        <w:pStyle w:val="BodyText"/>
        <w:spacing w:before="81"/>
      </w:pPr>
    </w:p>
    <w:p w14:paraId="0875BF85" w14:textId="77777777" w:rsidR="007F713D" w:rsidRDefault="00B70B8E">
      <w:pPr>
        <w:pStyle w:val="ListParagraph"/>
        <w:numPr>
          <w:ilvl w:val="0"/>
          <w:numId w:val="2"/>
        </w:numPr>
        <w:tabs>
          <w:tab w:val="left" w:pos="960"/>
        </w:tabs>
        <w:rPr>
          <w:sz w:val="24"/>
        </w:rPr>
      </w:pPr>
      <w:r>
        <w:rPr>
          <w:sz w:val="24"/>
        </w:rPr>
        <w:t>Loan</w:t>
      </w:r>
      <w:r>
        <w:rPr>
          <w:spacing w:val="-4"/>
          <w:sz w:val="24"/>
        </w:rPr>
        <w:t xml:space="preserve"> </w:t>
      </w:r>
      <w:r>
        <w:rPr>
          <w:sz w:val="24"/>
        </w:rPr>
        <w:t>Transfers as</w:t>
      </w:r>
      <w:r>
        <w:rPr>
          <w:spacing w:val="-1"/>
          <w:sz w:val="24"/>
        </w:rPr>
        <w:t xml:space="preserve"> </w:t>
      </w:r>
      <w:r>
        <w:rPr>
          <w:sz w:val="24"/>
        </w:rPr>
        <w:t>a</w:t>
      </w:r>
      <w:r>
        <w:rPr>
          <w:spacing w:val="-2"/>
          <w:sz w:val="24"/>
        </w:rPr>
        <w:t xml:space="preserve"> </w:t>
      </w:r>
      <w:r>
        <w:rPr>
          <w:sz w:val="24"/>
        </w:rPr>
        <w:t>Percentage</w:t>
      </w:r>
      <w:r>
        <w:rPr>
          <w:spacing w:val="-2"/>
          <w:sz w:val="24"/>
        </w:rPr>
        <w:t xml:space="preserve"> </w:t>
      </w:r>
      <w:r>
        <w:rPr>
          <w:sz w:val="24"/>
        </w:rPr>
        <w:t>of</w:t>
      </w:r>
      <w:r>
        <w:rPr>
          <w:spacing w:val="-1"/>
          <w:sz w:val="24"/>
        </w:rPr>
        <w:t xml:space="preserve"> </w:t>
      </w:r>
      <w:r>
        <w:rPr>
          <w:sz w:val="24"/>
        </w:rPr>
        <w:t>Capital</w:t>
      </w:r>
      <w:r>
        <w:rPr>
          <w:spacing w:val="-1"/>
          <w:sz w:val="24"/>
        </w:rPr>
        <w:t xml:space="preserve"> </w:t>
      </w:r>
      <w:r>
        <w:rPr>
          <w:spacing w:val="-2"/>
          <w:sz w:val="24"/>
        </w:rPr>
        <w:t>Expenditure</w:t>
      </w:r>
    </w:p>
    <w:p w14:paraId="2840F8BB" w14:textId="77777777" w:rsidR="007F713D" w:rsidRDefault="00B70B8E">
      <w:pPr>
        <w:pStyle w:val="BodyText"/>
        <w:spacing w:before="42"/>
        <w:ind w:left="1255"/>
      </w:pPr>
      <w:r>
        <w:t>Loan</w:t>
      </w:r>
      <w:r>
        <w:rPr>
          <w:spacing w:val="-2"/>
        </w:rPr>
        <w:t xml:space="preserve"> </w:t>
      </w:r>
      <w:r>
        <w:t>Transfer</w:t>
      </w:r>
      <w:r>
        <w:rPr>
          <w:spacing w:val="-1"/>
        </w:rPr>
        <w:t xml:space="preserve"> </w:t>
      </w:r>
      <w:r>
        <w:t>%</w:t>
      </w:r>
      <w:r>
        <w:rPr>
          <w:spacing w:val="-1"/>
        </w:rPr>
        <w:t xml:space="preserve"> </w:t>
      </w:r>
      <w:r>
        <w:t>(Expenditure)</w:t>
      </w:r>
      <w:r>
        <w:rPr>
          <w:spacing w:val="-1"/>
        </w:rPr>
        <w:t xml:space="preserve"> </w:t>
      </w:r>
      <w:r>
        <w:t>=</w:t>
      </w:r>
      <w:r>
        <w:rPr>
          <w:spacing w:val="-3"/>
        </w:rPr>
        <w:t xml:space="preserve"> </w:t>
      </w:r>
      <w:r>
        <w:t>(Loan</w:t>
      </w:r>
      <w:r>
        <w:rPr>
          <w:spacing w:val="-2"/>
        </w:rPr>
        <w:t xml:space="preserve"> </w:t>
      </w:r>
      <w:r>
        <w:t>Transfers /</w:t>
      </w:r>
      <w:r>
        <w:rPr>
          <w:spacing w:val="-1"/>
        </w:rPr>
        <w:t xml:space="preserve"> </w:t>
      </w:r>
      <w:r>
        <w:t>Capital</w:t>
      </w:r>
      <w:r>
        <w:rPr>
          <w:spacing w:val="-1"/>
        </w:rPr>
        <w:t xml:space="preserve"> </w:t>
      </w:r>
      <w:r>
        <w:t>Expenditure)</w:t>
      </w:r>
      <w:r>
        <w:rPr>
          <w:spacing w:val="-1"/>
        </w:rPr>
        <w:t xml:space="preserve"> </w:t>
      </w:r>
      <w:r>
        <w:t>×</w:t>
      </w:r>
      <w:r>
        <w:rPr>
          <w:spacing w:val="-1"/>
        </w:rPr>
        <w:t xml:space="preserve"> </w:t>
      </w:r>
      <w:r>
        <w:rPr>
          <w:spacing w:val="-5"/>
        </w:rPr>
        <w:t>100</w:t>
      </w:r>
    </w:p>
    <w:p w14:paraId="5F92E63D" w14:textId="77777777" w:rsidR="007F713D" w:rsidRDefault="007F713D">
      <w:pPr>
        <w:pStyle w:val="BodyText"/>
        <w:spacing w:before="84"/>
      </w:pPr>
    </w:p>
    <w:p w14:paraId="219796DE" w14:textId="77777777" w:rsidR="007F713D" w:rsidRDefault="00B70B8E">
      <w:pPr>
        <w:pStyle w:val="ListParagraph"/>
        <w:numPr>
          <w:ilvl w:val="0"/>
          <w:numId w:val="2"/>
        </w:numPr>
        <w:tabs>
          <w:tab w:val="left" w:pos="960"/>
        </w:tabs>
        <w:rPr>
          <w:sz w:val="24"/>
        </w:rPr>
      </w:pPr>
      <w:r>
        <w:rPr>
          <w:sz w:val="24"/>
        </w:rPr>
        <w:t>Aggregate</w:t>
      </w:r>
      <w:r>
        <w:rPr>
          <w:spacing w:val="-3"/>
          <w:sz w:val="24"/>
        </w:rPr>
        <w:t xml:space="preserve"> </w:t>
      </w:r>
      <w:r>
        <w:rPr>
          <w:sz w:val="24"/>
        </w:rPr>
        <w:t>Transfers as</w:t>
      </w:r>
      <w:r>
        <w:rPr>
          <w:spacing w:val="-2"/>
          <w:sz w:val="24"/>
        </w:rPr>
        <w:t xml:space="preserve"> </w:t>
      </w:r>
      <w:r>
        <w:rPr>
          <w:sz w:val="24"/>
        </w:rPr>
        <w:t>a</w:t>
      </w:r>
      <w:r>
        <w:rPr>
          <w:spacing w:val="-2"/>
          <w:sz w:val="24"/>
        </w:rPr>
        <w:t xml:space="preserve"> </w:t>
      </w:r>
      <w:r>
        <w:rPr>
          <w:sz w:val="24"/>
        </w:rPr>
        <w:t>Percentage</w:t>
      </w:r>
      <w:r>
        <w:rPr>
          <w:spacing w:val="-3"/>
          <w:sz w:val="24"/>
        </w:rPr>
        <w:t xml:space="preserve"> </w:t>
      </w:r>
      <w:r>
        <w:rPr>
          <w:sz w:val="24"/>
        </w:rPr>
        <w:t>of Aggregate</w:t>
      </w:r>
      <w:r>
        <w:rPr>
          <w:spacing w:val="-1"/>
          <w:sz w:val="24"/>
        </w:rPr>
        <w:t xml:space="preserve"> </w:t>
      </w:r>
      <w:r>
        <w:rPr>
          <w:spacing w:val="-2"/>
          <w:sz w:val="24"/>
        </w:rPr>
        <w:t>Expenditure</w:t>
      </w:r>
    </w:p>
    <w:p w14:paraId="4F837AEB" w14:textId="77777777" w:rsidR="007F713D" w:rsidRDefault="00B70B8E">
      <w:pPr>
        <w:pStyle w:val="BodyText"/>
        <w:spacing w:before="41"/>
        <w:ind w:left="1087"/>
      </w:pPr>
      <w:r>
        <w:t>Aggregate</w:t>
      </w:r>
      <w:r>
        <w:rPr>
          <w:spacing w:val="-1"/>
        </w:rPr>
        <w:t xml:space="preserve"> </w:t>
      </w:r>
      <w:r>
        <w:t>Transfer</w:t>
      </w:r>
      <w:r>
        <w:rPr>
          <w:spacing w:val="-1"/>
        </w:rPr>
        <w:t xml:space="preserve"> </w:t>
      </w:r>
      <w:r>
        <w:t>%</w:t>
      </w:r>
      <w:r>
        <w:rPr>
          <w:spacing w:val="-1"/>
        </w:rPr>
        <w:t xml:space="preserve"> </w:t>
      </w:r>
      <w:r>
        <w:t>(Expenditure)</w:t>
      </w:r>
      <w:r>
        <w:rPr>
          <w:spacing w:val="-1"/>
        </w:rPr>
        <w:t xml:space="preserve"> </w:t>
      </w:r>
      <w:r>
        <w:t>=</w:t>
      </w:r>
      <w:r>
        <w:rPr>
          <w:spacing w:val="-1"/>
        </w:rPr>
        <w:t xml:space="preserve"> </w:t>
      </w:r>
      <w:r>
        <w:t>(Total</w:t>
      </w:r>
      <w:r>
        <w:rPr>
          <w:spacing w:val="-1"/>
        </w:rPr>
        <w:t xml:space="preserve"> </w:t>
      </w:r>
      <w:r>
        <w:t>Transfers</w:t>
      </w:r>
      <w:r>
        <w:rPr>
          <w:spacing w:val="-1"/>
        </w:rPr>
        <w:t xml:space="preserve"> </w:t>
      </w:r>
      <w:r>
        <w:t>/</w:t>
      </w:r>
      <w:r>
        <w:rPr>
          <w:spacing w:val="-1"/>
        </w:rPr>
        <w:t xml:space="preserve"> </w:t>
      </w:r>
      <w:r>
        <w:t>Total</w:t>
      </w:r>
      <w:r>
        <w:rPr>
          <w:spacing w:val="-1"/>
        </w:rPr>
        <w:t xml:space="preserve"> </w:t>
      </w:r>
      <w:r>
        <w:t>Expenditure)</w:t>
      </w:r>
      <w:r>
        <w:rPr>
          <w:spacing w:val="-1"/>
        </w:rPr>
        <w:t xml:space="preserve"> </w:t>
      </w:r>
      <w:r>
        <w:t>×</w:t>
      </w:r>
      <w:r>
        <w:rPr>
          <w:spacing w:val="-2"/>
        </w:rPr>
        <w:t xml:space="preserve"> </w:t>
      </w:r>
      <w:r>
        <w:rPr>
          <w:spacing w:val="-5"/>
        </w:rPr>
        <w:t>100</w:t>
      </w:r>
    </w:p>
    <w:p w14:paraId="020F7306" w14:textId="77777777" w:rsidR="007F713D" w:rsidRDefault="007F713D">
      <w:pPr>
        <w:pStyle w:val="BodyText"/>
        <w:spacing w:before="45"/>
      </w:pPr>
    </w:p>
    <w:p w14:paraId="25BC6501" w14:textId="77777777" w:rsidR="007F713D" w:rsidRDefault="00B70B8E">
      <w:pPr>
        <w:pStyle w:val="BodyText"/>
        <w:spacing w:line="276" w:lineRule="auto"/>
        <w:ind w:left="720" w:right="676"/>
      </w:pPr>
      <w:r>
        <w:t>The</w:t>
      </w:r>
      <w:r>
        <w:rPr>
          <w:spacing w:val="-11"/>
        </w:rPr>
        <w:t xml:space="preserve"> </w:t>
      </w:r>
      <w:r>
        <w:t>larger</w:t>
      </w:r>
      <w:r>
        <w:rPr>
          <w:spacing w:val="-10"/>
        </w:rPr>
        <w:t xml:space="preserve"> </w:t>
      </w:r>
      <w:r>
        <w:t>these</w:t>
      </w:r>
      <w:r>
        <w:rPr>
          <w:spacing w:val="-11"/>
        </w:rPr>
        <w:t xml:space="preserve"> </w:t>
      </w:r>
      <w:r>
        <w:t>ratios</w:t>
      </w:r>
      <w:r>
        <w:rPr>
          <w:spacing w:val="-9"/>
        </w:rPr>
        <w:t xml:space="preserve"> </w:t>
      </w:r>
      <w:r>
        <w:t>are,</w:t>
      </w:r>
      <w:r>
        <w:rPr>
          <w:spacing w:val="-10"/>
        </w:rPr>
        <w:t xml:space="preserve"> </w:t>
      </w:r>
      <w:r>
        <w:t>the</w:t>
      </w:r>
      <w:r>
        <w:rPr>
          <w:spacing w:val="-10"/>
        </w:rPr>
        <w:t xml:space="preserve"> </w:t>
      </w:r>
      <w:r>
        <w:t>greater</w:t>
      </w:r>
      <w:r>
        <w:rPr>
          <w:spacing w:val="-10"/>
        </w:rPr>
        <w:t xml:space="preserve"> </w:t>
      </w:r>
      <w:r>
        <w:t>the</w:t>
      </w:r>
      <w:r>
        <w:rPr>
          <w:spacing w:val="-10"/>
        </w:rPr>
        <w:t xml:space="preserve"> </w:t>
      </w:r>
      <w:r>
        <w:t>state’s</w:t>
      </w:r>
      <w:r>
        <w:rPr>
          <w:spacing w:val="-10"/>
        </w:rPr>
        <w:t xml:space="preserve"> </w:t>
      </w:r>
      <w:r>
        <w:t>dependency</w:t>
      </w:r>
      <w:r>
        <w:rPr>
          <w:spacing w:val="-10"/>
        </w:rPr>
        <w:t xml:space="preserve"> </w:t>
      </w:r>
      <w:r>
        <w:t>on</w:t>
      </w:r>
      <w:r>
        <w:rPr>
          <w:spacing w:val="-10"/>
        </w:rPr>
        <w:t xml:space="preserve"> </w:t>
      </w:r>
      <w:r>
        <w:t>the</w:t>
      </w:r>
      <w:r>
        <w:rPr>
          <w:spacing w:val="-10"/>
        </w:rPr>
        <w:t xml:space="preserve"> </w:t>
      </w:r>
      <w:r>
        <w:t>Centre</w:t>
      </w:r>
      <w:r>
        <w:rPr>
          <w:spacing w:val="-8"/>
        </w:rPr>
        <w:t xml:space="preserve"> </w:t>
      </w:r>
      <w:r>
        <w:t>and</w:t>
      </w:r>
      <w:r>
        <w:rPr>
          <w:spacing w:val="-10"/>
        </w:rPr>
        <w:t xml:space="preserve"> </w:t>
      </w:r>
      <w:r>
        <w:t>conversely, lower ratios imply lower dependency.</w:t>
      </w:r>
    </w:p>
    <w:p w14:paraId="477B9734" w14:textId="77777777" w:rsidR="007F713D" w:rsidRDefault="007F713D">
      <w:pPr>
        <w:pStyle w:val="BodyText"/>
        <w:spacing w:before="42"/>
      </w:pPr>
    </w:p>
    <w:p w14:paraId="32871DA1" w14:textId="77777777" w:rsidR="00AF16A8" w:rsidRDefault="00AF16A8">
      <w:pPr>
        <w:pStyle w:val="BodyText"/>
        <w:spacing w:before="42"/>
      </w:pPr>
    </w:p>
    <w:p w14:paraId="6B648D70" w14:textId="61D7150E" w:rsidR="007F713D" w:rsidRDefault="00B70B8E">
      <w:pPr>
        <w:ind w:left="720"/>
        <w:rPr>
          <w:i/>
          <w:sz w:val="24"/>
        </w:rPr>
      </w:pPr>
      <w:r>
        <w:rPr>
          <w:i/>
          <w:sz w:val="24"/>
        </w:rPr>
        <w:t>Illustrative</w:t>
      </w:r>
      <w:r>
        <w:rPr>
          <w:i/>
          <w:spacing w:val="-2"/>
          <w:sz w:val="24"/>
        </w:rPr>
        <w:t xml:space="preserve"> Tables:</w:t>
      </w:r>
    </w:p>
    <w:p w14:paraId="0B9302F1" w14:textId="77777777" w:rsidR="007F713D" w:rsidRDefault="007F713D">
      <w:pPr>
        <w:pStyle w:val="BodyText"/>
        <w:spacing w:before="82"/>
        <w:rPr>
          <w:i/>
        </w:rPr>
      </w:pPr>
    </w:p>
    <w:p w14:paraId="21E497C4" w14:textId="77777777" w:rsidR="007F713D" w:rsidRDefault="00B70B8E">
      <w:pPr>
        <w:pStyle w:val="BodyText"/>
        <w:ind w:left="51" w:right="5"/>
        <w:jc w:val="center"/>
      </w:pPr>
      <w:r>
        <w:t>Table</w:t>
      </w:r>
      <w:r>
        <w:rPr>
          <w:spacing w:val="-3"/>
        </w:rPr>
        <w:t xml:space="preserve"> </w:t>
      </w:r>
      <w:r>
        <w:t>3:</w:t>
      </w:r>
      <w:r>
        <w:rPr>
          <w:spacing w:val="-1"/>
        </w:rPr>
        <w:t xml:space="preserve"> </w:t>
      </w:r>
      <w:r>
        <w:t>Dependency</w:t>
      </w:r>
      <w:r>
        <w:rPr>
          <w:spacing w:val="-1"/>
        </w:rPr>
        <w:t xml:space="preserve"> </w:t>
      </w:r>
      <w:r>
        <w:t>of</w:t>
      </w:r>
      <w:r>
        <w:rPr>
          <w:spacing w:val="-1"/>
        </w:rPr>
        <w:t xml:space="preserve"> </w:t>
      </w:r>
      <w:r>
        <w:t>X State</w:t>
      </w:r>
      <w:r>
        <w:rPr>
          <w:spacing w:val="-2"/>
        </w:rPr>
        <w:t xml:space="preserve"> </w:t>
      </w:r>
      <w:r>
        <w:t>Government for</w:t>
      </w:r>
      <w:r>
        <w:rPr>
          <w:spacing w:val="-1"/>
        </w:rPr>
        <w:t xml:space="preserve"> </w:t>
      </w:r>
      <w:r>
        <w:t>receipts</w:t>
      </w:r>
      <w:r>
        <w:rPr>
          <w:spacing w:val="-1"/>
        </w:rPr>
        <w:t xml:space="preserve"> </w:t>
      </w:r>
      <w:r>
        <w:t>in</w:t>
      </w:r>
      <w:r>
        <w:rPr>
          <w:spacing w:val="-1"/>
        </w:rPr>
        <w:t xml:space="preserve"> </w:t>
      </w:r>
      <w:r>
        <w:t>Central</w:t>
      </w:r>
      <w:r>
        <w:rPr>
          <w:spacing w:val="-1"/>
        </w:rPr>
        <w:t xml:space="preserve"> </w:t>
      </w:r>
      <w:r>
        <w:rPr>
          <w:spacing w:val="-2"/>
        </w:rPr>
        <w:t>Transfers</w:t>
      </w:r>
    </w:p>
    <w:p w14:paraId="599F073A" w14:textId="77777777" w:rsidR="007F713D" w:rsidRDefault="00B70B8E">
      <w:pPr>
        <w:pStyle w:val="BodyText"/>
        <w:spacing w:before="41" w:after="44"/>
        <w:ind w:left="6407"/>
        <w:jc w:val="center"/>
      </w:pPr>
      <w:r>
        <w:t>(Figures</w:t>
      </w:r>
      <w:r>
        <w:rPr>
          <w:spacing w:val="-3"/>
        </w:rPr>
        <w:t xml:space="preserve"> </w:t>
      </w:r>
      <w:r>
        <w:t>in</w:t>
      </w:r>
      <w:r>
        <w:rPr>
          <w:spacing w:val="-2"/>
        </w:rPr>
        <w:t xml:space="preserve"> Percentages)</w:t>
      </w:r>
    </w:p>
    <w:tbl>
      <w:tblPr>
        <w:tblW w:w="0" w:type="auto"/>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1"/>
        <w:gridCol w:w="1231"/>
        <w:gridCol w:w="1260"/>
        <w:gridCol w:w="1195"/>
        <w:gridCol w:w="1210"/>
        <w:gridCol w:w="1195"/>
        <w:gridCol w:w="1200"/>
      </w:tblGrid>
      <w:tr w:rsidR="007F713D" w14:paraId="27B3AD35" w14:textId="77777777">
        <w:trPr>
          <w:trHeight w:val="316"/>
        </w:trPr>
        <w:tc>
          <w:tcPr>
            <w:tcW w:w="9982" w:type="dxa"/>
            <w:gridSpan w:val="7"/>
          </w:tcPr>
          <w:p w14:paraId="44E531C8" w14:textId="77777777" w:rsidR="007F713D" w:rsidRDefault="00B70B8E">
            <w:pPr>
              <w:pStyle w:val="TableParagraph"/>
              <w:spacing w:line="275" w:lineRule="exact"/>
              <w:ind w:left="9"/>
              <w:jc w:val="center"/>
              <w:rPr>
                <w:sz w:val="24"/>
              </w:rPr>
            </w:pPr>
            <w:r>
              <w:rPr>
                <w:sz w:val="24"/>
              </w:rPr>
              <w:t>Plan</w:t>
            </w:r>
            <w:r>
              <w:rPr>
                <w:spacing w:val="-2"/>
                <w:sz w:val="24"/>
              </w:rPr>
              <w:t xml:space="preserve"> Periods</w:t>
            </w:r>
          </w:p>
        </w:tc>
      </w:tr>
      <w:tr w:rsidR="007F713D" w14:paraId="7FD01278" w14:textId="77777777">
        <w:trPr>
          <w:trHeight w:val="635"/>
        </w:trPr>
        <w:tc>
          <w:tcPr>
            <w:tcW w:w="2691" w:type="dxa"/>
            <w:vMerge w:val="restart"/>
          </w:tcPr>
          <w:p w14:paraId="3308A525" w14:textId="77777777" w:rsidR="007F713D" w:rsidRDefault="007F713D">
            <w:pPr>
              <w:pStyle w:val="TableParagraph"/>
              <w:rPr>
                <w:sz w:val="24"/>
              </w:rPr>
            </w:pPr>
          </w:p>
          <w:p w14:paraId="6DB43C94" w14:textId="77777777" w:rsidR="007F713D" w:rsidRDefault="007F713D">
            <w:pPr>
              <w:pStyle w:val="TableParagraph"/>
              <w:spacing w:before="92"/>
              <w:rPr>
                <w:sz w:val="24"/>
              </w:rPr>
            </w:pPr>
          </w:p>
          <w:p w14:paraId="3684E630" w14:textId="77777777" w:rsidR="007F713D" w:rsidRDefault="00B70B8E">
            <w:pPr>
              <w:pStyle w:val="TableParagraph"/>
              <w:ind w:left="830"/>
              <w:rPr>
                <w:sz w:val="24"/>
              </w:rPr>
            </w:pPr>
            <w:r>
              <w:rPr>
                <w:spacing w:val="-2"/>
                <w:sz w:val="24"/>
              </w:rPr>
              <w:t>Particulars</w:t>
            </w:r>
          </w:p>
        </w:tc>
        <w:tc>
          <w:tcPr>
            <w:tcW w:w="1231" w:type="dxa"/>
          </w:tcPr>
          <w:p w14:paraId="237F92FC" w14:textId="77777777" w:rsidR="007F713D" w:rsidRDefault="00B70B8E">
            <w:pPr>
              <w:pStyle w:val="TableParagraph"/>
              <w:spacing w:line="275" w:lineRule="exact"/>
              <w:ind w:left="9"/>
              <w:jc w:val="center"/>
              <w:rPr>
                <w:sz w:val="24"/>
              </w:rPr>
            </w:pPr>
            <w:r>
              <w:rPr>
                <w:spacing w:val="-5"/>
                <w:sz w:val="24"/>
              </w:rPr>
              <w:t>VI</w:t>
            </w:r>
          </w:p>
          <w:p w14:paraId="70369553" w14:textId="77777777" w:rsidR="007F713D" w:rsidRDefault="00B70B8E">
            <w:pPr>
              <w:pStyle w:val="TableParagraph"/>
              <w:spacing w:before="41"/>
              <w:ind w:left="9" w:right="2"/>
              <w:jc w:val="center"/>
              <w:rPr>
                <w:sz w:val="24"/>
              </w:rPr>
            </w:pPr>
            <w:r>
              <w:rPr>
                <w:spacing w:val="-4"/>
                <w:sz w:val="24"/>
              </w:rPr>
              <w:t>Plan</w:t>
            </w:r>
          </w:p>
        </w:tc>
        <w:tc>
          <w:tcPr>
            <w:tcW w:w="1260" w:type="dxa"/>
          </w:tcPr>
          <w:p w14:paraId="790B91CD" w14:textId="77777777" w:rsidR="007F713D" w:rsidRDefault="00B70B8E">
            <w:pPr>
              <w:pStyle w:val="TableParagraph"/>
              <w:spacing w:line="275" w:lineRule="exact"/>
              <w:ind w:left="11"/>
              <w:jc w:val="center"/>
              <w:rPr>
                <w:sz w:val="24"/>
              </w:rPr>
            </w:pPr>
            <w:r>
              <w:rPr>
                <w:spacing w:val="-5"/>
                <w:sz w:val="24"/>
              </w:rPr>
              <w:t>VII</w:t>
            </w:r>
          </w:p>
          <w:p w14:paraId="4BE56107" w14:textId="77777777" w:rsidR="007F713D" w:rsidRDefault="00B70B8E">
            <w:pPr>
              <w:pStyle w:val="TableParagraph"/>
              <w:spacing w:before="41"/>
              <w:ind w:left="11" w:right="4"/>
              <w:jc w:val="center"/>
              <w:rPr>
                <w:sz w:val="24"/>
              </w:rPr>
            </w:pPr>
            <w:r>
              <w:rPr>
                <w:spacing w:val="-4"/>
                <w:sz w:val="24"/>
              </w:rPr>
              <w:t>Plan</w:t>
            </w:r>
          </w:p>
        </w:tc>
        <w:tc>
          <w:tcPr>
            <w:tcW w:w="1195" w:type="dxa"/>
          </w:tcPr>
          <w:p w14:paraId="39C8379D" w14:textId="77777777" w:rsidR="007F713D" w:rsidRDefault="007F713D">
            <w:pPr>
              <w:pStyle w:val="TableParagraph"/>
              <w:spacing w:before="39"/>
              <w:rPr>
                <w:sz w:val="24"/>
              </w:rPr>
            </w:pPr>
          </w:p>
          <w:p w14:paraId="510A555B" w14:textId="77777777" w:rsidR="007F713D" w:rsidRDefault="00B70B8E">
            <w:pPr>
              <w:pStyle w:val="TableParagraph"/>
              <w:ind w:left="11" w:right="2"/>
              <w:jc w:val="center"/>
              <w:rPr>
                <w:sz w:val="24"/>
              </w:rPr>
            </w:pPr>
            <w:r>
              <w:rPr>
                <w:spacing w:val="-5"/>
                <w:sz w:val="24"/>
              </w:rPr>
              <w:t>APS</w:t>
            </w:r>
          </w:p>
        </w:tc>
        <w:tc>
          <w:tcPr>
            <w:tcW w:w="1210" w:type="dxa"/>
          </w:tcPr>
          <w:p w14:paraId="14795D4D" w14:textId="77777777" w:rsidR="007F713D" w:rsidRDefault="00B70B8E">
            <w:pPr>
              <w:pStyle w:val="TableParagraph"/>
              <w:spacing w:line="275" w:lineRule="exact"/>
              <w:ind w:left="398"/>
              <w:rPr>
                <w:sz w:val="24"/>
              </w:rPr>
            </w:pPr>
            <w:r>
              <w:rPr>
                <w:spacing w:val="-4"/>
                <w:sz w:val="24"/>
              </w:rPr>
              <w:t>VIII</w:t>
            </w:r>
          </w:p>
          <w:p w14:paraId="0EFD1344" w14:textId="77777777" w:rsidR="007F713D" w:rsidRDefault="00B70B8E">
            <w:pPr>
              <w:pStyle w:val="TableParagraph"/>
              <w:spacing w:before="41"/>
              <w:ind w:left="391"/>
              <w:rPr>
                <w:sz w:val="24"/>
              </w:rPr>
            </w:pPr>
            <w:r>
              <w:rPr>
                <w:spacing w:val="-4"/>
                <w:sz w:val="24"/>
              </w:rPr>
              <w:t>Plan</w:t>
            </w:r>
          </w:p>
        </w:tc>
        <w:tc>
          <w:tcPr>
            <w:tcW w:w="1195" w:type="dxa"/>
          </w:tcPr>
          <w:p w14:paraId="1DD8C556" w14:textId="77777777" w:rsidR="007F713D" w:rsidRDefault="00B70B8E">
            <w:pPr>
              <w:pStyle w:val="TableParagraph"/>
              <w:spacing w:line="275" w:lineRule="exact"/>
              <w:ind w:left="11" w:right="2"/>
              <w:jc w:val="center"/>
              <w:rPr>
                <w:sz w:val="24"/>
              </w:rPr>
            </w:pPr>
            <w:r>
              <w:rPr>
                <w:spacing w:val="-5"/>
                <w:sz w:val="24"/>
              </w:rPr>
              <w:t>IX</w:t>
            </w:r>
          </w:p>
          <w:p w14:paraId="20173F79" w14:textId="77777777" w:rsidR="007F713D" w:rsidRDefault="00B70B8E">
            <w:pPr>
              <w:pStyle w:val="TableParagraph"/>
              <w:spacing w:before="41"/>
              <w:ind w:left="11"/>
              <w:jc w:val="center"/>
              <w:rPr>
                <w:sz w:val="24"/>
              </w:rPr>
            </w:pPr>
            <w:r>
              <w:rPr>
                <w:spacing w:val="-4"/>
                <w:sz w:val="24"/>
              </w:rPr>
              <w:t>Plan</w:t>
            </w:r>
          </w:p>
        </w:tc>
        <w:tc>
          <w:tcPr>
            <w:tcW w:w="1200" w:type="dxa"/>
          </w:tcPr>
          <w:p w14:paraId="36EAC685" w14:textId="77777777" w:rsidR="007F713D" w:rsidRDefault="00B70B8E">
            <w:pPr>
              <w:pStyle w:val="TableParagraph"/>
              <w:spacing w:line="275" w:lineRule="exact"/>
              <w:ind w:left="12"/>
              <w:jc w:val="center"/>
              <w:rPr>
                <w:sz w:val="24"/>
              </w:rPr>
            </w:pPr>
            <w:r>
              <w:rPr>
                <w:spacing w:val="-10"/>
                <w:sz w:val="24"/>
              </w:rPr>
              <w:t>X</w:t>
            </w:r>
          </w:p>
          <w:p w14:paraId="67CEB3AE" w14:textId="77777777" w:rsidR="007F713D" w:rsidRDefault="00B70B8E">
            <w:pPr>
              <w:pStyle w:val="TableParagraph"/>
              <w:spacing w:before="41"/>
              <w:ind w:left="12"/>
              <w:jc w:val="center"/>
              <w:rPr>
                <w:sz w:val="24"/>
              </w:rPr>
            </w:pPr>
            <w:r>
              <w:rPr>
                <w:spacing w:val="-4"/>
                <w:sz w:val="24"/>
              </w:rPr>
              <w:t>Plan</w:t>
            </w:r>
          </w:p>
        </w:tc>
      </w:tr>
      <w:tr w:rsidR="007F713D" w14:paraId="239EC4CC" w14:textId="77777777">
        <w:trPr>
          <w:trHeight w:val="316"/>
        </w:trPr>
        <w:tc>
          <w:tcPr>
            <w:tcW w:w="2691" w:type="dxa"/>
            <w:vMerge/>
            <w:tcBorders>
              <w:top w:val="nil"/>
            </w:tcBorders>
          </w:tcPr>
          <w:p w14:paraId="6C6173E3" w14:textId="77777777" w:rsidR="007F713D" w:rsidRDefault="007F713D">
            <w:pPr>
              <w:rPr>
                <w:sz w:val="2"/>
                <w:szCs w:val="2"/>
              </w:rPr>
            </w:pPr>
          </w:p>
        </w:tc>
        <w:tc>
          <w:tcPr>
            <w:tcW w:w="1231" w:type="dxa"/>
          </w:tcPr>
          <w:p w14:paraId="71A7B3B0" w14:textId="77777777" w:rsidR="007F713D" w:rsidRDefault="00B70B8E">
            <w:pPr>
              <w:pStyle w:val="TableParagraph"/>
              <w:spacing w:line="275" w:lineRule="exact"/>
              <w:ind w:left="9" w:right="4"/>
              <w:jc w:val="center"/>
              <w:rPr>
                <w:sz w:val="24"/>
              </w:rPr>
            </w:pPr>
            <w:r>
              <w:rPr>
                <w:spacing w:val="-2"/>
                <w:sz w:val="24"/>
              </w:rPr>
              <w:t>(1980-</w:t>
            </w:r>
            <w:r>
              <w:rPr>
                <w:spacing w:val="-5"/>
                <w:sz w:val="24"/>
              </w:rPr>
              <w:t>85)</w:t>
            </w:r>
          </w:p>
        </w:tc>
        <w:tc>
          <w:tcPr>
            <w:tcW w:w="1260" w:type="dxa"/>
          </w:tcPr>
          <w:p w14:paraId="49A55A40" w14:textId="77777777" w:rsidR="007F713D" w:rsidRDefault="00B70B8E">
            <w:pPr>
              <w:pStyle w:val="TableParagraph"/>
              <w:spacing w:line="275" w:lineRule="exact"/>
              <w:ind w:left="11" w:right="6"/>
              <w:jc w:val="center"/>
              <w:rPr>
                <w:sz w:val="24"/>
              </w:rPr>
            </w:pPr>
            <w:r>
              <w:rPr>
                <w:spacing w:val="-2"/>
                <w:sz w:val="24"/>
              </w:rPr>
              <w:t>(1985-</w:t>
            </w:r>
            <w:r>
              <w:rPr>
                <w:spacing w:val="-5"/>
                <w:sz w:val="24"/>
              </w:rPr>
              <w:t>90)</w:t>
            </w:r>
          </w:p>
        </w:tc>
        <w:tc>
          <w:tcPr>
            <w:tcW w:w="1195" w:type="dxa"/>
          </w:tcPr>
          <w:p w14:paraId="67843811" w14:textId="77777777" w:rsidR="007F713D" w:rsidRDefault="00B70B8E">
            <w:pPr>
              <w:pStyle w:val="TableParagraph"/>
              <w:spacing w:line="275" w:lineRule="exact"/>
              <w:ind w:left="11" w:right="2"/>
              <w:jc w:val="center"/>
              <w:rPr>
                <w:sz w:val="24"/>
              </w:rPr>
            </w:pPr>
            <w:r>
              <w:rPr>
                <w:spacing w:val="-2"/>
                <w:sz w:val="24"/>
              </w:rPr>
              <w:t>(1990-</w:t>
            </w:r>
            <w:r>
              <w:rPr>
                <w:spacing w:val="-5"/>
                <w:sz w:val="24"/>
              </w:rPr>
              <w:t>92)</w:t>
            </w:r>
          </w:p>
        </w:tc>
        <w:tc>
          <w:tcPr>
            <w:tcW w:w="1210" w:type="dxa"/>
          </w:tcPr>
          <w:p w14:paraId="5667D6D1" w14:textId="77777777" w:rsidR="007F713D" w:rsidRDefault="00B70B8E">
            <w:pPr>
              <w:pStyle w:val="TableParagraph"/>
              <w:spacing w:line="275" w:lineRule="exact"/>
              <w:ind w:left="8"/>
              <w:jc w:val="center"/>
              <w:rPr>
                <w:sz w:val="24"/>
              </w:rPr>
            </w:pPr>
            <w:r>
              <w:rPr>
                <w:spacing w:val="-2"/>
                <w:sz w:val="24"/>
              </w:rPr>
              <w:t>(1992-</w:t>
            </w:r>
            <w:r>
              <w:rPr>
                <w:spacing w:val="-5"/>
                <w:sz w:val="24"/>
              </w:rPr>
              <w:t>97)</w:t>
            </w:r>
          </w:p>
        </w:tc>
        <w:tc>
          <w:tcPr>
            <w:tcW w:w="1195" w:type="dxa"/>
          </w:tcPr>
          <w:p w14:paraId="68A8E651" w14:textId="77777777" w:rsidR="007F713D" w:rsidRDefault="00B70B8E">
            <w:pPr>
              <w:pStyle w:val="TableParagraph"/>
              <w:spacing w:line="275" w:lineRule="exact"/>
              <w:ind w:left="11" w:right="2"/>
              <w:jc w:val="center"/>
              <w:rPr>
                <w:sz w:val="24"/>
              </w:rPr>
            </w:pPr>
            <w:r>
              <w:rPr>
                <w:spacing w:val="-2"/>
                <w:sz w:val="24"/>
              </w:rPr>
              <w:t>(1997-</w:t>
            </w:r>
            <w:r>
              <w:rPr>
                <w:spacing w:val="-5"/>
                <w:sz w:val="24"/>
              </w:rPr>
              <w:t>02)</w:t>
            </w:r>
          </w:p>
        </w:tc>
        <w:tc>
          <w:tcPr>
            <w:tcW w:w="1200" w:type="dxa"/>
          </w:tcPr>
          <w:p w14:paraId="32989BD3" w14:textId="77777777" w:rsidR="007F713D" w:rsidRDefault="00B70B8E">
            <w:pPr>
              <w:pStyle w:val="TableParagraph"/>
              <w:spacing w:line="275" w:lineRule="exact"/>
              <w:ind w:left="12" w:right="2"/>
              <w:jc w:val="center"/>
              <w:rPr>
                <w:sz w:val="24"/>
              </w:rPr>
            </w:pPr>
            <w:r>
              <w:rPr>
                <w:spacing w:val="-2"/>
                <w:sz w:val="24"/>
              </w:rPr>
              <w:t>(2002-</w:t>
            </w:r>
            <w:r>
              <w:rPr>
                <w:spacing w:val="-5"/>
                <w:sz w:val="24"/>
              </w:rPr>
              <w:t>07)</w:t>
            </w:r>
          </w:p>
        </w:tc>
      </w:tr>
      <w:tr w:rsidR="007F713D" w14:paraId="18208C27" w14:textId="77777777">
        <w:trPr>
          <w:trHeight w:val="952"/>
        </w:trPr>
        <w:tc>
          <w:tcPr>
            <w:tcW w:w="2691" w:type="dxa"/>
          </w:tcPr>
          <w:p w14:paraId="1CF0831A" w14:textId="77777777" w:rsidR="007F713D" w:rsidRDefault="00B70B8E">
            <w:pPr>
              <w:pStyle w:val="TableParagraph"/>
              <w:spacing w:line="276" w:lineRule="auto"/>
              <w:ind w:left="107"/>
              <w:rPr>
                <w:sz w:val="24"/>
              </w:rPr>
            </w:pPr>
            <w:r>
              <w:rPr>
                <w:sz w:val="24"/>
              </w:rPr>
              <w:lastRenderedPageBreak/>
              <w:t>Revenue</w:t>
            </w:r>
            <w:r>
              <w:rPr>
                <w:spacing w:val="-14"/>
                <w:sz w:val="24"/>
              </w:rPr>
              <w:t xml:space="preserve"> </w:t>
            </w:r>
            <w:r>
              <w:rPr>
                <w:sz w:val="24"/>
              </w:rPr>
              <w:t>Transfers</w:t>
            </w:r>
            <w:r>
              <w:rPr>
                <w:spacing w:val="-13"/>
                <w:sz w:val="24"/>
              </w:rPr>
              <w:t xml:space="preserve"> </w:t>
            </w:r>
            <w:r>
              <w:rPr>
                <w:sz w:val="24"/>
              </w:rPr>
              <w:t>as</w:t>
            </w:r>
            <w:r>
              <w:rPr>
                <w:spacing w:val="-13"/>
                <w:sz w:val="24"/>
              </w:rPr>
              <w:t xml:space="preserve"> </w:t>
            </w:r>
            <w:r>
              <w:rPr>
                <w:sz w:val="24"/>
              </w:rPr>
              <w:t>a Percentage</w:t>
            </w:r>
            <w:r>
              <w:rPr>
                <w:spacing w:val="-3"/>
                <w:sz w:val="24"/>
              </w:rPr>
              <w:t xml:space="preserve"> </w:t>
            </w:r>
            <w:r>
              <w:rPr>
                <w:sz w:val="24"/>
              </w:rPr>
              <w:t>of</w:t>
            </w:r>
            <w:r>
              <w:rPr>
                <w:spacing w:val="-1"/>
                <w:sz w:val="24"/>
              </w:rPr>
              <w:t xml:space="preserve"> </w:t>
            </w:r>
            <w:r>
              <w:rPr>
                <w:spacing w:val="-2"/>
                <w:sz w:val="24"/>
              </w:rPr>
              <w:t>Revenue</w:t>
            </w:r>
          </w:p>
          <w:p w14:paraId="51E250BD" w14:textId="77777777" w:rsidR="007F713D" w:rsidRDefault="00B70B8E">
            <w:pPr>
              <w:pStyle w:val="TableParagraph"/>
              <w:ind w:left="107"/>
              <w:rPr>
                <w:sz w:val="24"/>
              </w:rPr>
            </w:pPr>
            <w:r>
              <w:rPr>
                <w:sz w:val="24"/>
              </w:rPr>
              <w:t>Receipts</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State</w:t>
            </w:r>
          </w:p>
        </w:tc>
        <w:tc>
          <w:tcPr>
            <w:tcW w:w="1231" w:type="dxa"/>
          </w:tcPr>
          <w:p w14:paraId="724049C2" w14:textId="77777777" w:rsidR="007F713D" w:rsidRDefault="007F713D">
            <w:pPr>
              <w:pStyle w:val="TableParagraph"/>
              <w:rPr>
                <w:sz w:val="24"/>
              </w:rPr>
            </w:pPr>
          </w:p>
          <w:p w14:paraId="275A9548" w14:textId="77777777" w:rsidR="007F713D" w:rsidRDefault="007F713D">
            <w:pPr>
              <w:pStyle w:val="TableParagraph"/>
              <w:spacing w:before="82"/>
              <w:rPr>
                <w:sz w:val="24"/>
              </w:rPr>
            </w:pPr>
          </w:p>
          <w:p w14:paraId="591DC418" w14:textId="77777777" w:rsidR="007F713D" w:rsidRDefault="00B70B8E">
            <w:pPr>
              <w:pStyle w:val="TableParagraph"/>
              <w:spacing w:before="1"/>
              <w:ind w:left="9" w:right="5"/>
              <w:jc w:val="center"/>
              <w:rPr>
                <w:sz w:val="24"/>
              </w:rPr>
            </w:pPr>
            <w:r>
              <w:rPr>
                <w:spacing w:val="-2"/>
                <w:sz w:val="24"/>
              </w:rPr>
              <w:t>25.11</w:t>
            </w:r>
          </w:p>
        </w:tc>
        <w:tc>
          <w:tcPr>
            <w:tcW w:w="1260" w:type="dxa"/>
          </w:tcPr>
          <w:p w14:paraId="65F8BDDC" w14:textId="77777777" w:rsidR="007F713D" w:rsidRDefault="007F713D">
            <w:pPr>
              <w:pStyle w:val="TableParagraph"/>
              <w:rPr>
                <w:sz w:val="24"/>
              </w:rPr>
            </w:pPr>
          </w:p>
          <w:p w14:paraId="12988567" w14:textId="77777777" w:rsidR="007F713D" w:rsidRDefault="007F713D">
            <w:pPr>
              <w:pStyle w:val="TableParagraph"/>
              <w:spacing w:before="82"/>
              <w:rPr>
                <w:sz w:val="24"/>
              </w:rPr>
            </w:pPr>
          </w:p>
          <w:p w14:paraId="00428A27" w14:textId="77777777" w:rsidR="007F713D" w:rsidRDefault="00B70B8E">
            <w:pPr>
              <w:pStyle w:val="TableParagraph"/>
              <w:spacing w:before="1"/>
              <w:ind w:left="11" w:right="2"/>
              <w:jc w:val="center"/>
              <w:rPr>
                <w:sz w:val="24"/>
              </w:rPr>
            </w:pPr>
            <w:r>
              <w:rPr>
                <w:spacing w:val="-2"/>
                <w:sz w:val="24"/>
              </w:rPr>
              <w:t>22.09</w:t>
            </w:r>
          </w:p>
        </w:tc>
        <w:tc>
          <w:tcPr>
            <w:tcW w:w="1195" w:type="dxa"/>
          </w:tcPr>
          <w:p w14:paraId="13BAA375" w14:textId="77777777" w:rsidR="007F713D" w:rsidRDefault="007F713D">
            <w:pPr>
              <w:pStyle w:val="TableParagraph"/>
              <w:rPr>
                <w:sz w:val="24"/>
              </w:rPr>
            </w:pPr>
          </w:p>
          <w:p w14:paraId="7A1D7633" w14:textId="77777777" w:rsidR="007F713D" w:rsidRDefault="007F713D">
            <w:pPr>
              <w:pStyle w:val="TableParagraph"/>
              <w:spacing w:before="82"/>
              <w:rPr>
                <w:sz w:val="24"/>
              </w:rPr>
            </w:pPr>
          </w:p>
          <w:p w14:paraId="574C81A9" w14:textId="77777777" w:rsidR="007F713D" w:rsidRDefault="00B70B8E">
            <w:pPr>
              <w:pStyle w:val="TableParagraph"/>
              <w:spacing w:before="1"/>
              <w:ind w:left="11" w:right="3"/>
              <w:jc w:val="center"/>
              <w:rPr>
                <w:sz w:val="24"/>
              </w:rPr>
            </w:pPr>
            <w:r>
              <w:rPr>
                <w:spacing w:val="-2"/>
                <w:sz w:val="24"/>
              </w:rPr>
              <w:t>16.52</w:t>
            </w:r>
          </w:p>
        </w:tc>
        <w:tc>
          <w:tcPr>
            <w:tcW w:w="1210" w:type="dxa"/>
          </w:tcPr>
          <w:p w14:paraId="2D171B78" w14:textId="77777777" w:rsidR="007F713D" w:rsidRDefault="007F713D">
            <w:pPr>
              <w:pStyle w:val="TableParagraph"/>
              <w:rPr>
                <w:sz w:val="24"/>
              </w:rPr>
            </w:pPr>
          </w:p>
          <w:p w14:paraId="6A8593B9" w14:textId="77777777" w:rsidR="007F713D" w:rsidRDefault="007F713D">
            <w:pPr>
              <w:pStyle w:val="TableParagraph"/>
              <w:spacing w:before="82"/>
              <w:rPr>
                <w:sz w:val="24"/>
              </w:rPr>
            </w:pPr>
          </w:p>
          <w:p w14:paraId="218104D7" w14:textId="77777777" w:rsidR="007F713D" w:rsidRDefault="00B70B8E">
            <w:pPr>
              <w:pStyle w:val="TableParagraph"/>
              <w:spacing w:before="1"/>
              <w:ind w:left="8"/>
              <w:jc w:val="center"/>
              <w:rPr>
                <w:sz w:val="24"/>
              </w:rPr>
            </w:pPr>
            <w:r>
              <w:rPr>
                <w:spacing w:val="-2"/>
                <w:sz w:val="24"/>
              </w:rPr>
              <w:t>13.08</w:t>
            </w:r>
          </w:p>
        </w:tc>
        <w:tc>
          <w:tcPr>
            <w:tcW w:w="1195" w:type="dxa"/>
          </w:tcPr>
          <w:p w14:paraId="6DA35D68" w14:textId="77777777" w:rsidR="007F713D" w:rsidRDefault="007F713D">
            <w:pPr>
              <w:pStyle w:val="TableParagraph"/>
              <w:rPr>
                <w:sz w:val="24"/>
              </w:rPr>
            </w:pPr>
          </w:p>
          <w:p w14:paraId="2F434C8D" w14:textId="77777777" w:rsidR="007F713D" w:rsidRDefault="007F713D">
            <w:pPr>
              <w:pStyle w:val="TableParagraph"/>
              <w:spacing w:before="82"/>
              <w:rPr>
                <w:sz w:val="24"/>
              </w:rPr>
            </w:pPr>
          </w:p>
          <w:p w14:paraId="43DC9B1C" w14:textId="77777777" w:rsidR="007F713D" w:rsidRDefault="00B70B8E">
            <w:pPr>
              <w:pStyle w:val="TableParagraph"/>
              <w:spacing w:before="1"/>
              <w:ind w:left="11" w:right="2"/>
              <w:jc w:val="center"/>
              <w:rPr>
                <w:sz w:val="24"/>
              </w:rPr>
            </w:pPr>
            <w:r>
              <w:rPr>
                <w:spacing w:val="-2"/>
                <w:sz w:val="24"/>
              </w:rPr>
              <w:t>13.58</w:t>
            </w:r>
          </w:p>
        </w:tc>
        <w:tc>
          <w:tcPr>
            <w:tcW w:w="1200" w:type="dxa"/>
          </w:tcPr>
          <w:p w14:paraId="01374B81" w14:textId="77777777" w:rsidR="007F713D" w:rsidRDefault="007F713D">
            <w:pPr>
              <w:pStyle w:val="TableParagraph"/>
              <w:rPr>
                <w:sz w:val="24"/>
              </w:rPr>
            </w:pPr>
          </w:p>
          <w:p w14:paraId="41584E88" w14:textId="77777777" w:rsidR="007F713D" w:rsidRDefault="007F713D">
            <w:pPr>
              <w:pStyle w:val="TableParagraph"/>
              <w:spacing w:before="82"/>
              <w:rPr>
                <w:sz w:val="24"/>
              </w:rPr>
            </w:pPr>
          </w:p>
          <w:p w14:paraId="73C999DC" w14:textId="77777777" w:rsidR="007F713D" w:rsidRDefault="00B70B8E">
            <w:pPr>
              <w:pStyle w:val="TableParagraph"/>
              <w:spacing w:before="1"/>
              <w:ind w:left="12" w:right="3"/>
              <w:jc w:val="center"/>
              <w:rPr>
                <w:sz w:val="24"/>
              </w:rPr>
            </w:pPr>
            <w:r>
              <w:rPr>
                <w:spacing w:val="-2"/>
                <w:sz w:val="24"/>
              </w:rPr>
              <w:t>17.01</w:t>
            </w:r>
          </w:p>
        </w:tc>
      </w:tr>
      <w:tr w:rsidR="007F713D" w14:paraId="768DB1FB" w14:textId="77777777">
        <w:trPr>
          <w:trHeight w:val="953"/>
        </w:trPr>
        <w:tc>
          <w:tcPr>
            <w:tcW w:w="2691" w:type="dxa"/>
          </w:tcPr>
          <w:p w14:paraId="33AD7821" w14:textId="77777777" w:rsidR="007F713D" w:rsidRDefault="00B70B8E">
            <w:pPr>
              <w:pStyle w:val="TableParagraph"/>
              <w:spacing w:line="276" w:lineRule="exact"/>
              <w:ind w:left="107"/>
              <w:rPr>
                <w:sz w:val="24"/>
              </w:rPr>
            </w:pPr>
            <w:r>
              <w:rPr>
                <w:sz w:val="24"/>
              </w:rPr>
              <w:t>Loan</w:t>
            </w:r>
            <w:r>
              <w:rPr>
                <w:spacing w:val="-4"/>
                <w:sz w:val="24"/>
              </w:rPr>
              <w:t xml:space="preserve"> </w:t>
            </w:r>
            <w:r>
              <w:rPr>
                <w:sz w:val="24"/>
              </w:rPr>
              <w:t>Transfers</w:t>
            </w:r>
            <w:r>
              <w:rPr>
                <w:spacing w:val="-2"/>
                <w:sz w:val="24"/>
              </w:rPr>
              <w:t xml:space="preserve"> </w:t>
            </w:r>
            <w:r>
              <w:rPr>
                <w:spacing w:val="-5"/>
                <w:sz w:val="24"/>
              </w:rPr>
              <w:t>as</w:t>
            </w:r>
          </w:p>
          <w:p w14:paraId="20E65A2A" w14:textId="77777777" w:rsidR="007F713D" w:rsidRDefault="00B70B8E">
            <w:pPr>
              <w:pStyle w:val="TableParagraph"/>
              <w:spacing w:before="9" w:line="320" w:lineRule="exact"/>
              <w:ind w:left="107"/>
              <w:rPr>
                <w:sz w:val="24"/>
              </w:rPr>
            </w:pPr>
            <w:r>
              <w:rPr>
                <w:sz w:val="24"/>
              </w:rPr>
              <w:t>a</w:t>
            </w:r>
            <w:r>
              <w:rPr>
                <w:spacing w:val="-15"/>
                <w:sz w:val="24"/>
              </w:rPr>
              <w:t xml:space="preserve"> </w:t>
            </w:r>
            <w:r>
              <w:rPr>
                <w:sz w:val="24"/>
              </w:rPr>
              <w:t>Percentage</w:t>
            </w:r>
            <w:r>
              <w:rPr>
                <w:spacing w:val="-15"/>
                <w:sz w:val="24"/>
              </w:rPr>
              <w:t xml:space="preserve"> </w:t>
            </w:r>
            <w:r>
              <w:rPr>
                <w:sz w:val="24"/>
              </w:rPr>
              <w:t>of</w:t>
            </w:r>
            <w:r>
              <w:rPr>
                <w:spacing w:val="-14"/>
                <w:sz w:val="24"/>
              </w:rPr>
              <w:t xml:space="preserve"> </w:t>
            </w:r>
            <w:r>
              <w:rPr>
                <w:sz w:val="24"/>
              </w:rPr>
              <w:t>Capital Receipts of the state</w:t>
            </w:r>
          </w:p>
        </w:tc>
        <w:tc>
          <w:tcPr>
            <w:tcW w:w="1231" w:type="dxa"/>
          </w:tcPr>
          <w:p w14:paraId="401DBE5F" w14:textId="77777777" w:rsidR="007F713D" w:rsidRDefault="007F713D">
            <w:pPr>
              <w:pStyle w:val="TableParagraph"/>
              <w:rPr>
                <w:sz w:val="24"/>
              </w:rPr>
            </w:pPr>
          </w:p>
          <w:p w14:paraId="501D166E" w14:textId="77777777" w:rsidR="007F713D" w:rsidRDefault="007F713D">
            <w:pPr>
              <w:pStyle w:val="TableParagraph"/>
              <w:spacing w:before="83"/>
              <w:rPr>
                <w:sz w:val="24"/>
              </w:rPr>
            </w:pPr>
          </w:p>
          <w:p w14:paraId="06F26496" w14:textId="77777777" w:rsidR="007F713D" w:rsidRDefault="00B70B8E">
            <w:pPr>
              <w:pStyle w:val="TableParagraph"/>
              <w:ind w:left="9" w:right="5"/>
              <w:jc w:val="center"/>
              <w:rPr>
                <w:sz w:val="24"/>
              </w:rPr>
            </w:pPr>
            <w:r>
              <w:rPr>
                <w:spacing w:val="-2"/>
                <w:sz w:val="24"/>
              </w:rPr>
              <w:t>57.79</w:t>
            </w:r>
          </w:p>
        </w:tc>
        <w:tc>
          <w:tcPr>
            <w:tcW w:w="1260" w:type="dxa"/>
          </w:tcPr>
          <w:p w14:paraId="1C09942E" w14:textId="77777777" w:rsidR="007F713D" w:rsidRDefault="007F713D">
            <w:pPr>
              <w:pStyle w:val="TableParagraph"/>
              <w:rPr>
                <w:sz w:val="24"/>
              </w:rPr>
            </w:pPr>
          </w:p>
          <w:p w14:paraId="36865957" w14:textId="77777777" w:rsidR="007F713D" w:rsidRDefault="007F713D">
            <w:pPr>
              <w:pStyle w:val="TableParagraph"/>
              <w:spacing w:before="83"/>
              <w:rPr>
                <w:sz w:val="24"/>
              </w:rPr>
            </w:pPr>
          </w:p>
          <w:p w14:paraId="5B1E3406" w14:textId="77777777" w:rsidR="007F713D" w:rsidRDefault="00B70B8E">
            <w:pPr>
              <w:pStyle w:val="TableParagraph"/>
              <w:ind w:left="11" w:right="2"/>
              <w:jc w:val="center"/>
              <w:rPr>
                <w:sz w:val="24"/>
              </w:rPr>
            </w:pPr>
            <w:r>
              <w:rPr>
                <w:spacing w:val="-2"/>
                <w:sz w:val="24"/>
              </w:rPr>
              <w:t>61.03</w:t>
            </w:r>
          </w:p>
        </w:tc>
        <w:tc>
          <w:tcPr>
            <w:tcW w:w="1195" w:type="dxa"/>
          </w:tcPr>
          <w:p w14:paraId="30BEA6B8" w14:textId="77777777" w:rsidR="007F713D" w:rsidRDefault="007F713D">
            <w:pPr>
              <w:pStyle w:val="TableParagraph"/>
              <w:rPr>
                <w:sz w:val="24"/>
              </w:rPr>
            </w:pPr>
          </w:p>
          <w:p w14:paraId="1D0EA0D6" w14:textId="77777777" w:rsidR="007F713D" w:rsidRDefault="007F713D">
            <w:pPr>
              <w:pStyle w:val="TableParagraph"/>
              <w:spacing w:before="83"/>
              <w:rPr>
                <w:sz w:val="24"/>
              </w:rPr>
            </w:pPr>
          </w:p>
          <w:p w14:paraId="553CE9DD" w14:textId="77777777" w:rsidR="007F713D" w:rsidRDefault="00B70B8E">
            <w:pPr>
              <w:pStyle w:val="TableParagraph"/>
              <w:ind w:left="11" w:right="3"/>
              <w:jc w:val="center"/>
              <w:rPr>
                <w:sz w:val="24"/>
              </w:rPr>
            </w:pPr>
            <w:r>
              <w:rPr>
                <w:spacing w:val="-2"/>
                <w:sz w:val="24"/>
              </w:rPr>
              <w:t>54.42</w:t>
            </w:r>
          </w:p>
        </w:tc>
        <w:tc>
          <w:tcPr>
            <w:tcW w:w="1210" w:type="dxa"/>
          </w:tcPr>
          <w:p w14:paraId="1CE49F00" w14:textId="77777777" w:rsidR="007F713D" w:rsidRDefault="007F713D">
            <w:pPr>
              <w:pStyle w:val="TableParagraph"/>
              <w:rPr>
                <w:sz w:val="24"/>
              </w:rPr>
            </w:pPr>
          </w:p>
          <w:p w14:paraId="09B48311" w14:textId="77777777" w:rsidR="007F713D" w:rsidRDefault="007F713D">
            <w:pPr>
              <w:pStyle w:val="TableParagraph"/>
              <w:spacing w:before="83"/>
              <w:rPr>
                <w:sz w:val="24"/>
              </w:rPr>
            </w:pPr>
          </w:p>
          <w:p w14:paraId="6D14E243" w14:textId="77777777" w:rsidR="007F713D" w:rsidRDefault="00B70B8E">
            <w:pPr>
              <w:pStyle w:val="TableParagraph"/>
              <w:ind w:left="8"/>
              <w:jc w:val="center"/>
              <w:rPr>
                <w:sz w:val="24"/>
              </w:rPr>
            </w:pPr>
            <w:r>
              <w:rPr>
                <w:spacing w:val="-2"/>
                <w:sz w:val="24"/>
              </w:rPr>
              <w:t>31.80</w:t>
            </w:r>
          </w:p>
        </w:tc>
        <w:tc>
          <w:tcPr>
            <w:tcW w:w="1195" w:type="dxa"/>
          </w:tcPr>
          <w:p w14:paraId="5539224B" w14:textId="77777777" w:rsidR="007F713D" w:rsidRDefault="007F713D">
            <w:pPr>
              <w:pStyle w:val="TableParagraph"/>
              <w:rPr>
                <w:sz w:val="24"/>
              </w:rPr>
            </w:pPr>
          </w:p>
          <w:p w14:paraId="0BE57E20" w14:textId="77777777" w:rsidR="007F713D" w:rsidRDefault="007F713D">
            <w:pPr>
              <w:pStyle w:val="TableParagraph"/>
              <w:spacing w:before="83"/>
              <w:rPr>
                <w:sz w:val="24"/>
              </w:rPr>
            </w:pPr>
          </w:p>
          <w:p w14:paraId="7E245428" w14:textId="77777777" w:rsidR="007F713D" w:rsidRDefault="00B70B8E">
            <w:pPr>
              <w:pStyle w:val="TableParagraph"/>
              <w:ind w:left="11" w:right="2"/>
              <w:jc w:val="center"/>
              <w:rPr>
                <w:sz w:val="24"/>
              </w:rPr>
            </w:pPr>
            <w:r>
              <w:rPr>
                <w:spacing w:val="-2"/>
                <w:sz w:val="24"/>
              </w:rPr>
              <w:t>23.81</w:t>
            </w:r>
          </w:p>
        </w:tc>
        <w:tc>
          <w:tcPr>
            <w:tcW w:w="1200" w:type="dxa"/>
          </w:tcPr>
          <w:p w14:paraId="52BD8E1F" w14:textId="77777777" w:rsidR="007F713D" w:rsidRDefault="007F713D">
            <w:pPr>
              <w:pStyle w:val="TableParagraph"/>
              <w:rPr>
                <w:sz w:val="24"/>
              </w:rPr>
            </w:pPr>
          </w:p>
          <w:p w14:paraId="4D022463" w14:textId="77777777" w:rsidR="007F713D" w:rsidRDefault="007F713D">
            <w:pPr>
              <w:pStyle w:val="TableParagraph"/>
              <w:spacing w:before="83"/>
              <w:rPr>
                <w:sz w:val="24"/>
              </w:rPr>
            </w:pPr>
          </w:p>
          <w:p w14:paraId="663ABDBC" w14:textId="77777777" w:rsidR="007F713D" w:rsidRDefault="00B70B8E">
            <w:pPr>
              <w:pStyle w:val="TableParagraph"/>
              <w:ind w:left="12" w:right="3"/>
              <w:jc w:val="center"/>
              <w:rPr>
                <w:sz w:val="24"/>
              </w:rPr>
            </w:pPr>
            <w:r>
              <w:rPr>
                <w:spacing w:val="-4"/>
                <w:sz w:val="24"/>
              </w:rPr>
              <w:t>3.58</w:t>
            </w:r>
          </w:p>
        </w:tc>
      </w:tr>
      <w:tr w:rsidR="007F713D" w14:paraId="1ADC4D73" w14:textId="77777777">
        <w:trPr>
          <w:trHeight w:val="952"/>
        </w:trPr>
        <w:tc>
          <w:tcPr>
            <w:tcW w:w="2691" w:type="dxa"/>
          </w:tcPr>
          <w:p w14:paraId="34F1DE79" w14:textId="77777777" w:rsidR="007F713D" w:rsidRDefault="00B70B8E">
            <w:pPr>
              <w:pStyle w:val="TableParagraph"/>
              <w:spacing w:line="276" w:lineRule="auto"/>
              <w:ind w:left="107"/>
              <w:rPr>
                <w:sz w:val="24"/>
              </w:rPr>
            </w:pPr>
            <w:r>
              <w:rPr>
                <w:sz w:val="24"/>
              </w:rPr>
              <w:t>Aggregate</w:t>
            </w:r>
            <w:r>
              <w:rPr>
                <w:spacing w:val="-13"/>
                <w:sz w:val="24"/>
              </w:rPr>
              <w:t xml:space="preserve"> </w:t>
            </w:r>
            <w:r>
              <w:rPr>
                <w:sz w:val="24"/>
              </w:rPr>
              <w:t>Transfers</w:t>
            </w:r>
            <w:r>
              <w:rPr>
                <w:spacing w:val="-14"/>
                <w:sz w:val="24"/>
              </w:rPr>
              <w:t xml:space="preserve"> </w:t>
            </w:r>
            <w:r>
              <w:rPr>
                <w:sz w:val="24"/>
              </w:rPr>
              <w:t>as</w:t>
            </w:r>
            <w:r>
              <w:rPr>
                <w:spacing w:val="-12"/>
                <w:sz w:val="24"/>
              </w:rPr>
              <w:t xml:space="preserve"> </w:t>
            </w:r>
            <w:r>
              <w:rPr>
                <w:sz w:val="24"/>
              </w:rPr>
              <w:t>a Percentage</w:t>
            </w:r>
            <w:r>
              <w:rPr>
                <w:spacing w:val="-3"/>
                <w:sz w:val="24"/>
              </w:rPr>
              <w:t xml:space="preserve"> </w:t>
            </w:r>
            <w:r>
              <w:rPr>
                <w:sz w:val="24"/>
              </w:rPr>
              <w:t>of</w:t>
            </w:r>
            <w:r>
              <w:rPr>
                <w:spacing w:val="-1"/>
                <w:sz w:val="24"/>
              </w:rPr>
              <w:t xml:space="preserve"> </w:t>
            </w:r>
            <w:r>
              <w:rPr>
                <w:spacing w:val="-2"/>
                <w:sz w:val="24"/>
              </w:rPr>
              <w:t>Aggregate</w:t>
            </w:r>
          </w:p>
          <w:p w14:paraId="3DF09E33" w14:textId="77777777" w:rsidR="007F713D" w:rsidRDefault="00B70B8E">
            <w:pPr>
              <w:pStyle w:val="TableParagraph"/>
              <w:spacing w:line="275" w:lineRule="exact"/>
              <w:ind w:left="107"/>
              <w:rPr>
                <w:sz w:val="24"/>
              </w:rPr>
            </w:pPr>
            <w:r>
              <w:rPr>
                <w:sz w:val="24"/>
              </w:rPr>
              <w:t>Receipts</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state</w:t>
            </w:r>
          </w:p>
        </w:tc>
        <w:tc>
          <w:tcPr>
            <w:tcW w:w="1231" w:type="dxa"/>
          </w:tcPr>
          <w:p w14:paraId="52F1E6FD" w14:textId="77777777" w:rsidR="007F713D" w:rsidRDefault="007F713D">
            <w:pPr>
              <w:pStyle w:val="TableParagraph"/>
              <w:rPr>
                <w:sz w:val="24"/>
              </w:rPr>
            </w:pPr>
          </w:p>
          <w:p w14:paraId="2537574C" w14:textId="77777777" w:rsidR="007F713D" w:rsidRDefault="007F713D">
            <w:pPr>
              <w:pStyle w:val="TableParagraph"/>
              <w:spacing w:before="80"/>
              <w:rPr>
                <w:sz w:val="24"/>
              </w:rPr>
            </w:pPr>
          </w:p>
          <w:p w14:paraId="571CBADA" w14:textId="77777777" w:rsidR="007F713D" w:rsidRDefault="00B70B8E">
            <w:pPr>
              <w:pStyle w:val="TableParagraph"/>
              <w:ind w:left="9" w:right="5"/>
              <w:jc w:val="center"/>
              <w:rPr>
                <w:sz w:val="24"/>
              </w:rPr>
            </w:pPr>
            <w:r>
              <w:rPr>
                <w:spacing w:val="-2"/>
                <w:sz w:val="24"/>
              </w:rPr>
              <w:t>28.74</w:t>
            </w:r>
          </w:p>
        </w:tc>
        <w:tc>
          <w:tcPr>
            <w:tcW w:w="1260" w:type="dxa"/>
          </w:tcPr>
          <w:p w14:paraId="04391889" w14:textId="77777777" w:rsidR="007F713D" w:rsidRDefault="007F713D">
            <w:pPr>
              <w:pStyle w:val="TableParagraph"/>
              <w:rPr>
                <w:sz w:val="24"/>
              </w:rPr>
            </w:pPr>
          </w:p>
          <w:p w14:paraId="1D6F035B" w14:textId="77777777" w:rsidR="007F713D" w:rsidRDefault="007F713D">
            <w:pPr>
              <w:pStyle w:val="TableParagraph"/>
              <w:spacing w:before="80"/>
              <w:rPr>
                <w:sz w:val="24"/>
              </w:rPr>
            </w:pPr>
          </w:p>
          <w:p w14:paraId="46E08DC1" w14:textId="77777777" w:rsidR="007F713D" w:rsidRDefault="00B70B8E">
            <w:pPr>
              <w:pStyle w:val="TableParagraph"/>
              <w:ind w:left="11" w:right="2"/>
              <w:jc w:val="center"/>
              <w:rPr>
                <w:sz w:val="24"/>
              </w:rPr>
            </w:pPr>
            <w:r>
              <w:rPr>
                <w:spacing w:val="-2"/>
                <w:sz w:val="24"/>
              </w:rPr>
              <w:t>27.77</w:t>
            </w:r>
          </w:p>
        </w:tc>
        <w:tc>
          <w:tcPr>
            <w:tcW w:w="1195" w:type="dxa"/>
          </w:tcPr>
          <w:p w14:paraId="2FAAFAD5" w14:textId="77777777" w:rsidR="007F713D" w:rsidRDefault="007F713D">
            <w:pPr>
              <w:pStyle w:val="TableParagraph"/>
              <w:rPr>
                <w:sz w:val="24"/>
              </w:rPr>
            </w:pPr>
          </w:p>
          <w:p w14:paraId="4D658F6D" w14:textId="77777777" w:rsidR="007F713D" w:rsidRDefault="007F713D">
            <w:pPr>
              <w:pStyle w:val="TableParagraph"/>
              <w:spacing w:before="80"/>
              <w:rPr>
                <w:sz w:val="24"/>
              </w:rPr>
            </w:pPr>
          </w:p>
          <w:p w14:paraId="4C3C1E77" w14:textId="77777777" w:rsidR="007F713D" w:rsidRDefault="00B70B8E">
            <w:pPr>
              <w:pStyle w:val="TableParagraph"/>
              <w:ind w:left="11" w:right="3"/>
              <w:jc w:val="center"/>
              <w:rPr>
                <w:sz w:val="24"/>
              </w:rPr>
            </w:pPr>
            <w:r>
              <w:rPr>
                <w:spacing w:val="-2"/>
                <w:sz w:val="24"/>
              </w:rPr>
              <w:t>25.54</w:t>
            </w:r>
          </w:p>
        </w:tc>
        <w:tc>
          <w:tcPr>
            <w:tcW w:w="1210" w:type="dxa"/>
          </w:tcPr>
          <w:p w14:paraId="39699B37" w14:textId="77777777" w:rsidR="007F713D" w:rsidRDefault="007F713D">
            <w:pPr>
              <w:pStyle w:val="TableParagraph"/>
              <w:rPr>
                <w:sz w:val="24"/>
              </w:rPr>
            </w:pPr>
          </w:p>
          <w:p w14:paraId="23745A9C" w14:textId="77777777" w:rsidR="007F713D" w:rsidRDefault="007F713D">
            <w:pPr>
              <w:pStyle w:val="TableParagraph"/>
              <w:spacing w:before="80"/>
              <w:rPr>
                <w:sz w:val="24"/>
              </w:rPr>
            </w:pPr>
          </w:p>
          <w:p w14:paraId="41C4CD0B" w14:textId="77777777" w:rsidR="007F713D" w:rsidRDefault="00B70B8E">
            <w:pPr>
              <w:pStyle w:val="TableParagraph"/>
              <w:ind w:left="8"/>
              <w:jc w:val="center"/>
              <w:rPr>
                <w:sz w:val="24"/>
              </w:rPr>
            </w:pPr>
            <w:r>
              <w:rPr>
                <w:spacing w:val="-2"/>
                <w:sz w:val="24"/>
              </w:rPr>
              <w:t>19.47</w:t>
            </w:r>
          </w:p>
        </w:tc>
        <w:tc>
          <w:tcPr>
            <w:tcW w:w="1195" w:type="dxa"/>
          </w:tcPr>
          <w:p w14:paraId="35FAE594" w14:textId="77777777" w:rsidR="007F713D" w:rsidRDefault="007F713D">
            <w:pPr>
              <w:pStyle w:val="TableParagraph"/>
              <w:rPr>
                <w:sz w:val="24"/>
              </w:rPr>
            </w:pPr>
          </w:p>
          <w:p w14:paraId="75463CA6" w14:textId="77777777" w:rsidR="007F713D" w:rsidRDefault="007F713D">
            <w:pPr>
              <w:pStyle w:val="TableParagraph"/>
              <w:spacing w:before="80"/>
              <w:rPr>
                <w:sz w:val="24"/>
              </w:rPr>
            </w:pPr>
          </w:p>
          <w:p w14:paraId="22919D00" w14:textId="77777777" w:rsidR="007F713D" w:rsidRDefault="00B70B8E">
            <w:pPr>
              <w:pStyle w:val="TableParagraph"/>
              <w:ind w:left="11" w:right="2"/>
              <w:jc w:val="center"/>
              <w:rPr>
                <w:sz w:val="24"/>
              </w:rPr>
            </w:pPr>
            <w:r>
              <w:rPr>
                <w:spacing w:val="-2"/>
                <w:sz w:val="24"/>
              </w:rPr>
              <w:t>18.93</w:t>
            </w:r>
          </w:p>
        </w:tc>
        <w:tc>
          <w:tcPr>
            <w:tcW w:w="1200" w:type="dxa"/>
          </w:tcPr>
          <w:p w14:paraId="4740C3AB" w14:textId="77777777" w:rsidR="007F713D" w:rsidRDefault="007F713D">
            <w:pPr>
              <w:pStyle w:val="TableParagraph"/>
              <w:rPr>
                <w:sz w:val="24"/>
              </w:rPr>
            </w:pPr>
          </w:p>
          <w:p w14:paraId="1A9F5994" w14:textId="77777777" w:rsidR="007F713D" w:rsidRDefault="007F713D">
            <w:pPr>
              <w:pStyle w:val="TableParagraph"/>
              <w:spacing w:before="80"/>
              <w:rPr>
                <w:sz w:val="24"/>
              </w:rPr>
            </w:pPr>
          </w:p>
          <w:p w14:paraId="6E3C502A" w14:textId="77777777" w:rsidR="007F713D" w:rsidRDefault="00B70B8E">
            <w:pPr>
              <w:pStyle w:val="TableParagraph"/>
              <w:ind w:left="12" w:right="3"/>
              <w:jc w:val="center"/>
              <w:rPr>
                <w:sz w:val="24"/>
              </w:rPr>
            </w:pPr>
            <w:r>
              <w:rPr>
                <w:spacing w:val="-4"/>
                <w:sz w:val="24"/>
              </w:rPr>
              <w:t>6.10</w:t>
            </w:r>
          </w:p>
        </w:tc>
      </w:tr>
    </w:tbl>
    <w:p w14:paraId="7E916E58" w14:textId="77777777" w:rsidR="007F713D" w:rsidRDefault="007F713D">
      <w:pPr>
        <w:pStyle w:val="TableParagraph"/>
        <w:jc w:val="center"/>
        <w:rPr>
          <w:sz w:val="24"/>
        </w:rPr>
      </w:pPr>
    </w:p>
    <w:p w14:paraId="254A8CAF" w14:textId="77777777" w:rsidR="00AF16A8" w:rsidRPr="00AF16A8" w:rsidRDefault="00AF16A8" w:rsidP="00AF16A8"/>
    <w:p w14:paraId="078F0381" w14:textId="77777777" w:rsidR="00AF16A8" w:rsidRDefault="00AF16A8" w:rsidP="00AF16A8">
      <w:pPr>
        <w:rPr>
          <w:sz w:val="24"/>
        </w:rPr>
      </w:pPr>
    </w:p>
    <w:p w14:paraId="19F920F9" w14:textId="77777777" w:rsidR="007F713D" w:rsidRDefault="00B70B8E">
      <w:pPr>
        <w:pStyle w:val="BodyText"/>
        <w:spacing w:before="61"/>
        <w:ind w:left="1041"/>
      </w:pPr>
      <w:r>
        <w:t>Table</w:t>
      </w:r>
      <w:r>
        <w:rPr>
          <w:spacing w:val="-4"/>
        </w:rPr>
        <w:t xml:space="preserve"> </w:t>
      </w:r>
      <w:r>
        <w:t>4:</w:t>
      </w:r>
      <w:r>
        <w:rPr>
          <w:spacing w:val="-1"/>
        </w:rPr>
        <w:t xml:space="preserve"> </w:t>
      </w:r>
      <w:r>
        <w:t>Dependency</w:t>
      </w:r>
      <w:r>
        <w:rPr>
          <w:spacing w:val="-1"/>
        </w:rPr>
        <w:t xml:space="preserve"> </w:t>
      </w:r>
      <w:r>
        <w:t>of</w:t>
      </w:r>
      <w:r>
        <w:rPr>
          <w:spacing w:val="1"/>
        </w:rPr>
        <w:t xml:space="preserve"> </w:t>
      </w:r>
      <w:r>
        <w:t>X</w:t>
      </w:r>
      <w:r>
        <w:rPr>
          <w:spacing w:val="-2"/>
        </w:rPr>
        <w:t xml:space="preserve"> </w:t>
      </w:r>
      <w:r>
        <w:t>State</w:t>
      </w:r>
      <w:r>
        <w:rPr>
          <w:spacing w:val="-3"/>
        </w:rPr>
        <w:t xml:space="preserve"> </w:t>
      </w:r>
      <w:r>
        <w:t>Government for Expenditures on</w:t>
      </w:r>
      <w:r>
        <w:rPr>
          <w:spacing w:val="-1"/>
        </w:rPr>
        <w:t xml:space="preserve"> </w:t>
      </w:r>
      <w:r>
        <w:t>Central</w:t>
      </w:r>
      <w:r>
        <w:rPr>
          <w:spacing w:val="1"/>
        </w:rPr>
        <w:t xml:space="preserve"> </w:t>
      </w:r>
      <w:r>
        <w:rPr>
          <w:spacing w:val="-2"/>
        </w:rPr>
        <w:t>Transfers</w:t>
      </w:r>
    </w:p>
    <w:p w14:paraId="05729EFE" w14:textId="77777777" w:rsidR="007F713D" w:rsidRDefault="00B70B8E">
      <w:pPr>
        <w:pStyle w:val="BodyText"/>
        <w:spacing w:before="41" w:after="44"/>
        <w:ind w:left="7079"/>
      </w:pPr>
      <w:r>
        <w:t>(Figures</w:t>
      </w:r>
      <w:r>
        <w:rPr>
          <w:spacing w:val="-3"/>
        </w:rPr>
        <w:t xml:space="preserve"> </w:t>
      </w:r>
      <w:r>
        <w:t>in</w:t>
      </w:r>
      <w:r>
        <w:rPr>
          <w:spacing w:val="-2"/>
        </w:rPr>
        <w:t xml:space="preserve"> Percentages)</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3"/>
        <w:gridCol w:w="1260"/>
        <w:gridCol w:w="1196"/>
        <w:gridCol w:w="1196"/>
        <w:gridCol w:w="1209"/>
        <w:gridCol w:w="1196"/>
        <w:gridCol w:w="1196"/>
      </w:tblGrid>
      <w:tr w:rsidR="007F713D" w14:paraId="4C0869BE" w14:textId="77777777">
        <w:trPr>
          <w:trHeight w:val="316"/>
        </w:trPr>
        <w:tc>
          <w:tcPr>
            <w:tcW w:w="9846" w:type="dxa"/>
            <w:gridSpan w:val="7"/>
          </w:tcPr>
          <w:p w14:paraId="194A2209" w14:textId="77777777" w:rsidR="007F713D" w:rsidRDefault="00B70B8E">
            <w:pPr>
              <w:pStyle w:val="TableParagraph"/>
              <w:spacing w:line="275" w:lineRule="exact"/>
              <w:ind w:left="10"/>
              <w:jc w:val="center"/>
              <w:rPr>
                <w:sz w:val="24"/>
              </w:rPr>
            </w:pPr>
            <w:r>
              <w:rPr>
                <w:sz w:val="24"/>
              </w:rPr>
              <w:t>Plan</w:t>
            </w:r>
            <w:r>
              <w:rPr>
                <w:spacing w:val="-2"/>
                <w:sz w:val="24"/>
              </w:rPr>
              <w:t xml:space="preserve"> Periods</w:t>
            </w:r>
          </w:p>
        </w:tc>
      </w:tr>
      <w:tr w:rsidR="007F713D" w14:paraId="7EAE4ECF" w14:textId="77777777">
        <w:trPr>
          <w:trHeight w:val="635"/>
        </w:trPr>
        <w:tc>
          <w:tcPr>
            <w:tcW w:w="2593" w:type="dxa"/>
            <w:vMerge w:val="restart"/>
          </w:tcPr>
          <w:p w14:paraId="79CD79E2" w14:textId="77777777" w:rsidR="007F713D" w:rsidRDefault="007F713D">
            <w:pPr>
              <w:pStyle w:val="TableParagraph"/>
              <w:rPr>
                <w:sz w:val="24"/>
              </w:rPr>
            </w:pPr>
          </w:p>
          <w:p w14:paraId="5AC9C777" w14:textId="77777777" w:rsidR="007F713D" w:rsidRDefault="007F713D">
            <w:pPr>
              <w:pStyle w:val="TableParagraph"/>
              <w:spacing w:before="92"/>
              <w:rPr>
                <w:sz w:val="24"/>
              </w:rPr>
            </w:pPr>
          </w:p>
          <w:p w14:paraId="09F5FD85" w14:textId="77777777" w:rsidR="007F713D" w:rsidRDefault="00B70B8E">
            <w:pPr>
              <w:pStyle w:val="TableParagraph"/>
              <w:ind w:left="782"/>
              <w:rPr>
                <w:sz w:val="24"/>
              </w:rPr>
            </w:pPr>
            <w:r>
              <w:rPr>
                <w:spacing w:val="-2"/>
                <w:sz w:val="24"/>
              </w:rPr>
              <w:t>Particulars</w:t>
            </w:r>
          </w:p>
        </w:tc>
        <w:tc>
          <w:tcPr>
            <w:tcW w:w="1260" w:type="dxa"/>
          </w:tcPr>
          <w:p w14:paraId="3D0B9043" w14:textId="77777777" w:rsidR="007F713D" w:rsidRDefault="00B70B8E">
            <w:pPr>
              <w:pStyle w:val="TableParagraph"/>
              <w:spacing w:line="275" w:lineRule="exact"/>
              <w:ind w:left="11" w:right="3"/>
              <w:jc w:val="center"/>
              <w:rPr>
                <w:sz w:val="24"/>
              </w:rPr>
            </w:pPr>
            <w:r>
              <w:rPr>
                <w:spacing w:val="-5"/>
                <w:sz w:val="24"/>
              </w:rPr>
              <w:t>VI</w:t>
            </w:r>
          </w:p>
          <w:p w14:paraId="7FAA35F9" w14:textId="77777777" w:rsidR="007F713D" w:rsidRDefault="00B70B8E">
            <w:pPr>
              <w:pStyle w:val="TableParagraph"/>
              <w:spacing w:before="41"/>
              <w:ind w:left="11" w:right="5"/>
              <w:jc w:val="center"/>
              <w:rPr>
                <w:sz w:val="24"/>
              </w:rPr>
            </w:pPr>
            <w:r>
              <w:rPr>
                <w:spacing w:val="-4"/>
                <w:sz w:val="24"/>
              </w:rPr>
              <w:t>Plan</w:t>
            </w:r>
          </w:p>
        </w:tc>
        <w:tc>
          <w:tcPr>
            <w:tcW w:w="1196" w:type="dxa"/>
          </w:tcPr>
          <w:p w14:paraId="3FE59748" w14:textId="77777777" w:rsidR="007F713D" w:rsidRDefault="00B70B8E">
            <w:pPr>
              <w:pStyle w:val="TableParagraph"/>
              <w:spacing w:line="275" w:lineRule="exact"/>
              <w:ind w:left="8" w:right="2"/>
              <w:jc w:val="center"/>
              <w:rPr>
                <w:sz w:val="24"/>
              </w:rPr>
            </w:pPr>
            <w:r>
              <w:rPr>
                <w:spacing w:val="-5"/>
                <w:sz w:val="24"/>
              </w:rPr>
              <w:t>VII</w:t>
            </w:r>
          </w:p>
          <w:p w14:paraId="65E96884" w14:textId="77777777" w:rsidR="007F713D" w:rsidRDefault="00B70B8E">
            <w:pPr>
              <w:pStyle w:val="TableParagraph"/>
              <w:spacing w:before="41"/>
              <w:ind w:left="8"/>
              <w:jc w:val="center"/>
              <w:rPr>
                <w:sz w:val="24"/>
              </w:rPr>
            </w:pPr>
            <w:r>
              <w:rPr>
                <w:spacing w:val="-4"/>
                <w:sz w:val="24"/>
              </w:rPr>
              <w:t>Plan</w:t>
            </w:r>
          </w:p>
        </w:tc>
        <w:tc>
          <w:tcPr>
            <w:tcW w:w="1196" w:type="dxa"/>
          </w:tcPr>
          <w:p w14:paraId="465B751B" w14:textId="77777777" w:rsidR="007F713D" w:rsidRDefault="007F713D">
            <w:pPr>
              <w:pStyle w:val="TableParagraph"/>
              <w:spacing w:before="39"/>
              <w:rPr>
                <w:sz w:val="24"/>
              </w:rPr>
            </w:pPr>
          </w:p>
          <w:p w14:paraId="3DA86EE4" w14:textId="77777777" w:rsidR="007F713D" w:rsidRDefault="00B70B8E">
            <w:pPr>
              <w:pStyle w:val="TableParagraph"/>
              <w:ind w:left="8" w:right="8"/>
              <w:jc w:val="center"/>
              <w:rPr>
                <w:sz w:val="24"/>
              </w:rPr>
            </w:pPr>
            <w:r>
              <w:rPr>
                <w:spacing w:val="-5"/>
                <w:sz w:val="24"/>
              </w:rPr>
              <w:t>APS</w:t>
            </w:r>
          </w:p>
        </w:tc>
        <w:tc>
          <w:tcPr>
            <w:tcW w:w="1209" w:type="dxa"/>
          </w:tcPr>
          <w:p w14:paraId="01B2F1C1" w14:textId="77777777" w:rsidR="007F713D" w:rsidRDefault="00B70B8E">
            <w:pPr>
              <w:pStyle w:val="TableParagraph"/>
              <w:spacing w:line="275" w:lineRule="exact"/>
              <w:ind w:left="394"/>
              <w:rPr>
                <w:sz w:val="24"/>
              </w:rPr>
            </w:pPr>
            <w:r>
              <w:rPr>
                <w:spacing w:val="-4"/>
                <w:sz w:val="24"/>
              </w:rPr>
              <w:t>VIII</w:t>
            </w:r>
          </w:p>
          <w:p w14:paraId="48F1332F" w14:textId="77777777" w:rsidR="007F713D" w:rsidRDefault="00B70B8E">
            <w:pPr>
              <w:pStyle w:val="TableParagraph"/>
              <w:spacing w:before="41"/>
              <w:ind w:left="386"/>
              <w:rPr>
                <w:sz w:val="24"/>
              </w:rPr>
            </w:pPr>
            <w:r>
              <w:rPr>
                <w:spacing w:val="-4"/>
                <w:sz w:val="24"/>
              </w:rPr>
              <w:t>Plan</w:t>
            </w:r>
          </w:p>
        </w:tc>
        <w:tc>
          <w:tcPr>
            <w:tcW w:w="1196" w:type="dxa"/>
          </w:tcPr>
          <w:p w14:paraId="68456326" w14:textId="77777777" w:rsidR="007F713D" w:rsidRDefault="00B70B8E">
            <w:pPr>
              <w:pStyle w:val="TableParagraph"/>
              <w:spacing w:line="275" w:lineRule="exact"/>
              <w:ind w:left="8" w:right="8"/>
              <w:jc w:val="center"/>
              <w:rPr>
                <w:sz w:val="24"/>
              </w:rPr>
            </w:pPr>
            <w:r>
              <w:rPr>
                <w:spacing w:val="-5"/>
                <w:sz w:val="24"/>
              </w:rPr>
              <w:t>IX</w:t>
            </w:r>
          </w:p>
          <w:p w14:paraId="48F987D0" w14:textId="77777777" w:rsidR="007F713D" w:rsidRDefault="00B70B8E">
            <w:pPr>
              <w:pStyle w:val="TableParagraph"/>
              <w:spacing w:before="41"/>
              <w:ind w:left="8" w:right="5"/>
              <w:jc w:val="center"/>
              <w:rPr>
                <w:sz w:val="24"/>
              </w:rPr>
            </w:pPr>
            <w:r>
              <w:rPr>
                <w:spacing w:val="-4"/>
                <w:sz w:val="24"/>
              </w:rPr>
              <w:t>Plan</w:t>
            </w:r>
          </w:p>
        </w:tc>
        <w:tc>
          <w:tcPr>
            <w:tcW w:w="1196" w:type="dxa"/>
          </w:tcPr>
          <w:p w14:paraId="27DC1CB1" w14:textId="77777777" w:rsidR="007F713D" w:rsidRDefault="00B70B8E">
            <w:pPr>
              <w:pStyle w:val="TableParagraph"/>
              <w:spacing w:line="275" w:lineRule="exact"/>
              <w:ind w:left="8" w:right="7"/>
              <w:jc w:val="center"/>
              <w:rPr>
                <w:sz w:val="24"/>
              </w:rPr>
            </w:pPr>
            <w:r>
              <w:rPr>
                <w:spacing w:val="-10"/>
                <w:sz w:val="24"/>
              </w:rPr>
              <w:t>X</w:t>
            </w:r>
          </w:p>
          <w:p w14:paraId="42457BE1" w14:textId="77777777" w:rsidR="007F713D" w:rsidRDefault="00B70B8E">
            <w:pPr>
              <w:pStyle w:val="TableParagraph"/>
              <w:spacing w:before="41"/>
              <w:ind w:left="8" w:right="7"/>
              <w:jc w:val="center"/>
              <w:rPr>
                <w:sz w:val="24"/>
              </w:rPr>
            </w:pPr>
            <w:r>
              <w:rPr>
                <w:spacing w:val="-4"/>
                <w:sz w:val="24"/>
              </w:rPr>
              <w:t>Plan</w:t>
            </w:r>
          </w:p>
        </w:tc>
      </w:tr>
      <w:tr w:rsidR="007F713D" w14:paraId="4ADDEC3F" w14:textId="77777777">
        <w:trPr>
          <w:trHeight w:val="316"/>
        </w:trPr>
        <w:tc>
          <w:tcPr>
            <w:tcW w:w="2593" w:type="dxa"/>
            <w:vMerge/>
            <w:tcBorders>
              <w:top w:val="nil"/>
            </w:tcBorders>
          </w:tcPr>
          <w:p w14:paraId="001266DF" w14:textId="77777777" w:rsidR="007F713D" w:rsidRDefault="007F713D">
            <w:pPr>
              <w:rPr>
                <w:sz w:val="2"/>
                <w:szCs w:val="2"/>
              </w:rPr>
            </w:pPr>
          </w:p>
        </w:tc>
        <w:tc>
          <w:tcPr>
            <w:tcW w:w="1260" w:type="dxa"/>
          </w:tcPr>
          <w:p w14:paraId="5D011C4D" w14:textId="77777777" w:rsidR="007F713D" w:rsidRDefault="00B70B8E">
            <w:pPr>
              <w:pStyle w:val="TableParagraph"/>
              <w:spacing w:line="275" w:lineRule="exact"/>
              <w:ind w:left="11" w:right="7"/>
              <w:jc w:val="center"/>
              <w:rPr>
                <w:sz w:val="24"/>
              </w:rPr>
            </w:pPr>
            <w:r>
              <w:rPr>
                <w:spacing w:val="-2"/>
                <w:sz w:val="24"/>
              </w:rPr>
              <w:t>(1980-</w:t>
            </w:r>
            <w:r>
              <w:rPr>
                <w:spacing w:val="-5"/>
                <w:sz w:val="24"/>
              </w:rPr>
              <w:t>85)</w:t>
            </w:r>
          </w:p>
        </w:tc>
        <w:tc>
          <w:tcPr>
            <w:tcW w:w="1196" w:type="dxa"/>
          </w:tcPr>
          <w:p w14:paraId="0EA7A505" w14:textId="77777777" w:rsidR="007F713D" w:rsidRDefault="00B70B8E">
            <w:pPr>
              <w:pStyle w:val="TableParagraph"/>
              <w:spacing w:line="275" w:lineRule="exact"/>
              <w:ind w:left="8" w:right="2"/>
              <w:jc w:val="center"/>
              <w:rPr>
                <w:sz w:val="24"/>
              </w:rPr>
            </w:pPr>
            <w:r>
              <w:rPr>
                <w:spacing w:val="-2"/>
                <w:sz w:val="24"/>
              </w:rPr>
              <w:t>(1985-</w:t>
            </w:r>
            <w:r>
              <w:rPr>
                <w:spacing w:val="-5"/>
                <w:sz w:val="24"/>
              </w:rPr>
              <w:t>90)</w:t>
            </w:r>
          </w:p>
        </w:tc>
        <w:tc>
          <w:tcPr>
            <w:tcW w:w="1196" w:type="dxa"/>
          </w:tcPr>
          <w:p w14:paraId="50727945" w14:textId="77777777" w:rsidR="007F713D" w:rsidRDefault="00B70B8E">
            <w:pPr>
              <w:pStyle w:val="TableParagraph"/>
              <w:spacing w:line="275" w:lineRule="exact"/>
              <w:ind w:left="8" w:right="8"/>
              <w:jc w:val="center"/>
              <w:rPr>
                <w:sz w:val="24"/>
              </w:rPr>
            </w:pPr>
            <w:r>
              <w:rPr>
                <w:spacing w:val="-2"/>
                <w:sz w:val="24"/>
              </w:rPr>
              <w:t>(1990-</w:t>
            </w:r>
            <w:r>
              <w:rPr>
                <w:spacing w:val="-5"/>
                <w:sz w:val="24"/>
              </w:rPr>
              <w:t>92)</w:t>
            </w:r>
          </w:p>
        </w:tc>
        <w:tc>
          <w:tcPr>
            <w:tcW w:w="1209" w:type="dxa"/>
          </w:tcPr>
          <w:p w14:paraId="52A33EB5" w14:textId="77777777" w:rsidR="007F713D" w:rsidRDefault="00B70B8E">
            <w:pPr>
              <w:pStyle w:val="TableParagraph"/>
              <w:spacing w:line="275" w:lineRule="exact"/>
              <w:jc w:val="center"/>
              <w:rPr>
                <w:sz w:val="24"/>
              </w:rPr>
            </w:pPr>
            <w:r>
              <w:rPr>
                <w:spacing w:val="-2"/>
                <w:sz w:val="24"/>
              </w:rPr>
              <w:t>(1992-</w:t>
            </w:r>
            <w:r>
              <w:rPr>
                <w:spacing w:val="-5"/>
                <w:sz w:val="24"/>
              </w:rPr>
              <w:t>97)</w:t>
            </w:r>
          </w:p>
        </w:tc>
        <w:tc>
          <w:tcPr>
            <w:tcW w:w="1196" w:type="dxa"/>
          </w:tcPr>
          <w:p w14:paraId="5BA97C25" w14:textId="77777777" w:rsidR="007F713D" w:rsidRDefault="00B70B8E">
            <w:pPr>
              <w:pStyle w:val="TableParagraph"/>
              <w:spacing w:line="275" w:lineRule="exact"/>
              <w:ind w:left="8" w:right="7"/>
              <w:jc w:val="center"/>
              <w:rPr>
                <w:sz w:val="24"/>
              </w:rPr>
            </w:pPr>
            <w:r>
              <w:rPr>
                <w:spacing w:val="-2"/>
                <w:sz w:val="24"/>
              </w:rPr>
              <w:t>(1997-</w:t>
            </w:r>
            <w:r>
              <w:rPr>
                <w:spacing w:val="-5"/>
                <w:sz w:val="24"/>
              </w:rPr>
              <w:t>02)</w:t>
            </w:r>
          </w:p>
        </w:tc>
        <w:tc>
          <w:tcPr>
            <w:tcW w:w="1196" w:type="dxa"/>
          </w:tcPr>
          <w:p w14:paraId="100C81D8" w14:textId="77777777" w:rsidR="007F713D" w:rsidRDefault="00B70B8E">
            <w:pPr>
              <w:pStyle w:val="TableParagraph"/>
              <w:spacing w:line="275" w:lineRule="exact"/>
              <w:ind w:left="8" w:right="8"/>
              <w:jc w:val="center"/>
              <w:rPr>
                <w:sz w:val="24"/>
              </w:rPr>
            </w:pPr>
            <w:r>
              <w:rPr>
                <w:spacing w:val="-2"/>
                <w:sz w:val="24"/>
              </w:rPr>
              <w:t>(2002-</w:t>
            </w:r>
            <w:r>
              <w:rPr>
                <w:spacing w:val="-5"/>
                <w:sz w:val="24"/>
              </w:rPr>
              <w:t>07)</w:t>
            </w:r>
          </w:p>
        </w:tc>
      </w:tr>
      <w:tr w:rsidR="007F713D" w14:paraId="2BCA603A" w14:textId="77777777">
        <w:trPr>
          <w:trHeight w:val="953"/>
        </w:trPr>
        <w:tc>
          <w:tcPr>
            <w:tcW w:w="2593" w:type="dxa"/>
          </w:tcPr>
          <w:p w14:paraId="3EBD103E" w14:textId="77777777" w:rsidR="007F713D" w:rsidRDefault="00B70B8E">
            <w:pPr>
              <w:pStyle w:val="TableParagraph"/>
              <w:spacing w:line="275" w:lineRule="exact"/>
              <w:ind w:left="107"/>
              <w:rPr>
                <w:sz w:val="24"/>
              </w:rPr>
            </w:pPr>
            <w:r>
              <w:rPr>
                <w:sz w:val="24"/>
              </w:rPr>
              <w:t>Revenue</w:t>
            </w:r>
            <w:r>
              <w:rPr>
                <w:spacing w:val="-3"/>
                <w:sz w:val="24"/>
              </w:rPr>
              <w:t xml:space="preserve"> </w:t>
            </w:r>
            <w:r>
              <w:rPr>
                <w:sz w:val="24"/>
              </w:rPr>
              <w:t>Transfers</w:t>
            </w:r>
            <w:r>
              <w:rPr>
                <w:spacing w:val="-1"/>
                <w:sz w:val="24"/>
              </w:rPr>
              <w:t xml:space="preserve"> </w:t>
            </w:r>
            <w:r>
              <w:rPr>
                <w:sz w:val="24"/>
              </w:rPr>
              <w:t>as</w:t>
            </w:r>
            <w:r>
              <w:rPr>
                <w:spacing w:val="-1"/>
                <w:sz w:val="24"/>
              </w:rPr>
              <w:t xml:space="preserve"> </w:t>
            </w:r>
            <w:r>
              <w:rPr>
                <w:spacing w:val="-10"/>
                <w:sz w:val="24"/>
              </w:rPr>
              <w:t>a</w:t>
            </w:r>
          </w:p>
          <w:p w14:paraId="7624EED1" w14:textId="77777777" w:rsidR="007F713D" w:rsidRDefault="00B70B8E">
            <w:pPr>
              <w:pStyle w:val="TableParagraph"/>
              <w:spacing w:before="9" w:line="310" w:lineRule="atLeast"/>
              <w:ind w:left="107" w:right="146"/>
              <w:rPr>
                <w:sz w:val="24"/>
              </w:rPr>
            </w:pPr>
            <w:r>
              <w:rPr>
                <w:sz w:val="24"/>
              </w:rPr>
              <w:t>Percentage of Revenue Expenditure</w:t>
            </w:r>
            <w:r>
              <w:rPr>
                <w:spacing w:val="-3"/>
                <w:sz w:val="24"/>
              </w:rPr>
              <w:t xml:space="preserve"> </w:t>
            </w:r>
            <w:r>
              <w:rPr>
                <w:sz w:val="24"/>
              </w:rPr>
              <w:t>of</w:t>
            </w:r>
            <w:r>
              <w:rPr>
                <w:spacing w:val="-1"/>
                <w:sz w:val="24"/>
              </w:rPr>
              <w:t xml:space="preserve"> </w:t>
            </w:r>
            <w:r>
              <w:rPr>
                <w:sz w:val="24"/>
              </w:rPr>
              <w:t>the</w:t>
            </w:r>
            <w:r>
              <w:rPr>
                <w:spacing w:val="-2"/>
                <w:sz w:val="24"/>
              </w:rPr>
              <w:t xml:space="preserve"> State</w:t>
            </w:r>
          </w:p>
        </w:tc>
        <w:tc>
          <w:tcPr>
            <w:tcW w:w="1260" w:type="dxa"/>
          </w:tcPr>
          <w:p w14:paraId="01EAAF08" w14:textId="77777777" w:rsidR="007F713D" w:rsidRDefault="007F713D">
            <w:pPr>
              <w:pStyle w:val="TableParagraph"/>
              <w:rPr>
                <w:sz w:val="24"/>
              </w:rPr>
            </w:pPr>
          </w:p>
          <w:p w14:paraId="234976FD" w14:textId="77777777" w:rsidR="007F713D" w:rsidRDefault="007F713D">
            <w:pPr>
              <w:pStyle w:val="TableParagraph"/>
              <w:spacing w:before="82"/>
              <w:rPr>
                <w:sz w:val="24"/>
              </w:rPr>
            </w:pPr>
          </w:p>
          <w:p w14:paraId="54667A6A" w14:textId="77777777" w:rsidR="007F713D" w:rsidRDefault="00B70B8E">
            <w:pPr>
              <w:pStyle w:val="TableParagraph"/>
              <w:spacing w:before="1"/>
              <w:ind w:left="11" w:right="3"/>
              <w:jc w:val="center"/>
              <w:rPr>
                <w:sz w:val="24"/>
              </w:rPr>
            </w:pPr>
            <w:r>
              <w:rPr>
                <w:spacing w:val="-2"/>
                <w:sz w:val="24"/>
              </w:rPr>
              <w:t>25.23</w:t>
            </w:r>
          </w:p>
        </w:tc>
        <w:tc>
          <w:tcPr>
            <w:tcW w:w="1196" w:type="dxa"/>
          </w:tcPr>
          <w:p w14:paraId="7A730F51" w14:textId="77777777" w:rsidR="007F713D" w:rsidRDefault="007F713D">
            <w:pPr>
              <w:pStyle w:val="TableParagraph"/>
              <w:rPr>
                <w:sz w:val="24"/>
              </w:rPr>
            </w:pPr>
          </w:p>
          <w:p w14:paraId="2B1F9C53" w14:textId="77777777" w:rsidR="007F713D" w:rsidRDefault="007F713D">
            <w:pPr>
              <w:pStyle w:val="TableParagraph"/>
              <w:spacing w:before="82"/>
              <w:rPr>
                <w:sz w:val="24"/>
              </w:rPr>
            </w:pPr>
          </w:p>
          <w:p w14:paraId="76BCE667" w14:textId="77777777" w:rsidR="007F713D" w:rsidRDefault="00B70B8E">
            <w:pPr>
              <w:pStyle w:val="TableParagraph"/>
              <w:spacing w:before="1"/>
              <w:ind w:left="8" w:right="3"/>
              <w:jc w:val="center"/>
              <w:rPr>
                <w:sz w:val="24"/>
              </w:rPr>
            </w:pPr>
            <w:r>
              <w:rPr>
                <w:spacing w:val="-2"/>
                <w:sz w:val="24"/>
              </w:rPr>
              <w:t>22.29</w:t>
            </w:r>
          </w:p>
        </w:tc>
        <w:tc>
          <w:tcPr>
            <w:tcW w:w="1196" w:type="dxa"/>
          </w:tcPr>
          <w:p w14:paraId="47DFFDD8" w14:textId="77777777" w:rsidR="007F713D" w:rsidRDefault="007F713D">
            <w:pPr>
              <w:pStyle w:val="TableParagraph"/>
              <w:rPr>
                <w:sz w:val="24"/>
              </w:rPr>
            </w:pPr>
          </w:p>
          <w:p w14:paraId="771A2E31" w14:textId="77777777" w:rsidR="007F713D" w:rsidRDefault="007F713D">
            <w:pPr>
              <w:pStyle w:val="TableParagraph"/>
              <w:spacing w:before="82"/>
              <w:rPr>
                <w:sz w:val="24"/>
              </w:rPr>
            </w:pPr>
          </w:p>
          <w:p w14:paraId="426B0F21" w14:textId="77777777" w:rsidR="007F713D" w:rsidRDefault="00B70B8E">
            <w:pPr>
              <w:pStyle w:val="TableParagraph"/>
              <w:spacing w:before="1"/>
              <w:ind w:left="8" w:right="8"/>
              <w:jc w:val="center"/>
              <w:rPr>
                <w:sz w:val="24"/>
              </w:rPr>
            </w:pPr>
            <w:r>
              <w:rPr>
                <w:spacing w:val="-2"/>
                <w:sz w:val="24"/>
              </w:rPr>
              <w:t>15.39</w:t>
            </w:r>
          </w:p>
        </w:tc>
        <w:tc>
          <w:tcPr>
            <w:tcW w:w="1209" w:type="dxa"/>
          </w:tcPr>
          <w:p w14:paraId="20302C3F" w14:textId="77777777" w:rsidR="007F713D" w:rsidRDefault="007F713D">
            <w:pPr>
              <w:pStyle w:val="TableParagraph"/>
              <w:rPr>
                <w:sz w:val="24"/>
              </w:rPr>
            </w:pPr>
          </w:p>
          <w:p w14:paraId="731E3CC2" w14:textId="77777777" w:rsidR="007F713D" w:rsidRDefault="007F713D">
            <w:pPr>
              <w:pStyle w:val="TableParagraph"/>
              <w:spacing w:before="82"/>
              <w:rPr>
                <w:sz w:val="24"/>
              </w:rPr>
            </w:pPr>
          </w:p>
          <w:p w14:paraId="6A0DD071" w14:textId="77777777" w:rsidR="007F713D" w:rsidRDefault="00B70B8E">
            <w:pPr>
              <w:pStyle w:val="TableParagraph"/>
              <w:spacing w:before="1"/>
              <w:jc w:val="center"/>
              <w:rPr>
                <w:sz w:val="24"/>
              </w:rPr>
            </w:pPr>
            <w:r>
              <w:rPr>
                <w:spacing w:val="-2"/>
                <w:sz w:val="24"/>
              </w:rPr>
              <w:t>18.64</w:t>
            </w:r>
          </w:p>
        </w:tc>
        <w:tc>
          <w:tcPr>
            <w:tcW w:w="1196" w:type="dxa"/>
          </w:tcPr>
          <w:p w14:paraId="2F026388" w14:textId="77777777" w:rsidR="007F713D" w:rsidRDefault="007F713D">
            <w:pPr>
              <w:pStyle w:val="TableParagraph"/>
              <w:rPr>
                <w:sz w:val="24"/>
              </w:rPr>
            </w:pPr>
          </w:p>
          <w:p w14:paraId="09B12224" w14:textId="77777777" w:rsidR="007F713D" w:rsidRDefault="007F713D">
            <w:pPr>
              <w:pStyle w:val="TableParagraph"/>
              <w:spacing w:before="82"/>
              <w:rPr>
                <w:sz w:val="24"/>
              </w:rPr>
            </w:pPr>
          </w:p>
          <w:p w14:paraId="6B77685C" w14:textId="77777777" w:rsidR="007F713D" w:rsidRDefault="00B70B8E">
            <w:pPr>
              <w:pStyle w:val="TableParagraph"/>
              <w:spacing w:before="1"/>
              <w:ind w:left="8" w:right="8"/>
              <w:jc w:val="center"/>
              <w:rPr>
                <w:sz w:val="24"/>
              </w:rPr>
            </w:pPr>
            <w:r>
              <w:rPr>
                <w:spacing w:val="-2"/>
                <w:sz w:val="24"/>
              </w:rPr>
              <w:t>13.49</w:t>
            </w:r>
          </w:p>
        </w:tc>
        <w:tc>
          <w:tcPr>
            <w:tcW w:w="1196" w:type="dxa"/>
          </w:tcPr>
          <w:p w14:paraId="5EEB94D8" w14:textId="77777777" w:rsidR="007F713D" w:rsidRDefault="007F713D">
            <w:pPr>
              <w:pStyle w:val="TableParagraph"/>
              <w:rPr>
                <w:sz w:val="24"/>
              </w:rPr>
            </w:pPr>
          </w:p>
          <w:p w14:paraId="0EBA1364" w14:textId="77777777" w:rsidR="007F713D" w:rsidRDefault="007F713D">
            <w:pPr>
              <w:pStyle w:val="TableParagraph"/>
              <w:spacing w:before="82"/>
              <w:rPr>
                <w:sz w:val="24"/>
              </w:rPr>
            </w:pPr>
          </w:p>
          <w:p w14:paraId="13868C8B" w14:textId="77777777" w:rsidR="007F713D" w:rsidRDefault="00B70B8E">
            <w:pPr>
              <w:pStyle w:val="TableParagraph"/>
              <w:spacing w:before="1"/>
              <w:ind w:left="8" w:right="8"/>
              <w:jc w:val="center"/>
              <w:rPr>
                <w:sz w:val="24"/>
              </w:rPr>
            </w:pPr>
            <w:r>
              <w:rPr>
                <w:spacing w:val="-2"/>
                <w:sz w:val="24"/>
              </w:rPr>
              <w:t>14.91</w:t>
            </w:r>
          </w:p>
        </w:tc>
      </w:tr>
      <w:tr w:rsidR="007F713D" w14:paraId="5F5E57F1" w14:textId="77777777">
        <w:trPr>
          <w:trHeight w:val="1269"/>
        </w:trPr>
        <w:tc>
          <w:tcPr>
            <w:tcW w:w="2593" w:type="dxa"/>
          </w:tcPr>
          <w:p w14:paraId="0DDA5F99" w14:textId="77777777" w:rsidR="007F713D" w:rsidRDefault="00B70B8E">
            <w:pPr>
              <w:pStyle w:val="TableParagraph"/>
              <w:spacing w:line="276" w:lineRule="auto"/>
              <w:ind w:left="107" w:right="700"/>
              <w:rPr>
                <w:sz w:val="24"/>
              </w:rPr>
            </w:pPr>
            <w:r>
              <w:rPr>
                <w:sz w:val="24"/>
              </w:rPr>
              <w:t>Loan</w:t>
            </w:r>
            <w:r>
              <w:rPr>
                <w:spacing w:val="-15"/>
                <w:sz w:val="24"/>
              </w:rPr>
              <w:t xml:space="preserve"> </w:t>
            </w:r>
            <w:r>
              <w:rPr>
                <w:sz w:val="24"/>
              </w:rPr>
              <w:t>Transfers</w:t>
            </w:r>
            <w:r>
              <w:rPr>
                <w:spacing w:val="-15"/>
                <w:sz w:val="24"/>
              </w:rPr>
              <w:t xml:space="preserve"> </w:t>
            </w:r>
            <w:r>
              <w:rPr>
                <w:sz w:val="24"/>
              </w:rPr>
              <w:t>as a Percentage of</w:t>
            </w:r>
          </w:p>
          <w:p w14:paraId="0D9231D9" w14:textId="77777777" w:rsidR="007F713D" w:rsidRDefault="00B70B8E">
            <w:pPr>
              <w:pStyle w:val="TableParagraph"/>
              <w:ind w:left="107"/>
              <w:rPr>
                <w:sz w:val="24"/>
              </w:rPr>
            </w:pPr>
            <w:r>
              <w:rPr>
                <w:sz w:val="24"/>
              </w:rPr>
              <w:t>Capital</w:t>
            </w:r>
            <w:r>
              <w:rPr>
                <w:spacing w:val="-2"/>
                <w:sz w:val="24"/>
              </w:rPr>
              <w:t xml:space="preserve"> </w:t>
            </w:r>
            <w:r>
              <w:rPr>
                <w:sz w:val="24"/>
              </w:rPr>
              <w:t>Expenditure</w:t>
            </w:r>
            <w:r>
              <w:rPr>
                <w:spacing w:val="-3"/>
                <w:sz w:val="24"/>
              </w:rPr>
              <w:t xml:space="preserve"> </w:t>
            </w:r>
            <w:r>
              <w:rPr>
                <w:spacing w:val="-5"/>
                <w:sz w:val="24"/>
              </w:rPr>
              <w:t>of</w:t>
            </w:r>
          </w:p>
          <w:p w14:paraId="3C8F0D53" w14:textId="77777777" w:rsidR="007F713D" w:rsidRDefault="00B70B8E">
            <w:pPr>
              <w:pStyle w:val="TableParagraph"/>
              <w:spacing w:before="41"/>
              <w:ind w:left="107"/>
              <w:rPr>
                <w:sz w:val="24"/>
              </w:rPr>
            </w:pPr>
            <w:r>
              <w:rPr>
                <w:sz w:val="24"/>
              </w:rPr>
              <w:t xml:space="preserve">the </w:t>
            </w:r>
            <w:r>
              <w:rPr>
                <w:spacing w:val="-2"/>
                <w:sz w:val="24"/>
              </w:rPr>
              <w:t>state</w:t>
            </w:r>
          </w:p>
        </w:tc>
        <w:tc>
          <w:tcPr>
            <w:tcW w:w="1260" w:type="dxa"/>
          </w:tcPr>
          <w:p w14:paraId="56FF0B88" w14:textId="77777777" w:rsidR="007F713D" w:rsidRDefault="007F713D">
            <w:pPr>
              <w:pStyle w:val="TableParagraph"/>
              <w:rPr>
                <w:sz w:val="24"/>
              </w:rPr>
            </w:pPr>
          </w:p>
          <w:p w14:paraId="116A4D35" w14:textId="77777777" w:rsidR="007F713D" w:rsidRDefault="007F713D">
            <w:pPr>
              <w:pStyle w:val="TableParagraph"/>
              <w:rPr>
                <w:sz w:val="24"/>
              </w:rPr>
            </w:pPr>
          </w:p>
          <w:p w14:paraId="362093D7" w14:textId="77777777" w:rsidR="007F713D" w:rsidRDefault="007F713D">
            <w:pPr>
              <w:pStyle w:val="TableParagraph"/>
              <w:spacing w:before="123"/>
              <w:rPr>
                <w:sz w:val="24"/>
              </w:rPr>
            </w:pPr>
          </w:p>
          <w:p w14:paraId="1AD471AE" w14:textId="77777777" w:rsidR="007F713D" w:rsidRDefault="00B70B8E">
            <w:pPr>
              <w:pStyle w:val="TableParagraph"/>
              <w:spacing w:before="1"/>
              <w:ind w:left="11" w:right="3"/>
              <w:jc w:val="center"/>
              <w:rPr>
                <w:sz w:val="24"/>
              </w:rPr>
            </w:pPr>
            <w:r>
              <w:rPr>
                <w:spacing w:val="-2"/>
                <w:sz w:val="24"/>
              </w:rPr>
              <w:t>36.00</w:t>
            </w:r>
          </w:p>
        </w:tc>
        <w:tc>
          <w:tcPr>
            <w:tcW w:w="1196" w:type="dxa"/>
          </w:tcPr>
          <w:p w14:paraId="6319DA21" w14:textId="77777777" w:rsidR="007F713D" w:rsidRDefault="007F713D">
            <w:pPr>
              <w:pStyle w:val="TableParagraph"/>
              <w:rPr>
                <w:sz w:val="24"/>
              </w:rPr>
            </w:pPr>
          </w:p>
          <w:p w14:paraId="71D20D7C" w14:textId="77777777" w:rsidR="007F713D" w:rsidRDefault="007F713D">
            <w:pPr>
              <w:pStyle w:val="TableParagraph"/>
              <w:rPr>
                <w:sz w:val="24"/>
              </w:rPr>
            </w:pPr>
          </w:p>
          <w:p w14:paraId="225C44A9" w14:textId="77777777" w:rsidR="007F713D" w:rsidRDefault="007F713D">
            <w:pPr>
              <w:pStyle w:val="TableParagraph"/>
              <w:spacing w:before="123"/>
              <w:rPr>
                <w:sz w:val="24"/>
              </w:rPr>
            </w:pPr>
          </w:p>
          <w:p w14:paraId="48C2CF8D" w14:textId="77777777" w:rsidR="007F713D" w:rsidRDefault="00B70B8E">
            <w:pPr>
              <w:pStyle w:val="TableParagraph"/>
              <w:spacing w:before="1"/>
              <w:ind w:left="8" w:right="3"/>
              <w:jc w:val="center"/>
              <w:rPr>
                <w:sz w:val="24"/>
              </w:rPr>
            </w:pPr>
            <w:r>
              <w:rPr>
                <w:spacing w:val="-2"/>
                <w:sz w:val="24"/>
              </w:rPr>
              <w:t>58.44</w:t>
            </w:r>
          </w:p>
        </w:tc>
        <w:tc>
          <w:tcPr>
            <w:tcW w:w="1196" w:type="dxa"/>
          </w:tcPr>
          <w:p w14:paraId="74A12AFD" w14:textId="77777777" w:rsidR="007F713D" w:rsidRDefault="007F713D">
            <w:pPr>
              <w:pStyle w:val="TableParagraph"/>
              <w:rPr>
                <w:sz w:val="24"/>
              </w:rPr>
            </w:pPr>
          </w:p>
          <w:p w14:paraId="65FB12C9" w14:textId="77777777" w:rsidR="007F713D" w:rsidRDefault="007F713D">
            <w:pPr>
              <w:pStyle w:val="TableParagraph"/>
              <w:rPr>
                <w:sz w:val="24"/>
              </w:rPr>
            </w:pPr>
          </w:p>
          <w:p w14:paraId="6C0C91FE" w14:textId="77777777" w:rsidR="007F713D" w:rsidRDefault="007F713D">
            <w:pPr>
              <w:pStyle w:val="TableParagraph"/>
              <w:spacing w:before="123"/>
              <w:rPr>
                <w:sz w:val="24"/>
              </w:rPr>
            </w:pPr>
          </w:p>
          <w:p w14:paraId="3949A978" w14:textId="77777777" w:rsidR="007F713D" w:rsidRDefault="00B70B8E">
            <w:pPr>
              <w:pStyle w:val="TableParagraph"/>
              <w:spacing w:before="1"/>
              <w:ind w:left="8" w:right="8"/>
              <w:jc w:val="center"/>
              <w:rPr>
                <w:sz w:val="24"/>
              </w:rPr>
            </w:pPr>
            <w:r>
              <w:rPr>
                <w:spacing w:val="-2"/>
                <w:sz w:val="24"/>
              </w:rPr>
              <w:t>52.47</w:t>
            </w:r>
          </w:p>
        </w:tc>
        <w:tc>
          <w:tcPr>
            <w:tcW w:w="1209" w:type="dxa"/>
          </w:tcPr>
          <w:p w14:paraId="59F74585" w14:textId="77777777" w:rsidR="007F713D" w:rsidRDefault="007F713D">
            <w:pPr>
              <w:pStyle w:val="TableParagraph"/>
              <w:rPr>
                <w:sz w:val="24"/>
              </w:rPr>
            </w:pPr>
          </w:p>
          <w:p w14:paraId="7E32F2DA" w14:textId="77777777" w:rsidR="007F713D" w:rsidRDefault="007F713D">
            <w:pPr>
              <w:pStyle w:val="TableParagraph"/>
              <w:rPr>
                <w:sz w:val="24"/>
              </w:rPr>
            </w:pPr>
          </w:p>
          <w:p w14:paraId="039B98D9" w14:textId="77777777" w:rsidR="007F713D" w:rsidRDefault="007F713D">
            <w:pPr>
              <w:pStyle w:val="TableParagraph"/>
              <w:spacing w:before="123"/>
              <w:rPr>
                <w:sz w:val="24"/>
              </w:rPr>
            </w:pPr>
          </w:p>
          <w:p w14:paraId="034375DB" w14:textId="77777777" w:rsidR="007F713D" w:rsidRDefault="00B70B8E">
            <w:pPr>
              <w:pStyle w:val="TableParagraph"/>
              <w:spacing w:before="1"/>
              <w:jc w:val="center"/>
              <w:rPr>
                <w:sz w:val="24"/>
              </w:rPr>
            </w:pPr>
            <w:r>
              <w:rPr>
                <w:spacing w:val="-2"/>
                <w:sz w:val="24"/>
              </w:rPr>
              <w:t>62.27</w:t>
            </w:r>
          </w:p>
        </w:tc>
        <w:tc>
          <w:tcPr>
            <w:tcW w:w="1196" w:type="dxa"/>
          </w:tcPr>
          <w:p w14:paraId="4E0D0ECD" w14:textId="77777777" w:rsidR="007F713D" w:rsidRDefault="007F713D">
            <w:pPr>
              <w:pStyle w:val="TableParagraph"/>
              <w:rPr>
                <w:sz w:val="24"/>
              </w:rPr>
            </w:pPr>
          </w:p>
          <w:p w14:paraId="65FDA9D0" w14:textId="77777777" w:rsidR="007F713D" w:rsidRDefault="007F713D">
            <w:pPr>
              <w:pStyle w:val="TableParagraph"/>
              <w:rPr>
                <w:sz w:val="24"/>
              </w:rPr>
            </w:pPr>
          </w:p>
          <w:p w14:paraId="4F686B26" w14:textId="77777777" w:rsidR="007F713D" w:rsidRDefault="007F713D">
            <w:pPr>
              <w:pStyle w:val="TableParagraph"/>
              <w:spacing w:before="123"/>
              <w:rPr>
                <w:sz w:val="24"/>
              </w:rPr>
            </w:pPr>
          </w:p>
          <w:p w14:paraId="73E381CB" w14:textId="77777777" w:rsidR="007F713D" w:rsidRDefault="00B70B8E">
            <w:pPr>
              <w:pStyle w:val="TableParagraph"/>
              <w:spacing w:before="1"/>
              <w:ind w:left="8" w:right="8"/>
              <w:jc w:val="center"/>
              <w:rPr>
                <w:sz w:val="24"/>
              </w:rPr>
            </w:pPr>
            <w:r>
              <w:rPr>
                <w:spacing w:val="-2"/>
                <w:sz w:val="24"/>
              </w:rPr>
              <w:t>34.85</w:t>
            </w:r>
          </w:p>
        </w:tc>
        <w:tc>
          <w:tcPr>
            <w:tcW w:w="1196" w:type="dxa"/>
          </w:tcPr>
          <w:p w14:paraId="79F745A6" w14:textId="77777777" w:rsidR="007F713D" w:rsidRDefault="007F713D">
            <w:pPr>
              <w:pStyle w:val="TableParagraph"/>
              <w:rPr>
                <w:sz w:val="24"/>
              </w:rPr>
            </w:pPr>
          </w:p>
          <w:p w14:paraId="1E37E9B8" w14:textId="77777777" w:rsidR="007F713D" w:rsidRDefault="007F713D">
            <w:pPr>
              <w:pStyle w:val="TableParagraph"/>
              <w:rPr>
                <w:sz w:val="24"/>
              </w:rPr>
            </w:pPr>
          </w:p>
          <w:p w14:paraId="620DE76C" w14:textId="77777777" w:rsidR="007F713D" w:rsidRDefault="007F713D">
            <w:pPr>
              <w:pStyle w:val="TableParagraph"/>
              <w:spacing w:before="123"/>
              <w:rPr>
                <w:sz w:val="24"/>
              </w:rPr>
            </w:pPr>
          </w:p>
          <w:p w14:paraId="4A74012F" w14:textId="77777777" w:rsidR="007F713D" w:rsidRDefault="00B70B8E">
            <w:pPr>
              <w:pStyle w:val="TableParagraph"/>
              <w:spacing w:before="1"/>
              <w:ind w:left="8" w:right="8"/>
              <w:jc w:val="center"/>
              <w:rPr>
                <w:sz w:val="24"/>
              </w:rPr>
            </w:pPr>
            <w:r>
              <w:rPr>
                <w:spacing w:val="-4"/>
                <w:sz w:val="24"/>
              </w:rPr>
              <w:t>8.29</w:t>
            </w:r>
          </w:p>
        </w:tc>
      </w:tr>
      <w:tr w:rsidR="007F713D" w14:paraId="25FF74A5" w14:textId="77777777">
        <w:trPr>
          <w:trHeight w:val="1269"/>
        </w:trPr>
        <w:tc>
          <w:tcPr>
            <w:tcW w:w="2593" w:type="dxa"/>
          </w:tcPr>
          <w:p w14:paraId="416099A8" w14:textId="77777777" w:rsidR="007F713D" w:rsidRDefault="00B70B8E">
            <w:pPr>
              <w:pStyle w:val="TableParagraph"/>
              <w:spacing w:line="276" w:lineRule="auto"/>
              <w:ind w:left="107" w:right="238"/>
              <w:rPr>
                <w:sz w:val="24"/>
              </w:rPr>
            </w:pPr>
            <w:r>
              <w:rPr>
                <w:sz w:val="24"/>
              </w:rPr>
              <w:t>Aggregate</w:t>
            </w:r>
            <w:r>
              <w:rPr>
                <w:spacing w:val="-15"/>
                <w:sz w:val="24"/>
              </w:rPr>
              <w:t xml:space="preserve"> </w:t>
            </w:r>
            <w:r>
              <w:rPr>
                <w:sz w:val="24"/>
              </w:rPr>
              <w:t>Transfers</w:t>
            </w:r>
            <w:r>
              <w:rPr>
                <w:spacing w:val="-15"/>
                <w:sz w:val="24"/>
              </w:rPr>
              <w:t xml:space="preserve"> </w:t>
            </w:r>
            <w:r>
              <w:rPr>
                <w:sz w:val="24"/>
              </w:rPr>
              <w:t>as a Percentage of Aggregate</w:t>
            </w:r>
            <w:r>
              <w:rPr>
                <w:spacing w:val="-15"/>
                <w:sz w:val="24"/>
              </w:rPr>
              <w:t xml:space="preserve"> </w:t>
            </w:r>
            <w:r>
              <w:rPr>
                <w:sz w:val="24"/>
              </w:rPr>
              <w:t>Expenditure</w:t>
            </w:r>
          </w:p>
          <w:p w14:paraId="31F3AB75" w14:textId="77777777" w:rsidR="007F713D" w:rsidRDefault="00B70B8E">
            <w:pPr>
              <w:pStyle w:val="TableParagraph"/>
              <w:ind w:left="107"/>
              <w:rPr>
                <w:sz w:val="24"/>
              </w:rPr>
            </w:pPr>
            <w:r>
              <w:rPr>
                <w:sz w:val="24"/>
              </w:rPr>
              <w:t>of the</w:t>
            </w:r>
            <w:r>
              <w:rPr>
                <w:spacing w:val="-2"/>
                <w:sz w:val="24"/>
              </w:rPr>
              <w:t xml:space="preserve"> state</w:t>
            </w:r>
          </w:p>
        </w:tc>
        <w:tc>
          <w:tcPr>
            <w:tcW w:w="1260" w:type="dxa"/>
          </w:tcPr>
          <w:p w14:paraId="6C0570C8" w14:textId="77777777" w:rsidR="007F713D" w:rsidRDefault="007F713D">
            <w:pPr>
              <w:pStyle w:val="TableParagraph"/>
              <w:rPr>
                <w:sz w:val="24"/>
              </w:rPr>
            </w:pPr>
          </w:p>
          <w:p w14:paraId="27C49B39" w14:textId="77777777" w:rsidR="007F713D" w:rsidRDefault="007F713D">
            <w:pPr>
              <w:pStyle w:val="TableParagraph"/>
              <w:rPr>
                <w:sz w:val="24"/>
              </w:rPr>
            </w:pPr>
          </w:p>
          <w:p w14:paraId="3C83A935" w14:textId="77777777" w:rsidR="007F713D" w:rsidRDefault="007F713D">
            <w:pPr>
              <w:pStyle w:val="TableParagraph"/>
              <w:spacing w:before="123"/>
              <w:rPr>
                <w:sz w:val="24"/>
              </w:rPr>
            </w:pPr>
          </w:p>
          <w:p w14:paraId="21FF2561" w14:textId="77777777" w:rsidR="007F713D" w:rsidRDefault="00B70B8E">
            <w:pPr>
              <w:pStyle w:val="TableParagraph"/>
              <w:spacing w:before="1"/>
              <w:ind w:left="11" w:right="3"/>
              <w:jc w:val="center"/>
              <w:rPr>
                <w:sz w:val="24"/>
              </w:rPr>
            </w:pPr>
            <w:r>
              <w:rPr>
                <w:spacing w:val="-2"/>
                <w:sz w:val="24"/>
              </w:rPr>
              <w:t>25.58</w:t>
            </w:r>
          </w:p>
        </w:tc>
        <w:tc>
          <w:tcPr>
            <w:tcW w:w="1196" w:type="dxa"/>
          </w:tcPr>
          <w:p w14:paraId="5449CCE2" w14:textId="77777777" w:rsidR="007F713D" w:rsidRDefault="007F713D">
            <w:pPr>
              <w:pStyle w:val="TableParagraph"/>
              <w:rPr>
                <w:sz w:val="24"/>
              </w:rPr>
            </w:pPr>
          </w:p>
          <w:p w14:paraId="2E45E15B" w14:textId="77777777" w:rsidR="007F713D" w:rsidRDefault="007F713D">
            <w:pPr>
              <w:pStyle w:val="TableParagraph"/>
              <w:rPr>
                <w:sz w:val="24"/>
              </w:rPr>
            </w:pPr>
          </w:p>
          <w:p w14:paraId="49E31F13" w14:textId="77777777" w:rsidR="007F713D" w:rsidRDefault="007F713D">
            <w:pPr>
              <w:pStyle w:val="TableParagraph"/>
              <w:spacing w:before="123"/>
              <w:rPr>
                <w:sz w:val="24"/>
              </w:rPr>
            </w:pPr>
          </w:p>
          <w:p w14:paraId="292BEC87" w14:textId="77777777" w:rsidR="007F713D" w:rsidRDefault="00B70B8E">
            <w:pPr>
              <w:pStyle w:val="TableParagraph"/>
              <w:spacing w:before="1"/>
              <w:ind w:left="8" w:right="3"/>
              <w:jc w:val="center"/>
              <w:rPr>
                <w:sz w:val="24"/>
              </w:rPr>
            </w:pPr>
            <w:r>
              <w:rPr>
                <w:spacing w:val="-2"/>
                <w:sz w:val="24"/>
              </w:rPr>
              <w:t>25.77</w:t>
            </w:r>
          </w:p>
        </w:tc>
        <w:tc>
          <w:tcPr>
            <w:tcW w:w="1196" w:type="dxa"/>
          </w:tcPr>
          <w:p w14:paraId="151DBB9B" w14:textId="77777777" w:rsidR="007F713D" w:rsidRDefault="007F713D">
            <w:pPr>
              <w:pStyle w:val="TableParagraph"/>
              <w:rPr>
                <w:sz w:val="24"/>
              </w:rPr>
            </w:pPr>
          </w:p>
          <w:p w14:paraId="30B2E481" w14:textId="77777777" w:rsidR="007F713D" w:rsidRDefault="007F713D">
            <w:pPr>
              <w:pStyle w:val="TableParagraph"/>
              <w:rPr>
                <w:sz w:val="24"/>
              </w:rPr>
            </w:pPr>
          </w:p>
          <w:p w14:paraId="59F4EF5F" w14:textId="77777777" w:rsidR="007F713D" w:rsidRDefault="007F713D">
            <w:pPr>
              <w:pStyle w:val="TableParagraph"/>
              <w:spacing w:before="123"/>
              <w:rPr>
                <w:sz w:val="24"/>
              </w:rPr>
            </w:pPr>
          </w:p>
          <w:p w14:paraId="248FE66E" w14:textId="77777777" w:rsidR="007F713D" w:rsidRDefault="00B70B8E">
            <w:pPr>
              <w:pStyle w:val="TableParagraph"/>
              <w:spacing w:before="1"/>
              <w:ind w:left="8" w:right="8"/>
              <w:jc w:val="center"/>
              <w:rPr>
                <w:sz w:val="24"/>
              </w:rPr>
            </w:pPr>
            <w:r>
              <w:rPr>
                <w:spacing w:val="-2"/>
                <w:sz w:val="24"/>
              </w:rPr>
              <w:t>27.00</w:t>
            </w:r>
          </w:p>
        </w:tc>
        <w:tc>
          <w:tcPr>
            <w:tcW w:w="1209" w:type="dxa"/>
          </w:tcPr>
          <w:p w14:paraId="3F87D869" w14:textId="77777777" w:rsidR="007F713D" w:rsidRDefault="007F713D">
            <w:pPr>
              <w:pStyle w:val="TableParagraph"/>
              <w:rPr>
                <w:sz w:val="24"/>
              </w:rPr>
            </w:pPr>
          </w:p>
          <w:p w14:paraId="598614CD" w14:textId="77777777" w:rsidR="007F713D" w:rsidRDefault="007F713D">
            <w:pPr>
              <w:pStyle w:val="TableParagraph"/>
              <w:rPr>
                <w:sz w:val="24"/>
              </w:rPr>
            </w:pPr>
          </w:p>
          <w:p w14:paraId="07D8E274" w14:textId="77777777" w:rsidR="007F713D" w:rsidRDefault="007F713D">
            <w:pPr>
              <w:pStyle w:val="TableParagraph"/>
              <w:spacing w:before="123"/>
              <w:rPr>
                <w:sz w:val="24"/>
              </w:rPr>
            </w:pPr>
          </w:p>
          <w:p w14:paraId="267437C9" w14:textId="77777777" w:rsidR="007F713D" w:rsidRDefault="00B70B8E">
            <w:pPr>
              <w:pStyle w:val="TableParagraph"/>
              <w:spacing w:before="1"/>
              <w:jc w:val="center"/>
              <w:rPr>
                <w:sz w:val="24"/>
              </w:rPr>
            </w:pPr>
            <w:r>
              <w:rPr>
                <w:spacing w:val="-2"/>
                <w:sz w:val="24"/>
              </w:rPr>
              <w:t>18.92</w:t>
            </w:r>
          </w:p>
        </w:tc>
        <w:tc>
          <w:tcPr>
            <w:tcW w:w="1196" w:type="dxa"/>
          </w:tcPr>
          <w:p w14:paraId="538CE3F9" w14:textId="77777777" w:rsidR="007F713D" w:rsidRDefault="007F713D">
            <w:pPr>
              <w:pStyle w:val="TableParagraph"/>
              <w:rPr>
                <w:sz w:val="24"/>
              </w:rPr>
            </w:pPr>
          </w:p>
          <w:p w14:paraId="5F12AC02" w14:textId="77777777" w:rsidR="007F713D" w:rsidRDefault="007F713D">
            <w:pPr>
              <w:pStyle w:val="TableParagraph"/>
              <w:rPr>
                <w:sz w:val="24"/>
              </w:rPr>
            </w:pPr>
          </w:p>
          <w:p w14:paraId="6A5DBFC9" w14:textId="77777777" w:rsidR="007F713D" w:rsidRDefault="007F713D">
            <w:pPr>
              <w:pStyle w:val="TableParagraph"/>
              <w:spacing w:before="123"/>
              <w:rPr>
                <w:sz w:val="24"/>
              </w:rPr>
            </w:pPr>
          </w:p>
          <w:p w14:paraId="299373EA" w14:textId="77777777" w:rsidR="007F713D" w:rsidRDefault="00B70B8E">
            <w:pPr>
              <w:pStyle w:val="TableParagraph"/>
              <w:spacing w:before="1"/>
              <w:ind w:left="8" w:right="8"/>
              <w:jc w:val="center"/>
              <w:rPr>
                <w:sz w:val="24"/>
              </w:rPr>
            </w:pPr>
            <w:r>
              <w:rPr>
                <w:spacing w:val="-2"/>
                <w:sz w:val="24"/>
              </w:rPr>
              <w:t>14.80</w:t>
            </w:r>
          </w:p>
        </w:tc>
        <w:tc>
          <w:tcPr>
            <w:tcW w:w="1196" w:type="dxa"/>
          </w:tcPr>
          <w:p w14:paraId="18D28F15" w14:textId="77777777" w:rsidR="007F713D" w:rsidRDefault="007F713D">
            <w:pPr>
              <w:pStyle w:val="TableParagraph"/>
              <w:rPr>
                <w:sz w:val="24"/>
              </w:rPr>
            </w:pPr>
          </w:p>
          <w:p w14:paraId="60C7DF82" w14:textId="77777777" w:rsidR="007F713D" w:rsidRDefault="007F713D">
            <w:pPr>
              <w:pStyle w:val="TableParagraph"/>
              <w:rPr>
                <w:sz w:val="24"/>
              </w:rPr>
            </w:pPr>
          </w:p>
          <w:p w14:paraId="6ED677FC" w14:textId="77777777" w:rsidR="007F713D" w:rsidRDefault="007F713D">
            <w:pPr>
              <w:pStyle w:val="TableParagraph"/>
              <w:spacing w:before="123"/>
              <w:rPr>
                <w:sz w:val="24"/>
              </w:rPr>
            </w:pPr>
          </w:p>
          <w:p w14:paraId="34C5DEC1" w14:textId="77777777" w:rsidR="007F713D" w:rsidRDefault="00B70B8E">
            <w:pPr>
              <w:pStyle w:val="TableParagraph"/>
              <w:spacing w:before="1"/>
              <w:ind w:left="8" w:right="8"/>
              <w:jc w:val="center"/>
              <w:rPr>
                <w:sz w:val="24"/>
              </w:rPr>
            </w:pPr>
            <w:r>
              <w:rPr>
                <w:spacing w:val="-2"/>
                <w:sz w:val="24"/>
              </w:rPr>
              <w:t>15.32</w:t>
            </w:r>
          </w:p>
        </w:tc>
      </w:tr>
    </w:tbl>
    <w:p w14:paraId="542AB24F" w14:textId="77777777" w:rsidR="007F713D" w:rsidRDefault="007F713D">
      <w:pPr>
        <w:pStyle w:val="BodyText"/>
        <w:spacing w:before="5"/>
      </w:pPr>
    </w:p>
    <w:p w14:paraId="05076EC6" w14:textId="77777777" w:rsidR="007F713D" w:rsidRDefault="00B70B8E">
      <w:pPr>
        <w:pStyle w:val="BodyText"/>
        <w:spacing w:line="276" w:lineRule="auto"/>
        <w:ind w:left="720" w:right="665"/>
        <w:jc w:val="both"/>
      </w:pPr>
      <w:r>
        <w:t>Table</w:t>
      </w:r>
      <w:r>
        <w:rPr>
          <w:spacing w:val="-8"/>
        </w:rPr>
        <w:t xml:space="preserve"> </w:t>
      </w:r>
      <w:r>
        <w:t>3</w:t>
      </w:r>
      <w:r>
        <w:rPr>
          <w:spacing w:val="-7"/>
        </w:rPr>
        <w:t xml:space="preserve"> </w:t>
      </w:r>
      <w:r>
        <w:t>illustrates</w:t>
      </w:r>
      <w:r>
        <w:rPr>
          <w:spacing w:val="-8"/>
        </w:rPr>
        <w:t xml:space="preserve"> </w:t>
      </w:r>
      <w:r>
        <w:t>the</w:t>
      </w:r>
      <w:r>
        <w:rPr>
          <w:spacing w:val="-6"/>
        </w:rPr>
        <w:t xml:space="preserve"> </w:t>
      </w:r>
      <w:r>
        <w:t>state’s</w:t>
      </w:r>
      <w:r>
        <w:rPr>
          <w:spacing w:val="-8"/>
        </w:rPr>
        <w:t xml:space="preserve"> </w:t>
      </w:r>
      <w:r>
        <w:t>dependency</w:t>
      </w:r>
      <w:r>
        <w:rPr>
          <w:spacing w:val="-5"/>
        </w:rPr>
        <w:t xml:space="preserve"> </w:t>
      </w:r>
      <w:r>
        <w:t>on</w:t>
      </w:r>
      <w:r>
        <w:rPr>
          <w:spacing w:val="-7"/>
        </w:rPr>
        <w:t xml:space="preserve"> </w:t>
      </w:r>
      <w:r>
        <w:t>central</w:t>
      </w:r>
      <w:r>
        <w:rPr>
          <w:spacing w:val="-7"/>
        </w:rPr>
        <w:t xml:space="preserve"> </w:t>
      </w:r>
      <w:r>
        <w:t>transfers</w:t>
      </w:r>
      <w:r>
        <w:rPr>
          <w:spacing w:val="-6"/>
        </w:rPr>
        <w:t xml:space="preserve"> </w:t>
      </w:r>
      <w:r>
        <w:t>for</w:t>
      </w:r>
      <w:r>
        <w:rPr>
          <w:spacing w:val="-9"/>
        </w:rPr>
        <w:t xml:space="preserve"> </w:t>
      </w:r>
      <w:r>
        <w:t>its</w:t>
      </w:r>
      <w:r>
        <w:rPr>
          <w:spacing w:val="-7"/>
        </w:rPr>
        <w:t xml:space="preserve"> </w:t>
      </w:r>
      <w:r>
        <w:t>receipts.</w:t>
      </w:r>
      <w:r>
        <w:rPr>
          <w:spacing w:val="-7"/>
        </w:rPr>
        <w:t xml:space="preserve"> </w:t>
      </w:r>
      <w:r>
        <w:t>During</w:t>
      </w:r>
      <w:r>
        <w:rPr>
          <w:spacing w:val="-7"/>
        </w:rPr>
        <w:t xml:space="preserve"> </w:t>
      </w:r>
      <w:r>
        <w:t>the</w:t>
      </w:r>
      <w:r>
        <w:rPr>
          <w:spacing w:val="-8"/>
        </w:rPr>
        <w:t xml:space="preserve"> </w:t>
      </w:r>
      <w:r>
        <w:t>VI Plan, revenue transfers accounted for around 25% of the state’s total revenue, gradually declining</w:t>
      </w:r>
      <w:r>
        <w:rPr>
          <w:spacing w:val="-8"/>
        </w:rPr>
        <w:t xml:space="preserve"> </w:t>
      </w:r>
      <w:r>
        <w:t>to</w:t>
      </w:r>
      <w:r>
        <w:rPr>
          <w:spacing w:val="-8"/>
        </w:rPr>
        <w:t xml:space="preserve"> </w:t>
      </w:r>
      <w:r>
        <w:t>17%</w:t>
      </w:r>
      <w:r>
        <w:rPr>
          <w:spacing w:val="-9"/>
        </w:rPr>
        <w:t xml:space="preserve"> </w:t>
      </w:r>
      <w:r>
        <w:t>by</w:t>
      </w:r>
      <w:r>
        <w:rPr>
          <w:spacing w:val="-8"/>
        </w:rPr>
        <w:t xml:space="preserve"> </w:t>
      </w:r>
      <w:r>
        <w:t>the</w:t>
      </w:r>
      <w:r>
        <w:rPr>
          <w:spacing w:val="-11"/>
        </w:rPr>
        <w:t xml:space="preserve"> </w:t>
      </w:r>
      <w:r>
        <w:t>X</w:t>
      </w:r>
      <w:r>
        <w:rPr>
          <w:spacing w:val="-9"/>
        </w:rPr>
        <w:t xml:space="preserve"> </w:t>
      </w:r>
      <w:r>
        <w:t>Plan,</w:t>
      </w:r>
      <w:r>
        <w:rPr>
          <w:spacing w:val="-9"/>
        </w:rPr>
        <w:t xml:space="preserve"> </w:t>
      </w:r>
      <w:r>
        <w:t>indicating</w:t>
      </w:r>
      <w:r>
        <w:rPr>
          <w:spacing w:val="-8"/>
        </w:rPr>
        <w:t xml:space="preserve"> </w:t>
      </w:r>
      <w:r>
        <w:t>a</w:t>
      </w:r>
      <w:r>
        <w:rPr>
          <w:spacing w:val="-9"/>
        </w:rPr>
        <w:t xml:space="preserve"> </w:t>
      </w:r>
      <w:r>
        <w:t>reduced</w:t>
      </w:r>
      <w:r>
        <w:rPr>
          <w:spacing w:val="-8"/>
        </w:rPr>
        <w:t xml:space="preserve"> </w:t>
      </w:r>
      <w:r>
        <w:t>reliance</w:t>
      </w:r>
      <w:r>
        <w:rPr>
          <w:spacing w:val="-9"/>
        </w:rPr>
        <w:t xml:space="preserve"> </w:t>
      </w:r>
      <w:r>
        <w:t>on</w:t>
      </w:r>
      <w:r>
        <w:rPr>
          <w:spacing w:val="-8"/>
        </w:rPr>
        <w:t xml:space="preserve"> </w:t>
      </w:r>
      <w:r>
        <w:t>central</w:t>
      </w:r>
      <w:r>
        <w:rPr>
          <w:spacing w:val="-8"/>
        </w:rPr>
        <w:t xml:space="preserve"> </w:t>
      </w:r>
      <w:r>
        <w:t>support.</w:t>
      </w:r>
      <w:r>
        <w:rPr>
          <w:spacing w:val="-8"/>
        </w:rPr>
        <w:t xml:space="preserve"> </w:t>
      </w:r>
      <w:r>
        <w:t>Similarly, loan</w:t>
      </w:r>
      <w:r>
        <w:rPr>
          <w:spacing w:val="-6"/>
        </w:rPr>
        <w:t xml:space="preserve"> </w:t>
      </w:r>
      <w:r>
        <w:t>transfers,</w:t>
      </w:r>
      <w:r>
        <w:rPr>
          <w:spacing w:val="-3"/>
        </w:rPr>
        <w:t xml:space="preserve"> </w:t>
      </w:r>
      <w:r>
        <w:t>which</w:t>
      </w:r>
      <w:r>
        <w:rPr>
          <w:spacing w:val="-6"/>
        </w:rPr>
        <w:t xml:space="preserve"> </w:t>
      </w:r>
      <w:r>
        <w:t>constitute</w:t>
      </w:r>
      <w:r>
        <w:rPr>
          <w:spacing w:val="-7"/>
        </w:rPr>
        <w:t xml:space="preserve"> </w:t>
      </w:r>
      <w:r>
        <w:t>capital</w:t>
      </w:r>
      <w:r>
        <w:rPr>
          <w:spacing w:val="-5"/>
        </w:rPr>
        <w:t xml:space="preserve"> </w:t>
      </w:r>
      <w:r>
        <w:t>receipts,</w:t>
      </w:r>
      <w:r>
        <w:rPr>
          <w:spacing w:val="-6"/>
        </w:rPr>
        <w:t xml:space="preserve"> </w:t>
      </w:r>
      <w:r>
        <w:t>fell</w:t>
      </w:r>
      <w:r>
        <w:rPr>
          <w:spacing w:val="-5"/>
        </w:rPr>
        <w:t xml:space="preserve"> </w:t>
      </w:r>
      <w:r>
        <w:t>sharply</w:t>
      </w:r>
      <w:r>
        <w:rPr>
          <w:spacing w:val="-6"/>
        </w:rPr>
        <w:t xml:space="preserve"> </w:t>
      </w:r>
      <w:r>
        <w:t>from</w:t>
      </w:r>
      <w:r>
        <w:rPr>
          <w:spacing w:val="-5"/>
        </w:rPr>
        <w:t xml:space="preserve"> </w:t>
      </w:r>
      <w:r>
        <w:t>about</w:t>
      </w:r>
      <w:r>
        <w:rPr>
          <w:spacing w:val="-5"/>
        </w:rPr>
        <w:t xml:space="preserve"> </w:t>
      </w:r>
      <w:r>
        <w:t>58%</w:t>
      </w:r>
      <w:r>
        <w:rPr>
          <w:spacing w:val="-7"/>
        </w:rPr>
        <w:t xml:space="preserve"> </w:t>
      </w:r>
      <w:r>
        <w:t>to</w:t>
      </w:r>
      <w:r>
        <w:rPr>
          <w:spacing w:val="-6"/>
        </w:rPr>
        <w:t xml:space="preserve"> </w:t>
      </w:r>
      <w:r>
        <w:t>just</w:t>
      </w:r>
      <w:r>
        <w:rPr>
          <w:spacing w:val="-5"/>
        </w:rPr>
        <w:t xml:space="preserve"> </w:t>
      </w:r>
      <w:r>
        <w:t>3.58%, showing that the state increasingly financed its capital projects from its own resources. Overall, dependency on aggregate receipts decreased from 28.74% to 6.10%, reflecting a significant improvement in fiscal autonomy. In general, higher ratios indicate greater dependence on central transfers, while lower ratios correspond to increased self-reliance, demonstrating how</w:t>
      </w:r>
      <w:r>
        <w:rPr>
          <w:spacing w:val="-1"/>
        </w:rPr>
        <w:t xml:space="preserve"> </w:t>
      </w:r>
      <w:r>
        <w:t>changes</w:t>
      </w:r>
      <w:r>
        <w:rPr>
          <w:spacing w:val="-1"/>
        </w:rPr>
        <w:t xml:space="preserve"> </w:t>
      </w:r>
      <w:r>
        <w:t>in these</w:t>
      </w:r>
      <w:r>
        <w:rPr>
          <w:spacing w:val="-1"/>
        </w:rPr>
        <w:t xml:space="preserve"> </w:t>
      </w:r>
      <w:r>
        <w:t>figures</w:t>
      </w:r>
      <w:r>
        <w:rPr>
          <w:spacing w:val="-1"/>
        </w:rPr>
        <w:t xml:space="preserve"> </w:t>
      </w:r>
      <w:r>
        <w:t>directly affect the</w:t>
      </w:r>
      <w:r>
        <w:rPr>
          <w:spacing w:val="-1"/>
        </w:rPr>
        <w:t xml:space="preserve"> </w:t>
      </w:r>
      <w:r>
        <w:t>state’s</w:t>
      </w:r>
      <w:r>
        <w:rPr>
          <w:spacing w:val="-1"/>
        </w:rPr>
        <w:t xml:space="preserve"> </w:t>
      </w:r>
      <w:r>
        <w:t>fiscal independence.</w:t>
      </w:r>
    </w:p>
    <w:p w14:paraId="09314EE4" w14:textId="77777777" w:rsidR="007F713D" w:rsidRDefault="007F713D">
      <w:pPr>
        <w:pStyle w:val="BodyText"/>
        <w:spacing w:before="5"/>
      </w:pPr>
    </w:p>
    <w:p w14:paraId="43AC33B4" w14:textId="77777777" w:rsidR="007F713D" w:rsidRDefault="00B70B8E">
      <w:pPr>
        <w:pStyle w:val="BodyText"/>
        <w:spacing w:before="1" w:line="276" w:lineRule="auto"/>
        <w:ind w:left="720" w:right="667"/>
        <w:jc w:val="both"/>
      </w:pPr>
      <w:r>
        <w:t xml:space="preserve">Table 4 highlights the state’s dependency on central transfers for its expenditures. During </w:t>
      </w:r>
      <w:r>
        <w:lastRenderedPageBreak/>
        <w:t>the VI Plan, revenue expenditure dependency was 25.23%, which gradually declined to 14.91%</w:t>
      </w:r>
      <w:r>
        <w:rPr>
          <w:spacing w:val="-8"/>
        </w:rPr>
        <w:t xml:space="preserve"> </w:t>
      </w:r>
      <w:r>
        <w:t>by</w:t>
      </w:r>
      <w:r>
        <w:rPr>
          <w:spacing w:val="-7"/>
        </w:rPr>
        <w:t xml:space="preserve"> </w:t>
      </w:r>
      <w:r>
        <w:t>the</w:t>
      </w:r>
      <w:r>
        <w:rPr>
          <w:spacing w:val="-6"/>
        </w:rPr>
        <w:t xml:space="preserve"> </w:t>
      </w:r>
      <w:r>
        <w:t>X</w:t>
      </w:r>
      <w:r>
        <w:rPr>
          <w:spacing w:val="-6"/>
        </w:rPr>
        <w:t xml:space="preserve"> </w:t>
      </w:r>
      <w:r>
        <w:t>Plan,</w:t>
      </w:r>
      <w:r>
        <w:rPr>
          <w:spacing w:val="-8"/>
        </w:rPr>
        <w:t xml:space="preserve"> </w:t>
      </w:r>
      <w:r>
        <w:t>indicating</w:t>
      </w:r>
      <w:r>
        <w:rPr>
          <w:spacing w:val="-7"/>
        </w:rPr>
        <w:t xml:space="preserve"> </w:t>
      </w:r>
      <w:r>
        <w:t>that</w:t>
      </w:r>
      <w:r>
        <w:rPr>
          <w:spacing w:val="-7"/>
        </w:rPr>
        <w:t xml:space="preserve"> </w:t>
      </w:r>
      <w:r>
        <w:t>the</w:t>
      </w:r>
      <w:r>
        <w:rPr>
          <w:spacing w:val="-6"/>
        </w:rPr>
        <w:t xml:space="preserve"> </w:t>
      </w:r>
      <w:r>
        <w:t>state</w:t>
      </w:r>
      <w:r>
        <w:rPr>
          <w:spacing w:val="-6"/>
        </w:rPr>
        <w:t xml:space="preserve"> </w:t>
      </w:r>
      <w:r>
        <w:t>became</w:t>
      </w:r>
      <w:r>
        <w:rPr>
          <w:spacing w:val="-8"/>
        </w:rPr>
        <w:t xml:space="preserve"> </w:t>
      </w:r>
      <w:r>
        <w:t>increasingly</w:t>
      </w:r>
      <w:r>
        <w:rPr>
          <w:spacing w:val="-7"/>
        </w:rPr>
        <w:t xml:space="preserve"> </w:t>
      </w:r>
      <w:r>
        <w:t>self-reliant</w:t>
      </w:r>
      <w:r>
        <w:rPr>
          <w:spacing w:val="-6"/>
        </w:rPr>
        <w:t xml:space="preserve"> </w:t>
      </w:r>
      <w:r>
        <w:t>in</w:t>
      </w:r>
      <w:r>
        <w:rPr>
          <w:spacing w:val="-7"/>
        </w:rPr>
        <w:t xml:space="preserve"> </w:t>
      </w:r>
      <w:r>
        <w:t>covering its regular expenses. In contrast, capital expenditure dependency initially rose, reaching 62%,</w:t>
      </w:r>
      <w:r>
        <w:rPr>
          <w:spacing w:val="-7"/>
        </w:rPr>
        <w:t xml:space="preserve"> </w:t>
      </w:r>
      <w:r>
        <w:t>but</w:t>
      </w:r>
      <w:r>
        <w:rPr>
          <w:spacing w:val="-7"/>
        </w:rPr>
        <w:t xml:space="preserve"> </w:t>
      </w:r>
      <w:r>
        <w:t>fell</w:t>
      </w:r>
      <w:r>
        <w:rPr>
          <w:spacing w:val="-7"/>
        </w:rPr>
        <w:t xml:space="preserve"> </w:t>
      </w:r>
      <w:r>
        <w:t>sharply</w:t>
      </w:r>
      <w:r>
        <w:rPr>
          <w:spacing w:val="-8"/>
        </w:rPr>
        <w:t xml:space="preserve"> </w:t>
      </w:r>
      <w:r>
        <w:t>to</w:t>
      </w:r>
      <w:r>
        <w:rPr>
          <w:spacing w:val="-7"/>
        </w:rPr>
        <w:t xml:space="preserve"> </w:t>
      </w:r>
      <w:r>
        <w:t>8.29%</w:t>
      </w:r>
      <w:r>
        <w:rPr>
          <w:spacing w:val="-8"/>
        </w:rPr>
        <w:t xml:space="preserve"> </w:t>
      </w:r>
      <w:r>
        <w:t>by</w:t>
      </w:r>
      <w:r>
        <w:rPr>
          <w:spacing w:val="-7"/>
        </w:rPr>
        <w:t xml:space="preserve"> </w:t>
      </w:r>
      <w:r>
        <w:t>the</w:t>
      </w:r>
      <w:r>
        <w:rPr>
          <w:spacing w:val="-8"/>
        </w:rPr>
        <w:t xml:space="preserve"> </w:t>
      </w:r>
      <w:r>
        <w:t>X</w:t>
      </w:r>
      <w:r>
        <w:rPr>
          <w:spacing w:val="-8"/>
        </w:rPr>
        <w:t xml:space="preserve"> </w:t>
      </w:r>
      <w:r>
        <w:t>Plan,</w:t>
      </w:r>
      <w:r>
        <w:rPr>
          <w:spacing w:val="-8"/>
        </w:rPr>
        <w:t xml:space="preserve"> </w:t>
      </w:r>
      <w:r>
        <w:t>showing</w:t>
      </w:r>
      <w:r>
        <w:rPr>
          <w:spacing w:val="-7"/>
        </w:rPr>
        <w:t xml:space="preserve"> </w:t>
      </w:r>
      <w:r>
        <w:t>that</w:t>
      </w:r>
      <w:r>
        <w:rPr>
          <w:spacing w:val="-7"/>
        </w:rPr>
        <w:t xml:space="preserve"> </w:t>
      </w:r>
      <w:r>
        <w:t>the</w:t>
      </w:r>
      <w:r>
        <w:rPr>
          <w:spacing w:val="-8"/>
        </w:rPr>
        <w:t xml:space="preserve"> </w:t>
      </w:r>
      <w:r>
        <w:t>state</w:t>
      </w:r>
      <w:r>
        <w:rPr>
          <w:spacing w:val="-8"/>
        </w:rPr>
        <w:t xml:space="preserve"> </w:t>
      </w:r>
      <w:r>
        <w:t>progressively</w:t>
      </w:r>
      <w:r>
        <w:rPr>
          <w:spacing w:val="-7"/>
        </w:rPr>
        <w:t xml:space="preserve"> </w:t>
      </w:r>
      <w:r>
        <w:t>financed its capital projects from its own resources. Overall, aggregate expenditure dependency decreased from 25.58%</w:t>
      </w:r>
      <w:r>
        <w:rPr>
          <w:spacing w:val="-1"/>
        </w:rPr>
        <w:t xml:space="preserve"> </w:t>
      </w:r>
      <w:r>
        <w:t>to 15.32%, reflecting a</w:t>
      </w:r>
      <w:r>
        <w:rPr>
          <w:spacing w:val="-1"/>
        </w:rPr>
        <w:t xml:space="preserve"> </w:t>
      </w:r>
      <w:r>
        <w:t>significant reduction in reliance</w:t>
      </w:r>
      <w:r>
        <w:rPr>
          <w:spacing w:val="-1"/>
        </w:rPr>
        <w:t xml:space="preserve"> </w:t>
      </w:r>
      <w:r>
        <w:t>on central assistance.</w:t>
      </w:r>
      <w:r>
        <w:rPr>
          <w:spacing w:val="-15"/>
        </w:rPr>
        <w:t xml:space="preserve"> </w:t>
      </w:r>
      <w:r>
        <w:t>Generally,</w:t>
      </w:r>
      <w:r>
        <w:rPr>
          <w:spacing w:val="-15"/>
        </w:rPr>
        <w:t xml:space="preserve"> </w:t>
      </w:r>
      <w:r>
        <w:t>higher</w:t>
      </w:r>
      <w:r>
        <w:rPr>
          <w:spacing w:val="-15"/>
        </w:rPr>
        <w:t xml:space="preserve"> </w:t>
      </w:r>
      <w:r>
        <w:t>ratios</w:t>
      </w:r>
      <w:r>
        <w:rPr>
          <w:spacing w:val="-15"/>
        </w:rPr>
        <w:t xml:space="preserve"> </w:t>
      </w:r>
      <w:r>
        <w:t>signify</w:t>
      </w:r>
      <w:r>
        <w:rPr>
          <w:spacing w:val="-15"/>
        </w:rPr>
        <w:t xml:space="preserve"> </w:t>
      </w:r>
      <w:r>
        <w:t>greater</w:t>
      </w:r>
      <w:r>
        <w:rPr>
          <w:spacing w:val="-15"/>
        </w:rPr>
        <w:t xml:space="preserve"> </w:t>
      </w:r>
      <w:r>
        <w:t>dependence</w:t>
      </w:r>
      <w:r>
        <w:rPr>
          <w:spacing w:val="-15"/>
        </w:rPr>
        <w:t xml:space="preserve"> </w:t>
      </w:r>
      <w:r>
        <w:t>on</w:t>
      </w:r>
      <w:r>
        <w:rPr>
          <w:spacing w:val="-15"/>
        </w:rPr>
        <w:t xml:space="preserve"> </w:t>
      </w:r>
      <w:r>
        <w:t>central</w:t>
      </w:r>
      <w:r>
        <w:rPr>
          <w:spacing w:val="-15"/>
        </w:rPr>
        <w:t xml:space="preserve"> </w:t>
      </w:r>
      <w:r>
        <w:t>transfers,</w:t>
      </w:r>
      <w:r>
        <w:rPr>
          <w:spacing w:val="-15"/>
        </w:rPr>
        <w:t xml:space="preserve"> </w:t>
      </w:r>
      <w:r>
        <w:t>whereas lower ratios indicate stronger fiscal autonomy, demonstrating how these figures influence the state’s financial independence.</w:t>
      </w:r>
    </w:p>
    <w:p w14:paraId="21BB98F2" w14:textId="77777777" w:rsidR="007F713D" w:rsidRDefault="007F713D">
      <w:pPr>
        <w:pStyle w:val="BodyText"/>
        <w:spacing w:line="276" w:lineRule="auto"/>
        <w:jc w:val="both"/>
      </w:pPr>
    </w:p>
    <w:p w14:paraId="24373F52" w14:textId="77777777" w:rsidR="00AF16A8" w:rsidRPr="00AF16A8" w:rsidRDefault="00AF16A8" w:rsidP="00AF16A8"/>
    <w:p w14:paraId="34A5E4FE" w14:textId="77777777" w:rsidR="007F713D" w:rsidRDefault="00B70B8E">
      <w:pPr>
        <w:pStyle w:val="ListParagraph"/>
        <w:numPr>
          <w:ilvl w:val="0"/>
          <w:numId w:val="4"/>
        </w:numPr>
        <w:tabs>
          <w:tab w:val="left" w:pos="1439"/>
        </w:tabs>
        <w:spacing w:before="61"/>
        <w:ind w:left="1439" w:hanging="719"/>
        <w:jc w:val="both"/>
        <w:rPr>
          <w:i/>
          <w:sz w:val="24"/>
        </w:rPr>
      </w:pPr>
      <w:r>
        <w:rPr>
          <w:i/>
          <w:sz w:val="24"/>
        </w:rPr>
        <w:t>Expenditure</w:t>
      </w:r>
      <w:r>
        <w:rPr>
          <w:i/>
          <w:spacing w:val="-3"/>
          <w:sz w:val="24"/>
        </w:rPr>
        <w:t xml:space="preserve"> </w:t>
      </w:r>
      <w:r>
        <w:rPr>
          <w:i/>
          <w:sz w:val="24"/>
        </w:rPr>
        <w:t>Analysis</w:t>
      </w:r>
      <w:r>
        <w:rPr>
          <w:i/>
          <w:spacing w:val="-1"/>
          <w:sz w:val="24"/>
        </w:rPr>
        <w:t xml:space="preserve"> </w:t>
      </w:r>
      <w:r>
        <w:rPr>
          <w:i/>
          <w:spacing w:val="-2"/>
          <w:sz w:val="24"/>
        </w:rPr>
        <w:t>Methodologies</w:t>
      </w:r>
    </w:p>
    <w:p w14:paraId="5B4EAF80" w14:textId="77777777" w:rsidR="007F713D" w:rsidRDefault="00B70B8E">
      <w:pPr>
        <w:pStyle w:val="BodyText"/>
        <w:spacing w:before="41" w:line="276" w:lineRule="auto"/>
        <w:ind w:left="720" w:right="663"/>
        <w:jc w:val="both"/>
      </w:pPr>
      <w:r>
        <w:t>Expenditure</w:t>
      </w:r>
      <w:r>
        <w:rPr>
          <w:spacing w:val="-13"/>
        </w:rPr>
        <w:t xml:space="preserve"> </w:t>
      </w:r>
      <w:r>
        <w:t>estimation</w:t>
      </w:r>
      <w:r>
        <w:rPr>
          <w:spacing w:val="-11"/>
        </w:rPr>
        <w:t xml:space="preserve"> </w:t>
      </w:r>
      <w:r>
        <w:t>can</w:t>
      </w:r>
      <w:r>
        <w:rPr>
          <w:spacing w:val="-12"/>
        </w:rPr>
        <w:t xml:space="preserve"> </w:t>
      </w:r>
      <w:r>
        <w:t>be</w:t>
      </w:r>
      <w:r>
        <w:rPr>
          <w:spacing w:val="-13"/>
        </w:rPr>
        <w:t xml:space="preserve"> </w:t>
      </w:r>
      <w:r>
        <w:t>carried</w:t>
      </w:r>
      <w:r>
        <w:rPr>
          <w:spacing w:val="-12"/>
        </w:rPr>
        <w:t xml:space="preserve"> </w:t>
      </w:r>
      <w:r>
        <w:t>out</w:t>
      </w:r>
      <w:r>
        <w:rPr>
          <w:spacing w:val="-11"/>
        </w:rPr>
        <w:t xml:space="preserve"> </w:t>
      </w:r>
      <w:r>
        <w:t>through</w:t>
      </w:r>
      <w:r>
        <w:rPr>
          <w:spacing w:val="-12"/>
        </w:rPr>
        <w:t xml:space="preserve"> </w:t>
      </w:r>
      <w:r>
        <w:t>several</w:t>
      </w:r>
      <w:r>
        <w:rPr>
          <w:spacing w:val="-11"/>
        </w:rPr>
        <w:t xml:space="preserve"> </w:t>
      </w:r>
      <w:r>
        <w:t>analytical</w:t>
      </w:r>
      <w:r>
        <w:rPr>
          <w:spacing w:val="-11"/>
        </w:rPr>
        <w:t xml:space="preserve"> </w:t>
      </w:r>
      <w:r>
        <w:t>methodologies</w:t>
      </w:r>
      <w:r>
        <w:rPr>
          <w:spacing w:val="-11"/>
        </w:rPr>
        <w:t xml:space="preserve"> </w:t>
      </w:r>
      <w:r>
        <w:t>such</w:t>
      </w:r>
      <w:r>
        <w:rPr>
          <w:spacing w:val="-12"/>
        </w:rPr>
        <w:t xml:space="preserve"> </w:t>
      </w:r>
      <w:r>
        <w:t>as examining expenditure–GSDP ratios, percentage-share methods to understand the composition</w:t>
      </w:r>
      <w:r>
        <w:rPr>
          <w:spacing w:val="-6"/>
        </w:rPr>
        <w:t xml:space="preserve"> </w:t>
      </w:r>
      <w:r>
        <w:t>of</w:t>
      </w:r>
      <w:r>
        <w:rPr>
          <w:spacing w:val="-8"/>
        </w:rPr>
        <w:t xml:space="preserve"> </w:t>
      </w:r>
      <w:r>
        <w:t>expenditures,</w:t>
      </w:r>
      <w:r>
        <w:rPr>
          <w:spacing w:val="-7"/>
        </w:rPr>
        <w:t xml:space="preserve"> </w:t>
      </w:r>
      <w:r>
        <w:t>and</w:t>
      </w:r>
      <w:r>
        <w:rPr>
          <w:spacing w:val="-3"/>
        </w:rPr>
        <w:t xml:space="preserve"> </w:t>
      </w:r>
      <w:r>
        <w:t>elasticity</w:t>
      </w:r>
      <w:r>
        <w:rPr>
          <w:spacing w:val="-7"/>
        </w:rPr>
        <w:t xml:space="preserve"> </w:t>
      </w:r>
      <w:r>
        <w:t>measures</w:t>
      </w:r>
      <w:r>
        <w:rPr>
          <w:spacing w:val="-5"/>
        </w:rPr>
        <w:t xml:space="preserve"> </w:t>
      </w:r>
      <w:r>
        <w:t>that</w:t>
      </w:r>
      <w:r>
        <w:rPr>
          <w:spacing w:val="-7"/>
        </w:rPr>
        <w:t xml:space="preserve"> </w:t>
      </w:r>
      <w:r>
        <w:t>capture</w:t>
      </w:r>
      <w:r>
        <w:rPr>
          <w:spacing w:val="-8"/>
        </w:rPr>
        <w:t xml:space="preserve"> </w:t>
      </w:r>
      <w:r>
        <w:t>how</w:t>
      </w:r>
      <w:r>
        <w:rPr>
          <w:spacing w:val="-4"/>
        </w:rPr>
        <w:t xml:space="preserve"> </w:t>
      </w:r>
      <w:r>
        <w:t>responsive</w:t>
      </w:r>
      <w:r>
        <w:rPr>
          <w:spacing w:val="-7"/>
        </w:rPr>
        <w:t xml:space="preserve"> </w:t>
      </w:r>
      <w:r>
        <w:t>different expenditure categories are to economic growth and how government spending influences living standards. More advanced techniques—such as regression models using variables like</w:t>
      </w:r>
      <w:r>
        <w:rPr>
          <w:spacing w:val="-14"/>
        </w:rPr>
        <w:t xml:space="preserve"> </w:t>
      </w:r>
      <w:r>
        <w:t>income,</w:t>
      </w:r>
      <w:r>
        <w:rPr>
          <w:spacing w:val="-13"/>
        </w:rPr>
        <w:t xml:space="preserve"> </w:t>
      </w:r>
      <w:r>
        <w:t>population,</w:t>
      </w:r>
      <w:r>
        <w:rPr>
          <w:spacing w:val="-13"/>
        </w:rPr>
        <w:t xml:space="preserve"> </w:t>
      </w:r>
      <w:r>
        <w:t>inflation,</w:t>
      </w:r>
      <w:r>
        <w:rPr>
          <w:spacing w:val="-13"/>
        </w:rPr>
        <w:t xml:space="preserve"> </w:t>
      </w:r>
      <w:r>
        <w:t>or</w:t>
      </w:r>
      <w:r>
        <w:rPr>
          <w:spacing w:val="-14"/>
        </w:rPr>
        <w:t xml:space="preserve"> </w:t>
      </w:r>
      <w:r>
        <w:t>sectoral</w:t>
      </w:r>
      <w:r>
        <w:rPr>
          <w:spacing w:val="-13"/>
        </w:rPr>
        <w:t xml:space="preserve"> </w:t>
      </w:r>
      <w:r>
        <w:t>growth,</w:t>
      </w:r>
      <w:r>
        <w:rPr>
          <w:spacing w:val="-13"/>
        </w:rPr>
        <w:t xml:space="preserve"> </w:t>
      </w:r>
      <w:r>
        <w:t>along</w:t>
      </w:r>
      <w:r>
        <w:rPr>
          <w:spacing w:val="-13"/>
        </w:rPr>
        <w:t xml:space="preserve"> </w:t>
      </w:r>
      <w:r>
        <w:t>with</w:t>
      </w:r>
      <w:r>
        <w:rPr>
          <w:spacing w:val="-9"/>
        </w:rPr>
        <w:t xml:space="preserve"> </w:t>
      </w:r>
      <w:r>
        <w:t>correlation</w:t>
      </w:r>
      <w:r>
        <w:rPr>
          <w:spacing w:val="-10"/>
        </w:rPr>
        <w:t xml:space="preserve"> </w:t>
      </w:r>
      <w:r>
        <w:t>analyses</w:t>
      </w:r>
      <w:r>
        <w:rPr>
          <w:spacing w:val="-13"/>
        </w:rPr>
        <w:t xml:space="preserve"> </w:t>
      </w:r>
      <w:r>
        <w:rPr>
          <w:b/>
        </w:rPr>
        <w:t>-</w:t>
      </w:r>
      <w:r>
        <w:rPr>
          <w:b/>
          <w:spacing w:val="-11"/>
        </w:rPr>
        <w:t xml:space="preserve"> </w:t>
      </w:r>
      <w:r>
        <w:t xml:space="preserve">help </w:t>
      </w:r>
      <w:r>
        <w:rPr>
          <w:spacing w:val="-2"/>
        </w:rPr>
        <w:t>in identifying the determinants of</w:t>
      </w:r>
      <w:r>
        <w:rPr>
          <w:spacing w:val="-4"/>
        </w:rPr>
        <w:t xml:space="preserve"> </w:t>
      </w:r>
      <w:r>
        <w:rPr>
          <w:spacing w:val="-2"/>
        </w:rPr>
        <w:t>expenditure</w:t>
      </w:r>
      <w:r>
        <w:rPr>
          <w:spacing w:val="-5"/>
        </w:rPr>
        <w:t xml:space="preserve"> </w:t>
      </w:r>
      <w:r>
        <w:rPr>
          <w:spacing w:val="-2"/>
        </w:rPr>
        <w:t xml:space="preserve">behaviour and understanding long-term fiscal </w:t>
      </w:r>
      <w:r>
        <w:t xml:space="preserve">patterns. Within this analytical framework, interest payments together with salaries, pensions, and subsidies constitute the core of the state’s </w:t>
      </w:r>
      <w:r>
        <w:rPr>
          <w:i/>
        </w:rPr>
        <w:t>committed expenditure</w:t>
      </w:r>
      <w:r>
        <w:t>, which, being mandatory in nature, renders the expenditure structure rigid and limits fiscal flexibility. The burden of these obligations is assessed through ratios such as Interest Payments to Revenue Receipts (IP/RR), IP/RE, IP/TE, and similarly Committed Expenditure</w:t>
      </w:r>
      <w:r>
        <w:rPr>
          <w:spacing w:val="-4"/>
        </w:rPr>
        <w:t xml:space="preserve"> </w:t>
      </w:r>
      <w:r>
        <w:t>to</w:t>
      </w:r>
      <w:r>
        <w:rPr>
          <w:spacing w:val="-2"/>
        </w:rPr>
        <w:t xml:space="preserve"> </w:t>
      </w:r>
      <w:r>
        <w:t>RR,</w:t>
      </w:r>
      <w:r>
        <w:rPr>
          <w:spacing w:val="-2"/>
        </w:rPr>
        <w:t xml:space="preserve"> </w:t>
      </w:r>
      <w:r>
        <w:t>RE,</w:t>
      </w:r>
      <w:r>
        <w:rPr>
          <w:spacing w:val="-2"/>
        </w:rPr>
        <w:t xml:space="preserve"> </w:t>
      </w:r>
      <w:r>
        <w:t>and</w:t>
      </w:r>
      <w:r>
        <w:rPr>
          <w:spacing w:val="-2"/>
        </w:rPr>
        <w:t xml:space="preserve"> </w:t>
      </w:r>
      <w:r>
        <w:t>TE,</w:t>
      </w:r>
      <w:r>
        <w:rPr>
          <w:spacing w:val="-2"/>
        </w:rPr>
        <w:t xml:space="preserve"> </w:t>
      </w:r>
      <w:r>
        <w:t>where</w:t>
      </w:r>
      <w:r>
        <w:rPr>
          <w:spacing w:val="-4"/>
        </w:rPr>
        <w:t xml:space="preserve"> </w:t>
      </w:r>
      <w:r>
        <w:t>higher</w:t>
      </w:r>
      <w:r>
        <w:rPr>
          <w:spacing w:val="-2"/>
        </w:rPr>
        <w:t xml:space="preserve"> </w:t>
      </w:r>
      <w:r>
        <w:t>ratios</w:t>
      </w:r>
      <w:r>
        <w:rPr>
          <w:spacing w:val="-2"/>
        </w:rPr>
        <w:t xml:space="preserve"> </w:t>
      </w:r>
      <w:r>
        <w:t>indicate</w:t>
      </w:r>
      <w:r>
        <w:rPr>
          <w:spacing w:val="-2"/>
        </w:rPr>
        <w:t xml:space="preserve"> </w:t>
      </w:r>
      <w:r>
        <w:t>that</w:t>
      </w:r>
      <w:r>
        <w:rPr>
          <w:spacing w:val="-2"/>
        </w:rPr>
        <w:t xml:space="preserve"> </w:t>
      </w:r>
      <w:r>
        <w:t>a</w:t>
      </w:r>
      <w:r>
        <w:rPr>
          <w:spacing w:val="-2"/>
        </w:rPr>
        <w:t xml:space="preserve"> </w:t>
      </w:r>
      <w:r>
        <w:t>larger</w:t>
      </w:r>
      <w:r>
        <w:rPr>
          <w:spacing w:val="-2"/>
        </w:rPr>
        <w:t xml:space="preserve"> </w:t>
      </w:r>
      <w:r>
        <w:t>share</w:t>
      </w:r>
      <w:r>
        <w:rPr>
          <w:spacing w:val="-4"/>
        </w:rPr>
        <w:t xml:space="preserve"> </w:t>
      </w:r>
      <w:r>
        <w:t>of</w:t>
      </w:r>
      <w:r>
        <w:rPr>
          <w:spacing w:val="-1"/>
        </w:rPr>
        <w:t xml:space="preserve"> </w:t>
      </w:r>
      <w:r>
        <w:t>revenue is pre-empted by inflexible liabilities. Indicators like IP/GSDP and Committed Expenditure/GSDP further highlight the pressure these obligations exert relative to the state’s income-generating capacity. Rising values of these ratios increase fiscal stress, weaken debt sustainability, and substantially reduce the fiscal space available for productive and capital expenditure, thereby constraining long-term growth and development potential. This underscores the need for prudent debt management, stronger revenue mobilisation, and more efficient prioritisation of public spending.</w:t>
      </w:r>
    </w:p>
    <w:p w14:paraId="0988BC57" w14:textId="77777777" w:rsidR="00403586" w:rsidRDefault="00403586">
      <w:pPr>
        <w:pStyle w:val="BodyText"/>
        <w:spacing w:before="41" w:line="276" w:lineRule="auto"/>
        <w:ind w:left="720" w:right="663"/>
        <w:jc w:val="both"/>
      </w:pPr>
    </w:p>
    <w:p w14:paraId="120391F8" w14:textId="77777777" w:rsidR="007F713D" w:rsidRDefault="00B70B8E">
      <w:pPr>
        <w:pStyle w:val="ListParagraph"/>
        <w:numPr>
          <w:ilvl w:val="0"/>
          <w:numId w:val="4"/>
        </w:numPr>
        <w:tabs>
          <w:tab w:val="left" w:pos="1439"/>
        </w:tabs>
        <w:ind w:left="1439" w:hanging="719"/>
        <w:jc w:val="both"/>
        <w:rPr>
          <w:i/>
          <w:sz w:val="24"/>
        </w:rPr>
      </w:pPr>
      <w:r>
        <w:rPr>
          <w:i/>
          <w:sz w:val="24"/>
        </w:rPr>
        <w:t>Debt</w:t>
      </w:r>
      <w:r>
        <w:rPr>
          <w:i/>
          <w:spacing w:val="-2"/>
          <w:sz w:val="24"/>
        </w:rPr>
        <w:t xml:space="preserve"> Sustainability</w:t>
      </w:r>
    </w:p>
    <w:p w14:paraId="2E0382C7" w14:textId="77777777" w:rsidR="007F713D" w:rsidRDefault="00B70B8E">
      <w:pPr>
        <w:pStyle w:val="BodyText"/>
        <w:spacing w:before="43" w:line="276" w:lineRule="auto"/>
        <w:ind w:left="720" w:right="663"/>
        <w:jc w:val="both"/>
      </w:pPr>
      <w:r>
        <w:t xml:space="preserve">The Debt–GSDP ratio is a core indicator widely used by the Finance Commission </w:t>
      </w:r>
      <w:r>
        <w:rPr>
          <w:i/>
        </w:rPr>
        <w:t>(in various reports and documents, various issues)</w:t>
      </w:r>
      <w:r>
        <w:t xml:space="preserve">, the Reserve Bank of India </w:t>
      </w:r>
      <w:r>
        <w:rPr>
          <w:i/>
        </w:rPr>
        <w:t>(in various documents, various issues)</w:t>
      </w:r>
      <w:r>
        <w:t>, and fiscal policy bodies to assess the</w:t>
      </w:r>
      <w:r>
        <w:rPr>
          <w:spacing w:val="-1"/>
        </w:rPr>
        <w:t xml:space="preserve"> </w:t>
      </w:r>
      <w:r>
        <w:t>sustainability of</w:t>
      </w:r>
      <w:r>
        <w:rPr>
          <w:spacing w:val="-1"/>
        </w:rPr>
        <w:t xml:space="preserve"> </w:t>
      </w:r>
      <w:r>
        <w:t>a</w:t>
      </w:r>
      <w:r>
        <w:rPr>
          <w:spacing w:val="-1"/>
        </w:rPr>
        <w:t xml:space="preserve"> </w:t>
      </w:r>
      <w:r>
        <w:t>state’s debt burden. It measures the stock of outstanding debt relative to the size of the state’s economy and reflects the economy’s capacity to service and absorb public debt. A lower ratio</w:t>
      </w:r>
      <w:r>
        <w:rPr>
          <w:spacing w:val="-15"/>
        </w:rPr>
        <w:t xml:space="preserve"> </w:t>
      </w:r>
      <w:r>
        <w:t>indicates</w:t>
      </w:r>
      <w:r>
        <w:rPr>
          <w:spacing w:val="-15"/>
        </w:rPr>
        <w:t xml:space="preserve"> </w:t>
      </w:r>
      <w:r>
        <w:t>that</w:t>
      </w:r>
      <w:r>
        <w:rPr>
          <w:spacing w:val="-15"/>
        </w:rPr>
        <w:t xml:space="preserve"> </w:t>
      </w:r>
      <w:r>
        <w:t>the</w:t>
      </w:r>
      <w:r>
        <w:rPr>
          <w:spacing w:val="-15"/>
        </w:rPr>
        <w:t xml:space="preserve"> </w:t>
      </w:r>
      <w:r>
        <w:t>state’s</w:t>
      </w:r>
      <w:r>
        <w:rPr>
          <w:spacing w:val="-15"/>
        </w:rPr>
        <w:t xml:space="preserve"> </w:t>
      </w:r>
      <w:r>
        <w:t>income</w:t>
      </w:r>
      <w:r>
        <w:rPr>
          <w:spacing w:val="-15"/>
        </w:rPr>
        <w:t xml:space="preserve"> </w:t>
      </w:r>
      <w:r>
        <w:t>base</w:t>
      </w:r>
      <w:r>
        <w:rPr>
          <w:spacing w:val="-15"/>
        </w:rPr>
        <w:t xml:space="preserve"> </w:t>
      </w:r>
      <w:r>
        <w:t>is</w:t>
      </w:r>
      <w:r>
        <w:rPr>
          <w:spacing w:val="-15"/>
        </w:rPr>
        <w:t xml:space="preserve"> </w:t>
      </w:r>
      <w:r>
        <w:t>sufficiently</w:t>
      </w:r>
      <w:r>
        <w:rPr>
          <w:spacing w:val="-15"/>
        </w:rPr>
        <w:t xml:space="preserve"> </w:t>
      </w:r>
      <w:r>
        <w:t>large</w:t>
      </w:r>
      <w:r>
        <w:rPr>
          <w:spacing w:val="-15"/>
        </w:rPr>
        <w:t xml:space="preserve"> </w:t>
      </w:r>
      <w:r>
        <w:t>to</w:t>
      </w:r>
      <w:r>
        <w:rPr>
          <w:spacing w:val="-15"/>
        </w:rPr>
        <w:t xml:space="preserve"> </w:t>
      </w:r>
      <w:r>
        <w:t>support</w:t>
      </w:r>
      <w:r>
        <w:rPr>
          <w:spacing w:val="-15"/>
        </w:rPr>
        <w:t xml:space="preserve"> </w:t>
      </w:r>
      <w:r>
        <w:t>its</w:t>
      </w:r>
      <w:r>
        <w:rPr>
          <w:spacing w:val="-15"/>
        </w:rPr>
        <w:t xml:space="preserve"> </w:t>
      </w:r>
      <w:r>
        <w:t>liabilities,</w:t>
      </w:r>
      <w:r>
        <w:rPr>
          <w:spacing w:val="-15"/>
        </w:rPr>
        <w:t xml:space="preserve"> </w:t>
      </w:r>
      <w:r>
        <w:t xml:space="preserve">while a higher ratio signals rising fiscal stress, reduced borrowing space, and potential </w:t>
      </w:r>
      <w:r>
        <w:lastRenderedPageBreak/>
        <w:t>vulnerability</w:t>
      </w:r>
      <w:r>
        <w:rPr>
          <w:spacing w:val="-10"/>
        </w:rPr>
        <w:t xml:space="preserve"> </w:t>
      </w:r>
      <w:r>
        <w:t>to</w:t>
      </w:r>
      <w:r>
        <w:rPr>
          <w:spacing w:val="-9"/>
        </w:rPr>
        <w:t xml:space="preserve"> </w:t>
      </w:r>
      <w:r>
        <w:t>macroeconomic</w:t>
      </w:r>
      <w:r>
        <w:rPr>
          <w:spacing w:val="-11"/>
        </w:rPr>
        <w:t xml:space="preserve"> </w:t>
      </w:r>
      <w:r>
        <w:t>shocks.</w:t>
      </w:r>
      <w:r>
        <w:rPr>
          <w:spacing w:val="-9"/>
        </w:rPr>
        <w:t xml:space="preserve"> </w:t>
      </w:r>
      <w:r>
        <w:t>Although</w:t>
      </w:r>
      <w:r>
        <w:rPr>
          <w:spacing w:val="-8"/>
        </w:rPr>
        <w:t xml:space="preserve"> </w:t>
      </w:r>
      <w:r>
        <w:t>a</w:t>
      </w:r>
      <w:r>
        <w:rPr>
          <w:spacing w:val="-11"/>
        </w:rPr>
        <w:t xml:space="preserve"> </w:t>
      </w:r>
      <w:r>
        <w:t>moderate</w:t>
      </w:r>
      <w:r>
        <w:rPr>
          <w:spacing w:val="-8"/>
        </w:rPr>
        <w:t xml:space="preserve"> </w:t>
      </w:r>
      <w:r>
        <w:t>ratio</w:t>
      </w:r>
      <w:r>
        <w:rPr>
          <w:spacing w:val="-10"/>
        </w:rPr>
        <w:t xml:space="preserve"> </w:t>
      </w:r>
      <w:r>
        <w:t>may</w:t>
      </w:r>
      <w:r>
        <w:rPr>
          <w:spacing w:val="-8"/>
        </w:rPr>
        <w:t xml:space="preserve"> </w:t>
      </w:r>
      <w:r>
        <w:t>not</w:t>
      </w:r>
      <w:r>
        <w:rPr>
          <w:spacing w:val="-8"/>
        </w:rPr>
        <w:t xml:space="preserve"> </w:t>
      </w:r>
      <w:r>
        <w:t>be</w:t>
      </w:r>
      <w:r>
        <w:rPr>
          <w:spacing w:val="-11"/>
        </w:rPr>
        <w:t xml:space="preserve"> </w:t>
      </w:r>
      <w:r>
        <w:t>problematic in itself, its interpretation depends critically on the state’s growth performance, interest burden,</w:t>
      </w:r>
      <w:r>
        <w:rPr>
          <w:spacing w:val="-12"/>
        </w:rPr>
        <w:t xml:space="preserve"> </w:t>
      </w:r>
      <w:r>
        <w:t>and</w:t>
      </w:r>
      <w:r>
        <w:rPr>
          <w:spacing w:val="-12"/>
        </w:rPr>
        <w:t xml:space="preserve"> </w:t>
      </w:r>
      <w:r>
        <w:t>primary</w:t>
      </w:r>
      <w:r>
        <w:rPr>
          <w:spacing w:val="-12"/>
        </w:rPr>
        <w:t xml:space="preserve"> </w:t>
      </w:r>
      <w:r>
        <w:t>balance.</w:t>
      </w:r>
      <w:r>
        <w:rPr>
          <w:spacing w:val="-12"/>
        </w:rPr>
        <w:t xml:space="preserve"> </w:t>
      </w:r>
      <w:r>
        <w:t>Persistent</w:t>
      </w:r>
      <w:r>
        <w:rPr>
          <w:spacing w:val="-11"/>
        </w:rPr>
        <w:t xml:space="preserve"> </w:t>
      </w:r>
      <w:r>
        <w:t>increases</w:t>
      </w:r>
      <w:r>
        <w:rPr>
          <w:spacing w:val="-11"/>
        </w:rPr>
        <w:t xml:space="preserve"> </w:t>
      </w:r>
      <w:r>
        <w:t>in</w:t>
      </w:r>
      <w:r>
        <w:rPr>
          <w:spacing w:val="-11"/>
        </w:rPr>
        <w:t xml:space="preserve"> </w:t>
      </w:r>
      <w:r>
        <w:t>the</w:t>
      </w:r>
      <w:r>
        <w:rPr>
          <w:spacing w:val="-12"/>
        </w:rPr>
        <w:t xml:space="preserve"> </w:t>
      </w:r>
      <w:r>
        <w:t>Debt–GSDP</w:t>
      </w:r>
      <w:r>
        <w:rPr>
          <w:spacing w:val="-11"/>
        </w:rPr>
        <w:t xml:space="preserve"> </w:t>
      </w:r>
      <w:r>
        <w:t>ratio</w:t>
      </w:r>
      <w:r>
        <w:rPr>
          <w:spacing w:val="-12"/>
        </w:rPr>
        <w:t xml:space="preserve"> </w:t>
      </w:r>
      <w:r>
        <w:t>typically</w:t>
      </w:r>
      <w:r>
        <w:rPr>
          <w:spacing w:val="-12"/>
        </w:rPr>
        <w:t xml:space="preserve"> </w:t>
      </w:r>
      <w:r>
        <w:t>suggest structural</w:t>
      </w:r>
      <w:r>
        <w:rPr>
          <w:spacing w:val="-10"/>
        </w:rPr>
        <w:t xml:space="preserve"> </w:t>
      </w:r>
      <w:r>
        <w:t>fiscal</w:t>
      </w:r>
      <w:r>
        <w:rPr>
          <w:spacing w:val="-10"/>
        </w:rPr>
        <w:t xml:space="preserve"> </w:t>
      </w:r>
      <w:r>
        <w:t>pressures</w:t>
      </w:r>
      <w:r>
        <w:rPr>
          <w:spacing w:val="-8"/>
        </w:rPr>
        <w:t xml:space="preserve"> </w:t>
      </w:r>
      <w:r>
        <w:t>and</w:t>
      </w:r>
      <w:r>
        <w:rPr>
          <w:spacing w:val="-11"/>
        </w:rPr>
        <w:t xml:space="preserve"> </w:t>
      </w:r>
      <w:r>
        <w:t>the</w:t>
      </w:r>
      <w:r>
        <w:rPr>
          <w:spacing w:val="-11"/>
        </w:rPr>
        <w:t xml:space="preserve"> </w:t>
      </w:r>
      <w:r>
        <w:t>need</w:t>
      </w:r>
      <w:r>
        <w:rPr>
          <w:spacing w:val="-11"/>
        </w:rPr>
        <w:t xml:space="preserve"> </w:t>
      </w:r>
      <w:r>
        <w:t>for</w:t>
      </w:r>
      <w:r>
        <w:rPr>
          <w:spacing w:val="-11"/>
        </w:rPr>
        <w:t xml:space="preserve"> </w:t>
      </w:r>
      <w:r>
        <w:t>consolidation</w:t>
      </w:r>
      <w:r>
        <w:rPr>
          <w:spacing w:val="-11"/>
        </w:rPr>
        <w:t xml:space="preserve"> </w:t>
      </w:r>
      <w:r>
        <w:t>measures</w:t>
      </w:r>
      <w:r>
        <w:rPr>
          <w:spacing w:val="-10"/>
        </w:rPr>
        <w:t xml:space="preserve"> </w:t>
      </w:r>
      <w:r>
        <w:t>to</w:t>
      </w:r>
      <w:r>
        <w:rPr>
          <w:spacing w:val="-8"/>
        </w:rPr>
        <w:t xml:space="preserve"> </w:t>
      </w:r>
      <w:r>
        <w:t>ensure</w:t>
      </w:r>
      <w:r>
        <w:rPr>
          <w:spacing w:val="-8"/>
        </w:rPr>
        <w:t xml:space="preserve"> </w:t>
      </w:r>
      <w:r>
        <w:t>long-term</w:t>
      </w:r>
      <w:r>
        <w:rPr>
          <w:spacing w:val="-10"/>
        </w:rPr>
        <w:t xml:space="preserve"> </w:t>
      </w:r>
      <w:r>
        <w:t xml:space="preserve">debt </w:t>
      </w:r>
      <w:r>
        <w:rPr>
          <w:spacing w:val="-2"/>
        </w:rPr>
        <w:t>sustainability.</w:t>
      </w:r>
    </w:p>
    <w:p w14:paraId="57BCE229" w14:textId="77777777" w:rsidR="007F713D" w:rsidRDefault="007F713D">
      <w:pPr>
        <w:pStyle w:val="BodyText"/>
        <w:spacing w:before="42"/>
      </w:pPr>
    </w:p>
    <w:p w14:paraId="043D1EE2" w14:textId="77777777" w:rsidR="007F713D" w:rsidRDefault="00B70B8E">
      <w:pPr>
        <w:ind w:left="720"/>
        <w:jc w:val="both"/>
        <w:rPr>
          <w:i/>
          <w:sz w:val="24"/>
        </w:rPr>
      </w:pPr>
      <w:r>
        <w:rPr>
          <w:i/>
          <w:sz w:val="24"/>
        </w:rPr>
        <w:t>Integrated</w:t>
      </w:r>
      <w:r>
        <w:rPr>
          <w:i/>
          <w:spacing w:val="-2"/>
          <w:sz w:val="24"/>
        </w:rPr>
        <w:t xml:space="preserve"> </w:t>
      </w:r>
      <w:r>
        <w:rPr>
          <w:i/>
          <w:sz w:val="24"/>
        </w:rPr>
        <w:t>Debt</w:t>
      </w:r>
      <w:r>
        <w:rPr>
          <w:i/>
          <w:spacing w:val="-2"/>
          <w:sz w:val="24"/>
        </w:rPr>
        <w:t xml:space="preserve"> </w:t>
      </w:r>
      <w:r>
        <w:rPr>
          <w:i/>
          <w:sz w:val="24"/>
        </w:rPr>
        <w:t>Sustainability</w:t>
      </w:r>
      <w:r>
        <w:rPr>
          <w:i/>
          <w:spacing w:val="-3"/>
          <w:sz w:val="24"/>
        </w:rPr>
        <w:t xml:space="preserve"> </w:t>
      </w:r>
      <w:r>
        <w:rPr>
          <w:i/>
          <w:sz w:val="24"/>
        </w:rPr>
        <w:t>Assessment</w:t>
      </w:r>
      <w:r>
        <w:rPr>
          <w:i/>
          <w:spacing w:val="-1"/>
          <w:sz w:val="24"/>
        </w:rPr>
        <w:t xml:space="preserve"> </w:t>
      </w:r>
      <w:r>
        <w:rPr>
          <w:i/>
          <w:spacing w:val="-2"/>
          <w:sz w:val="24"/>
        </w:rPr>
        <w:t>Framework</w:t>
      </w:r>
    </w:p>
    <w:p w14:paraId="37D66B5D" w14:textId="77777777" w:rsidR="007F713D" w:rsidRDefault="00B70B8E">
      <w:pPr>
        <w:pStyle w:val="BodyText"/>
        <w:spacing w:before="41" w:line="276" w:lineRule="auto"/>
        <w:ind w:left="720" w:right="668"/>
        <w:jc w:val="both"/>
      </w:pPr>
      <w:r>
        <w:t>Debt</w:t>
      </w:r>
      <w:r>
        <w:rPr>
          <w:spacing w:val="-14"/>
        </w:rPr>
        <w:t xml:space="preserve"> </w:t>
      </w:r>
      <w:r>
        <w:t>sustainability</w:t>
      </w:r>
      <w:r>
        <w:rPr>
          <w:spacing w:val="-14"/>
        </w:rPr>
        <w:t xml:space="preserve"> </w:t>
      </w:r>
      <w:r>
        <w:t>is</w:t>
      </w:r>
      <w:r>
        <w:rPr>
          <w:spacing w:val="-13"/>
        </w:rPr>
        <w:t xml:space="preserve"> </w:t>
      </w:r>
      <w:r>
        <w:t>assessed</w:t>
      </w:r>
      <w:r>
        <w:rPr>
          <w:spacing w:val="-15"/>
        </w:rPr>
        <w:t xml:space="preserve"> </w:t>
      </w:r>
      <w:r>
        <w:t>through</w:t>
      </w:r>
      <w:r>
        <w:rPr>
          <w:spacing w:val="-14"/>
        </w:rPr>
        <w:t xml:space="preserve"> </w:t>
      </w:r>
      <w:r>
        <w:t>a</w:t>
      </w:r>
      <w:r>
        <w:rPr>
          <w:spacing w:val="-15"/>
        </w:rPr>
        <w:t xml:space="preserve"> </w:t>
      </w:r>
      <w:r>
        <w:t>combination</w:t>
      </w:r>
      <w:r>
        <w:rPr>
          <w:spacing w:val="-14"/>
        </w:rPr>
        <w:t xml:space="preserve"> </w:t>
      </w:r>
      <w:r>
        <w:t>of</w:t>
      </w:r>
      <w:r>
        <w:rPr>
          <w:spacing w:val="-15"/>
        </w:rPr>
        <w:t xml:space="preserve"> </w:t>
      </w:r>
      <w:r>
        <w:t>macro-fiscal</w:t>
      </w:r>
      <w:r>
        <w:rPr>
          <w:spacing w:val="-14"/>
        </w:rPr>
        <w:t xml:space="preserve"> </w:t>
      </w:r>
      <w:r>
        <w:t>indicators,</w:t>
      </w:r>
      <w:r>
        <w:rPr>
          <w:spacing w:val="-15"/>
        </w:rPr>
        <w:t xml:space="preserve"> </w:t>
      </w:r>
      <w:r>
        <w:t>theoretical models,</w:t>
      </w:r>
      <w:r>
        <w:rPr>
          <w:spacing w:val="-2"/>
        </w:rPr>
        <w:t xml:space="preserve"> </w:t>
      </w:r>
      <w:r>
        <w:t>and</w:t>
      </w:r>
      <w:r>
        <w:rPr>
          <w:spacing w:val="-2"/>
        </w:rPr>
        <w:t xml:space="preserve"> </w:t>
      </w:r>
      <w:r>
        <w:t>econometric</w:t>
      </w:r>
      <w:r>
        <w:rPr>
          <w:spacing w:val="-1"/>
        </w:rPr>
        <w:t xml:space="preserve"> </w:t>
      </w:r>
      <w:r>
        <w:t>diagnostics</w:t>
      </w:r>
      <w:r>
        <w:rPr>
          <w:spacing w:val="-2"/>
        </w:rPr>
        <w:t xml:space="preserve"> </w:t>
      </w:r>
      <w:r>
        <w:t>to</w:t>
      </w:r>
      <w:r>
        <w:rPr>
          <w:spacing w:val="-2"/>
        </w:rPr>
        <w:t xml:space="preserve"> </w:t>
      </w:r>
      <w:r>
        <w:t>capture</w:t>
      </w:r>
      <w:r>
        <w:rPr>
          <w:spacing w:val="-4"/>
        </w:rPr>
        <w:t xml:space="preserve"> </w:t>
      </w:r>
      <w:r>
        <w:t>both</w:t>
      </w:r>
      <w:r>
        <w:rPr>
          <w:spacing w:val="-2"/>
        </w:rPr>
        <w:t xml:space="preserve"> </w:t>
      </w:r>
      <w:r>
        <w:t>the</w:t>
      </w:r>
      <w:r>
        <w:rPr>
          <w:spacing w:val="-3"/>
        </w:rPr>
        <w:t xml:space="preserve"> </w:t>
      </w:r>
      <w:r>
        <w:t>static</w:t>
      </w:r>
      <w:r>
        <w:rPr>
          <w:spacing w:val="-3"/>
        </w:rPr>
        <w:t xml:space="preserve"> </w:t>
      </w:r>
      <w:r>
        <w:t>and</w:t>
      </w:r>
      <w:r>
        <w:rPr>
          <w:spacing w:val="-2"/>
        </w:rPr>
        <w:t xml:space="preserve"> </w:t>
      </w:r>
      <w:r>
        <w:t>dynamic</w:t>
      </w:r>
      <w:r>
        <w:rPr>
          <w:spacing w:val="-3"/>
        </w:rPr>
        <w:t xml:space="preserve"> </w:t>
      </w:r>
      <w:r>
        <w:t>dimensions</w:t>
      </w:r>
      <w:r>
        <w:rPr>
          <w:spacing w:val="-2"/>
        </w:rPr>
        <w:t xml:space="preserve"> </w:t>
      </w:r>
      <w:r>
        <w:t>of debt</w:t>
      </w:r>
      <w:r>
        <w:rPr>
          <w:spacing w:val="2"/>
        </w:rPr>
        <w:t xml:space="preserve"> </w:t>
      </w:r>
      <w:r>
        <w:t>behaviour.</w:t>
      </w:r>
      <w:r>
        <w:rPr>
          <w:spacing w:val="5"/>
        </w:rPr>
        <w:t xml:space="preserve"> </w:t>
      </w:r>
      <w:r>
        <w:t>A</w:t>
      </w:r>
      <w:r>
        <w:rPr>
          <w:spacing w:val="6"/>
        </w:rPr>
        <w:t xml:space="preserve"> </w:t>
      </w:r>
      <w:r>
        <w:t>central</w:t>
      </w:r>
      <w:r>
        <w:rPr>
          <w:spacing w:val="4"/>
        </w:rPr>
        <w:t xml:space="preserve"> </w:t>
      </w:r>
      <w:r>
        <w:t>tool</w:t>
      </w:r>
      <w:r>
        <w:rPr>
          <w:spacing w:val="4"/>
        </w:rPr>
        <w:t xml:space="preserve"> </w:t>
      </w:r>
      <w:r>
        <w:t>is</w:t>
      </w:r>
      <w:r>
        <w:rPr>
          <w:spacing w:val="5"/>
        </w:rPr>
        <w:t xml:space="preserve"> </w:t>
      </w:r>
      <w:r>
        <w:t>the</w:t>
      </w:r>
      <w:r>
        <w:rPr>
          <w:spacing w:val="6"/>
        </w:rPr>
        <w:t xml:space="preserve"> </w:t>
      </w:r>
      <w:r>
        <w:t>interest–growth</w:t>
      </w:r>
      <w:r>
        <w:rPr>
          <w:spacing w:val="5"/>
        </w:rPr>
        <w:t xml:space="preserve"> </w:t>
      </w:r>
      <w:r>
        <w:t>differential</w:t>
      </w:r>
      <w:r>
        <w:rPr>
          <w:spacing w:val="4"/>
        </w:rPr>
        <w:t xml:space="preserve"> </w:t>
      </w:r>
      <w:r>
        <w:t>(r</w:t>
      </w:r>
      <w:r>
        <w:rPr>
          <w:spacing w:val="5"/>
        </w:rPr>
        <w:t xml:space="preserve"> </w:t>
      </w:r>
      <w:r>
        <w:t>–</w:t>
      </w:r>
      <w:r>
        <w:rPr>
          <w:spacing w:val="5"/>
        </w:rPr>
        <w:t xml:space="preserve"> </w:t>
      </w:r>
      <w:r>
        <w:t>g),</w:t>
      </w:r>
      <w:r>
        <w:rPr>
          <w:spacing w:val="5"/>
        </w:rPr>
        <w:t xml:space="preserve"> </w:t>
      </w:r>
      <w:r>
        <w:t>which</w:t>
      </w:r>
      <w:r>
        <w:rPr>
          <w:spacing w:val="4"/>
        </w:rPr>
        <w:t xml:space="preserve"> </w:t>
      </w:r>
      <w:r>
        <w:rPr>
          <w:spacing w:val="-2"/>
        </w:rPr>
        <w:t>determines</w:t>
      </w:r>
    </w:p>
    <w:p w14:paraId="119F04D1" w14:textId="77777777" w:rsidR="007F713D" w:rsidRDefault="007F713D">
      <w:pPr>
        <w:pStyle w:val="BodyText"/>
        <w:spacing w:line="276" w:lineRule="auto"/>
        <w:jc w:val="both"/>
      </w:pPr>
    </w:p>
    <w:p w14:paraId="681747E6" w14:textId="77777777" w:rsidR="007F713D" w:rsidRDefault="00B70B8E">
      <w:pPr>
        <w:pStyle w:val="BodyText"/>
        <w:spacing w:before="61" w:line="276" w:lineRule="auto"/>
        <w:ind w:left="720" w:right="665"/>
        <w:jc w:val="both"/>
      </w:pPr>
      <w:r>
        <w:t>whether debt expands faster than the state’s economic capacity. When the interest rate on public debt exceeds the GSDP growth rate (r &gt; g), debt rises automatically even without new borrowing, creating upward pressure on the debt trajectory. As Mahmood and Rauf (2012)</w:t>
      </w:r>
      <w:r>
        <w:rPr>
          <w:spacing w:val="-7"/>
        </w:rPr>
        <w:t xml:space="preserve"> </w:t>
      </w:r>
      <w:r>
        <w:t>emphasize,</w:t>
      </w:r>
      <w:r>
        <w:rPr>
          <w:spacing w:val="-6"/>
        </w:rPr>
        <w:t xml:space="preserve"> </w:t>
      </w:r>
      <w:r>
        <w:t>a</w:t>
      </w:r>
      <w:r>
        <w:rPr>
          <w:spacing w:val="-7"/>
        </w:rPr>
        <w:t xml:space="preserve"> </w:t>
      </w:r>
      <w:r>
        <w:t>persistent</w:t>
      </w:r>
      <w:r>
        <w:rPr>
          <w:spacing w:val="-6"/>
        </w:rPr>
        <w:t xml:space="preserve"> </w:t>
      </w:r>
      <w:r>
        <w:t>positive</w:t>
      </w:r>
      <w:r>
        <w:rPr>
          <w:spacing w:val="-7"/>
        </w:rPr>
        <w:t xml:space="preserve"> </w:t>
      </w:r>
      <w:r>
        <w:t>r–g</w:t>
      </w:r>
      <w:r>
        <w:rPr>
          <w:spacing w:val="-6"/>
        </w:rPr>
        <w:t xml:space="preserve"> </w:t>
      </w:r>
      <w:r>
        <w:t>gap</w:t>
      </w:r>
      <w:r>
        <w:rPr>
          <w:spacing w:val="-8"/>
        </w:rPr>
        <w:t xml:space="preserve"> </w:t>
      </w:r>
      <w:r>
        <w:t>leads</w:t>
      </w:r>
      <w:r>
        <w:rPr>
          <w:spacing w:val="-6"/>
        </w:rPr>
        <w:t xml:space="preserve"> </w:t>
      </w:r>
      <w:r>
        <w:t>to</w:t>
      </w:r>
      <w:r>
        <w:rPr>
          <w:spacing w:val="-5"/>
        </w:rPr>
        <w:t xml:space="preserve"> </w:t>
      </w:r>
      <w:r>
        <w:t>inherently</w:t>
      </w:r>
      <w:r>
        <w:rPr>
          <w:spacing w:val="-6"/>
        </w:rPr>
        <w:t xml:space="preserve"> </w:t>
      </w:r>
      <w:r>
        <w:t>unstable</w:t>
      </w:r>
      <w:r>
        <w:rPr>
          <w:spacing w:val="-9"/>
        </w:rPr>
        <w:t xml:space="preserve"> </w:t>
      </w:r>
      <w:r>
        <w:t>debt</w:t>
      </w:r>
      <w:r>
        <w:rPr>
          <w:spacing w:val="-5"/>
        </w:rPr>
        <w:t xml:space="preserve"> </w:t>
      </w:r>
      <w:r>
        <w:t xml:space="preserve">dynamics, while </w:t>
      </w:r>
      <w:r>
        <w:rPr>
          <w:i/>
        </w:rPr>
        <w:t xml:space="preserve">Maurya (2016) </w:t>
      </w:r>
      <w:r>
        <w:t>highlights that such conditions heighten rollover risks and weaken long-term fiscal credibility.</w:t>
      </w:r>
    </w:p>
    <w:p w14:paraId="602E2070" w14:textId="77777777" w:rsidR="007F713D" w:rsidRDefault="007F713D">
      <w:pPr>
        <w:pStyle w:val="BodyText"/>
        <w:spacing w:before="6"/>
      </w:pPr>
    </w:p>
    <w:p w14:paraId="649F5961" w14:textId="77777777" w:rsidR="007F713D" w:rsidRDefault="00B70B8E">
      <w:pPr>
        <w:pStyle w:val="BodyText"/>
        <w:spacing w:line="276" w:lineRule="auto"/>
        <w:ind w:left="720" w:right="665"/>
        <w:jc w:val="both"/>
      </w:pPr>
      <w:r>
        <w:t>Complementing this, the Debt–GSDP ratio measures the scale of outstanding liabilities relative</w:t>
      </w:r>
      <w:r>
        <w:rPr>
          <w:spacing w:val="-4"/>
        </w:rPr>
        <w:t xml:space="preserve"> </w:t>
      </w:r>
      <w:r>
        <w:t>to</w:t>
      </w:r>
      <w:r>
        <w:rPr>
          <w:spacing w:val="-4"/>
        </w:rPr>
        <w:t xml:space="preserve"> </w:t>
      </w:r>
      <w:r>
        <w:t>the</w:t>
      </w:r>
      <w:r>
        <w:rPr>
          <w:spacing w:val="-4"/>
        </w:rPr>
        <w:t xml:space="preserve"> </w:t>
      </w:r>
      <w:r>
        <w:t>state’s</w:t>
      </w:r>
      <w:r>
        <w:rPr>
          <w:spacing w:val="-5"/>
        </w:rPr>
        <w:t xml:space="preserve"> </w:t>
      </w:r>
      <w:r>
        <w:t>economic</w:t>
      </w:r>
      <w:r>
        <w:rPr>
          <w:spacing w:val="-5"/>
        </w:rPr>
        <w:t xml:space="preserve"> </w:t>
      </w:r>
      <w:r>
        <w:t>output.</w:t>
      </w:r>
      <w:r>
        <w:rPr>
          <w:spacing w:val="-4"/>
        </w:rPr>
        <w:t xml:space="preserve"> </w:t>
      </w:r>
      <w:r>
        <w:t>Although</w:t>
      </w:r>
      <w:r>
        <w:rPr>
          <w:spacing w:val="-6"/>
        </w:rPr>
        <w:t xml:space="preserve"> </w:t>
      </w:r>
      <w:r>
        <w:t>moderate</w:t>
      </w:r>
      <w:r>
        <w:rPr>
          <w:spacing w:val="-4"/>
        </w:rPr>
        <w:t xml:space="preserve"> </w:t>
      </w:r>
      <w:r>
        <w:t>values</w:t>
      </w:r>
      <w:r>
        <w:rPr>
          <w:spacing w:val="-5"/>
        </w:rPr>
        <w:t xml:space="preserve"> </w:t>
      </w:r>
      <w:r>
        <w:t>may</w:t>
      </w:r>
      <w:r>
        <w:rPr>
          <w:spacing w:val="-4"/>
        </w:rPr>
        <w:t xml:space="preserve"> </w:t>
      </w:r>
      <w:r>
        <w:t>not</w:t>
      </w:r>
      <w:r>
        <w:rPr>
          <w:spacing w:val="-2"/>
        </w:rPr>
        <w:t xml:space="preserve"> </w:t>
      </w:r>
      <w:r>
        <w:t>be</w:t>
      </w:r>
      <w:r>
        <w:rPr>
          <w:spacing w:val="-5"/>
        </w:rPr>
        <w:t xml:space="preserve"> </w:t>
      </w:r>
      <w:r>
        <w:t>immediately alarming, their combination with a sustained r &gt; g scenario can gradually compress developmental</w:t>
      </w:r>
      <w:r>
        <w:rPr>
          <w:spacing w:val="-9"/>
        </w:rPr>
        <w:t xml:space="preserve"> </w:t>
      </w:r>
      <w:r>
        <w:t>spending</w:t>
      </w:r>
      <w:r>
        <w:rPr>
          <w:spacing w:val="-6"/>
        </w:rPr>
        <w:t xml:space="preserve"> </w:t>
      </w:r>
      <w:r>
        <w:t>and</w:t>
      </w:r>
      <w:r>
        <w:rPr>
          <w:spacing w:val="-9"/>
        </w:rPr>
        <w:t xml:space="preserve"> </w:t>
      </w:r>
      <w:r>
        <w:t>increase</w:t>
      </w:r>
      <w:r>
        <w:rPr>
          <w:spacing w:val="-10"/>
        </w:rPr>
        <w:t xml:space="preserve"> </w:t>
      </w:r>
      <w:r>
        <w:t>reliance</w:t>
      </w:r>
      <w:r>
        <w:rPr>
          <w:spacing w:val="-10"/>
        </w:rPr>
        <w:t xml:space="preserve"> </w:t>
      </w:r>
      <w:r>
        <w:t>on</w:t>
      </w:r>
      <w:r>
        <w:rPr>
          <w:spacing w:val="-7"/>
        </w:rPr>
        <w:t xml:space="preserve"> </w:t>
      </w:r>
      <w:r>
        <w:t>external</w:t>
      </w:r>
      <w:r>
        <w:rPr>
          <w:spacing w:val="-9"/>
        </w:rPr>
        <w:t xml:space="preserve"> </w:t>
      </w:r>
      <w:r>
        <w:t>sources</w:t>
      </w:r>
      <w:r>
        <w:rPr>
          <w:spacing w:val="-9"/>
        </w:rPr>
        <w:t xml:space="preserve"> </w:t>
      </w:r>
      <w:r>
        <w:t>such</w:t>
      </w:r>
      <w:r>
        <w:rPr>
          <w:spacing w:val="-7"/>
        </w:rPr>
        <w:t xml:space="preserve"> </w:t>
      </w:r>
      <w:r>
        <w:t>as</w:t>
      </w:r>
      <w:r>
        <w:rPr>
          <w:spacing w:val="-7"/>
        </w:rPr>
        <w:t xml:space="preserve"> </w:t>
      </w:r>
      <w:r>
        <w:t>central</w:t>
      </w:r>
      <w:r>
        <w:rPr>
          <w:spacing w:val="-9"/>
        </w:rPr>
        <w:t xml:space="preserve"> </w:t>
      </w:r>
      <w:r>
        <w:t>transfers, indicating long-term fiscal stress.</w:t>
      </w:r>
    </w:p>
    <w:p w14:paraId="5034BF45" w14:textId="77777777" w:rsidR="007F713D" w:rsidRDefault="007F713D">
      <w:pPr>
        <w:pStyle w:val="BodyText"/>
        <w:spacing w:before="2"/>
      </w:pPr>
    </w:p>
    <w:p w14:paraId="129A9C86" w14:textId="77777777" w:rsidR="007F713D" w:rsidRDefault="00B70B8E">
      <w:pPr>
        <w:pStyle w:val="BodyText"/>
        <w:spacing w:before="1" w:line="276" w:lineRule="auto"/>
        <w:ind w:left="720" w:right="668"/>
        <w:jc w:val="both"/>
      </w:pPr>
      <w:r>
        <w:t xml:space="preserve">To systematically interpret these indicators, the study applies the </w:t>
      </w:r>
      <w:r>
        <w:rPr>
          <w:i/>
        </w:rPr>
        <w:t>Domar Debt Sustainability Framework</w:t>
      </w:r>
      <w:r>
        <w:t>, which states that the public debt ratio remains stable when the growth rate of GSDP (g) exceeds the interest rate on debt (r). Thus:</w:t>
      </w:r>
    </w:p>
    <w:p w14:paraId="50738E14" w14:textId="77777777" w:rsidR="007F713D" w:rsidRDefault="007F713D">
      <w:pPr>
        <w:pStyle w:val="BodyText"/>
        <w:spacing w:before="5"/>
      </w:pPr>
    </w:p>
    <w:p w14:paraId="7C1E8774" w14:textId="77777777" w:rsidR="007F713D" w:rsidRDefault="00B70B8E">
      <w:pPr>
        <w:pStyle w:val="ListParagraph"/>
        <w:numPr>
          <w:ilvl w:val="0"/>
          <w:numId w:val="1"/>
        </w:numPr>
        <w:tabs>
          <w:tab w:val="left" w:pos="1440"/>
        </w:tabs>
        <w:jc w:val="left"/>
        <w:rPr>
          <w:rFonts w:ascii="Symbol" w:hAnsi="Symbol"/>
          <w:sz w:val="20"/>
        </w:rPr>
      </w:pPr>
      <w:r>
        <w:rPr>
          <w:sz w:val="24"/>
        </w:rPr>
        <w:t>If</w:t>
      </w:r>
      <w:r>
        <w:rPr>
          <w:spacing w:val="-3"/>
          <w:sz w:val="24"/>
        </w:rPr>
        <w:t xml:space="preserve"> </w:t>
      </w:r>
      <w:r>
        <w:rPr>
          <w:sz w:val="24"/>
        </w:rPr>
        <w:t>g &gt;</w:t>
      </w:r>
      <w:r>
        <w:rPr>
          <w:spacing w:val="-1"/>
          <w:sz w:val="24"/>
        </w:rPr>
        <w:t xml:space="preserve"> </w:t>
      </w:r>
      <w:r>
        <w:rPr>
          <w:sz w:val="24"/>
        </w:rPr>
        <w:t>r, the</w:t>
      </w:r>
      <w:r>
        <w:rPr>
          <w:spacing w:val="-2"/>
          <w:sz w:val="24"/>
        </w:rPr>
        <w:t xml:space="preserve"> </w:t>
      </w:r>
      <w:r>
        <w:rPr>
          <w:sz w:val="24"/>
        </w:rPr>
        <w:t xml:space="preserve">debt burden stabilizes or </w:t>
      </w:r>
      <w:r>
        <w:rPr>
          <w:spacing w:val="-2"/>
          <w:sz w:val="24"/>
        </w:rPr>
        <w:t>declines.</w:t>
      </w:r>
    </w:p>
    <w:p w14:paraId="3A3F6673" w14:textId="77777777" w:rsidR="007F713D" w:rsidRDefault="00B70B8E">
      <w:pPr>
        <w:pStyle w:val="ListParagraph"/>
        <w:numPr>
          <w:ilvl w:val="0"/>
          <w:numId w:val="1"/>
        </w:numPr>
        <w:tabs>
          <w:tab w:val="left" w:pos="1440"/>
        </w:tabs>
        <w:spacing w:before="41"/>
        <w:jc w:val="left"/>
        <w:rPr>
          <w:rFonts w:ascii="Symbol" w:hAnsi="Symbol"/>
          <w:sz w:val="20"/>
        </w:rPr>
      </w:pPr>
      <w:r>
        <w:rPr>
          <w:sz w:val="24"/>
        </w:rPr>
        <w:t>If</w:t>
      </w:r>
      <w:r>
        <w:rPr>
          <w:spacing w:val="-3"/>
          <w:sz w:val="24"/>
        </w:rPr>
        <w:t xml:space="preserve"> </w:t>
      </w:r>
      <w:r>
        <w:rPr>
          <w:sz w:val="24"/>
        </w:rPr>
        <w:t>g &lt;</w:t>
      </w:r>
      <w:r>
        <w:rPr>
          <w:spacing w:val="-1"/>
          <w:sz w:val="24"/>
        </w:rPr>
        <w:t xml:space="preserve"> </w:t>
      </w:r>
      <w:r>
        <w:rPr>
          <w:sz w:val="24"/>
        </w:rPr>
        <w:t>r,</w:t>
      </w:r>
      <w:r>
        <w:rPr>
          <w:spacing w:val="-1"/>
          <w:sz w:val="24"/>
        </w:rPr>
        <w:t xml:space="preserve"> </w:t>
      </w:r>
      <w:r>
        <w:rPr>
          <w:sz w:val="24"/>
        </w:rPr>
        <w:t>debt becomes</w:t>
      </w:r>
      <w:r>
        <w:rPr>
          <w:spacing w:val="1"/>
          <w:sz w:val="24"/>
        </w:rPr>
        <w:t xml:space="preserve"> </w:t>
      </w:r>
      <w:r>
        <w:rPr>
          <w:sz w:val="24"/>
        </w:rPr>
        <w:t>explosive</w:t>
      </w:r>
      <w:r>
        <w:rPr>
          <w:spacing w:val="-2"/>
          <w:sz w:val="24"/>
        </w:rPr>
        <w:t xml:space="preserve"> </w:t>
      </w:r>
      <w:r>
        <w:rPr>
          <w:sz w:val="24"/>
        </w:rPr>
        <w:t>unless offset by</w:t>
      </w:r>
      <w:r>
        <w:rPr>
          <w:spacing w:val="-1"/>
          <w:sz w:val="24"/>
        </w:rPr>
        <w:t xml:space="preserve"> </w:t>
      </w:r>
      <w:r>
        <w:rPr>
          <w:sz w:val="24"/>
        </w:rPr>
        <w:t xml:space="preserve">strong primary </w:t>
      </w:r>
      <w:r>
        <w:rPr>
          <w:spacing w:val="-2"/>
          <w:sz w:val="24"/>
        </w:rPr>
        <w:t>surpluses.</w:t>
      </w:r>
    </w:p>
    <w:p w14:paraId="2D4A269D" w14:textId="77777777" w:rsidR="007F713D" w:rsidRDefault="007F713D">
      <w:pPr>
        <w:pStyle w:val="BodyText"/>
        <w:spacing w:before="46"/>
      </w:pPr>
    </w:p>
    <w:p w14:paraId="10B830E7" w14:textId="77777777" w:rsidR="007F713D" w:rsidRDefault="00B70B8E">
      <w:pPr>
        <w:pStyle w:val="BodyText"/>
        <w:spacing w:line="276" w:lineRule="auto"/>
        <w:ind w:left="720" w:right="669"/>
        <w:jc w:val="both"/>
      </w:pPr>
      <w:r>
        <w:t>This condition is further reinforced through primary balance analysis, since persistent primary deficits in an r &gt; g environment accelerate debt accumulation. Interest burden ratios—Interest Payments to Revenue Receipts, Revenue Expenditure, and Total Expenditure—are also incorporated to evaluate how far rising interest costs erode fiscal space and crowd out productive expenditure.</w:t>
      </w:r>
    </w:p>
    <w:p w14:paraId="0538B58F" w14:textId="77777777" w:rsidR="007F713D" w:rsidRDefault="007F713D">
      <w:pPr>
        <w:pStyle w:val="BodyText"/>
        <w:spacing w:before="4"/>
      </w:pPr>
    </w:p>
    <w:p w14:paraId="6B99E5CB" w14:textId="77777777" w:rsidR="007F713D" w:rsidRDefault="00B70B8E">
      <w:pPr>
        <w:pStyle w:val="BodyText"/>
        <w:spacing w:line="276" w:lineRule="auto"/>
        <w:ind w:left="720" w:right="663"/>
        <w:jc w:val="both"/>
      </w:pPr>
      <w:r>
        <w:t xml:space="preserve">Beyond ratio-based diagnostics, the study integrates econometric tools used in empirical public finance literature. Following Mahmood and Rauf (2012), </w:t>
      </w:r>
      <w:r>
        <w:rPr>
          <w:i/>
        </w:rPr>
        <w:t xml:space="preserve">unit root tests (ADF and PP) </w:t>
      </w:r>
      <w:r>
        <w:t>are applied to assess whether debt and related fiscal variables are stationary or follow non-stationary</w:t>
      </w:r>
      <w:r>
        <w:rPr>
          <w:spacing w:val="-9"/>
        </w:rPr>
        <w:t xml:space="preserve"> </w:t>
      </w:r>
      <w:r>
        <w:t>trajectories,</w:t>
      </w:r>
      <w:r>
        <w:rPr>
          <w:spacing w:val="-9"/>
        </w:rPr>
        <w:t xml:space="preserve"> </w:t>
      </w:r>
      <w:r>
        <w:t>which</w:t>
      </w:r>
      <w:r>
        <w:rPr>
          <w:spacing w:val="-9"/>
        </w:rPr>
        <w:t xml:space="preserve"> </w:t>
      </w:r>
      <w:r>
        <w:t>may</w:t>
      </w:r>
      <w:r>
        <w:rPr>
          <w:spacing w:val="-8"/>
        </w:rPr>
        <w:t xml:space="preserve"> </w:t>
      </w:r>
      <w:r>
        <w:t>signal</w:t>
      </w:r>
      <w:r>
        <w:rPr>
          <w:spacing w:val="-9"/>
        </w:rPr>
        <w:t xml:space="preserve"> </w:t>
      </w:r>
      <w:r>
        <w:t>explosive</w:t>
      </w:r>
      <w:r>
        <w:rPr>
          <w:spacing w:val="-10"/>
        </w:rPr>
        <w:t xml:space="preserve"> </w:t>
      </w:r>
      <w:r>
        <w:t>debt</w:t>
      </w:r>
      <w:r>
        <w:rPr>
          <w:spacing w:val="-9"/>
        </w:rPr>
        <w:t xml:space="preserve"> </w:t>
      </w:r>
      <w:r>
        <w:t>paths.</w:t>
      </w:r>
      <w:r>
        <w:rPr>
          <w:spacing w:val="-3"/>
        </w:rPr>
        <w:t xml:space="preserve"> </w:t>
      </w:r>
      <w:r>
        <w:rPr>
          <w:i/>
        </w:rPr>
        <w:t>Johansen</w:t>
      </w:r>
      <w:r>
        <w:rPr>
          <w:i/>
          <w:spacing w:val="-9"/>
        </w:rPr>
        <w:t xml:space="preserve"> </w:t>
      </w:r>
      <w:r>
        <w:rPr>
          <w:i/>
        </w:rPr>
        <w:t xml:space="preserve">cointegration tests </w:t>
      </w:r>
      <w:r>
        <w:t xml:space="preserve">are used to determine whether revenue and expenditure maintain a long-run </w:t>
      </w:r>
      <w:r>
        <w:lastRenderedPageBreak/>
        <w:t xml:space="preserve">equilibrium, while a </w:t>
      </w:r>
      <w:r>
        <w:rPr>
          <w:i/>
        </w:rPr>
        <w:t xml:space="preserve">Vector Error-Correction Model (VECM) </w:t>
      </w:r>
      <w:r>
        <w:t xml:space="preserve">captures the speed at which fiscal imbalances are corrected over time. Fiscal reaction functions further test whether primary balances respond positively to rising debt levels—a necessary condition for sustainability. Maurya (2016) similarly applies cointegration and </w:t>
      </w:r>
      <w:r>
        <w:rPr>
          <w:i/>
        </w:rPr>
        <w:t>Granger causality tests</w:t>
      </w:r>
      <w:r>
        <w:rPr>
          <w:b/>
        </w:rPr>
        <w:t xml:space="preserve">, </w:t>
      </w:r>
      <w:r>
        <w:t>which the present study uses to examine causal linkages between debt, fiscal deficit, and GSDP growth. These tests help determine whether rising fiscal deficits drive future debt accumulation, or whether economic growth helps moderate debt ratios, thereby adding predictive insight to the sustainability assessment. Taken together, the integration of macroeconomic</w:t>
      </w:r>
      <w:r>
        <w:rPr>
          <w:spacing w:val="53"/>
        </w:rPr>
        <w:t xml:space="preserve"> </w:t>
      </w:r>
      <w:r>
        <w:t>indicators</w:t>
      </w:r>
      <w:r>
        <w:rPr>
          <w:spacing w:val="55"/>
        </w:rPr>
        <w:t xml:space="preserve"> </w:t>
      </w:r>
      <w:r>
        <w:t>(r–g),</w:t>
      </w:r>
      <w:r>
        <w:rPr>
          <w:spacing w:val="55"/>
        </w:rPr>
        <w:t xml:space="preserve"> </w:t>
      </w:r>
      <w:r>
        <w:t>solvency</w:t>
      </w:r>
      <w:r>
        <w:rPr>
          <w:spacing w:val="58"/>
        </w:rPr>
        <w:t xml:space="preserve"> </w:t>
      </w:r>
      <w:r>
        <w:t>ratios</w:t>
      </w:r>
      <w:r>
        <w:rPr>
          <w:spacing w:val="58"/>
        </w:rPr>
        <w:t xml:space="preserve"> </w:t>
      </w:r>
      <w:r>
        <w:t>(Debt–GSDP),</w:t>
      </w:r>
      <w:r>
        <w:rPr>
          <w:spacing w:val="55"/>
        </w:rPr>
        <w:t xml:space="preserve"> </w:t>
      </w:r>
      <w:r>
        <w:t>the</w:t>
      </w:r>
      <w:r>
        <w:rPr>
          <w:spacing w:val="55"/>
        </w:rPr>
        <w:t xml:space="preserve"> </w:t>
      </w:r>
      <w:r>
        <w:t>Domar</w:t>
      </w:r>
      <w:r>
        <w:rPr>
          <w:spacing w:val="56"/>
        </w:rPr>
        <w:t xml:space="preserve"> </w:t>
      </w:r>
      <w:r>
        <w:rPr>
          <w:spacing w:val="-2"/>
        </w:rPr>
        <w:t>condition,</w:t>
      </w:r>
    </w:p>
    <w:p w14:paraId="60856A9C" w14:textId="77777777" w:rsidR="007F713D" w:rsidRDefault="00B70B8E">
      <w:pPr>
        <w:pStyle w:val="BodyText"/>
        <w:spacing w:before="61" w:line="276" w:lineRule="auto"/>
        <w:ind w:left="720" w:right="667"/>
        <w:jc w:val="both"/>
      </w:pPr>
      <w:r>
        <w:t xml:space="preserve">interest and primary balance metrics, and dynamic econometric tools (unit roots, cointegration, VECM, and Granger causality) provides a comprehensive and methodologically rigorous framework for evaluating the long-run sustainability of state </w:t>
      </w:r>
      <w:r>
        <w:rPr>
          <w:spacing w:val="-2"/>
        </w:rPr>
        <w:t>debt.</w:t>
      </w:r>
    </w:p>
    <w:p w14:paraId="7957C8B9" w14:textId="77777777" w:rsidR="007F713D" w:rsidRDefault="007F713D">
      <w:pPr>
        <w:pStyle w:val="BodyText"/>
        <w:spacing w:before="5"/>
      </w:pPr>
    </w:p>
    <w:p w14:paraId="37BC4A2F" w14:textId="77777777" w:rsidR="007F713D" w:rsidRDefault="00B70B8E">
      <w:pPr>
        <w:pStyle w:val="BodyText"/>
        <w:spacing w:line="276" w:lineRule="auto"/>
        <w:ind w:left="720" w:right="663"/>
        <w:jc w:val="both"/>
      </w:pPr>
      <w:r>
        <w:t>In</w:t>
      </w:r>
      <w:r>
        <w:rPr>
          <w:spacing w:val="-4"/>
        </w:rPr>
        <w:t xml:space="preserve"> </w:t>
      </w:r>
      <w:r>
        <w:t>nutshell,</w:t>
      </w:r>
      <w:r>
        <w:rPr>
          <w:spacing w:val="-4"/>
        </w:rPr>
        <w:t xml:space="preserve"> </w:t>
      </w:r>
      <w:r>
        <w:t>the</w:t>
      </w:r>
      <w:r>
        <w:rPr>
          <w:spacing w:val="-4"/>
        </w:rPr>
        <w:t xml:space="preserve"> </w:t>
      </w:r>
      <w:r>
        <w:t>integrated</w:t>
      </w:r>
      <w:r>
        <w:rPr>
          <w:spacing w:val="-3"/>
        </w:rPr>
        <w:t xml:space="preserve"> </w:t>
      </w:r>
      <w:r>
        <w:t>methodology</w:t>
      </w:r>
      <w:r>
        <w:rPr>
          <w:spacing w:val="-4"/>
        </w:rPr>
        <w:t xml:space="preserve"> </w:t>
      </w:r>
      <w:r>
        <w:t>enables</w:t>
      </w:r>
      <w:r>
        <w:rPr>
          <w:spacing w:val="-4"/>
        </w:rPr>
        <w:t xml:space="preserve"> </w:t>
      </w:r>
      <w:r>
        <w:t>a</w:t>
      </w:r>
      <w:r>
        <w:rPr>
          <w:spacing w:val="-3"/>
        </w:rPr>
        <w:t xml:space="preserve"> </w:t>
      </w:r>
      <w:r>
        <w:t>multidimensional</w:t>
      </w:r>
      <w:r>
        <w:rPr>
          <w:spacing w:val="-4"/>
        </w:rPr>
        <w:t xml:space="preserve"> </w:t>
      </w:r>
      <w:r>
        <w:t>assessment</w:t>
      </w:r>
      <w:r>
        <w:rPr>
          <w:spacing w:val="-4"/>
        </w:rPr>
        <w:t xml:space="preserve"> </w:t>
      </w:r>
      <w:r>
        <w:t>of</w:t>
      </w:r>
      <w:r>
        <w:rPr>
          <w:spacing w:val="-4"/>
        </w:rPr>
        <w:t xml:space="preserve"> </w:t>
      </w:r>
      <w:r>
        <w:t>a</w:t>
      </w:r>
      <w:r>
        <w:rPr>
          <w:spacing w:val="-4"/>
        </w:rPr>
        <w:t xml:space="preserve"> </w:t>
      </w:r>
      <w:r>
        <w:t>state’s fiscal health by jointly interpreting revenue performance, expenditure</w:t>
      </w:r>
      <w:r>
        <w:rPr>
          <w:spacing w:val="-1"/>
        </w:rPr>
        <w:t xml:space="preserve"> </w:t>
      </w:r>
      <w:r>
        <w:t>behaviour, and debt dynamics. A situation of high buoyancy combined with low elasticity suggests that discretionary policy interventions, rather than automatic economic responses, are driving revenue growth. High tax effort reflects strong administrative capacity and the effective mobilisation of the available tax base, while a high degree of dependence on intergovernmental</w:t>
      </w:r>
      <w:r>
        <w:rPr>
          <w:spacing w:val="-6"/>
        </w:rPr>
        <w:t xml:space="preserve"> </w:t>
      </w:r>
      <w:r>
        <w:t>transfers</w:t>
      </w:r>
      <w:r>
        <w:rPr>
          <w:spacing w:val="-6"/>
        </w:rPr>
        <w:t xml:space="preserve"> </w:t>
      </w:r>
      <w:r>
        <w:t>points</w:t>
      </w:r>
      <w:r>
        <w:rPr>
          <w:spacing w:val="-6"/>
        </w:rPr>
        <w:t xml:space="preserve"> </w:t>
      </w:r>
      <w:r>
        <w:t>to</w:t>
      </w:r>
      <w:r>
        <w:rPr>
          <w:spacing w:val="-8"/>
        </w:rPr>
        <w:t xml:space="preserve"> </w:t>
      </w:r>
      <w:r>
        <w:t>limited</w:t>
      </w:r>
      <w:r>
        <w:rPr>
          <w:spacing w:val="-6"/>
        </w:rPr>
        <w:t xml:space="preserve"> </w:t>
      </w:r>
      <w:r>
        <w:t>fiscal</w:t>
      </w:r>
      <w:r>
        <w:rPr>
          <w:spacing w:val="-5"/>
        </w:rPr>
        <w:t xml:space="preserve"> </w:t>
      </w:r>
      <w:r>
        <w:t>autonomy.</w:t>
      </w:r>
      <w:r>
        <w:rPr>
          <w:spacing w:val="-6"/>
        </w:rPr>
        <w:t xml:space="preserve"> </w:t>
      </w:r>
      <w:r>
        <w:t>At</w:t>
      </w:r>
      <w:r>
        <w:rPr>
          <w:spacing w:val="-8"/>
        </w:rPr>
        <w:t xml:space="preserve"> </w:t>
      </w:r>
      <w:r>
        <w:t>the</w:t>
      </w:r>
      <w:r>
        <w:rPr>
          <w:spacing w:val="-6"/>
        </w:rPr>
        <w:t xml:space="preserve"> </w:t>
      </w:r>
      <w:r>
        <w:t>same</w:t>
      </w:r>
      <w:r>
        <w:rPr>
          <w:spacing w:val="-9"/>
        </w:rPr>
        <w:t xml:space="preserve"> </w:t>
      </w:r>
      <w:r>
        <w:t>time,</w:t>
      </w:r>
      <w:r>
        <w:rPr>
          <w:spacing w:val="-6"/>
        </w:rPr>
        <w:t xml:space="preserve"> </w:t>
      </w:r>
      <w:r>
        <w:t>weak</w:t>
      </w:r>
      <w:r>
        <w:rPr>
          <w:spacing w:val="-6"/>
        </w:rPr>
        <w:t xml:space="preserve"> </w:t>
      </w:r>
      <w:r>
        <w:t>debt indicators</w:t>
      </w:r>
      <w:r>
        <w:rPr>
          <w:spacing w:val="-8"/>
        </w:rPr>
        <w:t xml:space="preserve"> </w:t>
      </w:r>
      <w:r>
        <w:t>signal</w:t>
      </w:r>
      <w:r>
        <w:rPr>
          <w:spacing w:val="-8"/>
        </w:rPr>
        <w:t xml:space="preserve"> </w:t>
      </w:r>
      <w:r>
        <w:t>underlying</w:t>
      </w:r>
      <w:r>
        <w:rPr>
          <w:spacing w:val="-8"/>
        </w:rPr>
        <w:t xml:space="preserve"> </w:t>
      </w:r>
      <w:r>
        <w:t>solvency</w:t>
      </w:r>
      <w:r>
        <w:rPr>
          <w:spacing w:val="-8"/>
        </w:rPr>
        <w:t xml:space="preserve"> </w:t>
      </w:r>
      <w:r>
        <w:t>concerns</w:t>
      </w:r>
      <w:r>
        <w:rPr>
          <w:spacing w:val="-9"/>
        </w:rPr>
        <w:t xml:space="preserve"> </w:t>
      </w:r>
      <w:r>
        <w:t>that</w:t>
      </w:r>
      <w:r>
        <w:rPr>
          <w:spacing w:val="-8"/>
        </w:rPr>
        <w:t xml:space="preserve"> </w:t>
      </w:r>
      <w:r>
        <w:t>necessitate</w:t>
      </w:r>
      <w:r>
        <w:rPr>
          <w:spacing w:val="-9"/>
        </w:rPr>
        <w:t xml:space="preserve"> </w:t>
      </w:r>
      <w:r>
        <w:t>timely</w:t>
      </w:r>
      <w:r>
        <w:rPr>
          <w:spacing w:val="-8"/>
        </w:rPr>
        <w:t xml:space="preserve"> </w:t>
      </w:r>
      <w:r>
        <w:t>corrective</w:t>
      </w:r>
      <w:r>
        <w:rPr>
          <w:spacing w:val="-9"/>
        </w:rPr>
        <w:t xml:space="preserve"> </w:t>
      </w:r>
      <w:r>
        <w:t>measures. Taken</w:t>
      </w:r>
      <w:r>
        <w:rPr>
          <w:spacing w:val="-11"/>
        </w:rPr>
        <w:t xml:space="preserve"> </w:t>
      </w:r>
      <w:r>
        <w:t>together,</w:t>
      </w:r>
      <w:r>
        <w:rPr>
          <w:spacing w:val="-11"/>
        </w:rPr>
        <w:t xml:space="preserve"> </w:t>
      </w:r>
      <w:r>
        <w:t>this</w:t>
      </w:r>
      <w:r>
        <w:rPr>
          <w:spacing w:val="-10"/>
        </w:rPr>
        <w:t xml:space="preserve"> </w:t>
      </w:r>
      <w:r>
        <w:t>combined</w:t>
      </w:r>
      <w:r>
        <w:rPr>
          <w:spacing w:val="-11"/>
        </w:rPr>
        <w:t xml:space="preserve"> </w:t>
      </w:r>
      <w:r>
        <w:t>analytical</w:t>
      </w:r>
      <w:r>
        <w:rPr>
          <w:spacing w:val="-10"/>
        </w:rPr>
        <w:t xml:space="preserve"> </w:t>
      </w:r>
      <w:r>
        <w:t>approach</w:t>
      </w:r>
      <w:r>
        <w:rPr>
          <w:spacing w:val="-9"/>
        </w:rPr>
        <w:t xml:space="preserve"> </w:t>
      </w:r>
      <w:r>
        <w:t>yields</w:t>
      </w:r>
      <w:r>
        <w:rPr>
          <w:spacing w:val="-10"/>
        </w:rPr>
        <w:t xml:space="preserve"> </w:t>
      </w:r>
      <w:r>
        <w:t>more</w:t>
      </w:r>
      <w:r>
        <w:rPr>
          <w:spacing w:val="-12"/>
        </w:rPr>
        <w:t xml:space="preserve"> </w:t>
      </w:r>
      <w:r>
        <w:t>robust</w:t>
      </w:r>
      <w:r>
        <w:rPr>
          <w:spacing w:val="-10"/>
        </w:rPr>
        <w:t xml:space="preserve"> </w:t>
      </w:r>
      <w:r>
        <w:t>and</w:t>
      </w:r>
      <w:r>
        <w:rPr>
          <w:spacing w:val="-11"/>
        </w:rPr>
        <w:t xml:space="preserve"> </w:t>
      </w:r>
      <w:r>
        <w:t>nuanced</w:t>
      </w:r>
      <w:r>
        <w:rPr>
          <w:spacing w:val="-11"/>
        </w:rPr>
        <w:t xml:space="preserve"> </w:t>
      </w:r>
      <w:r>
        <w:t>insights into fiscal performance and sustainability than any single method applied in isolation.</w:t>
      </w:r>
    </w:p>
    <w:p w14:paraId="4D76B2FB" w14:textId="77777777" w:rsidR="007F713D" w:rsidRDefault="007F713D">
      <w:pPr>
        <w:pStyle w:val="BodyText"/>
        <w:spacing w:before="40"/>
      </w:pPr>
    </w:p>
    <w:p w14:paraId="5DBD3314" w14:textId="77777777" w:rsidR="007F713D" w:rsidRDefault="00B70B8E">
      <w:pPr>
        <w:pStyle w:val="Heading1"/>
        <w:numPr>
          <w:ilvl w:val="0"/>
          <w:numId w:val="7"/>
        </w:numPr>
        <w:tabs>
          <w:tab w:val="left" w:pos="3127"/>
        </w:tabs>
        <w:ind w:left="3127" w:hanging="292"/>
        <w:jc w:val="both"/>
      </w:pPr>
      <w:r>
        <w:t>Conclusion</w:t>
      </w:r>
      <w:r>
        <w:rPr>
          <w:spacing w:val="-1"/>
        </w:rPr>
        <w:t xml:space="preserve"> </w:t>
      </w:r>
      <w:r>
        <w:t>and</w:t>
      </w:r>
      <w:r>
        <w:rPr>
          <w:spacing w:val="-1"/>
        </w:rPr>
        <w:t xml:space="preserve"> </w:t>
      </w:r>
      <w:r>
        <w:t>Scope</w:t>
      </w:r>
      <w:r>
        <w:rPr>
          <w:spacing w:val="-3"/>
        </w:rPr>
        <w:t xml:space="preserve"> </w:t>
      </w:r>
      <w:r>
        <w:t>of</w:t>
      </w:r>
      <w:r>
        <w:rPr>
          <w:spacing w:val="-1"/>
        </w:rPr>
        <w:t xml:space="preserve"> </w:t>
      </w:r>
      <w:r>
        <w:t>the</w:t>
      </w:r>
      <w:r>
        <w:rPr>
          <w:spacing w:val="-2"/>
        </w:rPr>
        <w:t xml:space="preserve"> Framework</w:t>
      </w:r>
    </w:p>
    <w:p w14:paraId="3E5D75AF" w14:textId="77777777" w:rsidR="007F713D" w:rsidRDefault="00B70B8E">
      <w:pPr>
        <w:pStyle w:val="BodyText"/>
        <w:spacing w:before="43" w:line="276" w:lineRule="auto"/>
        <w:ind w:left="720" w:right="669"/>
        <w:jc w:val="both"/>
      </w:pPr>
      <w:r>
        <w:t>In conclusion, this study presents a systematic methodological framework that integrates classical and modern fiscal tools for the analysis of state finances in India. By combining buoyancy–elasticity analysis, welfare-based tax effort measurement, transfer dependency ratios, and debt sustainability indicators, the framework provides a coherent and multidimensional</w:t>
      </w:r>
      <w:r>
        <w:rPr>
          <w:spacing w:val="-7"/>
        </w:rPr>
        <w:t xml:space="preserve"> </w:t>
      </w:r>
      <w:r>
        <w:t>analytical</w:t>
      </w:r>
      <w:r>
        <w:rPr>
          <w:spacing w:val="-7"/>
        </w:rPr>
        <w:t xml:space="preserve"> </w:t>
      </w:r>
      <w:r>
        <w:t>basis</w:t>
      </w:r>
      <w:r>
        <w:rPr>
          <w:spacing w:val="-7"/>
        </w:rPr>
        <w:t xml:space="preserve"> </w:t>
      </w:r>
      <w:r>
        <w:t>for</w:t>
      </w:r>
      <w:r>
        <w:rPr>
          <w:spacing w:val="-7"/>
        </w:rPr>
        <w:t xml:space="preserve"> </w:t>
      </w:r>
      <w:r>
        <w:t>assessing</w:t>
      </w:r>
      <w:r>
        <w:rPr>
          <w:spacing w:val="-7"/>
        </w:rPr>
        <w:t xml:space="preserve"> </w:t>
      </w:r>
      <w:r>
        <w:t>state-level</w:t>
      </w:r>
      <w:r>
        <w:rPr>
          <w:spacing w:val="-7"/>
        </w:rPr>
        <w:t xml:space="preserve"> </w:t>
      </w:r>
      <w:r>
        <w:t>fiscal</w:t>
      </w:r>
      <w:r>
        <w:rPr>
          <w:spacing w:val="-7"/>
        </w:rPr>
        <w:t xml:space="preserve"> </w:t>
      </w:r>
      <w:r>
        <w:t>performance.</w:t>
      </w:r>
      <w:r>
        <w:rPr>
          <w:spacing w:val="-5"/>
        </w:rPr>
        <w:t xml:space="preserve"> </w:t>
      </w:r>
      <w:r>
        <w:t>It</w:t>
      </w:r>
      <w:r>
        <w:rPr>
          <w:spacing w:val="-7"/>
        </w:rPr>
        <w:t xml:space="preserve"> </w:t>
      </w:r>
      <w:r>
        <w:t>will</w:t>
      </w:r>
      <w:r>
        <w:rPr>
          <w:spacing w:val="-7"/>
        </w:rPr>
        <w:t xml:space="preserve"> </w:t>
      </w:r>
      <w:r>
        <w:t>prove useful</w:t>
      </w:r>
      <w:r>
        <w:rPr>
          <w:spacing w:val="-4"/>
        </w:rPr>
        <w:t xml:space="preserve"> </w:t>
      </w:r>
      <w:r>
        <w:t>for</w:t>
      </w:r>
      <w:r>
        <w:rPr>
          <w:spacing w:val="-3"/>
        </w:rPr>
        <w:t xml:space="preserve"> </w:t>
      </w:r>
      <w:r>
        <w:t>researchers,</w:t>
      </w:r>
      <w:r>
        <w:rPr>
          <w:spacing w:val="-4"/>
        </w:rPr>
        <w:t xml:space="preserve"> </w:t>
      </w:r>
      <w:r>
        <w:t>policymakers,</w:t>
      </w:r>
      <w:r>
        <w:rPr>
          <w:spacing w:val="-4"/>
        </w:rPr>
        <w:t xml:space="preserve"> </w:t>
      </w:r>
      <w:r>
        <w:t>and</w:t>
      </w:r>
      <w:r>
        <w:rPr>
          <w:spacing w:val="-2"/>
        </w:rPr>
        <w:t xml:space="preserve"> </w:t>
      </w:r>
      <w:r>
        <w:t>fiscal</w:t>
      </w:r>
      <w:r>
        <w:rPr>
          <w:spacing w:val="-2"/>
        </w:rPr>
        <w:t xml:space="preserve"> </w:t>
      </w:r>
      <w:r>
        <w:t>analysts</w:t>
      </w:r>
      <w:r>
        <w:rPr>
          <w:spacing w:val="-4"/>
        </w:rPr>
        <w:t xml:space="preserve"> </w:t>
      </w:r>
      <w:r>
        <w:t>in</w:t>
      </w:r>
      <w:r>
        <w:rPr>
          <w:spacing w:val="-4"/>
        </w:rPr>
        <w:t xml:space="preserve"> </w:t>
      </w:r>
      <w:r>
        <w:t>understanding</w:t>
      </w:r>
      <w:r>
        <w:rPr>
          <w:spacing w:val="-4"/>
        </w:rPr>
        <w:t xml:space="preserve"> </w:t>
      </w:r>
      <w:r>
        <w:t>and</w:t>
      </w:r>
      <w:r>
        <w:rPr>
          <w:spacing w:val="-4"/>
        </w:rPr>
        <w:t xml:space="preserve"> </w:t>
      </w:r>
      <w:r>
        <w:t>applying</w:t>
      </w:r>
      <w:r>
        <w:rPr>
          <w:spacing w:val="-4"/>
        </w:rPr>
        <w:t xml:space="preserve"> </w:t>
      </w:r>
      <w:r>
        <w:t>the methodology for comparative state studies and for evaluating fiscal behaviour within the context of India’s evolving federal structure.</w:t>
      </w:r>
    </w:p>
    <w:p w14:paraId="5045681B" w14:textId="77777777" w:rsidR="009B5E7E" w:rsidRDefault="009B5E7E">
      <w:pPr>
        <w:pStyle w:val="BodyText"/>
        <w:spacing w:before="43" w:line="276" w:lineRule="auto"/>
        <w:ind w:left="720" w:right="669"/>
        <w:jc w:val="both"/>
      </w:pPr>
    </w:p>
    <w:p w14:paraId="55DD5098" w14:textId="77777777" w:rsidR="009B5E7E" w:rsidRDefault="009B5E7E" w:rsidP="009B5E7E">
      <w:pPr>
        <w:pStyle w:val="BodyText"/>
        <w:spacing w:before="43" w:line="276" w:lineRule="auto"/>
        <w:ind w:left="720" w:right="669"/>
        <w:jc w:val="both"/>
      </w:pPr>
      <w:r>
        <w:t>COMPETING INTERESTS DISCLAIMER:</w:t>
      </w:r>
    </w:p>
    <w:p w14:paraId="4FCF7C7E" w14:textId="2669AF69" w:rsidR="009B5E7E" w:rsidRDefault="009B5E7E" w:rsidP="009B5E7E">
      <w:pPr>
        <w:pStyle w:val="BodyText"/>
        <w:spacing w:before="43" w:line="276" w:lineRule="auto"/>
        <w:ind w:left="720" w:right="669"/>
        <w:jc w:val="both"/>
      </w:pPr>
      <w:r>
        <w:t>Authors have declared that they have no known competing financial interests OR non-financial interests OR personal relationships that could have appeared to influence the work reported in this paper.</w:t>
      </w:r>
    </w:p>
    <w:p w14:paraId="2E635A94" w14:textId="77777777" w:rsidR="00403586" w:rsidRDefault="00403586">
      <w:pPr>
        <w:pStyle w:val="BodyText"/>
        <w:spacing w:before="43" w:line="276" w:lineRule="auto"/>
        <w:ind w:left="720" w:right="669"/>
        <w:jc w:val="both"/>
      </w:pPr>
    </w:p>
    <w:p w14:paraId="39FF7D97" w14:textId="77777777" w:rsidR="007F713D" w:rsidRDefault="007F713D">
      <w:pPr>
        <w:pStyle w:val="BodyText"/>
        <w:spacing w:line="276" w:lineRule="auto"/>
        <w:jc w:val="both"/>
      </w:pPr>
    </w:p>
    <w:p w14:paraId="78AABBC8" w14:textId="77777777" w:rsidR="00403586" w:rsidRDefault="00403586">
      <w:pPr>
        <w:pStyle w:val="BodyText"/>
        <w:spacing w:line="276" w:lineRule="auto"/>
        <w:jc w:val="both"/>
      </w:pPr>
    </w:p>
    <w:p w14:paraId="272C11E6" w14:textId="77777777" w:rsidR="00403586" w:rsidRDefault="00403586">
      <w:pPr>
        <w:pStyle w:val="BodyText"/>
        <w:spacing w:line="276" w:lineRule="auto"/>
        <w:jc w:val="both"/>
      </w:pPr>
    </w:p>
    <w:p w14:paraId="774B3EF6" w14:textId="77777777" w:rsidR="00403586" w:rsidRDefault="00403586">
      <w:pPr>
        <w:pStyle w:val="BodyText"/>
        <w:spacing w:line="276" w:lineRule="auto"/>
        <w:jc w:val="both"/>
      </w:pPr>
    </w:p>
    <w:p w14:paraId="5863F257" w14:textId="77777777" w:rsidR="00403586" w:rsidRDefault="00403586">
      <w:pPr>
        <w:pStyle w:val="BodyText"/>
        <w:spacing w:line="276" w:lineRule="auto"/>
        <w:jc w:val="both"/>
      </w:pPr>
    </w:p>
    <w:p w14:paraId="093501C5" w14:textId="77777777" w:rsidR="00403586" w:rsidRDefault="00403586">
      <w:pPr>
        <w:pStyle w:val="BodyText"/>
        <w:spacing w:line="276" w:lineRule="auto"/>
        <w:jc w:val="both"/>
      </w:pPr>
    </w:p>
    <w:p w14:paraId="07751196" w14:textId="77777777" w:rsidR="007F713D" w:rsidRDefault="00B70B8E" w:rsidP="00403586">
      <w:pPr>
        <w:pStyle w:val="Heading1"/>
        <w:ind w:left="720"/>
        <w:jc w:val="left"/>
      </w:pPr>
      <w:r>
        <w:rPr>
          <w:spacing w:val="-2"/>
        </w:rPr>
        <w:t>References</w:t>
      </w:r>
    </w:p>
    <w:p w14:paraId="31306E87" w14:textId="77777777" w:rsidR="007F713D" w:rsidRDefault="007F713D" w:rsidP="00403586">
      <w:pPr>
        <w:pStyle w:val="BodyText"/>
        <w:rPr>
          <w:b/>
        </w:rPr>
      </w:pPr>
    </w:p>
    <w:p w14:paraId="18B5AD98" w14:textId="77777777" w:rsidR="00B96160" w:rsidRPr="00B96160" w:rsidRDefault="00B96160">
      <w:pPr>
        <w:pStyle w:val="ListParagraph"/>
        <w:numPr>
          <w:ilvl w:val="0"/>
          <w:numId w:val="1"/>
        </w:numPr>
        <w:tabs>
          <w:tab w:val="left" w:pos="1440"/>
        </w:tabs>
        <w:spacing w:before="2" w:line="273" w:lineRule="auto"/>
        <w:ind w:right="665"/>
        <w:rPr>
          <w:rFonts w:ascii="Symbol" w:hAnsi="Symbol"/>
        </w:rPr>
      </w:pPr>
      <w:proofErr w:type="spellStart"/>
      <w:r w:rsidRPr="00B96160">
        <w:t>Bahl</w:t>
      </w:r>
      <w:proofErr w:type="spellEnd"/>
      <w:r w:rsidRPr="00B96160">
        <w:t xml:space="preserve">, R. W. (1971). A regression approach to tax effort and tax ratio analysis. IMF Staff Papers, 18(3), 570–612. </w:t>
      </w:r>
      <w:hyperlink r:id="rId13" w:history="1">
        <w:r w:rsidRPr="00F122BC">
          <w:rPr>
            <w:rStyle w:val="Hyperlink"/>
          </w:rPr>
          <w:t>https://doi.org/10.5089/9781451969276.024</w:t>
        </w:r>
      </w:hyperlink>
      <w:r>
        <w:t xml:space="preserve"> </w:t>
      </w:r>
    </w:p>
    <w:p w14:paraId="57090522" w14:textId="77777777" w:rsidR="00B96160" w:rsidRPr="00B96160" w:rsidRDefault="00B96160">
      <w:pPr>
        <w:pStyle w:val="ListParagraph"/>
        <w:numPr>
          <w:ilvl w:val="0"/>
          <w:numId w:val="1"/>
        </w:numPr>
        <w:tabs>
          <w:tab w:val="left" w:pos="1440"/>
        </w:tabs>
        <w:spacing w:before="2" w:line="276" w:lineRule="auto"/>
        <w:ind w:right="666"/>
        <w:rPr>
          <w:rFonts w:ascii="Symbol" w:hAnsi="Symbol"/>
        </w:rPr>
      </w:pPr>
      <w:proofErr w:type="spellStart"/>
      <w:r w:rsidRPr="00B96160">
        <w:t>Chelliah</w:t>
      </w:r>
      <w:proofErr w:type="spellEnd"/>
      <w:r w:rsidRPr="00B96160">
        <w:t xml:space="preserve">, R. J. (1971). Trends in taxation in developing countries. *IMF Staff Papers*, *18*(2), 254–331. </w:t>
      </w:r>
      <w:hyperlink r:id="rId14" w:history="1">
        <w:r w:rsidRPr="00F122BC">
          <w:rPr>
            <w:rStyle w:val="Hyperlink"/>
          </w:rPr>
          <w:t>https://doi.org/10.2307/3866272</w:t>
        </w:r>
      </w:hyperlink>
      <w:r>
        <w:t xml:space="preserve"> </w:t>
      </w:r>
    </w:p>
    <w:p w14:paraId="4825AE58" w14:textId="77777777" w:rsidR="00B96160" w:rsidRPr="00B96160" w:rsidRDefault="00B96160">
      <w:pPr>
        <w:pStyle w:val="ListParagraph"/>
        <w:numPr>
          <w:ilvl w:val="0"/>
          <w:numId w:val="1"/>
        </w:numPr>
        <w:tabs>
          <w:tab w:val="left" w:pos="1439"/>
        </w:tabs>
        <w:spacing w:line="266" w:lineRule="exact"/>
        <w:ind w:left="1439" w:hanging="359"/>
        <w:rPr>
          <w:rFonts w:ascii="Symbol" w:hAnsi="Symbol"/>
        </w:rPr>
      </w:pPr>
      <w:r w:rsidRPr="00B96160">
        <w:t xml:space="preserve">Cyan, M. R., Martinez-Vazquez, J., &amp; </w:t>
      </w:r>
      <w:proofErr w:type="spellStart"/>
      <w:r w:rsidRPr="00B96160">
        <w:t>Vulovic</w:t>
      </w:r>
      <w:proofErr w:type="spellEnd"/>
      <w:r w:rsidRPr="00B96160">
        <w:t xml:space="preserve">, V. (2014). New approaches to measuring tax effort. In R. M. Bird &amp; J. Martinez-Vazquez (Eds.), Taxation and development: The weakest link? (pp. 27–68). Edward Elgar Publishing. </w:t>
      </w:r>
      <w:hyperlink r:id="rId15" w:history="1">
        <w:r w:rsidRPr="00F122BC">
          <w:rPr>
            <w:rStyle w:val="Hyperlink"/>
          </w:rPr>
          <w:t>https://www.elgaronline.com/view/9781783474325.00008.xml</w:t>
        </w:r>
      </w:hyperlink>
      <w:r>
        <w:t xml:space="preserve"> </w:t>
      </w:r>
    </w:p>
    <w:p w14:paraId="06C0832F" w14:textId="5A714806" w:rsidR="007F713D" w:rsidRDefault="00B96160">
      <w:pPr>
        <w:spacing w:before="39"/>
        <w:ind w:left="1440"/>
        <w:jc w:val="both"/>
      </w:pPr>
      <w:proofErr w:type="spellStart"/>
      <w:r w:rsidRPr="00B96160">
        <w:t>Dalamagas</w:t>
      </w:r>
      <w:proofErr w:type="spellEnd"/>
      <w:r w:rsidRPr="00B96160">
        <w:t xml:space="preserve">, B., </w:t>
      </w:r>
      <w:proofErr w:type="spellStart"/>
      <w:r w:rsidRPr="00B96160">
        <w:t>Palaios</w:t>
      </w:r>
      <w:proofErr w:type="spellEnd"/>
      <w:r w:rsidRPr="00B96160">
        <w:t xml:space="preserve">, P., &amp; Tantos, S. (2019). A new approach to measuring tax effort. Economies, 7(3), 77. </w:t>
      </w:r>
      <w:hyperlink r:id="rId16" w:history="1">
        <w:r w:rsidRPr="00F122BC">
          <w:rPr>
            <w:rStyle w:val="Hyperlink"/>
          </w:rPr>
          <w:t>https://doi.org/10.3390/economies7030077</w:t>
        </w:r>
      </w:hyperlink>
      <w:r>
        <w:t xml:space="preserve"> </w:t>
      </w:r>
    </w:p>
    <w:p w14:paraId="4AB86705" w14:textId="77777777" w:rsidR="00B96160" w:rsidRPr="00B96160" w:rsidRDefault="00B96160">
      <w:pPr>
        <w:pStyle w:val="ListParagraph"/>
        <w:numPr>
          <w:ilvl w:val="0"/>
          <w:numId w:val="1"/>
        </w:numPr>
        <w:tabs>
          <w:tab w:val="left" w:pos="1440"/>
        </w:tabs>
        <w:spacing w:before="38" w:line="273" w:lineRule="auto"/>
        <w:ind w:right="663"/>
        <w:rPr>
          <w:rFonts w:ascii="Symbol" w:hAnsi="Symbol"/>
        </w:rPr>
      </w:pPr>
      <w:r w:rsidRPr="00B96160">
        <w:t xml:space="preserve">Government of India, Ministry of Finance, Finance Commission. (Various years). *Finance Commission reports*. New Delhi: Ministry of Finance. </w:t>
      </w:r>
      <w:hyperlink r:id="rId17" w:history="1">
        <w:r w:rsidRPr="00F122BC">
          <w:rPr>
            <w:rStyle w:val="Hyperlink"/>
          </w:rPr>
          <w:t>https://fincomindia.nic.in/commission-reports.html</w:t>
        </w:r>
      </w:hyperlink>
      <w:r>
        <w:t xml:space="preserve"> </w:t>
      </w:r>
    </w:p>
    <w:p w14:paraId="09F578AF" w14:textId="091D7905" w:rsidR="007F713D" w:rsidRDefault="00B70B8E">
      <w:pPr>
        <w:pStyle w:val="ListParagraph"/>
        <w:numPr>
          <w:ilvl w:val="0"/>
          <w:numId w:val="1"/>
        </w:numPr>
        <w:tabs>
          <w:tab w:val="left" w:pos="1440"/>
        </w:tabs>
        <w:spacing w:before="38" w:line="273" w:lineRule="auto"/>
        <w:ind w:right="663"/>
        <w:rPr>
          <w:rFonts w:ascii="Symbol" w:hAnsi="Symbol"/>
        </w:rPr>
      </w:pPr>
      <w:r>
        <w:t xml:space="preserve">Haughton, J. (1998). </w:t>
      </w:r>
      <w:r>
        <w:rPr>
          <w:i/>
        </w:rPr>
        <w:t xml:space="preserve">Estimating tax buoyancy, elasticity and stability </w:t>
      </w:r>
      <w:r>
        <w:t>(Working Paper). Harvard Institute for International Development.</w:t>
      </w:r>
    </w:p>
    <w:p w14:paraId="2C70AA75" w14:textId="77777777" w:rsidR="00B96160" w:rsidRPr="00B96160" w:rsidRDefault="00B96160">
      <w:pPr>
        <w:pStyle w:val="ListParagraph"/>
        <w:numPr>
          <w:ilvl w:val="0"/>
          <w:numId w:val="1"/>
        </w:numPr>
        <w:tabs>
          <w:tab w:val="left" w:pos="1440"/>
        </w:tabs>
        <w:spacing w:before="2" w:line="273" w:lineRule="auto"/>
        <w:ind w:right="665"/>
        <w:rPr>
          <w:rFonts w:ascii="Symbol" w:hAnsi="Symbol"/>
        </w:rPr>
      </w:pPr>
      <w:r w:rsidRPr="00B96160">
        <w:t xml:space="preserve">Leuthold, J. H., &amp; </w:t>
      </w:r>
      <w:proofErr w:type="spellStart"/>
      <w:r w:rsidRPr="00B96160">
        <w:t>N'Guessan</w:t>
      </w:r>
      <w:proofErr w:type="spellEnd"/>
      <w:r w:rsidRPr="00B96160">
        <w:t xml:space="preserve">, T. (1986). Tax buoyancy vs elasticity in a developing economy. (BEBR Faculty Working Paper No. 1272). University of Illinois. </w:t>
      </w:r>
      <w:hyperlink r:id="rId18" w:history="1">
        <w:r w:rsidRPr="00F122BC">
          <w:rPr>
            <w:rStyle w:val="Hyperlink"/>
          </w:rPr>
          <w:t>https://www.ideals.illinois.edu/handle/2142/26260</w:t>
        </w:r>
      </w:hyperlink>
      <w:r>
        <w:t xml:space="preserve"> </w:t>
      </w:r>
    </w:p>
    <w:p w14:paraId="02F709B5" w14:textId="4F341F2B" w:rsidR="00B96160" w:rsidRPr="00B96160" w:rsidRDefault="00B96160">
      <w:pPr>
        <w:pStyle w:val="ListParagraph"/>
        <w:numPr>
          <w:ilvl w:val="0"/>
          <w:numId w:val="1"/>
        </w:numPr>
        <w:tabs>
          <w:tab w:val="left" w:pos="1440"/>
        </w:tabs>
        <w:spacing w:before="1" w:line="276" w:lineRule="auto"/>
        <w:ind w:right="663"/>
        <w:rPr>
          <w:rFonts w:ascii="Symbol" w:hAnsi="Symbol"/>
        </w:rPr>
      </w:pPr>
      <w:proofErr w:type="spellStart"/>
      <w:r w:rsidRPr="00B96160">
        <w:t>Lotz</w:t>
      </w:r>
      <w:proofErr w:type="spellEnd"/>
      <w:r w:rsidRPr="00B96160">
        <w:t xml:space="preserve">, J. R., &amp; </w:t>
      </w:r>
      <w:proofErr w:type="spellStart"/>
      <w:r w:rsidRPr="00B96160">
        <w:t>Morss</w:t>
      </w:r>
      <w:proofErr w:type="spellEnd"/>
      <w:r w:rsidRPr="00B96160">
        <w:t xml:space="preserve">, E. R. (1967). Measuring "Tax Effort" in Developing Countries. *IMF Staff Papers*, *14*(3), 478–499. </w:t>
      </w:r>
      <w:hyperlink r:id="rId19" w:history="1">
        <w:r w:rsidRPr="00F122BC">
          <w:rPr>
            <w:rStyle w:val="Hyperlink"/>
          </w:rPr>
          <w:t>https://www.imf.org/en/Publications/IMF-Staff-Papers/Issues/1967/12/31/Measuring-Tax-Effort-in-Developing-Countries-143</w:t>
        </w:r>
      </w:hyperlink>
    </w:p>
    <w:p w14:paraId="34B54808" w14:textId="77777777" w:rsidR="00B96160" w:rsidRPr="00B96160" w:rsidRDefault="00B96160">
      <w:pPr>
        <w:pStyle w:val="ListParagraph"/>
        <w:numPr>
          <w:ilvl w:val="0"/>
          <w:numId w:val="1"/>
        </w:numPr>
        <w:tabs>
          <w:tab w:val="left" w:pos="1440"/>
          <w:tab w:val="left" w:pos="3661"/>
          <w:tab w:val="left" w:pos="4695"/>
          <w:tab w:val="left" w:pos="5976"/>
          <w:tab w:val="left" w:pos="7459"/>
          <w:tab w:val="left" w:pos="8590"/>
        </w:tabs>
        <w:spacing w:line="276" w:lineRule="auto"/>
        <w:ind w:right="663"/>
        <w:rPr>
          <w:rFonts w:ascii="Symbol" w:hAnsi="Symbol"/>
        </w:rPr>
      </w:pPr>
      <w:r w:rsidRPr="00B96160">
        <w:t xml:space="preserve">Mahmood, T., &amp; Rauf, S. A. (2012). Public Debt Sustainability: Evidence from Developing Country. Pakistan Economic and Social Review, 50(1), 23–40. </w:t>
      </w:r>
      <w:hyperlink r:id="rId20" w:history="1">
        <w:r w:rsidRPr="00F122BC">
          <w:rPr>
            <w:rStyle w:val="Hyperlink"/>
          </w:rPr>
          <w:t>http://www.jstor.org/stable/24398815</w:t>
        </w:r>
      </w:hyperlink>
      <w:r>
        <w:t xml:space="preserve"> </w:t>
      </w:r>
    </w:p>
    <w:p w14:paraId="0C05754D" w14:textId="77777777" w:rsidR="00B96160" w:rsidRPr="00B96160" w:rsidRDefault="00B96160">
      <w:pPr>
        <w:pStyle w:val="ListParagraph"/>
        <w:numPr>
          <w:ilvl w:val="0"/>
          <w:numId w:val="1"/>
        </w:numPr>
        <w:tabs>
          <w:tab w:val="left" w:pos="1440"/>
        </w:tabs>
        <w:spacing w:line="273" w:lineRule="auto"/>
        <w:ind w:right="669"/>
        <w:rPr>
          <w:rFonts w:ascii="Symbol" w:hAnsi="Symbol"/>
        </w:rPr>
      </w:pPr>
      <w:r w:rsidRPr="00B96160">
        <w:t xml:space="preserve">Maurya, N. K., Singh, S., &amp; </w:t>
      </w:r>
      <w:proofErr w:type="spellStart"/>
      <w:r w:rsidRPr="00B96160">
        <w:t>Khare</w:t>
      </w:r>
      <w:proofErr w:type="spellEnd"/>
      <w:r w:rsidRPr="00B96160">
        <w:t xml:space="preserve">, S. (2016). Taxable capacity, tax efforts and structural break: Do the child states follow their respective parents? South Asian Journal of Macroeconomics and Public Finance, 5(2), 186–219. </w:t>
      </w:r>
      <w:hyperlink r:id="rId21" w:history="1">
        <w:r w:rsidRPr="00F122BC">
          <w:rPr>
            <w:rStyle w:val="Hyperlink"/>
          </w:rPr>
          <w:t>https://doi.org/10.1177/2277978716671053</w:t>
        </w:r>
      </w:hyperlink>
      <w:r>
        <w:t xml:space="preserve"> </w:t>
      </w:r>
    </w:p>
    <w:p w14:paraId="16EB86D5" w14:textId="77777777" w:rsidR="00B96160" w:rsidRPr="00B96160" w:rsidRDefault="00B96160">
      <w:pPr>
        <w:pStyle w:val="ListParagraph"/>
        <w:numPr>
          <w:ilvl w:val="0"/>
          <w:numId w:val="1"/>
        </w:numPr>
        <w:tabs>
          <w:tab w:val="left" w:pos="1440"/>
        </w:tabs>
        <w:spacing w:line="273" w:lineRule="auto"/>
        <w:ind w:right="665"/>
        <w:rPr>
          <w:rFonts w:ascii="Symbol" w:hAnsi="Symbol"/>
        </w:rPr>
      </w:pPr>
      <w:proofErr w:type="spellStart"/>
      <w:r w:rsidRPr="00B96160">
        <w:t>Prest</w:t>
      </w:r>
      <w:proofErr w:type="spellEnd"/>
      <w:r w:rsidRPr="00B96160">
        <w:t xml:space="preserve">, A. R. (1962). The sensitivity of the yield of personal income tax in the United Kingdom. The Economic Journal. </w:t>
      </w:r>
      <w:hyperlink r:id="rId22" w:history="1">
        <w:r w:rsidRPr="00F122BC">
          <w:rPr>
            <w:rStyle w:val="Hyperlink"/>
          </w:rPr>
          <w:t>https://doi.org/10.2307/2228439</w:t>
        </w:r>
      </w:hyperlink>
      <w:r>
        <w:t xml:space="preserve"> </w:t>
      </w:r>
    </w:p>
    <w:p w14:paraId="6532B6D1" w14:textId="06D0E4F0" w:rsidR="007F713D" w:rsidRDefault="00B70B8E">
      <w:pPr>
        <w:pStyle w:val="ListParagraph"/>
        <w:numPr>
          <w:ilvl w:val="0"/>
          <w:numId w:val="1"/>
        </w:numPr>
        <w:tabs>
          <w:tab w:val="left" w:pos="1440"/>
        </w:tabs>
        <w:spacing w:line="273" w:lineRule="auto"/>
        <w:ind w:right="665"/>
        <w:rPr>
          <w:rFonts w:ascii="Symbol" w:hAnsi="Symbol"/>
        </w:rPr>
      </w:pPr>
      <w:r>
        <w:t xml:space="preserve">Rao, V. G. (1979). </w:t>
      </w:r>
      <w:r>
        <w:rPr>
          <w:i/>
        </w:rPr>
        <w:t>Tax elasticity estimation: A time series approach</w:t>
      </w:r>
      <w:r>
        <w:t>. National Institute of Public Finance and Policy.</w:t>
      </w:r>
    </w:p>
    <w:p w14:paraId="659C5394" w14:textId="732992B1" w:rsidR="007F713D" w:rsidRPr="00B96160" w:rsidRDefault="00B96160" w:rsidP="00B96160">
      <w:pPr>
        <w:pStyle w:val="ListParagraph"/>
        <w:numPr>
          <w:ilvl w:val="0"/>
          <w:numId w:val="1"/>
        </w:numPr>
        <w:tabs>
          <w:tab w:val="left" w:pos="1439"/>
        </w:tabs>
        <w:ind w:left="1439" w:hanging="359"/>
        <w:rPr>
          <w:rFonts w:ascii="Symbol" w:hAnsi="Symbol"/>
        </w:rPr>
      </w:pPr>
      <w:r w:rsidRPr="00B96160">
        <w:t xml:space="preserve">Reserve Bank of India. (Various years). State finances: A study of budgets. RBI. </w:t>
      </w:r>
      <w:hyperlink r:id="rId23" w:history="1">
        <w:r w:rsidRPr="00F122BC">
          <w:rPr>
            <w:rStyle w:val="Hyperlink"/>
          </w:rPr>
          <w:t>https://rbidocs.rbi.org.in/rdocs/Publications/PDFs/0STATEFINANCE2024AE6FF65F475C4934B53CC8ABE7FAB30E.PDF</w:t>
        </w:r>
      </w:hyperlink>
      <w:r>
        <w:t xml:space="preserve"> </w:t>
      </w:r>
    </w:p>
    <w:p w14:paraId="1CED78C1" w14:textId="77777777" w:rsidR="00B96160" w:rsidRDefault="00B96160" w:rsidP="00B96160">
      <w:pPr>
        <w:pStyle w:val="ListParagraph"/>
        <w:tabs>
          <w:tab w:val="left" w:pos="1439"/>
        </w:tabs>
        <w:ind w:left="1439" w:firstLine="0"/>
        <w:rPr>
          <w:rFonts w:ascii="Symbol" w:hAnsi="Symbol"/>
        </w:rPr>
      </w:pPr>
    </w:p>
    <w:sectPr w:rsidR="00B96160" w:rsidSect="00403586">
      <w:pgSz w:w="12240" w:h="15840"/>
      <w:pgMar w:top="1418" w:right="1080" w:bottom="1220" w:left="1080" w:header="0" w:footer="10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A4BEA4" w14:textId="77777777" w:rsidR="000A7548" w:rsidRDefault="000A7548">
      <w:r>
        <w:separator/>
      </w:r>
    </w:p>
  </w:endnote>
  <w:endnote w:type="continuationSeparator" w:id="0">
    <w:p w14:paraId="14E7BF8D" w14:textId="77777777" w:rsidR="000A7548" w:rsidRDefault="000A7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C77F4" w14:textId="77777777" w:rsidR="00735AFC" w:rsidRDefault="00735A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56AD9" w14:textId="77777777" w:rsidR="007F713D" w:rsidRDefault="00B70B8E">
    <w:pPr>
      <w:pStyle w:val="BodyText"/>
      <w:spacing w:line="14" w:lineRule="auto"/>
      <w:rPr>
        <w:sz w:val="20"/>
      </w:rPr>
    </w:pPr>
    <w:r>
      <w:rPr>
        <w:noProof/>
        <w:sz w:val="20"/>
      </w:rPr>
      <mc:AlternateContent>
        <mc:Choice Requires="wps">
          <w:drawing>
            <wp:anchor distT="0" distB="0" distL="0" distR="0" simplePos="0" relativeHeight="487235072" behindDoc="1" locked="0" layoutInCell="1" allowOverlap="1" wp14:anchorId="49B81AEA" wp14:editId="36ED610B">
              <wp:simplePos x="0" y="0"/>
              <wp:positionH relativeFrom="page">
                <wp:posOffset>3811904</wp:posOffset>
              </wp:positionH>
              <wp:positionV relativeFrom="page">
                <wp:posOffset>9261726</wp:posOffset>
              </wp:positionV>
              <wp:extent cx="180975" cy="1898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89865"/>
                      </a:xfrm>
                      <a:prstGeom prst="rect">
                        <a:avLst/>
                      </a:prstGeom>
                    </wps:spPr>
                    <wps:txbx>
                      <w:txbxContent>
                        <w:p w14:paraId="4BB0BB43" w14:textId="77777777" w:rsidR="007F713D" w:rsidRDefault="00B70B8E">
                          <w:pPr>
                            <w:spacing w:before="20"/>
                            <w:ind w:left="20"/>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10</w:t>
                          </w:r>
                          <w:r>
                            <w:rPr>
                              <w:rFonts w:ascii="Cambria"/>
                              <w:spacing w:val="-5"/>
                            </w:rPr>
                            <w:fldChar w:fldCharType="end"/>
                          </w:r>
                        </w:p>
                      </w:txbxContent>
                    </wps:txbx>
                    <wps:bodyPr wrap="square" lIns="0" tIns="0" rIns="0" bIns="0" rtlCol="0">
                      <a:noAutofit/>
                    </wps:bodyPr>
                  </wps:wsp>
                </a:graphicData>
              </a:graphic>
            </wp:anchor>
          </w:drawing>
        </mc:Choice>
        <mc:Fallback>
          <w:pict>
            <v:shapetype w14:anchorId="49B81AEA" id="_x0000_t202" coordsize="21600,21600" o:spt="202" path="m,l,21600r21600,l21600,xe">
              <v:stroke joinstyle="miter"/>
              <v:path gradientshapeok="t" o:connecttype="rect"/>
            </v:shapetype>
            <v:shape id="Textbox 1" o:spid="_x0000_s1026" type="#_x0000_t202" style="position:absolute;margin-left:300.15pt;margin-top:729.25pt;width:14.25pt;height:14.95pt;z-index:-1608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" filled="f" stroked="f">
              <v:textbox inset="0,0,0,0">
                <w:txbxContent>
                  <w:p w14:paraId="4BB0BB43" w14:textId="77777777" w:rsidR="007F713D" w:rsidRDefault="00B70B8E">
                    <w:pPr>
                      <w:spacing w:before="20"/>
                      <w:ind w:left="20"/>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10</w:t>
                    </w:r>
                    <w:r>
                      <w:rPr>
                        <w:rFonts w:ascii="Cambria"/>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0007A" w14:textId="77777777" w:rsidR="00735AFC" w:rsidRDefault="00735A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0BE02E" w14:textId="77777777" w:rsidR="000A7548" w:rsidRDefault="000A7548">
      <w:r>
        <w:separator/>
      </w:r>
    </w:p>
  </w:footnote>
  <w:footnote w:type="continuationSeparator" w:id="0">
    <w:p w14:paraId="0C3EA914" w14:textId="77777777" w:rsidR="000A7548" w:rsidRDefault="000A7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9BDF8" w14:textId="2D51A0CD" w:rsidR="00735AFC" w:rsidRDefault="00735AFC">
    <w:pPr>
      <w:pStyle w:val="Header"/>
    </w:pPr>
    <w:r>
      <w:rPr>
        <w:noProof/>
      </w:rPr>
      <w:pict w14:anchorId="39CDF5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454876" o:spid="_x0000_s2050" type="#_x0000_t136" style="position:absolute;margin-left:0;margin-top:0;width:638.5pt;height:72.05pt;rotation:315;z-index:-1607731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607BC" w14:textId="42DD549A" w:rsidR="00735AFC" w:rsidRDefault="00735AFC">
    <w:pPr>
      <w:pStyle w:val="Header"/>
    </w:pPr>
    <w:r>
      <w:rPr>
        <w:noProof/>
      </w:rPr>
      <w:pict w14:anchorId="55DE0E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454877" o:spid="_x0000_s2051" type="#_x0000_t136" style="position:absolute;margin-left:0;margin-top:0;width:638.5pt;height:72.05pt;rotation:315;z-index:-1607526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091CE" w14:textId="1B9DD327" w:rsidR="00735AFC" w:rsidRDefault="00735AFC">
    <w:pPr>
      <w:pStyle w:val="Header"/>
    </w:pPr>
    <w:r>
      <w:rPr>
        <w:noProof/>
      </w:rPr>
      <w:pict w14:anchorId="00D58D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454875" o:spid="_x0000_s2049" type="#_x0000_t136" style="position:absolute;margin-left:0;margin-top:0;width:638.5pt;height:72.05pt;rotation:315;z-index:-1607936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90302"/>
    <w:multiLevelType w:val="hybridMultilevel"/>
    <w:tmpl w:val="067E6C10"/>
    <w:lvl w:ilvl="0" w:tplc="2B8ADBF0">
      <w:start w:val="1"/>
      <w:numFmt w:val="lowerRoman"/>
      <w:lvlText w:val="(%1)"/>
      <w:lvlJc w:val="left"/>
      <w:pPr>
        <w:ind w:left="1147" w:hanging="428"/>
        <w:jc w:val="left"/>
      </w:pPr>
      <w:rPr>
        <w:rFonts w:ascii="Times New Roman" w:eastAsia="Times New Roman" w:hAnsi="Times New Roman" w:cs="Times New Roman" w:hint="default"/>
        <w:b w:val="0"/>
        <w:bCs w:val="0"/>
        <w:i/>
        <w:iCs/>
        <w:spacing w:val="0"/>
        <w:w w:val="100"/>
        <w:sz w:val="24"/>
        <w:szCs w:val="24"/>
        <w:lang w:val="en-US" w:eastAsia="en-US" w:bidi="ar-SA"/>
      </w:rPr>
    </w:lvl>
    <w:lvl w:ilvl="1" w:tplc="39A00918">
      <w:numFmt w:val="bullet"/>
      <w:lvlText w:val=""/>
      <w:lvlJc w:val="left"/>
      <w:pPr>
        <w:ind w:left="1440" w:hanging="360"/>
      </w:pPr>
      <w:rPr>
        <w:rFonts w:ascii="Symbol" w:eastAsia="Symbol" w:hAnsi="Symbol" w:cs="Symbol" w:hint="default"/>
        <w:spacing w:val="0"/>
        <w:w w:val="99"/>
        <w:lang w:val="en-US" w:eastAsia="en-US" w:bidi="ar-SA"/>
      </w:rPr>
    </w:lvl>
    <w:lvl w:ilvl="2" w:tplc="33887346">
      <w:numFmt w:val="bullet"/>
      <w:lvlText w:val="•"/>
      <w:lvlJc w:val="left"/>
      <w:pPr>
        <w:ind w:left="1440" w:hanging="360"/>
      </w:pPr>
      <w:rPr>
        <w:rFonts w:hint="default"/>
        <w:lang w:val="en-US" w:eastAsia="en-US" w:bidi="ar-SA"/>
      </w:rPr>
    </w:lvl>
    <w:lvl w:ilvl="3" w:tplc="B54A6D40">
      <w:numFmt w:val="bullet"/>
      <w:lvlText w:val="•"/>
      <w:lvlJc w:val="left"/>
      <w:pPr>
        <w:ind w:left="2520" w:hanging="360"/>
      </w:pPr>
      <w:rPr>
        <w:rFonts w:hint="default"/>
        <w:lang w:val="en-US" w:eastAsia="en-US" w:bidi="ar-SA"/>
      </w:rPr>
    </w:lvl>
    <w:lvl w:ilvl="4" w:tplc="AA2A93F0">
      <w:numFmt w:val="bullet"/>
      <w:lvlText w:val="•"/>
      <w:lvlJc w:val="left"/>
      <w:pPr>
        <w:ind w:left="3600" w:hanging="360"/>
      </w:pPr>
      <w:rPr>
        <w:rFonts w:hint="default"/>
        <w:lang w:val="en-US" w:eastAsia="en-US" w:bidi="ar-SA"/>
      </w:rPr>
    </w:lvl>
    <w:lvl w:ilvl="5" w:tplc="0A1C3436">
      <w:numFmt w:val="bullet"/>
      <w:lvlText w:val="•"/>
      <w:lvlJc w:val="left"/>
      <w:pPr>
        <w:ind w:left="4680" w:hanging="360"/>
      </w:pPr>
      <w:rPr>
        <w:rFonts w:hint="default"/>
        <w:lang w:val="en-US" w:eastAsia="en-US" w:bidi="ar-SA"/>
      </w:rPr>
    </w:lvl>
    <w:lvl w:ilvl="6" w:tplc="82F691EC">
      <w:numFmt w:val="bullet"/>
      <w:lvlText w:val="•"/>
      <w:lvlJc w:val="left"/>
      <w:pPr>
        <w:ind w:left="5760" w:hanging="360"/>
      </w:pPr>
      <w:rPr>
        <w:rFonts w:hint="default"/>
        <w:lang w:val="en-US" w:eastAsia="en-US" w:bidi="ar-SA"/>
      </w:rPr>
    </w:lvl>
    <w:lvl w:ilvl="7" w:tplc="A64C40A8">
      <w:numFmt w:val="bullet"/>
      <w:lvlText w:val="•"/>
      <w:lvlJc w:val="left"/>
      <w:pPr>
        <w:ind w:left="6840" w:hanging="360"/>
      </w:pPr>
      <w:rPr>
        <w:rFonts w:hint="default"/>
        <w:lang w:val="en-US" w:eastAsia="en-US" w:bidi="ar-SA"/>
      </w:rPr>
    </w:lvl>
    <w:lvl w:ilvl="8" w:tplc="DB9223B0">
      <w:numFmt w:val="bullet"/>
      <w:lvlText w:val="•"/>
      <w:lvlJc w:val="left"/>
      <w:pPr>
        <w:ind w:left="7920" w:hanging="360"/>
      </w:pPr>
      <w:rPr>
        <w:rFonts w:hint="default"/>
        <w:lang w:val="en-US" w:eastAsia="en-US" w:bidi="ar-SA"/>
      </w:rPr>
    </w:lvl>
  </w:abstractNum>
  <w:abstractNum w:abstractNumId="1" w15:restartNumberingAfterBreak="0">
    <w:nsid w:val="0D6C26C1"/>
    <w:multiLevelType w:val="hybridMultilevel"/>
    <w:tmpl w:val="D716023E"/>
    <w:lvl w:ilvl="0" w:tplc="5FDAA2C4">
      <w:numFmt w:val="bullet"/>
      <w:lvlText w:val=""/>
      <w:lvlJc w:val="left"/>
      <w:pPr>
        <w:ind w:left="1440" w:hanging="360"/>
      </w:pPr>
      <w:rPr>
        <w:rFonts w:ascii="Symbol" w:eastAsia="Symbol" w:hAnsi="Symbol" w:cs="Symbol" w:hint="default"/>
        <w:spacing w:val="0"/>
        <w:w w:val="99"/>
        <w:lang w:val="en-US" w:eastAsia="en-US" w:bidi="ar-SA"/>
      </w:rPr>
    </w:lvl>
    <w:lvl w:ilvl="1" w:tplc="AFBC30D6">
      <w:numFmt w:val="bullet"/>
      <w:lvlText w:val="•"/>
      <w:lvlJc w:val="left"/>
      <w:pPr>
        <w:ind w:left="2304" w:hanging="360"/>
      </w:pPr>
      <w:rPr>
        <w:rFonts w:hint="default"/>
        <w:lang w:val="en-US" w:eastAsia="en-US" w:bidi="ar-SA"/>
      </w:rPr>
    </w:lvl>
    <w:lvl w:ilvl="2" w:tplc="08C82D5E">
      <w:numFmt w:val="bullet"/>
      <w:lvlText w:val="•"/>
      <w:lvlJc w:val="left"/>
      <w:pPr>
        <w:ind w:left="3168" w:hanging="360"/>
      </w:pPr>
      <w:rPr>
        <w:rFonts w:hint="default"/>
        <w:lang w:val="en-US" w:eastAsia="en-US" w:bidi="ar-SA"/>
      </w:rPr>
    </w:lvl>
    <w:lvl w:ilvl="3" w:tplc="E20EF64C">
      <w:numFmt w:val="bullet"/>
      <w:lvlText w:val="•"/>
      <w:lvlJc w:val="left"/>
      <w:pPr>
        <w:ind w:left="4032" w:hanging="360"/>
      </w:pPr>
      <w:rPr>
        <w:rFonts w:hint="default"/>
        <w:lang w:val="en-US" w:eastAsia="en-US" w:bidi="ar-SA"/>
      </w:rPr>
    </w:lvl>
    <w:lvl w:ilvl="4" w:tplc="7F428AA6">
      <w:numFmt w:val="bullet"/>
      <w:lvlText w:val="•"/>
      <w:lvlJc w:val="left"/>
      <w:pPr>
        <w:ind w:left="4896" w:hanging="360"/>
      </w:pPr>
      <w:rPr>
        <w:rFonts w:hint="default"/>
        <w:lang w:val="en-US" w:eastAsia="en-US" w:bidi="ar-SA"/>
      </w:rPr>
    </w:lvl>
    <w:lvl w:ilvl="5" w:tplc="9FEC9A16">
      <w:numFmt w:val="bullet"/>
      <w:lvlText w:val="•"/>
      <w:lvlJc w:val="left"/>
      <w:pPr>
        <w:ind w:left="5760" w:hanging="360"/>
      </w:pPr>
      <w:rPr>
        <w:rFonts w:hint="default"/>
        <w:lang w:val="en-US" w:eastAsia="en-US" w:bidi="ar-SA"/>
      </w:rPr>
    </w:lvl>
    <w:lvl w:ilvl="6" w:tplc="D6D2F47E">
      <w:numFmt w:val="bullet"/>
      <w:lvlText w:val="•"/>
      <w:lvlJc w:val="left"/>
      <w:pPr>
        <w:ind w:left="6624" w:hanging="360"/>
      </w:pPr>
      <w:rPr>
        <w:rFonts w:hint="default"/>
        <w:lang w:val="en-US" w:eastAsia="en-US" w:bidi="ar-SA"/>
      </w:rPr>
    </w:lvl>
    <w:lvl w:ilvl="7" w:tplc="30BC18F8">
      <w:numFmt w:val="bullet"/>
      <w:lvlText w:val="•"/>
      <w:lvlJc w:val="left"/>
      <w:pPr>
        <w:ind w:left="7488" w:hanging="360"/>
      </w:pPr>
      <w:rPr>
        <w:rFonts w:hint="default"/>
        <w:lang w:val="en-US" w:eastAsia="en-US" w:bidi="ar-SA"/>
      </w:rPr>
    </w:lvl>
    <w:lvl w:ilvl="8" w:tplc="45461F4A">
      <w:numFmt w:val="bullet"/>
      <w:lvlText w:val="•"/>
      <w:lvlJc w:val="left"/>
      <w:pPr>
        <w:ind w:left="8352" w:hanging="360"/>
      </w:pPr>
      <w:rPr>
        <w:rFonts w:hint="default"/>
        <w:lang w:val="en-US" w:eastAsia="en-US" w:bidi="ar-SA"/>
      </w:rPr>
    </w:lvl>
  </w:abstractNum>
  <w:abstractNum w:abstractNumId="2" w15:restartNumberingAfterBreak="0">
    <w:nsid w:val="473200BA"/>
    <w:multiLevelType w:val="hybridMultilevel"/>
    <w:tmpl w:val="27C2B1D6"/>
    <w:lvl w:ilvl="0" w:tplc="0248FC8C">
      <w:start w:val="1"/>
      <w:numFmt w:val="lowerRoman"/>
      <w:lvlText w:val="(%1)"/>
      <w:lvlJc w:val="left"/>
      <w:pPr>
        <w:ind w:left="1147" w:hanging="42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1EE7904">
      <w:numFmt w:val="bullet"/>
      <w:lvlText w:val=""/>
      <w:lvlJc w:val="left"/>
      <w:pPr>
        <w:ind w:left="1440" w:hanging="437"/>
      </w:pPr>
      <w:rPr>
        <w:rFonts w:ascii="Symbol" w:eastAsia="Symbol" w:hAnsi="Symbol" w:cs="Symbol" w:hint="default"/>
        <w:b w:val="0"/>
        <w:bCs w:val="0"/>
        <w:i w:val="0"/>
        <w:iCs w:val="0"/>
        <w:spacing w:val="0"/>
        <w:w w:val="99"/>
        <w:sz w:val="20"/>
        <w:szCs w:val="20"/>
        <w:lang w:val="en-US" w:eastAsia="en-US" w:bidi="ar-SA"/>
      </w:rPr>
    </w:lvl>
    <w:lvl w:ilvl="2" w:tplc="09C07FC6">
      <w:numFmt w:val="bullet"/>
      <w:lvlText w:val="•"/>
      <w:lvlJc w:val="left"/>
      <w:pPr>
        <w:ind w:left="2400" w:hanging="437"/>
      </w:pPr>
      <w:rPr>
        <w:rFonts w:hint="default"/>
        <w:lang w:val="en-US" w:eastAsia="en-US" w:bidi="ar-SA"/>
      </w:rPr>
    </w:lvl>
    <w:lvl w:ilvl="3" w:tplc="72E055F6">
      <w:numFmt w:val="bullet"/>
      <w:lvlText w:val="•"/>
      <w:lvlJc w:val="left"/>
      <w:pPr>
        <w:ind w:left="3360" w:hanging="437"/>
      </w:pPr>
      <w:rPr>
        <w:rFonts w:hint="default"/>
        <w:lang w:val="en-US" w:eastAsia="en-US" w:bidi="ar-SA"/>
      </w:rPr>
    </w:lvl>
    <w:lvl w:ilvl="4" w:tplc="14EAC37A">
      <w:numFmt w:val="bullet"/>
      <w:lvlText w:val="•"/>
      <w:lvlJc w:val="left"/>
      <w:pPr>
        <w:ind w:left="4320" w:hanging="437"/>
      </w:pPr>
      <w:rPr>
        <w:rFonts w:hint="default"/>
        <w:lang w:val="en-US" w:eastAsia="en-US" w:bidi="ar-SA"/>
      </w:rPr>
    </w:lvl>
    <w:lvl w:ilvl="5" w:tplc="AE8011B8">
      <w:numFmt w:val="bullet"/>
      <w:lvlText w:val="•"/>
      <w:lvlJc w:val="left"/>
      <w:pPr>
        <w:ind w:left="5280" w:hanging="437"/>
      </w:pPr>
      <w:rPr>
        <w:rFonts w:hint="default"/>
        <w:lang w:val="en-US" w:eastAsia="en-US" w:bidi="ar-SA"/>
      </w:rPr>
    </w:lvl>
    <w:lvl w:ilvl="6" w:tplc="303847EC">
      <w:numFmt w:val="bullet"/>
      <w:lvlText w:val="•"/>
      <w:lvlJc w:val="left"/>
      <w:pPr>
        <w:ind w:left="6240" w:hanging="437"/>
      </w:pPr>
      <w:rPr>
        <w:rFonts w:hint="default"/>
        <w:lang w:val="en-US" w:eastAsia="en-US" w:bidi="ar-SA"/>
      </w:rPr>
    </w:lvl>
    <w:lvl w:ilvl="7" w:tplc="7DF8F3CA">
      <w:numFmt w:val="bullet"/>
      <w:lvlText w:val="•"/>
      <w:lvlJc w:val="left"/>
      <w:pPr>
        <w:ind w:left="7200" w:hanging="437"/>
      </w:pPr>
      <w:rPr>
        <w:rFonts w:hint="default"/>
        <w:lang w:val="en-US" w:eastAsia="en-US" w:bidi="ar-SA"/>
      </w:rPr>
    </w:lvl>
    <w:lvl w:ilvl="8" w:tplc="4400293A">
      <w:numFmt w:val="bullet"/>
      <w:lvlText w:val="•"/>
      <w:lvlJc w:val="left"/>
      <w:pPr>
        <w:ind w:left="8160" w:hanging="437"/>
      </w:pPr>
      <w:rPr>
        <w:rFonts w:hint="default"/>
        <w:lang w:val="en-US" w:eastAsia="en-US" w:bidi="ar-SA"/>
      </w:rPr>
    </w:lvl>
  </w:abstractNum>
  <w:abstractNum w:abstractNumId="3" w15:restartNumberingAfterBreak="0">
    <w:nsid w:val="4E1C5A68"/>
    <w:multiLevelType w:val="hybridMultilevel"/>
    <w:tmpl w:val="2B2ED23A"/>
    <w:lvl w:ilvl="0" w:tplc="B5EC8F9C">
      <w:start w:val="1"/>
      <w:numFmt w:val="upperRoman"/>
      <w:lvlText w:val="%1."/>
      <w:lvlJc w:val="left"/>
      <w:pPr>
        <w:ind w:left="4520" w:hanging="214"/>
        <w:jc w:val="right"/>
      </w:pPr>
      <w:rPr>
        <w:rFonts w:ascii="Times New Roman" w:eastAsia="Times New Roman" w:hAnsi="Times New Roman" w:cs="Times New Roman" w:hint="default"/>
        <w:b/>
        <w:bCs/>
        <w:i w:val="0"/>
        <w:iCs w:val="0"/>
        <w:spacing w:val="0"/>
        <w:w w:val="100"/>
        <w:sz w:val="24"/>
        <w:szCs w:val="24"/>
        <w:lang w:val="en-US" w:eastAsia="en-US" w:bidi="ar-SA"/>
      </w:rPr>
    </w:lvl>
    <w:lvl w:ilvl="1" w:tplc="E4287EEA">
      <w:numFmt w:val="bullet"/>
      <w:lvlText w:val="•"/>
      <w:lvlJc w:val="left"/>
      <w:pPr>
        <w:ind w:left="5076" w:hanging="214"/>
      </w:pPr>
      <w:rPr>
        <w:rFonts w:hint="default"/>
        <w:lang w:val="en-US" w:eastAsia="en-US" w:bidi="ar-SA"/>
      </w:rPr>
    </w:lvl>
    <w:lvl w:ilvl="2" w:tplc="3FEA3F46">
      <w:numFmt w:val="bullet"/>
      <w:lvlText w:val="•"/>
      <w:lvlJc w:val="left"/>
      <w:pPr>
        <w:ind w:left="5632" w:hanging="214"/>
      </w:pPr>
      <w:rPr>
        <w:rFonts w:hint="default"/>
        <w:lang w:val="en-US" w:eastAsia="en-US" w:bidi="ar-SA"/>
      </w:rPr>
    </w:lvl>
    <w:lvl w:ilvl="3" w:tplc="BC0EF51E">
      <w:numFmt w:val="bullet"/>
      <w:lvlText w:val="•"/>
      <w:lvlJc w:val="left"/>
      <w:pPr>
        <w:ind w:left="6188" w:hanging="214"/>
      </w:pPr>
      <w:rPr>
        <w:rFonts w:hint="default"/>
        <w:lang w:val="en-US" w:eastAsia="en-US" w:bidi="ar-SA"/>
      </w:rPr>
    </w:lvl>
    <w:lvl w:ilvl="4" w:tplc="468E0300">
      <w:numFmt w:val="bullet"/>
      <w:lvlText w:val="•"/>
      <w:lvlJc w:val="left"/>
      <w:pPr>
        <w:ind w:left="6744" w:hanging="214"/>
      </w:pPr>
      <w:rPr>
        <w:rFonts w:hint="default"/>
        <w:lang w:val="en-US" w:eastAsia="en-US" w:bidi="ar-SA"/>
      </w:rPr>
    </w:lvl>
    <w:lvl w:ilvl="5" w:tplc="999C7A26">
      <w:numFmt w:val="bullet"/>
      <w:lvlText w:val="•"/>
      <w:lvlJc w:val="left"/>
      <w:pPr>
        <w:ind w:left="7300" w:hanging="214"/>
      </w:pPr>
      <w:rPr>
        <w:rFonts w:hint="default"/>
        <w:lang w:val="en-US" w:eastAsia="en-US" w:bidi="ar-SA"/>
      </w:rPr>
    </w:lvl>
    <w:lvl w:ilvl="6" w:tplc="9DD47540">
      <w:numFmt w:val="bullet"/>
      <w:lvlText w:val="•"/>
      <w:lvlJc w:val="left"/>
      <w:pPr>
        <w:ind w:left="7856" w:hanging="214"/>
      </w:pPr>
      <w:rPr>
        <w:rFonts w:hint="default"/>
        <w:lang w:val="en-US" w:eastAsia="en-US" w:bidi="ar-SA"/>
      </w:rPr>
    </w:lvl>
    <w:lvl w:ilvl="7" w:tplc="B4F83A6E">
      <w:numFmt w:val="bullet"/>
      <w:lvlText w:val="•"/>
      <w:lvlJc w:val="left"/>
      <w:pPr>
        <w:ind w:left="8412" w:hanging="214"/>
      </w:pPr>
      <w:rPr>
        <w:rFonts w:hint="default"/>
        <w:lang w:val="en-US" w:eastAsia="en-US" w:bidi="ar-SA"/>
      </w:rPr>
    </w:lvl>
    <w:lvl w:ilvl="8" w:tplc="EAC41632">
      <w:numFmt w:val="bullet"/>
      <w:lvlText w:val="•"/>
      <w:lvlJc w:val="left"/>
      <w:pPr>
        <w:ind w:left="8968" w:hanging="214"/>
      </w:pPr>
      <w:rPr>
        <w:rFonts w:hint="default"/>
        <w:lang w:val="en-US" w:eastAsia="en-US" w:bidi="ar-SA"/>
      </w:rPr>
    </w:lvl>
  </w:abstractNum>
  <w:abstractNum w:abstractNumId="4" w15:restartNumberingAfterBreak="0">
    <w:nsid w:val="5FC95E3E"/>
    <w:multiLevelType w:val="hybridMultilevel"/>
    <w:tmpl w:val="6DCA7544"/>
    <w:lvl w:ilvl="0" w:tplc="0FE64D38">
      <w:start w:val="4"/>
      <w:numFmt w:val="decimal"/>
      <w:lvlText w:val="%1."/>
      <w:lvlJc w:val="left"/>
      <w:pPr>
        <w:ind w:left="96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A963D84">
      <w:numFmt w:val="bullet"/>
      <w:lvlText w:val="•"/>
      <w:lvlJc w:val="left"/>
      <w:pPr>
        <w:ind w:left="1872" w:hanging="240"/>
      </w:pPr>
      <w:rPr>
        <w:rFonts w:hint="default"/>
        <w:lang w:val="en-US" w:eastAsia="en-US" w:bidi="ar-SA"/>
      </w:rPr>
    </w:lvl>
    <w:lvl w:ilvl="2" w:tplc="4FA6F4DA">
      <w:numFmt w:val="bullet"/>
      <w:lvlText w:val="•"/>
      <w:lvlJc w:val="left"/>
      <w:pPr>
        <w:ind w:left="2784" w:hanging="240"/>
      </w:pPr>
      <w:rPr>
        <w:rFonts w:hint="default"/>
        <w:lang w:val="en-US" w:eastAsia="en-US" w:bidi="ar-SA"/>
      </w:rPr>
    </w:lvl>
    <w:lvl w:ilvl="3" w:tplc="1448584E">
      <w:numFmt w:val="bullet"/>
      <w:lvlText w:val="•"/>
      <w:lvlJc w:val="left"/>
      <w:pPr>
        <w:ind w:left="3696" w:hanging="240"/>
      </w:pPr>
      <w:rPr>
        <w:rFonts w:hint="default"/>
        <w:lang w:val="en-US" w:eastAsia="en-US" w:bidi="ar-SA"/>
      </w:rPr>
    </w:lvl>
    <w:lvl w:ilvl="4" w:tplc="3E046D3E">
      <w:numFmt w:val="bullet"/>
      <w:lvlText w:val="•"/>
      <w:lvlJc w:val="left"/>
      <w:pPr>
        <w:ind w:left="4608" w:hanging="240"/>
      </w:pPr>
      <w:rPr>
        <w:rFonts w:hint="default"/>
        <w:lang w:val="en-US" w:eastAsia="en-US" w:bidi="ar-SA"/>
      </w:rPr>
    </w:lvl>
    <w:lvl w:ilvl="5" w:tplc="49D27198">
      <w:numFmt w:val="bullet"/>
      <w:lvlText w:val="•"/>
      <w:lvlJc w:val="left"/>
      <w:pPr>
        <w:ind w:left="5520" w:hanging="240"/>
      </w:pPr>
      <w:rPr>
        <w:rFonts w:hint="default"/>
        <w:lang w:val="en-US" w:eastAsia="en-US" w:bidi="ar-SA"/>
      </w:rPr>
    </w:lvl>
    <w:lvl w:ilvl="6" w:tplc="3DFC3BA6">
      <w:numFmt w:val="bullet"/>
      <w:lvlText w:val="•"/>
      <w:lvlJc w:val="left"/>
      <w:pPr>
        <w:ind w:left="6432" w:hanging="240"/>
      </w:pPr>
      <w:rPr>
        <w:rFonts w:hint="default"/>
        <w:lang w:val="en-US" w:eastAsia="en-US" w:bidi="ar-SA"/>
      </w:rPr>
    </w:lvl>
    <w:lvl w:ilvl="7" w:tplc="CBDC2DB0">
      <w:numFmt w:val="bullet"/>
      <w:lvlText w:val="•"/>
      <w:lvlJc w:val="left"/>
      <w:pPr>
        <w:ind w:left="7344" w:hanging="240"/>
      </w:pPr>
      <w:rPr>
        <w:rFonts w:hint="default"/>
        <w:lang w:val="en-US" w:eastAsia="en-US" w:bidi="ar-SA"/>
      </w:rPr>
    </w:lvl>
    <w:lvl w:ilvl="8" w:tplc="2924CC52">
      <w:numFmt w:val="bullet"/>
      <w:lvlText w:val="•"/>
      <w:lvlJc w:val="left"/>
      <w:pPr>
        <w:ind w:left="8256" w:hanging="240"/>
      </w:pPr>
      <w:rPr>
        <w:rFonts w:hint="default"/>
        <w:lang w:val="en-US" w:eastAsia="en-US" w:bidi="ar-SA"/>
      </w:rPr>
    </w:lvl>
  </w:abstractNum>
  <w:abstractNum w:abstractNumId="5" w15:restartNumberingAfterBreak="0">
    <w:nsid w:val="63087988"/>
    <w:multiLevelType w:val="hybridMultilevel"/>
    <w:tmpl w:val="74E4CA96"/>
    <w:lvl w:ilvl="0" w:tplc="6E8692E8">
      <w:start w:val="1"/>
      <w:numFmt w:val="lowerRoman"/>
      <w:lvlText w:val="(%1)"/>
      <w:lvlJc w:val="left"/>
      <w:pPr>
        <w:ind w:left="14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908216A">
      <w:numFmt w:val="bullet"/>
      <w:lvlText w:val="•"/>
      <w:lvlJc w:val="left"/>
      <w:pPr>
        <w:ind w:left="2304" w:hanging="360"/>
      </w:pPr>
      <w:rPr>
        <w:rFonts w:hint="default"/>
        <w:lang w:val="en-US" w:eastAsia="en-US" w:bidi="ar-SA"/>
      </w:rPr>
    </w:lvl>
    <w:lvl w:ilvl="2" w:tplc="69684A20">
      <w:numFmt w:val="bullet"/>
      <w:lvlText w:val="•"/>
      <w:lvlJc w:val="left"/>
      <w:pPr>
        <w:ind w:left="3168" w:hanging="360"/>
      </w:pPr>
      <w:rPr>
        <w:rFonts w:hint="default"/>
        <w:lang w:val="en-US" w:eastAsia="en-US" w:bidi="ar-SA"/>
      </w:rPr>
    </w:lvl>
    <w:lvl w:ilvl="3" w:tplc="4020A0D4">
      <w:numFmt w:val="bullet"/>
      <w:lvlText w:val="•"/>
      <w:lvlJc w:val="left"/>
      <w:pPr>
        <w:ind w:left="4032" w:hanging="360"/>
      </w:pPr>
      <w:rPr>
        <w:rFonts w:hint="default"/>
        <w:lang w:val="en-US" w:eastAsia="en-US" w:bidi="ar-SA"/>
      </w:rPr>
    </w:lvl>
    <w:lvl w:ilvl="4" w:tplc="8E54ADCE">
      <w:numFmt w:val="bullet"/>
      <w:lvlText w:val="•"/>
      <w:lvlJc w:val="left"/>
      <w:pPr>
        <w:ind w:left="4896" w:hanging="360"/>
      </w:pPr>
      <w:rPr>
        <w:rFonts w:hint="default"/>
        <w:lang w:val="en-US" w:eastAsia="en-US" w:bidi="ar-SA"/>
      </w:rPr>
    </w:lvl>
    <w:lvl w:ilvl="5" w:tplc="2AD0CB20">
      <w:numFmt w:val="bullet"/>
      <w:lvlText w:val="•"/>
      <w:lvlJc w:val="left"/>
      <w:pPr>
        <w:ind w:left="5760" w:hanging="360"/>
      </w:pPr>
      <w:rPr>
        <w:rFonts w:hint="default"/>
        <w:lang w:val="en-US" w:eastAsia="en-US" w:bidi="ar-SA"/>
      </w:rPr>
    </w:lvl>
    <w:lvl w:ilvl="6" w:tplc="3EE4222E">
      <w:numFmt w:val="bullet"/>
      <w:lvlText w:val="•"/>
      <w:lvlJc w:val="left"/>
      <w:pPr>
        <w:ind w:left="6624" w:hanging="360"/>
      </w:pPr>
      <w:rPr>
        <w:rFonts w:hint="default"/>
        <w:lang w:val="en-US" w:eastAsia="en-US" w:bidi="ar-SA"/>
      </w:rPr>
    </w:lvl>
    <w:lvl w:ilvl="7" w:tplc="B2B08E78">
      <w:numFmt w:val="bullet"/>
      <w:lvlText w:val="•"/>
      <w:lvlJc w:val="left"/>
      <w:pPr>
        <w:ind w:left="7488" w:hanging="360"/>
      </w:pPr>
      <w:rPr>
        <w:rFonts w:hint="default"/>
        <w:lang w:val="en-US" w:eastAsia="en-US" w:bidi="ar-SA"/>
      </w:rPr>
    </w:lvl>
    <w:lvl w:ilvl="8" w:tplc="2E8AC312">
      <w:numFmt w:val="bullet"/>
      <w:lvlText w:val="•"/>
      <w:lvlJc w:val="left"/>
      <w:pPr>
        <w:ind w:left="8352" w:hanging="360"/>
      </w:pPr>
      <w:rPr>
        <w:rFonts w:hint="default"/>
        <w:lang w:val="en-US" w:eastAsia="en-US" w:bidi="ar-SA"/>
      </w:rPr>
    </w:lvl>
  </w:abstractNum>
  <w:abstractNum w:abstractNumId="6" w15:restartNumberingAfterBreak="0">
    <w:nsid w:val="656E6DC9"/>
    <w:multiLevelType w:val="hybridMultilevel"/>
    <w:tmpl w:val="1452CE36"/>
    <w:lvl w:ilvl="0" w:tplc="7D6612C8">
      <w:start w:val="1"/>
      <w:numFmt w:val="upperLetter"/>
      <w:lvlText w:val="%1."/>
      <w:lvlJc w:val="left"/>
      <w:pPr>
        <w:ind w:left="1046" w:hanging="267"/>
        <w:jc w:val="left"/>
      </w:pPr>
      <w:rPr>
        <w:rFonts w:ascii="Times New Roman" w:eastAsia="Times New Roman" w:hAnsi="Times New Roman" w:cs="Times New Roman" w:hint="default"/>
        <w:b w:val="0"/>
        <w:bCs w:val="0"/>
        <w:i/>
        <w:iCs/>
        <w:spacing w:val="-1"/>
        <w:w w:val="100"/>
        <w:sz w:val="24"/>
        <w:szCs w:val="24"/>
        <w:lang w:val="en-US" w:eastAsia="en-US" w:bidi="ar-SA"/>
      </w:rPr>
    </w:lvl>
    <w:lvl w:ilvl="1" w:tplc="E5267F3A">
      <w:start w:val="1"/>
      <w:numFmt w:val="decimal"/>
      <w:lvlText w:val="%2."/>
      <w:lvlJc w:val="left"/>
      <w:pPr>
        <w:ind w:left="96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36B8A082">
      <w:numFmt w:val="bullet"/>
      <w:lvlText w:val="•"/>
      <w:lvlJc w:val="left"/>
      <w:pPr>
        <w:ind w:left="2044" w:hanging="240"/>
      </w:pPr>
      <w:rPr>
        <w:rFonts w:hint="default"/>
        <w:lang w:val="en-US" w:eastAsia="en-US" w:bidi="ar-SA"/>
      </w:rPr>
    </w:lvl>
    <w:lvl w:ilvl="3" w:tplc="067658B4">
      <w:numFmt w:val="bullet"/>
      <w:lvlText w:val="•"/>
      <w:lvlJc w:val="left"/>
      <w:pPr>
        <w:ind w:left="3048" w:hanging="240"/>
      </w:pPr>
      <w:rPr>
        <w:rFonts w:hint="default"/>
        <w:lang w:val="en-US" w:eastAsia="en-US" w:bidi="ar-SA"/>
      </w:rPr>
    </w:lvl>
    <w:lvl w:ilvl="4" w:tplc="8B364096">
      <w:numFmt w:val="bullet"/>
      <w:lvlText w:val="•"/>
      <w:lvlJc w:val="left"/>
      <w:pPr>
        <w:ind w:left="4053" w:hanging="240"/>
      </w:pPr>
      <w:rPr>
        <w:rFonts w:hint="default"/>
        <w:lang w:val="en-US" w:eastAsia="en-US" w:bidi="ar-SA"/>
      </w:rPr>
    </w:lvl>
    <w:lvl w:ilvl="5" w:tplc="3CB2CE8C">
      <w:numFmt w:val="bullet"/>
      <w:lvlText w:val="•"/>
      <w:lvlJc w:val="left"/>
      <w:pPr>
        <w:ind w:left="5057" w:hanging="240"/>
      </w:pPr>
      <w:rPr>
        <w:rFonts w:hint="default"/>
        <w:lang w:val="en-US" w:eastAsia="en-US" w:bidi="ar-SA"/>
      </w:rPr>
    </w:lvl>
    <w:lvl w:ilvl="6" w:tplc="6EB6DFEA">
      <w:numFmt w:val="bullet"/>
      <w:lvlText w:val="•"/>
      <w:lvlJc w:val="left"/>
      <w:pPr>
        <w:ind w:left="6062" w:hanging="240"/>
      </w:pPr>
      <w:rPr>
        <w:rFonts w:hint="default"/>
        <w:lang w:val="en-US" w:eastAsia="en-US" w:bidi="ar-SA"/>
      </w:rPr>
    </w:lvl>
    <w:lvl w:ilvl="7" w:tplc="9AD6A124">
      <w:numFmt w:val="bullet"/>
      <w:lvlText w:val="•"/>
      <w:lvlJc w:val="left"/>
      <w:pPr>
        <w:ind w:left="7066" w:hanging="240"/>
      </w:pPr>
      <w:rPr>
        <w:rFonts w:hint="default"/>
        <w:lang w:val="en-US" w:eastAsia="en-US" w:bidi="ar-SA"/>
      </w:rPr>
    </w:lvl>
    <w:lvl w:ilvl="8" w:tplc="87C29FBC">
      <w:numFmt w:val="bullet"/>
      <w:lvlText w:val="•"/>
      <w:lvlJc w:val="left"/>
      <w:pPr>
        <w:ind w:left="8071" w:hanging="240"/>
      </w:pPr>
      <w:rPr>
        <w:rFonts w:hint="default"/>
        <w:lang w:val="en-US" w:eastAsia="en-US" w:bidi="ar-SA"/>
      </w:rPr>
    </w:lvl>
  </w:abstractNum>
  <w:num w:numId="1">
    <w:abstractNumId w:val="1"/>
  </w:num>
  <w:num w:numId="2">
    <w:abstractNumId w:val="4"/>
  </w:num>
  <w:num w:numId="3">
    <w:abstractNumId w:val="6"/>
  </w:num>
  <w:num w:numId="4">
    <w:abstractNumId w:val="0"/>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13D"/>
    <w:rsid w:val="00000295"/>
    <w:rsid w:val="000025B2"/>
    <w:rsid w:val="000A7548"/>
    <w:rsid w:val="000F5A0B"/>
    <w:rsid w:val="00101D86"/>
    <w:rsid w:val="00280409"/>
    <w:rsid w:val="002B32C3"/>
    <w:rsid w:val="003665C7"/>
    <w:rsid w:val="003738A4"/>
    <w:rsid w:val="00403586"/>
    <w:rsid w:val="0045734A"/>
    <w:rsid w:val="005C1047"/>
    <w:rsid w:val="005E447E"/>
    <w:rsid w:val="006065FB"/>
    <w:rsid w:val="00735AFC"/>
    <w:rsid w:val="007B7299"/>
    <w:rsid w:val="007F713D"/>
    <w:rsid w:val="0087480E"/>
    <w:rsid w:val="00881020"/>
    <w:rsid w:val="00886C93"/>
    <w:rsid w:val="00913C85"/>
    <w:rsid w:val="009B5E7E"/>
    <w:rsid w:val="00A13514"/>
    <w:rsid w:val="00A45ED1"/>
    <w:rsid w:val="00AE3F1F"/>
    <w:rsid w:val="00AF16A8"/>
    <w:rsid w:val="00AF73C3"/>
    <w:rsid w:val="00B70B8E"/>
    <w:rsid w:val="00B96160"/>
    <w:rsid w:val="00BC2C53"/>
    <w:rsid w:val="00D32606"/>
    <w:rsid w:val="00D77CEE"/>
    <w:rsid w:val="00F133D6"/>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26E8AA"/>
  <w15:docId w15:val="{AFFD1F6F-0659-4C44-B25D-7E557B078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572"/>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61"/>
      <w:ind w:left="4460" w:right="676" w:hanging="3296"/>
    </w:pPr>
    <w:rPr>
      <w:b/>
      <w:bCs/>
      <w:sz w:val="32"/>
      <w:szCs w:val="32"/>
    </w:rPr>
  </w:style>
  <w:style w:type="paragraph" w:styleId="ListParagraph">
    <w:name w:val="List Paragraph"/>
    <w:basedOn w:val="Normal"/>
    <w:uiPriority w:val="1"/>
    <w:qFormat/>
    <w:pPr>
      <w:ind w:left="1440" w:hanging="360"/>
      <w:jc w:val="both"/>
    </w:pPr>
  </w:style>
  <w:style w:type="paragraph" w:customStyle="1" w:styleId="TableParagraph">
    <w:name w:val="Table Paragraph"/>
    <w:basedOn w:val="Normal"/>
    <w:uiPriority w:val="1"/>
    <w:qFormat/>
  </w:style>
  <w:style w:type="character" w:styleId="Strong">
    <w:name w:val="Strong"/>
    <w:basedOn w:val="DefaultParagraphFont"/>
    <w:uiPriority w:val="22"/>
    <w:qFormat/>
    <w:rsid w:val="000025B2"/>
    <w:rPr>
      <w:b/>
      <w:bCs/>
    </w:rPr>
  </w:style>
  <w:style w:type="character" w:styleId="Emphasis">
    <w:name w:val="Emphasis"/>
    <w:basedOn w:val="DefaultParagraphFont"/>
    <w:uiPriority w:val="20"/>
    <w:qFormat/>
    <w:rsid w:val="000025B2"/>
    <w:rPr>
      <w:i/>
      <w:iCs/>
    </w:rPr>
  </w:style>
  <w:style w:type="character" w:customStyle="1" w:styleId="BodyTextChar">
    <w:name w:val="Body Text Char"/>
    <w:basedOn w:val="DefaultParagraphFont"/>
    <w:link w:val="BodyText"/>
    <w:uiPriority w:val="1"/>
    <w:rsid w:val="009B5E7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B5E7E"/>
    <w:rPr>
      <w:color w:val="0000FF" w:themeColor="hyperlink"/>
      <w:u w:val="single"/>
    </w:rPr>
  </w:style>
  <w:style w:type="character" w:styleId="UnresolvedMention">
    <w:name w:val="Unresolved Mention"/>
    <w:basedOn w:val="DefaultParagraphFont"/>
    <w:uiPriority w:val="99"/>
    <w:semiHidden/>
    <w:unhideWhenUsed/>
    <w:rsid w:val="009B5E7E"/>
    <w:rPr>
      <w:color w:val="605E5C"/>
      <w:shd w:val="clear" w:color="auto" w:fill="E1DFDD"/>
    </w:rPr>
  </w:style>
  <w:style w:type="paragraph" w:styleId="Header">
    <w:name w:val="header"/>
    <w:basedOn w:val="Normal"/>
    <w:link w:val="HeaderChar"/>
    <w:uiPriority w:val="99"/>
    <w:unhideWhenUsed/>
    <w:rsid w:val="00735AFC"/>
    <w:pPr>
      <w:tabs>
        <w:tab w:val="center" w:pos="4680"/>
        <w:tab w:val="right" w:pos="9360"/>
      </w:tabs>
    </w:pPr>
  </w:style>
  <w:style w:type="character" w:customStyle="1" w:styleId="HeaderChar">
    <w:name w:val="Header Char"/>
    <w:basedOn w:val="DefaultParagraphFont"/>
    <w:link w:val="Header"/>
    <w:uiPriority w:val="99"/>
    <w:rsid w:val="00735AFC"/>
    <w:rPr>
      <w:rFonts w:ascii="Times New Roman" w:eastAsia="Times New Roman" w:hAnsi="Times New Roman" w:cs="Times New Roman"/>
    </w:rPr>
  </w:style>
  <w:style w:type="paragraph" w:styleId="Footer">
    <w:name w:val="footer"/>
    <w:basedOn w:val="Normal"/>
    <w:link w:val="FooterChar"/>
    <w:uiPriority w:val="99"/>
    <w:unhideWhenUsed/>
    <w:rsid w:val="00735AFC"/>
    <w:pPr>
      <w:tabs>
        <w:tab w:val="center" w:pos="4680"/>
        <w:tab w:val="right" w:pos="9360"/>
      </w:tabs>
    </w:pPr>
  </w:style>
  <w:style w:type="character" w:customStyle="1" w:styleId="FooterChar">
    <w:name w:val="Footer Char"/>
    <w:basedOn w:val="DefaultParagraphFont"/>
    <w:link w:val="Footer"/>
    <w:uiPriority w:val="99"/>
    <w:rsid w:val="00735AF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5089/9781451969276.024" TargetMode="External"/><Relationship Id="rId18" Type="http://schemas.openxmlformats.org/officeDocument/2006/relationships/hyperlink" Target="https://www.ideals.illinois.edu/handle/2142/26260" TargetMode="External"/><Relationship Id="rId3" Type="http://schemas.openxmlformats.org/officeDocument/2006/relationships/settings" Target="settings.xml"/><Relationship Id="rId21" Type="http://schemas.openxmlformats.org/officeDocument/2006/relationships/hyperlink" Target="https://doi.org/10.1177/2277978716671053"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fincomindia.nic.in/commission-reports.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3390/economies7030077" TargetMode="External"/><Relationship Id="rId20" Type="http://schemas.openxmlformats.org/officeDocument/2006/relationships/hyperlink" Target="http://www.jstor.org/stable/2439881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elgaronline.com/view/9781783474325.00008.xml" TargetMode="External"/><Relationship Id="rId23" Type="http://schemas.openxmlformats.org/officeDocument/2006/relationships/hyperlink" Target="https://rbidocs.rbi.org.in/rdocs/Publications/PDFs/0STATEFINANCE2024AE6FF65F475C4934B53CC8ABE7FAB30E.PDF" TargetMode="External"/><Relationship Id="rId10" Type="http://schemas.openxmlformats.org/officeDocument/2006/relationships/footer" Target="footer2.xml"/><Relationship Id="rId19" Type="http://schemas.openxmlformats.org/officeDocument/2006/relationships/hyperlink" Target="https://www.imf.org/en/Publications/IMF-Staff-Papers/Issues/1967/12/31/Measuring-Tax-Effort-in-Developing-Countries-143"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2307/3866272" TargetMode="External"/><Relationship Id="rId22" Type="http://schemas.openxmlformats.org/officeDocument/2006/relationships/hyperlink" Target="https://doi.org/10.2307/22284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14</Pages>
  <Words>5268</Words>
  <Characters>30034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SDI 1084</cp:lastModifiedBy>
  <cp:revision>21</cp:revision>
  <dcterms:created xsi:type="dcterms:W3CDTF">2025-12-18T08:08:00Z</dcterms:created>
  <dcterms:modified xsi:type="dcterms:W3CDTF">2025-12-19T07:07:00Z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2025-12-17T00:00:00Z</vt:filetime>
  </property>
  <property fmtid="{D5CDD505-2E9C-101B-9397-08002B2CF9AE}" pid="3" name="Creator">
    <vt:lpwstr>Microsoft® Word 2024</vt:lpwstr>
  </property>
  <property fmtid="{D5CDD505-2E9C-101B-9397-08002B2CF9AE}" pid="4" name="LastSaved">
    <vt:filetime>2025-12-17T00:00:00Z</vt:filetime>
  </property>
  <property fmtid="{D5CDD505-2E9C-101B-9397-08002B2CF9AE}" pid="5" name="Producer">
    <vt:lpwstr>Microsoft® Word 2024</vt:lpwstr>
  </property>
</Properties>
</file>