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46A67" w14:textId="58C9B647" w:rsidR="00754C9A" w:rsidRDefault="00DF6797" w:rsidP="002E3784">
      <w:pPr>
        <w:pStyle w:val="Title"/>
        <w:spacing w:after="0"/>
        <w:jc w:val="both"/>
        <w:rPr>
          <w:rFonts w:ascii="Arial" w:hAnsi="Arial" w:cs="Arial"/>
        </w:rPr>
      </w:pPr>
      <w:r w:rsidRPr="00DF6797">
        <w:rPr>
          <w:rFonts w:ascii="Arial" w:hAnsi="Arial" w:cs="Arial"/>
        </w:rPr>
        <w:t>Original Research Article</w:t>
      </w:r>
    </w:p>
    <w:p w14:paraId="4D250339" w14:textId="77777777" w:rsidR="00DF6797" w:rsidRPr="00095A36" w:rsidRDefault="00DF6797" w:rsidP="002E3784">
      <w:pPr>
        <w:pStyle w:val="Title"/>
        <w:spacing w:after="0"/>
        <w:jc w:val="both"/>
        <w:rPr>
          <w:rFonts w:ascii="Arial" w:hAnsi="Arial" w:cs="Arial"/>
        </w:rPr>
      </w:pPr>
    </w:p>
    <w:p w14:paraId="05D2DD65" w14:textId="1D61080F" w:rsidR="00163BC4" w:rsidRPr="00095A36" w:rsidRDefault="00352CA2" w:rsidP="002E3784">
      <w:pPr>
        <w:pStyle w:val="Author"/>
        <w:spacing w:line="240" w:lineRule="auto"/>
        <w:rPr>
          <w:rFonts w:ascii="Arial" w:hAnsi="Arial" w:cs="Arial"/>
          <w:bCs/>
          <w:iCs/>
          <w:kern w:val="28"/>
          <w:sz w:val="36"/>
        </w:rPr>
      </w:pPr>
      <w:r w:rsidRPr="00095A36">
        <w:rPr>
          <w:rFonts w:ascii="Arial" w:hAnsi="Arial" w:cs="Arial"/>
          <w:bCs/>
          <w:iCs/>
          <w:kern w:val="28"/>
          <w:sz w:val="36"/>
        </w:rPr>
        <w:t>THE INFLUENCE OF GOVERNMENT POLICY AND DIGITAL FINANCIAL LITERACY ON DIGITAL FINANCIAL INCLUSION: A STUDY OF GEN Z MSMEs IN EAST JAVA</w:t>
      </w:r>
      <w:r w:rsidR="00231920" w:rsidRPr="00095A36">
        <w:rPr>
          <w:rFonts w:ascii="Arial" w:hAnsi="Arial" w:cs="Arial"/>
          <w:bCs/>
          <w:iCs/>
          <w:kern w:val="28"/>
          <w:sz w:val="36"/>
        </w:rPr>
        <w:t xml:space="preserve"> </w:t>
      </w:r>
    </w:p>
    <w:p w14:paraId="0584156E" w14:textId="77777777" w:rsidR="00A258C3" w:rsidRPr="00095A36" w:rsidRDefault="00A258C3" w:rsidP="002E3784">
      <w:pPr>
        <w:pStyle w:val="Author"/>
        <w:spacing w:line="240" w:lineRule="auto"/>
        <w:jc w:val="both"/>
        <w:rPr>
          <w:rFonts w:ascii="Arial" w:hAnsi="Arial" w:cs="Arial"/>
          <w:sz w:val="36"/>
        </w:rPr>
      </w:pPr>
    </w:p>
    <w:p w14:paraId="02A063EE" w14:textId="77777777" w:rsidR="00DF6797" w:rsidRPr="00095A36" w:rsidRDefault="00DF6797" w:rsidP="002E3784">
      <w:pPr>
        <w:pStyle w:val="Affiliation"/>
        <w:spacing w:after="0" w:line="240" w:lineRule="auto"/>
        <w:ind w:left="720" w:hanging="720"/>
        <w:rPr>
          <w:rFonts w:ascii="Arial" w:hAnsi="Arial" w:cs="Arial"/>
        </w:rPr>
      </w:pPr>
    </w:p>
    <w:p w14:paraId="6DEF30ED" w14:textId="77777777" w:rsidR="002C57D2" w:rsidRPr="00095A36" w:rsidRDefault="002C57D2" w:rsidP="002E3784">
      <w:pPr>
        <w:pStyle w:val="Affiliation"/>
        <w:spacing w:after="0" w:line="240" w:lineRule="auto"/>
        <w:jc w:val="both"/>
        <w:rPr>
          <w:rFonts w:ascii="Arial" w:hAnsi="Arial" w:cs="Arial"/>
        </w:rPr>
      </w:pPr>
    </w:p>
    <w:p w14:paraId="7472D041" w14:textId="0621DB4A" w:rsidR="00B01FCD" w:rsidRDefault="00D833A7" w:rsidP="002E3784">
      <w:pPr>
        <w:pStyle w:val="Copyright"/>
        <w:spacing w:after="0" w:line="240" w:lineRule="auto"/>
        <w:jc w:val="both"/>
        <w:rPr>
          <w:rFonts w:ascii="Arial" w:hAnsi="Arial" w:cs="Arial"/>
        </w:rPr>
      </w:pPr>
      <w:r w:rsidRPr="00095A36">
        <w:rPr>
          <w:rFonts w:ascii="Arial" w:hAnsi="Arial" w:cs="Arial"/>
          <w:noProof/>
        </w:rPr>
        <mc:AlternateContent>
          <mc:Choice Requires="wps">
            <w:drawing>
              <wp:inline distT="0" distB="0" distL="0" distR="0" wp14:anchorId="2B11BA0C" wp14:editId="621B2E4E">
                <wp:extent cx="5303520" cy="635"/>
                <wp:effectExtent l="0" t="12700" r="5080" b="12065"/>
                <wp:docPr id="1941276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57A92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p>
    <w:p w14:paraId="058577AB" w14:textId="77777777" w:rsidR="008123FB" w:rsidRDefault="008123FB" w:rsidP="002E3784">
      <w:pPr>
        <w:pStyle w:val="Copyright"/>
        <w:spacing w:after="0" w:line="240" w:lineRule="auto"/>
        <w:jc w:val="both"/>
        <w:rPr>
          <w:rFonts w:ascii="Arial" w:hAnsi="Arial" w:cs="Arial"/>
        </w:rPr>
      </w:pPr>
    </w:p>
    <w:p w14:paraId="0C34F4C1" w14:textId="77777777" w:rsidR="00877EE9" w:rsidRPr="00095A36" w:rsidRDefault="00877EE9" w:rsidP="002E3784">
      <w:pPr>
        <w:pStyle w:val="Copyright"/>
        <w:spacing w:after="0" w:line="240" w:lineRule="auto"/>
        <w:jc w:val="both"/>
        <w:rPr>
          <w:rFonts w:ascii="Arial" w:hAnsi="Arial" w:cs="Arial"/>
        </w:rPr>
        <w:sectPr w:rsidR="00877EE9" w:rsidRPr="00095A36" w:rsidSect="00F34D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69E3EF1" w14:textId="2C1F7A73" w:rsidR="00B01FCD" w:rsidRPr="00095A36" w:rsidRDefault="00B01FCD" w:rsidP="002E3784">
      <w:pPr>
        <w:pStyle w:val="AbstHead"/>
        <w:spacing w:after="0"/>
        <w:jc w:val="both"/>
        <w:rPr>
          <w:rFonts w:ascii="Arial" w:hAnsi="Arial" w:cs="Arial"/>
        </w:rPr>
      </w:pPr>
      <w:r w:rsidRPr="00095A36">
        <w:rPr>
          <w:rFonts w:ascii="Arial" w:hAnsi="Arial" w:cs="Arial"/>
        </w:rPr>
        <w:t>ABSTRACT</w:t>
      </w:r>
    </w:p>
    <w:p w14:paraId="5FE1918B" w14:textId="77777777" w:rsidR="00790ADA" w:rsidRPr="00095A36" w:rsidRDefault="00790ADA" w:rsidP="002E378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95A36" w14:paraId="5C5DC6A5" w14:textId="77777777" w:rsidTr="001E44FE">
        <w:tc>
          <w:tcPr>
            <w:tcW w:w="9576" w:type="dxa"/>
            <w:shd w:val="clear" w:color="auto" w:fill="F2F2F2"/>
          </w:tcPr>
          <w:p w14:paraId="56C1DA73" w14:textId="48645F42" w:rsidR="00BA1B01" w:rsidRPr="00095A36" w:rsidRDefault="00BA1B01" w:rsidP="002E3784">
            <w:pPr>
              <w:pStyle w:val="Body"/>
              <w:spacing w:after="0"/>
              <w:rPr>
                <w:rFonts w:ascii="Arial" w:eastAsia="Calibri" w:hAnsi="Arial" w:cs="Arial"/>
                <w:szCs w:val="22"/>
              </w:rPr>
            </w:pPr>
            <w:r w:rsidRPr="00095A36">
              <w:rPr>
                <w:rFonts w:ascii="Arial" w:eastAsia="Calibri" w:hAnsi="Arial" w:cs="Arial"/>
                <w:b/>
                <w:szCs w:val="22"/>
              </w:rPr>
              <w:t xml:space="preserve">Aims: </w:t>
            </w:r>
            <w:r w:rsidR="00167818" w:rsidRPr="00095A36">
              <w:rPr>
                <w:rFonts w:ascii="Arial" w:eastAsia="Calibri" w:hAnsi="Arial" w:cs="Arial"/>
                <w:szCs w:val="22"/>
              </w:rPr>
              <w:t xml:space="preserve">This study aims to analyze the influence of government policy and digital financial literacy, both partially and simultaneously, on digital financial inclusion among Generation Z </w:t>
            </w:r>
            <w:r w:rsidR="00017477" w:rsidRPr="00095A36">
              <w:rPr>
                <w:rFonts w:ascii="Arial" w:eastAsia="Calibri" w:hAnsi="Arial" w:cs="Arial"/>
                <w:szCs w:val="22"/>
              </w:rPr>
              <w:t xml:space="preserve">Micro, Small, and Medium Enterprises (MSMEs) </w:t>
            </w:r>
            <w:r w:rsidR="00167818" w:rsidRPr="00095A36">
              <w:rPr>
                <w:rFonts w:ascii="Arial" w:eastAsia="Calibri" w:hAnsi="Arial" w:cs="Arial"/>
                <w:szCs w:val="22"/>
              </w:rPr>
              <w:t>actors in East Java.</w:t>
            </w:r>
          </w:p>
          <w:p w14:paraId="65E65720" w14:textId="500E309F" w:rsidR="00BA1B01" w:rsidRPr="00095A36" w:rsidRDefault="00BA1B01" w:rsidP="002E3784">
            <w:pPr>
              <w:pStyle w:val="Body"/>
              <w:spacing w:after="0"/>
              <w:rPr>
                <w:rFonts w:ascii="Arial" w:eastAsia="Calibri" w:hAnsi="Arial" w:cs="Arial"/>
                <w:szCs w:val="22"/>
              </w:rPr>
            </w:pPr>
            <w:r w:rsidRPr="00095A36">
              <w:rPr>
                <w:rFonts w:ascii="Arial" w:eastAsia="Calibri" w:hAnsi="Arial" w:cs="Arial"/>
                <w:b/>
                <w:szCs w:val="22"/>
              </w:rPr>
              <w:t>Study design:</w:t>
            </w:r>
            <w:r w:rsidRPr="00095A36">
              <w:rPr>
                <w:rFonts w:ascii="Arial" w:eastAsia="Calibri" w:hAnsi="Arial" w:cs="Arial"/>
                <w:szCs w:val="22"/>
              </w:rPr>
              <w:t xml:space="preserve"> </w:t>
            </w:r>
            <w:r w:rsidR="0077604B" w:rsidRPr="00095A36">
              <w:rPr>
                <w:rFonts w:ascii="Arial" w:eastAsia="Calibri" w:hAnsi="Arial" w:cs="Arial"/>
                <w:szCs w:val="22"/>
              </w:rPr>
              <w:t>This study uses a quantitative method with a descriptive framework to examine hypotheses and clarify the cause-and-effect links among different factors.</w:t>
            </w:r>
          </w:p>
          <w:p w14:paraId="50A94F4D" w14:textId="4862A723" w:rsidR="00BA1B01" w:rsidRPr="00095A36" w:rsidRDefault="00BA1B01" w:rsidP="002E3784">
            <w:pPr>
              <w:pStyle w:val="Body"/>
              <w:spacing w:after="0"/>
              <w:rPr>
                <w:rFonts w:ascii="Arial" w:eastAsia="Calibri" w:hAnsi="Arial" w:cs="Arial"/>
                <w:szCs w:val="22"/>
              </w:rPr>
            </w:pPr>
            <w:r w:rsidRPr="00095A36">
              <w:rPr>
                <w:rFonts w:ascii="Arial" w:eastAsia="Calibri" w:hAnsi="Arial" w:cs="Arial"/>
                <w:b/>
                <w:szCs w:val="22"/>
              </w:rPr>
              <w:t>Place and Duration of Study:</w:t>
            </w:r>
            <w:r w:rsidRPr="00095A36">
              <w:rPr>
                <w:rFonts w:ascii="Arial" w:eastAsia="Calibri" w:hAnsi="Arial" w:cs="Arial"/>
                <w:szCs w:val="22"/>
              </w:rPr>
              <w:t xml:space="preserve"> </w:t>
            </w:r>
            <w:r w:rsidR="0077604B" w:rsidRPr="00095A36">
              <w:rPr>
                <w:rFonts w:ascii="Arial" w:eastAsia="Calibri" w:hAnsi="Arial" w:cs="Arial"/>
                <w:szCs w:val="22"/>
              </w:rPr>
              <w:t>The research took place in East Java Province, Indonesia, concentrating on small and medium-sized enterprises operated by Generation Z, with information gathered in 2025.</w:t>
            </w:r>
          </w:p>
          <w:p w14:paraId="0A540D4D" w14:textId="3F03930D" w:rsidR="00BA1B01" w:rsidRPr="00095A36" w:rsidRDefault="00BA1B01" w:rsidP="002E3784">
            <w:pPr>
              <w:pStyle w:val="Body"/>
              <w:spacing w:after="0"/>
              <w:rPr>
                <w:rFonts w:ascii="Arial" w:eastAsia="Calibri" w:hAnsi="Arial" w:cs="Arial"/>
                <w:szCs w:val="22"/>
              </w:rPr>
            </w:pPr>
            <w:r w:rsidRPr="00095A36">
              <w:rPr>
                <w:rFonts w:ascii="Arial" w:eastAsia="Calibri" w:hAnsi="Arial" w:cs="Arial"/>
                <w:b/>
                <w:bCs/>
                <w:szCs w:val="22"/>
              </w:rPr>
              <w:t>Methodology:</w:t>
            </w:r>
            <w:r w:rsidRPr="00095A36">
              <w:rPr>
                <w:rFonts w:ascii="Arial" w:eastAsia="Calibri" w:hAnsi="Arial" w:cs="Arial"/>
                <w:szCs w:val="22"/>
              </w:rPr>
              <w:t xml:space="preserve"> </w:t>
            </w:r>
            <w:r w:rsidR="0077604B" w:rsidRPr="00095A36">
              <w:rPr>
                <w:rFonts w:ascii="Arial" w:eastAsia="Calibri" w:hAnsi="Arial" w:cs="Arial"/>
                <w:szCs w:val="22"/>
              </w:rPr>
              <w:t>The group under consideration consists of all Gen Z MSME</w:t>
            </w:r>
            <w:r w:rsidR="00992E42" w:rsidRPr="00095A36">
              <w:rPr>
                <w:rFonts w:ascii="Arial" w:eastAsia="Calibri" w:hAnsi="Arial" w:cs="Arial"/>
                <w:szCs w:val="22"/>
              </w:rPr>
              <w:t>s</w:t>
            </w:r>
            <w:r w:rsidR="0077604B" w:rsidRPr="00095A36">
              <w:rPr>
                <w:rFonts w:ascii="Arial" w:eastAsia="Calibri" w:hAnsi="Arial" w:cs="Arial"/>
                <w:szCs w:val="22"/>
              </w:rPr>
              <w:t xml:space="preserve"> participants in East Java, creating an unbounded population. A total of 385 participants was identified using the Cochran formula and chosen through purposive sampling (requirements: aged between 18 and 28, residing in East Java, and utilizing digital financial services). Information was gathered through an online survey employing a 5-point Likert scale. The analysis of the data was conducted using Structural Equation Modeling grounded in Partial Least Square (PLS-SEM) with the aid of </w:t>
            </w:r>
            <w:proofErr w:type="spellStart"/>
            <w:r w:rsidR="0077604B" w:rsidRPr="00095A36">
              <w:rPr>
                <w:rFonts w:ascii="Arial" w:eastAsia="Calibri" w:hAnsi="Arial" w:cs="Arial"/>
                <w:szCs w:val="22"/>
              </w:rPr>
              <w:t>SmartPLS</w:t>
            </w:r>
            <w:proofErr w:type="spellEnd"/>
            <w:r w:rsidR="0077604B" w:rsidRPr="00095A36">
              <w:rPr>
                <w:rFonts w:ascii="Arial" w:eastAsia="Calibri" w:hAnsi="Arial" w:cs="Arial"/>
                <w:szCs w:val="22"/>
              </w:rPr>
              <w:t xml:space="preserve"> software, assessing both the measurement model (outer model) and the structural model (inner model).</w:t>
            </w:r>
          </w:p>
          <w:p w14:paraId="558EEBA8" w14:textId="0C13DFB7" w:rsidR="00BA1B01" w:rsidRPr="00095A36" w:rsidRDefault="00BA1B01" w:rsidP="002E3784">
            <w:pPr>
              <w:pStyle w:val="Body"/>
              <w:spacing w:after="0"/>
              <w:rPr>
                <w:rFonts w:ascii="Arial" w:eastAsia="Calibri" w:hAnsi="Arial" w:cs="Arial"/>
                <w:b/>
                <w:bCs/>
                <w:szCs w:val="22"/>
              </w:rPr>
            </w:pPr>
            <w:r w:rsidRPr="00095A36">
              <w:rPr>
                <w:rFonts w:ascii="Arial" w:eastAsia="Calibri" w:hAnsi="Arial" w:cs="Arial"/>
                <w:b/>
                <w:bCs/>
                <w:szCs w:val="22"/>
              </w:rPr>
              <w:t>Results:</w:t>
            </w:r>
            <w:r w:rsidRPr="00095A36">
              <w:rPr>
                <w:rFonts w:ascii="Arial" w:eastAsia="Calibri" w:hAnsi="Arial" w:cs="Arial"/>
                <w:szCs w:val="22"/>
              </w:rPr>
              <w:t xml:space="preserve"> </w:t>
            </w:r>
            <w:r w:rsidR="002228C9" w:rsidRPr="00095A36">
              <w:rPr>
                <w:rFonts w:ascii="Arial" w:eastAsia="Calibri" w:hAnsi="Arial" w:cs="Arial"/>
                <w:szCs w:val="22"/>
              </w:rPr>
              <w:t>The findings revealed that Government Policy greatly contributes positively to Digital Financial Inclusion (T</w:t>
            </w:r>
            <w:r w:rsidR="00143C78">
              <w:rPr>
                <w:rFonts w:ascii="Arial" w:eastAsia="Calibri" w:hAnsi="Arial" w:cs="Arial"/>
                <w:szCs w:val="22"/>
              </w:rPr>
              <w:t xml:space="preserve"> </w:t>
            </w:r>
            <w:r w:rsidR="002228C9" w:rsidRPr="00095A36">
              <w:rPr>
                <w:rFonts w:ascii="Arial" w:eastAsia="Calibri" w:hAnsi="Arial" w:cs="Arial"/>
                <w:szCs w:val="22"/>
              </w:rPr>
              <w:t>=</w:t>
            </w:r>
            <w:r w:rsidR="00143C78">
              <w:rPr>
                <w:rFonts w:ascii="Arial" w:eastAsia="Calibri" w:hAnsi="Arial" w:cs="Arial"/>
                <w:szCs w:val="22"/>
              </w:rPr>
              <w:t xml:space="preserve"> </w:t>
            </w:r>
            <w:r w:rsidR="002228C9" w:rsidRPr="00095A36">
              <w:rPr>
                <w:rFonts w:ascii="Arial" w:eastAsia="Calibri" w:hAnsi="Arial" w:cs="Arial"/>
                <w:szCs w:val="22"/>
              </w:rPr>
              <w:t>2.236,</w:t>
            </w:r>
            <w:r w:rsidR="00B31202" w:rsidRPr="00095A36">
              <w:rPr>
                <w:rFonts w:ascii="Arial" w:eastAsia="Calibri" w:hAnsi="Arial" w:cs="Arial"/>
                <w:szCs w:val="22"/>
              </w:rPr>
              <w:t xml:space="preserve"> </w:t>
            </w:r>
            <w:r w:rsidR="00EF6A03" w:rsidRPr="00095A36">
              <w:rPr>
                <w:rFonts w:ascii="Arial" w:eastAsia="Calibri" w:hAnsi="Arial" w:cs="Arial"/>
                <w:i/>
                <w:iCs/>
                <w:szCs w:val="22"/>
              </w:rPr>
              <w:t>P</w:t>
            </w:r>
            <w:r w:rsidR="00143C78">
              <w:rPr>
                <w:rFonts w:ascii="Arial" w:eastAsia="Calibri" w:hAnsi="Arial" w:cs="Arial"/>
                <w:i/>
                <w:iCs/>
                <w:szCs w:val="22"/>
              </w:rPr>
              <w:t xml:space="preserve"> </w:t>
            </w:r>
            <w:r w:rsidR="00593567" w:rsidRPr="00095A36">
              <w:rPr>
                <w:rFonts w:ascii="Arial" w:eastAsia="Calibri" w:hAnsi="Arial" w:cs="Arial"/>
                <w:i/>
                <w:iCs/>
                <w:szCs w:val="22"/>
              </w:rPr>
              <w:t>=</w:t>
            </w:r>
            <w:r w:rsidR="00143C78">
              <w:rPr>
                <w:rFonts w:ascii="Arial" w:eastAsia="Calibri" w:hAnsi="Arial" w:cs="Arial"/>
                <w:i/>
                <w:iCs/>
                <w:szCs w:val="22"/>
              </w:rPr>
              <w:t xml:space="preserve"> </w:t>
            </w:r>
            <w:r w:rsidR="0029352C" w:rsidRPr="00095A36">
              <w:rPr>
                <w:rFonts w:ascii="Arial" w:eastAsia="Calibri" w:hAnsi="Arial" w:cs="Arial"/>
                <w:szCs w:val="22"/>
              </w:rPr>
              <w:t>.</w:t>
            </w:r>
            <w:r w:rsidR="002228C9" w:rsidRPr="00095A36">
              <w:rPr>
                <w:rFonts w:ascii="Arial" w:eastAsia="Calibri" w:hAnsi="Arial" w:cs="Arial"/>
                <w:szCs w:val="22"/>
              </w:rPr>
              <w:t>025). Furthermore, Digital Financial Literacy also significantly boosts Digital Financial Inclusion (T</w:t>
            </w:r>
            <w:r w:rsidR="00143C78">
              <w:rPr>
                <w:rFonts w:ascii="Arial" w:eastAsia="Calibri" w:hAnsi="Arial" w:cs="Arial"/>
                <w:szCs w:val="22"/>
              </w:rPr>
              <w:t xml:space="preserve"> </w:t>
            </w:r>
            <w:r w:rsidR="002228C9" w:rsidRPr="00095A36">
              <w:rPr>
                <w:rFonts w:ascii="Arial" w:eastAsia="Calibri" w:hAnsi="Arial" w:cs="Arial"/>
                <w:szCs w:val="22"/>
              </w:rPr>
              <w:t>=</w:t>
            </w:r>
            <w:r w:rsidR="00143C78">
              <w:rPr>
                <w:rFonts w:ascii="Arial" w:eastAsia="Calibri" w:hAnsi="Arial" w:cs="Arial"/>
                <w:szCs w:val="22"/>
              </w:rPr>
              <w:t xml:space="preserve"> </w:t>
            </w:r>
            <w:r w:rsidR="002228C9" w:rsidRPr="00095A36">
              <w:rPr>
                <w:rFonts w:ascii="Arial" w:eastAsia="Calibri" w:hAnsi="Arial" w:cs="Arial"/>
                <w:szCs w:val="22"/>
              </w:rPr>
              <w:t>3.311,</w:t>
            </w:r>
            <w:r w:rsidR="00017477" w:rsidRPr="00095A36">
              <w:rPr>
                <w:rFonts w:ascii="Arial" w:eastAsia="Calibri" w:hAnsi="Arial" w:cs="Arial"/>
                <w:szCs w:val="22"/>
              </w:rPr>
              <w:t xml:space="preserve"> </w:t>
            </w:r>
            <w:r w:rsidR="00EF6A03" w:rsidRPr="00095A36">
              <w:rPr>
                <w:rFonts w:ascii="Arial" w:eastAsia="Calibri" w:hAnsi="Arial" w:cs="Arial"/>
                <w:i/>
                <w:iCs/>
                <w:szCs w:val="22"/>
              </w:rPr>
              <w:t>P</w:t>
            </w:r>
            <w:r w:rsidR="00143C78">
              <w:rPr>
                <w:rFonts w:ascii="Arial" w:eastAsia="Calibri" w:hAnsi="Arial" w:cs="Arial"/>
                <w:i/>
                <w:iCs/>
                <w:szCs w:val="22"/>
              </w:rPr>
              <w:t xml:space="preserve"> </w:t>
            </w:r>
            <w:r w:rsidR="005460D6" w:rsidRPr="00095A36">
              <w:rPr>
                <w:rFonts w:ascii="Arial" w:eastAsia="Calibri" w:hAnsi="Arial" w:cs="Arial"/>
                <w:i/>
                <w:iCs/>
                <w:szCs w:val="22"/>
              </w:rPr>
              <w:t>=</w:t>
            </w:r>
            <w:r w:rsidR="00143C78">
              <w:rPr>
                <w:rFonts w:ascii="Arial" w:eastAsia="Calibri" w:hAnsi="Arial" w:cs="Arial"/>
                <w:i/>
                <w:iCs/>
                <w:szCs w:val="22"/>
              </w:rPr>
              <w:t xml:space="preserve"> </w:t>
            </w:r>
            <w:r w:rsidR="0029352C" w:rsidRPr="00095A36">
              <w:rPr>
                <w:rFonts w:ascii="Arial" w:eastAsia="Calibri" w:hAnsi="Arial" w:cs="Arial"/>
                <w:szCs w:val="22"/>
              </w:rPr>
              <w:t>.</w:t>
            </w:r>
            <w:r w:rsidR="002228C9" w:rsidRPr="00095A36">
              <w:rPr>
                <w:rFonts w:ascii="Arial" w:eastAsia="Calibri" w:hAnsi="Arial" w:cs="Arial"/>
                <w:szCs w:val="22"/>
              </w:rPr>
              <w:t>001), showing a greater impact than policy measures. At the same time, both elements effectively affect inclusion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count</m:t>
                  </m:r>
                </m:sub>
              </m:sSub>
              <m:r>
                <w:rPr>
                  <w:rFonts w:ascii="Cambria Math" w:eastAsia="Calibri" w:hAnsi="Cambria Math"/>
                  <w:color w:val="000000" w:themeColor="text1"/>
                </w:rPr>
                <m:t xml:space="preserve"> </m:t>
              </m:r>
            </m:oMath>
            <w:r w:rsidR="002228C9" w:rsidRPr="00095A36">
              <w:rPr>
                <w:rFonts w:ascii="Arial" w:eastAsia="Calibri" w:hAnsi="Arial" w:cs="Arial"/>
                <w:szCs w:val="22"/>
              </w:rPr>
              <w:t>=</w:t>
            </w:r>
            <w:r w:rsidR="00143C78">
              <w:rPr>
                <w:rFonts w:ascii="Arial" w:eastAsia="Calibri" w:hAnsi="Arial" w:cs="Arial"/>
                <w:szCs w:val="22"/>
              </w:rPr>
              <w:t xml:space="preserve"> </w:t>
            </w:r>
            <w:r w:rsidR="002228C9" w:rsidRPr="00095A36">
              <w:rPr>
                <w:rFonts w:ascii="Arial" w:eastAsia="Calibri" w:hAnsi="Arial" w:cs="Arial"/>
                <w:szCs w:val="22"/>
              </w:rPr>
              <w:t>62.34</w:t>
            </w:r>
            <w:r w:rsidR="00143C78">
              <w:rPr>
                <w:rFonts w:ascii="Arial" w:eastAsia="Calibri" w:hAnsi="Arial" w:cs="Arial"/>
                <w:szCs w:val="22"/>
              </w:rPr>
              <w:t xml:space="preserve"> </w:t>
            </w:r>
            <w:r w:rsidR="002228C9" w:rsidRPr="00095A36">
              <w:rPr>
                <w:rFonts w:ascii="Arial" w:eastAsia="Calibri" w:hAnsi="Arial" w:cs="Arial"/>
                <w:szCs w:val="22"/>
              </w:rPr>
              <w:t>&gt;</w:t>
            </w:r>
            <w:r w:rsidR="00143C78">
              <w:rPr>
                <w:rFonts w:ascii="Arial" w:eastAsia="Calibri" w:hAnsi="Arial" w:cs="Arial"/>
                <w:szCs w:val="22"/>
              </w:rPr>
              <w:t xml:space="preserv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table</m:t>
                  </m:r>
                </m:sub>
              </m:sSub>
            </m:oMath>
            <w:r w:rsidR="002228C9" w:rsidRPr="00095A36">
              <w:rPr>
                <w:rFonts w:ascii="Arial" w:eastAsia="Calibri" w:hAnsi="Arial" w:cs="Arial"/>
                <w:szCs w:val="22"/>
              </w:rPr>
              <w:t xml:space="preserve"> =</w:t>
            </w:r>
            <w:r w:rsidR="00143C78">
              <w:rPr>
                <w:rFonts w:ascii="Arial" w:eastAsia="Calibri" w:hAnsi="Arial" w:cs="Arial"/>
                <w:szCs w:val="22"/>
              </w:rPr>
              <w:t xml:space="preserve"> </w:t>
            </w:r>
            <w:r w:rsidR="002228C9" w:rsidRPr="00095A36">
              <w:rPr>
                <w:rFonts w:ascii="Arial" w:eastAsia="Calibri" w:hAnsi="Arial" w:cs="Arial"/>
                <w:szCs w:val="22"/>
              </w:rPr>
              <w:t xml:space="preserve">3.02), with an Adjusted R-Square of </w:t>
            </w:r>
            <w:r w:rsidR="0029352C" w:rsidRPr="00095A36">
              <w:rPr>
                <w:rFonts w:ascii="Arial" w:eastAsia="Calibri" w:hAnsi="Arial" w:cs="Arial"/>
                <w:szCs w:val="22"/>
              </w:rPr>
              <w:t>0.</w:t>
            </w:r>
            <w:r w:rsidR="002228C9" w:rsidRPr="00095A36">
              <w:rPr>
                <w:rFonts w:ascii="Arial" w:eastAsia="Calibri" w:hAnsi="Arial" w:cs="Arial"/>
                <w:szCs w:val="22"/>
              </w:rPr>
              <w:t>246</w:t>
            </w:r>
            <w:r w:rsidRPr="00095A36">
              <w:rPr>
                <w:rFonts w:ascii="Arial" w:eastAsia="Calibri" w:hAnsi="Arial" w:cs="Arial"/>
                <w:szCs w:val="22"/>
              </w:rPr>
              <w:t>.</w:t>
            </w:r>
          </w:p>
          <w:p w14:paraId="263863EA" w14:textId="5FB54EDD" w:rsidR="00505F06" w:rsidRPr="00095A36" w:rsidRDefault="00BA1B01" w:rsidP="002E3784">
            <w:pPr>
              <w:pStyle w:val="Body"/>
              <w:spacing w:after="0"/>
              <w:rPr>
                <w:rFonts w:ascii="Arial" w:eastAsia="Calibri" w:hAnsi="Arial" w:cs="Arial"/>
                <w:szCs w:val="22"/>
              </w:rPr>
            </w:pPr>
            <w:r w:rsidRPr="00095A36">
              <w:rPr>
                <w:rFonts w:ascii="Arial" w:eastAsia="Calibri" w:hAnsi="Arial" w:cs="Arial"/>
                <w:b/>
                <w:bCs/>
                <w:szCs w:val="22"/>
              </w:rPr>
              <w:t>Conclusion:</w:t>
            </w:r>
            <w:r w:rsidRPr="00095A36">
              <w:rPr>
                <w:rFonts w:ascii="Arial" w:eastAsia="Calibri" w:hAnsi="Arial" w:cs="Arial"/>
                <w:szCs w:val="22"/>
              </w:rPr>
              <w:t xml:space="preserve"> </w:t>
            </w:r>
            <w:r w:rsidR="002228C9" w:rsidRPr="00095A36">
              <w:rPr>
                <w:rFonts w:ascii="Arial" w:eastAsia="Calibri" w:hAnsi="Arial" w:cs="Arial"/>
                <w:szCs w:val="22"/>
              </w:rPr>
              <w:t>Government policies and digital financial literacy are vital factors influencing financial inclusion. Nonetheless, literacy has a more prominent impact. Improving digital competencies and upholding favorable regulations are crucial for creating a more inclusive digital financial environment for young entrepreneurs.</w:t>
            </w:r>
          </w:p>
        </w:tc>
      </w:tr>
    </w:tbl>
    <w:p w14:paraId="149AA274" w14:textId="77777777" w:rsidR="00636EB2" w:rsidRPr="00095A36" w:rsidRDefault="00636EB2" w:rsidP="002E3784">
      <w:pPr>
        <w:pStyle w:val="Body"/>
        <w:spacing w:after="0"/>
        <w:rPr>
          <w:rFonts w:ascii="Arial" w:hAnsi="Arial" w:cs="Arial"/>
          <w:i/>
        </w:rPr>
      </w:pPr>
    </w:p>
    <w:p w14:paraId="0B56EEF2" w14:textId="1A23C8BA" w:rsidR="00A24E7E" w:rsidRPr="00095A36" w:rsidRDefault="00A24E7E" w:rsidP="002E3784">
      <w:pPr>
        <w:pStyle w:val="Body"/>
        <w:spacing w:after="0"/>
        <w:rPr>
          <w:rFonts w:ascii="Arial" w:hAnsi="Arial" w:cs="Arial"/>
          <w:i/>
        </w:rPr>
      </w:pPr>
      <w:r w:rsidRPr="00095A36">
        <w:rPr>
          <w:rFonts w:ascii="Arial" w:hAnsi="Arial" w:cs="Arial"/>
          <w:i/>
        </w:rPr>
        <w:t>Keywords:</w:t>
      </w:r>
      <w:r w:rsidR="006E2983" w:rsidRPr="00095A36">
        <w:rPr>
          <w:rFonts w:ascii="Arial" w:hAnsi="Arial" w:cs="Arial"/>
          <w:i/>
        </w:rPr>
        <w:t xml:space="preserve"> </w:t>
      </w:r>
      <w:r w:rsidR="002228C9" w:rsidRPr="00095A36">
        <w:rPr>
          <w:rFonts w:ascii="Arial" w:hAnsi="Arial" w:cs="Arial"/>
          <w:i/>
        </w:rPr>
        <w:t>Digital Financial Inclusio</w:t>
      </w:r>
      <w:r w:rsidR="000F3778" w:rsidRPr="00095A36">
        <w:rPr>
          <w:rFonts w:ascii="Arial" w:hAnsi="Arial" w:cs="Arial"/>
          <w:i/>
        </w:rPr>
        <w:t>n</w:t>
      </w:r>
      <w:r w:rsidR="006E2983" w:rsidRPr="00095A36">
        <w:rPr>
          <w:rFonts w:ascii="Arial" w:hAnsi="Arial" w:cs="Arial"/>
          <w:i/>
        </w:rPr>
        <w:t>,</w:t>
      </w:r>
      <w:r w:rsidR="002228C9" w:rsidRPr="00095A36">
        <w:rPr>
          <w:rFonts w:ascii="Arial" w:hAnsi="Arial" w:cs="Arial"/>
          <w:i/>
        </w:rPr>
        <w:t xml:space="preserve"> Digital Financial Literacy</w:t>
      </w:r>
      <w:r w:rsidR="006E2983" w:rsidRPr="00095A36">
        <w:rPr>
          <w:rFonts w:ascii="Arial" w:hAnsi="Arial" w:cs="Arial"/>
          <w:i/>
        </w:rPr>
        <w:t>,</w:t>
      </w:r>
      <w:r w:rsidR="002228C9" w:rsidRPr="00095A36">
        <w:rPr>
          <w:rFonts w:ascii="Arial" w:hAnsi="Arial" w:cs="Arial"/>
          <w:i/>
        </w:rPr>
        <w:t xml:space="preserve"> Government Policy</w:t>
      </w:r>
      <w:r w:rsidR="006E2983" w:rsidRPr="00095A36">
        <w:rPr>
          <w:rFonts w:ascii="Arial" w:hAnsi="Arial" w:cs="Arial"/>
          <w:i/>
        </w:rPr>
        <w:t>,</w:t>
      </w:r>
      <w:r w:rsidR="002228C9" w:rsidRPr="00095A36">
        <w:rPr>
          <w:rFonts w:ascii="Arial" w:hAnsi="Arial" w:cs="Arial"/>
          <w:i/>
        </w:rPr>
        <w:t xml:space="preserve"> MSME</w:t>
      </w:r>
      <w:r w:rsidR="006E2983" w:rsidRPr="00095A36">
        <w:rPr>
          <w:rFonts w:ascii="Arial" w:hAnsi="Arial" w:cs="Arial"/>
          <w:i/>
        </w:rPr>
        <w:t>s,</w:t>
      </w:r>
      <w:r w:rsidR="002228C9" w:rsidRPr="00095A36">
        <w:rPr>
          <w:rFonts w:ascii="Arial" w:hAnsi="Arial" w:cs="Arial"/>
          <w:i/>
        </w:rPr>
        <w:t xml:space="preserve"> Generation Z.</w:t>
      </w:r>
    </w:p>
    <w:p w14:paraId="2119733D" w14:textId="77777777" w:rsidR="00790ADA" w:rsidRPr="00095A36" w:rsidRDefault="00790ADA" w:rsidP="002E3784">
      <w:pPr>
        <w:pStyle w:val="Body"/>
        <w:spacing w:after="0"/>
        <w:rPr>
          <w:rFonts w:ascii="Arial" w:hAnsi="Arial" w:cs="Arial"/>
          <w:i/>
        </w:rPr>
      </w:pPr>
    </w:p>
    <w:p w14:paraId="249B781F" w14:textId="77777777" w:rsidR="0024282C" w:rsidRPr="00095A36" w:rsidRDefault="0024282C" w:rsidP="002E3784">
      <w:pPr>
        <w:pStyle w:val="Body"/>
        <w:spacing w:after="0"/>
        <w:rPr>
          <w:rFonts w:ascii="Arial" w:hAnsi="Arial" w:cs="Arial"/>
          <w:i/>
          <w:sz w:val="18"/>
        </w:rPr>
      </w:pPr>
    </w:p>
    <w:p w14:paraId="7B5C0D48" w14:textId="77777777" w:rsidR="00505F06" w:rsidRPr="00095A36" w:rsidRDefault="00505F06" w:rsidP="002E3784">
      <w:pPr>
        <w:pStyle w:val="Body"/>
        <w:spacing w:after="0"/>
        <w:rPr>
          <w:rFonts w:ascii="Arial" w:hAnsi="Arial" w:cs="Arial"/>
          <w:i/>
        </w:rPr>
      </w:pPr>
    </w:p>
    <w:p w14:paraId="7E8EB2AF" w14:textId="1A28C512" w:rsidR="00790ADA" w:rsidRPr="00095A36" w:rsidRDefault="00902823" w:rsidP="002E3784">
      <w:pPr>
        <w:pStyle w:val="AbstHead"/>
        <w:spacing w:after="0"/>
        <w:jc w:val="both"/>
        <w:rPr>
          <w:rFonts w:ascii="Arial" w:hAnsi="Arial" w:cs="Arial"/>
        </w:rPr>
      </w:pPr>
      <w:r w:rsidRPr="00095A36">
        <w:rPr>
          <w:rFonts w:ascii="Arial" w:hAnsi="Arial" w:cs="Arial"/>
        </w:rPr>
        <w:t xml:space="preserve">1. </w:t>
      </w:r>
      <w:r w:rsidR="00B01FCD" w:rsidRPr="00095A36">
        <w:rPr>
          <w:rFonts w:ascii="Arial" w:hAnsi="Arial" w:cs="Arial"/>
        </w:rPr>
        <w:t>INTRODUCTION</w:t>
      </w:r>
    </w:p>
    <w:p w14:paraId="49BF5C29" w14:textId="77777777" w:rsidR="00932AB9" w:rsidRPr="00095A36" w:rsidRDefault="00932AB9" w:rsidP="002E3784">
      <w:pPr>
        <w:pStyle w:val="AbstHead"/>
        <w:spacing w:after="0"/>
        <w:jc w:val="both"/>
        <w:rPr>
          <w:rFonts w:ascii="Arial" w:hAnsi="Arial" w:cs="Arial"/>
        </w:rPr>
      </w:pPr>
    </w:p>
    <w:p w14:paraId="247D6841" w14:textId="27F0DEA4" w:rsidR="00360CAB" w:rsidRPr="00095A36" w:rsidRDefault="00360CAB" w:rsidP="002E3784">
      <w:pPr>
        <w:pStyle w:val="Body"/>
        <w:rPr>
          <w:rFonts w:ascii="Arial" w:hAnsi="Arial" w:cs="Arial"/>
        </w:rPr>
      </w:pPr>
      <w:r w:rsidRPr="00095A36">
        <w:rPr>
          <w:rFonts w:ascii="Arial" w:hAnsi="Arial" w:cs="Arial"/>
        </w:rPr>
        <w:t xml:space="preserve">The surge in digital transformation has significantly altered the worldwide economy, particularly in the finance industry. Services driven by technology enable wider, more efficient, </w:t>
      </w:r>
      <w:r w:rsidRPr="00095A36">
        <w:rPr>
          <w:rFonts w:ascii="Arial" w:hAnsi="Arial" w:cs="Arial"/>
        </w:rPr>
        <w:lastRenderedPageBreak/>
        <w:t xml:space="preserve">and inclusive access, acting as vital tools to diminish economic disparity. According to the </w:t>
      </w:r>
      <w:r w:rsidR="000F3778" w:rsidRPr="00095A36">
        <w:rPr>
          <w:rFonts w:ascii="Arial" w:hAnsi="Arial" w:cs="Arial"/>
        </w:rPr>
        <w:fldChar w:fldCharType="begin" w:fldLock="1"/>
      </w:r>
      <w:r w:rsidR="00315121">
        <w:rPr>
          <w:rFonts w:ascii="Arial" w:hAnsi="Arial" w:cs="Arial"/>
        </w:rPr>
        <w:instrText>ADDIN CSL_CITATION {"citationItems":[{"id":"ITEM-1","itemData":{"author":[{"dropping-particle":"","family":"World Bank","given":"","non-dropping-particle":"","parse-names":false,"suffix":""}],"container-title":"Independent Evaluation Group (Ieg)","id":"ITEM-1","issued":{"date-parts":[["2022"]]},"title":"Universal Digital Inclusion and Usage","type":"article-journal","volume":"1"},"uris":["http://www.mendeley.com/documents/?uuid=6f5ca88a-d363-4f1d-8906-472403dab677"]}],"mendeley":{"formattedCitation":"(World Bank, 2022)","plainTextFormattedCitation":"(World Bank, 2022)","previouslyFormattedCitation":"(World Bank, 2022)"},"properties":{"noteIndex":0},"schema":"https://github.com/citation-style-language/schema/raw/master/csl-citation.json"}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(World Bank, 2022)</w:t>
      </w:r>
      <w:r w:rsidR="000F3778" w:rsidRPr="00095A36">
        <w:rPr>
          <w:rFonts w:ascii="Arial" w:hAnsi="Arial" w:cs="Arial"/>
        </w:rPr>
        <w:fldChar w:fldCharType="end"/>
      </w:r>
      <w:r w:rsidR="000F3778" w:rsidRPr="00095A36">
        <w:rPr>
          <w:rFonts w:ascii="Arial" w:hAnsi="Arial" w:cs="Arial"/>
        </w:rPr>
        <w:t>,</w:t>
      </w:r>
      <w:r w:rsidRPr="00095A36">
        <w:rPr>
          <w:rFonts w:ascii="Arial" w:hAnsi="Arial" w:cs="Arial"/>
        </w:rPr>
        <w:t xml:space="preserve"> digital financial inclusion is essential for promoting sustainable economic development. In Indonesia, this is reflected in the Bank Indonesia Payment System Blueprint 2025, which prioritizes the digitalization of payment methods (like QRIS) to enhance financial inclusion across the nation</w:t>
      </w:r>
      <w:r w:rsidR="000F3778" w:rsidRPr="00095A36">
        <w:rPr>
          <w:rFonts w:ascii="Arial" w:hAnsi="Arial" w:cs="Arial"/>
        </w:rPr>
        <w:t xml:space="preserve"> </w:t>
      </w:r>
      <w:r w:rsidR="000F3778" w:rsidRPr="00095A36">
        <w:rPr>
          <w:rFonts w:ascii="Arial" w:hAnsi="Arial" w:cs="Arial"/>
        </w:rPr>
        <w:fldChar w:fldCharType="begin" w:fldLock="1"/>
      </w:r>
      <w:r w:rsidR="000F3778" w:rsidRPr="00095A36">
        <w:rPr>
          <w:rFonts w:ascii="Arial" w:hAnsi="Arial" w:cs="Arial"/>
        </w:rPr>
        <w:instrText>ADDIN CSL_CITATION {"citationItems":[{"id":"ITEM-1","itemData":{"author":[{"dropping-particle":"","family":"Bank Indonesia","given":"","non-dropping-particle":"","parse-names":false,"suffix":""}],"id":"ITEM-1","issued":{"date-parts":[["2019"]]},"publisher-place":"Jakarta","title":"Bank Indonesia: Menavigasi Sistem Pembayaran Nasional di Era Digital BANK INDONESIA","type":"chapter"},"uris":["http://www.mendeley.com/documents/?uuid=79f13d9a-7540-37e1-9d84-8d03e8c14812"]}],"mendeley":{"formattedCitation":"(Bank Indonesia, 2019)","plainTextFormattedCitation":"(Bank Indonesia, 2019)","previouslyFormattedCitation":"(Bank Indonesia, 2019)"},"properties":{"noteIndex":0},"schema":"https://github.com/citation-style-language/schema/raw/master/csl-citation.json"}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(Bank Indonesia, 2019)</w:t>
      </w:r>
      <w:r w:rsidR="000F3778" w:rsidRPr="00095A36">
        <w:rPr>
          <w:rFonts w:ascii="Arial" w:hAnsi="Arial" w:cs="Arial"/>
        </w:rPr>
        <w:fldChar w:fldCharType="end"/>
      </w:r>
      <w:r w:rsidR="000F3778" w:rsidRPr="00095A36">
        <w:rPr>
          <w:rFonts w:ascii="Arial" w:hAnsi="Arial" w:cs="Arial"/>
        </w:rPr>
        <w:t>.</w:t>
      </w:r>
      <w:r w:rsidRPr="00095A36">
        <w:rPr>
          <w:rFonts w:ascii="Arial" w:hAnsi="Arial" w:cs="Arial"/>
        </w:rPr>
        <w:t xml:space="preserve"> </w:t>
      </w:r>
    </w:p>
    <w:p w14:paraId="1D52A0FA" w14:textId="132D3C92" w:rsidR="00360CAB" w:rsidRPr="00095A36" w:rsidRDefault="00360CAB" w:rsidP="002E3784">
      <w:pPr>
        <w:pStyle w:val="Body"/>
        <w:rPr>
          <w:rFonts w:ascii="Arial" w:hAnsi="Arial" w:cs="Arial"/>
        </w:rPr>
      </w:pPr>
      <w:r w:rsidRPr="00095A36">
        <w:rPr>
          <w:rFonts w:ascii="Arial" w:hAnsi="Arial" w:cs="Arial"/>
        </w:rPr>
        <w:t>Despite the government's objective of achieving 91% ownership of formal accounts by 2025, there is still a considerable divide between access and understanding. The issue of "access without understanding" is apparent, where individuals have digital accounts without comprehending the associated risks, resulting in problems like illegal online lending. In 2023, the Financial Services Authority (OJK) identified and shut down 2248 unauthorized lending activities</w:t>
      </w:r>
      <w:r w:rsidR="000F3778" w:rsidRPr="00095A36">
        <w:rPr>
          <w:rFonts w:ascii="Arial" w:hAnsi="Arial" w:cs="Arial"/>
        </w:rPr>
        <w:t xml:space="preserve"> </w:t>
      </w:r>
      <w:r w:rsidR="000F3778" w:rsidRPr="00095A36">
        <w:rPr>
          <w:rFonts w:ascii="Arial" w:hAnsi="Arial" w:cs="Arial"/>
        </w:rPr>
        <w:fldChar w:fldCharType="begin" w:fldLock="1"/>
      </w:r>
      <w:r w:rsidR="000F3778" w:rsidRPr="00095A36">
        <w:rPr>
          <w:rFonts w:ascii="Arial" w:hAnsi="Arial" w:cs="Arial"/>
        </w:rPr>
        <w:instrText>ADDIN CSL_CITATION {"citationItems":[{"id":"ITEM-1","itemData":{"author":[{"dropping-particle":"","family":"Kominfo","given":"","non-dropping-particle":"","parse-names":false,"suffix":""}],"id":"ITEM-1","issued":{"date-parts":[["2024"]]},"title":"Kominfo Blokir Belasan Ribu Aplikasi Pinjol Ilegal","type":"report"},"uris":["http://www.mendeley.com/documents/?uuid=63be8469-02d3-485f-b7b3-394dc3599f1a"]}],"mendeley":{"formattedCitation":"(Kominfo, 2024)","plainTextFormattedCitation":"(Kominfo, 2024)","previouslyFormattedCitation":"(Kominfo, 2024)"},"properties":{"noteIndex":0},"schema":"https://github.com/citation-style-language/schema/raw/master/csl-citation.json"}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(Kominfo, 2024)</w:t>
      </w:r>
      <w:r w:rsidR="000F3778" w:rsidRPr="00095A36">
        <w:rPr>
          <w:rFonts w:ascii="Arial" w:hAnsi="Arial" w:cs="Arial"/>
        </w:rPr>
        <w:fldChar w:fldCharType="end"/>
      </w:r>
      <w:r w:rsidR="000F3778" w:rsidRPr="00095A36">
        <w:rPr>
          <w:rFonts w:ascii="Arial" w:hAnsi="Arial" w:cs="Arial"/>
        </w:rPr>
        <w:t>.</w:t>
      </w:r>
      <w:r w:rsidRPr="00095A36">
        <w:rPr>
          <w:rFonts w:ascii="Arial" w:hAnsi="Arial" w:cs="Arial"/>
        </w:rPr>
        <w:t xml:space="preserve"> </w:t>
      </w:r>
    </w:p>
    <w:p w14:paraId="05F64A9A" w14:textId="2031043F" w:rsidR="00360CAB" w:rsidRPr="00095A36" w:rsidRDefault="00360CAB" w:rsidP="002E3784">
      <w:pPr>
        <w:pStyle w:val="Body"/>
        <w:rPr>
          <w:rFonts w:ascii="Arial" w:hAnsi="Arial" w:cs="Arial"/>
        </w:rPr>
      </w:pPr>
      <w:r w:rsidRPr="00095A36">
        <w:rPr>
          <w:rFonts w:ascii="Arial" w:hAnsi="Arial" w:cs="Arial"/>
        </w:rPr>
        <w:t xml:space="preserve">This issue is especially relevant in East Java, a region with a vibrant </w:t>
      </w:r>
      <w:r w:rsidR="00B31202" w:rsidRPr="00095A36">
        <w:rPr>
          <w:rFonts w:ascii="Arial" w:eastAsia="Calibri" w:hAnsi="Arial" w:cs="Arial"/>
          <w:szCs w:val="22"/>
        </w:rPr>
        <w:t>Micro, Small, and Medium Enterprises (MSMEs)</w:t>
      </w:r>
      <w:r w:rsidRPr="00095A36">
        <w:rPr>
          <w:rFonts w:ascii="Arial" w:hAnsi="Arial" w:cs="Arial"/>
        </w:rPr>
        <w:t xml:space="preserve"> landscape. Although financial inclusion in East Java reached 92.99% in 2022, surpassing the national average, the gap in literacy continues to pose a problem</w:t>
      </w:r>
      <w:r w:rsidR="000F3778" w:rsidRPr="00095A36">
        <w:rPr>
          <w:rFonts w:ascii="Arial" w:hAnsi="Arial" w:cs="Arial"/>
        </w:rPr>
        <w:t xml:space="preserve"> </w:t>
      </w:r>
      <w:r w:rsidR="000F3778" w:rsidRPr="00095A36">
        <w:rPr>
          <w:rFonts w:ascii="Arial" w:hAnsi="Arial" w:cs="Arial"/>
        </w:rPr>
        <w:fldChar w:fldCharType="begin" w:fldLock="1"/>
      </w:r>
      <w:r w:rsidR="000F3778" w:rsidRPr="00095A36">
        <w:rPr>
          <w:rFonts w:ascii="Arial" w:hAnsi="Arial" w:cs="Arial"/>
        </w:rPr>
        <w:instrText>ADDIN CSL_CITATION {"citationItems":[{"id":"ITEM-1","itemData":{"author":[{"dropping-particle":"","family":"Bappeda Jatim","given":"","non-dropping-particle":"","parse-names":false,"suffix":""}],"container-title":"Bappeda Provinsi Jawa Timur","id":"ITEM-1","issued":{"date-parts":[["2024"]]},"title":"Tingkat Inklusi dan Literasi Keuangan Jatim 2019-2022 Konsisten di Atas Nasional","type":"article-newspaper"},"uris":["http://www.mendeley.com/documents/?uuid=e2d621b6-a0e0-44b1-83b5-7456b6dfd40b"]}],"mendeley":{"formattedCitation":"(Bappeda Jatim, 2024)","plainTextFormattedCitation":"(Bappeda Jatim, 2024)","previouslyFormattedCitation":"(Bappeda Jatim, 2024)"},"properties":{"noteIndex":0},"schema":"https://github.com/citation-style-language/schema/raw/master/csl-citation.json"}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(Bappeda Jatim, 2024)</w:t>
      </w:r>
      <w:r w:rsidR="000F3778" w:rsidRPr="00095A36">
        <w:rPr>
          <w:rFonts w:ascii="Arial" w:hAnsi="Arial" w:cs="Arial"/>
        </w:rPr>
        <w:fldChar w:fldCharType="end"/>
      </w:r>
      <w:r w:rsidRPr="00095A36">
        <w:rPr>
          <w:rFonts w:ascii="Arial" w:hAnsi="Arial" w:cs="Arial"/>
        </w:rPr>
        <w:t>. This research will concentrate on Generation Z MSMEs, a group that is adept with technology but susceptible to financial instability.</w:t>
      </w:r>
    </w:p>
    <w:p w14:paraId="77388388" w14:textId="2499861F" w:rsidR="00B01FCD" w:rsidRPr="00095A36" w:rsidRDefault="007A606D" w:rsidP="002E3784">
      <w:pPr>
        <w:pStyle w:val="Body"/>
        <w:spacing w:after="0"/>
        <w:rPr>
          <w:rFonts w:ascii="Arial" w:hAnsi="Arial" w:cs="Arial"/>
        </w:rPr>
      </w:pPr>
      <w:r w:rsidRPr="00095A36">
        <w:rPr>
          <w:rFonts w:ascii="Arial" w:hAnsi="Arial" w:cs="Arial"/>
        </w:rPr>
        <w:t>Previous research has yielded varied findings</w:t>
      </w:r>
      <w:r w:rsidR="00CD5E11" w:rsidRPr="00095A36">
        <w:rPr>
          <w:rFonts w:ascii="Arial" w:hAnsi="Arial" w:cs="Arial"/>
        </w:rPr>
        <w:t>,</w:t>
      </w:r>
      <w:r w:rsidR="000F3778" w:rsidRPr="00095A36">
        <w:rPr>
          <w:rFonts w:ascii="Arial" w:hAnsi="Arial" w:cs="Arial"/>
        </w:rPr>
        <w:t xml:space="preserve"> </w:t>
      </w:r>
      <w:r w:rsidR="000F3778" w:rsidRPr="00095A36">
        <w:rPr>
          <w:rFonts w:ascii="Arial" w:hAnsi="Arial" w:cs="Arial"/>
        </w:rPr>
        <w:fldChar w:fldCharType="begin" w:fldLock="1"/>
      </w:r>
      <w:r w:rsidR="000F3778" w:rsidRPr="00095A36">
        <w:rPr>
          <w:rFonts w:ascii="Arial" w:hAnsi="Arial" w:cs="Arial"/>
        </w:rPr>
        <w:instrText>ADDIN CSL_CITATION {"citationItems":[{"id":"ITEM-1","itemData":{"DOI":"10.26905/jkdp.v27i3.11147","ISSN":"1410-8089","abstract":"This study aims to identify the role of financial literacy, digital literacy, and government support mediated by digital financial services adoption and financial inclusion in influencing the financial performance of MSMEs in Central Java. The model in this study was developed from the RBV (Resource Based View) theoretical framework. This study is a type of quantitative study with an explanatory design. The population determined is MSMEs in the food and beverage sector of Central Java Province. The sample was selected using a simple random sampling of 238 respondents using Google Forms. Next, the data analysis technique used SEM-PLS with SmartPLS 3. This study found that financial literacy, government support, digital financial services adoption, and financial inclusion determine the financial performance of MSMEs. These four factors show a significant influence. On the contrary, digital literacy did not significantly affect MSMEs’ financial performance. This research contribution is theoretically expected to be useful in developing RBV (Resource Based View) theory. In addition, it is a direction for three parties (government, entrepreneurs, and financiers) in formulating policies related to strategies to optimize MSMEs’ financial performance based on digital technology. DOI: 10.26905/jkdp.v27i3.11147","author":[{"dropping-particle":"","family":"Sholihah","given":"Erlinda","non-dropping-particle":"","parse-names":false,"suffix":""},{"dropping-particle":"","family":"Nurhapsari","given":"Risma","non-dropping-particle":"","parse-names":false,"suffix":""},{"dropping-particle":"","family":"Rohmania","given":"Aftuqa Sholikatur","non-dropping-particle":"","parse-names":false,"suffix":""}],"container-title":"Jurnal Keuangan dan Perbankan","id":"ITEM-1","issue":"3","issued":{"date-parts":[["2023"]]},"page":"424-436","title":"The Role of Literacy and Government Support in Improving MSME Performance Through Digital Financial Services Adoption and Financial Inclusion","type":"article-journal","volume":"27"},"uris":["http://www.mendeley.com/documents/?uuid=98aee5a1-f1b2-478e-a054-f684c0acaa6b"]}],"mendeley":{"formattedCitation":"(Sholihah et al., 2023)","plainTextFormattedCitation":"(Sholihah et al., 2023)","previouslyFormattedCitation":"(Sholihah et al., 2023)"},"properties":{"noteIndex":0},"schema":"https://github.com/citation-style-language/schema/raw/master/csl-citation.json"}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(Sholihah et al., 2023)</w:t>
      </w:r>
      <w:r w:rsidR="000F3778" w:rsidRPr="00095A36">
        <w:rPr>
          <w:rFonts w:ascii="Arial" w:hAnsi="Arial" w:cs="Arial"/>
        </w:rPr>
        <w:fldChar w:fldCharType="end"/>
      </w:r>
      <w:r w:rsidR="000F3778" w:rsidRPr="00095A36">
        <w:rPr>
          <w:rFonts w:ascii="Arial" w:hAnsi="Arial" w:cs="Arial"/>
        </w:rPr>
        <w:t xml:space="preserve"> </w:t>
      </w:r>
      <w:r w:rsidRPr="00095A36">
        <w:rPr>
          <w:rFonts w:ascii="Arial" w:hAnsi="Arial" w:cs="Arial"/>
        </w:rPr>
        <w:t>indicated that financial literacy and governmental assistance greatly enhance MSME</w:t>
      </w:r>
      <w:r w:rsidR="00992E42" w:rsidRPr="00095A36">
        <w:rPr>
          <w:rFonts w:ascii="Arial" w:hAnsi="Arial" w:cs="Arial"/>
        </w:rPr>
        <w:t>s</w:t>
      </w:r>
      <w:r w:rsidRPr="00095A36">
        <w:rPr>
          <w:rFonts w:ascii="Arial" w:hAnsi="Arial" w:cs="Arial"/>
        </w:rPr>
        <w:t xml:space="preserve"> performance, whereas</w:t>
      </w:r>
      <w:r w:rsidR="000F3778" w:rsidRPr="00095A36">
        <w:rPr>
          <w:rFonts w:ascii="Arial" w:hAnsi="Arial" w:cs="Arial"/>
        </w:rPr>
        <w:t xml:space="preserve"> </w:t>
      </w:r>
      <w:r w:rsidR="000F3778" w:rsidRPr="00095A36">
        <w:rPr>
          <w:rFonts w:ascii="Arial" w:hAnsi="Arial" w:cs="Arial"/>
        </w:rPr>
        <w:fldChar w:fldCharType="begin" w:fldLock="1"/>
      </w:r>
      <w:r w:rsidR="008357FE" w:rsidRPr="00095A36">
        <w:rPr>
          <w:rFonts w:ascii="Arial" w:hAnsi="Arial" w:cs="Arial"/>
        </w:rPr>
        <w:instrText>ADDIN CSL_CITATION {"citationItems":[{"id":"ITEM-1","itemData":{"DOI":"10.51508/intcess.202206","ISBN":"9786050628647","author":[{"dropping-particle":"","family":"Bozhinova","given":"Mariyana","non-dropping-particle":"","parse-names":false,"suffix":""},{"dropping-particle":"","family":"Ganchev","given":"Alexander","non-dropping-particle":"","parse-names":false,"suffix":""}],"id":"ITEM-1","issue":"January","issued":{"date-parts":[["2022"]]},"page":"38-44","title":"Digitalisation of Financial Services and Financial Literacy of Young Generations – Trends, Challenges and Solutions From Bulgarian Practice","type":"article-journal"},"uris":["http://www.mendeley.com/documents/?uuid=7537fb8a-cb86-48a1-b241-b62334ba1d40"]}],"mendeley":{"formattedCitation":"(Bozhinova &amp; Ganchev, 2022)","plainTextFormattedCitation":"(Bozhinova &amp; Ganchev, 2022)","previouslyFormattedCitation":"(Bozhinova &amp; Ganchev, 2022)"},"properties":{"noteIndex":0},"schema":"https://github.com/citation-style-language/schema/raw/master/csl-citation.json"}</w:instrText>
      </w:r>
      <w:r w:rsidR="000F3778" w:rsidRPr="00095A36">
        <w:rPr>
          <w:rFonts w:ascii="Arial" w:hAnsi="Arial" w:cs="Arial"/>
        </w:rPr>
        <w:fldChar w:fldCharType="separate"/>
      </w:r>
      <w:r w:rsidR="000F3778" w:rsidRPr="00095A36">
        <w:rPr>
          <w:rFonts w:ascii="Arial" w:hAnsi="Arial" w:cs="Arial"/>
          <w:noProof/>
        </w:rPr>
        <w:t>(Bozhinova &amp; Ganchev, 2022)</w:t>
      </w:r>
      <w:r w:rsidR="000F3778" w:rsidRPr="00095A36">
        <w:rPr>
          <w:rFonts w:ascii="Arial" w:hAnsi="Arial" w:cs="Arial"/>
        </w:rPr>
        <w:fldChar w:fldCharType="end"/>
      </w:r>
      <w:r w:rsidR="000F3778" w:rsidRPr="00095A36">
        <w:rPr>
          <w:rFonts w:ascii="Arial" w:hAnsi="Arial" w:cs="Arial"/>
        </w:rPr>
        <w:t xml:space="preserve"> </w:t>
      </w:r>
      <w:r w:rsidRPr="00095A36">
        <w:rPr>
          <w:rFonts w:ascii="Arial" w:hAnsi="Arial" w:cs="Arial"/>
        </w:rPr>
        <w:t xml:space="preserve">claimed that low literacy diminishes the effectiveness of government actions. </w:t>
      </w:r>
      <w:bookmarkStart w:id="0" w:name="OLE_LINK1"/>
      <w:r w:rsidRPr="00095A36">
        <w:rPr>
          <w:rFonts w:ascii="Arial" w:hAnsi="Arial" w:cs="Arial"/>
        </w:rPr>
        <w:t>This research aims to fill that void by investigating how Government Policy and Digital Financial Literacy concurrently influence Digital Financial Inclusion for Gen Z in East Java. By basing the study on Human Capital Theory and Public Policy Theory, it seeks to provide practical evidence to inform more effective policy development.</w:t>
      </w:r>
    </w:p>
    <w:bookmarkEnd w:id="0"/>
    <w:p w14:paraId="4E1AECEB" w14:textId="77777777" w:rsidR="00790ADA" w:rsidRPr="00095A36" w:rsidRDefault="00790ADA" w:rsidP="002E3784">
      <w:pPr>
        <w:pStyle w:val="Body"/>
        <w:spacing w:after="0"/>
        <w:rPr>
          <w:rFonts w:ascii="Arial" w:hAnsi="Arial" w:cs="Arial"/>
        </w:rPr>
      </w:pPr>
    </w:p>
    <w:p w14:paraId="52326BE7" w14:textId="62BCA03E" w:rsidR="00790ADA" w:rsidRPr="00095A36" w:rsidRDefault="00902823" w:rsidP="002E3784">
      <w:pPr>
        <w:pStyle w:val="AbstHead"/>
        <w:spacing w:after="0"/>
        <w:jc w:val="both"/>
        <w:rPr>
          <w:rFonts w:ascii="Arial" w:hAnsi="Arial" w:cs="Arial"/>
        </w:rPr>
      </w:pPr>
      <w:r w:rsidRPr="00095A36">
        <w:rPr>
          <w:rFonts w:ascii="Arial" w:hAnsi="Arial" w:cs="Arial"/>
        </w:rPr>
        <w:t xml:space="preserve">2. </w:t>
      </w:r>
      <w:r w:rsidR="006B57D0" w:rsidRPr="00095A36">
        <w:rPr>
          <w:rFonts w:ascii="Arial" w:hAnsi="Arial" w:cs="Arial"/>
        </w:rPr>
        <w:t>methodology</w:t>
      </w:r>
    </w:p>
    <w:p w14:paraId="1318DDBC" w14:textId="77777777" w:rsidR="00932AB9" w:rsidRPr="00095A36" w:rsidRDefault="00932AB9" w:rsidP="002E3784">
      <w:pPr>
        <w:pStyle w:val="AbstHead"/>
        <w:spacing w:after="0"/>
        <w:jc w:val="both"/>
        <w:rPr>
          <w:rFonts w:ascii="Arial" w:hAnsi="Arial" w:cs="Arial"/>
        </w:rPr>
      </w:pPr>
    </w:p>
    <w:p w14:paraId="3DF67B59" w14:textId="278E4CDB" w:rsidR="00CC6D37" w:rsidRPr="00095A36" w:rsidRDefault="00AA74E0" w:rsidP="002E3784">
      <w:pPr>
        <w:pStyle w:val="Body"/>
        <w:spacing w:after="0"/>
        <w:rPr>
          <w:rFonts w:ascii="Arial" w:hAnsi="Arial" w:cs="Arial"/>
          <w:b/>
          <w:sz w:val="22"/>
        </w:rPr>
      </w:pPr>
      <w:r w:rsidRPr="00095A36">
        <w:rPr>
          <w:rFonts w:ascii="Arial" w:hAnsi="Arial" w:cs="Arial"/>
          <w:b/>
          <w:caps/>
          <w:sz w:val="22"/>
        </w:rPr>
        <w:t xml:space="preserve">2.1 </w:t>
      </w:r>
      <w:r w:rsidR="00642B55" w:rsidRPr="00095A36">
        <w:rPr>
          <w:rFonts w:ascii="Arial" w:hAnsi="Arial" w:cs="Arial"/>
          <w:b/>
          <w:sz w:val="22"/>
        </w:rPr>
        <w:t xml:space="preserve">Research Design and Data </w:t>
      </w:r>
    </w:p>
    <w:p w14:paraId="166284EA" w14:textId="77777777" w:rsidR="00457AEC" w:rsidRPr="00095A36" w:rsidRDefault="00457AEC" w:rsidP="002E3784">
      <w:pPr>
        <w:pStyle w:val="Body"/>
        <w:spacing w:after="0"/>
        <w:rPr>
          <w:rFonts w:ascii="Arial" w:hAnsi="Arial" w:cs="Arial"/>
        </w:rPr>
      </w:pPr>
    </w:p>
    <w:p w14:paraId="329B48D0" w14:textId="36ABA238" w:rsidR="00CC6D37" w:rsidRPr="00095A36" w:rsidRDefault="00CC6D37" w:rsidP="002E3784">
      <w:pPr>
        <w:pStyle w:val="Body"/>
        <w:rPr>
          <w:rFonts w:ascii="Arial" w:hAnsi="Arial" w:cs="Arial"/>
          <w:color w:val="000000" w:themeColor="text1"/>
        </w:rPr>
      </w:pPr>
      <w:r w:rsidRPr="00095A36">
        <w:rPr>
          <w:rFonts w:ascii="Arial" w:hAnsi="Arial" w:cs="Arial"/>
          <w:color w:val="000000" w:themeColor="text1"/>
        </w:rPr>
        <w:t>This research utilizes a quantitative approach with a focus on explanation. The study is conducted in East Java Province, which was selected for its substantial impact on the MSME</w:t>
      </w:r>
      <w:r w:rsidR="00992E42" w:rsidRPr="00095A36">
        <w:rPr>
          <w:rFonts w:ascii="Arial" w:hAnsi="Arial" w:cs="Arial"/>
          <w:color w:val="000000" w:themeColor="text1"/>
        </w:rPr>
        <w:t>s</w:t>
      </w:r>
      <w:r w:rsidRPr="00095A36">
        <w:rPr>
          <w:rFonts w:ascii="Arial" w:hAnsi="Arial" w:cs="Arial"/>
          <w:color w:val="000000" w:themeColor="text1"/>
        </w:rPr>
        <w:t xml:space="preserve"> sector in Indonesia, boasting over 9.7 million enterprises. The target population includes Gen Z individuals involved in MSMEs. Given that the population size is vast, the sample size was determined using the Cochran formula, yielding a minimum of 385 participants. </w:t>
      </w:r>
    </w:p>
    <w:p w14:paraId="73626597" w14:textId="0F30A67D" w:rsidR="00AA74E0" w:rsidRPr="00095A36" w:rsidRDefault="00CC6D37" w:rsidP="002E3784">
      <w:pPr>
        <w:pStyle w:val="Body"/>
        <w:spacing w:after="0"/>
        <w:rPr>
          <w:rFonts w:ascii="Arial" w:hAnsi="Arial" w:cs="Arial"/>
        </w:rPr>
      </w:pPr>
      <w:r w:rsidRPr="00095A36">
        <w:rPr>
          <w:rFonts w:ascii="Arial" w:hAnsi="Arial" w:cs="Arial"/>
          <w:color w:val="000000" w:themeColor="text1"/>
        </w:rPr>
        <w:t>The method of sampling applied was Purposive Sampling, adhering to these criteria for inclusion:</w:t>
      </w:r>
      <w:r w:rsidR="00837E23" w:rsidRPr="00095A36">
        <w:rPr>
          <w:rFonts w:ascii="Arial" w:hAnsi="Arial" w:cs="Arial"/>
          <w:color w:val="000000" w:themeColor="text1"/>
        </w:rPr>
        <w:t xml:space="preserve"> </w:t>
      </w:r>
      <w:r w:rsidRPr="00095A36">
        <w:rPr>
          <w:rFonts w:ascii="Arial" w:hAnsi="Arial" w:cs="Arial"/>
          <w:color w:val="000000" w:themeColor="text1"/>
        </w:rPr>
        <w:t>Individuals aged 18 to 28 years (Gen Z)</w:t>
      </w:r>
      <w:r w:rsidR="00837E23" w:rsidRPr="00095A36">
        <w:rPr>
          <w:rFonts w:ascii="Arial" w:hAnsi="Arial" w:cs="Arial"/>
          <w:color w:val="000000" w:themeColor="text1"/>
        </w:rPr>
        <w:t>,</w:t>
      </w:r>
      <w:r w:rsidRPr="00095A36">
        <w:rPr>
          <w:rFonts w:ascii="Arial" w:hAnsi="Arial" w:cs="Arial"/>
          <w:color w:val="000000" w:themeColor="text1"/>
        </w:rPr>
        <w:t xml:space="preserve"> Residing in East Java</w:t>
      </w:r>
      <w:r w:rsidR="00837E23" w:rsidRPr="00095A36">
        <w:rPr>
          <w:rFonts w:ascii="Arial" w:hAnsi="Arial" w:cs="Arial"/>
          <w:color w:val="000000" w:themeColor="text1"/>
        </w:rPr>
        <w:t xml:space="preserve">, </w:t>
      </w:r>
      <w:r w:rsidRPr="00095A36">
        <w:rPr>
          <w:rFonts w:ascii="Arial" w:hAnsi="Arial" w:cs="Arial"/>
          <w:color w:val="000000" w:themeColor="text1"/>
        </w:rPr>
        <w:t>Engaging with digital financial services (such as e-wallets, mobile banking, QRIS, etc.).</w:t>
      </w:r>
      <w:r w:rsidR="00CC33EC" w:rsidRPr="00095A36">
        <w:rPr>
          <w:rFonts w:ascii="Arial" w:hAnsi="Arial" w:cs="Arial"/>
        </w:rPr>
        <w:tab/>
      </w:r>
      <w:r w:rsidR="00CC33EC" w:rsidRPr="00095A36">
        <w:rPr>
          <w:rFonts w:ascii="Arial" w:hAnsi="Arial" w:cs="Arial"/>
        </w:rPr>
        <w:tab/>
      </w:r>
    </w:p>
    <w:p w14:paraId="20E0488B" w14:textId="18BEF8E6" w:rsidR="00505F06" w:rsidRPr="00095A36" w:rsidRDefault="00201DC8" w:rsidP="002E3784">
      <w:pPr>
        <w:pStyle w:val="Body"/>
        <w:spacing w:after="0"/>
        <w:rPr>
          <w:rFonts w:ascii="Arial" w:hAnsi="Arial" w:cs="Arial"/>
        </w:rPr>
      </w:pPr>
      <w:r w:rsidRPr="00095A36">
        <w:rPr>
          <w:rFonts w:ascii="Arial" w:hAnsi="Arial" w:cs="Arial"/>
        </w:rPr>
        <w:t xml:space="preserve"> </w:t>
      </w:r>
    </w:p>
    <w:p w14:paraId="211E4DB8" w14:textId="77777777" w:rsidR="00F53510" w:rsidRPr="00095A36" w:rsidRDefault="004B33A0" w:rsidP="002E3784">
      <w:pPr>
        <w:pStyle w:val="Body"/>
        <w:spacing w:after="0"/>
        <w:rPr>
          <w:rFonts w:ascii="Arial" w:hAnsi="Arial" w:cs="Arial"/>
          <w:b/>
          <w:sz w:val="22"/>
        </w:rPr>
      </w:pPr>
      <w:r w:rsidRPr="00095A36">
        <w:rPr>
          <w:rFonts w:ascii="Arial" w:hAnsi="Arial" w:cs="Arial"/>
          <w:b/>
          <w:caps/>
          <w:sz w:val="22"/>
        </w:rPr>
        <w:t>2.</w:t>
      </w:r>
      <w:r w:rsidR="00BF0F70" w:rsidRPr="00095A36">
        <w:rPr>
          <w:rFonts w:ascii="Arial" w:hAnsi="Arial" w:cs="Arial"/>
          <w:b/>
          <w:caps/>
          <w:sz w:val="22"/>
        </w:rPr>
        <w:t>2</w:t>
      </w:r>
      <w:r w:rsidRPr="00095A36">
        <w:rPr>
          <w:rFonts w:ascii="Arial" w:hAnsi="Arial" w:cs="Arial"/>
          <w:b/>
          <w:caps/>
          <w:sz w:val="22"/>
        </w:rPr>
        <w:t xml:space="preserve"> </w:t>
      </w:r>
      <w:r w:rsidR="00F53510" w:rsidRPr="00095A36">
        <w:rPr>
          <w:rFonts w:ascii="Arial" w:hAnsi="Arial" w:cs="Arial"/>
          <w:b/>
          <w:sz w:val="22"/>
        </w:rPr>
        <w:t xml:space="preserve">Operational Definition of Variables </w:t>
      </w:r>
    </w:p>
    <w:p w14:paraId="6ED83F30" w14:textId="77777777" w:rsidR="002246FC" w:rsidRPr="00095A36" w:rsidRDefault="002246FC" w:rsidP="002E3784">
      <w:pPr>
        <w:pStyle w:val="Body"/>
        <w:spacing w:after="0"/>
        <w:rPr>
          <w:rFonts w:ascii="Arial" w:hAnsi="Arial" w:cs="Arial"/>
          <w:b/>
          <w:sz w:val="22"/>
        </w:rPr>
      </w:pPr>
    </w:p>
    <w:p w14:paraId="2255F6FF" w14:textId="4A8CCEFF" w:rsidR="00527547" w:rsidRPr="00095A36" w:rsidRDefault="00527547" w:rsidP="002E3784">
      <w:pPr>
        <w:pStyle w:val="Body"/>
        <w:spacing w:after="0"/>
        <w:rPr>
          <w:rFonts w:ascii="Arial" w:hAnsi="Arial" w:cs="Arial"/>
        </w:rPr>
      </w:pPr>
      <w:r w:rsidRPr="00095A36">
        <w:rPr>
          <w:rFonts w:ascii="Arial" w:hAnsi="Arial" w:cs="Arial"/>
        </w:rPr>
        <w:t xml:space="preserve">To simplify the measurement process and confirm the reliability of the tool, precise operational definitions were established for all hidden variables employed in this study. The following Table </w:t>
      </w:r>
      <w:r w:rsidR="000258B9" w:rsidRPr="00095A36">
        <w:rPr>
          <w:rFonts w:ascii="Arial" w:hAnsi="Arial" w:cs="Arial"/>
        </w:rPr>
        <w:t>1</w:t>
      </w:r>
      <w:r w:rsidRPr="00095A36">
        <w:rPr>
          <w:rFonts w:ascii="Arial" w:hAnsi="Arial" w:cs="Arial"/>
        </w:rPr>
        <w:t xml:space="preserve"> presents a summary of these operational definitions, detailing the </w:t>
      </w:r>
      <w:r w:rsidR="00F527E7" w:rsidRPr="00095A36">
        <w:rPr>
          <w:rFonts w:ascii="Arial" w:hAnsi="Arial" w:cs="Arial"/>
        </w:rPr>
        <w:t>indicators</w:t>
      </w:r>
      <w:r w:rsidRPr="00095A36">
        <w:rPr>
          <w:rFonts w:ascii="Arial" w:hAnsi="Arial" w:cs="Arial"/>
        </w:rPr>
        <w:t xml:space="preserve"> for Government Policy, Digital Financial Literacy, and Digital Financial Inclusion, as well as their measurement scales and sources of reference.</w:t>
      </w:r>
    </w:p>
    <w:p w14:paraId="6040E077" w14:textId="77777777" w:rsidR="000258B9" w:rsidRPr="00095A36" w:rsidRDefault="000258B9" w:rsidP="002E3784">
      <w:pPr>
        <w:pStyle w:val="Body"/>
        <w:spacing w:after="0"/>
        <w:rPr>
          <w:rFonts w:ascii="Arial" w:hAnsi="Arial" w:cs="Arial"/>
          <w:b/>
          <w:sz w:val="22"/>
        </w:rPr>
      </w:pPr>
    </w:p>
    <w:p w14:paraId="08884F8A" w14:textId="7599EFB6" w:rsidR="0002682A" w:rsidRPr="00095A36" w:rsidRDefault="0002682A" w:rsidP="002E3784">
      <w:pPr>
        <w:pStyle w:val="Body"/>
        <w:spacing w:after="0"/>
        <w:jc w:val="center"/>
        <w:rPr>
          <w:rFonts w:ascii="Arial" w:hAnsi="Arial" w:cs="Arial"/>
          <w:b/>
          <w:color w:val="000000" w:themeColor="text1"/>
          <w:szCs w:val="16"/>
        </w:rPr>
      </w:pPr>
      <w:r w:rsidRPr="00095A36">
        <w:rPr>
          <w:rFonts w:ascii="Arial" w:hAnsi="Arial" w:cs="Arial"/>
          <w:b/>
          <w:color w:val="000000" w:themeColor="text1"/>
          <w:szCs w:val="16"/>
        </w:rPr>
        <w:t>Table 1.</w:t>
      </w:r>
      <w:r w:rsidRPr="00095A36">
        <w:rPr>
          <w:rFonts w:ascii="Arial" w:hAnsi="Arial" w:cs="Arial"/>
          <w:color w:val="000000" w:themeColor="text1"/>
          <w:sz w:val="16"/>
          <w:szCs w:val="16"/>
        </w:rPr>
        <w:t xml:space="preserve"> </w:t>
      </w:r>
      <w:r w:rsidRPr="00095A36">
        <w:rPr>
          <w:rFonts w:ascii="Arial" w:hAnsi="Arial" w:cs="Arial"/>
          <w:b/>
          <w:color w:val="000000" w:themeColor="text1"/>
          <w:szCs w:val="16"/>
        </w:rPr>
        <w:t>Operational Definition of Variables</w:t>
      </w:r>
    </w:p>
    <w:p w14:paraId="4FD836E7" w14:textId="77777777" w:rsidR="00F527E7" w:rsidRPr="00095A36" w:rsidRDefault="00F527E7" w:rsidP="002E3784">
      <w:pPr>
        <w:pStyle w:val="Body"/>
        <w:spacing w:after="0"/>
        <w:jc w:val="center"/>
        <w:rPr>
          <w:rFonts w:ascii="Arial" w:hAnsi="Arial" w:cs="Arial"/>
          <w:b/>
          <w:color w:val="000000" w:themeColor="text1"/>
          <w:szCs w:val="16"/>
        </w:rPr>
      </w:pPr>
    </w:p>
    <w:tbl>
      <w:tblPr>
        <w:tblStyle w:val="TableGridLight"/>
        <w:tblW w:w="8876" w:type="dxa"/>
        <w:jc w:val="center"/>
        <w:tblLook w:val="04A0" w:firstRow="1" w:lastRow="0" w:firstColumn="1" w:lastColumn="0" w:noHBand="0" w:noVBand="1"/>
      </w:tblPr>
      <w:tblGrid>
        <w:gridCol w:w="1094"/>
        <w:gridCol w:w="3753"/>
        <w:gridCol w:w="1953"/>
        <w:gridCol w:w="9"/>
        <w:gridCol w:w="2067"/>
      </w:tblGrid>
      <w:tr w:rsidR="00886ED1" w:rsidRPr="00095A36" w14:paraId="3AADBB58" w14:textId="77777777" w:rsidTr="00DD7654">
        <w:trPr>
          <w:trHeight w:val="320"/>
          <w:jc w:val="center"/>
        </w:trPr>
        <w:tc>
          <w:tcPr>
            <w:tcW w:w="1094" w:type="dxa"/>
            <w:noWrap/>
            <w:vAlign w:val="center"/>
            <w:hideMark/>
          </w:tcPr>
          <w:p w14:paraId="6DAB6550" w14:textId="2E25409A" w:rsidR="00062DA9" w:rsidRPr="00095A36" w:rsidRDefault="00E74BF7" w:rsidP="002E3784">
            <w:pPr>
              <w:jc w:val="center"/>
              <w:rPr>
                <w:rFonts w:ascii="Arial" w:hAnsi="Arial" w:cs="Arial"/>
                <w:b/>
                <w:bCs/>
                <w:color w:val="000000"/>
                <w:lang w:val="en-ID"/>
              </w:rPr>
            </w:pPr>
            <w:r w:rsidRPr="00095A36">
              <w:rPr>
                <w:rFonts w:ascii="Arial" w:hAnsi="Arial" w:cs="Arial"/>
                <w:b/>
                <w:bCs/>
                <w:color w:val="000000"/>
                <w:lang w:val="en-ID"/>
              </w:rPr>
              <w:t>No</w:t>
            </w:r>
          </w:p>
        </w:tc>
        <w:tc>
          <w:tcPr>
            <w:tcW w:w="3753" w:type="dxa"/>
            <w:noWrap/>
            <w:vAlign w:val="center"/>
            <w:hideMark/>
          </w:tcPr>
          <w:p w14:paraId="635A9BFB" w14:textId="77777777" w:rsidR="00062DA9" w:rsidRPr="00095A36" w:rsidRDefault="00062DA9" w:rsidP="002E3784">
            <w:pPr>
              <w:jc w:val="center"/>
              <w:rPr>
                <w:rFonts w:ascii="Arial" w:hAnsi="Arial" w:cs="Arial"/>
                <w:b/>
                <w:bCs/>
                <w:color w:val="000000"/>
                <w:lang w:val="en-ID"/>
              </w:rPr>
            </w:pPr>
            <w:r w:rsidRPr="00095A36">
              <w:rPr>
                <w:rFonts w:ascii="Arial" w:hAnsi="Arial" w:cs="Arial"/>
                <w:b/>
                <w:bCs/>
                <w:color w:val="000000"/>
                <w:lang w:val="en-ID"/>
              </w:rPr>
              <w:t>Question</w:t>
            </w:r>
          </w:p>
        </w:tc>
        <w:tc>
          <w:tcPr>
            <w:tcW w:w="1962" w:type="dxa"/>
            <w:gridSpan w:val="2"/>
            <w:noWrap/>
            <w:vAlign w:val="center"/>
            <w:hideMark/>
          </w:tcPr>
          <w:p w14:paraId="261ED802" w14:textId="6F95D777" w:rsidR="00062DA9" w:rsidRPr="00095A36" w:rsidRDefault="00886ED1" w:rsidP="002E3784">
            <w:pPr>
              <w:jc w:val="center"/>
              <w:rPr>
                <w:rFonts w:ascii="Arial" w:hAnsi="Arial" w:cs="Arial"/>
                <w:b/>
                <w:bCs/>
                <w:color w:val="000000"/>
                <w:lang w:val="en-ID"/>
              </w:rPr>
            </w:pPr>
            <w:r w:rsidRPr="00095A36">
              <w:rPr>
                <w:rFonts w:ascii="Arial" w:hAnsi="Arial" w:cs="Arial"/>
                <w:b/>
                <w:bCs/>
                <w:color w:val="000000"/>
                <w:lang w:val="en-ID"/>
              </w:rPr>
              <w:t>O</w:t>
            </w:r>
            <w:r w:rsidR="00062DA9" w:rsidRPr="00095A36">
              <w:rPr>
                <w:rFonts w:ascii="Arial" w:hAnsi="Arial" w:cs="Arial"/>
                <w:b/>
                <w:bCs/>
                <w:color w:val="000000"/>
                <w:lang w:val="en-ID"/>
              </w:rPr>
              <w:t>perationalization</w:t>
            </w:r>
          </w:p>
        </w:tc>
        <w:tc>
          <w:tcPr>
            <w:tcW w:w="2067" w:type="dxa"/>
            <w:noWrap/>
            <w:vAlign w:val="center"/>
            <w:hideMark/>
          </w:tcPr>
          <w:p w14:paraId="085186D1" w14:textId="151895C9" w:rsidR="00062DA9" w:rsidRPr="00095A36" w:rsidRDefault="003053FD" w:rsidP="002E3784">
            <w:pPr>
              <w:jc w:val="center"/>
              <w:rPr>
                <w:rFonts w:ascii="Arial" w:hAnsi="Arial" w:cs="Arial"/>
                <w:b/>
                <w:bCs/>
                <w:color w:val="000000"/>
                <w:lang w:val="en-ID"/>
              </w:rPr>
            </w:pPr>
            <w:r w:rsidRPr="00095A36">
              <w:rPr>
                <w:rFonts w:ascii="Arial" w:hAnsi="Arial" w:cs="Arial"/>
                <w:b/>
                <w:bCs/>
                <w:color w:val="000000"/>
                <w:lang w:val="en-ID"/>
              </w:rPr>
              <w:t>S</w:t>
            </w:r>
            <w:r w:rsidR="00062DA9" w:rsidRPr="00095A36">
              <w:rPr>
                <w:rFonts w:ascii="Arial" w:hAnsi="Arial" w:cs="Arial"/>
                <w:b/>
                <w:bCs/>
                <w:color w:val="000000"/>
                <w:lang w:val="en-ID"/>
              </w:rPr>
              <w:t>ource</w:t>
            </w:r>
          </w:p>
        </w:tc>
      </w:tr>
      <w:tr w:rsidR="00E35EA2" w:rsidRPr="00095A36" w14:paraId="724B63E6" w14:textId="77777777" w:rsidTr="00944EBA">
        <w:trPr>
          <w:trHeight w:val="320"/>
          <w:jc w:val="center"/>
        </w:trPr>
        <w:tc>
          <w:tcPr>
            <w:tcW w:w="6800" w:type="dxa"/>
            <w:gridSpan w:val="3"/>
            <w:noWrap/>
            <w:vAlign w:val="center"/>
            <w:hideMark/>
          </w:tcPr>
          <w:p w14:paraId="2BAA4C28" w14:textId="69C2CE2B" w:rsidR="00E35EA2" w:rsidRPr="00095A36" w:rsidRDefault="00E35EA2" w:rsidP="002E3784">
            <w:pPr>
              <w:rPr>
                <w:rFonts w:ascii="Arial" w:hAnsi="Arial" w:cs="Arial"/>
                <w:color w:val="000000"/>
                <w:lang w:val="en-ID"/>
              </w:rPr>
            </w:pPr>
            <w:r w:rsidRPr="00095A36">
              <w:rPr>
                <w:rFonts w:ascii="Arial" w:hAnsi="Arial" w:cs="Arial"/>
                <w:b/>
                <w:bCs/>
                <w:color w:val="000000"/>
                <w:lang w:val="en-ID"/>
              </w:rPr>
              <w:lastRenderedPageBreak/>
              <w:t>Variable X1: Government Policy</w:t>
            </w:r>
          </w:p>
        </w:tc>
        <w:tc>
          <w:tcPr>
            <w:tcW w:w="2076" w:type="dxa"/>
            <w:gridSpan w:val="2"/>
            <w:vMerge w:val="restart"/>
            <w:noWrap/>
            <w:vAlign w:val="center"/>
            <w:hideMark/>
          </w:tcPr>
          <w:p w14:paraId="38332FEF" w14:textId="77777777" w:rsidR="00E35EA2" w:rsidRPr="00095A36" w:rsidRDefault="00E35EA2" w:rsidP="002E3784">
            <w:pPr>
              <w:jc w:val="center"/>
              <w:rPr>
                <w:rFonts w:ascii="Arial" w:hAnsi="Arial" w:cs="Arial"/>
                <w:color w:val="000000"/>
                <w:lang w:val="en-ID"/>
              </w:rPr>
            </w:pPr>
          </w:p>
          <w:p w14:paraId="796FF128" w14:textId="395E07D5" w:rsidR="00E35EA2" w:rsidRPr="00095A36" w:rsidRDefault="00E35EA2" w:rsidP="002E3784">
            <w:pPr>
              <w:jc w:val="center"/>
              <w:rPr>
                <w:rFonts w:ascii="Arial" w:hAnsi="Arial" w:cs="Arial"/>
                <w:color w:val="000000"/>
                <w:lang w:val="en-ID"/>
              </w:rPr>
            </w:pPr>
            <w:r w:rsidRPr="00095A36">
              <w:rPr>
                <w:rFonts w:ascii="Arial" w:hAnsi="Arial" w:cs="Arial"/>
                <w:color w:val="000000"/>
                <w:lang w:val="en-ID"/>
              </w:rPr>
              <w:fldChar w:fldCharType="begin" w:fldLock="1"/>
            </w:r>
            <w:r w:rsidRPr="00095A36">
              <w:rPr>
                <w:rFonts w:ascii="Arial" w:hAnsi="Arial" w:cs="Arial"/>
                <w:color w:val="000000"/>
                <w:lang w:val="en-ID"/>
              </w:rPr>
              <w:instrText>ADDIN CSL_CITATION {"citationItems":[{"id":"ITEM-1","itemData":{"ISBN":"9781119130536","ISSN":"1098-6596","PMID":"25246403","abstract":"Predicting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approach.","author":[{"dropping-particle":"","family":"Otoritas Jasa Keuangan","given":"","non-dropping-particle":"","parse-names":false,"suffix":""}],"container-title":"Otoritas Jasa Keuangan (OJK)","id":"ITEM-1","issued":{"date-parts":[["2017"]]},"number-of-pages":"9-25","title":"Surat Edaran Otoritas Jasa Keuangan Nomor 31 /Seojk.07/2017 Tentang Pelaksanaan Kegiatan Dalam Rangka Meningkatkan Inklusi Keuangan Di Sektor Jasa Keuangan","type":"report"},"uris":["http://www.mendeley.com/documents/?uuid=0bd411b6-2cb2-49f4-9cc2-d197df52339d"]},{"id":"ITEM-2","itemData":{"DOI":"10.1007/978-3-030-99724-3","ISBN":"9783030997243","abstract":"This open access book responds to the need for a specifically African focus on public policy. It outlines the fundamental principles of public policy research, and engages with major issues in the study of public policy from an African perspective, covering essential topics such as the location and centrality of social sciences in relation to public policy, leadership, methodology, institutions, governance, and gender. This book is essential for understanding the various aspects and dimensions of policy making in Africa that underscore quality research and are at the core of excellence in teaching and learning.","author":[{"dropping-particle":"","family":"Remi Aiyede","given":"E.","non-dropping-particle":"","parse-names":false,"suffix":""},{"dropping-particle":"","family":"Muganda","given":"Beatrice","non-dropping-particle":"","parse-names":false,"suffix":""}],"container-title":"Public Policy and Research in Africa","id":"ITEM-2","issued":{"date-parts":[["2022","1","1"]]},"number-of-pages":"1-278","publisher":"Springer International Publishing","title":"Public Policy and Research in Africa","type":"book"},"uris":["http://www.mendeley.com/documents/?uuid=aaf8b6a7-03bd-30ee-a8bf-4554a17127f7"]}],"mendeley":{"formattedCitation":"(Otoritas Jasa Keuangan, 2017; Remi Aiyede &amp; Muganda, 2022)","plainTextFormattedCitation":"(Otoritas Jasa Keuangan, 2017; Remi Aiyede &amp; Muganda, 2022)","previouslyFormattedCitation":"(Otoritas Jasa Keuangan, 2017; Remi Aiyede &amp; Muganda, 2022)"},"properties":{"noteIndex":0},"schema":"https://github.com/citation-style-language/schema/raw/master/csl-citation.json"}</w:instrText>
            </w:r>
            <w:r w:rsidRPr="00095A36">
              <w:rPr>
                <w:rFonts w:ascii="Arial" w:hAnsi="Arial" w:cs="Arial"/>
                <w:color w:val="000000"/>
                <w:lang w:val="en-ID"/>
              </w:rPr>
              <w:fldChar w:fldCharType="separate"/>
            </w:r>
            <w:r w:rsidRPr="00095A36">
              <w:rPr>
                <w:rFonts w:ascii="Arial" w:hAnsi="Arial" w:cs="Arial"/>
                <w:noProof/>
                <w:color w:val="000000"/>
                <w:lang w:val="en-ID"/>
              </w:rPr>
              <w:t>(Otoritas Jasa Keuangan, 2017; Remi Aiyede &amp; Muganda, 2022)</w:t>
            </w:r>
            <w:r w:rsidRPr="00095A36">
              <w:rPr>
                <w:rFonts w:ascii="Arial" w:hAnsi="Arial" w:cs="Arial"/>
                <w:color w:val="000000"/>
                <w:lang w:val="en-ID"/>
              </w:rPr>
              <w:fldChar w:fldCharType="end"/>
            </w:r>
          </w:p>
          <w:p w14:paraId="3F386A1B" w14:textId="77777777" w:rsidR="00E35EA2" w:rsidRPr="00095A36" w:rsidRDefault="00E35EA2" w:rsidP="002E3784">
            <w:pPr>
              <w:jc w:val="center"/>
              <w:rPr>
                <w:rFonts w:ascii="Arial" w:hAnsi="Arial" w:cs="Arial"/>
                <w:color w:val="000000"/>
                <w:lang w:val="en-ID"/>
              </w:rPr>
            </w:pPr>
          </w:p>
        </w:tc>
      </w:tr>
      <w:tr w:rsidR="00886ED1" w:rsidRPr="00095A36" w14:paraId="0223C05E" w14:textId="77777777" w:rsidTr="00DD7654">
        <w:trPr>
          <w:trHeight w:val="320"/>
          <w:jc w:val="center"/>
        </w:trPr>
        <w:tc>
          <w:tcPr>
            <w:tcW w:w="1094" w:type="dxa"/>
            <w:noWrap/>
            <w:vAlign w:val="center"/>
            <w:hideMark/>
          </w:tcPr>
          <w:p w14:paraId="51446371"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X1</w:t>
            </w:r>
          </w:p>
        </w:tc>
        <w:tc>
          <w:tcPr>
            <w:tcW w:w="3753" w:type="dxa"/>
            <w:noWrap/>
            <w:vAlign w:val="center"/>
            <w:hideMark/>
          </w:tcPr>
          <w:p w14:paraId="47A7CDAD"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Government policies facilitate easy access to digital financial services.</w:t>
            </w:r>
          </w:p>
        </w:tc>
        <w:tc>
          <w:tcPr>
            <w:tcW w:w="1953" w:type="dxa"/>
            <w:noWrap/>
            <w:vAlign w:val="center"/>
            <w:hideMark/>
          </w:tcPr>
          <w:p w14:paraId="0B8A47B5"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1 = Strongly Disagree</w:t>
            </w:r>
          </w:p>
        </w:tc>
        <w:tc>
          <w:tcPr>
            <w:tcW w:w="2076" w:type="dxa"/>
            <w:gridSpan w:val="2"/>
            <w:vMerge/>
            <w:vAlign w:val="center"/>
            <w:hideMark/>
          </w:tcPr>
          <w:p w14:paraId="52EDA6C5" w14:textId="77777777" w:rsidR="00062DA9" w:rsidRPr="00095A36" w:rsidRDefault="00062DA9" w:rsidP="002E3784">
            <w:pPr>
              <w:jc w:val="center"/>
              <w:rPr>
                <w:rFonts w:ascii="Arial" w:hAnsi="Arial" w:cs="Arial"/>
                <w:color w:val="000000"/>
                <w:lang w:val="en-ID"/>
              </w:rPr>
            </w:pPr>
          </w:p>
        </w:tc>
      </w:tr>
      <w:tr w:rsidR="00886ED1" w:rsidRPr="00095A36" w14:paraId="1BECFA0D" w14:textId="77777777" w:rsidTr="00DD7654">
        <w:trPr>
          <w:trHeight w:val="320"/>
          <w:jc w:val="center"/>
        </w:trPr>
        <w:tc>
          <w:tcPr>
            <w:tcW w:w="1094" w:type="dxa"/>
            <w:noWrap/>
            <w:vAlign w:val="center"/>
            <w:hideMark/>
          </w:tcPr>
          <w:p w14:paraId="30977FBC"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X1.2</w:t>
            </w:r>
          </w:p>
        </w:tc>
        <w:tc>
          <w:tcPr>
            <w:tcW w:w="3753" w:type="dxa"/>
            <w:noWrap/>
            <w:vAlign w:val="center"/>
            <w:hideMark/>
          </w:tcPr>
          <w:p w14:paraId="3F0C21DF"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Government digital financial literacy and education programs assist me in understanding digital financial products.</w:t>
            </w:r>
          </w:p>
        </w:tc>
        <w:tc>
          <w:tcPr>
            <w:tcW w:w="1953" w:type="dxa"/>
            <w:noWrap/>
            <w:vAlign w:val="center"/>
            <w:hideMark/>
          </w:tcPr>
          <w:p w14:paraId="4F7C38EF"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2 = Disagree</w:t>
            </w:r>
          </w:p>
        </w:tc>
        <w:tc>
          <w:tcPr>
            <w:tcW w:w="2076" w:type="dxa"/>
            <w:gridSpan w:val="2"/>
            <w:vMerge/>
            <w:vAlign w:val="center"/>
            <w:hideMark/>
          </w:tcPr>
          <w:p w14:paraId="6BA10941" w14:textId="77777777" w:rsidR="00062DA9" w:rsidRPr="00095A36" w:rsidRDefault="00062DA9" w:rsidP="002E3784">
            <w:pPr>
              <w:jc w:val="center"/>
              <w:rPr>
                <w:rFonts w:ascii="Arial" w:hAnsi="Arial" w:cs="Arial"/>
                <w:color w:val="000000"/>
                <w:lang w:val="en-ID"/>
              </w:rPr>
            </w:pPr>
          </w:p>
        </w:tc>
      </w:tr>
      <w:tr w:rsidR="00886ED1" w:rsidRPr="00095A36" w14:paraId="2A2A7871" w14:textId="77777777" w:rsidTr="00DD7654">
        <w:trPr>
          <w:trHeight w:val="320"/>
          <w:jc w:val="center"/>
        </w:trPr>
        <w:tc>
          <w:tcPr>
            <w:tcW w:w="1094" w:type="dxa"/>
            <w:noWrap/>
            <w:vAlign w:val="center"/>
            <w:hideMark/>
          </w:tcPr>
          <w:p w14:paraId="6D418CBA"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X1.3</w:t>
            </w:r>
          </w:p>
        </w:tc>
        <w:tc>
          <w:tcPr>
            <w:tcW w:w="3753" w:type="dxa"/>
            <w:noWrap/>
            <w:vAlign w:val="center"/>
            <w:hideMark/>
          </w:tcPr>
          <w:p w14:paraId="06C0AAC5"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Internet facilities and digital networks in my region adequately support the usage of digital financial services.</w:t>
            </w:r>
          </w:p>
        </w:tc>
        <w:tc>
          <w:tcPr>
            <w:tcW w:w="1953" w:type="dxa"/>
            <w:noWrap/>
            <w:vAlign w:val="center"/>
            <w:hideMark/>
          </w:tcPr>
          <w:p w14:paraId="2863E9F6"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3 = Neutral</w:t>
            </w:r>
          </w:p>
        </w:tc>
        <w:tc>
          <w:tcPr>
            <w:tcW w:w="2076" w:type="dxa"/>
            <w:gridSpan w:val="2"/>
            <w:vMerge/>
            <w:vAlign w:val="center"/>
            <w:hideMark/>
          </w:tcPr>
          <w:p w14:paraId="1C134428" w14:textId="77777777" w:rsidR="00062DA9" w:rsidRPr="00095A36" w:rsidRDefault="00062DA9" w:rsidP="002E3784">
            <w:pPr>
              <w:jc w:val="center"/>
              <w:rPr>
                <w:rFonts w:ascii="Arial" w:hAnsi="Arial" w:cs="Arial"/>
                <w:color w:val="000000"/>
                <w:lang w:val="en-ID"/>
              </w:rPr>
            </w:pPr>
          </w:p>
        </w:tc>
      </w:tr>
      <w:tr w:rsidR="00886ED1" w:rsidRPr="00095A36" w14:paraId="732627D6" w14:textId="77777777" w:rsidTr="00DD7654">
        <w:trPr>
          <w:trHeight w:val="320"/>
          <w:jc w:val="center"/>
        </w:trPr>
        <w:tc>
          <w:tcPr>
            <w:tcW w:w="1094" w:type="dxa"/>
            <w:noWrap/>
            <w:vAlign w:val="center"/>
            <w:hideMark/>
          </w:tcPr>
          <w:p w14:paraId="3A5B4C96"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X1.4</w:t>
            </w:r>
          </w:p>
        </w:tc>
        <w:tc>
          <w:tcPr>
            <w:tcW w:w="3753" w:type="dxa"/>
            <w:noWrap/>
            <w:vAlign w:val="center"/>
            <w:hideMark/>
          </w:tcPr>
          <w:p w14:paraId="5B95DF8C"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I feel secure using digital financial services due to the existence of government protection.</w:t>
            </w:r>
          </w:p>
        </w:tc>
        <w:tc>
          <w:tcPr>
            <w:tcW w:w="1953" w:type="dxa"/>
            <w:noWrap/>
            <w:vAlign w:val="center"/>
            <w:hideMark/>
          </w:tcPr>
          <w:p w14:paraId="1FADDB86"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4 = Agree</w:t>
            </w:r>
          </w:p>
        </w:tc>
        <w:tc>
          <w:tcPr>
            <w:tcW w:w="2076" w:type="dxa"/>
            <w:gridSpan w:val="2"/>
            <w:vMerge/>
            <w:vAlign w:val="center"/>
            <w:hideMark/>
          </w:tcPr>
          <w:p w14:paraId="6BCB591A" w14:textId="77777777" w:rsidR="00062DA9" w:rsidRPr="00095A36" w:rsidRDefault="00062DA9" w:rsidP="002E3784">
            <w:pPr>
              <w:jc w:val="center"/>
              <w:rPr>
                <w:rFonts w:ascii="Arial" w:hAnsi="Arial" w:cs="Arial"/>
                <w:color w:val="000000"/>
                <w:lang w:val="en-ID"/>
              </w:rPr>
            </w:pPr>
          </w:p>
        </w:tc>
      </w:tr>
      <w:tr w:rsidR="00886ED1" w:rsidRPr="00095A36" w14:paraId="14AEDF60" w14:textId="77777777" w:rsidTr="00DD7654">
        <w:trPr>
          <w:trHeight w:val="320"/>
          <w:jc w:val="center"/>
        </w:trPr>
        <w:tc>
          <w:tcPr>
            <w:tcW w:w="1094" w:type="dxa"/>
            <w:noWrap/>
            <w:vAlign w:val="center"/>
            <w:hideMark/>
          </w:tcPr>
          <w:p w14:paraId="19D34471"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X1.5</w:t>
            </w:r>
          </w:p>
        </w:tc>
        <w:tc>
          <w:tcPr>
            <w:tcW w:w="3753" w:type="dxa"/>
            <w:noWrap/>
            <w:vAlign w:val="center"/>
            <w:hideMark/>
          </w:tcPr>
          <w:p w14:paraId="58F554BA"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Government policies encourage an increase in digital transactions within my business operations.</w:t>
            </w:r>
          </w:p>
        </w:tc>
        <w:tc>
          <w:tcPr>
            <w:tcW w:w="1953" w:type="dxa"/>
            <w:noWrap/>
            <w:vAlign w:val="center"/>
            <w:hideMark/>
          </w:tcPr>
          <w:p w14:paraId="56C04DD1" w14:textId="77777777" w:rsidR="00062DA9" w:rsidRPr="00095A36" w:rsidRDefault="00062DA9" w:rsidP="002E3784">
            <w:pPr>
              <w:jc w:val="center"/>
              <w:rPr>
                <w:rFonts w:ascii="Arial" w:hAnsi="Arial" w:cs="Arial"/>
                <w:color w:val="000000"/>
                <w:lang w:val="en-ID"/>
              </w:rPr>
            </w:pPr>
            <w:r w:rsidRPr="00095A36">
              <w:rPr>
                <w:rFonts w:ascii="Arial" w:hAnsi="Arial" w:cs="Arial"/>
                <w:color w:val="000000"/>
                <w:lang w:val="en-ID"/>
              </w:rPr>
              <w:t>5 = Strongly Agree</w:t>
            </w:r>
          </w:p>
        </w:tc>
        <w:tc>
          <w:tcPr>
            <w:tcW w:w="2076" w:type="dxa"/>
            <w:gridSpan w:val="2"/>
            <w:vMerge/>
            <w:vAlign w:val="center"/>
            <w:hideMark/>
          </w:tcPr>
          <w:p w14:paraId="2A763A7F" w14:textId="77777777" w:rsidR="00062DA9" w:rsidRPr="00095A36" w:rsidRDefault="00062DA9" w:rsidP="002E3784">
            <w:pPr>
              <w:jc w:val="center"/>
              <w:rPr>
                <w:rFonts w:ascii="Arial" w:hAnsi="Arial" w:cs="Arial"/>
                <w:color w:val="000000"/>
                <w:lang w:val="en-ID"/>
              </w:rPr>
            </w:pPr>
          </w:p>
        </w:tc>
      </w:tr>
      <w:tr w:rsidR="00E35EA2" w:rsidRPr="00095A36" w14:paraId="34CBB954" w14:textId="77777777" w:rsidTr="00944EBA">
        <w:trPr>
          <w:trHeight w:val="320"/>
          <w:jc w:val="center"/>
        </w:trPr>
        <w:tc>
          <w:tcPr>
            <w:tcW w:w="6800" w:type="dxa"/>
            <w:gridSpan w:val="3"/>
            <w:noWrap/>
            <w:vAlign w:val="center"/>
            <w:hideMark/>
          </w:tcPr>
          <w:p w14:paraId="3133EE3B" w14:textId="6226E774" w:rsidR="00E35EA2" w:rsidRPr="00095A36" w:rsidRDefault="00E35EA2" w:rsidP="002E3784">
            <w:pPr>
              <w:rPr>
                <w:rFonts w:ascii="Arial" w:hAnsi="Arial" w:cs="Arial"/>
                <w:color w:val="000000"/>
                <w:lang w:val="en-ID"/>
              </w:rPr>
            </w:pPr>
            <w:r w:rsidRPr="00095A36">
              <w:rPr>
                <w:rFonts w:ascii="Arial" w:hAnsi="Arial" w:cs="Arial"/>
                <w:b/>
                <w:bCs/>
                <w:color w:val="000000"/>
                <w:lang w:val="en-ID"/>
              </w:rPr>
              <w:t>Variable X2: Digital Financial Literacy</w:t>
            </w:r>
          </w:p>
        </w:tc>
        <w:tc>
          <w:tcPr>
            <w:tcW w:w="2076" w:type="dxa"/>
            <w:gridSpan w:val="2"/>
            <w:noWrap/>
            <w:vAlign w:val="center"/>
            <w:hideMark/>
          </w:tcPr>
          <w:p w14:paraId="304727B9" w14:textId="77777777" w:rsidR="00E35EA2" w:rsidRPr="00095A36" w:rsidRDefault="00E35EA2" w:rsidP="002E3784">
            <w:pPr>
              <w:jc w:val="center"/>
              <w:rPr>
                <w:rFonts w:ascii="Arial" w:hAnsi="Arial" w:cs="Arial"/>
                <w:lang w:val="en-ID"/>
              </w:rPr>
            </w:pPr>
          </w:p>
        </w:tc>
      </w:tr>
      <w:tr w:rsidR="0069748A" w:rsidRPr="00095A36" w14:paraId="44893F02" w14:textId="77777777" w:rsidTr="00DD7654">
        <w:trPr>
          <w:trHeight w:val="143"/>
          <w:jc w:val="center"/>
        </w:trPr>
        <w:tc>
          <w:tcPr>
            <w:tcW w:w="1094" w:type="dxa"/>
            <w:noWrap/>
            <w:vAlign w:val="center"/>
            <w:hideMark/>
          </w:tcPr>
          <w:p w14:paraId="06918C2F" w14:textId="645D517C" w:rsidR="0069748A" w:rsidRPr="00095A36" w:rsidRDefault="0069748A" w:rsidP="002E3784">
            <w:pPr>
              <w:jc w:val="center"/>
              <w:rPr>
                <w:rFonts w:ascii="Arial" w:hAnsi="Arial" w:cs="Arial"/>
                <w:color w:val="EE0000"/>
                <w:lang w:val="en-ID"/>
              </w:rPr>
            </w:pPr>
            <w:r w:rsidRPr="00095A36">
              <w:rPr>
                <w:rFonts w:ascii="Arial" w:hAnsi="Arial" w:cs="Arial"/>
                <w:color w:val="000000"/>
                <w:lang w:val="en-ID"/>
              </w:rPr>
              <w:t>X2</w:t>
            </w:r>
          </w:p>
        </w:tc>
        <w:tc>
          <w:tcPr>
            <w:tcW w:w="3753" w:type="dxa"/>
            <w:noWrap/>
            <w:vAlign w:val="center"/>
          </w:tcPr>
          <w:p w14:paraId="18BB9130" w14:textId="6B0BE89F" w:rsidR="0069748A" w:rsidRPr="00095A36" w:rsidRDefault="0069748A" w:rsidP="002E3784">
            <w:pPr>
              <w:jc w:val="center"/>
              <w:rPr>
                <w:rFonts w:ascii="Arial" w:hAnsi="Arial" w:cs="Arial"/>
                <w:color w:val="EE0000"/>
                <w:lang w:val="en-ID"/>
              </w:rPr>
            </w:pPr>
            <w:r w:rsidRPr="00095A36">
              <w:rPr>
                <w:rFonts w:ascii="Arial" w:hAnsi="Arial" w:cs="Arial"/>
                <w:color w:val="000000"/>
                <w:lang w:val="en-ID"/>
              </w:rPr>
              <w:t>I understand various types of digital financial products, such as e-wallets, mobile banking, and fintech.</w:t>
            </w:r>
          </w:p>
        </w:tc>
        <w:tc>
          <w:tcPr>
            <w:tcW w:w="1953" w:type="dxa"/>
            <w:noWrap/>
            <w:vAlign w:val="center"/>
            <w:hideMark/>
          </w:tcPr>
          <w:p w14:paraId="6EBD950F" w14:textId="1490E2FA" w:rsidR="0069748A" w:rsidRPr="00095A36" w:rsidRDefault="0069748A" w:rsidP="002E3784">
            <w:pPr>
              <w:jc w:val="center"/>
              <w:rPr>
                <w:rFonts w:ascii="Arial" w:hAnsi="Arial" w:cs="Arial"/>
                <w:lang w:val="en-ID"/>
              </w:rPr>
            </w:pPr>
            <w:r w:rsidRPr="00095A36">
              <w:rPr>
                <w:rFonts w:ascii="Arial" w:hAnsi="Arial" w:cs="Arial"/>
                <w:color w:val="000000"/>
                <w:lang w:val="en-ID"/>
              </w:rPr>
              <w:t>1 = Strongly Disagree</w:t>
            </w:r>
          </w:p>
        </w:tc>
        <w:tc>
          <w:tcPr>
            <w:tcW w:w="2076" w:type="dxa"/>
            <w:gridSpan w:val="2"/>
            <w:vMerge w:val="restart"/>
            <w:noWrap/>
            <w:vAlign w:val="center"/>
            <w:hideMark/>
          </w:tcPr>
          <w:p w14:paraId="01849246" w14:textId="77777777" w:rsidR="00E35EA2" w:rsidRPr="00095A36" w:rsidRDefault="00E35EA2" w:rsidP="002E3784">
            <w:pPr>
              <w:jc w:val="center"/>
              <w:rPr>
                <w:rFonts w:ascii="Arial" w:hAnsi="Arial" w:cs="Arial"/>
                <w:color w:val="000000"/>
                <w:lang w:val="en-ID"/>
              </w:rPr>
            </w:pPr>
          </w:p>
          <w:p w14:paraId="7A0C4A3F" w14:textId="026302F6" w:rsidR="00E35EA2" w:rsidRPr="00095A36" w:rsidRDefault="00E35EA2" w:rsidP="002E3784">
            <w:pPr>
              <w:jc w:val="center"/>
              <w:rPr>
                <w:rFonts w:ascii="Arial" w:hAnsi="Arial" w:cs="Arial"/>
                <w:color w:val="000000"/>
                <w:lang w:val="en-ID"/>
              </w:rPr>
            </w:pPr>
            <w:r w:rsidRPr="00095A36">
              <w:rPr>
                <w:rFonts w:ascii="Arial" w:hAnsi="Arial" w:cs="Arial"/>
                <w:color w:val="000000"/>
                <w:lang w:val="en-ID"/>
              </w:rPr>
              <w:fldChar w:fldCharType="begin" w:fldLock="1"/>
            </w:r>
            <w:r w:rsidRPr="00095A36">
              <w:rPr>
                <w:rFonts w:ascii="Arial" w:hAnsi="Arial" w:cs="Arial"/>
                <w:color w:val="000000"/>
                <w:lang w:val="en-ID"/>
              </w:rPr>
              <w:instrText>ADDIN CSL_CITATION {"citationItems":[{"id":"ITEM-1","itemData":{"DOI":"https://doi.org/10.1787/145f5607-en.","author":[{"dropping-particle":"","family":"OECD","given":"","non-dropping-particle":"","parse-names":false,"suffix":""}],"id":"ITEM-1","issued":{"date-parts":[["2020"]]},"publisher-place":"Paris","title":"OECD/INFE 2020 International Survey of Adult Financial Literacy","type":"report"},"uris":["http://www.mendeley.com/documents/?uuid=177f9b6d-58f8-3548-b842-78f7f3e9733d"]},{"id":"ITEM-2","itemData":{"author":[{"dropping-particle":"","family":"OJK","given":"","non-dropping-particle":"","parse-names":false,"suffix":""}],"id":"ITEM-2","issued":{"date-parts":[["2021","11","11"]]},"page":"1-5","publisher-place":"Jakarta","title":"Inilah Kebijakan Ojk Dorong Digitalisasi Di Sektor Keuangan","translator":[{"dropping-particle":"","family":"25","given":"","non-dropping-particle":"","parse-names":false,"suffix":""}],"type":"article-newspaper"},"uris":["http://www.mendeley.com/documents/?uuid=b3298655-f6bd-36ec-acab-49c1c3c6dbe9"]},{"id":"ITEM-3","itemData":{"DOI":"10.1257/jel.52.1.5","ISSN":"00220515","PMID":"28579637","abstract":"This paper undertakes an assessment of a rapidly growing body of economic research on financial literacy. We start with an overview of theoretical research, which casts financial knowledge as a form of investment in human capital. Endogenizing financial knowledge has important implications for welfare, as well as policies intended to enhance levels of financial knowledge in the larger population. Next, we draw on recent surveys to establish how much (or how little) people know and identify the least financially savvy population subgroups. This is followed by an examination of the impact of financial literacy on economic decision making in the United States and elsewhere. While the literature is still young, conclusions may be drawn about the effects and consequences of financial illiteracy and what works to remedy these gaps. A final section offers thoughts on what remains to be learned if researchers are to better inform theoretical and empirical models as well as public policy.","author":[{"dropping-particle":"","family":"Lusardi","given":"Annamaria","non-dropping-particle":"","parse-names":false,"suffix":""},{"dropping-particle":"","family":"Mitchell","given":"Olivia S.","non-dropping-particle":"","parse-names":false,"suffix":""}],"container-title":"Journal of Economic Literature","id":"ITEM-3","issue":"1","issued":{"date-parts":[["2014"]]},"page":"5-44","publisher":"American Economic Association","title":"The economic importance of financial literacy: Theory and evidence","type":"article-journal","volume":"52"},"uris":["http://www.mendeley.com/documents/?uuid=7550ae50-27bb-35a7-9453-2b788d2606d3"]}],"mendeley":{"formattedCitation":"(Lusardi &amp; Mitchell, 2014; OECD, 2020; OJK, 2021)","plainTextFormattedCitation":"(Lusardi &amp; Mitchell, 2014; OECD, 2020; OJK, 2021)","previouslyFormattedCitation":"(Lusardi &amp; Mitchell, 2014; OECD, 2020; OJK, 2021)"},"properties":{"noteIndex":0},"schema":"https://github.com/citation-style-language/schema/raw/master/csl-citation.json"}</w:instrText>
            </w:r>
            <w:r w:rsidRPr="00095A36">
              <w:rPr>
                <w:rFonts w:ascii="Arial" w:hAnsi="Arial" w:cs="Arial"/>
                <w:color w:val="000000"/>
                <w:lang w:val="en-ID"/>
              </w:rPr>
              <w:fldChar w:fldCharType="separate"/>
            </w:r>
            <w:r w:rsidRPr="00095A36">
              <w:rPr>
                <w:rFonts w:ascii="Arial" w:hAnsi="Arial" w:cs="Arial"/>
                <w:noProof/>
                <w:color w:val="000000"/>
                <w:lang w:val="en-ID"/>
              </w:rPr>
              <w:t>(Lusardi &amp; Mitchell, 2014; OECD, 2020; OJK, 2021)</w:t>
            </w:r>
            <w:r w:rsidRPr="00095A36">
              <w:rPr>
                <w:rFonts w:ascii="Arial" w:hAnsi="Arial" w:cs="Arial"/>
                <w:color w:val="000000"/>
                <w:lang w:val="en-ID"/>
              </w:rPr>
              <w:fldChar w:fldCharType="end"/>
            </w:r>
          </w:p>
        </w:tc>
      </w:tr>
      <w:tr w:rsidR="0069748A" w:rsidRPr="00095A36" w14:paraId="35B791BE" w14:textId="77777777" w:rsidTr="00DD7654">
        <w:trPr>
          <w:trHeight w:val="320"/>
          <w:jc w:val="center"/>
        </w:trPr>
        <w:tc>
          <w:tcPr>
            <w:tcW w:w="1094" w:type="dxa"/>
            <w:noWrap/>
            <w:vAlign w:val="center"/>
            <w:hideMark/>
          </w:tcPr>
          <w:p w14:paraId="60430DC3" w14:textId="5B9A1A84"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X2.2</w:t>
            </w:r>
          </w:p>
        </w:tc>
        <w:tc>
          <w:tcPr>
            <w:tcW w:w="3753" w:type="dxa"/>
            <w:noWrap/>
            <w:vAlign w:val="center"/>
            <w:hideMark/>
          </w:tcPr>
          <w:p w14:paraId="0773CA1C" w14:textId="672A2CC0"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am able to utilize digital financial features (transfers, QRIS, transaction reports) with ease.</w:t>
            </w:r>
          </w:p>
        </w:tc>
        <w:tc>
          <w:tcPr>
            <w:tcW w:w="1953" w:type="dxa"/>
            <w:noWrap/>
            <w:vAlign w:val="center"/>
            <w:hideMark/>
          </w:tcPr>
          <w:p w14:paraId="001D469A" w14:textId="2BB28C0E"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2 = Disagree</w:t>
            </w:r>
          </w:p>
        </w:tc>
        <w:tc>
          <w:tcPr>
            <w:tcW w:w="2076" w:type="dxa"/>
            <w:gridSpan w:val="2"/>
            <w:vMerge/>
            <w:vAlign w:val="center"/>
            <w:hideMark/>
          </w:tcPr>
          <w:p w14:paraId="7E2A3EC9" w14:textId="77777777" w:rsidR="0069748A" w:rsidRPr="00095A36" w:rsidRDefault="0069748A" w:rsidP="002E3784">
            <w:pPr>
              <w:jc w:val="center"/>
              <w:rPr>
                <w:rFonts w:ascii="Arial" w:hAnsi="Arial" w:cs="Arial"/>
                <w:color w:val="000000"/>
                <w:lang w:val="en-ID"/>
              </w:rPr>
            </w:pPr>
          </w:p>
        </w:tc>
      </w:tr>
      <w:tr w:rsidR="0069748A" w:rsidRPr="00095A36" w14:paraId="259B6273" w14:textId="77777777" w:rsidTr="00DD7654">
        <w:trPr>
          <w:trHeight w:val="320"/>
          <w:jc w:val="center"/>
        </w:trPr>
        <w:tc>
          <w:tcPr>
            <w:tcW w:w="1094" w:type="dxa"/>
            <w:noWrap/>
            <w:vAlign w:val="center"/>
            <w:hideMark/>
          </w:tcPr>
          <w:p w14:paraId="5E5EFD50" w14:textId="1F5A8BAC"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X2.3</w:t>
            </w:r>
          </w:p>
        </w:tc>
        <w:tc>
          <w:tcPr>
            <w:tcW w:w="3753" w:type="dxa"/>
            <w:noWrap/>
            <w:vAlign w:val="center"/>
            <w:hideMark/>
          </w:tcPr>
          <w:p w14:paraId="7D28D75A" w14:textId="5EA32FD1"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understand the importance of verifying the legality of financial applications prior to use.</w:t>
            </w:r>
          </w:p>
        </w:tc>
        <w:tc>
          <w:tcPr>
            <w:tcW w:w="1953" w:type="dxa"/>
            <w:noWrap/>
            <w:vAlign w:val="center"/>
            <w:hideMark/>
          </w:tcPr>
          <w:p w14:paraId="22DA8A1D" w14:textId="3A6CBEE9"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3 = Neutral</w:t>
            </w:r>
          </w:p>
        </w:tc>
        <w:tc>
          <w:tcPr>
            <w:tcW w:w="2076" w:type="dxa"/>
            <w:gridSpan w:val="2"/>
            <w:vMerge/>
            <w:vAlign w:val="center"/>
            <w:hideMark/>
          </w:tcPr>
          <w:p w14:paraId="34F13C19" w14:textId="77777777" w:rsidR="0069748A" w:rsidRPr="00095A36" w:rsidRDefault="0069748A" w:rsidP="002E3784">
            <w:pPr>
              <w:jc w:val="center"/>
              <w:rPr>
                <w:rFonts w:ascii="Arial" w:hAnsi="Arial" w:cs="Arial"/>
                <w:color w:val="000000"/>
                <w:lang w:val="en-ID"/>
              </w:rPr>
            </w:pPr>
          </w:p>
        </w:tc>
      </w:tr>
      <w:tr w:rsidR="0069748A" w:rsidRPr="00095A36" w14:paraId="7B8F1393" w14:textId="77777777" w:rsidTr="00DD7654">
        <w:trPr>
          <w:trHeight w:val="320"/>
          <w:jc w:val="center"/>
        </w:trPr>
        <w:tc>
          <w:tcPr>
            <w:tcW w:w="1094" w:type="dxa"/>
            <w:noWrap/>
            <w:vAlign w:val="center"/>
            <w:hideMark/>
          </w:tcPr>
          <w:p w14:paraId="551CA7AC" w14:textId="621CEEDB"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X2.4</w:t>
            </w:r>
          </w:p>
        </w:tc>
        <w:tc>
          <w:tcPr>
            <w:tcW w:w="3753" w:type="dxa"/>
            <w:noWrap/>
            <w:vAlign w:val="center"/>
            <w:hideMark/>
          </w:tcPr>
          <w:p w14:paraId="47595FC7" w14:textId="3A650200"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always maintain the confidentiality of my PIN or passwords for digital financial services.</w:t>
            </w:r>
          </w:p>
        </w:tc>
        <w:tc>
          <w:tcPr>
            <w:tcW w:w="1953" w:type="dxa"/>
            <w:noWrap/>
            <w:vAlign w:val="center"/>
            <w:hideMark/>
          </w:tcPr>
          <w:p w14:paraId="4ABC3D85" w14:textId="7B921037"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4 = Agree</w:t>
            </w:r>
          </w:p>
        </w:tc>
        <w:tc>
          <w:tcPr>
            <w:tcW w:w="2076" w:type="dxa"/>
            <w:gridSpan w:val="2"/>
            <w:vMerge/>
            <w:vAlign w:val="center"/>
            <w:hideMark/>
          </w:tcPr>
          <w:p w14:paraId="3290E432" w14:textId="77777777" w:rsidR="0069748A" w:rsidRPr="00095A36" w:rsidRDefault="0069748A" w:rsidP="002E3784">
            <w:pPr>
              <w:jc w:val="center"/>
              <w:rPr>
                <w:rFonts w:ascii="Arial" w:hAnsi="Arial" w:cs="Arial"/>
                <w:color w:val="000000"/>
                <w:lang w:val="en-ID"/>
              </w:rPr>
            </w:pPr>
          </w:p>
        </w:tc>
      </w:tr>
      <w:tr w:rsidR="0069748A" w:rsidRPr="00095A36" w14:paraId="5CAD3A6E" w14:textId="77777777" w:rsidTr="00DD7654">
        <w:trPr>
          <w:trHeight w:val="583"/>
          <w:jc w:val="center"/>
        </w:trPr>
        <w:tc>
          <w:tcPr>
            <w:tcW w:w="1094" w:type="dxa"/>
            <w:noWrap/>
            <w:vAlign w:val="center"/>
            <w:hideMark/>
          </w:tcPr>
          <w:p w14:paraId="3AEEDE32" w14:textId="408034A8"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X2.5</w:t>
            </w:r>
          </w:p>
        </w:tc>
        <w:tc>
          <w:tcPr>
            <w:tcW w:w="3753" w:type="dxa"/>
            <w:noWrap/>
            <w:vAlign w:val="center"/>
            <w:hideMark/>
          </w:tcPr>
          <w:p w14:paraId="78CEFE4D" w14:textId="3525B0B8"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am capable of selecting digital financial services that align with my business needs.</w:t>
            </w:r>
          </w:p>
        </w:tc>
        <w:tc>
          <w:tcPr>
            <w:tcW w:w="1953" w:type="dxa"/>
            <w:noWrap/>
            <w:vAlign w:val="center"/>
            <w:hideMark/>
          </w:tcPr>
          <w:p w14:paraId="37FEBD85" w14:textId="65BFE456"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5 = Strongly Agree</w:t>
            </w:r>
          </w:p>
        </w:tc>
        <w:tc>
          <w:tcPr>
            <w:tcW w:w="2076" w:type="dxa"/>
            <w:gridSpan w:val="2"/>
            <w:vMerge/>
            <w:vAlign w:val="center"/>
            <w:hideMark/>
          </w:tcPr>
          <w:p w14:paraId="42B96039" w14:textId="77777777" w:rsidR="0069748A" w:rsidRPr="00095A36" w:rsidRDefault="0069748A" w:rsidP="002E3784">
            <w:pPr>
              <w:jc w:val="center"/>
              <w:rPr>
                <w:rFonts w:ascii="Arial" w:hAnsi="Arial" w:cs="Arial"/>
                <w:color w:val="000000"/>
                <w:lang w:val="en-ID"/>
              </w:rPr>
            </w:pPr>
          </w:p>
        </w:tc>
      </w:tr>
      <w:tr w:rsidR="00E35EA2" w:rsidRPr="00095A36" w14:paraId="19146DF8" w14:textId="77777777" w:rsidTr="00944EBA">
        <w:trPr>
          <w:trHeight w:val="295"/>
          <w:jc w:val="center"/>
        </w:trPr>
        <w:tc>
          <w:tcPr>
            <w:tcW w:w="6800" w:type="dxa"/>
            <w:gridSpan w:val="3"/>
            <w:noWrap/>
            <w:vAlign w:val="center"/>
          </w:tcPr>
          <w:p w14:paraId="6D335378" w14:textId="3A005AD6" w:rsidR="00E35EA2" w:rsidRPr="00095A36" w:rsidRDefault="00E35EA2" w:rsidP="002E3784">
            <w:pPr>
              <w:rPr>
                <w:rFonts w:ascii="Arial" w:hAnsi="Arial" w:cs="Arial"/>
                <w:color w:val="000000"/>
                <w:lang w:val="en-ID"/>
              </w:rPr>
            </w:pPr>
            <w:r w:rsidRPr="00095A36">
              <w:rPr>
                <w:rFonts w:ascii="Arial" w:hAnsi="Arial" w:cs="Arial"/>
                <w:b/>
                <w:bCs/>
                <w:color w:val="000000"/>
                <w:lang w:val="en-ID"/>
              </w:rPr>
              <w:t>Variable Y: Digital Financial Inclusion</w:t>
            </w:r>
          </w:p>
        </w:tc>
        <w:tc>
          <w:tcPr>
            <w:tcW w:w="2076" w:type="dxa"/>
            <w:gridSpan w:val="2"/>
            <w:vAlign w:val="center"/>
          </w:tcPr>
          <w:p w14:paraId="651606EC" w14:textId="77777777" w:rsidR="00E35EA2" w:rsidRPr="00095A36" w:rsidRDefault="00E35EA2" w:rsidP="002E3784">
            <w:pPr>
              <w:jc w:val="center"/>
              <w:rPr>
                <w:rFonts w:ascii="Arial" w:hAnsi="Arial" w:cs="Arial"/>
                <w:color w:val="000000"/>
                <w:lang w:val="en-ID"/>
              </w:rPr>
            </w:pPr>
          </w:p>
        </w:tc>
      </w:tr>
      <w:tr w:rsidR="0069748A" w:rsidRPr="00095A36" w14:paraId="6D85E18B" w14:textId="77777777" w:rsidTr="00DD7654">
        <w:trPr>
          <w:trHeight w:val="320"/>
          <w:jc w:val="center"/>
        </w:trPr>
        <w:tc>
          <w:tcPr>
            <w:tcW w:w="1094" w:type="dxa"/>
            <w:noWrap/>
            <w:vAlign w:val="center"/>
            <w:hideMark/>
          </w:tcPr>
          <w:p w14:paraId="797233CC" w14:textId="3726F530" w:rsidR="0069748A" w:rsidRPr="00095A36" w:rsidRDefault="0069748A" w:rsidP="002E3784">
            <w:pPr>
              <w:jc w:val="center"/>
              <w:rPr>
                <w:rFonts w:ascii="Arial" w:hAnsi="Arial" w:cs="Arial"/>
                <w:color w:val="EE0000"/>
                <w:lang w:val="en-ID"/>
              </w:rPr>
            </w:pPr>
            <w:r w:rsidRPr="00095A36">
              <w:rPr>
                <w:rFonts w:ascii="Arial" w:hAnsi="Arial" w:cs="Arial"/>
                <w:color w:val="000000"/>
                <w:lang w:val="en-ID"/>
              </w:rPr>
              <w:t>Y1</w:t>
            </w:r>
          </w:p>
        </w:tc>
        <w:tc>
          <w:tcPr>
            <w:tcW w:w="3753" w:type="dxa"/>
            <w:noWrap/>
            <w:vAlign w:val="center"/>
            <w:hideMark/>
          </w:tcPr>
          <w:p w14:paraId="2D3A00BD" w14:textId="47F72044" w:rsidR="0069748A" w:rsidRPr="00095A36" w:rsidRDefault="0069748A" w:rsidP="002E3784">
            <w:pPr>
              <w:jc w:val="center"/>
              <w:rPr>
                <w:rFonts w:ascii="Arial" w:hAnsi="Arial" w:cs="Arial"/>
                <w:color w:val="EE0000"/>
                <w:lang w:val="en-ID"/>
              </w:rPr>
            </w:pPr>
            <w:r w:rsidRPr="00095A36">
              <w:rPr>
                <w:rFonts w:ascii="Arial" w:hAnsi="Arial" w:cs="Arial"/>
                <w:color w:val="000000"/>
                <w:lang w:val="en-ID"/>
              </w:rPr>
              <w:t>I find it easy to register for and use digital financial applications.</w:t>
            </w:r>
          </w:p>
        </w:tc>
        <w:tc>
          <w:tcPr>
            <w:tcW w:w="1953" w:type="dxa"/>
            <w:noWrap/>
            <w:vAlign w:val="center"/>
            <w:hideMark/>
          </w:tcPr>
          <w:p w14:paraId="253B0E3B" w14:textId="7141BB1E"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1 = Strongly Disagree</w:t>
            </w:r>
          </w:p>
        </w:tc>
        <w:tc>
          <w:tcPr>
            <w:tcW w:w="2076" w:type="dxa"/>
            <w:gridSpan w:val="2"/>
            <w:vMerge w:val="restart"/>
            <w:noWrap/>
            <w:vAlign w:val="center"/>
            <w:hideMark/>
          </w:tcPr>
          <w:p w14:paraId="2C517BD4" w14:textId="77777777" w:rsidR="00E35EA2" w:rsidRPr="00095A36" w:rsidRDefault="00E35EA2" w:rsidP="002E3784">
            <w:pPr>
              <w:jc w:val="center"/>
              <w:rPr>
                <w:rFonts w:ascii="Arial" w:hAnsi="Arial" w:cs="Arial"/>
                <w:noProof/>
                <w:color w:val="000000"/>
                <w:lang w:val="en-ID"/>
              </w:rPr>
            </w:pPr>
          </w:p>
          <w:p w14:paraId="659DB06B" w14:textId="0F081C84" w:rsidR="00E35EA2" w:rsidRPr="00095A36" w:rsidRDefault="00E35EA2" w:rsidP="002E3784">
            <w:pPr>
              <w:jc w:val="center"/>
              <w:rPr>
                <w:rFonts w:ascii="Arial" w:hAnsi="Arial" w:cs="Arial"/>
                <w:color w:val="000000"/>
                <w:lang w:val="en-ID"/>
              </w:rPr>
            </w:pPr>
            <w:r w:rsidRPr="00095A36">
              <w:rPr>
                <w:rFonts w:ascii="Arial" w:hAnsi="Arial" w:cs="Arial"/>
                <w:color w:val="000000"/>
                <w:lang w:val="en-ID"/>
              </w:rPr>
              <w:fldChar w:fldCharType="begin" w:fldLock="1"/>
            </w:r>
            <w:r w:rsidR="00315121">
              <w:rPr>
                <w:rFonts w:ascii="Arial" w:hAnsi="Arial" w:cs="Arial"/>
                <w:color w:val="000000"/>
                <w:lang w:val="en-ID"/>
              </w:rPr>
              <w:instrText>ADDIN CSL_CITATION {"citationItems":[{"id":"ITEM-1","itemData":{"author":[{"dropping-particle":"","family":"OJK","given":"","non-dropping-particle":"","parse-names":false,"suffix":""}],"id":"ITEM-1","issued":{"date-parts":[["2021","11","11"]]},"page":"1-5","publisher-place":"Jakarta","title":"Inilah Kebijakan Ojk Dorong Digitalisasi Di Sektor Keuangan","translator":[{"dropping-particle":"","family":"25","given":"","non-dropping-particle":"","parse-names":false,"suffix":""}],"type":"article-newspaper"},"uris":["http://www.mendeley.com/documents/?uuid=b3298655-f6bd-36ec-acab-49c1c3c6dbe9"]},{"id":"ITEM-2","itemData":{"author":[{"dropping-particle":"","family":"World Bank","given":"","non-dropping-particle":"","parse-names":false,"suffix":""}],"container-title":"Independent Evaluation Group (Ieg)","id":"ITEM-2","issued":{"date-parts":[["2022"]]},"title":"Universal Digital Inclusion and Usage","type":"article-journal","volume":"1"},"uris":["http://www.mendeley.com/documents/?uuid=6f5ca88a-d363-4f1d-8906-472403dab677"]}],"mendeley":{"formattedCitation":"(OJK, 2021; World Bank, 2022)","plainTextFormattedCitation":"(OJK, 2021; World Bank, 2022)","previouslyFormattedCitation":"(OJK, 2021; World Bank, 2022)"},"properties":{"noteIndex":0},"schema":"https://github.com/citation-style-language/schema/raw/master/csl-citation.json"}</w:instrText>
            </w:r>
            <w:r w:rsidRPr="00095A36">
              <w:rPr>
                <w:rFonts w:ascii="Arial" w:hAnsi="Arial" w:cs="Arial"/>
                <w:color w:val="000000"/>
                <w:lang w:val="en-ID"/>
              </w:rPr>
              <w:fldChar w:fldCharType="separate"/>
            </w:r>
            <w:r w:rsidRPr="00095A36">
              <w:rPr>
                <w:rFonts w:ascii="Arial" w:hAnsi="Arial" w:cs="Arial"/>
                <w:noProof/>
                <w:color w:val="000000"/>
                <w:lang w:val="en-ID"/>
              </w:rPr>
              <w:t>(OJK, 2021; World Bank, 2022)</w:t>
            </w:r>
            <w:r w:rsidRPr="00095A36">
              <w:rPr>
                <w:rFonts w:ascii="Arial" w:hAnsi="Arial" w:cs="Arial"/>
                <w:color w:val="000000"/>
                <w:lang w:val="en-ID"/>
              </w:rPr>
              <w:fldChar w:fldCharType="end"/>
            </w:r>
          </w:p>
        </w:tc>
      </w:tr>
      <w:tr w:rsidR="0069748A" w:rsidRPr="00095A36" w14:paraId="75C96EF8" w14:textId="77777777" w:rsidTr="00DD7654">
        <w:trPr>
          <w:trHeight w:val="320"/>
          <w:jc w:val="center"/>
        </w:trPr>
        <w:tc>
          <w:tcPr>
            <w:tcW w:w="1094" w:type="dxa"/>
            <w:noWrap/>
            <w:vAlign w:val="center"/>
            <w:hideMark/>
          </w:tcPr>
          <w:p w14:paraId="442A882F" w14:textId="2FEF7BD4"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Y2</w:t>
            </w:r>
          </w:p>
        </w:tc>
        <w:tc>
          <w:tcPr>
            <w:tcW w:w="3753" w:type="dxa"/>
            <w:noWrap/>
            <w:vAlign w:val="center"/>
            <w:hideMark/>
          </w:tcPr>
          <w:p w14:paraId="2EB74220" w14:textId="4BBF897E"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regularly use digital financial services for business activities (transactions, payments, etc.).</w:t>
            </w:r>
          </w:p>
        </w:tc>
        <w:tc>
          <w:tcPr>
            <w:tcW w:w="1953" w:type="dxa"/>
            <w:noWrap/>
            <w:vAlign w:val="center"/>
            <w:hideMark/>
          </w:tcPr>
          <w:p w14:paraId="4770914D" w14:textId="7E44B767"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2 = Disagree</w:t>
            </w:r>
          </w:p>
        </w:tc>
        <w:tc>
          <w:tcPr>
            <w:tcW w:w="2076" w:type="dxa"/>
            <w:gridSpan w:val="2"/>
            <w:vMerge/>
            <w:vAlign w:val="center"/>
            <w:hideMark/>
          </w:tcPr>
          <w:p w14:paraId="44832258" w14:textId="77777777" w:rsidR="0069748A" w:rsidRPr="00095A36" w:rsidRDefault="0069748A" w:rsidP="002E3784">
            <w:pPr>
              <w:jc w:val="center"/>
              <w:rPr>
                <w:rFonts w:ascii="Arial" w:hAnsi="Arial" w:cs="Arial"/>
                <w:color w:val="000000"/>
                <w:lang w:val="en-ID"/>
              </w:rPr>
            </w:pPr>
          </w:p>
        </w:tc>
      </w:tr>
      <w:tr w:rsidR="0069748A" w:rsidRPr="00095A36" w14:paraId="5A9CA0E7" w14:textId="77777777" w:rsidTr="00DD7654">
        <w:trPr>
          <w:trHeight w:val="320"/>
          <w:jc w:val="center"/>
        </w:trPr>
        <w:tc>
          <w:tcPr>
            <w:tcW w:w="1094" w:type="dxa"/>
            <w:noWrap/>
            <w:vAlign w:val="center"/>
            <w:hideMark/>
          </w:tcPr>
          <w:p w14:paraId="4BB31A9A" w14:textId="475331E9"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Y3</w:t>
            </w:r>
          </w:p>
        </w:tc>
        <w:tc>
          <w:tcPr>
            <w:tcW w:w="3753" w:type="dxa"/>
            <w:noWrap/>
            <w:vAlign w:val="center"/>
            <w:hideMark/>
          </w:tcPr>
          <w:p w14:paraId="31105F30" w14:textId="0BB16380"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I utilize digital financial services for various purposes (payments, savings, loans).</w:t>
            </w:r>
          </w:p>
        </w:tc>
        <w:tc>
          <w:tcPr>
            <w:tcW w:w="1953" w:type="dxa"/>
            <w:noWrap/>
            <w:vAlign w:val="center"/>
            <w:hideMark/>
          </w:tcPr>
          <w:p w14:paraId="5C2074B9" w14:textId="15AB56BC"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3 = Neutral</w:t>
            </w:r>
          </w:p>
        </w:tc>
        <w:tc>
          <w:tcPr>
            <w:tcW w:w="2076" w:type="dxa"/>
            <w:gridSpan w:val="2"/>
            <w:vMerge/>
            <w:vAlign w:val="center"/>
            <w:hideMark/>
          </w:tcPr>
          <w:p w14:paraId="642AD790" w14:textId="77777777" w:rsidR="0069748A" w:rsidRPr="00095A36" w:rsidRDefault="0069748A" w:rsidP="002E3784">
            <w:pPr>
              <w:jc w:val="center"/>
              <w:rPr>
                <w:rFonts w:ascii="Arial" w:hAnsi="Arial" w:cs="Arial"/>
                <w:color w:val="000000"/>
                <w:lang w:val="en-ID"/>
              </w:rPr>
            </w:pPr>
          </w:p>
        </w:tc>
      </w:tr>
      <w:tr w:rsidR="0069748A" w:rsidRPr="00095A36" w14:paraId="7B226B73" w14:textId="77777777" w:rsidTr="00DD7654">
        <w:trPr>
          <w:trHeight w:val="320"/>
          <w:jc w:val="center"/>
        </w:trPr>
        <w:tc>
          <w:tcPr>
            <w:tcW w:w="1094" w:type="dxa"/>
            <w:noWrap/>
            <w:vAlign w:val="center"/>
            <w:hideMark/>
          </w:tcPr>
          <w:p w14:paraId="45D5A5D8" w14:textId="3314BA49"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Y4</w:t>
            </w:r>
          </w:p>
        </w:tc>
        <w:tc>
          <w:tcPr>
            <w:tcW w:w="3753" w:type="dxa"/>
            <w:noWrap/>
            <w:vAlign w:val="center"/>
            <w:hideMark/>
          </w:tcPr>
          <w:p w14:paraId="304826D6" w14:textId="285BD238"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Digital financial applications possess interfaces and features that are easy to comprehend.</w:t>
            </w:r>
          </w:p>
        </w:tc>
        <w:tc>
          <w:tcPr>
            <w:tcW w:w="1953" w:type="dxa"/>
            <w:noWrap/>
            <w:vAlign w:val="center"/>
            <w:hideMark/>
          </w:tcPr>
          <w:p w14:paraId="5B06B1A3" w14:textId="37781736"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4 = Agree</w:t>
            </w:r>
          </w:p>
        </w:tc>
        <w:tc>
          <w:tcPr>
            <w:tcW w:w="2076" w:type="dxa"/>
            <w:gridSpan w:val="2"/>
            <w:vMerge/>
            <w:vAlign w:val="center"/>
            <w:hideMark/>
          </w:tcPr>
          <w:p w14:paraId="2AD9A883" w14:textId="77777777" w:rsidR="0069748A" w:rsidRPr="00095A36" w:rsidRDefault="0069748A" w:rsidP="002E3784">
            <w:pPr>
              <w:jc w:val="center"/>
              <w:rPr>
                <w:rFonts w:ascii="Arial" w:hAnsi="Arial" w:cs="Arial"/>
                <w:color w:val="000000"/>
                <w:lang w:val="en-ID"/>
              </w:rPr>
            </w:pPr>
          </w:p>
        </w:tc>
      </w:tr>
      <w:tr w:rsidR="0069748A" w:rsidRPr="00095A36" w14:paraId="660B31AB" w14:textId="77777777" w:rsidTr="00DD7654">
        <w:trPr>
          <w:trHeight w:val="320"/>
          <w:jc w:val="center"/>
        </w:trPr>
        <w:tc>
          <w:tcPr>
            <w:tcW w:w="1094" w:type="dxa"/>
            <w:noWrap/>
            <w:vAlign w:val="center"/>
            <w:hideMark/>
          </w:tcPr>
          <w:p w14:paraId="72810E04" w14:textId="3CAEF7F6"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Y5</w:t>
            </w:r>
          </w:p>
        </w:tc>
        <w:tc>
          <w:tcPr>
            <w:tcW w:w="3753" w:type="dxa"/>
            <w:noWrap/>
            <w:vAlign w:val="center"/>
            <w:hideMark/>
          </w:tcPr>
          <w:p w14:paraId="5C03973A" w14:textId="75518C38"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The use of digital financial services assists me in recording business finances more effectively.</w:t>
            </w:r>
          </w:p>
        </w:tc>
        <w:tc>
          <w:tcPr>
            <w:tcW w:w="1953" w:type="dxa"/>
            <w:noWrap/>
            <w:vAlign w:val="center"/>
            <w:hideMark/>
          </w:tcPr>
          <w:p w14:paraId="10CD7BF1" w14:textId="6DF2C898" w:rsidR="0069748A" w:rsidRPr="00095A36" w:rsidRDefault="0069748A" w:rsidP="002E3784">
            <w:pPr>
              <w:jc w:val="center"/>
              <w:rPr>
                <w:rFonts w:ascii="Arial" w:hAnsi="Arial" w:cs="Arial"/>
                <w:color w:val="000000"/>
                <w:lang w:val="en-ID"/>
              </w:rPr>
            </w:pPr>
            <w:r w:rsidRPr="00095A36">
              <w:rPr>
                <w:rFonts w:ascii="Arial" w:hAnsi="Arial" w:cs="Arial"/>
                <w:color w:val="000000"/>
                <w:lang w:val="en-ID"/>
              </w:rPr>
              <w:t>5 = Strongly Agree</w:t>
            </w:r>
          </w:p>
        </w:tc>
        <w:tc>
          <w:tcPr>
            <w:tcW w:w="2076" w:type="dxa"/>
            <w:gridSpan w:val="2"/>
            <w:vMerge/>
            <w:vAlign w:val="center"/>
            <w:hideMark/>
          </w:tcPr>
          <w:p w14:paraId="3618874C" w14:textId="77777777" w:rsidR="0069748A" w:rsidRPr="00095A36" w:rsidRDefault="0069748A" w:rsidP="002E3784">
            <w:pPr>
              <w:jc w:val="center"/>
              <w:rPr>
                <w:rFonts w:ascii="Arial" w:hAnsi="Arial" w:cs="Arial"/>
                <w:color w:val="000000"/>
                <w:lang w:val="en-ID"/>
              </w:rPr>
            </w:pPr>
          </w:p>
        </w:tc>
      </w:tr>
    </w:tbl>
    <w:p w14:paraId="3023EFA8" w14:textId="578EA2C8" w:rsidR="004B33A0" w:rsidRPr="00095A36" w:rsidRDefault="004B33A0" w:rsidP="002E3784">
      <w:pPr>
        <w:pStyle w:val="Body"/>
        <w:spacing w:after="0"/>
        <w:rPr>
          <w:rFonts w:ascii="Arial" w:hAnsi="Arial" w:cs="Arial"/>
        </w:rPr>
      </w:pPr>
    </w:p>
    <w:p w14:paraId="2B0F2E59" w14:textId="77777777" w:rsidR="00BF0F70" w:rsidRPr="00095A36" w:rsidRDefault="00BF0F70" w:rsidP="002E3784">
      <w:pPr>
        <w:pStyle w:val="Body"/>
        <w:spacing w:after="0"/>
        <w:rPr>
          <w:rFonts w:ascii="Arial" w:hAnsi="Arial" w:cs="Arial"/>
        </w:rPr>
      </w:pPr>
    </w:p>
    <w:p w14:paraId="24CF316C" w14:textId="3758709A" w:rsidR="00BF0F70" w:rsidRPr="00095A36" w:rsidRDefault="00BF0F70" w:rsidP="002E3784">
      <w:pPr>
        <w:pStyle w:val="Body"/>
        <w:spacing w:after="0"/>
        <w:rPr>
          <w:rFonts w:ascii="Arial" w:hAnsi="Arial" w:cs="Arial"/>
          <w:b/>
          <w:caps/>
          <w:sz w:val="22"/>
        </w:rPr>
      </w:pPr>
      <w:r w:rsidRPr="00095A36">
        <w:rPr>
          <w:rFonts w:ascii="Arial" w:hAnsi="Arial" w:cs="Arial"/>
          <w:b/>
          <w:caps/>
          <w:sz w:val="22"/>
        </w:rPr>
        <w:t xml:space="preserve">2.3 Data Analysis </w:t>
      </w:r>
    </w:p>
    <w:p w14:paraId="5DDD671C" w14:textId="77777777" w:rsidR="00990779" w:rsidRPr="00095A36" w:rsidRDefault="00990779" w:rsidP="002E3784">
      <w:pPr>
        <w:pStyle w:val="Body"/>
        <w:spacing w:after="0"/>
        <w:rPr>
          <w:rFonts w:ascii="Arial" w:hAnsi="Arial" w:cs="Arial"/>
          <w:b/>
          <w:caps/>
          <w:sz w:val="22"/>
        </w:rPr>
      </w:pPr>
    </w:p>
    <w:p w14:paraId="20107E15" w14:textId="5ECB325E" w:rsidR="00790ADA" w:rsidRPr="00095A36" w:rsidRDefault="00BF0F70" w:rsidP="002E3784">
      <w:pPr>
        <w:pStyle w:val="Body"/>
        <w:spacing w:after="0"/>
        <w:rPr>
          <w:rFonts w:ascii="Arial" w:hAnsi="Arial" w:cs="Arial"/>
        </w:rPr>
      </w:pPr>
      <w:r w:rsidRPr="00095A36">
        <w:rPr>
          <w:rFonts w:ascii="Arial" w:hAnsi="Arial" w:cs="Arial"/>
        </w:rPr>
        <w:lastRenderedPageBreak/>
        <w:t xml:space="preserve">Data analysis was conducted through Partial Least Square Structural Equation Modeling (PLS-SEM). The assessment included the Measurement Model, also known as the Outer Model, which aimed to verify Convergent Validity (Loading Factor exceeding 0.70, AVE surpassing </w:t>
      </w:r>
      <w:r w:rsidR="0029352C" w:rsidRPr="00095A36">
        <w:rPr>
          <w:rFonts w:ascii="Arial" w:hAnsi="Arial" w:cs="Arial"/>
        </w:rPr>
        <w:t>0.</w:t>
      </w:r>
      <w:r w:rsidRPr="00095A36">
        <w:rPr>
          <w:rFonts w:ascii="Arial" w:hAnsi="Arial" w:cs="Arial"/>
        </w:rPr>
        <w:t xml:space="preserve">50) and Discriminant Validity (HTMT below 0.70, Composite Reliability above </w:t>
      </w:r>
      <w:r w:rsidR="0029352C" w:rsidRPr="00095A36">
        <w:rPr>
          <w:rFonts w:ascii="Arial" w:hAnsi="Arial" w:cs="Arial"/>
        </w:rPr>
        <w:t>0.</w:t>
      </w:r>
      <w:r w:rsidRPr="00095A36">
        <w:rPr>
          <w:rFonts w:ascii="Arial" w:hAnsi="Arial" w:cs="Arial"/>
        </w:rPr>
        <w:t>70). Following that, the Structural Model, referred to as the Inner Model, was assessed by examining R-square, F-square, Q-Square, and testing hypotheses through Bootstrapping.</w:t>
      </w:r>
      <w:r w:rsidR="00AA74E0" w:rsidRPr="00095A36">
        <w:rPr>
          <w:rFonts w:ascii="Arial" w:hAnsi="Arial" w:cs="Arial"/>
          <w:color w:val="EE0000"/>
        </w:rPr>
        <w:t xml:space="preserve"> </w:t>
      </w:r>
    </w:p>
    <w:p w14:paraId="3B90F092" w14:textId="77777777" w:rsidR="00D27E78" w:rsidRPr="00095A36" w:rsidRDefault="00D27E78" w:rsidP="002E3784">
      <w:pPr>
        <w:pStyle w:val="Body"/>
        <w:spacing w:after="0"/>
        <w:rPr>
          <w:rFonts w:ascii="Arial" w:hAnsi="Arial" w:cs="Arial"/>
        </w:rPr>
      </w:pPr>
    </w:p>
    <w:p w14:paraId="40147F14" w14:textId="13234CAF" w:rsidR="00863BD3" w:rsidRPr="00095A36" w:rsidRDefault="00000F8F" w:rsidP="002E3784">
      <w:pPr>
        <w:pStyle w:val="Head1"/>
        <w:spacing w:after="0"/>
        <w:jc w:val="both"/>
        <w:rPr>
          <w:rFonts w:ascii="Arial" w:hAnsi="Arial" w:cs="Arial"/>
        </w:rPr>
      </w:pPr>
      <w:r w:rsidRPr="00095A36">
        <w:rPr>
          <w:rFonts w:ascii="Arial" w:hAnsi="Arial" w:cs="Arial"/>
        </w:rPr>
        <w:t>3</w:t>
      </w:r>
      <w:r w:rsidR="00902823" w:rsidRPr="00095A36">
        <w:rPr>
          <w:rFonts w:ascii="Arial" w:hAnsi="Arial" w:cs="Arial"/>
        </w:rPr>
        <w:t xml:space="preserve">. </w:t>
      </w:r>
      <w:r w:rsidRPr="00095A36">
        <w:rPr>
          <w:rFonts w:ascii="Arial" w:hAnsi="Arial" w:cs="Arial"/>
        </w:rPr>
        <w:t>results and discussion</w:t>
      </w:r>
    </w:p>
    <w:p w14:paraId="530E7B68" w14:textId="77777777" w:rsidR="001E5DE6" w:rsidRPr="00095A36" w:rsidRDefault="001E5DE6" w:rsidP="002E3784">
      <w:pPr>
        <w:pStyle w:val="Head1"/>
        <w:spacing w:after="0"/>
        <w:jc w:val="both"/>
        <w:rPr>
          <w:rFonts w:ascii="Arial" w:hAnsi="Arial" w:cs="Arial"/>
        </w:rPr>
      </w:pPr>
    </w:p>
    <w:p w14:paraId="2F9C50F5" w14:textId="41F29C93" w:rsidR="006B6E34" w:rsidRPr="00095A36" w:rsidRDefault="00C30A0F" w:rsidP="002E3784">
      <w:pPr>
        <w:pStyle w:val="Body"/>
        <w:spacing w:after="0"/>
        <w:rPr>
          <w:rFonts w:ascii="Arial" w:hAnsi="Arial" w:cs="Arial"/>
          <w:b/>
          <w:color w:val="000000" w:themeColor="text1"/>
          <w:sz w:val="22"/>
        </w:rPr>
      </w:pPr>
      <w:r w:rsidRPr="00095A36">
        <w:rPr>
          <w:rFonts w:ascii="Arial" w:hAnsi="Arial" w:cs="Arial"/>
          <w:b/>
          <w:caps/>
          <w:color w:val="000000" w:themeColor="text1"/>
          <w:sz w:val="22"/>
        </w:rPr>
        <w:t xml:space="preserve">3.1 </w:t>
      </w:r>
      <w:r w:rsidR="002A21DD" w:rsidRPr="00095A36">
        <w:rPr>
          <w:rFonts w:ascii="Arial" w:hAnsi="Arial" w:cs="Arial"/>
          <w:b/>
          <w:color w:val="000000" w:themeColor="text1"/>
          <w:sz w:val="22"/>
        </w:rPr>
        <w:t>Demographic Profile</w:t>
      </w:r>
    </w:p>
    <w:p w14:paraId="2687E938" w14:textId="77777777" w:rsidR="00C27344" w:rsidRPr="00095A36" w:rsidRDefault="00C27344" w:rsidP="002E3784">
      <w:pPr>
        <w:pStyle w:val="Body"/>
        <w:spacing w:after="0"/>
        <w:rPr>
          <w:rFonts w:ascii="Arial" w:hAnsi="Arial" w:cs="Arial"/>
          <w:color w:val="000000" w:themeColor="text1"/>
        </w:rPr>
      </w:pPr>
    </w:p>
    <w:p w14:paraId="5101893B" w14:textId="439F96F0" w:rsidR="00932929" w:rsidRPr="00095A36" w:rsidRDefault="00814835" w:rsidP="002E3784">
      <w:pPr>
        <w:pStyle w:val="Body"/>
        <w:rPr>
          <w:rFonts w:ascii="Arial" w:hAnsi="Arial" w:cs="Arial"/>
          <w:color w:val="000000" w:themeColor="text1"/>
        </w:rPr>
      </w:pPr>
      <w:r w:rsidRPr="00095A36">
        <w:rPr>
          <w:rFonts w:ascii="Arial" w:hAnsi="Arial" w:cs="Arial"/>
          <w:color w:val="000000" w:themeColor="text1"/>
        </w:rPr>
        <w:t>The research involved 385 participants from the MSME</w:t>
      </w:r>
      <w:r w:rsidR="006D01A3" w:rsidRPr="00095A36">
        <w:rPr>
          <w:rFonts w:ascii="Arial" w:hAnsi="Arial" w:cs="Arial"/>
          <w:color w:val="000000" w:themeColor="text1"/>
        </w:rPr>
        <w:t>s</w:t>
      </w:r>
      <w:r w:rsidRPr="00095A36">
        <w:rPr>
          <w:rFonts w:ascii="Arial" w:hAnsi="Arial" w:cs="Arial"/>
          <w:color w:val="000000" w:themeColor="text1"/>
        </w:rPr>
        <w:t xml:space="preserve"> sector in East Java. The demographic </w:t>
      </w:r>
      <w:r w:rsidR="00CB5252" w:rsidRPr="00095A36">
        <w:rPr>
          <w:rFonts w:ascii="Arial" w:hAnsi="Arial" w:cs="Arial"/>
          <w:color w:val="000000" w:themeColor="text1"/>
        </w:rPr>
        <w:t xml:space="preserve">information </w:t>
      </w:r>
      <w:r w:rsidR="00CB5252">
        <w:rPr>
          <w:rFonts w:ascii="Arial" w:hAnsi="Arial" w:cs="Arial"/>
          <w:color w:val="000000" w:themeColor="text1"/>
        </w:rPr>
        <w:t>shown in Table 2 reveals</w:t>
      </w:r>
      <w:r w:rsidR="00CB5252" w:rsidRPr="00095A36">
        <w:rPr>
          <w:rFonts w:ascii="Arial" w:hAnsi="Arial" w:cs="Arial"/>
          <w:color w:val="000000" w:themeColor="text1"/>
        </w:rPr>
        <w:t xml:space="preserve"> </w:t>
      </w:r>
      <w:r w:rsidRPr="00095A36">
        <w:rPr>
          <w:rFonts w:ascii="Arial" w:hAnsi="Arial" w:cs="Arial"/>
          <w:color w:val="000000" w:themeColor="text1"/>
        </w:rPr>
        <w:t>distribution of genders, with 51% of the participants being female and 49% male. This suggests that the MSME</w:t>
      </w:r>
      <w:r w:rsidR="006D01A3" w:rsidRPr="00095A36">
        <w:rPr>
          <w:rFonts w:ascii="Arial" w:hAnsi="Arial" w:cs="Arial"/>
          <w:color w:val="000000" w:themeColor="text1"/>
        </w:rPr>
        <w:t>s</w:t>
      </w:r>
      <w:r w:rsidRPr="00095A36">
        <w:rPr>
          <w:rFonts w:ascii="Arial" w:hAnsi="Arial" w:cs="Arial"/>
          <w:color w:val="000000" w:themeColor="text1"/>
        </w:rPr>
        <w:t xml:space="preserve"> sector in East Java is very inclusive and plays a crucial role in promoting economic empowerment for both genders. The age distribution highlights a strong presence of a productive young workforce</w:t>
      </w:r>
      <w:r w:rsidR="00AB1B97" w:rsidRPr="00095A36">
        <w:rPr>
          <w:rFonts w:ascii="Arial" w:hAnsi="Arial" w:cs="Arial"/>
          <w:color w:val="000000" w:themeColor="text1"/>
        </w:rPr>
        <w:t>,</w:t>
      </w:r>
      <w:r w:rsidRPr="00095A36">
        <w:rPr>
          <w:rFonts w:ascii="Arial" w:hAnsi="Arial" w:cs="Arial"/>
          <w:color w:val="000000" w:themeColor="text1"/>
        </w:rPr>
        <w:t xml:space="preserve"> most respondents fall within the age groups of 21–23 years (43%) and 24–26 years (28%), confirming that the participants are genuinely representative of Generation Z.</w:t>
      </w:r>
    </w:p>
    <w:p w14:paraId="2D71793C" w14:textId="3DDA3982" w:rsidR="00B85B81" w:rsidRPr="00095A36" w:rsidRDefault="00B85B81" w:rsidP="002E3784">
      <w:pPr>
        <w:pStyle w:val="Body"/>
        <w:rPr>
          <w:rFonts w:ascii="Arial" w:hAnsi="Arial" w:cs="Arial"/>
          <w:color w:val="000000" w:themeColor="text1"/>
        </w:rPr>
      </w:pPr>
      <w:r w:rsidRPr="00095A36">
        <w:rPr>
          <w:rFonts w:ascii="Arial" w:hAnsi="Arial" w:cs="Arial"/>
          <w:color w:val="000000" w:themeColor="text1"/>
        </w:rPr>
        <w:t>In relation to intellectual assets, the participants have a comparatively strong educational foundation. A notable share (42%) has obtained a Bachelor’s degree, and another 42% are graduates from high school or vocational programs. This educational makeup indicates a substantial capability for understanding and implementing new technologies. Concerning business development, most are in the initial growth phase, with 54% having been in operation for 1 to 3 years, and 29% having been active for over 3 years.</w:t>
      </w:r>
    </w:p>
    <w:p w14:paraId="668E8D2A" w14:textId="0F21D7D5" w:rsidR="00932929" w:rsidRPr="00095A36" w:rsidRDefault="00932929" w:rsidP="002E3784">
      <w:pPr>
        <w:pStyle w:val="Body"/>
        <w:spacing w:after="0"/>
        <w:jc w:val="center"/>
        <w:rPr>
          <w:rFonts w:ascii="Arial" w:hAnsi="Arial" w:cs="Arial"/>
          <w:b/>
          <w:color w:val="000000" w:themeColor="text1"/>
          <w:szCs w:val="16"/>
        </w:rPr>
      </w:pPr>
      <w:r w:rsidRPr="00095A36">
        <w:rPr>
          <w:rFonts w:ascii="Arial" w:hAnsi="Arial" w:cs="Arial"/>
          <w:b/>
          <w:color w:val="000000" w:themeColor="text1"/>
          <w:szCs w:val="16"/>
        </w:rPr>
        <w:t xml:space="preserve">Table </w:t>
      </w:r>
      <w:r w:rsidR="003D039F" w:rsidRPr="00095A36">
        <w:rPr>
          <w:rFonts w:ascii="Arial" w:hAnsi="Arial" w:cs="Arial"/>
          <w:b/>
          <w:color w:val="000000" w:themeColor="text1"/>
          <w:szCs w:val="16"/>
        </w:rPr>
        <w:t>2</w:t>
      </w:r>
      <w:r w:rsidRPr="00095A36">
        <w:rPr>
          <w:rFonts w:ascii="Arial" w:hAnsi="Arial" w:cs="Arial"/>
          <w:b/>
          <w:color w:val="000000" w:themeColor="text1"/>
          <w:szCs w:val="16"/>
        </w:rPr>
        <w:t>.</w:t>
      </w:r>
      <w:r w:rsidRPr="00095A36">
        <w:rPr>
          <w:rFonts w:ascii="Arial" w:hAnsi="Arial" w:cs="Arial"/>
          <w:color w:val="000000" w:themeColor="text1"/>
          <w:sz w:val="16"/>
          <w:szCs w:val="16"/>
        </w:rPr>
        <w:t xml:space="preserve"> </w:t>
      </w:r>
      <w:r w:rsidR="00E35EA2" w:rsidRPr="00095A36">
        <w:rPr>
          <w:rFonts w:ascii="Arial" w:hAnsi="Arial" w:cs="Arial"/>
          <w:b/>
          <w:color w:val="000000" w:themeColor="text1"/>
          <w:szCs w:val="16"/>
        </w:rPr>
        <w:t>Demograp</w:t>
      </w:r>
      <w:r w:rsidR="00972AE1" w:rsidRPr="00095A36">
        <w:rPr>
          <w:rFonts w:ascii="Arial" w:hAnsi="Arial" w:cs="Arial"/>
          <w:b/>
          <w:color w:val="000000" w:themeColor="text1"/>
          <w:szCs w:val="16"/>
        </w:rPr>
        <w:t>h</w:t>
      </w:r>
      <w:r w:rsidR="00E35EA2" w:rsidRPr="00095A36">
        <w:rPr>
          <w:rFonts w:ascii="Arial" w:hAnsi="Arial" w:cs="Arial"/>
          <w:b/>
          <w:color w:val="000000" w:themeColor="text1"/>
          <w:szCs w:val="16"/>
        </w:rPr>
        <w:t>ic</w:t>
      </w:r>
      <w:r w:rsidR="004A4751" w:rsidRPr="00095A36">
        <w:rPr>
          <w:rFonts w:ascii="Arial" w:hAnsi="Arial" w:cs="Arial"/>
          <w:b/>
          <w:color w:val="000000" w:themeColor="text1"/>
          <w:szCs w:val="16"/>
        </w:rPr>
        <w:t xml:space="preserve"> Profile</w:t>
      </w:r>
    </w:p>
    <w:p w14:paraId="71205CC9" w14:textId="77777777" w:rsidR="005E4C45" w:rsidRPr="00095A36" w:rsidRDefault="005E4C45" w:rsidP="002E3784">
      <w:pPr>
        <w:pStyle w:val="Body"/>
        <w:spacing w:after="0"/>
        <w:jc w:val="center"/>
        <w:rPr>
          <w:rFonts w:ascii="Arial" w:hAnsi="Arial" w:cs="Arial"/>
          <w:color w:val="000000" w:themeColor="text1"/>
          <w:sz w:val="16"/>
          <w:szCs w:val="16"/>
        </w:rPr>
      </w:pPr>
    </w:p>
    <w:tbl>
      <w:tblPr>
        <w:tblStyle w:val="TableGridLight"/>
        <w:tblW w:w="6442" w:type="dxa"/>
        <w:jc w:val="center"/>
        <w:tblLook w:val="04A0" w:firstRow="1" w:lastRow="0" w:firstColumn="1" w:lastColumn="0" w:noHBand="0" w:noVBand="1"/>
      </w:tblPr>
      <w:tblGrid>
        <w:gridCol w:w="1418"/>
        <w:gridCol w:w="2084"/>
        <w:gridCol w:w="2080"/>
        <w:gridCol w:w="860"/>
      </w:tblGrid>
      <w:tr w:rsidR="000D69C5" w:rsidRPr="00095A36" w14:paraId="347FFB6A" w14:textId="77777777" w:rsidTr="007A0D88">
        <w:trPr>
          <w:trHeight w:val="280"/>
          <w:jc w:val="center"/>
        </w:trPr>
        <w:tc>
          <w:tcPr>
            <w:tcW w:w="3502" w:type="dxa"/>
            <w:gridSpan w:val="2"/>
            <w:noWrap/>
            <w:vAlign w:val="center"/>
            <w:hideMark/>
          </w:tcPr>
          <w:p w14:paraId="5BBAAA21" w14:textId="0909BBF6" w:rsidR="001B2EE8" w:rsidRPr="00095A36" w:rsidRDefault="00D27E78" w:rsidP="002E3784">
            <w:pPr>
              <w:jc w:val="center"/>
              <w:rPr>
                <w:rFonts w:ascii="Arial" w:hAnsi="Arial" w:cs="Arial"/>
                <w:b/>
                <w:bCs/>
                <w:color w:val="000000" w:themeColor="text1"/>
              </w:rPr>
            </w:pPr>
            <w:r w:rsidRPr="00095A36">
              <w:rPr>
                <w:rFonts w:ascii="Arial" w:hAnsi="Arial" w:cs="Arial"/>
                <w:b/>
                <w:bCs/>
                <w:color w:val="000000" w:themeColor="text1"/>
              </w:rPr>
              <w:t>C</w:t>
            </w:r>
            <w:r w:rsidR="001B2EE8" w:rsidRPr="00095A36">
              <w:rPr>
                <w:rFonts w:ascii="Arial" w:hAnsi="Arial" w:cs="Arial"/>
                <w:b/>
                <w:bCs/>
                <w:color w:val="000000" w:themeColor="text1"/>
              </w:rPr>
              <w:t>ategory</w:t>
            </w:r>
          </w:p>
        </w:tc>
        <w:tc>
          <w:tcPr>
            <w:tcW w:w="2080" w:type="dxa"/>
            <w:noWrap/>
            <w:vAlign w:val="center"/>
            <w:hideMark/>
          </w:tcPr>
          <w:p w14:paraId="231D9ACB" w14:textId="77777777" w:rsidR="001B2EE8" w:rsidRPr="00095A36" w:rsidRDefault="001B2EE8" w:rsidP="002E3784">
            <w:pPr>
              <w:jc w:val="center"/>
              <w:rPr>
                <w:rFonts w:ascii="Arial" w:hAnsi="Arial" w:cs="Arial"/>
                <w:b/>
                <w:bCs/>
                <w:color w:val="000000" w:themeColor="text1"/>
              </w:rPr>
            </w:pPr>
            <w:r w:rsidRPr="00095A36">
              <w:rPr>
                <w:rFonts w:ascii="Arial" w:hAnsi="Arial" w:cs="Arial"/>
                <w:b/>
                <w:bCs/>
                <w:color w:val="000000" w:themeColor="text1"/>
              </w:rPr>
              <w:t>Frequency</w:t>
            </w:r>
          </w:p>
        </w:tc>
        <w:tc>
          <w:tcPr>
            <w:tcW w:w="860" w:type="dxa"/>
            <w:noWrap/>
            <w:vAlign w:val="center"/>
            <w:hideMark/>
          </w:tcPr>
          <w:p w14:paraId="41C81950" w14:textId="77777777" w:rsidR="001B2EE8" w:rsidRPr="00095A36" w:rsidRDefault="001B2EE8" w:rsidP="002E3784">
            <w:pPr>
              <w:jc w:val="center"/>
              <w:rPr>
                <w:rFonts w:ascii="Arial" w:hAnsi="Arial" w:cs="Arial"/>
                <w:b/>
                <w:bCs/>
                <w:color w:val="000000" w:themeColor="text1"/>
              </w:rPr>
            </w:pPr>
            <w:r w:rsidRPr="00095A36">
              <w:rPr>
                <w:rFonts w:ascii="Arial" w:hAnsi="Arial" w:cs="Arial"/>
                <w:b/>
                <w:bCs/>
                <w:color w:val="000000" w:themeColor="text1"/>
              </w:rPr>
              <w:t>%</w:t>
            </w:r>
          </w:p>
        </w:tc>
      </w:tr>
      <w:tr w:rsidR="00DF422D" w:rsidRPr="00095A36" w14:paraId="10F5D8DB" w14:textId="77777777" w:rsidTr="007A0D88">
        <w:trPr>
          <w:trHeight w:val="260"/>
          <w:jc w:val="center"/>
        </w:trPr>
        <w:tc>
          <w:tcPr>
            <w:tcW w:w="1418" w:type="dxa"/>
            <w:vMerge w:val="restart"/>
            <w:noWrap/>
            <w:vAlign w:val="center"/>
            <w:hideMark/>
          </w:tcPr>
          <w:p w14:paraId="02A97959" w14:textId="252240DC" w:rsidR="00DF422D" w:rsidRPr="00095A36" w:rsidRDefault="00DF422D" w:rsidP="002E3784">
            <w:pPr>
              <w:jc w:val="center"/>
              <w:rPr>
                <w:rFonts w:ascii="Arial" w:hAnsi="Arial" w:cs="Arial"/>
                <w:b/>
                <w:bCs/>
                <w:color w:val="000000" w:themeColor="text1"/>
              </w:rPr>
            </w:pPr>
            <w:r w:rsidRPr="00095A36">
              <w:rPr>
                <w:rFonts w:ascii="Arial" w:hAnsi="Arial" w:cs="Arial"/>
                <w:b/>
                <w:bCs/>
                <w:color w:val="000000" w:themeColor="text1"/>
              </w:rPr>
              <w:t>Gender</w:t>
            </w:r>
          </w:p>
        </w:tc>
        <w:tc>
          <w:tcPr>
            <w:tcW w:w="2084" w:type="dxa"/>
            <w:vAlign w:val="center"/>
          </w:tcPr>
          <w:p w14:paraId="71B9177E" w14:textId="3B1B6A71"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Male</w:t>
            </w:r>
          </w:p>
        </w:tc>
        <w:tc>
          <w:tcPr>
            <w:tcW w:w="2080" w:type="dxa"/>
            <w:vAlign w:val="center"/>
            <w:hideMark/>
          </w:tcPr>
          <w:p w14:paraId="64C721C6" w14:textId="77777777"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187</w:t>
            </w:r>
          </w:p>
        </w:tc>
        <w:tc>
          <w:tcPr>
            <w:tcW w:w="860" w:type="dxa"/>
            <w:vAlign w:val="center"/>
            <w:hideMark/>
          </w:tcPr>
          <w:p w14:paraId="4667A370" w14:textId="77777777"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49%</w:t>
            </w:r>
          </w:p>
        </w:tc>
      </w:tr>
      <w:tr w:rsidR="00DF422D" w:rsidRPr="00095A36" w14:paraId="4448A497" w14:textId="77777777" w:rsidTr="007A0D88">
        <w:trPr>
          <w:trHeight w:val="260"/>
          <w:jc w:val="center"/>
        </w:trPr>
        <w:tc>
          <w:tcPr>
            <w:tcW w:w="1418" w:type="dxa"/>
            <w:vMerge/>
            <w:noWrap/>
            <w:vAlign w:val="center"/>
            <w:hideMark/>
          </w:tcPr>
          <w:p w14:paraId="2F90BF95" w14:textId="566E373A" w:rsidR="00DF422D" w:rsidRPr="00095A36" w:rsidRDefault="00DF422D" w:rsidP="002E3784">
            <w:pPr>
              <w:jc w:val="center"/>
              <w:rPr>
                <w:rFonts w:ascii="Arial" w:hAnsi="Arial" w:cs="Arial"/>
                <w:b/>
                <w:bCs/>
                <w:color w:val="000000" w:themeColor="text1"/>
              </w:rPr>
            </w:pPr>
          </w:p>
        </w:tc>
        <w:tc>
          <w:tcPr>
            <w:tcW w:w="2084" w:type="dxa"/>
            <w:vAlign w:val="center"/>
          </w:tcPr>
          <w:p w14:paraId="428D02E1" w14:textId="5D499950"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Female</w:t>
            </w:r>
          </w:p>
        </w:tc>
        <w:tc>
          <w:tcPr>
            <w:tcW w:w="2080" w:type="dxa"/>
            <w:vAlign w:val="center"/>
            <w:hideMark/>
          </w:tcPr>
          <w:p w14:paraId="36B449DB" w14:textId="77777777"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196</w:t>
            </w:r>
          </w:p>
        </w:tc>
        <w:tc>
          <w:tcPr>
            <w:tcW w:w="860" w:type="dxa"/>
            <w:vAlign w:val="center"/>
            <w:hideMark/>
          </w:tcPr>
          <w:p w14:paraId="3D82216A" w14:textId="77777777" w:rsidR="00DF422D" w:rsidRPr="00095A36" w:rsidRDefault="00DF422D" w:rsidP="002E3784">
            <w:pPr>
              <w:jc w:val="center"/>
              <w:rPr>
                <w:rFonts w:ascii="Arial" w:hAnsi="Arial" w:cs="Arial"/>
                <w:color w:val="000000" w:themeColor="text1"/>
              </w:rPr>
            </w:pPr>
            <w:r w:rsidRPr="00095A36">
              <w:rPr>
                <w:rFonts w:ascii="Arial" w:hAnsi="Arial" w:cs="Arial"/>
                <w:color w:val="000000" w:themeColor="text1"/>
              </w:rPr>
              <w:t>51%</w:t>
            </w:r>
          </w:p>
        </w:tc>
      </w:tr>
      <w:tr w:rsidR="00C00948" w:rsidRPr="00095A36" w14:paraId="1696C77A" w14:textId="77777777" w:rsidTr="007A0D88">
        <w:trPr>
          <w:trHeight w:val="280"/>
          <w:jc w:val="center"/>
        </w:trPr>
        <w:tc>
          <w:tcPr>
            <w:tcW w:w="1418" w:type="dxa"/>
            <w:vMerge w:val="restart"/>
            <w:vAlign w:val="center"/>
          </w:tcPr>
          <w:p w14:paraId="39CE8520" w14:textId="0E6E353F" w:rsidR="00C00948" w:rsidRPr="00095A36" w:rsidRDefault="00C00948" w:rsidP="002E3784">
            <w:pPr>
              <w:jc w:val="center"/>
              <w:rPr>
                <w:rFonts w:ascii="Arial" w:hAnsi="Arial" w:cs="Arial"/>
                <w:b/>
                <w:bCs/>
                <w:color w:val="000000" w:themeColor="text1"/>
              </w:rPr>
            </w:pPr>
            <w:r w:rsidRPr="00095A36">
              <w:rPr>
                <w:rFonts w:ascii="Arial" w:hAnsi="Arial" w:cs="Arial"/>
                <w:b/>
                <w:bCs/>
                <w:color w:val="000000" w:themeColor="text1"/>
              </w:rPr>
              <w:t>Age</w:t>
            </w:r>
          </w:p>
        </w:tc>
        <w:tc>
          <w:tcPr>
            <w:tcW w:w="2084" w:type="dxa"/>
            <w:vAlign w:val="center"/>
          </w:tcPr>
          <w:p w14:paraId="39A48351" w14:textId="11430C7F"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18-20</w:t>
            </w:r>
          </w:p>
        </w:tc>
        <w:tc>
          <w:tcPr>
            <w:tcW w:w="2080" w:type="dxa"/>
            <w:vAlign w:val="center"/>
            <w:hideMark/>
          </w:tcPr>
          <w:p w14:paraId="774E8726"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39</w:t>
            </w:r>
          </w:p>
        </w:tc>
        <w:tc>
          <w:tcPr>
            <w:tcW w:w="860" w:type="dxa"/>
            <w:vAlign w:val="center"/>
            <w:hideMark/>
          </w:tcPr>
          <w:p w14:paraId="1AA3BD02"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10%</w:t>
            </w:r>
          </w:p>
        </w:tc>
      </w:tr>
      <w:tr w:rsidR="00C00948" w:rsidRPr="00095A36" w14:paraId="45BC3F3A" w14:textId="77777777" w:rsidTr="007A0D88">
        <w:trPr>
          <w:trHeight w:val="280"/>
          <w:jc w:val="center"/>
        </w:trPr>
        <w:tc>
          <w:tcPr>
            <w:tcW w:w="1418" w:type="dxa"/>
            <w:vMerge/>
            <w:vAlign w:val="center"/>
          </w:tcPr>
          <w:p w14:paraId="5A371BA3" w14:textId="46A4A4F4" w:rsidR="00C00948" w:rsidRPr="00095A36" w:rsidRDefault="00C00948" w:rsidP="002E3784">
            <w:pPr>
              <w:jc w:val="center"/>
              <w:rPr>
                <w:rFonts w:ascii="Arial" w:hAnsi="Arial" w:cs="Arial"/>
                <w:b/>
                <w:bCs/>
                <w:color w:val="000000" w:themeColor="text1"/>
              </w:rPr>
            </w:pPr>
          </w:p>
        </w:tc>
        <w:tc>
          <w:tcPr>
            <w:tcW w:w="2084" w:type="dxa"/>
            <w:vAlign w:val="center"/>
          </w:tcPr>
          <w:p w14:paraId="316F4D51" w14:textId="5443161D"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21-23</w:t>
            </w:r>
          </w:p>
        </w:tc>
        <w:tc>
          <w:tcPr>
            <w:tcW w:w="2080" w:type="dxa"/>
            <w:vAlign w:val="center"/>
            <w:hideMark/>
          </w:tcPr>
          <w:p w14:paraId="15F5E688"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166</w:t>
            </w:r>
          </w:p>
        </w:tc>
        <w:tc>
          <w:tcPr>
            <w:tcW w:w="860" w:type="dxa"/>
            <w:vAlign w:val="center"/>
            <w:hideMark/>
          </w:tcPr>
          <w:p w14:paraId="1599BB89"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43%</w:t>
            </w:r>
          </w:p>
        </w:tc>
      </w:tr>
      <w:tr w:rsidR="00C00948" w:rsidRPr="00095A36" w14:paraId="533DB473" w14:textId="77777777" w:rsidTr="007A0D88">
        <w:trPr>
          <w:trHeight w:val="300"/>
          <w:jc w:val="center"/>
        </w:trPr>
        <w:tc>
          <w:tcPr>
            <w:tcW w:w="1418" w:type="dxa"/>
            <w:vMerge/>
            <w:vAlign w:val="center"/>
          </w:tcPr>
          <w:p w14:paraId="7E564761" w14:textId="3558F5F0" w:rsidR="00C00948" w:rsidRPr="00095A36" w:rsidRDefault="00C00948" w:rsidP="002E3784">
            <w:pPr>
              <w:jc w:val="center"/>
              <w:rPr>
                <w:rFonts w:ascii="Arial" w:hAnsi="Arial" w:cs="Arial"/>
                <w:b/>
                <w:bCs/>
                <w:color w:val="000000" w:themeColor="text1"/>
              </w:rPr>
            </w:pPr>
          </w:p>
        </w:tc>
        <w:tc>
          <w:tcPr>
            <w:tcW w:w="2084" w:type="dxa"/>
            <w:vAlign w:val="center"/>
          </w:tcPr>
          <w:p w14:paraId="61D26058" w14:textId="2CB4364C"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24-26</w:t>
            </w:r>
          </w:p>
        </w:tc>
        <w:tc>
          <w:tcPr>
            <w:tcW w:w="2080" w:type="dxa"/>
            <w:vAlign w:val="center"/>
            <w:hideMark/>
          </w:tcPr>
          <w:p w14:paraId="5EC70CB9"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106</w:t>
            </w:r>
          </w:p>
        </w:tc>
        <w:tc>
          <w:tcPr>
            <w:tcW w:w="860" w:type="dxa"/>
            <w:vAlign w:val="center"/>
            <w:hideMark/>
          </w:tcPr>
          <w:p w14:paraId="153FFF9C"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28%</w:t>
            </w:r>
          </w:p>
        </w:tc>
      </w:tr>
      <w:tr w:rsidR="00C00948" w:rsidRPr="00095A36" w14:paraId="0388E0F1" w14:textId="77777777" w:rsidTr="007A0D88">
        <w:trPr>
          <w:trHeight w:val="273"/>
          <w:jc w:val="center"/>
        </w:trPr>
        <w:tc>
          <w:tcPr>
            <w:tcW w:w="1418" w:type="dxa"/>
            <w:vMerge/>
            <w:vAlign w:val="center"/>
          </w:tcPr>
          <w:p w14:paraId="67A07F70" w14:textId="30DFD51A" w:rsidR="00C00948" w:rsidRPr="00095A36" w:rsidRDefault="00C00948" w:rsidP="002E3784">
            <w:pPr>
              <w:jc w:val="center"/>
              <w:rPr>
                <w:rFonts w:ascii="Arial" w:hAnsi="Arial" w:cs="Arial"/>
                <w:b/>
                <w:bCs/>
                <w:color w:val="000000" w:themeColor="text1"/>
              </w:rPr>
            </w:pPr>
          </w:p>
        </w:tc>
        <w:tc>
          <w:tcPr>
            <w:tcW w:w="2084" w:type="dxa"/>
            <w:vAlign w:val="center"/>
          </w:tcPr>
          <w:p w14:paraId="01408323" w14:textId="1893BA55"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27-28</w:t>
            </w:r>
          </w:p>
        </w:tc>
        <w:tc>
          <w:tcPr>
            <w:tcW w:w="2080" w:type="dxa"/>
            <w:vAlign w:val="center"/>
            <w:hideMark/>
          </w:tcPr>
          <w:p w14:paraId="22F383A6"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74</w:t>
            </w:r>
          </w:p>
        </w:tc>
        <w:tc>
          <w:tcPr>
            <w:tcW w:w="860" w:type="dxa"/>
            <w:vAlign w:val="center"/>
            <w:hideMark/>
          </w:tcPr>
          <w:p w14:paraId="730E380B" w14:textId="77777777" w:rsidR="00C00948" w:rsidRPr="00095A36" w:rsidRDefault="00C00948" w:rsidP="002E3784">
            <w:pPr>
              <w:jc w:val="center"/>
              <w:rPr>
                <w:rFonts w:ascii="Arial" w:hAnsi="Arial" w:cs="Arial"/>
                <w:color w:val="000000" w:themeColor="text1"/>
              </w:rPr>
            </w:pPr>
            <w:r w:rsidRPr="00095A36">
              <w:rPr>
                <w:rFonts w:ascii="Arial" w:hAnsi="Arial" w:cs="Arial"/>
                <w:color w:val="000000" w:themeColor="text1"/>
              </w:rPr>
              <w:t>19%</w:t>
            </w:r>
          </w:p>
        </w:tc>
      </w:tr>
      <w:tr w:rsidR="00A84CDD" w:rsidRPr="00095A36" w14:paraId="2972B5E1" w14:textId="77777777" w:rsidTr="007A0D88">
        <w:trPr>
          <w:trHeight w:val="360"/>
          <w:jc w:val="center"/>
        </w:trPr>
        <w:tc>
          <w:tcPr>
            <w:tcW w:w="1418" w:type="dxa"/>
            <w:vMerge w:val="restart"/>
            <w:noWrap/>
            <w:vAlign w:val="center"/>
          </w:tcPr>
          <w:p w14:paraId="34C98BE7" w14:textId="4DD49C71" w:rsidR="00A84CDD" w:rsidRPr="00095A36" w:rsidRDefault="00A84CDD" w:rsidP="002E3784">
            <w:pPr>
              <w:jc w:val="center"/>
              <w:rPr>
                <w:rFonts w:ascii="Arial" w:hAnsi="Arial" w:cs="Arial"/>
                <w:b/>
                <w:bCs/>
                <w:color w:val="000000" w:themeColor="text1"/>
              </w:rPr>
            </w:pPr>
            <w:r w:rsidRPr="00095A36">
              <w:rPr>
                <w:rFonts w:ascii="Arial" w:hAnsi="Arial" w:cs="Arial"/>
                <w:b/>
                <w:bCs/>
                <w:color w:val="000000" w:themeColor="text1"/>
              </w:rPr>
              <w:t>Education</w:t>
            </w:r>
          </w:p>
        </w:tc>
        <w:tc>
          <w:tcPr>
            <w:tcW w:w="2084" w:type="dxa"/>
            <w:vAlign w:val="center"/>
          </w:tcPr>
          <w:p w14:paraId="04394393" w14:textId="5FA68C6B"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High School/ Vocational</w:t>
            </w:r>
          </w:p>
        </w:tc>
        <w:tc>
          <w:tcPr>
            <w:tcW w:w="2080" w:type="dxa"/>
            <w:vAlign w:val="center"/>
            <w:hideMark/>
          </w:tcPr>
          <w:p w14:paraId="23E20D89"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163</w:t>
            </w:r>
          </w:p>
        </w:tc>
        <w:tc>
          <w:tcPr>
            <w:tcW w:w="860" w:type="dxa"/>
            <w:vAlign w:val="center"/>
            <w:hideMark/>
          </w:tcPr>
          <w:p w14:paraId="322DFDEA"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42%</w:t>
            </w:r>
          </w:p>
        </w:tc>
      </w:tr>
      <w:tr w:rsidR="00A84CDD" w:rsidRPr="00095A36" w14:paraId="0E9F0E43" w14:textId="77777777" w:rsidTr="007A0D88">
        <w:trPr>
          <w:trHeight w:val="360"/>
          <w:jc w:val="center"/>
        </w:trPr>
        <w:tc>
          <w:tcPr>
            <w:tcW w:w="1418" w:type="dxa"/>
            <w:vMerge/>
            <w:noWrap/>
            <w:vAlign w:val="center"/>
          </w:tcPr>
          <w:p w14:paraId="266405AD" w14:textId="175A18BF" w:rsidR="00A84CDD" w:rsidRPr="00095A36" w:rsidRDefault="00A84CDD" w:rsidP="002E3784">
            <w:pPr>
              <w:jc w:val="center"/>
              <w:rPr>
                <w:rFonts w:ascii="Arial" w:hAnsi="Arial" w:cs="Arial"/>
                <w:b/>
                <w:bCs/>
                <w:color w:val="000000" w:themeColor="text1"/>
              </w:rPr>
            </w:pPr>
          </w:p>
        </w:tc>
        <w:tc>
          <w:tcPr>
            <w:tcW w:w="2084" w:type="dxa"/>
            <w:vAlign w:val="center"/>
          </w:tcPr>
          <w:p w14:paraId="30B8313C" w14:textId="413B1ED3"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Bachelor's Degree</w:t>
            </w:r>
          </w:p>
        </w:tc>
        <w:tc>
          <w:tcPr>
            <w:tcW w:w="2080" w:type="dxa"/>
            <w:vAlign w:val="center"/>
            <w:hideMark/>
          </w:tcPr>
          <w:p w14:paraId="2545A2FD"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161</w:t>
            </w:r>
          </w:p>
        </w:tc>
        <w:tc>
          <w:tcPr>
            <w:tcW w:w="860" w:type="dxa"/>
            <w:vAlign w:val="center"/>
            <w:hideMark/>
          </w:tcPr>
          <w:p w14:paraId="7B8A95BB"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42%</w:t>
            </w:r>
          </w:p>
        </w:tc>
      </w:tr>
      <w:tr w:rsidR="00A84CDD" w:rsidRPr="00095A36" w14:paraId="419758F8" w14:textId="77777777" w:rsidTr="007A0D88">
        <w:trPr>
          <w:trHeight w:val="360"/>
          <w:jc w:val="center"/>
        </w:trPr>
        <w:tc>
          <w:tcPr>
            <w:tcW w:w="1418" w:type="dxa"/>
            <w:vMerge/>
            <w:noWrap/>
            <w:vAlign w:val="center"/>
          </w:tcPr>
          <w:p w14:paraId="475BA3E3" w14:textId="767416B3" w:rsidR="00A84CDD" w:rsidRPr="00095A36" w:rsidRDefault="00A84CDD" w:rsidP="002E3784">
            <w:pPr>
              <w:jc w:val="center"/>
              <w:rPr>
                <w:rFonts w:ascii="Arial" w:hAnsi="Arial" w:cs="Arial"/>
                <w:b/>
                <w:bCs/>
                <w:color w:val="000000" w:themeColor="text1"/>
              </w:rPr>
            </w:pPr>
          </w:p>
        </w:tc>
        <w:tc>
          <w:tcPr>
            <w:tcW w:w="2084" w:type="dxa"/>
            <w:vAlign w:val="center"/>
          </w:tcPr>
          <w:p w14:paraId="06F2E667" w14:textId="25200F1A"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Diploma</w:t>
            </w:r>
          </w:p>
        </w:tc>
        <w:tc>
          <w:tcPr>
            <w:tcW w:w="2080" w:type="dxa"/>
            <w:vAlign w:val="center"/>
            <w:hideMark/>
          </w:tcPr>
          <w:p w14:paraId="2F7DAA87"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61</w:t>
            </w:r>
          </w:p>
        </w:tc>
        <w:tc>
          <w:tcPr>
            <w:tcW w:w="860" w:type="dxa"/>
            <w:vAlign w:val="center"/>
            <w:hideMark/>
          </w:tcPr>
          <w:p w14:paraId="0303BDDC"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16%</w:t>
            </w:r>
          </w:p>
        </w:tc>
      </w:tr>
      <w:tr w:rsidR="00A84CDD" w:rsidRPr="00095A36" w14:paraId="7A3469EF" w14:textId="77777777" w:rsidTr="007A0D88">
        <w:trPr>
          <w:trHeight w:val="280"/>
          <w:jc w:val="center"/>
        </w:trPr>
        <w:tc>
          <w:tcPr>
            <w:tcW w:w="1418" w:type="dxa"/>
            <w:vMerge w:val="restart"/>
            <w:vAlign w:val="center"/>
          </w:tcPr>
          <w:p w14:paraId="533B0C09" w14:textId="6BA358F9" w:rsidR="00A84CDD" w:rsidRPr="00095A36" w:rsidRDefault="00A84CDD" w:rsidP="002E3784">
            <w:pPr>
              <w:jc w:val="center"/>
              <w:rPr>
                <w:rFonts w:ascii="Arial" w:hAnsi="Arial" w:cs="Arial"/>
                <w:b/>
                <w:bCs/>
                <w:color w:val="000000" w:themeColor="text1"/>
              </w:rPr>
            </w:pPr>
            <w:r w:rsidRPr="00095A36">
              <w:rPr>
                <w:rFonts w:ascii="Arial" w:hAnsi="Arial" w:cs="Arial"/>
                <w:b/>
                <w:bCs/>
                <w:color w:val="000000" w:themeColor="text1"/>
              </w:rPr>
              <w:t>Business duration</w:t>
            </w:r>
          </w:p>
        </w:tc>
        <w:tc>
          <w:tcPr>
            <w:tcW w:w="2084" w:type="dxa"/>
            <w:vAlign w:val="center"/>
          </w:tcPr>
          <w:p w14:paraId="30A61F0D" w14:textId="7860A01B"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 xml:space="preserve">&lt; 1 </w:t>
            </w:r>
            <w:proofErr w:type="spellStart"/>
            <w:r w:rsidRPr="00095A36">
              <w:rPr>
                <w:rFonts w:ascii="Arial" w:hAnsi="Arial" w:cs="Arial"/>
                <w:color w:val="000000" w:themeColor="text1"/>
              </w:rPr>
              <w:t>tahun</w:t>
            </w:r>
            <w:proofErr w:type="spellEnd"/>
          </w:p>
        </w:tc>
        <w:tc>
          <w:tcPr>
            <w:tcW w:w="2080" w:type="dxa"/>
            <w:vAlign w:val="center"/>
            <w:hideMark/>
          </w:tcPr>
          <w:p w14:paraId="700215C7"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65</w:t>
            </w:r>
          </w:p>
        </w:tc>
        <w:tc>
          <w:tcPr>
            <w:tcW w:w="860" w:type="dxa"/>
            <w:vAlign w:val="center"/>
            <w:hideMark/>
          </w:tcPr>
          <w:p w14:paraId="1B0A6E41"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17%</w:t>
            </w:r>
          </w:p>
        </w:tc>
      </w:tr>
      <w:tr w:rsidR="00A84CDD" w:rsidRPr="00095A36" w14:paraId="0CD6B180" w14:textId="77777777" w:rsidTr="007A0D88">
        <w:trPr>
          <w:trHeight w:val="280"/>
          <w:jc w:val="center"/>
        </w:trPr>
        <w:tc>
          <w:tcPr>
            <w:tcW w:w="1418" w:type="dxa"/>
            <w:vMerge/>
            <w:vAlign w:val="center"/>
          </w:tcPr>
          <w:p w14:paraId="2B4FC6EE" w14:textId="04C88D9F" w:rsidR="00A84CDD" w:rsidRPr="00095A36" w:rsidRDefault="00A84CDD" w:rsidP="002E3784">
            <w:pPr>
              <w:jc w:val="center"/>
              <w:rPr>
                <w:rFonts w:ascii="Arial" w:hAnsi="Arial" w:cs="Arial"/>
                <w:color w:val="000000" w:themeColor="text1"/>
              </w:rPr>
            </w:pPr>
          </w:p>
        </w:tc>
        <w:tc>
          <w:tcPr>
            <w:tcW w:w="2084" w:type="dxa"/>
            <w:vAlign w:val="center"/>
          </w:tcPr>
          <w:p w14:paraId="47D0EA1D" w14:textId="2DEB1276"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 xml:space="preserve">1–3 </w:t>
            </w:r>
            <w:proofErr w:type="spellStart"/>
            <w:r w:rsidRPr="00095A36">
              <w:rPr>
                <w:rFonts w:ascii="Arial" w:hAnsi="Arial" w:cs="Arial"/>
                <w:color w:val="000000" w:themeColor="text1"/>
              </w:rPr>
              <w:t>tahun</w:t>
            </w:r>
            <w:proofErr w:type="spellEnd"/>
          </w:p>
        </w:tc>
        <w:tc>
          <w:tcPr>
            <w:tcW w:w="2080" w:type="dxa"/>
            <w:vAlign w:val="center"/>
            <w:hideMark/>
          </w:tcPr>
          <w:p w14:paraId="34B230C7"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208</w:t>
            </w:r>
          </w:p>
        </w:tc>
        <w:tc>
          <w:tcPr>
            <w:tcW w:w="860" w:type="dxa"/>
            <w:vAlign w:val="center"/>
            <w:hideMark/>
          </w:tcPr>
          <w:p w14:paraId="33061EC1"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54%</w:t>
            </w:r>
          </w:p>
        </w:tc>
      </w:tr>
      <w:tr w:rsidR="00A84CDD" w:rsidRPr="00095A36" w14:paraId="3DC41E35" w14:textId="77777777" w:rsidTr="007A0D88">
        <w:trPr>
          <w:trHeight w:val="300"/>
          <w:jc w:val="center"/>
        </w:trPr>
        <w:tc>
          <w:tcPr>
            <w:tcW w:w="1418" w:type="dxa"/>
            <w:vMerge/>
            <w:vAlign w:val="center"/>
          </w:tcPr>
          <w:p w14:paraId="7ACCD14E" w14:textId="1CEDB719" w:rsidR="00A84CDD" w:rsidRPr="00095A36" w:rsidRDefault="00A84CDD" w:rsidP="002E3784">
            <w:pPr>
              <w:jc w:val="center"/>
              <w:rPr>
                <w:rFonts w:ascii="Arial" w:hAnsi="Arial" w:cs="Arial"/>
                <w:color w:val="000000" w:themeColor="text1"/>
              </w:rPr>
            </w:pPr>
          </w:p>
        </w:tc>
        <w:tc>
          <w:tcPr>
            <w:tcW w:w="2084" w:type="dxa"/>
            <w:vAlign w:val="center"/>
          </w:tcPr>
          <w:p w14:paraId="236437BF" w14:textId="2E300CDD"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 xml:space="preserve">&gt; 3 </w:t>
            </w:r>
            <w:proofErr w:type="spellStart"/>
            <w:r w:rsidRPr="00095A36">
              <w:rPr>
                <w:rFonts w:ascii="Arial" w:hAnsi="Arial" w:cs="Arial"/>
                <w:color w:val="000000" w:themeColor="text1"/>
              </w:rPr>
              <w:t>tahun</w:t>
            </w:r>
            <w:proofErr w:type="spellEnd"/>
          </w:p>
        </w:tc>
        <w:tc>
          <w:tcPr>
            <w:tcW w:w="2080" w:type="dxa"/>
            <w:vAlign w:val="center"/>
            <w:hideMark/>
          </w:tcPr>
          <w:p w14:paraId="56BB4F5C"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112</w:t>
            </w:r>
          </w:p>
        </w:tc>
        <w:tc>
          <w:tcPr>
            <w:tcW w:w="860" w:type="dxa"/>
            <w:vAlign w:val="center"/>
            <w:hideMark/>
          </w:tcPr>
          <w:p w14:paraId="6AE0665E" w14:textId="77777777" w:rsidR="00A84CDD" w:rsidRPr="00095A36" w:rsidRDefault="00A84CDD" w:rsidP="002E3784">
            <w:pPr>
              <w:jc w:val="center"/>
              <w:rPr>
                <w:rFonts w:ascii="Arial" w:hAnsi="Arial" w:cs="Arial"/>
                <w:color w:val="000000" w:themeColor="text1"/>
              </w:rPr>
            </w:pPr>
            <w:r w:rsidRPr="00095A36">
              <w:rPr>
                <w:rFonts w:ascii="Arial" w:hAnsi="Arial" w:cs="Arial"/>
                <w:color w:val="000000" w:themeColor="text1"/>
              </w:rPr>
              <w:t>29%</w:t>
            </w:r>
          </w:p>
        </w:tc>
      </w:tr>
    </w:tbl>
    <w:p w14:paraId="75914115" w14:textId="79730F04" w:rsidR="005874E8" w:rsidRPr="00095A36" w:rsidRDefault="005874E8" w:rsidP="002E3784">
      <w:pPr>
        <w:pStyle w:val="p1"/>
        <w:jc w:val="center"/>
        <w:rPr>
          <w:color w:val="000000" w:themeColor="text1"/>
        </w:rPr>
      </w:pPr>
      <w:r w:rsidRPr="00095A36">
        <w:rPr>
          <w:i/>
          <w:iCs/>
          <w:color w:val="000000" w:themeColor="text1"/>
        </w:rPr>
        <w:t>Source: Compiled by the author based on the anal</w:t>
      </w:r>
      <w:r w:rsidR="00FC5106">
        <w:rPr>
          <w:i/>
          <w:iCs/>
          <w:color w:val="000000" w:themeColor="text1"/>
        </w:rPr>
        <w:t>ys</w:t>
      </w:r>
      <w:r w:rsidRPr="00095A36">
        <w:rPr>
          <w:i/>
          <w:iCs/>
          <w:color w:val="000000" w:themeColor="text1"/>
        </w:rPr>
        <w:t>ed data</w:t>
      </w:r>
    </w:p>
    <w:p w14:paraId="7B56BB53" w14:textId="77777777" w:rsidR="00505F06" w:rsidRDefault="00505F06" w:rsidP="002E3784">
      <w:pPr>
        <w:pStyle w:val="Body"/>
        <w:spacing w:after="0"/>
        <w:rPr>
          <w:rFonts w:ascii="Arial" w:hAnsi="Arial" w:cs="Arial"/>
          <w:color w:val="000000" w:themeColor="text1"/>
        </w:rPr>
      </w:pPr>
    </w:p>
    <w:p w14:paraId="03576F59" w14:textId="77777777" w:rsidR="00CB5252" w:rsidRDefault="00CB5252" w:rsidP="002E3784">
      <w:pPr>
        <w:pStyle w:val="Body"/>
        <w:spacing w:after="0"/>
        <w:rPr>
          <w:rFonts w:ascii="Arial" w:hAnsi="Arial" w:cs="Arial"/>
          <w:color w:val="000000" w:themeColor="text1"/>
        </w:rPr>
      </w:pPr>
    </w:p>
    <w:p w14:paraId="7D92477A" w14:textId="77777777" w:rsidR="00CB5252" w:rsidRPr="00095A36" w:rsidRDefault="00CB5252" w:rsidP="002E3784">
      <w:pPr>
        <w:pStyle w:val="Body"/>
        <w:spacing w:after="0"/>
        <w:rPr>
          <w:rFonts w:ascii="Arial" w:hAnsi="Arial" w:cs="Arial"/>
          <w:color w:val="000000" w:themeColor="text1"/>
        </w:rPr>
      </w:pPr>
    </w:p>
    <w:p w14:paraId="20A074E8" w14:textId="3BA85112" w:rsidR="001D3C18" w:rsidRPr="00095A36" w:rsidRDefault="001D3C18" w:rsidP="002E3784">
      <w:pPr>
        <w:pStyle w:val="Body"/>
        <w:spacing w:after="0"/>
        <w:rPr>
          <w:rFonts w:ascii="Arial" w:hAnsi="Arial" w:cs="Arial"/>
          <w:b/>
          <w:color w:val="000000" w:themeColor="text1"/>
          <w:sz w:val="22"/>
        </w:rPr>
      </w:pPr>
      <w:r w:rsidRPr="00095A36">
        <w:rPr>
          <w:rFonts w:ascii="Arial" w:hAnsi="Arial" w:cs="Arial"/>
          <w:b/>
          <w:caps/>
          <w:color w:val="000000" w:themeColor="text1"/>
          <w:sz w:val="22"/>
        </w:rPr>
        <w:t xml:space="preserve">3.2 </w:t>
      </w:r>
      <w:r w:rsidR="006A48B5" w:rsidRPr="00095A36">
        <w:rPr>
          <w:rFonts w:ascii="Arial" w:hAnsi="Arial" w:cs="Arial"/>
          <w:b/>
          <w:color w:val="000000" w:themeColor="text1"/>
          <w:sz w:val="22"/>
        </w:rPr>
        <w:t>Descriptive Statistical Analysis</w:t>
      </w:r>
    </w:p>
    <w:p w14:paraId="2612AFB5" w14:textId="77777777" w:rsidR="002246FC" w:rsidRPr="00095A36" w:rsidRDefault="002246FC" w:rsidP="002E3784">
      <w:pPr>
        <w:pStyle w:val="Body"/>
        <w:spacing w:after="0"/>
        <w:rPr>
          <w:rFonts w:ascii="Arial" w:hAnsi="Arial" w:cs="Arial"/>
          <w:b/>
          <w:color w:val="000000" w:themeColor="text1"/>
          <w:sz w:val="22"/>
        </w:rPr>
      </w:pPr>
    </w:p>
    <w:p w14:paraId="2140E1D0" w14:textId="77777777" w:rsidR="001B4A3E" w:rsidRPr="00095A36" w:rsidRDefault="00F279B5" w:rsidP="002E3784">
      <w:pPr>
        <w:pStyle w:val="Body"/>
        <w:rPr>
          <w:rFonts w:ascii="Arial" w:hAnsi="Arial" w:cs="Arial"/>
          <w:color w:val="000000" w:themeColor="text1"/>
        </w:rPr>
      </w:pPr>
      <w:r w:rsidRPr="00095A36">
        <w:rPr>
          <w:rFonts w:ascii="Arial" w:hAnsi="Arial" w:cs="Arial"/>
          <w:color w:val="000000" w:themeColor="text1"/>
        </w:rPr>
        <w:lastRenderedPageBreak/>
        <w:t>Before evaluating the structural model, a descriptive analysis was conducted to understand the respondents' perceptions.</w:t>
      </w:r>
      <w:r w:rsidR="009E31F3" w:rsidRPr="00095A36">
        <w:rPr>
          <w:rFonts w:ascii="Arial" w:hAnsi="Arial" w:cs="Arial"/>
          <w:color w:val="000000" w:themeColor="text1"/>
        </w:rPr>
        <w:t xml:space="preserve"> </w:t>
      </w:r>
    </w:p>
    <w:p w14:paraId="77F5835E" w14:textId="77777777" w:rsidR="002246FC" w:rsidRPr="00095A36" w:rsidRDefault="001B4A3E" w:rsidP="002E3784">
      <w:pPr>
        <w:pStyle w:val="Body"/>
        <w:rPr>
          <w:rFonts w:ascii="Arial" w:hAnsi="Arial" w:cs="Arial"/>
          <w:b/>
          <w:color w:val="000000" w:themeColor="text1"/>
          <w:u w:val="single"/>
        </w:rPr>
      </w:pPr>
      <w:r w:rsidRPr="00095A36">
        <w:rPr>
          <w:rFonts w:ascii="Arial" w:hAnsi="Arial" w:cs="Arial"/>
          <w:b/>
          <w:color w:val="000000" w:themeColor="text1"/>
          <w:u w:val="single"/>
        </w:rPr>
        <w:t>3.</w:t>
      </w:r>
      <w:r w:rsidR="005017DB" w:rsidRPr="00095A36">
        <w:rPr>
          <w:rFonts w:ascii="Arial" w:hAnsi="Arial" w:cs="Arial"/>
          <w:b/>
          <w:color w:val="000000" w:themeColor="text1"/>
          <w:u w:val="single"/>
        </w:rPr>
        <w:t>2</w:t>
      </w:r>
      <w:r w:rsidRPr="00095A36">
        <w:rPr>
          <w:rFonts w:ascii="Arial" w:hAnsi="Arial" w:cs="Arial"/>
          <w:b/>
          <w:color w:val="000000" w:themeColor="text1"/>
          <w:u w:val="single"/>
        </w:rPr>
        <w:t xml:space="preserve">.1 </w:t>
      </w:r>
      <w:r w:rsidR="0056231D" w:rsidRPr="00095A36">
        <w:rPr>
          <w:rFonts w:ascii="Arial" w:hAnsi="Arial" w:cs="Arial"/>
          <w:b/>
          <w:color w:val="000000" w:themeColor="text1"/>
          <w:u w:val="single"/>
        </w:rPr>
        <w:t>Government Policy (X1)</w:t>
      </w:r>
    </w:p>
    <w:p w14:paraId="56C4224E" w14:textId="166963B9" w:rsidR="002B7206" w:rsidRPr="00095A36" w:rsidRDefault="002E2B46" w:rsidP="002E3784">
      <w:pPr>
        <w:pStyle w:val="Body"/>
        <w:rPr>
          <w:rFonts w:ascii="Arial" w:hAnsi="Arial" w:cs="Arial"/>
          <w:color w:val="000000" w:themeColor="text1"/>
        </w:rPr>
      </w:pPr>
      <w:r>
        <w:rPr>
          <w:rFonts w:ascii="Arial" w:hAnsi="Arial" w:cs="Arial"/>
          <w:color w:val="000000" w:themeColor="text1"/>
        </w:rPr>
        <w:t>Table 3 presents</w:t>
      </w:r>
      <w:r w:rsidRPr="00095A36">
        <w:rPr>
          <w:rFonts w:ascii="Arial" w:hAnsi="Arial" w:cs="Arial"/>
          <w:color w:val="000000" w:themeColor="text1"/>
        </w:rPr>
        <w:t xml:space="preserve"> </w:t>
      </w:r>
      <w:r w:rsidR="002E4D3C" w:rsidRPr="00095A36">
        <w:rPr>
          <w:rFonts w:ascii="Arial" w:hAnsi="Arial" w:cs="Arial"/>
          <w:color w:val="000000" w:themeColor="text1"/>
        </w:rPr>
        <w:t>examination of Government Policy shows an average rating of 3.85, which signifies that Gen Z MSMEs view the existing regulations and framework as advantageous. In particular, the high endorsement for policies that encourage transactions (X1.5, mean 3.88) points to the effective implementation of cashless solutions such as QRIS. On the other hand, the somewhat reduced ratings for accessibility and education (X1 and X1.2, mean 3.83) indicate a significant shortcoming, underscoring the necessity for the government to redirect its attention from simply building infrastructure to creating more efficient and accessible digital literacy initiatives.</w:t>
      </w:r>
    </w:p>
    <w:p w14:paraId="714534A3" w14:textId="17168A4B" w:rsidR="003D039F" w:rsidRPr="00095A36" w:rsidRDefault="003D039F" w:rsidP="002E3784">
      <w:pPr>
        <w:pStyle w:val="Body"/>
        <w:jc w:val="center"/>
        <w:rPr>
          <w:rFonts w:ascii="Arial" w:hAnsi="Arial" w:cs="Arial"/>
          <w:color w:val="000000" w:themeColor="text1"/>
          <w:sz w:val="18"/>
          <w:szCs w:val="18"/>
        </w:rPr>
      </w:pPr>
      <w:r w:rsidRPr="00095A36">
        <w:rPr>
          <w:rFonts w:ascii="Arial" w:hAnsi="Arial" w:cs="Arial"/>
          <w:b/>
          <w:color w:val="000000" w:themeColor="text1"/>
          <w:szCs w:val="16"/>
        </w:rPr>
        <w:t>Table 3</w:t>
      </w:r>
      <w:r w:rsidR="00C16FBF" w:rsidRPr="00095A36">
        <w:rPr>
          <w:rFonts w:ascii="Arial" w:hAnsi="Arial" w:cs="Arial"/>
          <w:b/>
          <w:color w:val="000000" w:themeColor="text1"/>
          <w:szCs w:val="16"/>
        </w:rPr>
        <w:t>.</w:t>
      </w:r>
      <w:r w:rsidR="00C16FBF" w:rsidRPr="00095A36">
        <w:rPr>
          <w:rFonts w:ascii="Arial" w:hAnsi="Arial" w:cs="Arial"/>
          <w:color w:val="000000" w:themeColor="text1"/>
          <w:sz w:val="16"/>
          <w:szCs w:val="16"/>
        </w:rPr>
        <w:t xml:space="preserve"> </w:t>
      </w:r>
      <w:r w:rsidR="00C16FBF" w:rsidRPr="00095A36">
        <w:rPr>
          <w:rFonts w:ascii="Arial" w:hAnsi="Arial" w:cs="Arial"/>
          <w:b/>
          <w:color w:val="000000" w:themeColor="text1"/>
          <w:szCs w:val="16"/>
        </w:rPr>
        <w:t>Government Policy (X1)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AB5E0E" w:rsidRPr="00095A36" w14:paraId="14BB53CF" w14:textId="77777777" w:rsidTr="007A0D88">
        <w:trPr>
          <w:trHeight w:val="615"/>
        </w:trPr>
        <w:tc>
          <w:tcPr>
            <w:tcW w:w="995" w:type="dxa"/>
            <w:vAlign w:val="center"/>
            <w:hideMark/>
          </w:tcPr>
          <w:p w14:paraId="1FC2160C" w14:textId="04AF4155" w:rsidR="00676471" w:rsidRPr="00095A36" w:rsidRDefault="00801662" w:rsidP="002E3784">
            <w:pPr>
              <w:jc w:val="center"/>
              <w:rPr>
                <w:rFonts w:ascii="Arial" w:hAnsi="Arial" w:cs="Arial"/>
                <w:b/>
                <w:color w:val="1F1F1F"/>
                <w:lang w:eastAsia="en-ID"/>
              </w:rPr>
            </w:pPr>
            <w:r w:rsidRPr="00095A36">
              <w:rPr>
                <w:rFonts w:ascii="Arial" w:hAnsi="Arial" w:cs="Arial"/>
                <w:b/>
                <w:color w:val="1F1F1F"/>
              </w:rPr>
              <w:t>Variable</w:t>
            </w:r>
          </w:p>
        </w:tc>
        <w:tc>
          <w:tcPr>
            <w:tcW w:w="947" w:type="dxa"/>
            <w:vAlign w:val="center"/>
            <w:hideMark/>
          </w:tcPr>
          <w:p w14:paraId="73D47C09" w14:textId="05214A11" w:rsidR="00676471" w:rsidRPr="00095A36" w:rsidRDefault="00EB44BF" w:rsidP="002E3784">
            <w:pPr>
              <w:jc w:val="center"/>
              <w:rPr>
                <w:rFonts w:ascii="Arial" w:hAnsi="Arial" w:cs="Arial"/>
                <w:b/>
                <w:color w:val="1F1F1F"/>
              </w:rPr>
            </w:pPr>
            <w:r w:rsidRPr="00095A36">
              <w:rPr>
                <w:rFonts w:ascii="Arial" w:hAnsi="Arial" w:cs="Arial"/>
                <w:b/>
                <w:color w:val="1F1F1F"/>
              </w:rPr>
              <w:t>Scale</w:t>
            </w:r>
            <w:r w:rsidR="00CE1860" w:rsidRPr="00095A36">
              <w:rPr>
                <w:rFonts w:ascii="Arial" w:hAnsi="Arial" w:cs="Arial"/>
                <w:b/>
                <w:color w:val="1F1F1F"/>
              </w:rPr>
              <w:t xml:space="preserve"> </w:t>
            </w:r>
            <w:r w:rsidR="00676471" w:rsidRPr="00095A36">
              <w:rPr>
                <w:rFonts w:ascii="Arial" w:hAnsi="Arial" w:cs="Arial"/>
                <w:b/>
                <w:color w:val="1F1F1F"/>
              </w:rPr>
              <w:t xml:space="preserve">1 </w:t>
            </w:r>
            <w:r w:rsidR="00671AE1" w:rsidRPr="00095A36">
              <w:rPr>
                <w:rFonts w:ascii="Arial" w:hAnsi="Arial" w:cs="Arial"/>
                <w:b/>
                <w:color w:val="1F1F1F"/>
              </w:rPr>
              <w:t>Value</w:t>
            </w:r>
            <w:r w:rsidR="007E0BD5" w:rsidRPr="00095A36">
              <w:rPr>
                <w:rFonts w:ascii="Arial" w:hAnsi="Arial" w:cs="Arial"/>
                <w:b/>
                <w:color w:val="1F1F1F"/>
              </w:rPr>
              <w:t xml:space="preserve"> (</w:t>
            </w:r>
            <w:r w:rsidR="00676471" w:rsidRPr="00095A36">
              <w:rPr>
                <w:rFonts w:ascii="Arial" w:hAnsi="Arial" w:cs="Arial"/>
                <w:b/>
                <w:color w:val="1F1F1F"/>
              </w:rPr>
              <w:t>%)</w:t>
            </w:r>
          </w:p>
        </w:tc>
        <w:tc>
          <w:tcPr>
            <w:tcW w:w="970" w:type="dxa"/>
            <w:vAlign w:val="center"/>
            <w:hideMark/>
          </w:tcPr>
          <w:p w14:paraId="32807FFE" w14:textId="4B9F895C" w:rsidR="00C40F37" w:rsidRPr="00095A36" w:rsidRDefault="00EB44BF" w:rsidP="002E3784">
            <w:pPr>
              <w:jc w:val="center"/>
              <w:rPr>
                <w:rFonts w:ascii="Arial" w:hAnsi="Arial" w:cs="Arial"/>
                <w:b/>
                <w:color w:val="1F1F1F"/>
              </w:rPr>
            </w:pPr>
            <w:r w:rsidRPr="00095A36">
              <w:rPr>
                <w:rFonts w:ascii="Arial" w:hAnsi="Arial" w:cs="Arial"/>
                <w:b/>
                <w:color w:val="1F1F1F"/>
              </w:rPr>
              <w:t>Scale</w:t>
            </w:r>
            <w:r w:rsidR="00CE1860" w:rsidRPr="00095A36">
              <w:rPr>
                <w:rFonts w:ascii="Arial" w:hAnsi="Arial" w:cs="Arial"/>
                <w:b/>
                <w:color w:val="1F1F1F"/>
              </w:rPr>
              <w:t xml:space="preserve"> </w:t>
            </w:r>
            <w:r w:rsidR="00676471" w:rsidRPr="00095A36">
              <w:rPr>
                <w:rFonts w:ascii="Arial" w:hAnsi="Arial" w:cs="Arial"/>
                <w:b/>
                <w:color w:val="1F1F1F"/>
              </w:rPr>
              <w:t>2</w:t>
            </w:r>
          </w:p>
          <w:p w14:paraId="39A74F85" w14:textId="57A6BBD3" w:rsidR="00676471" w:rsidRPr="00095A36" w:rsidRDefault="007E0BD5" w:rsidP="002E3784">
            <w:pPr>
              <w:jc w:val="center"/>
              <w:rPr>
                <w:rFonts w:ascii="Arial" w:hAnsi="Arial" w:cs="Arial"/>
                <w:b/>
                <w:color w:val="1F1F1F"/>
              </w:rPr>
            </w:pPr>
            <w:r w:rsidRPr="00095A36">
              <w:rPr>
                <w:rFonts w:ascii="Arial" w:hAnsi="Arial" w:cs="Arial"/>
                <w:b/>
                <w:color w:val="1F1F1F"/>
              </w:rPr>
              <w:t>Value (%)</w:t>
            </w:r>
          </w:p>
        </w:tc>
        <w:tc>
          <w:tcPr>
            <w:tcW w:w="1139" w:type="dxa"/>
            <w:vAlign w:val="center"/>
            <w:hideMark/>
          </w:tcPr>
          <w:p w14:paraId="767845A7" w14:textId="42657539" w:rsidR="00AB5E0E" w:rsidRPr="00095A36" w:rsidRDefault="00EB44BF" w:rsidP="002E3784">
            <w:pPr>
              <w:jc w:val="center"/>
              <w:rPr>
                <w:rFonts w:ascii="Arial" w:hAnsi="Arial" w:cs="Arial"/>
                <w:b/>
                <w:color w:val="1F1F1F"/>
              </w:rPr>
            </w:pPr>
            <w:r w:rsidRPr="00095A36">
              <w:rPr>
                <w:rFonts w:ascii="Arial" w:hAnsi="Arial" w:cs="Arial"/>
                <w:b/>
                <w:color w:val="1F1F1F"/>
              </w:rPr>
              <w:t>Scale</w:t>
            </w:r>
            <w:r w:rsidR="00CE1860" w:rsidRPr="00095A36">
              <w:rPr>
                <w:rFonts w:ascii="Arial" w:hAnsi="Arial" w:cs="Arial"/>
                <w:b/>
                <w:color w:val="1F1F1F"/>
              </w:rPr>
              <w:t xml:space="preserve"> </w:t>
            </w:r>
            <w:r w:rsidR="00676471" w:rsidRPr="00095A36">
              <w:rPr>
                <w:rFonts w:ascii="Arial" w:hAnsi="Arial" w:cs="Arial"/>
                <w:b/>
                <w:color w:val="1F1F1F"/>
              </w:rPr>
              <w:t xml:space="preserve">3 </w:t>
            </w:r>
            <w:r w:rsidR="007E0BD5" w:rsidRPr="00095A36">
              <w:rPr>
                <w:rFonts w:ascii="Arial" w:hAnsi="Arial" w:cs="Arial"/>
                <w:b/>
                <w:color w:val="1F1F1F"/>
              </w:rPr>
              <w:t>Value</w:t>
            </w:r>
          </w:p>
          <w:p w14:paraId="62A26A85" w14:textId="158A51FE" w:rsidR="00676471" w:rsidRPr="00095A36" w:rsidRDefault="007E0BD5" w:rsidP="002E3784">
            <w:pPr>
              <w:jc w:val="center"/>
              <w:rPr>
                <w:rFonts w:ascii="Arial" w:hAnsi="Arial" w:cs="Arial"/>
                <w:b/>
                <w:color w:val="1F1F1F"/>
              </w:rPr>
            </w:pPr>
            <w:r w:rsidRPr="00095A36">
              <w:rPr>
                <w:rFonts w:ascii="Arial" w:hAnsi="Arial" w:cs="Arial"/>
                <w:b/>
                <w:color w:val="1F1F1F"/>
              </w:rPr>
              <w:t>(%)</w:t>
            </w:r>
          </w:p>
        </w:tc>
        <w:tc>
          <w:tcPr>
            <w:tcW w:w="1250" w:type="dxa"/>
            <w:vAlign w:val="center"/>
            <w:hideMark/>
          </w:tcPr>
          <w:p w14:paraId="793783BD" w14:textId="494EEDA3" w:rsidR="00AB5E0E" w:rsidRPr="00095A36" w:rsidRDefault="00EB44BF" w:rsidP="002E3784">
            <w:pPr>
              <w:jc w:val="center"/>
              <w:rPr>
                <w:rFonts w:ascii="Arial" w:hAnsi="Arial" w:cs="Arial"/>
                <w:b/>
                <w:color w:val="1F1F1F"/>
              </w:rPr>
            </w:pPr>
            <w:r w:rsidRPr="00095A36">
              <w:rPr>
                <w:rFonts w:ascii="Arial" w:hAnsi="Arial" w:cs="Arial"/>
                <w:b/>
                <w:color w:val="1F1F1F"/>
              </w:rPr>
              <w:t>Scale</w:t>
            </w:r>
            <w:r w:rsidR="00CE1860" w:rsidRPr="00095A36">
              <w:rPr>
                <w:rFonts w:ascii="Arial" w:hAnsi="Arial" w:cs="Arial"/>
                <w:b/>
                <w:color w:val="1F1F1F"/>
              </w:rPr>
              <w:t xml:space="preserve"> </w:t>
            </w:r>
            <w:r w:rsidR="00676471" w:rsidRPr="00095A36">
              <w:rPr>
                <w:rFonts w:ascii="Arial" w:hAnsi="Arial" w:cs="Arial"/>
                <w:b/>
                <w:color w:val="1F1F1F"/>
              </w:rPr>
              <w:t xml:space="preserve">4 </w:t>
            </w:r>
            <w:r w:rsidR="007E0BD5" w:rsidRPr="00095A36">
              <w:rPr>
                <w:rFonts w:ascii="Arial" w:hAnsi="Arial" w:cs="Arial"/>
                <w:b/>
                <w:color w:val="1F1F1F"/>
              </w:rPr>
              <w:t>Value</w:t>
            </w:r>
          </w:p>
          <w:p w14:paraId="0BDD5BEB" w14:textId="0A8A5DA7" w:rsidR="00676471" w:rsidRPr="00095A36" w:rsidRDefault="007E0BD5" w:rsidP="002E3784">
            <w:pPr>
              <w:jc w:val="center"/>
              <w:rPr>
                <w:rFonts w:ascii="Arial" w:hAnsi="Arial" w:cs="Arial"/>
                <w:b/>
                <w:color w:val="1F1F1F"/>
              </w:rPr>
            </w:pPr>
            <w:r w:rsidRPr="00095A36">
              <w:rPr>
                <w:rFonts w:ascii="Arial" w:hAnsi="Arial" w:cs="Arial"/>
                <w:b/>
                <w:color w:val="1F1F1F"/>
              </w:rPr>
              <w:t>(%)</w:t>
            </w:r>
          </w:p>
        </w:tc>
        <w:tc>
          <w:tcPr>
            <w:tcW w:w="1139" w:type="dxa"/>
            <w:vAlign w:val="center"/>
            <w:hideMark/>
          </w:tcPr>
          <w:p w14:paraId="4540E429" w14:textId="73FF6F90" w:rsidR="00AB5E0E" w:rsidRPr="00095A36" w:rsidRDefault="00EB44BF" w:rsidP="002E3784">
            <w:pPr>
              <w:jc w:val="center"/>
              <w:rPr>
                <w:rFonts w:ascii="Arial" w:hAnsi="Arial" w:cs="Arial"/>
                <w:b/>
                <w:color w:val="1F1F1F"/>
              </w:rPr>
            </w:pPr>
            <w:r w:rsidRPr="00095A36">
              <w:rPr>
                <w:rFonts w:ascii="Arial" w:hAnsi="Arial" w:cs="Arial"/>
                <w:b/>
                <w:color w:val="1F1F1F"/>
              </w:rPr>
              <w:t>Scale</w:t>
            </w:r>
            <w:r w:rsidR="00CE1860" w:rsidRPr="00095A36">
              <w:rPr>
                <w:rFonts w:ascii="Arial" w:hAnsi="Arial" w:cs="Arial"/>
                <w:b/>
                <w:color w:val="1F1F1F"/>
              </w:rPr>
              <w:t xml:space="preserve"> </w:t>
            </w:r>
            <w:r w:rsidR="00676471" w:rsidRPr="00095A36">
              <w:rPr>
                <w:rFonts w:ascii="Arial" w:hAnsi="Arial" w:cs="Arial"/>
                <w:b/>
                <w:color w:val="1F1F1F"/>
              </w:rPr>
              <w:t xml:space="preserve">5 </w:t>
            </w:r>
            <w:r w:rsidR="007E0BD5" w:rsidRPr="00095A36">
              <w:rPr>
                <w:rFonts w:ascii="Arial" w:hAnsi="Arial" w:cs="Arial"/>
                <w:b/>
                <w:color w:val="1F1F1F"/>
              </w:rPr>
              <w:t>Value</w:t>
            </w:r>
          </w:p>
          <w:p w14:paraId="461BF38E" w14:textId="02745DD8" w:rsidR="00676471" w:rsidRPr="00095A36" w:rsidRDefault="007E0BD5" w:rsidP="002E3784">
            <w:pPr>
              <w:jc w:val="center"/>
              <w:rPr>
                <w:rFonts w:ascii="Arial" w:hAnsi="Arial" w:cs="Arial"/>
                <w:b/>
                <w:color w:val="1F1F1F"/>
              </w:rPr>
            </w:pPr>
            <w:r w:rsidRPr="00095A36">
              <w:rPr>
                <w:rFonts w:ascii="Arial" w:hAnsi="Arial" w:cs="Arial"/>
                <w:b/>
                <w:color w:val="1F1F1F"/>
              </w:rPr>
              <w:t>(%)</w:t>
            </w:r>
          </w:p>
        </w:tc>
        <w:tc>
          <w:tcPr>
            <w:tcW w:w="790" w:type="dxa"/>
            <w:vAlign w:val="center"/>
            <w:hideMark/>
          </w:tcPr>
          <w:p w14:paraId="395B565E" w14:textId="77777777" w:rsidR="00676471" w:rsidRPr="00095A36" w:rsidRDefault="00676471" w:rsidP="002E3784">
            <w:pPr>
              <w:jc w:val="center"/>
              <w:rPr>
                <w:rFonts w:ascii="Arial" w:hAnsi="Arial" w:cs="Arial"/>
                <w:b/>
                <w:color w:val="1F1F1F"/>
              </w:rPr>
            </w:pPr>
            <w:r w:rsidRPr="00095A36">
              <w:rPr>
                <w:rFonts w:ascii="Arial" w:hAnsi="Arial" w:cs="Arial"/>
                <w:b/>
                <w:color w:val="1F1F1F"/>
              </w:rPr>
              <w:t>Total</w:t>
            </w:r>
          </w:p>
        </w:tc>
        <w:tc>
          <w:tcPr>
            <w:tcW w:w="851" w:type="dxa"/>
            <w:vAlign w:val="center"/>
            <w:hideMark/>
          </w:tcPr>
          <w:p w14:paraId="000D2E71" w14:textId="77777777" w:rsidR="00676471" w:rsidRPr="00095A36" w:rsidRDefault="00676471" w:rsidP="002E3784">
            <w:pPr>
              <w:jc w:val="center"/>
              <w:rPr>
                <w:rFonts w:ascii="Arial" w:hAnsi="Arial" w:cs="Arial"/>
                <w:b/>
                <w:color w:val="1F1F1F"/>
              </w:rPr>
            </w:pPr>
            <w:r w:rsidRPr="00095A36">
              <w:rPr>
                <w:rFonts w:ascii="Arial" w:hAnsi="Arial" w:cs="Arial"/>
                <w:b/>
                <w:color w:val="1F1F1F"/>
              </w:rPr>
              <w:t>Mean</w:t>
            </w:r>
          </w:p>
        </w:tc>
      </w:tr>
      <w:tr w:rsidR="00AB5E0E" w:rsidRPr="00095A36" w14:paraId="6DBD12E6" w14:textId="77777777" w:rsidTr="007A0D88">
        <w:trPr>
          <w:trHeight w:val="585"/>
        </w:trPr>
        <w:tc>
          <w:tcPr>
            <w:tcW w:w="995" w:type="dxa"/>
            <w:vAlign w:val="center"/>
            <w:hideMark/>
          </w:tcPr>
          <w:p w14:paraId="718AECDC" w14:textId="77777777" w:rsidR="00676471" w:rsidRPr="00095A36" w:rsidRDefault="00676471" w:rsidP="002E3784">
            <w:pPr>
              <w:jc w:val="center"/>
              <w:rPr>
                <w:rFonts w:ascii="Arial" w:hAnsi="Arial" w:cs="Arial"/>
                <w:b/>
                <w:color w:val="1F1F1F"/>
              </w:rPr>
            </w:pPr>
            <w:r w:rsidRPr="00095A36">
              <w:rPr>
                <w:rFonts w:ascii="Arial" w:hAnsi="Arial" w:cs="Arial"/>
                <w:b/>
                <w:color w:val="1F1F1F"/>
              </w:rPr>
              <w:t>X1</w:t>
            </w:r>
          </w:p>
        </w:tc>
        <w:tc>
          <w:tcPr>
            <w:tcW w:w="947" w:type="dxa"/>
            <w:vAlign w:val="center"/>
            <w:hideMark/>
          </w:tcPr>
          <w:p w14:paraId="79ADB869" w14:textId="77777777" w:rsidR="00676471" w:rsidRPr="00095A36" w:rsidRDefault="00676471" w:rsidP="002E3784">
            <w:pPr>
              <w:jc w:val="center"/>
              <w:rPr>
                <w:rFonts w:ascii="Arial" w:hAnsi="Arial" w:cs="Arial"/>
                <w:color w:val="1F1F1F"/>
              </w:rPr>
            </w:pPr>
            <w:r w:rsidRPr="00095A36">
              <w:rPr>
                <w:rFonts w:ascii="Arial" w:hAnsi="Arial" w:cs="Arial"/>
                <w:color w:val="1F1F1F"/>
              </w:rPr>
              <w:t>5 (1.3%)</w:t>
            </w:r>
          </w:p>
        </w:tc>
        <w:tc>
          <w:tcPr>
            <w:tcW w:w="970" w:type="dxa"/>
            <w:vAlign w:val="center"/>
            <w:hideMark/>
          </w:tcPr>
          <w:p w14:paraId="188891F4" w14:textId="77777777" w:rsidR="00676471" w:rsidRPr="00095A36" w:rsidRDefault="00676471" w:rsidP="002E3784">
            <w:pPr>
              <w:ind w:firstLineChars="100" w:firstLine="200"/>
              <w:jc w:val="center"/>
              <w:rPr>
                <w:rFonts w:ascii="Arial" w:hAnsi="Arial" w:cs="Arial"/>
                <w:color w:val="1F1F1F"/>
              </w:rPr>
            </w:pPr>
            <w:r w:rsidRPr="00095A36">
              <w:rPr>
                <w:rFonts w:ascii="Arial" w:hAnsi="Arial" w:cs="Arial"/>
                <w:color w:val="1F1F1F"/>
              </w:rPr>
              <w:t>24 (6.2%)</w:t>
            </w:r>
          </w:p>
        </w:tc>
        <w:tc>
          <w:tcPr>
            <w:tcW w:w="1139" w:type="dxa"/>
            <w:vAlign w:val="center"/>
            <w:hideMark/>
          </w:tcPr>
          <w:p w14:paraId="4A53F038" w14:textId="77777777" w:rsidR="00676471" w:rsidRPr="00095A36" w:rsidRDefault="00676471" w:rsidP="002E3784">
            <w:pPr>
              <w:jc w:val="center"/>
              <w:rPr>
                <w:rFonts w:ascii="Arial" w:hAnsi="Arial" w:cs="Arial"/>
                <w:color w:val="1F1F1F"/>
              </w:rPr>
            </w:pPr>
            <w:r w:rsidRPr="00095A36">
              <w:rPr>
                <w:rFonts w:ascii="Arial" w:hAnsi="Arial" w:cs="Arial"/>
                <w:color w:val="1F1F1F"/>
              </w:rPr>
              <w:t>98 (25.5%)</w:t>
            </w:r>
          </w:p>
        </w:tc>
        <w:tc>
          <w:tcPr>
            <w:tcW w:w="1250" w:type="dxa"/>
            <w:vAlign w:val="center"/>
            <w:hideMark/>
          </w:tcPr>
          <w:p w14:paraId="1857EECD" w14:textId="77777777" w:rsidR="00AB5E0E" w:rsidRPr="00095A36" w:rsidRDefault="00676471" w:rsidP="002E3784">
            <w:pPr>
              <w:jc w:val="center"/>
              <w:rPr>
                <w:rFonts w:ascii="Arial" w:hAnsi="Arial" w:cs="Arial"/>
                <w:color w:val="1F1F1F"/>
              </w:rPr>
            </w:pPr>
            <w:r w:rsidRPr="00095A36">
              <w:rPr>
                <w:rFonts w:ascii="Arial" w:hAnsi="Arial" w:cs="Arial"/>
                <w:color w:val="1F1F1F"/>
              </w:rPr>
              <w:t>161</w:t>
            </w:r>
          </w:p>
          <w:p w14:paraId="11335F20" w14:textId="3CDD7ED8" w:rsidR="00676471" w:rsidRPr="00095A36" w:rsidRDefault="00676471" w:rsidP="002E3784">
            <w:pPr>
              <w:jc w:val="center"/>
              <w:rPr>
                <w:rFonts w:ascii="Arial" w:hAnsi="Arial" w:cs="Arial"/>
                <w:color w:val="1F1F1F"/>
              </w:rPr>
            </w:pPr>
            <w:r w:rsidRPr="00095A36">
              <w:rPr>
                <w:rFonts w:ascii="Arial" w:hAnsi="Arial" w:cs="Arial"/>
                <w:color w:val="1F1F1F"/>
              </w:rPr>
              <w:t>(41.8%)</w:t>
            </w:r>
          </w:p>
        </w:tc>
        <w:tc>
          <w:tcPr>
            <w:tcW w:w="1139" w:type="dxa"/>
            <w:vAlign w:val="center"/>
            <w:hideMark/>
          </w:tcPr>
          <w:p w14:paraId="64CE9C50" w14:textId="77777777" w:rsidR="00AB5E0E" w:rsidRPr="00095A36" w:rsidRDefault="00676471" w:rsidP="002E3784">
            <w:pPr>
              <w:jc w:val="center"/>
              <w:rPr>
                <w:rFonts w:ascii="Arial" w:hAnsi="Arial" w:cs="Arial"/>
                <w:color w:val="1F1F1F"/>
              </w:rPr>
            </w:pPr>
            <w:r w:rsidRPr="00095A36">
              <w:rPr>
                <w:rFonts w:ascii="Arial" w:hAnsi="Arial" w:cs="Arial"/>
                <w:color w:val="1F1F1F"/>
              </w:rPr>
              <w:t>97</w:t>
            </w:r>
          </w:p>
          <w:p w14:paraId="7AD50CBD" w14:textId="32FB112C" w:rsidR="00676471" w:rsidRPr="00095A36" w:rsidRDefault="00C40F37" w:rsidP="002E3784">
            <w:pPr>
              <w:jc w:val="center"/>
              <w:rPr>
                <w:rFonts w:ascii="Arial" w:hAnsi="Arial" w:cs="Arial"/>
                <w:color w:val="1F1F1F"/>
              </w:rPr>
            </w:pPr>
            <w:r w:rsidRPr="00095A36">
              <w:rPr>
                <w:rFonts w:ascii="Arial" w:hAnsi="Arial" w:cs="Arial"/>
                <w:color w:val="1F1F1F"/>
              </w:rPr>
              <w:t>(</w:t>
            </w:r>
            <w:r w:rsidR="00676471" w:rsidRPr="00095A36">
              <w:rPr>
                <w:rFonts w:ascii="Arial" w:hAnsi="Arial" w:cs="Arial"/>
                <w:color w:val="1F1F1F"/>
              </w:rPr>
              <w:t>25.2%)</w:t>
            </w:r>
          </w:p>
        </w:tc>
        <w:tc>
          <w:tcPr>
            <w:tcW w:w="790" w:type="dxa"/>
            <w:vAlign w:val="center"/>
            <w:hideMark/>
          </w:tcPr>
          <w:p w14:paraId="5A569EC0" w14:textId="77777777" w:rsidR="00676471" w:rsidRPr="00095A36" w:rsidRDefault="00676471"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481521C3" w14:textId="77777777" w:rsidR="00676471" w:rsidRPr="00095A36" w:rsidRDefault="00676471" w:rsidP="002E3784">
            <w:pPr>
              <w:jc w:val="center"/>
              <w:rPr>
                <w:rFonts w:ascii="Arial" w:hAnsi="Arial" w:cs="Arial"/>
                <w:b/>
                <w:color w:val="1F1F1F"/>
              </w:rPr>
            </w:pPr>
            <w:r w:rsidRPr="00095A36">
              <w:rPr>
                <w:rFonts w:ascii="Arial" w:hAnsi="Arial" w:cs="Arial"/>
                <w:b/>
                <w:color w:val="1F1F1F"/>
              </w:rPr>
              <w:t>3.83</w:t>
            </w:r>
          </w:p>
        </w:tc>
      </w:tr>
      <w:tr w:rsidR="00AB5E0E" w:rsidRPr="00095A36" w14:paraId="02B35D78" w14:textId="77777777" w:rsidTr="007A0D88">
        <w:trPr>
          <w:trHeight w:val="585"/>
        </w:trPr>
        <w:tc>
          <w:tcPr>
            <w:tcW w:w="995" w:type="dxa"/>
            <w:vAlign w:val="center"/>
            <w:hideMark/>
          </w:tcPr>
          <w:p w14:paraId="098AF253" w14:textId="77777777" w:rsidR="00676471" w:rsidRPr="00095A36" w:rsidRDefault="00676471" w:rsidP="002E3784">
            <w:pPr>
              <w:jc w:val="center"/>
              <w:rPr>
                <w:rFonts w:ascii="Arial" w:hAnsi="Arial" w:cs="Arial"/>
                <w:b/>
                <w:color w:val="1F1F1F"/>
              </w:rPr>
            </w:pPr>
            <w:r w:rsidRPr="00095A36">
              <w:rPr>
                <w:rFonts w:ascii="Arial" w:hAnsi="Arial" w:cs="Arial"/>
                <w:b/>
                <w:color w:val="1F1F1F"/>
              </w:rPr>
              <w:t>X1.2</w:t>
            </w:r>
          </w:p>
        </w:tc>
        <w:tc>
          <w:tcPr>
            <w:tcW w:w="947" w:type="dxa"/>
            <w:vAlign w:val="center"/>
            <w:hideMark/>
          </w:tcPr>
          <w:p w14:paraId="327F1BDE" w14:textId="77777777" w:rsidR="00676471" w:rsidRPr="00095A36" w:rsidRDefault="00676471" w:rsidP="002E3784">
            <w:pPr>
              <w:jc w:val="center"/>
              <w:rPr>
                <w:rFonts w:ascii="Arial" w:hAnsi="Arial" w:cs="Arial"/>
                <w:color w:val="1F1F1F"/>
              </w:rPr>
            </w:pPr>
            <w:r w:rsidRPr="00095A36">
              <w:rPr>
                <w:rFonts w:ascii="Arial" w:hAnsi="Arial" w:cs="Arial"/>
                <w:color w:val="1F1F1F"/>
              </w:rPr>
              <w:t>5 (1.3%)</w:t>
            </w:r>
          </w:p>
        </w:tc>
        <w:tc>
          <w:tcPr>
            <w:tcW w:w="970" w:type="dxa"/>
            <w:vAlign w:val="center"/>
            <w:hideMark/>
          </w:tcPr>
          <w:p w14:paraId="515CD296" w14:textId="77777777" w:rsidR="00676471" w:rsidRPr="00095A36" w:rsidRDefault="00676471" w:rsidP="002E3784">
            <w:pPr>
              <w:ind w:firstLineChars="100" w:firstLine="200"/>
              <w:jc w:val="center"/>
              <w:rPr>
                <w:rFonts w:ascii="Arial" w:hAnsi="Arial" w:cs="Arial"/>
                <w:color w:val="1F1F1F"/>
              </w:rPr>
            </w:pPr>
            <w:r w:rsidRPr="00095A36">
              <w:rPr>
                <w:rFonts w:ascii="Arial" w:hAnsi="Arial" w:cs="Arial"/>
                <w:color w:val="1F1F1F"/>
              </w:rPr>
              <w:t>30 (7.8%)</w:t>
            </w:r>
          </w:p>
        </w:tc>
        <w:tc>
          <w:tcPr>
            <w:tcW w:w="1139" w:type="dxa"/>
            <w:vAlign w:val="center"/>
            <w:hideMark/>
          </w:tcPr>
          <w:p w14:paraId="7107B482" w14:textId="77777777" w:rsidR="00676471" w:rsidRPr="00095A36" w:rsidRDefault="00676471" w:rsidP="002E3784">
            <w:pPr>
              <w:jc w:val="center"/>
              <w:rPr>
                <w:rFonts w:ascii="Arial" w:hAnsi="Arial" w:cs="Arial"/>
                <w:color w:val="1F1F1F"/>
              </w:rPr>
            </w:pPr>
            <w:r w:rsidRPr="00095A36">
              <w:rPr>
                <w:rFonts w:ascii="Arial" w:hAnsi="Arial" w:cs="Arial"/>
                <w:color w:val="1F1F1F"/>
              </w:rPr>
              <w:t>91 (23.6%)</w:t>
            </w:r>
          </w:p>
        </w:tc>
        <w:tc>
          <w:tcPr>
            <w:tcW w:w="1250" w:type="dxa"/>
            <w:vAlign w:val="center"/>
            <w:hideMark/>
          </w:tcPr>
          <w:p w14:paraId="4FA4CE45" w14:textId="77777777" w:rsidR="00676471" w:rsidRPr="00095A36" w:rsidRDefault="00676471" w:rsidP="002E3784">
            <w:pPr>
              <w:jc w:val="center"/>
              <w:rPr>
                <w:rFonts w:ascii="Arial" w:hAnsi="Arial" w:cs="Arial"/>
                <w:color w:val="1F1F1F"/>
              </w:rPr>
            </w:pPr>
            <w:r w:rsidRPr="00095A36">
              <w:rPr>
                <w:rFonts w:ascii="Arial" w:hAnsi="Arial" w:cs="Arial"/>
                <w:color w:val="1F1F1F"/>
              </w:rPr>
              <w:t>159 (41.3%)</w:t>
            </w:r>
          </w:p>
        </w:tc>
        <w:tc>
          <w:tcPr>
            <w:tcW w:w="1139" w:type="dxa"/>
            <w:vAlign w:val="center"/>
            <w:hideMark/>
          </w:tcPr>
          <w:p w14:paraId="008A0E41" w14:textId="77777777" w:rsidR="00676471" w:rsidRPr="00095A36" w:rsidRDefault="00676471" w:rsidP="002E3784">
            <w:pPr>
              <w:jc w:val="center"/>
              <w:rPr>
                <w:rFonts w:ascii="Arial" w:hAnsi="Arial" w:cs="Arial"/>
                <w:color w:val="1F1F1F"/>
              </w:rPr>
            </w:pPr>
            <w:r w:rsidRPr="00095A36">
              <w:rPr>
                <w:rFonts w:ascii="Arial" w:hAnsi="Arial" w:cs="Arial"/>
                <w:color w:val="1F1F1F"/>
              </w:rPr>
              <w:t>100 (26.0%)</w:t>
            </w:r>
          </w:p>
        </w:tc>
        <w:tc>
          <w:tcPr>
            <w:tcW w:w="790" w:type="dxa"/>
            <w:vAlign w:val="center"/>
            <w:hideMark/>
          </w:tcPr>
          <w:p w14:paraId="4B517747" w14:textId="77777777" w:rsidR="00676471" w:rsidRPr="00095A36" w:rsidRDefault="00676471"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0F59CA52" w14:textId="77777777" w:rsidR="00676471" w:rsidRPr="00095A36" w:rsidRDefault="00676471" w:rsidP="002E3784">
            <w:pPr>
              <w:jc w:val="center"/>
              <w:rPr>
                <w:rFonts w:ascii="Arial" w:hAnsi="Arial" w:cs="Arial"/>
                <w:b/>
                <w:color w:val="1F1F1F"/>
              </w:rPr>
            </w:pPr>
            <w:r w:rsidRPr="00095A36">
              <w:rPr>
                <w:rFonts w:ascii="Arial" w:hAnsi="Arial" w:cs="Arial"/>
                <w:b/>
                <w:color w:val="1F1F1F"/>
              </w:rPr>
              <w:t>3.83</w:t>
            </w:r>
          </w:p>
        </w:tc>
      </w:tr>
      <w:tr w:rsidR="00AB5E0E" w:rsidRPr="00095A36" w14:paraId="3B7E972A" w14:textId="77777777" w:rsidTr="007A0D88">
        <w:trPr>
          <w:trHeight w:val="585"/>
        </w:trPr>
        <w:tc>
          <w:tcPr>
            <w:tcW w:w="995" w:type="dxa"/>
            <w:vAlign w:val="center"/>
            <w:hideMark/>
          </w:tcPr>
          <w:p w14:paraId="3615887B" w14:textId="77777777" w:rsidR="00676471" w:rsidRPr="00095A36" w:rsidRDefault="00676471" w:rsidP="002E3784">
            <w:pPr>
              <w:jc w:val="center"/>
              <w:rPr>
                <w:rFonts w:ascii="Arial" w:hAnsi="Arial" w:cs="Arial"/>
                <w:b/>
                <w:color w:val="1F1F1F"/>
              </w:rPr>
            </w:pPr>
            <w:r w:rsidRPr="00095A36">
              <w:rPr>
                <w:rFonts w:ascii="Arial" w:hAnsi="Arial" w:cs="Arial"/>
                <w:b/>
                <w:color w:val="1F1F1F"/>
              </w:rPr>
              <w:t>X1.3</w:t>
            </w:r>
          </w:p>
        </w:tc>
        <w:tc>
          <w:tcPr>
            <w:tcW w:w="947" w:type="dxa"/>
            <w:vAlign w:val="center"/>
            <w:hideMark/>
          </w:tcPr>
          <w:p w14:paraId="73219FE3" w14:textId="77777777" w:rsidR="00676471" w:rsidRPr="00095A36" w:rsidRDefault="00676471" w:rsidP="002E3784">
            <w:pPr>
              <w:jc w:val="center"/>
              <w:rPr>
                <w:rFonts w:ascii="Arial" w:hAnsi="Arial" w:cs="Arial"/>
                <w:color w:val="1F1F1F"/>
              </w:rPr>
            </w:pPr>
            <w:r w:rsidRPr="00095A36">
              <w:rPr>
                <w:rFonts w:ascii="Arial" w:hAnsi="Arial" w:cs="Arial"/>
                <w:color w:val="1F1F1F"/>
              </w:rPr>
              <w:t>5 (1.3%)</w:t>
            </w:r>
          </w:p>
        </w:tc>
        <w:tc>
          <w:tcPr>
            <w:tcW w:w="970" w:type="dxa"/>
            <w:vAlign w:val="center"/>
            <w:hideMark/>
          </w:tcPr>
          <w:p w14:paraId="6BFFCA10" w14:textId="77777777" w:rsidR="00676471" w:rsidRPr="00095A36" w:rsidRDefault="00676471" w:rsidP="002E3784">
            <w:pPr>
              <w:ind w:firstLineChars="100" w:firstLine="200"/>
              <w:jc w:val="center"/>
              <w:rPr>
                <w:rFonts w:ascii="Arial" w:hAnsi="Arial" w:cs="Arial"/>
                <w:color w:val="1F1F1F"/>
              </w:rPr>
            </w:pPr>
            <w:r w:rsidRPr="00095A36">
              <w:rPr>
                <w:rFonts w:ascii="Arial" w:hAnsi="Arial" w:cs="Arial"/>
                <w:color w:val="1F1F1F"/>
              </w:rPr>
              <w:t>25 (6.5%)</w:t>
            </w:r>
          </w:p>
        </w:tc>
        <w:tc>
          <w:tcPr>
            <w:tcW w:w="1139" w:type="dxa"/>
            <w:vAlign w:val="center"/>
            <w:hideMark/>
          </w:tcPr>
          <w:p w14:paraId="4EF7B8BB" w14:textId="77777777" w:rsidR="00676471" w:rsidRPr="00095A36" w:rsidRDefault="00676471" w:rsidP="002E3784">
            <w:pPr>
              <w:jc w:val="center"/>
              <w:rPr>
                <w:rFonts w:ascii="Arial" w:hAnsi="Arial" w:cs="Arial"/>
                <w:color w:val="1F1F1F"/>
              </w:rPr>
            </w:pPr>
            <w:r w:rsidRPr="00095A36">
              <w:rPr>
                <w:rFonts w:ascii="Arial" w:hAnsi="Arial" w:cs="Arial"/>
                <w:color w:val="1F1F1F"/>
              </w:rPr>
              <w:t>99 (25.7%)</w:t>
            </w:r>
          </w:p>
        </w:tc>
        <w:tc>
          <w:tcPr>
            <w:tcW w:w="1250" w:type="dxa"/>
            <w:vAlign w:val="center"/>
            <w:hideMark/>
          </w:tcPr>
          <w:p w14:paraId="1076AD96" w14:textId="77777777" w:rsidR="00676471" w:rsidRPr="00095A36" w:rsidRDefault="00676471" w:rsidP="002E3784">
            <w:pPr>
              <w:jc w:val="center"/>
              <w:rPr>
                <w:rFonts w:ascii="Arial" w:hAnsi="Arial" w:cs="Arial"/>
                <w:color w:val="1F1F1F"/>
              </w:rPr>
            </w:pPr>
            <w:r w:rsidRPr="00095A36">
              <w:rPr>
                <w:rFonts w:ascii="Arial" w:hAnsi="Arial" w:cs="Arial"/>
                <w:color w:val="1F1F1F"/>
              </w:rPr>
              <w:t>147 (38.2%)</w:t>
            </w:r>
          </w:p>
        </w:tc>
        <w:tc>
          <w:tcPr>
            <w:tcW w:w="1139" w:type="dxa"/>
            <w:vAlign w:val="center"/>
            <w:hideMark/>
          </w:tcPr>
          <w:p w14:paraId="33EE0A31" w14:textId="77777777" w:rsidR="00676471" w:rsidRPr="00095A36" w:rsidRDefault="00676471" w:rsidP="002E3784">
            <w:pPr>
              <w:jc w:val="center"/>
              <w:rPr>
                <w:rFonts w:ascii="Arial" w:hAnsi="Arial" w:cs="Arial"/>
                <w:color w:val="1F1F1F"/>
              </w:rPr>
            </w:pPr>
            <w:r w:rsidRPr="00095A36">
              <w:rPr>
                <w:rFonts w:ascii="Arial" w:hAnsi="Arial" w:cs="Arial"/>
                <w:color w:val="1F1F1F"/>
              </w:rPr>
              <w:t>109 (28.3%)</w:t>
            </w:r>
          </w:p>
        </w:tc>
        <w:tc>
          <w:tcPr>
            <w:tcW w:w="790" w:type="dxa"/>
            <w:vAlign w:val="center"/>
            <w:hideMark/>
          </w:tcPr>
          <w:p w14:paraId="4E09C434" w14:textId="77777777" w:rsidR="00676471" w:rsidRPr="00095A36" w:rsidRDefault="00676471"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67B8E6E4" w14:textId="77777777" w:rsidR="00676471" w:rsidRPr="00095A36" w:rsidRDefault="00676471" w:rsidP="002E3784">
            <w:pPr>
              <w:jc w:val="center"/>
              <w:rPr>
                <w:rFonts w:ascii="Arial" w:hAnsi="Arial" w:cs="Arial"/>
                <w:b/>
                <w:color w:val="1F1F1F"/>
              </w:rPr>
            </w:pPr>
            <w:r w:rsidRPr="00095A36">
              <w:rPr>
                <w:rFonts w:ascii="Arial" w:hAnsi="Arial" w:cs="Arial"/>
                <w:b/>
                <w:color w:val="1F1F1F"/>
              </w:rPr>
              <w:t>3.86</w:t>
            </w:r>
          </w:p>
        </w:tc>
      </w:tr>
      <w:tr w:rsidR="00AB5E0E" w:rsidRPr="00095A36" w14:paraId="7CC0A2F8" w14:textId="77777777" w:rsidTr="007A0D88">
        <w:trPr>
          <w:trHeight w:val="585"/>
        </w:trPr>
        <w:tc>
          <w:tcPr>
            <w:tcW w:w="995" w:type="dxa"/>
            <w:vAlign w:val="center"/>
            <w:hideMark/>
          </w:tcPr>
          <w:p w14:paraId="0279F40A" w14:textId="77777777" w:rsidR="00676471" w:rsidRPr="00095A36" w:rsidRDefault="00676471" w:rsidP="002E3784">
            <w:pPr>
              <w:jc w:val="center"/>
              <w:rPr>
                <w:rFonts w:ascii="Arial" w:hAnsi="Arial" w:cs="Arial"/>
                <w:b/>
                <w:color w:val="1F1F1F"/>
              </w:rPr>
            </w:pPr>
            <w:r w:rsidRPr="00095A36">
              <w:rPr>
                <w:rFonts w:ascii="Arial" w:hAnsi="Arial" w:cs="Arial"/>
                <w:b/>
                <w:color w:val="1F1F1F"/>
              </w:rPr>
              <w:t>X1.4</w:t>
            </w:r>
          </w:p>
        </w:tc>
        <w:tc>
          <w:tcPr>
            <w:tcW w:w="947" w:type="dxa"/>
            <w:vAlign w:val="center"/>
            <w:hideMark/>
          </w:tcPr>
          <w:p w14:paraId="1B93C594" w14:textId="77777777" w:rsidR="00676471" w:rsidRPr="00095A36" w:rsidRDefault="00676471" w:rsidP="002E3784">
            <w:pPr>
              <w:jc w:val="center"/>
              <w:rPr>
                <w:rFonts w:ascii="Arial" w:hAnsi="Arial" w:cs="Arial"/>
                <w:color w:val="1F1F1F"/>
              </w:rPr>
            </w:pPr>
            <w:r w:rsidRPr="00095A36">
              <w:rPr>
                <w:rFonts w:ascii="Arial" w:hAnsi="Arial" w:cs="Arial"/>
                <w:color w:val="1F1F1F"/>
              </w:rPr>
              <w:t>2 (0.5%)</w:t>
            </w:r>
          </w:p>
        </w:tc>
        <w:tc>
          <w:tcPr>
            <w:tcW w:w="970" w:type="dxa"/>
            <w:vAlign w:val="center"/>
            <w:hideMark/>
          </w:tcPr>
          <w:p w14:paraId="0F0F7D1D" w14:textId="77777777" w:rsidR="00676471" w:rsidRPr="00095A36" w:rsidRDefault="00676471" w:rsidP="002E3784">
            <w:pPr>
              <w:ind w:firstLineChars="100" w:firstLine="200"/>
              <w:jc w:val="center"/>
              <w:rPr>
                <w:rFonts w:ascii="Arial" w:hAnsi="Arial" w:cs="Arial"/>
                <w:color w:val="1F1F1F"/>
              </w:rPr>
            </w:pPr>
            <w:r w:rsidRPr="00095A36">
              <w:rPr>
                <w:rFonts w:ascii="Arial" w:hAnsi="Arial" w:cs="Arial"/>
                <w:color w:val="1F1F1F"/>
              </w:rPr>
              <w:t>25 (6.5%)</w:t>
            </w:r>
          </w:p>
        </w:tc>
        <w:tc>
          <w:tcPr>
            <w:tcW w:w="1139" w:type="dxa"/>
            <w:vAlign w:val="center"/>
            <w:hideMark/>
          </w:tcPr>
          <w:p w14:paraId="603F6A72" w14:textId="77777777" w:rsidR="00676471" w:rsidRPr="00095A36" w:rsidRDefault="00676471" w:rsidP="002E3784">
            <w:pPr>
              <w:jc w:val="center"/>
              <w:rPr>
                <w:rFonts w:ascii="Arial" w:hAnsi="Arial" w:cs="Arial"/>
                <w:color w:val="1F1F1F"/>
              </w:rPr>
            </w:pPr>
            <w:r w:rsidRPr="00095A36">
              <w:rPr>
                <w:rFonts w:ascii="Arial" w:hAnsi="Arial" w:cs="Arial"/>
                <w:color w:val="1F1F1F"/>
              </w:rPr>
              <w:t>97 (25.2%)</w:t>
            </w:r>
          </w:p>
        </w:tc>
        <w:tc>
          <w:tcPr>
            <w:tcW w:w="1250" w:type="dxa"/>
            <w:vAlign w:val="center"/>
            <w:hideMark/>
          </w:tcPr>
          <w:p w14:paraId="7BE377FE" w14:textId="77777777" w:rsidR="00676471" w:rsidRPr="00095A36" w:rsidRDefault="00676471" w:rsidP="002E3784">
            <w:pPr>
              <w:jc w:val="center"/>
              <w:rPr>
                <w:rFonts w:ascii="Arial" w:hAnsi="Arial" w:cs="Arial"/>
                <w:color w:val="1F1F1F"/>
              </w:rPr>
            </w:pPr>
            <w:r w:rsidRPr="00095A36">
              <w:rPr>
                <w:rFonts w:ascii="Arial" w:hAnsi="Arial" w:cs="Arial"/>
                <w:color w:val="1F1F1F"/>
              </w:rPr>
              <w:t>160 (41.6%)</w:t>
            </w:r>
          </w:p>
        </w:tc>
        <w:tc>
          <w:tcPr>
            <w:tcW w:w="1139" w:type="dxa"/>
            <w:vAlign w:val="center"/>
            <w:hideMark/>
          </w:tcPr>
          <w:p w14:paraId="607F50A5" w14:textId="77777777" w:rsidR="00676471" w:rsidRPr="00095A36" w:rsidRDefault="00676471" w:rsidP="002E3784">
            <w:pPr>
              <w:jc w:val="center"/>
              <w:rPr>
                <w:rFonts w:ascii="Arial" w:hAnsi="Arial" w:cs="Arial"/>
                <w:color w:val="1F1F1F"/>
              </w:rPr>
            </w:pPr>
            <w:r w:rsidRPr="00095A36">
              <w:rPr>
                <w:rFonts w:ascii="Arial" w:hAnsi="Arial" w:cs="Arial"/>
                <w:color w:val="1F1F1F"/>
              </w:rPr>
              <w:t>101 (26.2%)</w:t>
            </w:r>
          </w:p>
        </w:tc>
        <w:tc>
          <w:tcPr>
            <w:tcW w:w="790" w:type="dxa"/>
            <w:vAlign w:val="center"/>
            <w:hideMark/>
          </w:tcPr>
          <w:p w14:paraId="0F45B012" w14:textId="77777777" w:rsidR="00676471" w:rsidRPr="00095A36" w:rsidRDefault="00676471"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7F806C1D" w14:textId="77777777" w:rsidR="00676471" w:rsidRPr="00095A36" w:rsidRDefault="00676471" w:rsidP="002E3784">
            <w:pPr>
              <w:jc w:val="center"/>
              <w:rPr>
                <w:rFonts w:ascii="Arial" w:hAnsi="Arial" w:cs="Arial"/>
                <w:b/>
                <w:color w:val="1F1F1F"/>
              </w:rPr>
            </w:pPr>
            <w:r w:rsidRPr="00095A36">
              <w:rPr>
                <w:rFonts w:ascii="Arial" w:hAnsi="Arial" w:cs="Arial"/>
                <w:b/>
                <w:color w:val="1F1F1F"/>
              </w:rPr>
              <w:t>3.86</w:t>
            </w:r>
          </w:p>
        </w:tc>
      </w:tr>
      <w:tr w:rsidR="00AB5E0E" w:rsidRPr="00095A36" w14:paraId="171E702A" w14:textId="77777777" w:rsidTr="007A0D88">
        <w:trPr>
          <w:trHeight w:val="585"/>
        </w:trPr>
        <w:tc>
          <w:tcPr>
            <w:tcW w:w="995" w:type="dxa"/>
            <w:vAlign w:val="center"/>
            <w:hideMark/>
          </w:tcPr>
          <w:p w14:paraId="05390FD7" w14:textId="77777777" w:rsidR="00676471" w:rsidRPr="00095A36" w:rsidRDefault="00676471" w:rsidP="002E3784">
            <w:pPr>
              <w:jc w:val="center"/>
              <w:rPr>
                <w:rFonts w:ascii="Arial" w:hAnsi="Arial" w:cs="Arial"/>
                <w:b/>
                <w:color w:val="1F1F1F"/>
              </w:rPr>
            </w:pPr>
            <w:r w:rsidRPr="00095A36">
              <w:rPr>
                <w:rFonts w:ascii="Arial" w:hAnsi="Arial" w:cs="Arial"/>
                <w:b/>
                <w:color w:val="1F1F1F"/>
              </w:rPr>
              <w:t>X1.5</w:t>
            </w:r>
          </w:p>
        </w:tc>
        <w:tc>
          <w:tcPr>
            <w:tcW w:w="947" w:type="dxa"/>
            <w:vAlign w:val="center"/>
            <w:hideMark/>
          </w:tcPr>
          <w:p w14:paraId="79215570" w14:textId="77777777" w:rsidR="00676471" w:rsidRPr="00095A36" w:rsidRDefault="00676471" w:rsidP="002E3784">
            <w:pPr>
              <w:jc w:val="center"/>
              <w:rPr>
                <w:rFonts w:ascii="Arial" w:hAnsi="Arial" w:cs="Arial"/>
                <w:color w:val="1F1F1F"/>
              </w:rPr>
            </w:pPr>
            <w:r w:rsidRPr="00095A36">
              <w:rPr>
                <w:rFonts w:ascii="Arial" w:hAnsi="Arial" w:cs="Arial"/>
                <w:color w:val="1F1F1F"/>
              </w:rPr>
              <w:t>2 (0.5%)</w:t>
            </w:r>
          </w:p>
        </w:tc>
        <w:tc>
          <w:tcPr>
            <w:tcW w:w="970" w:type="dxa"/>
            <w:vAlign w:val="center"/>
            <w:hideMark/>
          </w:tcPr>
          <w:p w14:paraId="0ED79B95" w14:textId="77777777" w:rsidR="00676471" w:rsidRPr="00095A36" w:rsidRDefault="00676471" w:rsidP="002E3784">
            <w:pPr>
              <w:ind w:firstLineChars="100" w:firstLine="200"/>
              <w:jc w:val="center"/>
              <w:rPr>
                <w:rFonts w:ascii="Arial" w:hAnsi="Arial" w:cs="Arial"/>
                <w:color w:val="1F1F1F"/>
              </w:rPr>
            </w:pPr>
            <w:r w:rsidRPr="00095A36">
              <w:rPr>
                <w:rFonts w:ascii="Arial" w:hAnsi="Arial" w:cs="Arial"/>
                <w:color w:val="1F1F1F"/>
              </w:rPr>
              <w:t>17 (4.4%)</w:t>
            </w:r>
          </w:p>
        </w:tc>
        <w:tc>
          <w:tcPr>
            <w:tcW w:w="1139" w:type="dxa"/>
            <w:vAlign w:val="center"/>
            <w:hideMark/>
          </w:tcPr>
          <w:p w14:paraId="75C857DE" w14:textId="77777777" w:rsidR="00AB5E0E" w:rsidRPr="00095A36" w:rsidRDefault="00676471" w:rsidP="002E3784">
            <w:pPr>
              <w:jc w:val="center"/>
              <w:rPr>
                <w:rFonts w:ascii="Arial" w:hAnsi="Arial" w:cs="Arial"/>
                <w:color w:val="1F1F1F"/>
              </w:rPr>
            </w:pPr>
            <w:r w:rsidRPr="00095A36">
              <w:rPr>
                <w:rFonts w:ascii="Arial" w:hAnsi="Arial" w:cs="Arial"/>
                <w:color w:val="1F1F1F"/>
              </w:rPr>
              <w:t>97</w:t>
            </w:r>
          </w:p>
          <w:p w14:paraId="00785A35" w14:textId="0FB6E052" w:rsidR="00676471" w:rsidRPr="00095A36" w:rsidRDefault="00676471" w:rsidP="002E3784">
            <w:pPr>
              <w:jc w:val="center"/>
              <w:rPr>
                <w:rFonts w:ascii="Arial" w:hAnsi="Arial" w:cs="Arial"/>
                <w:color w:val="1F1F1F"/>
              </w:rPr>
            </w:pPr>
            <w:r w:rsidRPr="00095A36">
              <w:rPr>
                <w:rFonts w:ascii="Arial" w:hAnsi="Arial" w:cs="Arial"/>
                <w:color w:val="1F1F1F"/>
              </w:rPr>
              <w:t>(25.2%)</w:t>
            </w:r>
          </w:p>
        </w:tc>
        <w:tc>
          <w:tcPr>
            <w:tcW w:w="1250" w:type="dxa"/>
            <w:vAlign w:val="center"/>
            <w:hideMark/>
          </w:tcPr>
          <w:p w14:paraId="242943C6" w14:textId="77777777" w:rsidR="00676471" w:rsidRPr="00095A36" w:rsidRDefault="00676471" w:rsidP="002E3784">
            <w:pPr>
              <w:jc w:val="center"/>
              <w:rPr>
                <w:rFonts w:ascii="Arial" w:hAnsi="Arial" w:cs="Arial"/>
                <w:color w:val="1F1F1F"/>
              </w:rPr>
            </w:pPr>
            <w:r w:rsidRPr="00095A36">
              <w:rPr>
                <w:rFonts w:ascii="Arial" w:hAnsi="Arial" w:cs="Arial"/>
                <w:color w:val="1F1F1F"/>
              </w:rPr>
              <w:t>180 (46.8%)</w:t>
            </w:r>
          </w:p>
        </w:tc>
        <w:tc>
          <w:tcPr>
            <w:tcW w:w="1139" w:type="dxa"/>
            <w:vAlign w:val="center"/>
            <w:hideMark/>
          </w:tcPr>
          <w:p w14:paraId="5E19D653" w14:textId="77777777" w:rsidR="00676471" w:rsidRPr="00095A36" w:rsidRDefault="00676471" w:rsidP="002E3784">
            <w:pPr>
              <w:jc w:val="center"/>
              <w:rPr>
                <w:rFonts w:ascii="Arial" w:hAnsi="Arial" w:cs="Arial"/>
                <w:color w:val="1F1F1F"/>
              </w:rPr>
            </w:pPr>
            <w:r w:rsidRPr="00095A36">
              <w:rPr>
                <w:rFonts w:ascii="Arial" w:hAnsi="Arial" w:cs="Arial"/>
                <w:color w:val="1F1F1F"/>
              </w:rPr>
              <w:t>89 (23.1%)</w:t>
            </w:r>
          </w:p>
        </w:tc>
        <w:tc>
          <w:tcPr>
            <w:tcW w:w="790" w:type="dxa"/>
            <w:vAlign w:val="center"/>
            <w:hideMark/>
          </w:tcPr>
          <w:p w14:paraId="204019DD" w14:textId="77777777" w:rsidR="00676471" w:rsidRPr="00095A36" w:rsidRDefault="00676471"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562CFE23" w14:textId="77777777" w:rsidR="00676471" w:rsidRPr="00095A36" w:rsidRDefault="00676471" w:rsidP="002E3784">
            <w:pPr>
              <w:jc w:val="center"/>
              <w:rPr>
                <w:rFonts w:ascii="Arial" w:hAnsi="Arial" w:cs="Arial"/>
                <w:b/>
                <w:color w:val="1F1F1F"/>
              </w:rPr>
            </w:pPr>
            <w:r w:rsidRPr="00095A36">
              <w:rPr>
                <w:rFonts w:ascii="Arial" w:hAnsi="Arial" w:cs="Arial"/>
                <w:b/>
                <w:color w:val="1F1F1F"/>
              </w:rPr>
              <w:t>3.88</w:t>
            </w:r>
          </w:p>
        </w:tc>
      </w:tr>
    </w:tbl>
    <w:p w14:paraId="4E596093" w14:textId="1FB3ADAF" w:rsidR="009E31F3" w:rsidRPr="00095A36" w:rsidRDefault="00E17751" w:rsidP="002E3784">
      <w:pPr>
        <w:pStyle w:val="p1"/>
        <w:jc w:val="center"/>
        <w:rPr>
          <w:i/>
          <w:iCs/>
          <w:color w:val="000000" w:themeColor="text1"/>
        </w:rPr>
      </w:pPr>
      <w:r w:rsidRPr="00095A36">
        <w:rPr>
          <w:i/>
          <w:iCs/>
          <w:color w:val="000000" w:themeColor="text1"/>
        </w:rPr>
        <w:t>Source: Compiled by the author based on the analy</w:t>
      </w:r>
      <w:r w:rsidR="00FC5106">
        <w:rPr>
          <w:i/>
          <w:iCs/>
          <w:color w:val="000000" w:themeColor="text1"/>
        </w:rPr>
        <w:t>s</w:t>
      </w:r>
      <w:r w:rsidRPr="00095A36">
        <w:rPr>
          <w:i/>
          <w:iCs/>
          <w:color w:val="000000" w:themeColor="text1"/>
        </w:rPr>
        <w:t>ed data</w:t>
      </w:r>
    </w:p>
    <w:p w14:paraId="01C38A34" w14:textId="77777777" w:rsidR="002B7206" w:rsidRPr="00095A36" w:rsidRDefault="002B7206" w:rsidP="002E3784">
      <w:pPr>
        <w:pStyle w:val="p1"/>
        <w:jc w:val="center"/>
        <w:rPr>
          <w:color w:val="000000" w:themeColor="text1"/>
        </w:rPr>
      </w:pPr>
    </w:p>
    <w:p w14:paraId="2590961D" w14:textId="4BD763DA" w:rsidR="003803D6" w:rsidRPr="00095A36" w:rsidRDefault="003803D6" w:rsidP="002E3784">
      <w:pPr>
        <w:pStyle w:val="Body"/>
        <w:rPr>
          <w:rFonts w:ascii="Arial" w:hAnsi="Arial" w:cs="Arial"/>
          <w:color w:val="000000" w:themeColor="text1"/>
          <w:u w:val="single"/>
        </w:rPr>
      </w:pPr>
      <w:r w:rsidRPr="00095A36">
        <w:rPr>
          <w:rFonts w:ascii="Arial" w:hAnsi="Arial" w:cs="Arial"/>
          <w:b/>
          <w:color w:val="000000" w:themeColor="text1"/>
          <w:u w:val="single"/>
        </w:rPr>
        <w:t>3.</w:t>
      </w:r>
      <w:r w:rsidR="005017DB" w:rsidRPr="00095A36">
        <w:rPr>
          <w:rFonts w:ascii="Arial" w:hAnsi="Arial" w:cs="Arial"/>
          <w:b/>
          <w:color w:val="000000" w:themeColor="text1"/>
          <w:u w:val="single"/>
        </w:rPr>
        <w:t>2</w:t>
      </w:r>
      <w:r w:rsidRPr="00095A36">
        <w:rPr>
          <w:rFonts w:ascii="Arial" w:hAnsi="Arial" w:cs="Arial"/>
          <w:b/>
          <w:color w:val="000000" w:themeColor="text1"/>
          <w:u w:val="single"/>
        </w:rPr>
        <w:t xml:space="preserve">.2 </w:t>
      </w:r>
      <w:r w:rsidR="002222DE" w:rsidRPr="00095A36">
        <w:rPr>
          <w:rFonts w:ascii="Arial" w:hAnsi="Arial" w:cs="Arial"/>
          <w:b/>
          <w:bCs/>
          <w:color w:val="000000"/>
          <w:u w:val="single"/>
        </w:rPr>
        <w:t>Digital Financial Literacy (X2)</w:t>
      </w:r>
    </w:p>
    <w:p w14:paraId="55DAD279" w14:textId="11BF6BB3" w:rsidR="009E31F3" w:rsidRPr="00095A36" w:rsidRDefault="0088126D" w:rsidP="002E3784">
      <w:pPr>
        <w:pStyle w:val="Body"/>
        <w:rPr>
          <w:rFonts w:ascii="Arial" w:hAnsi="Arial" w:cs="Arial"/>
          <w:color w:val="000000" w:themeColor="text1"/>
        </w:rPr>
      </w:pPr>
      <w:r w:rsidRPr="00095A36">
        <w:rPr>
          <w:rFonts w:ascii="Arial" w:hAnsi="Arial" w:cs="Arial"/>
          <w:color w:val="000000" w:themeColor="text1"/>
        </w:rPr>
        <w:t xml:space="preserve">Digital Financial Literacy </w:t>
      </w:r>
      <w:r w:rsidR="00237D49">
        <w:rPr>
          <w:rFonts w:ascii="Arial" w:hAnsi="Arial" w:cs="Arial"/>
          <w:color w:val="000000" w:themeColor="text1"/>
        </w:rPr>
        <w:t xml:space="preserve">in Table 4 </w:t>
      </w:r>
      <w:r w:rsidRPr="00095A36">
        <w:rPr>
          <w:rFonts w:ascii="Arial" w:hAnsi="Arial" w:cs="Arial"/>
          <w:color w:val="000000" w:themeColor="text1"/>
        </w:rPr>
        <w:t>achieved the highest overall mean of 4.10, indicating a classification of "High" and showing that Generation Z MSMEs have significant skills in handling digital finance. The top rating in PIN confidentiality (X2.4, mean 4.12) reflects a strong understanding of "digital hygiene" and security practices. On the other hand, the lowest rating concerning the verification of application legality (X2.3, mean 4.06) indicates a minor weakness although participants are skilled at protecting their accounts, they show slightly less diligence in verifying the legitimacy of platforms, potentially putting them at risk for illegal lending schemes.</w:t>
      </w:r>
    </w:p>
    <w:p w14:paraId="5803FF51" w14:textId="0C7F198C" w:rsidR="0067714D" w:rsidRPr="00095A36" w:rsidRDefault="0067714D" w:rsidP="002E3784">
      <w:pPr>
        <w:pStyle w:val="Body"/>
        <w:jc w:val="center"/>
        <w:rPr>
          <w:rFonts w:ascii="Arial" w:hAnsi="Arial" w:cs="Arial"/>
          <w:b/>
          <w:color w:val="000000" w:themeColor="text1"/>
          <w:szCs w:val="16"/>
        </w:rPr>
      </w:pPr>
      <w:r w:rsidRPr="00095A36">
        <w:rPr>
          <w:rFonts w:ascii="Arial" w:hAnsi="Arial" w:cs="Arial"/>
          <w:b/>
          <w:color w:val="000000" w:themeColor="text1"/>
          <w:szCs w:val="16"/>
        </w:rPr>
        <w:t>Table 4. Digital Financial Literacy (X2)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67714D" w:rsidRPr="00095A36" w14:paraId="4A8C94D6" w14:textId="77777777" w:rsidTr="007A0D88">
        <w:trPr>
          <w:trHeight w:val="615"/>
        </w:trPr>
        <w:tc>
          <w:tcPr>
            <w:tcW w:w="995" w:type="dxa"/>
            <w:vAlign w:val="center"/>
            <w:hideMark/>
          </w:tcPr>
          <w:p w14:paraId="71B0A00F" w14:textId="77777777" w:rsidR="0067714D" w:rsidRPr="00095A36" w:rsidRDefault="0067714D" w:rsidP="002E3784">
            <w:pPr>
              <w:jc w:val="center"/>
              <w:rPr>
                <w:rFonts w:ascii="Arial" w:hAnsi="Arial" w:cs="Arial"/>
                <w:b/>
                <w:color w:val="1F1F1F"/>
                <w:lang w:eastAsia="en-ID"/>
              </w:rPr>
            </w:pPr>
            <w:r w:rsidRPr="00095A36">
              <w:rPr>
                <w:rFonts w:ascii="Arial" w:hAnsi="Arial" w:cs="Arial"/>
                <w:b/>
                <w:color w:val="1F1F1F"/>
              </w:rPr>
              <w:t>Variable</w:t>
            </w:r>
          </w:p>
        </w:tc>
        <w:tc>
          <w:tcPr>
            <w:tcW w:w="947" w:type="dxa"/>
            <w:vAlign w:val="center"/>
            <w:hideMark/>
          </w:tcPr>
          <w:p w14:paraId="1FF946B4"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1 Value (%)</w:t>
            </w:r>
          </w:p>
        </w:tc>
        <w:tc>
          <w:tcPr>
            <w:tcW w:w="970" w:type="dxa"/>
            <w:vAlign w:val="center"/>
            <w:hideMark/>
          </w:tcPr>
          <w:p w14:paraId="391A2668"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2</w:t>
            </w:r>
          </w:p>
          <w:p w14:paraId="3B403468" w14:textId="77777777" w:rsidR="0067714D" w:rsidRPr="00095A36" w:rsidRDefault="0067714D" w:rsidP="002E3784">
            <w:pPr>
              <w:jc w:val="center"/>
              <w:rPr>
                <w:rFonts w:ascii="Arial" w:hAnsi="Arial" w:cs="Arial"/>
                <w:b/>
                <w:color w:val="1F1F1F"/>
              </w:rPr>
            </w:pPr>
            <w:r w:rsidRPr="00095A36">
              <w:rPr>
                <w:rFonts w:ascii="Arial" w:hAnsi="Arial" w:cs="Arial"/>
                <w:b/>
                <w:color w:val="1F1F1F"/>
              </w:rPr>
              <w:t>Value (%)</w:t>
            </w:r>
          </w:p>
        </w:tc>
        <w:tc>
          <w:tcPr>
            <w:tcW w:w="1139" w:type="dxa"/>
            <w:vAlign w:val="center"/>
            <w:hideMark/>
          </w:tcPr>
          <w:p w14:paraId="29273E58"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3 Value</w:t>
            </w:r>
          </w:p>
          <w:p w14:paraId="618F7129"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1250" w:type="dxa"/>
            <w:vAlign w:val="center"/>
            <w:hideMark/>
          </w:tcPr>
          <w:p w14:paraId="56F51EC4"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4 Value</w:t>
            </w:r>
          </w:p>
          <w:p w14:paraId="14AA1C1F"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1139" w:type="dxa"/>
            <w:vAlign w:val="center"/>
            <w:hideMark/>
          </w:tcPr>
          <w:p w14:paraId="5D059FB6"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5 Value</w:t>
            </w:r>
          </w:p>
          <w:p w14:paraId="3BCCE9C6"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790" w:type="dxa"/>
            <w:vAlign w:val="center"/>
            <w:hideMark/>
          </w:tcPr>
          <w:p w14:paraId="3F3136E8" w14:textId="77777777" w:rsidR="0067714D" w:rsidRPr="00095A36" w:rsidRDefault="0067714D" w:rsidP="002E3784">
            <w:pPr>
              <w:jc w:val="center"/>
              <w:rPr>
                <w:rFonts w:ascii="Arial" w:hAnsi="Arial" w:cs="Arial"/>
                <w:b/>
                <w:color w:val="1F1F1F"/>
              </w:rPr>
            </w:pPr>
            <w:r w:rsidRPr="00095A36">
              <w:rPr>
                <w:rFonts w:ascii="Arial" w:hAnsi="Arial" w:cs="Arial"/>
                <w:b/>
                <w:color w:val="1F1F1F"/>
              </w:rPr>
              <w:t>Total</w:t>
            </w:r>
          </w:p>
        </w:tc>
        <w:tc>
          <w:tcPr>
            <w:tcW w:w="851" w:type="dxa"/>
            <w:vAlign w:val="center"/>
            <w:hideMark/>
          </w:tcPr>
          <w:p w14:paraId="5E144449" w14:textId="77777777" w:rsidR="0067714D" w:rsidRPr="00095A36" w:rsidRDefault="0067714D" w:rsidP="002E3784">
            <w:pPr>
              <w:jc w:val="center"/>
              <w:rPr>
                <w:rFonts w:ascii="Arial" w:hAnsi="Arial" w:cs="Arial"/>
                <w:b/>
                <w:color w:val="1F1F1F"/>
              </w:rPr>
            </w:pPr>
            <w:r w:rsidRPr="00095A36">
              <w:rPr>
                <w:rFonts w:ascii="Arial" w:hAnsi="Arial" w:cs="Arial"/>
                <w:b/>
                <w:color w:val="1F1F1F"/>
              </w:rPr>
              <w:t>Mean</w:t>
            </w:r>
          </w:p>
        </w:tc>
      </w:tr>
      <w:tr w:rsidR="0067714D" w:rsidRPr="00095A36" w14:paraId="42E275D4" w14:textId="77777777" w:rsidTr="007A0D88">
        <w:trPr>
          <w:trHeight w:val="585"/>
        </w:trPr>
        <w:tc>
          <w:tcPr>
            <w:tcW w:w="995" w:type="dxa"/>
            <w:vAlign w:val="center"/>
            <w:hideMark/>
          </w:tcPr>
          <w:p w14:paraId="0E36BA4D" w14:textId="11CAC312" w:rsidR="0067714D" w:rsidRPr="00095A36" w:rsidRDefault="0067714D" w:rsidP="002E3784">
            <w:pPr>
              <w:jc w:val="center"/>
              <w:rPr>
                <w:rFonts w:ascii="Arial" w:hAnsi="Arial" w:cs="Arial"/>
                <w:b/>
                <w:color w:val="1F1F1F"/>
              </w:rPr>
            </w:pPr>
            <w:r w:rsidRPr="00095A36">
              <w:rPr>
                <w:rFonts w:ascii="Arial" w:hAnsi="Arial" w:cs="Arial"/>
                <w:b/>
                <w:color w:val="1F1F1F"/>
              </w:rPr>
              <w:t>X2</w:t>
            </w:r>
          </w:p>
        </w:tc>
        <w:tc>
          <w:tcPr>
            <w:tcW w:w="947" w:type="dxa"/>
            <w:vAlign w:val="center"/>
            <w:hideMark/>
          </w:tcPr>
          <w:p w14:paraId="6495C64E" w14:textId="5FA5F79D" w:rsidR="0067714D" w:rsidRPr="00095A36" w:rsidRDefault="0067714D" w:rsidP="002E3784">
            <w:pPr>
              <w:jc w:val="center"/>
              <w:rPr>
                <w:rFonts w:ascii="Arial" w:hAnsi="Arial" w:cs="Arial"/>
                <w:color w:val="1F1F1F"/>
              </w:rPr>
            </w:pPr>
            <w:r w:rsidRPr="00095A36">
              <w:rPr>
                <w:rFonts w:ascii="Arial" w:hAnsi="Arial" w:cs="Arial"/>
                <w:color w:val="1F1F1F"/>
              </w:rPr>
              <w:t>2 (0.5%)</w:t>
            </w:r>
          </w:p>
        </w:tc>
        <w:tc>
          <w:tcPr>
            <w:tcW w:w="970" w:type="dxa"/>
            <w:vAlign w:val="center"/>
            <w:hideMark/>
          </w:tcPr>
          <w:p w14:paraId="60E5903A" w14:textId="4C6B1734"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12 (3.1%)</w:t>
            </w:r>
          </w:p>
        </w:tc>
        <w:tc>
          <w:tcPr>
            <w:tcW w:w="1139" w:type="dxa"/>
            <w:vAlign w:val="center"/>
            <w:hideMark/>
          </w:tcPr>
          <w:p w14:paraId="61DADE81" w14:textId="3BB7331B" w:rsidR="0067714D" w:rsidRPr="00095A36" w:rsidRDefault="0067714D" w:rsidP="002E3784">
            <w:pPr>
              <w:jc w:val="center"/>
              <w:rPr>
                <w:rFonts w:ascii="Arial" w:hAnsi="Arial" w:cs="Arial"/>
                <w:color w:val="1F1F1F"/>
              </w:rPr>
            </w:pPr>
            <w:r w:rsidRPr="00095A36">
              <w:rPr>
                <w:rFonts w:ascii="Arial" w:hAnsi="Arial" w:cs="Arial"/>
                <w:color w:val="1F1F1F"/>
              </w:rPr>
              <w:t>75 (19.5%)</w:t>
            </w:r>
          </w:p>
        </w:tc>
        <w:tc>
          <w:tcPr>
            <w:tcW w:w="1250" w:type="dxa"/>
            <w:vAlign w:val="center"/>
            <w:hideMark/>
          </w:tcPr>
          <w:p w14:paraId="4C534D91" w14:textId="21607E04" w:rsidR="0067714D" w:rsidRPr="00095A36" w:rsidRDefault="0067714D" w:rsidP="002E3784">
            <w:pPr>
              <w:jc w:val="center"/>
              <w:rPr>
                <w:rFonts w:ascii="Arial" w:hAnsi="Arial" w:cs="Arial"/>
                <w:color w:val="1F1F1F"/>
              </w:rPr>
            </w:pPr>
            <w:r w:rsidRPr="00095A36">
              <w:rPr>
                <w:rFonts w:ascii="Arial" w:hAnsi="Arial" w:cs="Arial"/>
                <w:color w:val="1F1F1F"/>
              </w:rPr>
              <w:t>152 (39.5%)</w:t>
            </w:r>
          </w:p>
        </w:tc>
        <w:tc>
          <w:tcPr>
            <w:tcW w:w="1139" w:type="dxa"/>
            <w:vAlign w:val="center"/>
            <w:hideMark/>
          </w:tcPr>
          <w:p w14:paraId="79DD27A1" w14:textId="5DDC31B3" w:rsidR="0067714D" w:rsidRPr="00095A36" w:rsidRDefault="0067714D" w:rsidP="002E3784">
            <w:pPr>
              <w:jc w:val="center"/>
              <w:rPr>
                <w:rFonts w:ascii="Arial" w:hAnsi="Arial" w:cs="Arial"/>
                <w:color w:val="1F1F1F"/>
              </w:rPr>
            </w:pPr>
            <w:r w:rsidRPr="00095A36">
              <w:rPr>
                <w:rFonts w:ascii="Arial" w:hAnsi="Arial" w:cs="Arial"/>
                <w:color w:val="1F1F1F"/>
              </w:rPr>
              <w:t>144 (37.4%)</w:t>
            </w:r>
          </w:p>
        </w:tc>
        <w:tc>
          <w:tcPr>
            <w:tcW w:w="790" w:type="dxa"/>
            <w:vAlign w:val="center"/>
            <w:hideMark/>
          </w:tcPr>
          <w:p w14:paraId="34464639" w14:textId="2D460A4A"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0700C06B" w14:textId="32D88E8F" w:rsidR="0067714D" w:rsidRPr="00095A36" w:rsidRDefault="0067714D" w:rsidP="002E3784">
            <w:pPr>
              <w:jc w:val="center"/>
              <w:rPr>
                <w:rFonts w:ascii="Arial" w:hAnsi="Arial" w:cs="Arial"/>
                <w:b/>
                <w:color w:val="1F1F1F"/>
              </w:rPr>
            </w:pPr>
            <w:r w:rsidRPr="00095A36">
              <w:rPr>
                <w:rFonts w:ascii="Arial" w:hAnsi="Arial" w:cs="Arial"/>
                <w:b/>
                <w:color w:val="1F1F1F"/>
              </w:rPr>
              <w:t>4.10</w:t>
            </w:r>
          </w:p>
        </w:tc>
      </w:tr>
      <w:tr w:rsidR="0067714D" w:rsidRPr="00095A36" w14:paraId="0C6D46A5" w14:textId="77777777" w:rsidTr="007A0D88">
        <w:trPr>
          <w:trHeight w:val="585"/>
        </w:trPr>
        <w:tc>
          <w:tcPr>
            <w:tcW w:w="995" w:type="dxa"/>
            <w:vAlign w:val="center"/>
            <w:hideMark/>
          </w:tcPr>
          <w:p w14:paraId="04CF1F42" w14:textId="4B70E6C7" w:rsidR="0067714D" w:rsidRPr="00095A36" w:rsidRDefault="0067714D" w:rsidP="002E3784">
            <w:pPr>
              <w:jc w:val="center"/>
              <w:rPr>
                <w:rFonts w:ascii="Arial" w:hAnsi="Arial" w:cs="Arial"/>
                <w:b/>
                <w:color w:val="1F1F1F"/>
              </w:rPr>
            </w:pPr>
            <w:r w:rsidRPr="00095A36">
              <w:rPr>
                <w:rFonts w:ascii="Arial" w:hAnsi="Arial" w:cs="Arial"/>
                <w:b/>
                <w:color w:val="1F1F1F"/>
              </w:rPr>
              <w:lastRenderedPageBreak/>
              <w:t>X2.2</w:t>
            </w:r>
          </w:p>
        </w:tc>
        <w:tc>
          <w:tcPr>
            <w:tcW w:w="947" w:type="dxa"/>
            <w:vAlign w:val="center"/>
            <w:hideMark/>
          </w:tcPr>
          <w:p w14:paraId="18EEE745" w14:textId="01DA1601" w:rsidR="0067714D" w:rsidRPr="00095A36" w:rsidRDefault="0067714D" w:rsidP="002E3784">
            <w:pPr>
              <w:jc w:val="center"/>
              <w:rPr>
                <w:rFonts w:ascii="Arial" w:hAnsi="Arial" w:cs="Arial"/>
                <w:color w:val="1F1F1F"/>
              </w:rPr>
            </w:pPr>
            <w:r w:rsidRPr="00095A36">
              <w:rPr>
                <w:rFonts w:ascii="Arial" w:hAnsi="Arial" w:cs="Arial"/>
                <w:color w:val="1F1F1F"/>
              </w:rPr>
              <w:t>2 (0.5%)</w:t>
            </w:r>
          </w:p>
        </w:tc>
        <w:tc>
          <w:tcPr>
            <w:tcW w:w="970" w:type="dxa"/>
            <w:vAlign w:val="center"/>
            <w:hideMark/>
          </w:tcPr>
          <w:p w14:paraId="202AEFB3" w14:textId="39DD09E1"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15 (3.9%)</w:t>
            </w:r>
          </w:p>
        </w:tc>
        <w:tc>
          <w:tcPr>
            <w:tcW w:w="1139" w:type="dxa"/>
            <w:vAlign w:val="center"/>
            <w:hideMark/>
          </w:tcPr>
          <w:p w14:paraId="2A3A7142" w14:textId="3B2C0D46" w:rsidR="0067714D" w:rsidRPr="00095A36" w:rsidRDefault="0067714D" w:rsidP="002E3784">
            <w:pPr>
              <w:jc w:val="center"/>
              <w:rPr>
                <w:rFonts w:ascii="Arial" w:hAnsi="Arial" w:cs="Arial"/>
                <w:color w:val="1F1F1F"/>
              </w:rPr>
            </w:pPr>
            <w:r w:rsidRPr="00095A36">
              <w:rPr>
                <w:rFonts w:ascii="Arial" w:hAnsi="Arial" w:cs="Arial"/>
                <w:color w:val="1F1F1F"/>
              </w:rPr>
              <w:t>67 (17.4%)</w:t>
            </w:r>
          </w:p>
        </w:tc>
        <w:tc>
          <w:tcPr>
            <w:tcW w:w="1250" w:type="dxa"/>
            <w:vAlign w:val="center"/>
            <w:hideMark/>
          </w:tcPr>
          <w:p w14:paraId="1F17B28B" w14:textId="152715B6" w:rsidR="0067714D" w:rsidRPr="00095A36" w:rsidRDefault="0067714D" w:rsidP="002E3784">
            <w:pPr>
              <w:jc w:val="center"/>
              <w:rPr>
                <w:rFonts w:ascii="Arial" w:hAnsi="Arial" w:cs="Arial"/>
                <w:color w:val="1F1F1F"/>
              </w:rPr>
            </w:pPr>
            <w:r w:rsidRPr="00095A36">
              <w:rPr>
                <w:rFonts w:ascii="Arial" w:hAnsi="Arial" w:cs="Arial"/>
                <w:color w:val="1F1F1F"/>
              </w:rPr>
              <w:t>156 (40.5%)</w:t>
            </w:r>
          </w:p>
        </w:tc>
        <w:tc>
          <w:tcPr>
            <w:tcW w:w="1139" w:type="dxa"/>
            <w:vAlign w:val="center"/>
            <w:hideMark/>
          </w:tcPr>
          <w:p w14:paraId="6B292F7F" w14:textId="091A4788" w:rsidR="0067714D" w:rsidRPr="00095A36" w:rsidRDefault="0067714D" w:rsidP="002E3784">
            <w:pPr>
              <w:jc w:val="center"/>
              <w:rPr>
                <w:rFonts w:ascii="Arial" w:hAnsi="Arial" w:cs="Arial"/>
                <w:color w:val="1F1F1F"/>
              </w:rPr>
            </w:pPr>
            <w:r w:rsidRPr="00095A36">
              <w:rPr>
                <w:rFonts w:ascii="Arial" w:hAnsi="Arial" w:cs="Arial"/>
                <w:color w:val="1F1F1F"/>
              </w:rPr>
              <w:t>145 (37.7%)</w:t>
            </w:r>
          </w:p>
        </w:tc>
        <w:tc>
          <w:tcPr>
            <w:tcW w:w="790" w:type="dxa"/>
            <w:vAlign w:val="center"/>
            <w:hideMark/>
          </w:tcPr>
          <w:p w14:paraId="26101366" w14:textId="655725D7"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51C4F80F" w14:textId="2F3D7F4B" w:rsidR="0067714D" w:rsidRPr="00095A36" w:rsidRDefault="0067714D" w:rsidP="002E3784">
            <w:pPr>
              <w:jc w:val="center"/>
              <w:rPr>
                <w:rFonts w:ascii="Arial" w:hAnsi="Arial" w:cs="Arial"/>
                <w:b/>
                <w:color w:val="1F1F1F"/>
              </w:rPr>
            </w:pPr>
            <w:r w:rsidRPr="00095A36">
              <w:rPr>
                <w:rFonts w:ascii="Arial" w:hAnsi="Arial" w:cs="Arial"/>
                <w:b/>
                <w:color w:val="1F1F1F"/>
              </w:rPr>
              <w:t>4.11</w:t>
            </w:r>
          </w:p>
        </w:tc>
      </w:tr>
      <w:tr w:rsidR="0067714D" w:rsidRPr="00095A36" w14:paraId="1013F94E" w14:textId="77777777" w:rsidTr="007A0D88">
        <w:trPr>
          <w:trHeight w:val="585"/>
        </w:trPr>
        <w:tc>
          <w:tcPr>
            <w:tcW w:w="995" w:type="dxa"/>
            <w:vAlign w:val="center"/>
            <w:hideMark/>
          </w:tcPr>
          <w:p w14:paraId="573BF0B2" w14:textId="422153E0" w:rsidR="0067714D" w:rsidRPr="00095A36" w:rsidRDefault="0067714D" w:rsidP="002E3784">
            <w:pPr>
              <w:jc w:val="center"/>
              <w:rPr>
                <w:rFonts w:ascii="Arial" w:hAnsi="Arial" w:cs="Arial"/>
                <w:b/>
                <w:color w:val="1F1F1F"/>
              </w:rPr>
            </w:pPr>
            <w:r w:rsidRPr="00095A36">
              <w:rPr>
                <w:rFonts w:ascii="Arial" w:hAnsi="Arial" w:cs="Arial"/>
                <w:b/>
                <w:color w:val="1F1F1F"/>
              </w:rPr>
              <w:t>X2.3</w:t>
            </w:r>
          </w:p>
        </w:tc>
        <w:tc>
          <w:tcPr>
            <w:tcW w:w="947" w:type="dxa"/>
            <w:vAlign w:val="center"/>
            <w:hideMark/>
          </w:tcPr>
          <w:p w14:paraId="318DC4D1" w14:textId="52A6D541" w:rsidR="0067714D" w:rsidRPr="00095A36" w:rsidRDefault="0067714D" w:rsidP="002E3784">
            <w:pPr>
              <w:jc w:val="center"/>
              <w:rPr>
                <w:rFonts w:ascii="Arial" w:hAnsi="Arial" w:cs="Arial"/>
                <w:color w:val="1F1F1F"/>
              </w:rPr>
            </w:pPr>
            <w:r w:rsidRPr="00095A36">
              <w:rPr>
                <w:rFonts w:ascii="Arial" w:hAnsi="Arial" w:cs="Arial"/>
                <w:color w:val="1F1F1F"/>
              </w:rPr>
              <w:t>1 (0.3%)</w:t>
            </w:r>
          </w:p>
        </w:tc>
        <w:tc>
          <w:tcPr>
            <w:tcW w:w="970" w:type="dxa"/>
            <w:vAlign w:val="center"/>
            <w:hideMark/>
          </w:tcPr>
          <w:p w14:paraId="26C44BD6" w14:textId="49E9B591"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19 (4.9%)</w:t>
            </w:r>
          </w:p>
        </w:tc>
        <w:tc>
          <w:tcPr>
            <w:tcW w:w="1139" w:type="dxa"/>
            <w:vAlign w:val="center"/>
            <w:hideMark/>
          </w:tcPr>
          <w:p w14:paraId="539E1646" w14:textId="39B998BE" w:rsidR="0067714D" w:rsidRPr="00095A36" w:rsidRDefault="0067714D" w:rsidP="002E3784">
            <w:pPr>
              <w:jc w:val="center"/>
              <w:rPr>
                <w:rFonts w:ascii="Arial" w:hAnsi="Arial" w:cs="Arial"/>
                <w:color w:val="1F1F1F"/>
              </w:rPr>
            </w:pPr>
            <w:r w:rsidRPr="00095A36">
              <w:rPr>
                <w:rFonts w:ascii="Arial" w:hAnsi="Arial" w:cs="Arial"/>
                <w:color w:val="1F1F1F"/>
              </w:rPr>
              <w:t>75 (19.5%)</w:t>
            </w:r>
          </w:p>
        </w:tc>
        <w:tc>
          <w:tcPr>
            <w:tcW w:w="1250" w:type="dxa"/>
            <w:vAlign w:val="center"/>
            <w:hideMark/>
          </w:tcPr>
          <w:p w14:paraId="72C96AD8" w14:textId="5A671C4D" w:rsidR="0067714D" w:rsidRPr="00095A36" w:rsidRDefault="0067714D" w:rsidP="002E3784">
            <w:pPr>
              <w:jc w:val="center"/>
              <w:rPr>
                <w:rFonts w:ascii="Arial" w:hAnsi="Arial" w:cs="Arial"/>
                <w:color w:val="1F1F1F"/>
              </w:rPr>
            </w:pPr>
            <w:r w:rsidRPr="00095A36">
              <w:rPr>
                <w:rFonts w:ascii="Arial" w:hAnsi="Arial" w:cs="Arial"/>
                <w:color w:val="1F1F1F"/>
              </w:rPr>
              <w:t>151 (39.2%)</w:t>
            </w:r>
          </w:p>
        </w:tc>
        <w:tc>
          <w:tcPr>
            <w:tcW w:w="1139" w:type="dxa"/>
            <w:vAlign w:val="center"/>
            <w:hideMark/>
          </w:tcPr>
          <w:p w14:paraId="3414E47E" w14:textId="13B389B3" w:rsidR="0067714D" w:rsidRPr="00095A36" w:rsidRDefault="0067714D" w:rsidP="002E3784">
            <w:pPr>
              <w:jc w:val="center"/>
              <w:rPr>
                <w:rFonts w:ascii="Arial" w:hAnsi="Arial" w:cs="Arial"/>
                <w:color w:val="1F1F1F"/>
              </w:rPr>
            </w:pPr>
            <w:r w:rsidRPr="00095A36">
              <w:rPr>
                <w:rFonts w:ascii="Arial" w:hAnsi="Arial" w:cs="Arial"/>
                <w:color w:val="1F1F1F"/>
              </w:rPr>
              <w:t>139 (36.1%)</w:t>
            </w:r>
          </w:p>
        </w:tc>
        <w:tc>
          <w:tcPr>
            <w:tcW w:w="790" w:type="dxa"/>
            <w:vAlign w:val="center"/>
            <w:hideMark/>
          </w:tcPr>
          <w:p w14:paraId="208E9190" w14:textId="1158E717"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18730859" w14:textId="7178BAAF" w:rsidR="0067714D" w:rsidRPr="00095A36" w:rsidRDefault="0067714D" w:rsidP="002E3784">
            <w:pPr>
              <w:jc w:val="center"/>
              <w:rPr>
                <w:rFonts w:ascii="Arial" w:hAnsi="Arial" w:cs="Arial"/>
                <w:b/>
                <w:color w:val="1F1F1F"/>
              </w:rPr>
            </w:pPr>
            <w:r w:rsidRPr="00095A36">
              <w:rPr>
                <w:rFonts w:ascii="Arial" w:hAnsi="Arial" w:cs="Arial"/>
                <w:b/>
                <w:color w:val="1F1F1F"/>
              </w:rPr>
              <w:t>4.06</w:t>
            </w:r>
          </w:p>
        </w:tc>
      </w:tr>
      <w:tr w:rsidR="0067714D" w:rsidRPr="00095A36" w14:paraId="376F2E4B" w14:textId="77777777" w:rsidTr="007A0D88">
        <w:trPr>
          <w:trHeight w:val="585"/>
        </w:trPr>
        <w:tc>
          <w:tcPr>
            <w:tcW w:w="995" w:type="dxa"/>
            <w:vAlign w:val="center"/>
            <w:hideMark/>
          </w:tcPr>
          <w:p w14:paraId="694FD6F0" w14:textId="487574A1" w:rsidR="0067714D" w:rsidRPr="00095A36" w:rsidRDefault="0067714D" w:rsidP="002E3784">
            <w:pPr>
              <w:jc w:val="center"/>
              <w:rPr>
                <w:rFonts w:ascii="Arial" w:hAnsi="Arial" w:cs="Arial"/>
                <w:b/>
                <w:color w:val="1F1F1F"/>
              </w:rPr>
            </w:pPr>
            <w:r w:rsidRPr="00095A36">
              <w:rPr>
                <w:rFonts w:ascii="Arial" w:hAnsi="Arial" w:cs="Arial"/>
                <w:b/>
                <w:color w:val="1F1F1F"/>
              </w:rPr>
              <w:t>X2.4</w:t>
            </w:r>
          </w:p>
        </w:tc>
        <w:tc>
          <w:tcPr>
            <w:tcW w:w="947" w:type="dxa"/>
            <w:vAlign w:val="center"/>
            <w:hideMark/>
          </w:tcPr>
          <w:p w14:paraId="36F59878" w14:textId="1A3B7CCE" w:rsidR="0067714D" w:rsidRPr="00095A36" w:rsidRDefault="0067714D" w:rsidP="002E3784">
            <w:pPr>
              <w:jc w:val="center"/>
              <w:rPr>
                <w:rFonts w:ascii="Arial" w:hAnsi="Arial" w:cs="Arial"/>
                <w:color w:val="1F1F1F"/>
              </w:rPr>
            </w:pPr>
            <w:r w:rsidRPr="00095A36">
              <w:rPr>
                <w:rFonts w:ascii="Arial" w:hAnsi="Arial" w:cs="Arial"/>
                <w:color w:val="1F1F1F"/>
              </w:rPr>
              <w:t>1 (0.3%)</w:t>
            </w:r>
          </w:p>
        </w:tc>
        <w:tc>
          <w:tcPr>
            <w:tcW w:w="970" w:type="dxa"/>
            <w:vAlign w:val="center"/>
            <w:hideMark/>
          </w:tcPr>
          <w:p w14:paraId="06E700EC" w14:textId="79940C53"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18 (4.7%)</w:t>
            </w:r>
          </w:p>
        </w:tc>
        <w:tc>
          <w:tcPr>
            <w:tcW w:w="1139" w:type="dxa"/>
            <w:vAlign w:val="center"/>
            <w:hideMark/>
          </w:tcPr>
          <w:p w14:paraId="671B2297" w14:textId="701D1049" w:rsidR="0067714D" w:rsidRPr="00095A36" w:rsidRDefault="0067714D" w:rsidP="002E3784">
            <w:pPr>
              <w:jc w:val="center"/>
              <w:rPr>
                <w:rFonts w:ascii="Arial" w:hAnsi="Arial" w:cs="Arial"/>
                <w:color w:val="1F1F1F"/>
              </w:rPr>
            </w:pPr>
            <w:r w:rsidRPr="00095A36">
              <w:rPr>
                <w:rFonts w:ascii="Arial" w:hAnsi="Arial" w:cs="Arial"/>
                <w:color w:val="1F1F1F"/>
              </w:rPr>
              <w:t>66 (17.1%)</w:t>
            </w:r>
          </w:p>
        </w:tc>
        <w:tc>
          <w:tcPr>
            <w:tcW w:w="1250" w:type="dxa"/>
            <w:vAlign w:val="center"/>
            <w:hideMark/>
          </w:tcPr>
          <w:p w14:paraId="170AF84A" w14:textId="6A9DFC14" w:rsidR="0067714D" w:rsidRPr="00095A36" w:rsidRDefault="0067714D" w:rsidP="002E3784">
            <w:pPr>
              <w:jc w:val="center"/>
              <w:rPr>
                <w:rFonts w:ascii="Arial" w:hAnsi="Arial" w:cs="Arial"/>
                <w:color w:val="1F1F1F"/>
              </w:rPr>
            </w:pPr>
            <w:r w:rsidRPr="00095A36">
              <w:rPr>
                <w:rFonts w:ascii="Arial" w:hAnsi="Arial" w:cs="Arial"/>
                <w:color w:val="1F1F1F"/>
              </w:rPr>
              <w:t>150 (39.0%)</w:t>
            </w:r>
          </w:p>
        </w:tc>
        <w:tc>
          <w:tcPr>
            <w:tcW w:w="1139" w:type="dxa"/>
            <w:vAlign w:val="center"/>
            <w:hideMark/>
          </w:tcPr>
          <w:p w14:paraId="1AE3E4E9" w14:textId="28B4DC3F" w:rsidR="0067714D" w:rsidRPr="00095A36" w:rsidRDefault="0067714D" w:rsidP="002E3784">
            <w:pPr>
              <w:jc w:val="center"/>
              <w:rPr>
                <w:rFonts w:ascii="Arial" w:hAnsi="Arial" w:cs="Arial"/>
                <w:color w:val="1F1F1F"/>
              </w:rPr>
            </w:pPr>
            <w:r w:rsidRPr="00095A36">
              <w:rPr>
                <w:rFonts w:ascii="Arial" w:hAnsi="Arial" w:cs="Arial"/>
                <w:color w:val="1F1F1F"/>
              </w:rPr>
              <w:t>150 (39.0%)</w:t>
            </w:r>
          </w:p>
        </w:tc>
        <w:tc>
          <w:tcPr>
            <w:tcW w:w="790" w:type="dxa"/>
            <w:vAlign w:val="center"/>
            <w:hideMark/>
          </w:tcPr>
          <w:p w14:paraId="33D170B3" w14:textId="60C179B7"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04DD4365" w14:textId="0C523CD0" w:rsidR="0067714D" w:rsidRPr="00095A36" w:rsidRDefault="0067714D" w:rsidP="002E3784">
            <w:pPr>
              <w:jc w:val="center"/>
              <w:rPr>
                <w:rFonts w:ascii="Arial" w:hAnsi="Arial" w:cs="Arial"/>
                <w:b/>
                <w:color w:val="1F1F1F"/>
              </w:rPr>
            </w:pPr>
            <w:r w:rsidRPr="00095A36">
              <w:rPr>
                <w:rFonts w:ascii="Arial" w:hAnsi="Arial" w:cs="Arial"/>
                <w:b/>
                <w:color w:val="1F1F1F"/>
              </w:rPr>
              <w:t>4.12</w:t>
            </w:r>
          </w:p>
        </w:tc>
      </w:tr>
      <w:tr w:rsidR="0067714D" w:rsidRPr="00095A36" w14:paraId="76BB99B8" w14:textId="77777777" w:rsidTr="007A0D88">
        <w:trPr>
          <w:trHeight w:val="585"/>
        </w:trPr>
        <w:tc>
          <w:tcPr>
            <w:tcW w:w="995" w:type="dxa"/>
            <w:vAlign w:val="center"/>
            <w:hideMark/>
          </w:tcPr>
          <w:p w14:paraId="3F4FBA5A" w14:textId="245CEBA7" w:rsidR="0067714D" w:rsidRPr="00095A36" w:rsidRDefault="0067714D" w:rsidP="002E3784">
            <w:pPr>
              <w:jc w:val="center"/>
              <w:rPr>
                <w:rFonts w:ascii="Arial" w:hAnsi="Arial" w:cs="Arial"/>
                <w:b/>
                <w:color w:val="1F1F1F"/>
              </w:rPr>
            </w:pPr>
            <w:r w:rsidRPr="00095A36">
              <w:rPr>
                <w:rFonts w:ascii="Arial" w:hAnsi="Arial" w:cs="Arial"/>
                <w:b/>
                <w:color w:val="1F1F1F"/>
              </w:rPr>
              <w:t>X2.5</w:t>
            </w:r>
          </w:p>
        </w:tc>
        <w:tc>
          <w:tcPr>
            <w:tcW w:w="947" w:type="dxa"/>
            <w:vAlign w:val="center"/>
            <w:hideMark/>
          </w:tcPr>
          <w:p w14:paraId="70ACF6FE" w14:textId="0D88AA19" w:rsidR="0067714D" w:rsidRPr="00095A36" w:rsidRDefault="0067714D" w:rsidP="002E3784">
            <w:pPr>
              <w:jc w:val="center"/>
              <w:rPr>
                <w:rFonts w:ascii="Arial" w:hAnsi="Arial" w:cs="Arial"/>
                <w:color w:val="1F1F1F"/>
              </w:rPr>
            </w:pPr>
            <w:r w:rsidRPr="00095A36">
              <w:rPr>
                <w:rFonts w:ascii="Arial" w:hAnsi="Arial" w:cs="Arial"/>
                <w:color w:val="1F1F1F"/>
              </w:rPr>
              <w:t>4 (1.0%)</w:t>
            </w:r>
          </w:p>
        </w:tc>
        <w:tc>
          <w:tcPr>
            <w:tcW w:w="970" w:type="dxa"/>
            <w:vAlign w:val="center"/>
            <w:hideMark/>
          </w:tcPr>
          <w:p w14:paraId="368C687B" w14:textId="3EBA0DE5"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11 (2.9%)</w:t>
            </w:r>
          </w:p>
        </w:tc>
        <w:tc>
          <w:tcPr>
            <w:tcW w:w="1139" w:type="dxa"/>
            <w:vAlign w:val="center"/>
            <w:hideMark/>
          </w:tcPr>
          <w:p w14:paraId="30AF2548" w14:textId="49E99C75" w:rsidR="0067714D" w:rsidRPr="00095A36" w:rsidRDefault="0067714D" w:rsidP="002E3784">
            <w:pPr>
              <w:jc w:val="center"/>
              <w:rPr>
                <w:rFonts w:ascii="Arial" w:hAnsi="Arial" w:cs="Arial"/>
                <w:color w:val="1F1F1F"/>
              </w:rPr>
            </w:pPr>
            <w:r w:rsidRPr="00095A36">
              <w:rPr>
                <w:rFonts w:ascii="Arial" w:hAnsi="Arial" w:cs="Arial"/>
                <w:color w:val="1F1F1F"/>
              </w:rPr>
              <w:t>76 (19.7%)</w:t>
            </w:r>
          </w:p>
        </w:tc>
        <w:tc>
          <w:tcPr>
            <w:tcW w:w="1250" w:type="dxa"/>
            <w:vAlign w:val="center"/>
            <w:hideMark/>
          </w:tcPr>
          <w:p w14:paraId="4A360DA7" w14:textId="5D7DA0AD" w:rsidR="0067714D" w:rsidRPr="00095A36" w:rsidRDefault="0067714D" w:rsidP="002E3784">
            <w:pPr>
              <w:jc w:val="center"/>
              <w:rPr>
                <w:rFonts w:ascii="Arial" w:hAnsi="Arial" w:cs="Arial"/>
                <w:color w:val="1F1F1F"/>
              </w:rPr>
            </w:pPr>
            <w:r w:rsidRPr="00095A36">
              <w:rPr>
                <w:rFonts w:ascii="Arial" w:hAnsi="Arial" w:cs="Arial"/>
                <w:color w:val="1F1F1F"/>
              </w:rPr>
              <w:t>151 (39.2%)</w:t>
            </w:r>
          </w:p>
        </w:tc>
        <w:tc>
          <w:tcPr>
            <w:tcW w:w="1139" w:type="dxa"/>
            <w:vAlign w:val="center"/>
            <w:hideMark/>
          </w:tcPr>
          <w:p w14:paraId="16B698FC" w14:textId="414115A7" w:rsidR="0067714D" w:rsidRPr="00095A36" w:rsidRDefault="0067714D" w:rsidP="002E3784">
            <w:pPr>
              <w:jc w:val="center"/>
              <w:rPr>
                <w:rFonts w:ascii="Arial" w:hAnsi="Arial" w:cs="Arial"/>
                <w:color w:val="1F1F1F"/>
              </w:rPr>
            </w:pPr>
            <w:r w:rsidRPr="00095A36">
              <w:rPr>
                <w:rFonts w:ascii="Arial" w:hAnsi="Arial" w:cs="Arial"/>
                <w:color w:val="1F1F1F"/>
              </w:rPr>
              <w:t>143 (37.1%)</w:t>
            </w:r>
          </w:p>
        </w:tc>
        <w:tc>
          <w:tcPr>
            <w:tcW w:w="790" w:type="dxa"/>
            <w:vAlign w:val="center"/>
            <w:hideMark/>
          </w:tcPr>
          <w:p w14:paraId="7617C2CD" w14:textId="091C5CA8"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089928B7" w14:textId="4FD4C59C" w:rsidR="0067714D" w:rsidRPr="00095A36" w:rsidRDefault="0067714D" w:rsidP="002E3784">
            <w:pPr>
              <w:jc w:val="center"/>
              <w:rPr>
                <w:rFonts w:ascii="Arial" w:hAnsi="Arial" w:cs="Arial"/>
                <w:b/>
                <w:color w:val="1F1F1F"/>
              </w:rPr>
            </w:pPr>
            <w:r w:rsidRPr="00095A36">
              <w:rPr>
                <w:rFonts w:ascii="Arial" w:hAnsi="Arial" w:cs="Arial"/>
                <w:b/>
                <w:color w:val="1F1F1F"/>
              </w:rPr>
              <w:t>4.09</w:t>
            </w:r>
          </w:p>
        </w:tc>
      </w:tr>
    </w:tbl>
    <w:p w14:paraId="46C95B73" w14:textId="73C35D8B" w:rsidR="009E31F3" w:rsidRPr="00095A36" w:rsidRDefault="00E17751" w:rsidP="002E3784">
      <w:pPr>
        <w:pStyle w:val="p1"/>
        <w:jc w:val="center"/>
        <w:rPr>
          <w:i/>
          <w:iCs/>
          <w:color w:val="000000" w:themeColor="text1"/>
        </w:rPr>
      </w:pPr>
      <w:r w:rsidRPr="00095A36">
        <w:rPr>
          <w:i/>
          <w:iCs/>
          <w:color w:val="000000" w:themeColor="text1"/>
        </w:rPr>
        <w:t>Source: Compiled by the author based on the analy</w:t>
      </w:r>
      <w:r w:rsidR="00FC5106">
        <w:rPr>
          <w:i/>
          <w:iCs/>
          <w:color w:val="000000" w:themeColor="text1"/>
        </w:rPr>
        <w:t>s</w:t>
      </w:r>
      <w:r w:rsidRPr="00095A36">
        <w:rPr>
          <w:i/>
          <w:iCs/>
          <w:color w:val="000000" w:themeColor="text1"/>
        </w:rPr>
        <w:t>ed data</w:t>
      </w:r>
    </w:p>
    <w:p w14:paraId="06548A79" w14:textId="77777777" w:rsidR="00CD0BA2" w:rsidRPr="00095A36" w:rsidRDefault="00CD0BA2" w:rsidP="002E3784">
      <w:pPr>
        <w:pStyle w:val="p1"/>
        <w:jc w:val="center"/>
        <w:rPr>
          <w:color w:val="000000" w:themeColor="text1"/>
        </w:rPr>
      </w:pPr>
    </w:p>
    <w:p w14:paraId="1AFD5B9E" w14:textId="49848BCB" w:rsidR="002222DE" w:rsidRPr="00095A36" w:rsidRDefault="002222DE" w:rsidP="002E3784">
      <w:pPr>
        <w:pStyle w:val="Body"/>
        <w:rPr>
          <w:rFonts w:ascii="Arial" w:hAnsi="Arial" w:cs="Arial"/>
          <w:color w:val="000000" w:themeColor="text1"/>
          <w:u w:val="single"/>
        </w:rPr>
      </w:pPr>
      <w:r w:rsidRPr="00095A36">
        <w:rPr>
          <w:rFonts w:ascii="Arial" w:hAnsi="Arial" w:cs="Arial"/>
          <w:b/>
          <w:color w:val="000000" w:themeColor="text1"/>
          <w:u w:val="single"/>
        </w:rPr>
        <w:t>3.</w:t>
      </w:r>
      <w:r w:rsidR="005017DB" w:rsidRPr="00095A36">
        <w:rPr>
          <w:rFonts w:ascii="Arial" w:hAnsi="Arial" w:cs="Arial"/>
          <w:b/>
          <w:color w:val="000000" w:themeColor="text1"/>
          <w:u w:val="single"/>
        </w:rPr>
        <w:t>2</w:t>
      </w:r>
      <w:r w:rsidRPr="00095A36">
        <w:rPr>
          <w:rFonts w:ascii="Arial" w:hAnsi="Arial" w:cs="Arial"/>
          <w:b/>
          <w:color w:val="000000" w:themeColor="text1"/>
          <w:u w:val="single"/>
        </w:rPr>
        <w:t>.3</w:t>
      </w:r>
      <w:r w:rsidR="00AD1533" w:rsidRPr="00095A36">
        <w:rPr>
          <w:rFonts w:ascii="Arial" w:hAnsi="Arial" w:cs="Arial"/>
          <w:b/>
          <w:color w:val="000000" w:themeColor="text1"/>
          <w:u w:val="single"/>
        </w:rPr>
        <w:t xml:space="preserve"> </w:t>
      </w:r>
      <w:r w:rsidR="00462AC6" w:rsidRPr="00095A36">
        <w:rPr>
          <w:rFonts w:ascii="Arial" w:hAnsi="Arial" w:cs="Arial"/>
          <w:b/>
          <w:bCs/>
          <w:color w:val="000000"/>
          <w:u w:val="single"/>
        </w:rPr>
        <w:t>Digital Financial Inclusion (Y)</w:t>
      </w:r>
    </w:p>
    <w:p w14:paraId="01FC580C" w14:textId="5C9FCCC2" w:rsidR="00454E7C" w:rsidRPr="00095A36" w:rsidRDefault="003C4C8A" w:rsidP="002E3784">
      <w:pPr>
        <w:pStyle w:val="Body"/>
        <w:rPr>
          <w:rFonts w:ascii="Arial" w:hAnsi="Arial" w:cs="Arial"/>
          <w:color w:val="000000" w:themeColor="text1"/>
        </w:rPr>
      </w:pPr>
      <w:r>
        <w:rPr>
          <w:rFonts w:ascii="Arial" w:hAnsi="Arial" w:cs="Arial"/>
          <w:color w:val="000000" w:themeColor="text1"/>
        </w:rPr>
        <w:t>Based on Table 5, t</w:t>
      </w:r>
      <w:r w:rsidR="001111C9" w:rsidRPr="00095A36">
        <w:rPr>
          <w:rFonts w:ascii="Arial" w:hAnsi="Arial" w:cs="Arial"/>
          <w:color w:val="000000" w:themeColor="text1"/>
        </w:rPr>
        <w:t>he dependent variable, Digital Financial Inclusion, shows a strong overall average of 4.07, suggesting that Generation Z significantly incorporates digital services into their business practices. The top ratings for varied use and financial documentation (Y3 and Y5, average 4.09) indicate that these resources are employed for a wider scope of business professionalism beyond mere transactions. Nevertheless, the somewhat reduced score in everyday usage (Y2, average 4.05) implies that digital payments have not entirely taken over cash in regular transactions, highlighting the continued presence of a mixed financial approach in local markets.</w:t>
      </w:r>
    </w:p>
    <w:p w14:paraId="0007407B" w14:textId="4EB12ABE" w:rsidR="0067714D" w:rsidRPr="00095A36" w:rsidRDefault="0067714D" w:rsidP="002E3784">
      <w:pPr>
        <w:pStyle w:val="Body"/>
        <w:jc w:val="center"/>
        <w:rPr>
          <w:rFonts w:ascii="Arial" w:hAnsi="Arial" w:cs="Arial"/>
          <w:color w:val="000000" w:themeColor="text1"/>
          <w:sz w:val="16"/>
          <w:szCs w:val="16"/>
        </w:rPr>
      </w:pPr>
      <w:r w:rsidRPr="00095A36">
        <w:rPr>
          <w:rFonts w:ascii="Arial" w:hAnsi="Arial" w:cs="Arial"/>
          <w:b/>
          <w:color w:val="000000" w:themeColor="text1"/>
          <w:szCs w:val="16"/>
        </w:rPr>
        <w:t>Table 5. Digital Financial Inclusion (Y) Description</w:t>
      </w:r>
    </w:p>
    <w:tbl>
      <w:tblPr>
        <w:tblStyle w:val="TableGridLight"/>
        <w:tblW w:w="0" w:type="auto"/>
        <w:tblLook w:val="04A0" w:firstRow="1" w:lastRow="0" w:firstColumn="1" w:lastColumn="0" w:noHBand="0" w:noVBand="1"/>
      </w:tblPr>
      <w:tblGrid>
        <w:gridCol w:w="995"/>
        <w:gridCol w:w="947"/>
        <w:gridCol w:w="970"/>
        <w:gridCol w:w="1139"/>
        <w:gridCol w:w="1250"/>
        <w:gridCol w:w="1139"/>
        <w:gridCol w:w="790"/>
        <w:gridCol w:w="851"/>
      </w:tblGrid>
      <w:tr w:rsidR="0067714D" w:rsidRPr="00095A36" w14:paraId="3775421E" w14:textId="77777777" w:rsidTr="007A0D88">
        <w:trPr>
          <w:trHeight w:val="615"/>
        </w:trPr>
        <w:tc>
          <w:tcPr>
            <w:tcW w:w="995" w:type="dxa"/>
            <w:vAlign w:val="center"/>
            <w:hideMark/>
          </w:tcPr>
          <w:p w14:paraId="0AC38D86" w14:textId="77777777" w:rsidR="0067714D" w:rsidRPr="00095A36" w:rsidRDefault="0067714D" w:rsidP="002E3784">
            <w:pPr>
              <w:jc w:val="center"/>
              <w:rPr>
                <w:rFonts w:ascii="Arial" w:hAnsi="Arial" w:cs="Arial"/>
                <w:b/>
                <w:color w:val="1F1F1F"/>
                <w:lang w:eastAsia="en-ID"/>
              </w:rPr>
            </w:pPr>
            <w:r w:rsidRPr="00095A36">
              <w:rPr>
                <w:rFonts w:ascii="Arial" w:hAnsi="Arial" w:cs="Arial"/>
                <w:b/>
                <w:color w:val="1F1F1F"/>
              </w:rPr>
              <w:t>Variable</w:t>
            </w:r>
          </w:p>
        </w:tc>
        <w:tc>
          <w:tcPr>
            <w:tcW w:w="947" w:type="dxa"/>
            <w:vAlign w:val="center"/>
            <w:hideMark/>
          </w:tcPr>
          <w:p w14:paraId="0B190DAC"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1 Value (%)</w:t>
            </w:r>
          </w:p>
        </w:tc>
        <w:tc>
          <w:tcPr>
            <w:tcW w:w="970" w:type="dxa"/>
            <w:vAlign w:val="center"/>
            <w:hideMark/>
          </w:tcPr>
          <w:p w14:paraId="5B2E379B"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2</w:t>
            </w:r>
          </w:p>
          <w:p w14:paraId="17181106" w14:textId="77777777" w:rsidR="0067714D" w:rsidRPr="00095A36" w:rsidRDefault="0067714D" w:rsidP="002E3784">
            <w:pPr>
              <w:jc w:val="center"/>
              <w:rPr>
                <w:rFonts w:ascii="Arial" w:hAnsi="Arial" w:cs="Arial"/>
                <w:b/>
                <w:color w:val="1F1F1F"/>
              </w:rPr>
            </w:pPr>
            <w:r w:rsidRPr="00095A36">
              <w:rPr>
                <w:rFonts w:ascii="Arial" w:hAnsi="Arial" w:cs="Arial"/>
                <w:b/>
                <w:color w:val="1F1F1F"/>
              </w:rPr>
              <w:t>Value (%)</w:t>
            </w:r>
          </w:p>
        </w:tc>
        <w:tc>
          <w:tcPr>
            <w:tcW w:w="1139" w:type="dxa"/>
            <w:vAlign w:val="center"/>
            <w:hideMark/>
          </w:tcPr>
          <w:p w14:paraId="1151D33F"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3 Value</w:t>
            </w:r>
          </w:p>
          <w:p w14:paraId="0B21D6FB"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1250" w:type="dxa"/>
            <w:vAlign w:val="center"/>
            <w:hideMark/>
          </w:tcPr>
          <w:p w14:paraId="2C410C6A"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4 Value</w:t>
            </w:r>
          </w:p>
          <w:p w14:paraId="5685FEF2"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1139" w:type="dxa"/>
            <w:vAlign w:val="center"/>
            <w:hideMark/>
          </w:tcPr>
          <w:p w14:paraId="6D926BD8" w14:textId="77777777" w:rsidR="0067714D" w:rsidRPr="00095A36" w:rsidRDefault="0067714D" w:rsidP="002E3784">
            <w:pPr>
              <w:jc w:val="center"/>
              <w:rPr>
                <w:rFonts w:ascii="Arial" w:hAnsi="Arial" w:cs="Arial"/>
                <w:b/>
                <w:color w:val="1F1F1F"/>
              </w:rPr>
            </w:pPr>
            <w:r w:rsidRPr="00095A36">
              <w:rPr>
                <w:rFonts w:ascii="Arial" w:hAnsi="Arial" w:cs="Arial"/>
                <w:b/>
                <w:color w:val="1F1F1F"/>
              </w:rPr>
              <w:t>Scale 5 Value</w:t>
            </w:r>
          </w:p>
          <w:p w14:paraId="254026D2" w14:textId="77777777" w:rsidR="0067714D" w:rsidRPr="00095A36" w:rsidRDefault="0067714D" w:rsidP="002E3784">
            <w:pPr>
              <w:jc w:val="center"/>
              <w:rPr>
                <w:rFonts w:ascii="Arial" w:hAnsi="Arial" w:cs="Arial"/>
                <w:b/>
                <w:color w:val="1F1F1F"/>
              </w:rPr>
            </w:pPr>
            <w:r w:rsidRPr="00095A36">
              <w:rPr>
                <w:rFonts w:ascii="Arial" w:hAnsi="Arial" w:cs="Arial"/>
                <w:b/>
                <w:color w:val="1F1F1F"/>
              </w:rPr>
              <w:t>(%)</w:t>
            </w:r>
          </w:p>
        </w:tc>
        <w:tc>
          <w:tcPr>
            <w:tcW w:w="790" w:type="dxa"/>
            <w:vAlign w:val="center"/>
            <w:hideMark/>
          </w:tcPr>
          <w:p w14:paraId="291E089A" w14:textId="77777777" w:rsidR="0067714D" w:rsidRPr="00095A36" w:rsidRDefault="0067714D" w:rsidP="002E3784">
            <w:pPr>
              <w:jc w:val="center"/>
              <w:rPr>
                <w:rFonts w:ascii="Arial" w:hAnsi="Arial" w:cs="Arial"/>
                <w:b/>
                <w:color w:val="1F1F1F"/>
              </w:rPr>
            </w:pPr>
            <w:r w:rsidRPr="00095A36">
              <w:rPr>
                <w:rFonts w:ascii="Arial" w:hAnsi="Arial" w:cs="Arial"/>
                <w:b/>
                <w:color w:val="1F1F1F"/>
              </w:rPr>
              <w:t>Total</w:t>
            </w:r>
          </w:p>
        </w:tc>
        <w:tc>
          <w:tcPr>
            <w:tcW w:w="851" w:type="dxa"/>
            <w:vAlign w:val="center"/>
            <w:hideMark/>
          </w:tcPr>
          <w:p w14:paraId="003CCC46" w14:textId="77777777" w:rsidR="0067714D" w:rsidRPr="00095A36" w:rsidRDefault="0067714D" w:rsidP="002E3784">
            <w:pPr>
              <w:jc w:val="center"/>
              <w:rPr>
                <w:rFonts w:ascii="Arial" w:hAnsi="Arial" w:cs="Arial"/>
                <w:b/>
                <w:color w:val="1F1F1F"/>
              </w:rPr>
            </w:pPr>
            <w:r w:rsidRPr="00095A36">
              <w:rPr>
                <w:rFonts w:ascii="Arial" w:hAnsi="Arial" w:cs="Arial"/>
                <w:b/>
                <w:color w:val="1F1F1F"/>
              </w:rPr>
              <w:t>Mean</w:t>
            </w:r>
          </w:p>
        </w:tc>
      </w:tr>
      <w:tr w:rsidR="0067714D" w:rsidRPr="00095A36" w14:paraId="32C905F9" w14:textId="77777777" w:rsidTr="007A0D88">
        <w:trPr>
          <w:trHeight w:val="585"/>
        </w:trPr>
        <w:tc>
          <w:tcPr>
            <w:tcW w:w="995" w:type="dxa"/>
            <w:vAlign w:val="center"/>
            <w:hideMark/>
          </w:tcPr>
          <w:p w14:paraId="28764494" w14:textId="12D01B3A" w:rsidR="0067714D" w:rsidRPr="00095A36" w:rsidRDefault="0067714D" w:rsidP="002E3784">
            <w:pPr>
              <w:jc w:val="center"/>
              <w:rPr>
                <w:rFonts w:ascii="Arial" w:hAnsi="Arial" w:cs="Arial"/>
                <w:b/>
                <w:color w:val="1F1F1F"/>
              </w:rPr>
            </w:pPr>
            <w:r w:rsidRPr="00095A36">
              <w:rPr>
                <w:rFonts w:ascii="Arial" w:hAnsi="Arial" w:cs="Arial"/>
                <w:b/>
                <w:color w:val="1F1F1F"/>
              </w:rPr>
              <w:t>Y1</w:t>
            </w:r>
          </w:p>
        </w:tc>
        <w:tc>
          <w:tcPr>
            <w:tcW w:w="947" w:type="dxa"/>
            <w:vAlign w:val="center"/>
            <w:hideMark/>
          </w:tcPr>
          <w:p w14:paraId="5C31B529" w14:textId="2E46E5B2" w:rsidR="0067714D" w:rsidRPr="00095A36" w:rsidRDefault="0067714D" w:rsidP="002E3784">
            <w:pPr>
              <w:jc w:val="center"/>
              <w:rPr>
                <w:rFonts w:ascii="Arial" w:hAnsi="Arial" w:cs="Arial"/>
                <w:color w:val="1F1F1F"/>
              </w:rPr>
            </w:pPr>
            <w:r w:rsidRPr="00095A36">
              <w:rPr>
                <w:rFonts w:ascii="Arial" w:hAnsi="Arial" w:cs="Arial"/>
                <w:color w:val="1F1F1F"/>
              </w:rPr>
              <w:t>2 (0.5%)</w:t>
            </w:r>
          </w:p>
        </w:tc>
        <w:tc>
          <w:tcPr>
            <w:tcW w:w="970" w:type="dxa"/>
            <w:vAlign w:val="center"/>
            <w:hideMark/>
          </w:tcPr>
          <w:p w14:paraId="79FFC619" w14:textId="5B322307"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17 (4.4%)</w:t>
            </w:r>
          </w:p>
        </w:tc>
        <w:tc>
          <w:tcPr>
            <w:tcW w:w="1139" w:type="dxa"/>
            <w:vAlign w:val="center"/>
            <w:hideMark/>
          </w:tcPr>
          <w:p w14:paraId="645FB5F9" w14:textId="3F2C5479" w:rsidR="0067714D" w:rsidRPr="00095A36" w:rsidRDefault="0067714D" w:rsidP="002E3784">
            <w:pPr>
              <w:jc w:val="center"/>
              <w:rPr>
                <w:rFonts w:ascii="Arial" w:hAnsi="Arial" w:cs="Arial"/>
                <w:color w:val="1F1F1F"/>
              </w:rPr>
            </w:pPr>
            <w:r w:rsidRPr="00095A36">
              <w:rPr>
                <w:rFonts w:ascii="Arial" w:hAnsi="Arial" w:cs="Arial"/>
                <w:color w:val="1F1F1F"/>
              </w:rPr>
              <w:t>79 (20.5%)</w:t>
            </w:r>
          </w:p>
        </w:tc>
        <w:tc>
          <w:tcPr>
            <w:tcW w:w="1250" w:type="dxa"/>
            <w:vAlign w:val="center"/>
            <w:hideMark/>
          </w:tcPr>
          <w:p w14:paraId="46D50C44" w14:textId="103B32DE" w:rsidR="0067714D" w:rsidRPr="00095A36" w:rsidRDefault="0067714D" w:rsidP="002E3784">
            <w:pPr>
              <w:jc w:val="center"/>
              <w:rPr>
                <w:rFonts w:ascii="Arial" w:hAnsi="Arial" w:cs="Arial"/>
                <w:color w:val="1F1F1F"/>
              </w:rPr>
            </w:pPr>
            <w:r w:rsidRPr="00095A36">
              <w:rPr>
                <w:rFonts w:ascii="Arial" w:hAnsi="Arial" w:cs="Arial"/>
                <w:color w:val="1F1F1F"/>
              </w:rPr>
              <w:t>145 (37.7%)</w:t>
            </w:r>
          </w:p>
        </w:tc>
        <w:tc>
          <w:tcPr>
            <w:tcW w:w="1139" w:type="dxa"/>
            <w:vAlign w:val="center"/>
            <w:hideMark/>
          </w:tcPr>
          <w:p w14:paraId="76445B60" w14:textId="108859D0" w:rsidR="0067714D" w:rsidRPr="00095A36" w:rsidRDefault="0067714D" w:rsidP="002E3784">
            <w:pPr>
              <w:jc w:val="center"/>
              <w:rPr>
                <w:rFonts w:ascii="Arial" w:hAnsi="Arial" w:cs="Arial"/>
                <w:color w:val="1F1F1F"/>
              </w:rPr>
            </w:pPr>
            <w:r w:rsidRPr="00095A36">
              <w:rPr>
                <w:rFonts w:ascii="Arial" w:hAnsi="Arial" w:cs="Arial"/>
                <w:color w:val="1F1F1F"/>
              </w:rPr>
              <w:t>142 (36.9%)</w:t>
            </w:r>
          </w:p>
        </w:tc>
        <w:tc>
          <w:tcPr>
            <w:tcW w:w="790" w:type="dxa"/>
            <w:vAlign w:val="center"/>
            <w:hideMark/>
          </w:tcPr>
          <w:p w14:paraId="37726770" w14:textId="0BB55476"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3AF70D61" w14:textId="325DA34D" w:rsidR="0067714D" w:rsidRPr="00095A36" w:rsidRDefault="0067714D" w:rsidP="002E3784">
            <w:pPr>
              <w:jc w:val="center"/>
              <w:rPr>
                <w:rFonts w:ascii="Arial" w:hAnsi="Arial" w:cs="Arial"/>
                <w:b/>
                <w:color w:val="1F1F1F"/>
              </w:rPr>
            </w:pPr>
            <w:r w:rsidRPr="00095A36">
              <w:rPr>
                <w:rFonts w:ascii="Arial" w:hAnsi="Arial" w:cs="Arial"/>
                <w:b/>
                <w:color w:val="1F1F1F"/>
              </w:rPr>
              <w:t>4.06</w:t>
            </w:r>
          </w:p>
        </w:tc>
      </w:tr>
      <w:tr w:rsidR="0067714D" w:rsidRPr="00095A36" w14:paraId="10F68D1B" w14:textId="77777777" w:rsidTr="007A0D88">
        <w:trPr>
          <w:trHeight w:val="585"/>
        </w:trPr>
        <w:tc>
          <w:tcPr>
            <w:tcW w:w="995" w:type="dxa"/>
            <w:vAlign w:val="center"/>
            <w:hideMark/>
          </w:tcPr>
          <w:p w14:paraId="64F70316" w14:textId="57A7DC7F" w:rsidR="0067714D" w:rsidRPr="00095A36" w:rsidRDefault="0067714D" w:rsidP="002E3784">
            <w:pPr>
              <w:jc w:val="center"/>
              <w:rPr>
                <w:rFonts w:ascii="Arial" w:hAnsi="Arial" w:cs="Arial"/>
                <w:b/>
                <w:color w:val="1F1F1F"/>
              </w:rPr>
            </w:pPr>
            <w:r w:rsidRPr="00095A36">
              <w:rPr>
                <w:rFonts w:ascii="Arial" w:hAnsi="Arial" w:cs="Arial"/>
                <w:b/>
                <w:color w:val="1F1F1F"/>
              </w:rPr>
              <w:t>Y2</w:t>
            </w:r>
          </w:p>
        </w:tc>
        <w:tc>
          <w:tcPr>
            <w:tcW w:w="947" w:type="dxa"/>
            <w:vAlign w:val="center"/>
            <w:hideMark/>
          </w:tcPr>
          <w:p w14:paraId="733E56D4" w14:textId="18C31AB2" w:rsidR="0067714D" w:rsidRPr="00095A36" w:rsidRDefault="0067714D" w:rsidP="002E3784">
            <w:pPr>
              <w:jc w:val="center"/>
              <w:rPr>
                <w:rFonts w:ascii="Arial" w:hAnsi="Arial" w:cs="Arial"/>
                <w:color w:val="1F1F1F"/>
              </w:rPr>
            </w:pPr>
            <w:r w:rsidRPr="00095A36">
              <w:rPr>
                <w:rFonts w:ascii="Arial" w:hAnsi="Arial" w:cs="Arial"/>
                <w:color w:val="1F1F1F"/>
              </w:rPr>
              <w:t>5 (1.3%)</w:t>
            </w:r>
          </w:p>
        </w:tc>
        <w:tc>
          <w:tcPr>
            <w:tcW w:w="970" w:type="dxa"/>
            <w:vAlign w:val="center"/>
            <w:hideMark/>
          </w:tcPr>
          <w:p w14:paraId="3995FC2D" w14:textId="36628E50"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6 (1.6%)</w:t>
            </w:r>
          </w:p>
        </w:tc>
        <w:tc>
          <w:tcPr>
            <w:tcW w:w="1139" w:type="dxa"/>
            <w:vAlign w:val="center"/>
            <w:hideMark/>
          </w:tcPr>
          <w:p w14:paraId="49F8193F" w14:textId="0BBAA563" w:rsidR="0067714D" w:rsidRPr="00095A36" w:rsidRDefault="0067714D" w:rsidP="002E3784">
            <w:pPr>
              <w:jc w:val="center"/>
              <w:rPr>
                <w:rFonts w:ascii="Arial" w:hAnsi="Arial" w:cs="Arial"/>
                <w:color w:val="1F1F1F"/>
              </w:rPr>
            </w:pPr>
            <w:r w:rsidRPr="00095A36">
              <w:rPr>
                <w:rFonts w:ascii="Arial" w:hAnsi="Arial" w:cs="Arial"/>
                <w:color w:val="1F1F1F"/>
              </w:rPr>
              <w:t>75 (19.5%)</w:t>
            </w:r>
          </w:p>
        </w:tc>
        <w:tc>
          <w:tcPr>
            <w:tcW w:w="1250" w:type="dxa"/>
            <w:vAlign w:val="center"/>
            <w:hideMark/>
          </w:tcPr>
          <w:p w14:paraId="4DED69FE" w14:textId="25D9DDD9" w:rsidR="0067714D" w:rsidRPr="00095A36" w:rsidRDefault="0067714D" w:rsidP="002E3784">
            <w:pPr>
              <w:jc w:val="center"/>
              <w:rPr>
                <w:rFonts w:ascii="Arial" w:hAnsi="Arial" w:cs="Arial"/>
                <w:color w:val="1F1F1F"/>
              </w:rPr>
            </w:pPr>
            <w:r w:rsidRPr="00095A36">
              <w:rPr>
                <w:rFonts w:ascii="Arial" w:hAnsi="Arial" w:cs="Arial"/>
                <w:color w:val="1F1F1F"/>
              </w:rPr>
              <w:t>177 (46.0%)</w:t>
            </w:r>
          </w:p>
        </w:tc>
        <w:tc>
          <w:tcPr>
            <w:tcW w:w="1139" w:type="dxa"/>
            <w:vAlign w:val="center"/>
            <w:hideMark/>
          </w:tcPr>
          <w:p w14:paraId="28080287" w14:textId="255AF65F" w:rsidR="0067714D" w:rsidRPr="00095A36" w:rsidRDefault="0067714D" w:rsidP="002E3784">
            <w:pPr>
              <w:jc w:val="center"/>
              <w:rPr>
                <w:rFonts w:ascii="Arial" w:hAnsi="Arial" w:cs="Arial"/>
                <w:color w:val="1F1F1F"/>
              </w:rPr>
            </w:pPr>
            <w:r w:rsidRPr="00095A36">
              <w:rPr>
                <w:rFonts w:ascii="Arial" w:hAnsi="Arial" w:cs="Arial"/>
                <w:color w:val="1F1F1F"/>
              </w:rPr>
              <w:t>122 (31.7%)</w:t>
            </w:r>
          </w:p>
        </w:tc>
        <w:tc>
          <w:tcPr>
            <w:tcW w:w="790" w:type="dxa"/>
            <w:vAlign w:val="center"/>
            <w:hideMark/>
          </w:tcPr>
          <w:p w14:paraId="5655B2EF" w14:textId="7C86D1A9"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30BE5603" w14:textId="6572005D" w:rsidR="0067714D" w:rsidRPr="00095A36" w:rsidRDefault="0067714D" w:rsidP="002E3784">
            <w:pPr>
              <w:jc w:val="center"/>
              <w:rPr>
                <w:rFonts w:ascii="Arial" w:hAnsi="Arial" w:cs="Arial"/>
                <w:b/>
                <w:color w:val="1F1F1F"/>
              </w:rPr>
            </w:pPr>
            <w:r w:rsidRPr="00095A36">
              <w:rPr>
                <w:rFonts w:ascii="Arial" w:hAnsi="Arial" w:cs="Arial"/>
                <w:b/>
                <w:color w:val="1F1F1F"/>
              </w:rPr>
              <w:t>4.05</w:t>
            </w:r>
          </w:p>
        </w:tc>
      </w:tr>
      <w:tr w:rsidR="0067714D" w:rsidRPr="00095A36" w14:paraId="5A03E7A7" w14:textId="77777777" w:rsidTr="007A0D88">
        <w:trPr>
          <w:trHeight w:val="585"/>
        </w:trPr>
        <w:tc>
          <w:tcPr>
            <w:tcW w:w="995" w:type="dxa"/>
            <w:vAlign w:val="center"/>
            <w:hideMark/>
          </w:tcPr>
          <w:p w14:paraId="5D8FFA61" w14:textId="3E62EEDB" w:rsidR="0067714D" w:rsidRPr="00095A36" w:rsidRDefault="0067714D" w:rsidP="002E3784">
            <w:pPr>
              <w:jc w:val="center"/>
              <w:rPr>
                <w:rFonts w:ascii="Arial" w:hAnsi="Arial" w:cs="Arial"/>
                <w:b/>
                <w:color w:val="1F1F1F"/>
              </w:rPr>
            </w:pPr>
            <w:r w:rsidRPr="00095A36">
              <w:rPr>
                <w:rFonts w:ascii="Arial" w:hAnsi="Arial" w:cs="Arial"/>
                <w:b/>
                <w:color w:val="1F1F1F"/>
              </w:rPr>
              <w:t>Y3</w:t>
            </w:r>
          </w:p>
        </w:tc>
        <w:tc>
          <w:tcPr>
            <w:tcW w:w="947" w:type="dxa"/>
            <w:vAlign w:val="center"/>
            <w:hideMark/>
          </w:tcPr>
          <w:p w14:paraId="77855691" w14:textId="5BA2DEC4" w:rsidR="0067714D" w:rsidRPr="00095A36" w:rsidRDefault="0067714D" w:rsidP="002E3784">
            <w:pPr>
              <w:jc w:val="center"/>
              <w:rPr>
                <w:rFonts w:ascii="Arial" w:hAnsi="Arial" w:cs="Arial"/>
                <w:color w:val="1F1F1F"/>
              </w:rPr>
            </w:pPr>
            <w:r w:rsidRPr="00095A36">
              <w:rPr>
                <w:rFonts w:ascii="Arial" w:hAnsi="Arial" w:cs="Arial"/>
                <w:color w:val="1F1F1F"/>
              </w:rPr>
              <w:t>1 (0.3%)</w:t>
            </w:r>
          </w:p>
        </w:tc>
        <w:tc>
          <w:tcPr>
            <w:tcW w:w="970" w:type="dxa"/>
            <w:vAlign w:val="center"/>
            <w:hideMark/>
          </w:tcPr>
          <w:p w14:paraId="5156F821" w14:textId="121CE99A"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14 (3.6%)</w:t>
            </w:r>
          </w:p>
        </w:tc>
        <w:tc>
          <w:tcPr>
            <w:tcW w:w="1139" w:type="dxa"/>
            <w:vAlign w:val="center"/>
            <w:hideMark/>
          </w:tcPr>
          <w:p w14:paraId="1079E2C8" w14:textId="2D448995" w:rsidR="0067714D" w:rsidRPr="00095A36" w:rsidRDefault="0067714D" w:rsidP="002E3784">
            <w:pPr>
              <w:jc w:val="center"/>
              <w:rPr>
                <w:rFonts w:ascii="Arial" w:hAnsi="Arial" w:cs="Arial"/>
                <w:color w:val="1F1F1F"/>
              </w:rPr>
            </w:pPr>
            <w:r w:rsidRPr="00095A36">
              <w:rPr>
                <w:rFonts w:ascii="Arial" w:hAnsi="Arial" w:cs="Arial"/>
                <w:color w:val="1F1F1F"/>
              </w:rPr>
              <w:t>75 (19.5%)</w:t>
            </w:r>
          </w:p>
        </w:tc>
        <w:tc>
          <w:tcPr>
            <w:tcW w:w="1250" w:type="dxa"/>
            <w:vAlign w:val="center"/>
            <w:hideMark/>
          </w:tcPr>
          <w:p w14:paraId="2EFDCF80" w14:textId="07D305D8" w:rsidR="0067714D" w:rsidRPr="00095A36" w:rsidRDefault="0067714D" w:rsidP="002E3784">
            <w:pPr>
              <w:jc w:val="center"/>
              <w:rPr>
                <w:rFonts w:ascii="Arial" w:hAnsi="Arial" w:cs="Arial"/>
                <w:color w:val="1F1F1F"/>
              </w:rPr>
            </w:pPr>
            <w:r w:rsidRPr="00095A36">
              <w:rPr>
                <w:rFonts w:ascii="Arial" w:hAnsi="Arial" w:cs="Arial"/>
                <w:color w:val="1F1F1F"/>
              </w:rPr>
              <w:t>154 (40.0%)</w:t>
            </w:r>
          </w:p>
        </w:tc>
        <w:tc>
          <w:tcPr>
            <w:tcW w:w="1139" w:type="dxa"/>
            <w:vAlign w:val="center"/>
            <w:hideMark/>
          </w:tcPr>
          <w:p w14:paraId="5A0E27DB" w14:textId="53540828" w:rsidR="0067714D" w:rsidRPr="00095A36" w:rsidRDefault="0067714D" w:rsidP="002E3784">
            <w:pPr>
              <w:jc w:val="center"/>
              <w:rPr>
                <w:rFonts w:ascii="Arial" w:hAnsi="Arial" w:cs="Arial"/>
                <w:color w:val="1F1F1F"/>
              </w:rPr>
            </w:pPr>
            <w:r w:rsidRPr="00095A36">
              <w:rPr>
                <w:rFonts w:ascii="Arial" w:hAnsi="Arial" w:cs="Arial"/>
                <w:color w:val="1F1F1F"/>
              </w:rPr>
              <w:t>141 (36.6%)</w:t>
            </w:r>
          </w:p>
        </w:tc>
        <w:tc>
          <w:tcPr>
            <w:tcW w:w="790" w:type="dxa"/>
            <w:vAlign w:val="center"/>
            <w:hideMark/>
          </w:tcPr>
          <w:p w14:paraId="6C1BEBE6" w14:textId="2E3033CD"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0635D39D" w14:textId="58851ED2" w:rsidR="0067714D" w:rsidRPr="00095A36" w:rsidRDefault="0067714D" w:rsidP="002E3784">
            <w:pPr>
              <w:jc w:val="center"/>
              <w:rPr>
                <w:rFonts w:ascii="Arial" w:hAnsi="Arial" w:cs="Arial"/>
                <w:b/>
                <w:color w:val="1F1F1F"/>
              </w:rPr>
            </w:pPr>
            <w:r w:rsidRPr="00095A36">
              <w:rPr>
                <w:rFonts w:ascii="Arial" w:hAnsi="Arial" w:cs="Arial"/>
                <w:b/>
                <w:color w:val="1F1F1F"/>
              </w:rPr>
              <w:t>4.09</w:t>
            </w:r>
          </w:p>
        </w:tc>
      </w:tr>
      <w:tr w:rsidR="0067714D" w:rsidRPr="00095A36" w14:paraId="5D13FEE8" w14:textId="77777777" w:rsidTr="007A0D88">
        <w:trPr>
          <w:trHeight w:val="585"/>
        </w:trPr>
        <w:tc>
          <w:tcPr>
            <w:tcW w:w="995" w:type="dxa"/>
            <w:vAlign w:val="center"/>
            <w:hideMark/>
          </w:tcPr>
          <w:p w14:paraId="62DAE5A8" w14:textId="377821DE" w:rsidR="0067714D" w:rsidRPr="00095A36" w:rsidRDefault="0067714D" w:rsidP="002E3784">
            <w:pPr>
              <w:jc w:val="center"/>
              <w:rPr>
                <w:rFonts w:ascii="Arial" w:hAnsi="Arial" w:cs="Arial"/>
                <w:b/>
                <w:color w:val="1F1F1F"/>
              </w:rPr>
            </w:pPr>
            <w:r w:rsidRPr="00095A36">
              <w:rPr>
                <w:rFonts w:ascii="Arial" w:hAnsi="Arial" w:cs="Arial"/>
                <w:b/>
                <w:color w:val="1F1F1F"/>
              </w:rPr>
              <w:t>Y4</w:t>
            </w:r>
          </w:p>
        </w:tc>
        <w:tc>
          <w:tcPr>
            <w:tcW w:w="947" w:type="dxa"/>
            <w:vAlign w:val="center"/>
            <w:hideMark/>
          </w:tcPr>
          <w:p w14:paraId="02A93EC5" w14:textId="30D81283" w:rsidR="0067714D" w:rsidRPr="00095A36" w:rsidRDefault="0067714D" w:rsidP="002E3784">
            <w:pPr>
              <w:jc w:val="center"/>
              <w:rPr>
                <w:rFonts w:ascii="Arial" w:hAnsi="Arial" w:cs="Arial"/>
                <w:color w:val="1F1F1F"/>
              </w:rPr>
            </w:pPr>
            <w:r w:rsidRPr="00095A36">
              <w:rPr>
                <w:rFonts w:ascii="Arial" w:hAnsi="Arial" w:cs="Arial"/>
                <w:color w:val="1F1F1F"/>
              </w:rPr>
              <w:t>1 (0.3%)</w:t>
            </w:r>
          </w:p>
        </w:tc>
        <w:tc>
          <w:tcPr>
            <w:tcW w:w="970" w:type="dxa"/>
            <w:vAlign w:val="center"/>
            <w:hideMark/>
          </w:tcPr>
          <w:p w14:paraId="31D9ABC9" w14:textId="15559C0D"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13 (3.4%)</w:t>
            </w:r>
          </w:p>
        </w:tc>
        <w:tc>
          <w:tcPr>
            <w:tcW w:w="1139" w:type="dxa"/>
            <w:vAlign w:val="center"/>
            <w:hideMark/>
          </w:tcPr>
          <w:p w14:paraId="06A01BE9" w14:textId="73828ACD" w:rsidR="0067714D" w:rsidRPr="00095A36" w:rsidRDefault="0067714D" w:rsidP="002E3784">
            <w:pPr>
              <w:jc w:val="center"/>
              <w:rPr>
                <w:rFonts w:ascii="Arial" w:hAnsi="Arial" w:cs="Arial"/>
                <w:color w:val="1F1F1F"/>
              </w:rPr>
            </w:pPr>
            <w:r w:rsidRPr="00095A36">
              <w:rPr>
                <w:rFonts w:ascii="Arial" w:hAnsi="Arial" w:cs="Arial"/>
                <w:color w:val="1F1F1F"/>
              </w:rPr>
              <w:t>78 (20.3%)</w:t>
            </w:r>
          </w:p>
        </w:tc>
        <w:tc>
          <w:tcPr>
            <w:tcW w:w="1250" w:type="dxa"/>
            <w:vAlign w:val="center"/>
            <w:hideMark/>
          </w:tcPr>
          <w:p w14:paraId="475B749D" w14:textId="7D8DFE0A" w:rsidR="0067714D" w:rsidRPr="00095A36" w:rsidRDefault="0067714D" w:rsidP="002E3784">
            <w:pPr>
              <w:jc w:val="center"/>
              <w:rPr>
                <w:rFonts w:ascii="Arial" w:hAnsi="Arial" w:cs="Arial"/>
                <w:color w:val="1F1F1F"/>
              </w:rPr>
            </w:pPr>
            <w:r w:rsidRPr="00095A36">
              <w:rPr>
                <w:rFonts w:ascii="Arial" w:hAnsi="Arial" w:cs="Arial"/>
                <w:color w:val="1F1F1F"/>
              </w:rPr>
              <w:t>159 (41.3%)</w:t>
            </w:r>
          </w:p>
        </w:tc>
        <w:tc>
          <w:tcPr>
            <w:tcW w:w="1139" w:type="dxa"/>
            <w:vAlign w:val="center"/>
            <w:hideMark/>
          </w:tcPr>
          <w:p w14:paraId="1A958301" w14:textId="03475DBB" w:rsidR="0067714D" w:rsidRPr="00095A36" w:rsidRDefault="0067714D" w:rsidP="002E3784">
            <w:pPr>
              <w:jc w:val="center"/>
              <w:rPr>
                <w:rFonts w:ascii="Arial" w:hAnsi="Arial" w:cs="Arial"/>
                <w:color w:val="1F1F1F"/>
              </w:rPr>
            </w:pPr>
            <w:r w:rsidRPr="00095A36">
              <w:rPr>
                <w:rFonts w:ascii="Arial" w:hAnsi="Arial" w:cs="Arial"/>
                <w:color w:val="1F1F1F"/>
              </w:rPr>
              <w:t>134 (34.8%)</w:t>
            </w:r>
          </w:p>
        </w:tc>
        <w:tc>
          <w:tcPr>
            <w:tcW w:w="790" w:type="dxa"/>
            <w:vAlign w:val="center"/>
            <w:hideMark/>
          </w:tcPr>
          <w:p w14:paraId="74CF7A47" w14:textId="2B92D65C"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5692E97B" w14:textId="30BC9353" w:rsidR="0067714D" w:rsidRPr="00095A36" w:rsidRDefault="0067714D" w:rsidP="002E3784">
            <w:pPr>
              <w:jc w:val="center"/>
              <w:rPr>
                <w:rFonts w:ascii="Arial" w:hAnsi="Arial" w:cs="Arial"/>
                <w:b/>
                <w:color w:val="1F1F1F"/>
              </w:rPr>
            </w:pPr>
            <w:r w:rsidRPr="00095A36">
              <w:rPr>
                <w:rFonts w:ascii="Arial" w:hAnsi="Arial" w:cs="Arial"/>
                <w:b/>
                <w:color w:val="1F1F1F"/>
              </w:rPr>
              <w:t>4.07</w:t>
            </w:r>
          </w:p>
        </w:tc>
      </w:tr>
      <w:tr w:rsidR="0067714D" w:rsidRPr="00095A36" w14:paraId="24542D67" w14:textId="77777777" w:rsidTr="007A0D88">
        <w:trPr>
          <w:trHeight w:val="585"/>
        </w:trPr>
        <w:tc>
          <w:tcPr>
            <w:tcW w:w="995" w:type="dxa"/>
            <w:vAlign w:val="center"/>
            <w:hideMark/>
          </w:tcPr>
          <w:p w14:paraId="6326E159" w14:textId="599042D4" w:rsidR="0067714D" w:rsidRPr="00095A36" w:rsidRDefault="0067714D" w:rsidP="002E3784">
            <w:pPr>
              <w:jc w:val="center"/>
              <w:rPr>
                <w:rFonts w:ascii="Arial" w:hAnsi="Arial" w:cs="Arial"/>
                <w:b/>
                <w:color w:val="1F1F1F"/>
              </w:rPr>
            </w:pPr>
            <w:r w:rsidRPr="00095A36">
              <w:rPr>
                <w:rFonts w:ascii="Arial" w:hAnsi="Arial" w:cs="Arial"/>
                <w:b/>
                <w:color w:val="1F1F1F"/>
              </w:rPr>
              <w:t>Y5</w:t>
            </w:r>
          </w:p>
        </w:tc>
        <w:tc>
          <w:tcPr>
            <w:tcW w:w="947" w:type="dxa"/>
            <w:vAlign w:val="center"/>
            <w:hideMark/>
          </w:tcPr>
          <w:p w14:paraId="659FEFB7" w14:textId="2E3EB3EB" w:rsidR="0067714D" w:rsidRPr="00095A36" w:rsidRDefault="0067714D" w:rsidP="002E3784">
            <w:pPr>
              <w:jc w:val="center"/>
              <w:rPr>
                <w:rFonts w:ascii="Arial" w:hAnsi="Arial" w:cs="Arial"/>
                <w:color w:val="1F1F1F"/>
              </w:rPr>
            </w:pPr>
            <w:r w:rsidRPr="00095A36">
              <w:rPr>
                <w:rFonts w:ascii="Arial" w:hAnsi="Arial" w:cs="Arial"/>
                <w:color w:val="1F1F1F"/>
              </w:rPr>
              <w:t>0 (0.0%)</w:t>
            </w:r>
          </w:p>
        </w:tc>
        <w:tc>
          <w:tcPr>
            <w:tcW w:w="970" w:type="dxa"/>
            <w:vAlign w:val="center"/>
            <w:hideMark/>
          </w:tcPr>
          <w:p w14:paraId="43BC3E42" w14:textId="409B8D85" w:rsidR="0067714D" w:rsidRPr="00095A36" w:rsidRDefault="0067714D" w:rsidP="002E3784">
            <w:pPr>
              <w:ind w:firstLineChars="100" w:firstLine="200"/>
              <w:jc w:val="center"/>
              <w:rPr>
                <w:rFonts w:ascii="Arial" w:hAnsi="Arial" w:cs="Arial"/>
                <w:color w:val="1F1F1F"/>
              </w:rPr>
            </w:pPr>
            <w:r w:rsidRPr="00095A36">
              <w:rPr>
                <w:rFonts w:ascii="Arial" w:hAnsi="Arial" w:cs="Arial"/>
                <w:color w:val="1F1F1F"/>
              </w:rPr>
              <w:t>26 (6.8%)</w:t>
            </w:r>
          </w:p>
        </w:tc>
        <w:tc>
          <w:tcPr>
            <w:tcW w:w="1139" w:type="dxa"/>
            <w:vAlign w:val="center"/>
            <w:hideMark/>
          </w:tcPr>
          <w:p w14:paraId="27AD50B4" w14:textId="1653BF50" w:rsidR="0067714D" w:rsidRPr="00095A36" w:rsidRDefault="0067714D" w:rsidP="002E3784">
            <w:pPr>
              <w:jc w:val="center"/>
              <w:rPr>
                <w:rFonts w:ascii="Arial" w:hAnsi="Arial" w:cs="Arial"/>
                <w:color w:val="1F1F1F"/>
              </w:rPr>
            </w:pPr>
            <w:r w:rsidRPr="00095A36">
              <w:rPr>
                <w:rFonts w:ascii="Arial" w:hAnsi="Arial" w:cs="Arial"/>
                <w:color w:val="1F1F1F"/>
              </w:rPr>
              <w:t>53 (13.8%)</w:t>
            </w:r>
          </w:p>
        </w:tc>
        <w:tc>
          <w:tcPr>
            <w:tcW w:w="1250" w:type="dxa"/>
            <w:vAlign w:val="center"/>
            <w:hideMark/>
          </w:tcPr>
          <w:p w14:paraId="3EFDE45B" w14:textId="7A25A4FE" w:rsidR="0067714D" w:rsidRPr="00095A36" w:rsidRDefault="0067714D" w:rsidP="002E3784">
            <w:pPr>
              <w:jc w:val="center"/>
              <w:rPr>
                <w:rFonts w:ascii="Arial" w:hAnsi="Arial" w:cs="Arial"/>
                <w:color w:val="1F1F1F"/>
              </w:rPr>
            </w:pPr>
            <w:r w:rsidRPr="00095A36">
              <w:rPr>
                <w:rFonts w:ascii="Arial" w:hAnsi="Arial" w:cs="Arial"/>
                <w:color w:val="1F1F1F"/>
              </w:rPr>
              <w:t>166 (43.1%)</w:t>
            </w:r>
          </w:p>
        </w:tc>
        <w:tc>
          <w:tcPr>
            <w:tcW w:w="1139" w:type="dxa"/>
            <w:vAlign w:val="center"/>
            <w:hideMark/>
          </w:tcPr>
          <w:p w14:paraId="2D2E3E2B" w14:textId="1BB6D036" w:rsidR="0067714D" w:rsidRPr="00095A36" w:rsidRDefault="0067714D" w:rsidP="002E3784">
            <w:pPr>
              <w:jc w:val="center"/>
              <w:rPr>
                <w:rFonts w:ascii="Arial" w:hAnsi="Arial" w:cs="Arial"/>
                <w:color w:val="1F1F1F"/>
              </w:rPr>
            </w:pPr>
            <w:r w:rsidRPr="00095A36">
              <w:rPr>
                <w:rFonts w:ascii="Arial" w:hAnsi="Arial" w:cs="Arial"/>
                <w:color w:val="1F1F1F"/>
              </w:rPr>
              <w:t>140 (36.4%)</w:t>
            </w:r>
          </w:p>
        </w:tc>
        <w:tc>
          <w:tcPr>
            <w:tcW w:w="790" w:type="dxa"/>
            <w:vAlign w:val="center"/>
            <w:hideMark/>
          </w:tcPr>
          <w:p w14:paraId="6213B98E" w14:textId="74E47657" w:rsidR="0067714D" w:rsidRPr="00095A36" w:rsidRDefault="0067714D" w:rsidP="002E3784">
            <w:pPr>
              <w:jc w:val="center"/>
              <w:rPr>
                <w:rFonts w:ascii="Arial" w:hAnsi="Arial" w:cs="Arial"/>
                <w:color w:val="1F1F1F"/>
              </w:rPr>
            </w:pPr>
            <w:r w:rsidRPr="00095A36">
              <w:rPr>
                <w:rFonts w:ascii="Arial" w:hAnsi="Arial" w:cs="Arial"/>
                <w:color w:val="1F1F1F"/>
              </w:rPr>
              <w:t>385</w:t>
            </w:r>
          </w:p>
        </w:tc>
        <w:tc>
          <w:tcPr>
            <w:tcW w:w="851" w:type="dxa"/>
            <w:vAlign w:val="center"/>
            <w:hideMark/>
          </w:tcPr>
          <w:p w14:paraId="29C276CC" w14:textId="4CC0AA05" w:rsidR="0067714D" w:rsidRPr="00095A36" w:rsidRDefault="0067714D" w:rsidP="002E3784">
            <w:pPr>
              <w:jc w:val="center"/>
              <w:rPr>
                <w:rFonts w:ascii="Arial" w:hAnsi="Arial" w:cs="Arial"/>
                <w:b/>
                <w:color w:val="1F1F1F"/>
              </w:rPr>
            </w:pPr>
            <w:r w:rsidRPr="00095A36">
              <w:rPr>
                <w:rFonts w:ascii="Arial" w:hAnsi="Arial" w:cs="Arial"/>
                <w:b/>
                <w:color w:val="1F1F1F"/>
              </w:rPr>
              <w:t>4.09</w:t>
            </w:r>
          </w:p>
        </w:tc>
      </w:tr>
    </w:tbl>
    <w:p w14:paraId="4CF7BEF4" w14:textId="22463A54" w:rsidR="00E17751" w:rsidRPr="00095A36" w:rsidRDefault="00E17751" w:rsidP="002E3784">
      <w:pPr>
        <w:pStyle w:val="p1"/>
        <w:jc w:val="center"/>
        <w:rPr>
          <w:color w:val="000000" w:themeColor="text1"/>
        </w:rPr>
      </w:pPr>
      <w:r w:rsidRPr="00095A36">
        <w:rPr>
          <w:i/>
          <w:iCs/>
          <w:color w:val="000000" w:themeColor="text1"/>
        </w:rPr>
        <w:t>Source: Compiled by the author based on the analy</w:t>
      </w:r>
      <w:r w:rsidR="00FC5106">
        <w:rPr>
          <w:i/>
          <w:iCs/>
          <w:color w:val="000000" w:themeColor="text1"/>
        </w:rPr>
        <w:t>s</w:t>
      </w:r>
      <w:r w:rsidRPr="00095A36">
        <w:rPr>
          <w:i/>
          <w:iCs/>
          <w:color w:val="000000" w:themeColor="text1"/>
        </w:rPr>
        <w:t>ed data</w:t>
      </w:r>
    </w:p>
    <w:p w14:paraId="4D18D2F7" w14:textId="73D10EFD" w:rsidR="00F279B5" w:rsidRPr="00095A36" w:rsidRDefault="00F279B5" w:rsidP="002E3784">
      <w:pPr>
        <w:pStyle w:val="Body"/>
        <w:spacing w:after="0"/>
        <w:rPr>
          <w:rFonts w:ascii="Arial" w:hAnsi="Arial" w:cs="Arial"/>
          <w:b/>
          <w:color w:val="000000" w:themeColor="text1"/>
          <w:sz w:val="22"/>
        </w:rPr>
      </w:pPr>
    </w:p>
    <w:p w14:paraId="00F8540C" w14:textId="4B782BB6" w:rsidR="006A48B5" w:rsidRPr="00095A36" w:rsidRDefault="006A48B5" w:rsidP="002E3784">
      <w:pPr>
        <w:pStyle w:val="Body"/>
        <w:spacing w:after="0"/>
        <w:rPr>
          <w:rFonts w:ascii="Arial" w:hAnsi="Arial" w:cs="Arial"/>
          <w:b/>
          <w:color w:val="000000" w:themeColor="text1"/>
          <w:sz w:val="22"/>
        </w:rPr>
      </w:pPr>
      <w:r w:rsidRPr="00095A36">
        <w:rPr>
          <w:rFonts w:ascii="Arial" w:hAnsi="Arial" w:cs="Arial"/>
          <w:b/>
          <w:caps/>
          <w:color w:val="000000" w:themeColor="text1"/>
          <w:sz w:val="22"/>
        </w:rPr>
        <w:t>3.</w:t>
      </w:r>
      <w:r w:rsidR="005F337C" w:rsidRPr="00095A36">
        <w:rPr>
          <w:rFonts w:ascii="Arial" w:hAnsi="Arial" w:cs="Arial"/>
          <w:b/>
          <w:caps/>
          <w:color w:val="000000" w:themeColor="text1"/>
          <w:sz w:val="22"/>
        </w:rPr>
        <w:t>3</w:t>
      </w:r>
      <w:r w:rsidRPr="00095A36">
        <w:rPr>
          <w:rFonts w:ascii="Arial" w:hAnsi="Arial" w:cs="Arial"/>
          <w:b/>
          <w:caps/>
          <w:color w:val="000000" w:themeColor="text1"/>
          <w:sz w:val="22"/>
        </w:rPr>
        <w:t xml:space="preserve"> </w:t>
      </w:r>
      <w:r w:rsidRPr="00095A36">
        <w:rPr>
          <w:rFonts w:ascii="Arial" w:hAnsi="Arial" w:cs="Arial"/>
          <w:b/>
          <w:color w:val="000000" w:themeColor="text1"/>
          <w:sz w:val="22"/>
        </w:rPr>
        <w:t>Measurement Model Evaluation (Outer Model)</w:t>
      </w:r>
    </w:p>
    <w:p w14:paraId="2E88437D" w14:textId="77777777" w:rsidR="001111C9" w:rsidRPr="00095A36" w:rsidRDefault="001111C9" w:rsidP="002E3784">
      <w:pPr>
        <w:pStyle w:val="Body"/>
        <w:spacing w:after="0"/>
        <w:rPr>
          <w:rFonts w:ascii="Arial" w:hAnsi="Arial" w:cs="Arial"/>
          <w:b/>
          <w:color w:val="000000" w:themeColor="text1"/>
          <w:sz w:val="22"/>
        </w:rPr>
      </w:pPr>
    </w:p>
    <w:p w14:paraId="7FA05281" w14:textId="72BE4D8E" w:rsidR="00BB31FB" w:rsidRPr="00095A36" w:rsidRDefault="00BB31FB" w:rsidP="002E3784">
      <w:pPr>
        <w:pStyle w:val="Body"/>
        <w:rPr>
          <w:rFonts w:ascii="Arial" w:hAnsi="Arial" w:cs="Arial"/>
          <w:color w:val="000000" w:themeColor="text1"/>
        </w:rPr>
      </w:pPr>
      <w:r w:rsidRPr="00095A36">
        <w:rPr>
          <w:rFonts w:ascii="Arial" w:hAnsi="Arial" w:cs="Arial"/>
          <w:color w:val="000000" w:themeColor="text1"/>
        </w:rPr>
        <w:t xml:space="preserve">The effectiveness of the research tool was thoroughly evaluated. </w:t>
      </w:r>
      <w:r w:rsidR="0040702A">
        <w:rPr>
          <w:rFonts w:ascii="Arial" w:hAnsi="Arial" w:cs="Arial"/>
          <w:color w:val="000000" w:themeColor="text1"/>
        </w:rPr>
        <w:t>As provided in Table 6, t</w:t>
      </w:r>
      <w:r w:rsidRPr="00095A36">
        <w:rPr>
          <w:rFonts w:ascii="Arial" w:hAnsi="Arial" w:cs="Arial"/>
          <w:color w:val="000000" w:themeColor="text1"/>
        </w:rPr>
        <w:t xml:space="preserve">he Convergent Validity test indicated that the outer loading values for Government Policy (X1), Digital Financial Literacy (X2), and Digital Financial Inclusion (Y) lay between 0.723 and 0.808, exceeding the minimum requirement of 0.70. In addition, the Average Variance Extracted (AVE) for each variable was over 0.50 (X1=0.591; X2=0.610; Y=0.573), indicating that the underlying constructs represent more than 50% of the variability in their respective indicators. </w:t>
      </w:r>
    </w:p>
    <w:p w14:paraId="4E235C36" w14:textId="59E963E3" w:rsidR="00F446C0" w:rsidRPr="00095A36" w:rsidRDefault="00BB31FB" w:rsidP="002E3784">
      <w:pPr>
        <w:pStyle w:val="Body"/>
        <w:rPr>
          <w:rFonts w:ascii="Arial" w:hAnsi="Arial" w:cs="Arial"/>
          <w:color w:val="000000" w:themeColor="text1"/>
          <w:sz w:val="27"/>
          <w:szCs w:val="27"/>
        </w:rPr>
      </w:pPr>
      <w:r w:rsidRPr="00095A36">
        <w:rPr>
          <w:rFonts w:ascii="Arial" w:hAnsi="Arial" w:cs="Arial"/>
          <w:color w:val="000000" w:themeColor="text1"/>
        </w:rPr>
        <w:lastRenderedPageBreak/>
        <w:t xml:space="preserve">To evaluate discriminant validity, the </w:t>
      </w:r>
      <w:proofErr w:type="spellStart"/>
      <w:r w:rsidRPr="00095A36">
        <w:rPr>
          <w:rFonts w:ascii="Arial" w:hAnsi="Arial" w:cs="Arial"/>
          <w:color w:val="000000" w:themeColor="text1"/>
        </w:rPr>
        <w:t>Heterotrait-Monotrait</w:t>
      </w:r>
      <w:proofErr w:type="spellEnd"/>
      <w:r w:rsidRPr="00095A36">
        <w:rPr>
          <w:rFonts w:ascii="Arial" w:hAnsi="Arial" w:cs="Arial"/>
          <w:color w:val="000000" w:themeColor="text1"/>
        </w:rPr>
        <w:t xml:space="preserve"> Ratio (HTMT) was used as a more precise measure compared to </w:t>
      </w:r>
      <w:proofErr w:type="spellStart"/>
      <w:r w:rsidRPr="00095A36">
        <w:rPr>
          <w:rFonts w:ascii="Arial" w:hAnsi="Arial" w:cs="Arial"/>
          <w:color w:val="000000" w:themeColor="text1"/>
        </w:rPr>
        <w:t>Fornell-Larcker</w:t>
      </w:r>
      <w:proofErr w:type="spellEnd"/>
      <w:r w:rsidRPr="00095A36">
        <w:rPr>
          <w:rFonts w:ascii="Arial" w:hAnsi="Arial" w:cs="Arial"/>
          <w:color w:val="000000" w:themeColor="text1"/>
        </w:rPr>
        <w:t>. The maximum HTMT value recorded was 0.537, which is significantly lower than the conservative limit of 0.90, confirming that the variables are empirically separate. The reliability test further validated the model's reliability, with both Cronbach’s Alpha and Composite Reliability scores consistently registering above 0.80</w:t>
      </w:r>
      <w:r w:rsidR="00143C78">
        <w:rPr>
          <w:rFonts w:ascii="Arial" w:hAnsi="Arial" w:cs="Arial"/>
          <w:color w:val="000000" w:themeColor="text1"/>
        </w:rPr>
        <w:t>0</w:t>
      </w:r>
      <w:r w:rsidRPr="00095A36">
        <w:rPr>
          <w:rFonts w:ascii="Arial" w:hAnsi="Arial" w:cs="Arial"/>
          <w:color w:val="000000" w:themeColor="text1"/>
        </w:rPr>
        <w:t xml:space="preserve"> across all variables.</w:t>
      </w:r>
    </w:p>
    <w:p w14:paraId="10B94B3E" w14:textId="655C4A50" w:rsidR="0050317A" w:rsidRPr="00095A36" w:rsidRDefault="0050317A" w:rsidP="002E3784">
      <w:pPr>
        <w:pStyle w:val="Body"/>
        <w:spacing w:after="0"/>
        <w:jc w:val="center"/>
        <w:rPr>
          <w:rFonts w:ascii="Arial" w:hAnsi="Arial" w:cs="Arial"/>
          <w:b/>
          <w:color w:val="000000" w:themeColor="text1"/>
          <w:szCs w:val="16"/>
        </w:rPr>
      </w:pPr>
      <w:r w:rsidRPr="00095A36">
        <w:rPr>
          <w:rFonts w:ascii="Arial" w:hAnsi="Arial" w:cs="Arial"/>
          <w:b/>
          <w:color w:val="000000" w:themeColor="text1"/>
          <w:szCs w:val="16"/>
        </w:rPr>
        <w:t xml:space="preserve">Table </w:t>
      </w:r>
      <w:r w:rsidR="00C16FBF" w:rsidRPr="00095A36">
        <w:rPr>
          <w:rFonts w:ascii="Arial" w:hAnsi="Arial" w:cs="Arial"/>
          <w:b/>
          <w:color w:val="000000" w:themeColor="text1"/>
          <w:szCs w:val="16"/>
        </w:rPr>
        <w:t>6</w:t>
      </w:r>
      <w:r w:rsidRPr="00095A36">
        <w:rPr>
          <w:rFonts w:ascii="Arial" w:hAnsi="Arial" w:cs="Arial"/>
          <w:b/>
          <w:color w:val="000000" w:themeColor="text1"/>
          <w:szCs w:val="16"/>
        </w:rPr>
        <w:t>.</w:t>
      </w:r>
      <w:r w:rsidR="00990101" w:rsidRPr="00095A36">
        <w:rPr>
          <w:rFonts w:ascii="Arial" w:hAnsi="Arial" w:cs="Arial"/>
          <w:color w:val="000000" w:themeColor="text1"/>
          <w:sz w:val="16"/>
          <w:szCs w:val="16"/>
        </w:rPr>
        <w:t xml:space="preserve"> </w:t>
      </w:r>
      <w:r w:rsidR="00990101" w:rsidRPr="00095A36">
        <w:rPr>
          <w:rFonts w:ascii="Arial" w:hAnsi="Arial" w:cs="Arial"/>
          <w:b/>
          <w:color w:val="000000" w:themeColor="text1"/>
          <w:szCs w:val="16"/>
        </w:rPr>
        <w:t>Reliability and Validity Results</w:t>
      </w:r>
    </w:p>
    <w:p w14:paraId="515AA4BF" w14:textId="77777777" w:rsidR="00EA595A" w:rsidRPr="00095A36" w:rsidRDefault="00EA595A" w:rsidP="002E3784">
      <w:pPr>
        <w:pStyle w:val="Body"/>
        <w:spacing w:after="0"/>
        <w:jc w:val="center"/>
        <w:rPr>
          <w:rFonts w:ascii="Arial" w:hAnsi="Arial" w:cs="Arial"/>
          <w:b/>
          <w:color w:val="000000" w:themeColor="text1"/>
          <w:szCs w:val="16"/>
        </w:rPr>
      </w:pPr>
    </w:p>
    <w:tbl>
      <w:tblPr>
        <w:tblStyle w:val="TableGridLight"/>
        <w:tblW w:w="7221" w:type="dxa"/>
        <w:jc w:val="center"/>
        <w:tblLook w:val="04A0" w:firstRow="1" w:lastRow="0" w:firstColumn="1" w:lastColumn="0" w:noHBand="0" w:noVBand="1"/>
      </w:tblPr>
      <w:tblGrid>
        <w:gridCol w:w="862"/>
        <w:gridCol w:w="2080"/>
        <w:gridCol w:w="860"/>
        <w:gridCol w:w="860"/>
        <w:gridCol w:w="1309"/>
        <w:gridCol w:w="1250"/>
      </w:tblGrid>
      <w:tr w:rsidR="001B0794" w:rsidRPr="00095A36" w14:paraId="15CE6FCF" w14:textId="77777777" w:rsidTr="007A0D88">
        <w:trPr>
          <w:trHeight w:val="560"/>
          <w:jc w:val="center"/>
        </w:trPr>
        <w:tc>
          <w:tcPr>
            <w:tcW w:w="1027" w:type="dxa"/>
            <w:vAlign w:val="center"/>
            <w:hideMark/>
          </w:tcPr>
          <w:p w14:paraId="1F0E69C7" w14:textId="670506B1"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Item</w:t>
            </w:r>
          </w:p>
        </w:tc>
        <w:tc>
          <w:tcPr>
            <w:tcW w:w="2080" w:type="dxa"/>
            <w:vAlign w:val="center"/>
            <w:hideMark/>
          </w:tcPr>
          <w:p w14:paraId="06FCBF4E" w14:textId="77777777"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Outer Loading</w:t>
            </w:r>
          </w:p>
        </w:tc>
        <w:tc>
          <w:tcPr>
            <w:tcW w:w="860" w:type="dxa"/>
            <w:vAlign w:val="center"/>
            <w:hideMark/>
          </w:tcPr>
          <w:p w14:paraId="2943B5CE" w14:textId="77777777"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AVE</w:t>
            </w:r>
          </w:p>
        </w:tc>
        <w:tc>
          <w:tcPr>
            <w:tcW w:w="860" w:type="dxa"/>
            <w:vAlign w:val="center"/>
            <w:hideMark/>
          </w:tcPr>
          <w:p w14:paraId="62935101" w14:textId="77777777"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HTMT</w:t>
            </w:r>
          </w:p>
        </w:tc>
        <w:tc>
          <w:tcPr>
            <w:tcW w:w="1222" w:type="dxa"/>
            <w:vAlign w:val="center"/>
            <w:hideMark/>
          </w:tcPr>
          <w:p w14:paraId="48977FA2" w14:textId="77777777"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Cronbach's Alpha</w:t>
            </w:r>
          </w:p>
        </w:tc>
        <w:tc>
          <w:tcPr>
            <w:tcW w:w="1172" w:type="dxa"/>
            <w:vAlign w:val="center"/>
            <w:hideMark/>
          </w:tcPr>
          <w:p w14:paraId="770855BF" w14:textId="77777777" w:rsidR="001B0794" w:rsidRPr="00095A36" w:rsidRDefault="001B0794" w:rsidP="002E3784">
            <w:pPr>
              <w:jc w:val="center"/>
              <w:rPr>
                <w:rFonts w:ascii="Arial" w:hAnsi="Arial" w:cs="Arial"/>
                <w:b/>
                <w:bCs/>
                <w:color w:val="000000" w:themeColor="text1"/>
              </w:rPr>
            </w:pPr>
            <w:r w:rsidRPr="00095A36">
              <w:rPr>
                <w:rFonts w:ascii="Arial" w:hAnsi="Arial" w:cs="Arial"/>
                <w:b/>
                <w:bCs/>
                <w:color w:val="000000" w:themeColor="text1"/>
              </w:rPr>
              <w:t>Composite Reliability</w:t>
            </w:r>
          </w:p>
        </w:tc>
      </w:tr>
      <w:tr w:rsidR="001B0794" w:rsidRPr="00095A36" w14:paraId="58AEA599" w14:textId="77777777" w:rsidTr="007A0D88">
        <w:trPr>
          <w:trHeight w:val="280"/>
          <w:jc w:val="center"/>
        </w:trPr>
        <w:tc>
          <w:tcPr>
            <w:tcW w:w="1027" w:type="dxa"/>
            <w:vAlign w:val="center"/>
            <w:hideMark/>
          </w:tcPr>
          <w:p w14:paraId="2BA40F93" w14:textId="77777777" w:rsidR="001B0794" w:rsidRPr="00095A36" w:rsidRDefault="001B0794" w:rsidP="002E3784">
            <w:pPr>
              <w:jc w:val="center"/>
              <w:rPr>
                <w:rFonts w:ascii="Arial" w:hAnsi="Arial" w:cs="Arial"/>
                <w:color w:val="000000" w:themeColor="text1"/>
              </w:rPr>
            </w:pPr>
            <w:r w:rsidRPr="00095A36">
              <w:rPr>
                <w:rFonts w:ascii="Tahoma" w:hAnsi="Tahoma" w:cs="Tahoma"/>
                <w:color w:val="000000" w:themeColor="text1"/>
              </w:rPr>
              <w:t>﻿</w:t>
            </w:r>
            <w:r w:rsidRPr="00095A36">
              <w:rPr>
                <w:rFonts w:ascii="Arial" w:hAnsi="Arial" w:cs="Arial"/>
                <w:color w:val="000000" w:themeColor="text1"/>
              </w:rPr>
              <w:t>X1</w:t>
            </w:r>
          </w:p>
        </w:tc>
        <w:tc>
          <w:tcPr>
            <w:tcW w:w="2080" w:type="dxa"/>
            <w:noWrap/>
            <w:vAlign w:val="center"/>
            <w:hideMark/>
          </w:tcPr>
          <w:p w14:paraId="4FF636CB" w14:textId="50FE5FAF"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0.784</w:t>
            </w:r>
          </w:p>
        </w:tc>
        <w:tc>
          <w:tcPr>
            <w:tcW w:w="860" w:type="dxa"/>
            <w:noWrap/>
            <w:vAlign w:val="center"/>
            <w:hideMark/>
          </w:tcPr>
          <w:p w14:paraId="33A0F305" w14:textId="6F3BE2B1"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0.591</w:t>
            </w:r>
          </w:p>
        </w:tc>
        <w:tc>
          <w:tcPr>
            <w:tcW w:w="860" w:type="dxa"/>
            <w:noWrap/>
            <w:vAlign w:val="center"/>
            <w:hideMark/>
          </w:tcPr>
          <w:p w14:paraId="1EC03120" w14:textId="1BD4D5D3"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0.366</w:t>
            </w:r>
          </w:p>
        </w:tc>
        <w:tc>
          <w:tcPr>
            <w:tcW w:w="1222" w:type="dxa"/>
            <w:noWrap/>
            <w:vAlign w:val="center"/>
            <w:hideMark/>
          </w:tcPr>
          <w:p w14:paraId="4E29674D" w14:textId="764BF84B"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0.827</w:t>
            </w:r>
          </w:p>
        </w:tc>
        <w:tc>
          <w:tcPr>
            <w:tcW w:w="1172" w:type="dxa"/>
            <w:noWrap/>
            <w:vAlign w:val="center"/>
            <w:hideMark/>
          </w:tcPr>
          <w:p w14:paraId="256CC42C" w14:textId="0A31001E"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0.878</w:t>
            </w:r>
          </w:p>
        </w:tc>
      </w:tr>
      <w:tr w:rsidR="001B0794" w:rsidRPr="00095A36" w14:paraId="00B03C1B" w14:textId="77777777" w:rsidTr="007A0D88">
        <w:trPr>
          <w:trHeight w:val="280"/>
          <w:jc w:val="center"/>
        </w:trPr>
        <w:tc>
          <w:tcPr>
            <w:tcW w:w="1027" w:type="dxa"/>
            <w:vAlign w:val="center"/>
            <w:hideMark/>
          </w:tcPr>
          <w:p w14:paraId="3F13C1B6"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X1.2</w:t>
            </w:r>
          </w:p>
        </w:tc>
        <w:tc>
          <w:tcPr>
            <w:tcW w:w="2080" w:type="dxa"/>
            <w:noWrap/>
            <w:vAlign w:val="center"/>
            <w:hideMark/>
          </w:tcPr>
          <w:p w14:paraId="73FB48DE" w14:textId="29FA8D2A"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0.767</w:t>
            </w:r>
          </w:p>
        </w:tc>
        <w:tc>
          <w:tcPr>
            <w:tcW w:w="860" w:type="dxa"/>
            <w:noWrap/>
            <w:vAlign w:val="center"/>
            <w:hideMark/>
          </w:tcPr>
          <w:p w14:paraId="0A27601E"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280C847F"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0343D348"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5C0D2E26" w14:textId="77777777" w:rsidR="001B0794" w:rsidRPr="00095A36" w:rsidRDefault="001B0794" w:rsidP="002E3784">
            <w:pPr>
              <w:jc w:val="center"/>
              <w:rPr>
                <w:rFonts w:ascii="Arial" w:hAnsi="Arial" w:cs="Arial"/>
                <w:color w:val="000000" w:themeColor="text1"/>
              </w:rPr>
            </w:pPr>
          </w:p>
        </w:tc>
      </w:tr>
      <w:tr w:rsidR="001B0794" w:rsidRPr="00095A36" w14:paraId="4737C15F" w14:textId="77777777" w:rsidTr="007A0D88">
        <w:trPr>
          <w:trHeight w:val="280"/>
          <w:jc w:val="center"/>
        </w:trPr>
        <w:tc>
          <w:tcPr>
            <w:tcW w:w="1027" w:type="dxa"/>
            <w:vAlign w:val="center"/>
            <w:hideMark/>
          </w:tcPr>
          <w:p w14:paraId="03FE8931"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X1.3</w:t>
            </w:r>
          </w:p>
        </w:tc>
        <w:tc>
          <w:tcPr>
            <w:tcW w:w="2080" w:type="dxa"/>
            <w:noWrap/>
            <w:vAlign w:val="center"/>
            <w:hideMark/>
          </w:tcPr>
          <w:p w14:paraId="56E1C4D0" w14:textId="664FD08F"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0.808</w:t>
            </w:r>
          </w:p>
        </w:tc>
        <w:tc>
          <w:tcPr>
            <w:tcW w:w="860" w:type="dxa"/>
            <w:noWrap/>
            <w:vAlign w:val="center"/>
            <w:hideMark/>
          </w:tcPr>
          <w:p w14:paraId="2E4844C1"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1870C41E"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39207E47"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2E99394B" w14:textId="77777777" w:rsidR="001B0794" w:rsidRPr="00095A36" w:rsidRDefault="001B0794" w:rsidP="002E3784">
            <w:pPr>
              <w:jc w:val="center"/>
              <w:rPr>
                <w:rFonts w:ascii="Arial" w:hAnsi="Arial" w:cs="Arial"/>
                <w:color w:val="000000" w:themeColor="text1"/>
              </w:rPr>
            </w:pPr>
          </w:p>
        </w:tc>
      </w:tr>
      <w:tr w:rsidR="001B0794" w:rsidRPr="00095A36" w14:paraId="4E16512C" w14:textId="77777777" w:rsidTr="007A0D88">
        <w:trPr>
          <w:trHeight w:val="280"/>
          <w:jc w:val="center"/>
        </w:trPr>
        <w:tc>
          <w:tcPr>
            <w:tcW w:w="1027" w:type="dxa"/>
            <w:vAlign w:val="center"/>
            <w:hideMark/>
          </w:tcPr>
          <w:p w14:paraId="41022C28"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X1.4</w:t>
            </w:r>
          </w:p>
        </w:tc>
        <w:tc>
          <w:tcPr>
            <w:tcW w:w="2080" w:type="dxa"/>
            <w:noWrap/>
            <w:vAlign w:val="center"/>
            <w:hideMark/>
          </w:tcPr>
          <w:p w14:paraId="0B64E1C9" w14:textId="6B07C1B8"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0.76</w:t>
            </w:r>
            <w:r w:rsidR="00E63E0C" w:rsidRPr="00095A36">
              <w:rPr>
                <w:rFonts w:ascii="Arial" w:hAnsi="Arial" w:cs="Arial"/>
                <w:color w:val="000000" w:themeColor="text1"/>
              </w:rPr>
              <w:t>0</w:t>
            </w:r>
          </w:p>
        </w:tc>
        <w:tc>
          <w:tcPr>
            <w:tcW w:w="860" w:type="dxa"/>
            <w:vAlign w:val="center"/>
            <w:hideMark/>
          </w:tcPr>
          <w:p w14:paraId="38369B09"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21B8ADC1"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44EE804F"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0CBD1D36" w14:textId="77777777" w:rsidR="001B0794" w:rsidRPr="00095A36" w:rsidRDefault="001B0794" w:rsidP="002E3784">
            <w:pPr>
              <w:jc w:val="center"/>
              <w:rPr>
                <w:rFonts w:ascii="Arial" w:hAnsi="Arial" w:cs="Arial"/>
                <w:color w:val="000000" w:themeColor="text1"/>
              </w:rPr>
            </w:pPr>
          </w:p>
        </w:tc>
      </w:tr>
      <w:tr w:rsidR="001B0794" w:rsidRPr="00095A36" w14:paraId="4F3AE567" w14:textId="77777777" w:rsidTr="007A0D88">
        <w:trPr>
          <w:trHeight w:val="280"/>
          <w:jc w:val="center"/>
        </w:trPr>
        <w:tc>
          <w:tcPr>
            <w:tcW w:w="1027" w:type="dxa"/>
            <w:vAlign w:val="center"/>
            <w:hideMark/>
          </w:tcPr>
          <w:p w14:paraId="4934D36F"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X1.5</w:t>
            </w:r>
          </w:p>
        </w:tc>
        <w:tc>
          <w:tcPr>
            <w:tcW w:w="2080" w:type="dxa"/>
            <w:noWrap/>
            <w:vAlign w:val="center"/>
            <w:hideMark/>
          </w:tcPr>
          <w:p w14:paraId="0AA029FC" w14:textId="0FCA9AF9"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0.723</w:t>
            </w:r>
          </w:p>
        </w:tc>
        <w:tc>
          <w:tcPr>
            <w:tcW w:w="860" w:type="dxa"/>
            <w:vAlign w:val="center"/>
            <w:hideMark/>
          </w:tcPr>
          <w:p w14:paraId="3D776829"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46853DDF"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00A37892"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1A552360" w14:textId="77777777" w:rsidR="001B0794" w:rsidRPr="00095A36" w:rsidRDefault="001B0794" w:rsidP="002E3784">
            <w:pPr>
              <w:jc w:val="center"/>
              <w:rPr>
                <w:rFonts w:ascii="Arial" w:hAnsi="Arial" w:cs="Arial"/>
                <w:color w:val="000000" w:themeColor="text1"/>
              </w:rPr>
            </w:pPr>
          </w:p>
        </w:tc>
      </w:tr>
      <w:tr w:rsidR="001B0794" w:rsidRPr="00095A36" w14:paraId="37385B1E" w14:textId="77777777" w:rsidTr="007A0D88">
        <w:trPr>
          <w:trHeight w:val="280"/>
          <w:jc w:val="center"/>
        </w:trPr>
        <w:tc>
          <w:tcPr>
            <w:tcW w:w="1027" w:type="dxa"/>
            <w:vAlign w:val="center"/>
            <w:hideMark/>
          </w:tcPr>
          <w:p w14:paraId="217F895B"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X2</w:t>
            </w:r>
          </w:p>
        </w:tc>
        <w:tc>
          <w:tcPr>
            <w:tcW w:w="2080" w:type="dxa"/>
            <w:noWrap/>
            <w:vAlign w:val="center"/>
            <w:hideMark/>
          </w:tcPr>
          <w:p w14:paraId="34C53DA1" w14:textId="4AA0ABD4"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0.764</w:t>
            </w:r>
          </w:p>
        </w:tc>
        <w:tc>
          <w:tcPr>
            <w:tcW w:w="860" w:type="dxa"/>
            <w:noWrap/>
            <w:vAlign w:val="center"/>
            <w:hideMark/>
          </w:tcPr>
          <w:p w14:paraId="0DDA0D9A" w14:textId="6722165F"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0.610</w:t>
            </w:r>
          </w:p>
        </w:tc>
        <w:tc>
          <w:tcPr>
            <w:tcW w:w="860" w:type="dxa"/>
            <w:noWrap/>
            <w:vAlign w:val="center"/>
            <w:hideMark/>
          </w:tcPr>
          <w:p w14:paraId="56175989" w14:textId="0C01FB26"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0.421</w:t>
            </w:r>
          </w:p>
        </w:tc>
        <w:tc>
          <w:tcPr>
            <w:tcW w:w="1222" w:type="dxa"/>
            <w:noWrap/>
            <w:vAlign w:val="center"/>
            <w:hideMark/>
          </w:tcPr>
          <w:p w14:paraId="58D2B170" w14:textId="020CEB4B"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0.84</w:t>
            </w:r>
            <w:r w:rsidR="00143C78">
              <w:rPr>
                <w:rFonts w:ascii="Arial" w:hAnsi="Arial" w:cs="Arial"/>
                <w:color w:val="000000" w:themeColor="text1"/>
              </w:rPr>
              <w:t>0</w:t>
            </w:r>
          </w:p>
        </w:tc>
        <w:tc>
          <w:tcPr>
            <w:tcW w:w="1172" w:type="dxa"/>
            <w:noWrap/>
            <w:vAlign w:val="center"/>
            <w:hideMark/>
          </w:tcPr>
          <w:p w14:paraId="25EE04BC" w14:textId="59CB7D60"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0.887</w:t>
            </w:r>
          </w:p>
        </w:tc>
      </w:tr>
      <w:tr w:rsidR="001B0794" w:rsidRPr="00095A36" w14:paraId="5AFD7891" w14:textId="77777777" w:rsidTr="007A0D88">
        <w:trPr>
          <w:trHeight w:val="280"/>
          <w:jc w:val="center"/>
        </w:trPr>
        <w:tc>
          <w:tcPr>
            <w:tcW w:w="1027" w:type="dxa"/>
            <w:vAlign w:val="center"/>
            <w:hideMark/>
          </w:tcPr>
          <w:p w14:paraId="080C57EE"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X2.2</w:t>
            </w:r>
          </w:p>
        </w:tc>
        <w:tc>
          <w:tcPr>
            <w:tcW w:w="2080" w:type="dxa"/>
            <w:noWrap/>
            <w:vAlign w:val="center"/>
            <w:hideMark/>
          </w:tcPr>
          <w:p w14:paraId="5C960A9E" w14:textId="7E340CF3"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0.767</w:t>
            </w:r>
          </w:p>
        </w:tc>
        <w:tc>
          <w:tcPr>
            <w:tcW w:w="860" w:type="dxa"/>
            <w:noWrap/>
            <w:vAlign w:val="center"/>
            <w:hideMark/>
          </w:tcPr>
          <w:p w14:paraId="03224258"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47C08825"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4033BCB9"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1BDBD169" w14:textId="77777777" w:rsidR="001B0794" w:rsidRPr="00095A36" w:rsidRDefault="001B0794" w:rsidP="002E3784">
            <w:pPr>
              <w:jc w:val="center"/>
              <w:rPr>
                <w:rFonts w:ascii="Arial" w:hAnsi="Arial" w:cs="Arial"/>
                <w:color w:val="000000" w:themeColor="text1"/>
              </w:rPr>
            </w:pPr>
          </w:p>
        </w:tc>
      </w:tr>
      <w:tr w:rsidR="001B0794" w:rsidRPr="00095A36" w14:paraId="6129FF02" w14:textId="77777777" w:rsidTr="007A0D88">
        <w:trPr>
          <w:trHeight w:val="280"/>
          <w:jc w:val="center"/>
        </w:trPr>
        <w:tc>
          <w:tcPr>
            <w:tcW w:w="1027" w:type="dxa"/>
            <w:vAlign w:val="center"/>
            <w:hideMark/>
          </w:tcPr>
          <w:p w14:paraId="49074132"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X2.3</w:t>
            </w:r>
          </w:p>
        </w:tc>
        <w:tc>
          <w:tcPr>
            <w:tcW w:w="2080" w:type="dxa"/>
            <w:noWrap/>
            <w:vAlign w:val="center"/>
            <w:hideMark/>
          </w:tcPr>
          <w:p w14:paraId="365CF1EF" w14:textId="4A79A391"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0.795</w:t>
            </w:r>
          </w:p>
        </w:tc>
        <w:tc>
          <w:tcPr>
            <w:tcW w:w="860" w:type="dxa"/>
            <w:noWrap/>
            <w:vAlign w:val="center"/>
            <w:hideMark/>
          </w:tcPr>
          <w:p w14:paraId="26BA1E57"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7A00F44E"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11A93D63"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24A4CBC5" w14:textId="77777777" w:rsidR="001B0794" w:rsidRPr="00095A36" w:rsidRDefault="001B0794" w:rsidP="002E3784">
            <w:pPr>
              <w:jc w:val="center"/>
              <w:rPr>
                <w:rFonts w:ascii="Arial" w:hAnsi="Arial" w:cs="Arial"/>
                <w:color w:val="000000" w:themeColor="text1"/>
              </w:rPr>
            </w:pPr>
          </w:p>
        </w:tc>
      </w:tr>
      <w:tr w:rsidR="001B0794" w:rsidRPr="00095A36" w14:paraId="63EC5DE8" w14:textId="77777777" w:rsidTr="007A0D88">
        <w:trPr>
          <w:trHeight w:val="280"/>
          <w:jc w:val="center"/>
        </w:trPr>
        <w:tc>
          <w:tcPr>
            <w:tcW w:w="1027" w:type="dxa"/>
            <w:vAlign w:val="center"/>
            <w:hideMark/>
          </w:tcPr>
          <w:p w14:paraId="2328E3A5"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X2.4</w:t>
            </w:r>
          </w:p>
        </w:tc>
        <w:tc>
          <w:tcPr>
            <w:tcW w:w="2080" w:type="dxa"/>
            <w:noWrap/>
            <w:vAlign w:val="center"/>
            <w:hideMark/>
          </w:tcPr>
          <w:p w14:paraId="72B1E457" w14:textId="0FEBD464"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0.797</w:t>
            </w:r>
          </w:p>
        </w:tc>
        <w:tc>
          <w:tcPr>
            <w:tcW w:w="860" w:type="dxa"/>
            <w:noWrap/>
            <w:vAlign w:val="center"/>
            <w:hideMark/>
          </w:tcPr>
          <w:p w14:paraId="2D91CEAC"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5301D95B"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08FC6994"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566B0D5C" w14:textId="77777777" w:rsidR="001B0794" w:rsidRPr="00095A36" w:rsidRDefault="001B0794" w:rsidP="002E3784">
            <w:pPr>
              <w:jc w:val="center"/>
              <w:rPr>
                <w:rFonts w:ascii="Arial" w:hAnsi="Arial" w:cs="Arial"/>
                <w:color w:val="000000" w:themeColor="text1"/>
              </w:rPr>
            </w:pPr>
          </w:p>
        </w:tc>
      </w:tr>
      <w:tr w:rsidR="001B0794" w:rsidRPr="00095A36" w14:paraId="44365505" w14:textId="77777777" w:rsidTr="007A0D88">
        <w:trPr>
          <w:trHeight w:val="280"/>
          <w:jc w:val="center"/>
        </w:trPr>
        <w:tc>
          <w:tcPr>
            <w:tcW w:w="1027" w:type="dxa"/>
            <w:vAlign w:val="center"/>
            <w:hideMark/>
          </w:tcPr>
          <w:p w14:paraId="7DDB852A"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X2.5</w:t>
            </w:r>
          </w:p>
        </w:tc>
        <w:tc>
          <w:tcPr>
            <w:tcW w:w="2080" w:type="dxa"/>
            <w:noWrap/>
            <w:vAlign w:val="center"/>
            <w:hideMark/>
          </w:tcPr>
          <w:p w14:paraId="69908E12" w14:textId="69DFDBA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0.781</w:t>
            </w:r>
          </w:p>
        </w:tc>
        <w:tc>
          <w:tcPr>
            <w:tcW w:w="860" w:type="dxa"/>
            <w:noWrap/>
            <w:vAlign w:val="center"/>
            <w:hideMark/>
          </w:tcPr>
          <w:p w14:paraId="69A74571" w14:textId="77777777" w:rsidR="001B0794" w:rsidRPr="00095A36" w:rsidRDefault="001B0794" w:rsidP="002E3784">
            <w:pPr>
              <w:jc w:val="center"/>
              <w:rPr>
                <w:rFonts w:ascii="Arial" w:hAnsi="Arial" w:cs="Arial"/>
                <w:color w:val="000000" w:themeColor="text1"/>
              </w:rPr>
            </w:pPr>
          </w:p>
        </w:tc>
        <w:tc>
          <w:tcPr>
            <w:tcW w:w="860" w:type="dxa"/>
            <w:vAlign w:val="center"/>
            <w:hideMark/>
          </w:tcPr>
          <w:p w14:paraId="5288BCDD"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62C24E63"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53461F94" w14:textId="77777777" w:rsidR="001B0794" w:rsidRPr="00095A36" w:rsidRDefault="001B0794" w:rsidP="002E3784">
            <w:pPr>
              <w:jc w:val="center"/>
              <w:rPr>
                <w:rFonts w:ascii="Arial" w:hAnsi="Arial" w:cs="Arial"/>
                <w:color w:val="000000" w:themeColor="text1"/>
              </w:rPr>
            </w:pPr>
          </w:p>
        </w:tc>
      </w:tr>
      <w:tr w:rsidR="001B0794" w:rsidRPr="00095A36" w14:paraId="00BCA7B3" w14:textId="77777777" w:rsidTr="007A0D88">
        <w:trPr>
          <w:trHeight w:val="280"/>
          <w:jc w:val="center"/>
        </w:trPr>
        <w:tc>
          <w:tcPr>
            <w:tcW w:w="1027" w:type="dxa"/>
            <w:vAlign w:val="center"/>
            <w:hideMark/>
          </w:tcPr>
          <w:p w14:paraId="73687C00"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Y1</w:t>
            </w:r>
          </w:p>
        </w:tc>
        <w:tc>
          <w:tcPr>
            <w:tcW w:w="2080" w:type="dxa"/>
            <w:noWrap/>
            <w:vAlign w:val="center"/>
            <w:hideMark/>
          </w:tcPr>
          <w:p w14:paraId="0A6A0E61" w14:textId="7F95BB15"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0.79</w:t>
            </w:r>
            <w:r w:rsidR="00E63E0C" w:rsidRPr="00095A36">
              <w:rPr>
                <w:rFonts w:ascii="Arial" w:hAnsi="Arial" w:cs="Arial"/>
                <w:color w:val="000000" w:themeColor="text1"/>
              </w:rPr>
              <w:t>0</w:t>
            </w:r>
          </w:p>
        </w:tc>
        <w:tc>
          <w:tcPr>
            <w:tcW w:w="860" w:type="dxa"/>
            <w:noWrap/>
            <w:vAlign w:val="center"/>
            <w:hideMark/>
          </w:tcPr>
          <w:p w14:paraId="21B654D0" w14:textId="72AE4969"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0.573</w:t>
            </w:r>
          </w:p>
        </w:tc>
        <w:tc>
          <w:tcPr>
            <w:tcW w:w="860" w:type="dxa"/>
            <w:noWrap/>
            <w:vAlign w:val="center"/>
            <w:hideMark/>
          </w:tcPr>
          <w:p w14:paraId="42492E7F" w14:textId="6742B8A9"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0.537</w:t>
            </w:r>
          </w:p>
        </w:tc>
        <w:tc>
          <w:tcPr>
            <w:tcW w:w="1222" w:type="dxa"/>
            <w:noWrap/>
            <w:vAlign w:val="center"/>
            <w:hideMark/>
          </w:tcPr>
          <w:p w14:paraId="0C8996EE" w14:textId="44CA87B2"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0.814</w:t>
            </w:r>
          </w:p>
        </w:tc>
        <w:tc>
          <w:tcPr>
            <w:tcW w:w="1172" w:type="dxa"/>
            <w:noWrap/>
            <w:vAlign w:val="center"/>
            <w:hideMark/>
          </w:tcPr>
          <w:p w14:paraId="156FE54E" w14:textId="1F88FC1C"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0.87</w:t>
            </w:r>
            <w:r w:rsidR="00503B85" w:rsidRPr="00095A36">
              <w:rPr>
                <w:rFonts w:ascii="Arial" w:hAnsi="Arial" w:cs="Arial"/>
                <w:color w:val="000000" w:themeColor="text1"/>
              </w:rPr>
              <w:t>0</w:t>
            </w:r>
          </w:p>
        </w:tc>
      </w:tr>
      <w:tr w:rsidR="001B0794" w:rsidRPr="00095A36" w14:paraId="2F140CFA" w14:textId="77777777" w:rsidTr="007A0D88">
        <w:trPr>
          <w:trHeight w:val="280"/>
          <w:jc w:val="center"/>
        </w:trPr>
        <w:tc>
          <w:tcPr>
            <w:tcW w:w="1027" w:type="dxa"/>
            <w:vAlign w:val="center"/>
            <w:hideMark/>
          </w:tcPr>
          <w:p w14:paraId="607A20A4"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Y2</w:t>
            </w:r>
          </w:p>
        </w:tc>
        <w:tc>
          <w:tcPr>
            <w:tcW w:w="2080" w:type="dxa"/>
            <w:noWrap/>
            <w:vAlign w:val="center"/>
            <w:hideMark/>
          </w:tcPr>
          <w:p w14:paraId="484330A2" w14:textId="021EA893"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0.761</w:t>
            </w:r>
          </w:p>
        </w:tc>
        <w:tc>
          <w:tcPr>
            <w:tcW w:w="860" w:type="dxa"/>
            <w:vAlign w:val="center"/>
            <w:hideMark/>
          </w:tcPr>
          <w:p w14:paraId="54ADA239" w14:textId="77777777" w:rsidR="001B0794" w:rsidRPr="00095A36" w:rsidRDefault="001B0794" w:rsidP="002E3784">
            <w:pPr>
              <w:jc w:val="center"/>
              <w:rPr>
                <w:rFonts w:ascii="Arial" w:hAnsi="Arial" w:cs="Arial"/>
                <w:color w:val="000000" w:themeColor="text1"/>
              </w:rPr>
            </w:pPr>
          </w:p>
        </w:tc>
        <w:tc>
          <w:tcPr>
            <w:tcW w:w="860" w:type="dxa"/>
            <w:noWrap/>
            <w:vAlign w:val="center"/>
            <w:hideMark/>
          </w:tcPr>
          <w:p w14:paraId="2B599F43"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283FA682"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2CE3828C" w14:textId="77777777" w:rsidR="001B0794" w:rsidRPr="00095A36" w:rsidRDefault="001B0794" w:rsidP="002E3784">
            <w:pPr>
              <w:jc w:val="center"/>
              <w:rPr>
                <w:rFonts w:ascii="Arial" w:hAnsi="Arial" w:cs="Arial"/>
                <w:color w:val="000000" w:themeColor="text1"/>
              </w:rPr>
            </w:pPr>
          </w:p>
        </w:tc>
      </w:tr>
      <w:tr w:rsidR="001B0794" w:rsidRPr="00095A36" w14:paraId="10AAA1D6" w14:textId="77777777" w:rsidTr="007A0D88">
        <w:trPr>
          <w:trHeight w:val="280"/>
          <w:jc w:val="center"/>
        </w:trPr>
        <w:tc>
          <w:tcPr>
            <w:tcW w:w="1027" w:type="dxa"/>
            <w:vAlign w:val="center"/>
            <w:hideMark/>
          </w:tcPr>
          <w:p w14:paraId="2F429DAD"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Y3</w:t>
            </w:r>
          </w:p>
        </w:tc>
        <w:tc>
          <w:tcPr>
            <w:tcW w:w="2080" w:type="dxa"/>
            <w:noWrap/>
            <w:vAlign w:val="center"/>
            <w:hideMark/>
          </w:tcPr>
          <w:p w14:paraId="29A7BAEF" w14:textId="0D75609B"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0.77</w:t>
            </w:r>
            <w:r w:rsidR="00E63E0C" w:rsidRPr="00095A36">
              <w:rPr>
                <w:rFonts w:ascii="Arial" w:hAnsi="Arial" w:cs="Arial"/>
                <w:color w:val="000000" w:themeColor="text1"/>
              </w:rPr>
              <w:t>0</w:t>
            </w:r>
          </w:p>
        </w:tc>
        <w:tc>
          <w:tcPr>
            <w:tcW w:w="860" w:type="dxa"/>
            <w:vAlign w:val="center"/>
            <w:hideMark/>
          </w:tcPr>
          <w:p w14:paraId="22BB286F" w14:textId="77777777" w:rsidR="001B0794" w:rsidRPr="00095A36" w:rsidRDefault="001B0794" w:rsidP="002E3784">
            <w:pPr>
              <w:jc w:val="center"/>
              <w:rPr>
                <w:rFonts w:ascii="Arial" w:hAnsi="Arial" w:cs="Arial"/>
                <w:color w:val="000000" w:themeColor="text1"/>
              </w:rPr>
            </w:pPr>
          </w:p>
        </w:tc>
        <w:tc>
          <w:tcPr>
            <w:tcW w:w="860" w:type="dxa"/>
            <w:noWrap/>
            <w:vAlign w:val="center"/>
            <w:hideMark/>
          </w:tcPr>
          <w:p w14:paraId="1D3301E0"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48DBA42D"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2D36215C" w14:textId="77777777" w:rsidR="001B0794" w:rsidRPr="00095A36" w:rsidRDefault="001B0794" w:rsidP="002E3784">
            <w:pPr>
              <w:jc w:val="center"/>
              <w:rPr>
                <w:rFonts w:ascii="Arial" w:hAnsi="Arial" w:cs="Arial"/>
                <w:color w:val="000000" w:themeColor="text1"/>
              </w:rPr>
            </w:pPr>
          </w:p>
        </w:tc>
      </w:tr>
      <w:tr w:rsidR="001B0794" w:rsidRPr="00095A36" w14:paraId="347BF051" w14:textId="77777777" w:rsidTr="007A0D88">
        <w:trPr>
          <w:trHeight w:val="280"/>
          <w:jc w:val="center"/>
        </w:trPr>
        <w:tc>
          <w:tcPr>
            <w:tcW w:w="1027" w:type="dxa"/>
            <w:vAlign w:val="center"/>
            <w:hideMark/>
          </w:tcPr>
          <w:p w14:paraId="7D0F594B"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Y4</w:t>
            </w:r>
          </w:p>
        </w:tc>
        <w:tc>
          <w:tcPr>
            <w:tcW w:w="2080" w:type="dxa"/>
            <w:noWrap/>
            <w:vAlign w:val="center"/>
            <w:hideMark/>
          </w:tcPr>
          <w:p w14:paraId="50E1882F" w14:textId="3A2593D4"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0.739</w:t>
            </w:r>
          </w:p>
        </w:tc>
        <w:tc>
          <w:tcPr>
            <w:tcW w:w="860" w:type="dxa"/>
            <w:vAlign w:val="center"/>
            <w:hideMark/>
          </w:tcPr>
          <w:p w14:paraId="7732492A" w14:textId="77777777" w:rsidR="001B0794" w:rsidRPr="00095A36" w:rsidRDefault="001B0794" w:rsidP="002E3784">
            <w:pPr>
              <w:jc w:val="center"/>
              <w:rPr>
                <w:rFonts w:ascii="Arial" w:hAnsi="Arial" w:cs="Arial"/>
                <w:color w:val="000000" w:themeColor="text1"/>
              </w:rPr>
            </w:pPr>
          </w:p>
        </w:tc>
        <w:tc>
          <w:tcPr>
            <w:tcW w:w="860" w:type="dxa"/>
            <w:noWrap/>
            <w:vAlign w:val="center"/>
            <w:hideMark/>
          </w:tcPr>
          <w:p w14:paraId="79F10410" w14:textId="77777777" w:rsidR="001B0794" w:rsidRPr="00095A36" w:rsidRDefault="001B0794" w:rsidP="002E3784">
            <w:pPr>
              <w:jc w:val="center"/>
              <w:rPr>
                <w:rFonts w:ascii="Arial" w:hAnsi="Arial" w:cs="Arial"/>
                <w:color w:val="000000" w:themeColor="text1"/>
              </w:rPr>
            </w:pPr>
          </w:p>
        </w:tc>
        <w:tc>
          <w:tcPr>
            <w:tcW w:w="1222" w:type="dxa"/>
            <w:noWrap/>
            <w:vAlign w:val="center"/>
            <w:hideMark/>
          </w:tcPr>
          <w:p w14:paraId="2E35E209" w14:textId="77777777" w:rsidR="001B0794" w:rsidRPr="00095A36" w:rsidRDefault="001B0794" w:rsidP="002E3784">
            <w:pPr>
              <w:jc w:val="center"/>
              <w:rPr>
                <w:rFonts w:ascii="Arial" w:hAnsi="Arial" w:cs="Arial"/>
                <w:color w:val="000000" w:themeColor="text1"/>
              </w:rPr>
            </w:pPr>
          </w:p>
        </w:tc>
        <w:tc>
          <w:tcPr>
            <w:tcW w:w="1172" w:type="dxa"/>
            <w:noWrap/>
            <w:vAlign w:val="center"/>
            <w:hideMark/>
          </w:tcPr>
          <w:p w14:paraId="642D2F49" w14:textId="77777777" w:rsidR="001B0794" w:rsidRPr="00095A36" w:rsidRDefault="001B0794" w:rsidP="002E3784">
            <w:pPr>
              <w:jc w:val="center"/>
              <w:rPr>
                <w:rFonts w:ascii="Arial" w:hAnsi="Arial" w:cs="Arial"/>
                <w:color w:val="000000" w:themeColor="text1"/>
              </w:rPr>
            </w:pPr>
          </w:p>
        </w:tc>
      </w:tr>
      <w:tr w:rsidR="001B0794" w:rsidRPr="00095A36" w14:paraId="26228D81" w14:textId="77777777" w:rsidTr="007A0D88">
        <w:trPr>
          <w:trHeight w:val="280"/>
          <w:jc w:val="center"/>
        </w:trPr>
        <w:tc>
          <w:tcPr>
            <w:tcW w:w="1027" w:type="dxa"/>
            <w:vAlign w:val="center"/>
            <w:hideMark/>
          </w:tcPr>
          <w:p w14:paraId="11BF2361" w14:textId="77777777"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Y5</w:t>
            </w:r>
          </w:p>
        </w:tc>
        <w:tc>
          <w:tcPr>
            <w:tcW w:w="2080" w:type="dxa"/>
            <w:noWrap/>
            <w:vAlign w:val="center"/>
            <w:hideMark/>
          </w:tcPr>
          <w:p w14:paraId="6CBCEC72" w14:textId="596DCCB1" w:rsidR="001B0794" w:rsidRPr="00095A36" w:rsidRDefault="001B0794" w:rsidP="002E3784">
            <w:pPr>
              <w:jc w:val="center"/>
              <w:rPr>
                <w:rFonts w:ascii="Arial" w:hAnsi="Arial" w:cs="Arial"/>
                <w:color w:val="000000" w:themeColor="text1"/>
              </w:rPr>
            </w:pPr>
            <w:r w:rsidRPr="00095A36">
              <w:rPr>
                <w:rFonts w:ascii="Arial" w:hAnsi="Arial" w:cs="Arial"/>
                <w:color w:val="000000" w:themeColor="text1"/>
              </w:rPr>
              <w:t>0.724</w:t>
            </w:r>
          </w:p>
        </w:tc>
        <w:tc>
          <w:tcPr>
            <w:tcW w:w="860" w:type="dxa"/>
            <w:vAlign w:val="center"/>
            <w:hideMark/>
          </w:tcPr>
          <w:p w14:paraId="26C7B1B3" w14:textId="46DEA12C" w:rsidR="001B0794" w:rsidRPr="00095A36" w:rsidRDefault="001B0794" w:rsidP="002E3784">
            <w:pPr>
              <w:jc w:val="center"/>
              <w:rPr>
                <w:rFonts w:ascii="Arial" w:hAnsi="Arial" w:cs="Arial"/>
                <w:color w:val="000000" w:themeColor="text1"/>
              </w:rPr>
            </w:pPr>
          </w:p>
        </w:tc>
        <w:tc>
          <w:tcPr>
            <w:tcW w:w="860" w:type="dxa"/>
            <w:noWrap/>
            <w:vAlign w:val="center"/>
            <w:hideMark/>
          </w:tcPr>
          <w:p w14:paraId="48327260" w14:textId="65D9EBE6" w:rsidR="001B0794" w:rsidRPr="00095A36" w:rsidRDefault="001B0794" w:rsidP="002E3784">
            <w:pPr>
              <w:jc w:val="center"/>
              <w:rPr>
                <w:rFonts w:ascii="Arial" w:hAnsi="Arial" w:cs="Arial"/>
                <w:color w:val="000000" w:themeColor="text1"/>
              </w:rPr>
            </w:pPr>
          </w:p>
        </w:tc>
        <w:tc>
          <w:tcPr>
            <w:tcW w:w="1222" w:type="dxa"/>
            <w:noWrap/>
            <w:vAlign w:val="center"/>
            <w:hideMark/>
          </w:tcPr>
          <w:p w14:paraId="525AB733" w14:textId="743BCB5D" w:rsidR="001B0794" w:rsidRPr="00095A36" w:rsidRDefault="001B0794" w:rsidP="002E3784">
            <w:pPr>
              <w:jc w:val="center"/>
              <w:rPr>
                <w:rFonts w:ascii="Arial" w:hAnsi="Arial" w:cs="Arial"/>
                <w:color w:val="000000" w:themeColor="text1"/>
              </w:rPr>
            </w:pPr>
          </w:p>
        </w:tc>
        <w:tc>
          <w:tcPr>
            <w:tcW w:w="1172" w:type="dxa"/>
            <w:noWrap/>
            <w:vAlign w:val="center"/>
            <w:hideMark/>
          </w:tcPr>
          <w:p w14:paraId="7D32EFB2" w14:textId="34F5B5CF" w:rsidR="001B0794" w:rsidRPr="00095A36" w:rsidRDefault="001B0794" w:rsidP="002E3784">
            <w:pPr>
              <w:jc w:val="center"/>
              <w:rPr>
                <w:rFonts w:ascii="Arial" w:hAnsi="Arial" w:cs="Arial"/>
                <w:color w:val="000000" w:themeColor="text1"/>
              </w:rPr>
            </w:pPr>
          </w:p>
        </w:tc>
      </w:tr>
    </w:tbl>
    <w:p w14:paraId="0001BB03" w14:textId="4DC80FF5" w:rsidR="00F44B7E" w:rsidRPr="00095A36" w:rsidRDefault="00F44B7E" w:rsidP="002E3784">
      <w:pPr>
        <w:pStyle w:val="p1"/>
        <w:jc w:val="center"/>
        <w:rPr>
          <w:color w:val="000000" w:themeColor="text1"/>
        </w:rPr>
      </w:pPr>
      <w:r w:rsidRPr="00095A36">
        <w:rPr>
          <w:i/>
          <w:iCs/>
          <w:color w:val="000000" w:themeColor="text1"/>
        </w:rPr>
        <w:t>Source: Compiled by the author based on the analy</w:t>
      </w:r>
      <w:r w:rsidR="00FC5106">
        <w:rPr>
          <w:i/>
          <w:iCs/>
          <w:color w:val="000000" w:themeColor="text1"/>
        </w:rPr>
        <w:t>s</w:t>
      </w:r>
      <w:r w:rsidRPr="00095A36">
        <w:rPr>
          <w:i/>
          <w:iCs/>
          <w:color w:val="000000" w:themeColor="text1"/>
        </w:rPr>
        <w:t>ed data</w:t>
      </w:r>
    </w:p>
    <w:p w14:paraId="7A9D4BA5" w14:textId="77777777" w:rsidR="008E0607" w:rsidRPr="00095A36" w:rsidRDefault="008E0607" w:rsidP="002E3784">
      <w:pPr>
        <w:pStyle w:val="Body"/>
        <w:spacing w:after="0"/>
        <w:rPr>
          <w:rFonts w:ascii="Arial" w:hAnsi="Arial" w:cs="Arial"/>
          <w:b/>
          <w:color w:val="000000" w:themeColor="text1"/>
          <w:sz w:val="22"/>
        </w:rPr>
      </w:pPr>
    </w:p>
    <w:p w14:paraId="390B5075" w14:textId="650FCD6F" w:rsidR="00425E50" w:rsidRPr="00095A36" w:rsidRDefault="008E0607" w:rsidP="002E3784">
      <w:pPr>
        <w:pStyle w:val="Body"/>
        <w:spacing w:after="0"/>
        <w:rPr>
          <w:rFonts w:ascii="Arial" w:hAnsi="Arial" w:cs="Arial"/>
          <w:b/>
          <w:color w:val="000000" w:themeColor="text1"/>
          <w:sz w:val="22"/>
        </w:rPr>
      </w:pPr>
      <w:r w:rsidRPr="00095A36">
        <w:rPr>
          <w:rFonts w:ascii="Arial" w:hAnsi="Arial" w:cs="Arial"/>
          <w:b/>
          <w:caps/>
          <w:color w:val="000000" w:themeColor="text1"/>
          <w:sz w:val="22"/>
        </w:rPr>
        <w:t>3.</w:t>
      </w:r>
      <w:r w:rsidR="001766EA" w:rsidRPr="00095A36">
        <w:rPr>
          <w:rFonts w:ascii="Arial" w:hAnsi="Arial" w:cs="Arial"/>
          <w:b/>
          <w:caps/>
          <w:color w:val="000000" w:themeColor="text1"/>
          <w:sz w:val="22"/>
        </w:rPr>
        <w:t>4</w:t>
      </w:r>
      <w:r w:rsidRPr="00095A36">
        <w:rPr>
          <w:rFonts w:ascii="Arial" w:hAnsi="Arial" w:cs="Arial"/>
          <w:b/>
          <w:caps/>
          <w:color w:val="000000" w:themeColor="text1"/>
          <w:sz w:val="22"/>
        </w:rPr>
        <w:t xml:space="preserve"> </w:t>
      </w:r>
      <w:r w:rsidR="00095E17" w:rsidRPr="00095A36">
        <w:rPr>
          <w:rFonts w:ascii="Arial" w:hAnsi="Arial" w:cs="Arial"/>
          <w:b/>
          <w:color w:val="000000" w:themeColor="text1"/>
          <w:sz w:val="22"/>
        </w:rPr>
        <w:t>Structural Model Evaluation (Inner Model) and Hypothesis Testing</w:t>
      </w:r>
    </w:p>
    <w:p w14:paraId="336B45F3" w14:textId="77777777" w:rsidR="006D3D3F" w:rsidRPr="00095A36" w:rsidRDefault="006D3D3F" w:rsidP="002E3784">
      <w:pPr>
        <w:pStyle w:val="Body"/>
        <w:spacing w:after="0"/>
        <w:rPr>
          <w:rFonts w:ascii="Arial" w:hAnsi="Arial" w:cs="Arial"/>
          <w:b/>
          <w:color w:val="000000" w:themeColor="text1"/>
          <w:sz w:val="22"/>
        </w:rPr>
      </w:pPr>
    </w:p>
    <w:p w14:paraId="0712E93D" w14:textId="198A073B" w:rsidR="00E25E46" w:rsidRPr="00095A36" w:rsidRDefault="00B8164A" w:rsidP="002E3784">
      <w:pPr>
        <w:pStyle w:val="Body"/>
        <w:rPr>
          <w:rFonts w:ascii="Arial" w:hAnsi="Arial" w:cs="Arial"/>
          <w:color w:val="000000" w:themeColor="text1"/>
        </w:rPr>
      </w:pPr>
      <w:r w:rsidRPr="00095A36">
        <w:rPr>
          <w:rFonts w:ascii="Arial" w:hAnsi="Arial" w:cs="Arial"/>
          <w:color w:val="000000" w:themeColor="text1"/>
        </w:rPr>
        <w:t>The s</w:t>
      </w:r>
      <w:r w:rsidR="00E25E46" w:rsidRPr="00095A36">
        <w:rPr>
          <w:rFonts w:ascii="Arial" w:hAnsi="Arial" w:cs="Arial"/>
          <w:color w:val="000000" w:themeColor="text1"/>
        </w:rPr>
        <w:t>tructural framework was analyzed to evaluate collinearity, the ability to predict outcomes, and the significance of the connections among different variables</w:t>
      </w:r>
      <w:r w:rsidR="00CF556C">
        <w:rPr>
          <w:rFonts w:ascii="Arial" w:hAnsi="Arial" w:cs="Arial"/>
          <w:color w:val="000000" w:themeColor="text1"/>
        </w:rPr>
        <w:t xml:space="preserve"> in Table 7</w:t>
      </w:r>
      <w:r w:rsidR="00E25E46" w:rsidRPr="00095A36">
        <w:rPr>
          <w:rFonts w:ascii="Arial" w:hAnsi="Arial" w:cs="Arial"/>
          <w:color w:val="000000" w:themeColor="text1"/>
        </w:rPr>
        <w:t xml:space="preserve">. Initially, the collinearity assessment resulted in Variance Inflation Factor (VIF) scores of 1.105 for each predictor, which is considerably lower than the cut-off of 5 (and the more stringent cut-off of 3), indicating that there are no multicollinearity concerns within the model. </w:t>
      </w:r>
    </w:p>
    <w:p w14:paraId="099499A2" w14:textId="2176A7BF" w:rsidR="00E25E46" w:rsidRPr="00095A36" w:rsidRDefault="00E25E46" w:rsidP="002E3784">
      <w:pPr>
        <w:pStyle w:val="Body"/>
        <w:rPr>
          <w:rFonts w:ascii="Arial" w:hAnsi="Arial" w:cs="Arial"/>
          <w:color w:val="000000" w:themeColor="text1"/>
        </w:rPr>
      </w:pPr>
      <w:r w:rsidRPr="00095A36">
        <w:rPr>
          <w:rFonts w:ascii="Arial" w:hAnsi="Arial" w:cs="Arial"/>
          <w:color w:val="000000" w:themeColor="text1"/>
        </w:rPr>
        <w:t xml:space="preserve">Next, the model's predictive capability was measured through the Adjusted R-Square </w:t>
      </w:r>
      <w:r w:rsidR="00C0428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R</m:t>
            </m:r>
          </m:e>
          <m:sup>
            <m:r>
              <w:rPr>
                <w:rFonts w:ascii="Cambria Math" w:eastAsia="Calibri" w:hAnsi="Cambria Math" w:cs="Arial"/>
                <w:color w:val="000000" w:themeColor="text1"/>
              </w:rPr>
              <m:t>2</m:t>
            </m:r>
          </m:sup>
        </m:sSup>
      </m:oMath>
      <w:r w:rsidR="00C0428E" w:rsidRPr="00095A36">
        <w:rPr>
          <w:rFonts w:ascii="Arial" w:eastAsia="Calibri" w:hAnsi="Arial" w:cs="Arial"/>
          <w:color w:val="000000" w:themeColor="text1"/>
        </w:rPr>
        <w:t>)</w:t>
      </w:r>
      <w:r w:rsidR="002B4A94">
        <w:rPr>
          <w:rFonts w:ascii="Arial" w:eastAsia="Calibri" w:hAnsi="Arial" w:cs="Arial"/>
          <w:color w:val="000000" w:themeColor="text1"/>
        </w:rPr>
        <w:t xml:space="preserve"> </w:t>
      </w:r>
      <w:r w:rsidRPr="00095A36">
        <w:rPr>
          <w:rFonts w:ascii="Arial" w:hAnsi="Arial" w:cs="Arial"/>
          <w:color w:val="000000" w:themeColor="text1"/>
        </w:rPr>
        <w:t xml:space="preserve">and Q-Square </w:t>
      </w:r>
      <w:r w:rsidR="00C0428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095A36">
        <w:rPr>
          <w:rFonts w:ascii="Arial" w:eastAsia="Calibri" w:hAnsi="Arial" w:cs="Arial"/>
          <w:color w:val="000000" w:themeColor="text1"/>
        </w:rPr>
        <w:t>)</w:t>
      </w:r>
      <w:r w:rsidRPr="00095A36">
        <w:rPr>
          <w:rFonts w:ascii="Arial" w:hAnsi="Arial" w:cs="Arial"/>
          <w:color w:val="000000" w:themeColor="text1"/>
        </w:rPr>
        <w:t xml:space="preserve">. The findings reveal an Adjusted </w:t>
      </w:r>
      <w:r w:rsidR="00C0428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R</m:t>
            </m:r>
          </m:e>
          <m:sup>
            <m:r>
              <w:rPr>
                <w:rFonts w:ascii="Cambria Math" w:eastAsia="Calibri" w:hAnsi="Cambria Math" w:cs="Arial"/>
                <w:color w:val="000000" w:themeColor="text1"/>
              </w:rPr>
              <m:t>2</m:t>
            </m:r>
          </m:sup>
        </m:sSup>
      </m:oMath>
      <w:r w:rsidR="00C0428E" w:rsidRPr="00095A36">
        <w:rPr>
          <w:rFonts w:ascii="Arial" w:eastAsia="Calibri" w:hAnsi="Arial" w:cs="Arial"/>
          <w:color w:val="000000" w:themeColor="text1"/>
        </w:rPr>
        <w:t>)</w:t>
      </w:r>
      <w:r w:rsidRPr="00095A36">
        <w:rPr>
          <w:rFonts w:ascii="Arial" w:hAnsi="Arial" w:cs="Arial"/>
          <w:color w:val="000000" w:themeColor="text1"/>
        </w:rPr>
        <w:t xml:space="preserve"> of 0.246, suggesting that 24.6% of the variation in Digital Financial Inclusion is attributed to Government Policy and Digital Financial Literacy, leaving 75.4% caused by factors that remain unmeasured. Additionally, the blindfolding technique resulted in predictive relevance </w:t>
      </w:r>
      <w:r w:rsidR="00C0428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095A36">
        <w:rPr>
          <w:rFonts w:ascii="Arial" w:eastAsia="Calibri" w:hAnsi="Arial" w:cs="Arial"/>
          <w:color w:val="000000" w:themeColor="text1"/>
        </w:rPr>
        <w:t xml:space="preserve">) </w:t>
      </w:r>
      <w:r w:rsidRPr="00095A36">
        <w:rPr>
          <w:rFonts w:ascii="Arial" w:hAnsi="Arial" w:cs="Arial"/>
          <w:color w:val="000000" w:themeColor="text1"/>
        </w:rPr>
        <w:t xml:space="preserve">values ranging from 0.107 to 0.170 (all &gt; 0), which corroborates that the model possesses sufficient predictive relevance for the dependent construct. </w:t>
      </w:r>
    </w:p>
    <w:p w14:paraId="0ABABB9F" w14:textId="2295443C" w:rsidR="00BC414D" w:rsidRPr="00095A36" w:rsidRDefault="00E25E46" w:rsidP="002E3784">
      <w:pPr>
        <w:pStyle w:val="Body"/>
        <w:rPr>
          <w:rFonts w:ascii="Arial" w:hAnsi="Arial" w:cs="Arial"/>
          <w:color w:val="000000" w:themeColor="text1"/>
        </w:rPr>
      </w:pPr>
      <w:r w:rsidRPr="00095A36">
        <w:rPr>
          <w:rFonts w:ascii="Arial" w:hAnsi="Arial" w:cs="Arial"/>
          <w:color w:val="000000" w:themeColor="text1"/>
        </w:rPr>
        <w:t xml:space="preserve">Lastly, </w:t>
      </w:r>
      <w:r w:rsidR="00C30AA0">
        <w:rPr>
          <w:rFonts w:ascii="Arial" w:hAnsi="Arial" w:cs="Arial"/>
          <w:color w:val="000000" w:themeColor="text1"/>
        </w:rPr>
        <w:t xml:space="preserve">Table 8 </w:t>
      </w:r>
      <w:r w:rsidRPr="00095A36">
        <w:rPr>
          <w:rFonts w:ascii="Arial" w:hAnsi="Arial" w:cs="Arial"/>
          <w:color w:val="000000" w:themeColor="text1"/>
        </w:rPr>
        <w:t xml:space="preserve">hypothesis testing was performed via bootstrapping to analyze the significance (T-statistics and P-values) and the level of influence </w:t>
      </w:r>
      <w:r w:rsidR="0021283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21283E" w:rsidRPr="00095A36">
        <w:rPr>
          <w:rFonts w:ascii="Arial" w:eastAsia="Calibri" w:hAnsi="Arial" w:cs="Arial"/>
          <w:color w:val="000000" w:themeColor="text1"/>
        </w:rPr>
        <w:t>)</w:t>
      </w:r>
      <w:r w:rsidRPr="00095A36">
        <w:rPr>
          <w:rFonts w:ascii="Arial" w:hAnsi="Arial" w:cs="Arial"/>
          <w:color w:val="000000" w:themeColor="text1"/>
        </w:rPr>
        <w:t>. As shown in the summary tables, Government Policy (H1) has a positive and significant impact on inclusion (T</w:t>
      </w:r>
      <w:r w:rsidR="00143C78">
        <w:rPr>
          <w:rFonts w:ascii="Arial" w:hAnsi="Arial" w:cs="Arial"/>
          <w:color w:val="000000" w:themeColor="text1"/>
        </w:rPr>
        <w:t xml:space="preserve"> </w:t>
      </w:r>
      <w:r w:rsidRPr="00095A36">
        <w:rPr>
          <w:rFonts w:ascii="Arial" w:hAnsi="Arial" w:cs="Arial"/>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2.236, </w:t>
      </w:r>
      <w:r w:rsidR="00C0428E" w:rsidRPr="00095A36">
        <w:rPr>
          <w:rFonts w:ascii="Arial" w:hAnsi="Arial" w:cs="Arial"/>
          <w:i/>
          <w:iCs/>
          <w:color w:val="000000" w:themeColor="text1"/>
        </w:rPr>
        <w:t>P</w:t>
      </w:r>
      <w:r w:rsidR="00143C78">
        <w:rPr>
          <w:rFonts w:ascii="Arial" w:hAnsi="Arial" w:cs="Arial"/>
          <w:i/>
          <w:iCs/>
          <w:color w:val="000000" w:themeColor="text1"/>
        </w:rPr>
        <w:t xml:space="preserve"> </w:t>
      </w:r>
      <w:r w:rsidR="00C0428E" w:rsidRPr="00095A36">
        <w:rPr>
          <w:rFonts w:ascii="Arial" w:hAnsi="Arial" w:cs="Arial"/>
          <w:i/>
          <w:iCs/>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.025). However, following </w:t>
      </w:r>
      <w:r w:rsidR="003125ED" w:rsidRPr="00095A36">
        <w:rPr>
          <w:rFonts w:ascii="Arial" w:hAnsi="Arial" w:cs="Arial"/>
          <w:color w:val="000000" w:themeColor="text1"/>
        </w:rPr>
        <w:fldChar w:fldCharType="begin" w:fldLock="1"/>
      </w:r>
      <w:r w:rsidR="00513220">
        <w:rPr>
          <w:rFonts w:ascii="Arial" w:hAnsi="Arial" w:cs="Arial"/>
          <w:color w:val="000000" w:themeColor="text1"/>
        </w:rPr>
        <w:instrText>ADDIN CSL_CITATION {"citationItems":[{"id":"ITEM-1","itemData":{"DOI":"10.1037/0033-2909.112.1.155","author":[{"dropping-particle":"","family":"Cohen","given":"Jacob","non-dropping-particle":"","parse-names":false,"suffix":""}],"id":"ITEM-1","issue":"I","issued":{"date-parts":[["1992"]]},"page":"155-159","title":"QUANTITATIVE METHODS IN PSYCHOLOGY A Power Primer","type":"article-journal","volume":"112"},"uris":["http://www.mendeley.com/documents/?uuid=f6cf3a2a-72af-434c-93ab-b037dcf3655e"]}],"mendeley":{"formattedCitation":"(Cohen, 1992)","plainTextFormattedCitation":"(Cohen, 1992)","previouslyFormattedCitation":"(Cohen, 1992)"},"properties":{"noteIndex":0},"schema":"https://github.com/citation-style-language/schema/raw/master/csl-citation.json"}</w:instrText>
      </w:r>
      <w:r w:rsidR="003125ED" w:rsidRPr="00095A36">
        <w:rPr>
          <w:rFonts w:ascii="Arial" w:hAnsi="Arial" w:cs="Arial"/>
          <w:color w:val="000000" w:themeColor="text1"/>
        </w:rPr>
        <w:fldChar w:fldCharType="separate"/>
      </w:r>
      <w:r w:rsidR="003125ED" w:rsidRPr="00095A36">
        <w:rPr>
          <w:rFonts w:ascii="Arial" w:hAnsi="Arial" w:cs="Arial"/>
          <w:noProof/>
          <w:color w:val="000000" w:themeColor="text1"/>
        </w:rPr>
        <w:t>(Cohen, 1992)</w:t>
      </w:r>
      <w:r w:rsidR="003125ED" w:rsidRPr="00095A36">
        <w:rPr>
          <w:rFonts w:ascii="Arial" w:hAnsi="Arial" w:cs="Arial"/>
          <w:color w:val="000000" w:themeColor="text1"/>
        </w:rPr>
        <w:fldChar w:fldCharType="end"/>
      </w:r>
      <w:r w:rsidRPr="00095A36">
        <w:rPr>
          <w:rFonts w:ascii="Arial" w:hAnsi="Arial" w:cs="Arial"/>
          <w:color w:val="000000" w:themeColor="text1"/>
        </w:rPr>
        <w:t xml:space="preserve"> criteria, the effect size is deemed small (</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095A36">
        <w:rPr>
          <w:rFonts w:ascii="Arial" w:hAnsi="Arial" w:cs="Arial"/>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0.067). Meanwhile, Digital Financial Literacy (H2) also shows a positive and significant influence (T</w:t>
      </w:r>
      <w:r w:rsidR="00143C78">
        <w:rPr>
          <w:rFonts w:ascii="Arial" w:hAnsi="Arial" w:cs="Arial"/>
          <w:color w:val="000000" w:themeColor="text1"/>
        </w:rPr>
        <w:t xml:space="preserve"> </w:t>
      </w:r>
      <w:r w:rsidRPr="00095A36">
        <w:rPr>
          <w:rFonts w:ascii="Arial" w:hAnsi="Arial" w:cs="Arial"/>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lastRenderedPageBreak/>
        <w:t xml:space="preserve">3.311, </w:t>
      </w:r>
      <w:r w:rsidR="00C0428E" w:rsidRPr="00095A36">
        <w:rPr>
          <w:rFonts w:ascii="Arial" w:hAnsi="Arial" w:cs="Arial"/>
          <w:i/>
          <w:iCs/>
          <w:color w:val="000000" w:themeColor="text1"/>
        </w:rPr>
        <w:t>P</w:t>
      </w:r>
      <w:r w:rsidR="00143C78">
        <w:rPr>
          <w:rFonts w:ascii="Arial" w:hAnsi="Arial" w:cs="Arial"/>
          <w:i/>
          <w:iCs/>
          <w:color w:val="000000" w:themeColor="text1"/>
        </w:rPr>
        <w:t xml:space="preserve"> </w:t>
      </w:r>
      <w:r w:rsidR="00C0428E" w:rsidRPr="00095A36">
        <w:rPr>
          <w:rFonts w:ascii="Arial" w:hAnsi="Arial" w:cs="Arial"/>
          <w:i/>
          <w:iCs/>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.001), but with a higher magnitude, classified as a moderate effect </w:t>
      </w:r>
      <w:r w:rsidR="00D47037"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095A36">
        <w:rPr>
          <w:rFonts w:ascii="Arial" w:hAnsi="Arial" w:cs="Arial"/>
          <w:color w:val="000000" w:themeColor="text1"/>
        </w:rPr>
        <w:t>=0.169). This illustrates that literacy serves as a stronger predictor of inclusion compared to policy.</w:t>
      </w:r>
      <w:r w:rsidR="00BC414D" w:rsidRPr="00095A36">
        <w:rPr>
          <w:rFonts w:ascii="Arial" w:hAnsi="Arial" w:cs="Arial"/>
          <w:color w:val="000000" w:themeColor="text1"/>
        </w:rPr>
        <w:t xml:space="preserve"> </w:t>
      </w:r>
      <w:r w:rsidR="00502733" w:rsidRPr="00502733">
        <w:rPr>
          <w:rFonts w:ascii="Arial" w:hAnsi="Arial" w:cs="Arial"/>
          <w:color w:val="000000" w:themeColor="text1"/>
        </w:rPr>
        <w:t xml:space="preserve">In the meantime, Digital Financial Literacy (H2) shows a favorable and significant impact </w:t>
      </w:r>
      <w:r w:rsidR="007B0743">
        <w:rPr>
          <w:rFonts w:ascii="Arial" w:hAnsi="Arial" w:cs="Arial"/>
          <w:color w:val="000000" w:themeColor="text1"/>
        </w:rPr>
        <w:t>(</w:t>
      </w:r>
      <w:r w:rsidR="007B0743" w:rsidRPr="00095A36">
        <w:rPr>
          <w:rFonts w:ascii="Arial" w:hAnsi="Arial" w:cs="Arial"/>
          <w:color w:val="000000" w:themeColor="text1"/>
        </w:rPr>
        <w:t>T</w:t>
      </w:r>
      <w:r w:rsidR="007B0743">
        <w:rPr>
          <w:rFonts w:ascii="Arial" w:hAnsi="Arial" w:cs="Arial"/>
          <w:color w:val="000000" w:themeColor="text1"/>
        </w:rPr>
        <w:t xml:space="preserve"> </w:t>
      </w:r>
      <w:r w:rsidR="007B0743" w:rsidRPr="00095A36">
        <w:rPr>
          <w:rFonts w:ascii="Arial" w:hAnsi="Arial" w:cs="Arial"/>
          <w:color w:val="000000" w:themeColor="text1"/>
        </w:rPr>
        <w:t>=</w:t>
      </w:r>
      <w:r w:rsidR="007B0743">
        <w:rPr>
          <w:rFonts w:ascii="Arial" w:hAnsi="Arial" w:cs="Arial"/>
          <w:color w:val="000000" w:themeColor="text1"/>
        </w:rPr>
        <w:t xml:space="preserve"> </w:t>
      </w:r>
      <w:r w:rsidR="007B0743" w:rsidRPr="00095A36">
        <w:rPr>
          <w:rFonts w:ascii="Arial" w:hAnsi="Arial" w:cs="Arial"/>
          <w:color w:val="000000" w:themeColor="text1"/>
        </w:rPr>
        <w:t xml:space="preserve">3.311, </w:t>
      </w:r>
      <w:r w:rsidR="007B0743" w:rsidRPr="00095A36">
        <w:rPr>
          <w:rFonts w:ascii="Arial" w:hAnsi="Arial" w:cs="Arial"/>
          <w:i/>
          <w:iCs/>
          <w:color w:val="000000" w:themeColor="text1"/>
        </w:rPr>
        <w:t>P</w:t>
      </w:r>
      <w:r w:rsidR="007B0743">
        <w:rPr>
          <w:rFonts w:ascii="Arial" w:hAnsi="Arial" w:cs="Arial"/>
          <w:i/>
          <w:iCs/>
          <w:color w:val="000000" w:themeColor="text1"/>
        </w:rPr>
        <w:t xml:space="preserve"> </w:t>
      </w:r>
      <w:r w:rsidR="007B0743" w:rsidRPr="00095A36">
        <w:rPr>
          <w:rFonts w:ascii="Arial" w:hAnsi="Arial" w:cs="Arial"/>
          <w:i/>
          <w:iCs/>
          <w:color w:val="000000" w:themeColor="text1"/>
        </w:rPr>
        <w:t>=</w:t>
      </w:r>
      <w:r w:rsidR="007B0743">
        <w:rPr>
          <w:rFonts w:ascii="Arial" w:hAnsi="Arial" w:cs="Arial"/>
          <w:color w:val="000000" w:themeColor="text1"/>
        </w:rPr>
        <w:t xml:space="preserve"> </w:t>
      </w:r>
      <w:r w:rsidR="007B0743" w:rsidRPr="00095A36">
        <w:rPr>
          <w:rFonts w:ascii="Arial" w:hAnsi="Arial" w:cs="Arial"/>
          <w:color w:val="000000" w:themeColor="text1"/>
        </w:rPr>
        <w:t xml:space="preserve">.001), </w:t>
      </w:r>
      <w:r w:rsidR="00502733" w:rsidRPr="00502733">
        <w:rPr>
          <w:rFonts w:ascii="Arial" w:hAnsi="Arial" w:cs="Arial"/>
          <w:color w:val="000000" w:themeColor="text1"/>
        </w:rPr>
        <w:t xml:space="preserve">along with a moderate effect size </w:t>
      </w:r>
      <w:r w:rsidR="007B0743"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7B0743" w:rsidRPr="00095A36">
        <w:rPr>
          <w:rFonts w:ascii="Arial" w:hAnsi="Arial" w:cs="Arial"/>
          <w:color w:val="000000" w:themeColor="text1"/>
        </w:rPr>
        <w:t>=0.169)</w:t>
      </w:r>
      <w:r w:rsidR="00502733" w:rsidRPr="00502733">
        <w:rPr>
          <w:rFonts w:ascii="Arial" w:hAnsi="Arial" w:cs="Arial"/>
          <w:color w:val="000000" w:themeColor="text1"/>
        </w:rPr>
        <w:t>. Concerning the combined influence (H3), the calculation of the</w:t>
      </w:r>
      <w:r w:rsidR="00092D0B">
        <w:rPr>
          <w:rFonts w:ascii="Arial" w:hAnsi="Arial" w:cs="Arial"/>
          <w:color w:val="000000" w:themeColor="text1"/>
        </w:rPr>
        <w:t xml:space="preserv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statistic</m:t>
            </m:r>
          </m:sub>
        </m:sSub>
        <m:r>
          <w:rPr>
            <w:rFonts w:ascii="Cambria Math" w:eastAsia="Calibri" w:hAnsi="Cambria Math"/>
            <w:color w:val="000000" w:themeColor="text1"/>
          </w:rPr>
          <m:t xml:space="preserve"> </m:t>
        </m:r>
      </m:oMath>
      <w:r w:rsidR="00502733" w:rsidRPr="00502733">
        <w:rPr>
          <w:rFonts w:ascii="Arial" w:hAnsi="Arial" w:cs="Arial"/>
          <w:color w:val="000000" w:themeColor="text1"/>
        </w:rPr>
        <w:t xml:space="preserve"> resulted in a value of 62.34, surpassing the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table</m:t>
            </m:r>
          </m:sub>
        </m:sSub>
      </m:oMath>
      <w:r w:rsidR="00092D0B" w:rsidRPr="00095A36">
        <w:rPr>
          <w:rFonts w:ascii="Arial" w:eastAsia="Calibri" w:hAnsi="Arial" w:cs="Arial"/>
          <w:szCs w:val="22"/>
        </w:rPr>
        <w:t xml:space="preserve"> </w:t>
      </w:r>
      <w:r w:rsidR="00502733" w:rsidRPr="00502733">
        <w:rPr>
          <w:rFonts w:ascii="Arial" w:hAnsi="Arial" w:cs="Arial"/>
          <w:color w:val="000000" w:themeColor="text1"/>
        </w:rPr>
        <w:t xml:space="preserve"> limit of 3.02, thus validating a significant collective effect</w:t>
      </w:r>
      <w:r w:rsidR="00092D0B">
        <w:rPr>
          <w:rFonts w:ascii="Arial" w:hAnsi="Arial" w:cs="Arial"/>
          <w:color w:val="000000" w:themeColor="text1"/>
        </w:rPr>
        <w:t>.</w:t>
      </w:r>
      <m:oMath>
        <m:r>
          <w:rPr>
            <w:rFonts w:ascii="Cambria Math" w:eastAsia="Calibri" w:hAnsi="Cambria Math"/>
            <w:color w:val="000000" w:themeColor="text1"/>
          </w:rPr>
          <m:t xml:space="preserve"> </m:t>
        </m:r>
      </m:oMath>
    </w:p>
    <w:p w14:paraId="0A3A7C82" w14:textId="558BFCD8" w:rsidR="0038789F" w:rsidRPr="00095A36" w:rsidRDefault="0038789F" w:rsidP="002E3784">
      <w:pPr>
        <w:pStyle w:val="Body"/>
        <w:spacing w:after="0"/>
        <w:jc w:val="center"/>
        <w:rPr>
          <w:rFonts w:ascii="Arial" w:hAnsi="Arial" w:cs="Arial"/>
          <w:b/>
          <w:color w:val="000000" w:themeColor="text1"/>
          <w:szCs w:val="16"/>
        </w:rPr>
      </w:pPr>
      <w:r w:rsidRPr="00095A36">
        <w:rPr>
          <w:rFonts w:ascii="Arial" w:hAnsi="Arial" w:cs="Arial"/>
          <w:b/>
          <w:color w:val="000000" w:themeColor="text1"/>
          <w:szCs w:val="16"/>
        </w:rPr>
        <w:t>Table 7.</w:t>
      </w:r>
      <w:r w:rsidRPr="00095A36">
        <w:rPr>
          <w:rFonts w:ascii="Arial" w:hAnsi="Arial" w:cs="Arial"/>
          <w:color w:val="000000" w:themeColor="text1"/>
          <w:sz w:val="16"/>
          <w:szCs w:val="16"/>
        </w:rPr>
        <w:t xml:space="preserve"> </w:t>
      </w:r>
      <w:r w:rsidR="00273D7B" w:rsidRPr="00095A36">
        <w:rPr>
          <w:rFonts w:ascii="Arial" w:hAnsi="Arial" w:cs="Arial"/>
          <w:b/>
          <w:color w:val="000000" w:themeColor="text1"/>
          <w:szCs w:val="16"/>
        </w:rPr>
        <w:t>Structural Model</w:t>
      </w:r>
    </w:p>
    <w:p w14:paraId="3349CA74" w14:textId="77777777" w:rsidR="0038789F" w:rsidRPr="00095A36" w:rsidRDefault="0038789F" w:rsidP="002E3784">
      <w:pPr>
        <w:pStyle w:val="Body"/>
        <w:spacing w:after="0"/>
        <w:jc w:val="center"/>
        <w:rPr>
          <w:rFonts w:ascii="Arial" w:hAnsi="Arial" w:cs="Arial"/>
          <w:b/>
          <w:color w:val="000000" w:themeColor="text1"/>
          <w:szCs w:val="16"/>
        </w:rPr>
      </w:pPr>
    </w:p>
    <w:tbl>
      <w:tblPr>
        <w:tblStyle w:val="TableGridLight"/>
        <w:tblW w:w="4684" w:type="dxa"/>
        <w:jc w:val="center"/>
        <w:tblLook w:val="04A0" w:firstRow="1" w:lastRow="0" w:firstColumn="1" w:lastColumn="0" w:noHBand="0" w:noVBand="1"/>
      </w:tblPr>
      <w:tblGrid>
        <w:gridCol w:w="1555"/>
        <w:gridCol w:w="1134"/>
        <w:gridCol w:w="1134"/>
        <w:gridCol w:w="861"/>
      </w:tblGrid>
      <w:tr w:rsidR="00F66741" w:rsidRPr="00095A36" w14:paraId="6F11D209" w14:textId="77777777" w:rsidTr="002B4A94">
        <w:trPr>
          <w:trHeight w:val="320"/>
          <w:jc w:val="center"/>
        </w:trPr>
        <w:tc>
          <w:tcPr>
            <w:tcW w:w="1555" w:type="dxa"/>
            <w:noWrap/>
            <w:vAlign w:val="center"/>
            <w:hideMark/>
          </w:tcPr>
          <w:p w14:paraId="50DE88DC" w14:textId="1938A584" w:rsidR="00F66741" w:rsidRPr="00095A36" w:rsidRDefault="00F66741" w:rsidP="002E3784">
            <w:pPr>
              <w:jc w:val="center"/>
              <w:rPr>
                <w:rFonts w:ascii="Arial" w:hAnsi="Arial" w:cs="Arial"/>
                <w:b/>
                <w:bCs/>
                <w:color w:val="000000"/>
                <w:lang w:val="en-ID"/>
              </w:rPr>
            </w:pPr>
            <w:r w:rsidRPr="00095A36">
              <w:rPr>
                <w:rFonts w:ascii="Arial" w:hAnsi="Arial" w:cs="Arial"/>
                <w:b/>
                <w:bCs/>
                <w:color w:val="000000"/>
                <w:lang w:val="en-ID"/>
              </w:rPr>
              <w:t>Dependent</w:t>
            </w:r>
          </w:p>
          <w:p w14:paraId="71E3C440" w14:textId="269F85D8" w:rsidR="00F66741" w:rsidRPr="00095A36" w:rsidRDefault="00F66741" w:rsidP="002E3784">
            <w:pPr>
              <w:jc w:val="center"/>
              <w:rPr>
                <w:rFonts w:ascii="Arial" w:hAnsi="Arial" w:cs="Arial"/>
                <w:b/>
                <w:bCs/>
                <w:color w:val="000000"/>
                <w:lang w:val="en-ID"/>
              </w:rPr>
            </w:pPr>
            <w:r w:rsidRPr="00095A36">
              <w:rPr>
                <w:rFonts w:ascii="Arial" w:hAnsi="Arial" w:cs="Arial"/>
                <w:b/>
                <w:bCs/>
                <w:color w:val="000000"/>
                <w:lang w:val="en-ID"/>
              </w:rPr>
              <w:t>Variable</w:t>
            </w:r>
          </w:p>
        </w:tc>
        <w:tc>
          <w:tcPr>
            <w:tcW w:w="1134" w:type="dxa"/>
            <w:noWrap/>
            <w:vAlign w:val="center"/>
            <w:hideMark/>
          </w:tcPr>
          <w:p w14:paraId="49ECC60F" w14:textId="77777777" w:rsidR="00F66741" w:rsidRPr="00095A36" w:rsidRDefault="00F66741" w:rsidP="002E3784">
            <w:pPr>
              <w:jc w:val="center"/>
              <w:rPr>
                <w:rFonts w:ascii="Arial" w:hAnsi="Arial" w:cs="Arial"/>
                <w:b/>
                <w:bCs/>
                <w:color w:val="000000"/>
                <w:lang w:val="en-ID"/>
              </w:rPr>
            </w:pPr>
            <w:r w:rsidRPr="00095A36">
              <w:rPr>
                <w:rFonts w:ascii="Arial" w:hAnsi="Arial" w:cs="Arial"/>
                <w:b/>
                <w:bCs/>
                <w:color w:val="000000"/>
                <w:lang w:val="en-ID"/>
              </w:rPr>
              <w:t>Adjusted R-Square</w:t>
            </w:r>
          </w:p>
        </w:tc>
        <w:tc>
          <w:tcPr>
            <w:tcW w:w="1134" w:type="dxa"/>
            <w:noWrap/>
            <w:vAlign w:val="center"/>
            <w:hideMark/>
          </w:tcPr>
          <w:p w14:paraId="1B76FC34" w14:textId="376CEFBB" w:rsidR="00F66741" w:rsidRPr="00095A36" w:rsidRDefault="00F66741" w:rsidP="002E3784">
            <w:pPr>
              <w:jc w:val="center"/>
              <w:rPr>
                <w:rFonts w:ascii="Arial" w:hAnsi="Arial" w:cs="Arial"/>
                <w:b/>
                <w:bCs/>
                <w:color w:val="000000"/>
                <w:lang w:val="en-ID"/>
              </w:rPr>
            </w:pPr>
            <w:r w:rsidRPr="00095A36">
              <w:rPr>
                <w:rFonts w:ascii="Arial" w:hAnsi="Arial" w:cs="Arial"/>
                <w:b/>
                <w:bCs/>
                <w:color w:val="000000"/>
                <w:lang w:val="en-ID"/>
              </w:rPr>
              <w:t xml:space="preserve">Q-Square </w:t>
            </w:r>
            <w:r w:rsidR="00C0428E"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Q</m:t>
                  </m:r>
                </m:e>
                <m:sup>
                  <m:r>
                    <w:rPr>
                      <w:rFonts w:ascii="Cambria Math" w:eastAsia="Calibri" w:hAnsi="Cambria Math" w:cs="Arial"/>
                      <w:color w:val="000000" w:themeColor="text1"/>
                    </w:rPr>
                    <m:t>2</m:t>
                  </m:r>
                </m:sup>
              </m:sSup>
            </m:oMath>
            <w:r w:rsidR="00C0428E" w:rsidRPr="00095A36">
              <w:rPr>
                <w:rFonts w:ascii="Arial" w:eastAsia="Calibri" w:hAnsi="Arial" w:cs="Arial"/>
                <w:color w:val="000000" w:themeColor="text1"/>
              </w:rPr>
              <w:t>)</w:t>
            </w:r>
          </w:p>
        </w:tc>
        <w:tc>
          <w:tcPr>
            <w:tcW w:w="861" w:type="dxa"/>
            <w:noWrap/>
            <w:vAlign w:val="center"/>
            <w:hideMark/>
          </w:tcPr>
          <w:p w14:paraId="3EB606B2" w14:textId="77777777" w:rsidR="00F66741" w:rsidRPr="00095A36" w:rsidRDefault="00F66741" w:rsidP="002E3784">
            <w:pPr>
              <w:jc w:val="center"/>
              <w:rPr>
                <w:rFonts w:ascii="Arial" w:hAnsi="Arial" w:cs="Arial"/>
                <w:b/>
                <w:bCs/>
                <w:color w:val="000000"/>
                <w:lang w:val="en-ID"/>
              </w:rPr>
            </w:pPr>
            <w:r w:rsidRPr="00095A36">
              <w:rPr>
                <w:rFonts w:ascii="Arial" w:hAnsi="Arial" w:cs="Arial"/>
                <w:b/>
                <w:bCs/>
                <w:color w:val="000000"/>
                <w:lang w:val="en-ID"/>
              </w:rPr>
              <w:t>VIF (Inner Model)</w:t>
            </w:r>
          </w:p>
        </w:tc>
      </w:tr>
      <w:tr w:rsidR="00F66741" w:rsidRPr="00095A36" w14:paraId="50CD74D1" w14:textId="77777777" w:rsidTr="002B4A94">
        <w:trPr>
          <w:trHeight w:val="360"/>
          <w:jc w:val="center"/>
        </w:trPr>
        <w:tc>
          <w:tcPr>
            <w:tcW w:w="1555" w:type="dxa"/>
            <w:noWrap/>
            <w:vAlign w:val="center"/>
            <w:hideMark/>
          </w:tcPr>
          <w:p w14:paraId="19B38581" w14:textId="77777777" w:rsidR="00F66741" w:rsidRPr="00BD3EE3" w:rsidRDefault="00F66741" w:rsidP="002E3784">
            <w:pPr>
              <w:jc w:val="center"/>
              <w:rPr>
                <w:rFonts w:ascii="Arial" w:hAnsi="Arial" w:cs="Arial"/>
                <w:b/>
                <w:bCs/>
                <w:color w:val="000000"/>
                <w:lang w:val="en-ID"/>
              </w:rPr>
            </w:pPr>
            <w:r w:rsidRPr="00BD3EE3">
              <w:rPr>
                <w:rFonts w:ascii="Arial" w:hAnsi="Arial" w:cs="Arial"/>
                <w:b/>
                <w:bCs/>
                <w:color w:val="000000"/>
                <w:lang w:val="en-ID"/>
              </w:rPr>
              <w:t>Digital Financial Inclusion (Y)</w:t>
            </w:r>
          </w:p>
        </w:tc>
        <w:tc>
          <w:tcPr>
            <w:tcW w:w="1134" w:type="dxa"/>
            <w:noWrap/>
            <w:vAlign w:val="center"/>
            <w:hideMark/>
          </w:tcPr>
          <w:p w14:paraId="17155E70" w14:textId="39845601" w:rsidR="00F66741" w:rsidRPr="00095A36" w:rsidRDefault="00F66741" w:rsidP="002E3784">
            <w:pPr>
              <w:jc w:val="center"/>
              <w:rPr>
                <w:rFonts w:ascii="Arial" w:hAnsi="Arial" w:cs="Arial"/>
                <w:color w:val="000000"/>
                <w:lang w:val="en-ID"/>
              </w:rPr>
            </w:pPr>
            <w:r w:rsidRPr="00095A36">
              <w:rPr>
                <w:rFonts w:ascii="Arial" w:hAnsi="Arial" w:cs="Arial"/>
                <w:color w:val="000000"/>
                <w:lang w:val="en-ID"/>
              </w:rPr>
              <w:t>0</w:t>
            </w:r>
            <w:r w:rsidR="007A0D88">
              <w:rPr>
                <w:rFonts w:ascii="Arial" w:hAnsi="Arial" w:cs="Arial"/>
                <w:color w:val="000000"/>
                <w:lang w:val="en-ID"/>
              </w:rPr>
              <w:t>.</w:t>
            </w:r>
            <w:r w:rsidRPr="00095A36">
              <w:rPr>
                <w:rFonts w:ascii="Arial" w:hAnsi="Arial" w:cs="Arial"/>
                <w:color w:val="000000"/>
                <w:lang w:val="en-ID"/>
              </w:rPr>
              <w:t>246</w:t>
            </w:r>
          </w:p>
        </w:tc>
        <w:tc>
          <w:tcPr>
            <w:tcW w:w="1134" w:type="dxa"/>
            <w:noWrap/>
            <w:vAlign w:val="center"/>
            <w:hideMark/>
          </w:tcPr>
          <w:p w14:paraId="29D4A77C" w14:textId="67C1E0FF" w:rsidR="00F66741" w:rsidRPr="00095A36" w:rsidRDefault="00F66741" w:rsidP="002E3784">
            <w:pPr>
              <w:jc w:val="center"/>
              <w:rPr>
                <w:rFonts w:ascii="Arial" w:hAnsi="Arial" w:cs="Arial"/>
                <w:color w:val="000000"/>
                <w:lang w:val="en-ID"/>
              </w:rPr>
            </w:pPr>
            <w:r w:rsidRPr="00095A36">
              <w:rPr>
                <w:rFonts w:ascii="Arial" w:hAnsi="Arial" w:cs="Arial"/>
                <w:color w:val="000000"/>
                <w:lang w:val="en-ID"/>
              </w:rPr>
              <w:t>0.107 - 0.170</w:t>
            </w:r>
          </w:p>
        </w:tc>
        <w:tc>
          <w:tcPr>
            <w:tcW w:w="861" w:type="dxa"/>
            <w:noWrap/>
            <w:vAlign w:val="center"/>
            <w:hideMark/>
          </w:tcPr>
          <w:p w14:paraId="5E2A0DBF" w14:textId="60AC5FA9" w:rsidR="00F66741" w:rsidRPr="00095A36" w:rsidRDefault="00F66741" w:rsidP="002E3784">
            <w:pPr>
              <w:jc w:val="center"/>
              <w:rPr>
                <w:rFonts w:ascii="Arial" w:hAnsi="Arial" w:cs="Arial"/>
                <w:color w:val="000000"/>
                <w:lang w:val="en-ID"/>
              </w:rPr>
            </w:pPr>
            <w:r w:rsidRPr="00095A36">
              <w:rPr>
                <w:rFonts w:ascii="Arial" w:hAnsi="Arial" w:cs="Arial"/>
                <w:color w:val="000000"/>
                <w:lang w:val="en-ID"/>
              </w:rPr>
              <w:t>1</w:t>
            </w:r>
            <w:r w:rsidR="007A0D88">
              <w:rPr>
                <w:rFonts w:ascii="Arial" w:hAnsi="Arial" w:cs="Arial"/>
                <w:color w:val="000000"/>
                <w:lang w:val="en-ID"/>
              </w:rPr>
              <w:t>.</w:t>
            </w:r>
            <w:r w:rsidRPr="00095A36">
              <w:rPr>
                <w:rFonts w:ascii="Arial" w:hAnsi="Arial" w:cs="Arial"/>
                <w:color w:val="000000"/>
                <w:lang w:val="en-ID"/>
              </w:rPr>
              <w:t>105</w:t>
            </w:r>
          </w:p>
        </w:tc>
      </w:tr>
    </w:tbl>
    <w:p w14:paraId="3CD75700" w14:textId="544F2F62" w:rsidR="00877B95" w:rsidRPr="00095A36" w:rsidRDefault="00877B95" w:rsidP="002E3784">
      <w:pPr>
        <w:pStyle w:val="p1"/>
        <w:jc w:val="center"/>
        <w:rPr>
          <w:color w:val="000000" w:themeColor="text1"/>
        </w:rPr>
      </w:pPr>
      <w:r w:rsidRPr="00095A36">
        <w:rPr>
          <w:i/>
          <w:iCs/>
          <w:color w:val="000000" w:themeColor="text1"/>
        </w:rPr>
        <w:t>Source: Compiled by the author based on the analy</w:t>
      </w:r>
      <w:r w:rsidR="005C3AD4">
        <w:rPr>
          <w:i/>
          <w:iCs/>
          <w:color w:val="000000" w:themeColor="text1"/>
        </w:rPr>
        <w:t>s</w:t>
      </w:r>
      <w:r w:rsidRPr="00095A36">
        <w:rPr>
          <w:i/>
          <w:iCs/>
          <w:color w:val="000000" w:themeColor="text1"/>
        </w:rPr>
        <w:t>ed data</w:t>
      </w:r>
    </w:p>
    <w:p w14:paraId="6A87C340" w14:textId="77777777" w:rsidR="000D69C5" w:rsidRPr="00095A36" w:rsidRDefault="000D69C5" w:rsidP="002E3784">
      <w:pPr>
        <w:pStyle w:val="Body"/>
        <w:spacing w:after="0"/>
        <w:rPr>
          <w:rFonts w:ascii="Arial" w:hAnsi="Arial" w:cs="Arial"/>
          <w:color w:val="000000" w:themeColor="text1"/>
        </w:rPr>
      </w:pPr>
    </w:p>
    <w:p w14:paraId="331E6E45" w14:textId="77777777" w:rsidR="00440C20" w:rsidRPr="00095A36" w:rsidRDefault="00440C20" w:rsidP="002E3784">
      <w:pPr>
        <w:pStyle w:val="Body"/>
        <w:spacing w:after="0"/>
        <w:rPr>
          <w:rFonts w:ascii="Arial" w:hAnsi="Arial" w:cs="Arial"/>
          <w:color w:val="000000" w:themeColor="text1"/>
        </w:rPr>
      </w:pPr>
    </w:p>
    <w:p w14:paraId="3805BAEC" w14:textId="321E5769" w:rsidR="00A02706" w:rsidRPr="00095A36" w:rsidRDefault="00440C20" w:rsidP="002E3784">
      <w:pPr>
        <w:pStyle w:val="Body"/>
        <w:spacing w:after="0"/>
        <w:jc w:val="center"/>
        <w:rPr>
          <w:rFonts w:ascii="Arial" w:hAnsi="Arial" w:cs="Arial"/>
          <w:b/>
          <w:bCs/>
          <w:color w:val="000000" w:themeColor="text1"/>
        </w:rPr>
      </w:pPr>
      <w:r w:rsidRPr="00095A36">
        <w:rPr>
          <w:rFonts w:ascii="Arial" w:hAnsi="Arial" w:cs="Arial"/>
          <w:b/>
          <w:bCs/>
          <w:color w:val="000000" w:themeColor="text1"/>
        </w:rPr>
        <w:t>Table 8. Path Coefficients and Hypothesis Testing</w:t>
      </w:r>
    </w:p>
    <w:p w14:paraId="59CAD54B" w14:textId="77777777" w:rsidR="00983C55" w:rsidRPr="00095A36" w:rsidRDefault="00983C55" w:rsidP="002E3784">
      <w:pPr>
        <w:pStyle w:val="Body"/>
        <w:spacing w:after="0"/>
        <w:jc w:val="center"/>
        <w:rPr>
          <w:rFonts w:ascii="Arial" w:hAnsi="Arial" w:cs="Arial"/>
          <w:color w:val="000000" w:themeColor="text1"/>
        </w:rPr>
      </w:pPr>
    </w:p>
    <w:tbl>
      <w:tblPr>
        <w:tblStyle w:val="TableGridLight"/>
        <w:tblW w:w="8529" w:type="dxa"/>
        <w:jc w:val="center"/>
        <w:tblLook w:val="04A0" w:firstRow="1" w:lastRow="0" w:firstColumn="1" w:lastColumn="0" w:noHBand="0" w:noVBand="1"/>
      </w:tblPr>
      <w:tblGrid>
        <w:gridCol w:w="1295"/>
        <w:gridCol w:w="1677"/>
        <w:gridCol w:w="1418"/>
        <w:gridCol w:w="1134"/>
        <w:gridCol w:w="1888"/>
        <w:gridCol w:w="1117"/>
      </w:tblGrid>
      <w:tr w:rsidR="00481094" w:rsidRPr="00095A36" w14:paraId="2928D401" w14:textId="77777777" w:rsidTr="002B4A94">
        <w:trPr>
          <w:trHeight w:val="300"/>
          <w:jc w:val="center"/>
        </w:trPr>
        <w:tc>
          <w:tcPr>
            <w:tcW w:w="1295" w:type="dxa"/>
            <w:noWrap/>
            <w:vAlign w:val="center"/>
            <w:hideMark/>
          </w:tcPr>
          <w:p w14:paraId="6BE588F7"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Hypothesis</w:t>
            </w:r>
          </w:p>
        </w:tc>
        <w:tc>
          <w:tcPr>
            <w:tcW w:w="1677" w:type="dxa"/>
            <w:noWrap/>
            <w:vAlign w:val="center"/>
            <w:hideMark/>
          </w:tcPr>
          <w:p w14:paraId="5FC4693C"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Path</w:t>
            </w:r>
          </w:p>
        </w:tc>
        <w:tc>
          <w:tcPr>
            <w:tcW w:w="1418" w:type="dxa"/>
            <w:noWrap/>
            <w:vAlign w:val="center"/>
            <w:hideMark/>
          </w:tcPr>
          <w:p w14:paraId="0D06063B"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T Statistics</w:t>
            </w:r>
          </w:p>
        </w:tc>
        <w:tc>
          <w:tcPr>
            <w:tcW w:w="1134" w:type="dxa"/>
            <w:noWrap/>
            <w:vAlign w:val="center"/>
            <w:hideMark/>
          </w:tcPr>
          <w:p w14:paraId="3B29BA55" w14:textId="01C2F97E" w:rsidR="000A7029" w:rsidRPr="00095A36" w:rsidRDefault="00C0428E" w:rsidP="002E3784">
            <w:pPr>
              <w:jc w:val="center"/>
              <w:rPr>
                <w:rFonts w:ascii="Arial" w:hAnsi="Arial" w:cs="Arial"/>
                <w:b/>
                <w:bCs/>
                <w:color w:val="000000"/>
                <w:lang w:val="en-ID"/>
              </w:rPr>
            </w:pPr>
            <w:r w:rsidRPr="00095A36">
              <w:rPr>
                <w:rFonts w:ascii="Arial" w:eastAsia="Calibri" w:hAnsi="Arial" w:cs="Arial"/>
                <w:b/>
                <w:bCs/>
                <w:i/>
                <w:iCs/>
                <w:color w:val="000000" w:themeColor="text1"/>
              </w:rPr>
              <w:t>P-Values</w:t>
            </w:r>
          </w:p>
        </w:tc>
        <w:tc>
          <w:tcPr>
            <w:tcW w:w="1888" w:type="dxa"/>
            <w:noWrap/>
            <w:vAlign w:val="center"/>
            <w:hideMark/>
          </w:tcPr>
          <w:p w14:paraId="4ADE31DC" w14:textId="10B8DE0D"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 xml:space="preserve">Effect Size </w:t>
            </w:r>
            <w:r w:rsidR="00D47037"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D47037" w:rsidRPr="00095A36">
              <w:rPr>
                <w:rFonts w:ascii="Arial" w:eastAsia="Calibri" w:hAnsi="Arial" w:cs="Arial"/>
                <w:color w:val="000000" w:themeColor="text1"/>
              </w:rPr>
              <w:t>)</w:t>
            </w:r>
          </w:p>
        </w:tc>
        <w:tc>
          <w:tcPr>
            <w:tcW w:w="1117" w:type="dxa"/>
            <w:noWrap/>
            <w:vAlign w:val="center"/>
            <w:hideMark/>
          </w:tcPr>
          <w:p w14:paraId="492B9CBD"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Result</w:t>
            </w:r>
          </w:p>
        </w:tc>
      </w:tr>
      <w:tr w:rsidR="00481094" w:rsidRPr="00095A36" w14:paraId="7D6CE884" w14:textId="77777777" w:rsidTr="002B4A94">
        <w:trPr>
          <w:trHeight w:val="300"/>
          <w:jc w:val="center"/>
        </w:trPr>
        <w:tc>
          <w:tcPr>
            <w:tcW w:w="1295" w:type="dxa"/>
            <w:noWrap/>
            <w:vAlign w:val="center"/>
            <w:hideMark/>
          </w:tcPr>
          <w:p w14:paraId="1E59FFEF"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H1</w:t>
            </w:r>
          </w:p>
        </w:tc>
        <w:tc>
          <w:tcPr>
            <w:tcW w:w="1677" w:type="dxa"/>
            <w:noWrap/>
            <w:vAlign w:val="center"/>
            <w:hideMark/>
          </w:tcPr>
          <w:p w14:paraId="7DBC37EE" w14:textId="6F2C19F4" w:rsidR="000A7029" w:rsidRPr="00095A36" w:rsidRDefault="001A2E10" w:rsidP="002E3784">
            <w:pPr>
              <w:jc w:val="center"/>
              <w:rPr>
                <w:rFonts w:ascii="Arial" w:hAnsi="Arial" w:cs="Arial"/>
                <w:color w:val="000000"/>
                <w:lang w:val="en-ID"/>
              </w:rPr>
            </w:pPr>
            <w:r w:rsidRPr="00095A36">
              <w:rPr>
                <w:rFonts w:ascii="Arial" w:hAnsi="Arial" w:cs="Arial"/>
                <w:color w:val="000000" w:themeColor="text1"/>
              </w:rPr>
              <w:t xml:space="preserve">Government </w:t>
            </w:r>
            <w:r w:rsidR="000A7029" w:rsidRPr="00095A36">
              <w:rPr>
                <w:rFonts w:ascii="Arial" w:hAnsi="Arial" w:cs="Arial"/>
                <w:color w:val="000000"/>
                <w:lang w:val="en-ID"/>
              </w:rPr>
              <w:t xml:space="preserve">Policy (X1) </w:t>
            </w:r>
            <w:r w:rsidR="003125ED" w:rsidRPr="00095A36">
              <w:rPr>
                <w:rFonts w:ascii="Arial" w:hAnsi="Arial" w:cs="Arial"/>
                <w:color w:val="000000"/>
                <w:lang w:val="en-ID"/>
              </w:rPr>
              <w:t>&gt;</w:t>
            </w:r>
            <w:r w:rsidR="000A7029" w:rsidRPr="00095A36">
              <w:rPr>
                <w:rFonts w:ascii="Arial" w:hAnsi="Arial" w:cs="Arial"/>
                <w:color w:val="000000"/>
                <w:lang w:val="en-ID"/>
              </w:rPr>
              <w:t>Inclusion (Y)</w:t>
            </w:r>
          </w:p>
        </w:tc>
        <w:tc>
          <w:tcPr>
            <w:tcW w:w="1418" w:type="dxa"/>
            <w:noWrap/>
            <w:vAlign w:val="center"/>
            <w:hideMark/>
          </w:tcPr>
          <w:p w14:paraId="38BAA9EF" w14:textId="77777777"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2.236</w:t>
            </w:r>
          </w:p>
        </w:tc>
        <w:tc>
          <w:tcPr>
            <w:tcW w:w="1134" w:type="dxa"/>
            <w:noWrap/>
            <w:vAlign w:val="center"/>
            <w:hideMark/>
          </w:tcPr>
          <w:p w14:paraId="6C16150E" w14:textId="4C7B4F9A"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.025</w:t>
            </w:r>
          </w:p>
        </w:tc>
        <w:tc>
          <w:tcPr>
            <w:tcW w:w="1888" w:type="dxa"/>
            <w:noWrap/>
            <w:vAlign w:val="center"/>
            <w:hideMark/>
          </w:tcPr>
          <w:p w14:paraId="2632B51F" w14:textId="77777777"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0.067 (Small)</w:t>
            </w:r>
          </w:p>
        </w:tc>
        <w:tc>
          <w:tcPr>
            <w:tcW w:w="1117" w:type="dxa"/>
            <w:noWrap/>
            <w:vAlign w:val="center"/>
            <w:hideMark/>
          </w:tcPr>
          <w:p w14:paraId="025B237B"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Accepted</w:t>
            </w:r>
          </w:p>
        </w:tc>
      </w:tr>
      <w:tr w:rsidR="00481094" w:rsidRPr="00095A36" w14:paraId="4E915A48" w14:textId="77777777" w:rsidTr="002B4A94">
        <w:trPr>
          <w:trHeight w:val="300"/>
          <w:jc w:val="center"/>
        </w:trPr>
        <w:tc>
          <w:tcPr>
            <w:tcW w:w="1295" w:type="dxa"/>
            <w:noWrap/>
            <w:vAlign w:val="center"/>
            <w:hideMark/>
          </w:tcPr>
          <w:p w14:paraId="5621110E"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H2</w:t>
            </w:r>
          </w:p>
        </w:tc>
        <w:tc>
          <w:tcPr>
            <w:tcW w:w="1677" w:type="dxa"/>
            <w:noWrap/>
            <w:vAlign w:val="center"/>
            <w:hideMark/>
          </w:tcPr>
          <w:p w14:paraId="4D9835A7" w14:textId="6C47BA90" w:rsidR="000A7029" w:rsidRPr="00095A36" w:rsidRDefault="001467E6" w:rsidP="002E3784">
            <w:pPr>
              <w:jc w:val="center"/>
              <w:rPr>
                <w:rFonts w:ascii="Arial" w:hAnsi="Arial" w:cs="Arial"/>
                <w:color w:val="000000"/>
                <w:lang w:val="en-ID"/>
              </w:rPr>
            </w:pPr>
            <w:r w:rsidRPr="00095A36">
              <w:rPr>
                <w:rFonts w:ascii="Arial" w:hAnsi="Arial" w:cs="Arial"/>
                <w:color w:val="000000" w:themeColor="text1"/>
              </w:rPr>
              <w:t>Digital Financial</w:t>
            </w:r>
            <w:r w:rsidRPr="00095A36">
              <w:rPr>
                <w:rFonts w:ascii="Arial" w:hAnsi="Arial" w:cs="Arial"/>
                <w:color w:val="000000"/>
                <w:lang w:val="en-ID"/>
              </w:rPr>
              <w:t xml:space="preserve"> </w:t>
            </w:r>
            <w:r w:rsidR="000A7029" w:rsidRPr="00095A36">
              <w:rPr>
                <w:rFonts w:ascii="Arial" w:hAnsi="Arial" w:cs="Arial"/>
                <w:color w:val="000000"/>
                <w:lang w:val="en-ID"/>
              </w:rPr>
              <w:t xml:space="preserve">Literacy (X2) </w:t>
            </w:r>
            <w:r w:rsidR="003125ED" w:rsidRPr="00095A36">
              <w:rPr>
                <w:rFonts w:ascii="Arial" w:hAnsi="Arial" w:cs="Arial"/>
                <w:color w:val="000000"/>
                <w:lang w:val="en-ID"/>
              </w:rPr>
              <w:t>&gt;</w:t>
            </w:r>
            <w:r w:rsidR="000A7029" w:rsidRPr="00095A36">
              <w:rPr>
                <w:rFonts w:ascii="Arial" w:hAnsi="Arial" w:cs="Arial"/>
                <w:color w:val="000000"/>
                <w:lang w:val="en-ID"/>
              </w:rPr>
              <w:t xml:space="preserve"> Inclusion (Y)</w:t>
            </w:r>
          </w:p>
        </w:tc>
        <w:tc>
          <w:tcPr>
            <w:tcW w:w="1418" w:type="dxa"/>
            <w:noWrap/>
            <w:vAlign w:val="center"/>
            <w:hideMark/>
          </w:tcPr>
          <w:p w14:paraId="634F3343" w14:textId="77777777"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3.311</w:t>
            </w:r>
          </w:p>
        </w:tc>
        <w:tc>
          <w:tcPr>
            <w:tcW w:w="1134" w:type="dxa"/>
            <w:noWrap/>
            <w:vAlign w:val="center"/>
            <w:hideMark/>
          </w:tcPr>
          <w:p w14:paraId="706E8B3F" w14:textId="31A9994B"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.001</w:t>
            </w:r>
          </w:p>
        </w:tc>
        <w:tc>
          <w:tcPr>
            <w:tcW w:w="1888" w:type="dxa"/>
            <w:noWrap/>
            <w:vAlign w:val="center"/>
            <w:hideMark/>
          </w:tcPr>
          <w:p w14:paraId="5BE0DE08" w14:textId="77777777" w:rsidR="000A7029" w:rsidRPr="00095A36" w:rsidRDefault="000A7029" w:rsidP="002E3784">
            <w:pPr>
              <w:jc w:val="center"/>
              <w:rPr>
                <w:rFonts w:ascii="Arial" w:hAnsi="Arial" w:cs="Arial"/>
                <w:color w:val="000000"/>
                <w:lang w:val="en-ID"/>
              </w:rPr>
            </w:pPr>
            <w:r w:rsidRPr="00095A36">
              <w:rPr>
                <w:rFonts w:ascii="Arial" w:hAnsi="Arial" w:cs="Arial"/>
                <w:color w:val="000000"/>
                <w:lang w:val="en-ID"/>
              </w:rPr>
              <w:t>0.169 (Moderate)</w:t>
            </w:r>
          </w:p>
        </w:tc>
        <w:tc>
          <w:tcPr>
            <w:tcW w:w="1117" w:type="dxa"/>
            <w:noWrap/>
            <w:vAlign w:val="center"/>
            <w:hideMark/>
          </w:tcPr>
          <w:p w14:paraId="5CB2B332" w14:textId="77777777" w:rsidR="000A7029" w:rsidRPr="00095A36" w:rsidRDefault="000A7029" w:rsidP="002E3784">
            <w:pPr>
              <w:jc w:val="center"/>
              <w:rPr>
                <w:rFonts w:ascii="Arial" w:hAnsi="Arial" w:cs="Arial"/>
                <w:b/>
                <w:bCs/>
                <w:color w:val="000000"/>
                <w:lang w:val="en-ID"/>
              </w:rPr>
            </w:pPr>
            <w:r w:rsidRPr="00095A36">
              <w:rPr>
                <w:rFonts w:ascii="Arial" w:hAnsi="Arial" w:cs="Arial"/>
                <w:b/>
                <w:bCs/>
                <w:color w:val="000000"/>
                <w:lang w:val="en-ID"/>
              </w:rPr>
              <w:t>Accepted</w:t>
            </w:r>
          </w:p>
        </w:tc>
      </w:tr>
    </w:tbl>
    <w:p w14:paraId="010BBB2A" w14:textId="1B3FEE08" w:rsidR="00440C20" w:rsidRPr="00095A36" w:rsidRDefault="00440C20" w:rsidP="002E3784">
      <w:pPr>
        <w:pStyle w:val="p1"/>
        <w:jc w:val="center"/>
        <w:rPr>
          <w:color w:val="000000" w:themeColor="text1"/>
        </w:rPr>
      </w:pPr>
      <w:r w:rsidRPr="00095A36">
        <w:rPr>
          <w:i/>
          <w:iCs/>
          <w:color w:val="000000" w:themeColor="text1"/>
        </w:rPr>
        <w:t>Source: Compiled by the author based on the analy</w:t>
      </w:r>
      <w:r w:rsidR="005C3AD4">
        <w:rPr>
          <w:i/>
          <w:iCs/>
          <w:color w:val="000000" w:themeColor="text1"/>
        </w:rPr>
        <w:t>s</w:t>
      </w:r>
      <w:r w:rsidRPr="00095A36">
        <w:rPr>
          <w:i/>
          <w:iCs/>
          <w:color w:val="000000" w:themeColor="text1"/>
        </w:rPr>
        <w:t>ed data</w:t>
      </w:r>
    </w:p>
    <w:p w14:paraId="1955253C" w14:textId="77777777" w:rsidR="000A7029" w:rsidRPr="00095A36" w:rsidRDefault="000A7029" w:rsidP="002E3784">
      <w:pPr>
        <w:pStyle w:val="Body"/>
        <w:spacing w:after="0"/>
        <w:rPr>
          <w:rFonts w:ascii="Arial" w:hAnsi="Arial" w:cs="Arial"/>
          <w:color w:val="000000" w:themeColor="text1"/>
        </w:rPr>
      </w:pPr>
    </w:p>
    <w:p w14:paraId="7F95122B" w14:textId="77777777" w:rsidR="00D7495B" w:rsidRPr="00095A36" w:rsidRDefault="00D7495B" w:rsidP="002E3784">
      <w:pPr>
        <w:pStyle w:val="Body"/>
        <w:spacing w:after="0"/>
        <w:rPr>
          <w:rFonts w:ascii="Arial" w:hAnsi="Arial" w:cs="Arial"/>
          <w:color w:val="EE0000"/>
        </w:rPr>
      </w:pPr>
    </w:p>
    <w:p w14:paraId="7F26CB54" w14:textId="4132ECA4" w:rsidR="00D7495B" w:rsidRPr="00095A36" w:rsidRDefault="00D7495B" w:rsidP="002E3784">
      <w:pPr>
        <w:pStyle w:val="Body"/>
        <w:spacing w:after="0"/>
        <w:rPr>
          <w:rFonts w:ascii="Arial" w:hAnsi="Arial" w:cs="Arial"/>
          <w:b/>
          <w:color w:val="000000" w:themeColor="text1"/>
          <w:sz w:val="22"/>
        </w:rPr>
      </w:pPr>
      <w:r w:rsidRPr="00095A36">
        <w:rPr>
          <w:rFonts w:ascii="Arial" w:hAnsi="Arial" w:cs="Arial"/>
          <w:b/>
          <w:caps/>
          <w:color w:val="000000" w:themeColor="text1"/>
          <w:sz w:val="22"/>
        </w:rPr>
        <w:t>3.</w:t>
      </w:r>
      <w:r w:rsidR="001766EA" w:rsidRPr="00095A36">
        <w:rPr>
          <w:rFonts w:ascii="Arial" w:hAnsi="Arial" w:cs="Arial"/>
          <w:b/>
          <w:caps/>
          <w:color w:val="000000" w:themeColor="text1"/>
          <w:sz w:val="22"/>
        </w:rPr>
        <w:t xml:space="preserve">5 </w:t>
      </w:r>
      <w:r w:rsidR="00E82A5D" w:rsidRPr="00095A36">
        <w:rPr>
          <w:rFonts w:ascii="Arial" w:hAnsi="Arial" w:cs="Arial"/>
          <w:b/>
          <w:color w:val="000000" w:themeColor="text1"/>
          <w:sz w:val="22"/>
        </w:rPr>
        <w:t>Discussion</w:t>
      </w:r>
    </w:p>
    <w:p w14:paraId="1FE39C9A" w14:textId="77777777" w:rsidR="009E0333" w:rsidRPr="00095A36" w:rsidRDefault="009E0333" w:rsidP="002E3784">
      <w:pPr>
        <w:pStyle w:val="Body"/>
        <w:spacing w:after="0"/>
        <w:rPr>
          <w:rFonts w:ascii="Arial" w:hAnsi="Arial" w:cs="Arial"/>
          <w:b/>
          <w:color w:val="000000" w:themeColor="text1"/>
          <w:sz w:val="22"/>
        </w:rPr>
      </w:pPr>
    </w:p>
    <w:p w14:paraId="495D5829" w14:textId="0871FBE2" w:rsidR="00C30A0F" w:rsidRPr="00095A36" w:rsidRDefault="00E82A5D" w:rsidP="002E3784">
      <w:pPr>
        <w:pStyle w:val="Body"/>
        <w:spacing w:after="0"/>
        <w:rPr>
          <w:rFonts w:ascii="Arial" w:hAnsi="Arial" w:cs="Arial"/>
          <w:color w:val="000000" w:themeColor="text1"/>
        </w:rPr>
      </w:pPr>
      <w:r w:rsidRPr="00095A36">
        <w:rPr>
          <w:rFonts w:ascii="Arial" w:hAnsi="Arial" w:cs="Arial"/>
          <w:b/>
          <w:color w:val="000000" w:themeColor="text1"/>
          <w:u w:val="single"/>
        </w:rPr>
        <w:t>3.</w:t>
      </w:r>
      <w:r w:rsidR="001766EA" w:rsidRPr="00095A36">
        <w:rPr>
          <w:rFonts w:ascii="Arial" w:hAnsi="Arial" w:cs="Arial"/>
          <w:b/>
          <w:color w:val="000000" w:themeColor="text1"/>
          <w:u w:val="single"/>
        </w:rPr>
        <w:t>5</w:t>
      </w:r>
      <w:r w:rsidRPr="00095A36">
        <w:rPr>
          <w:rFonts w:ascii="Arial" w:hAnsi="Arial" w:cs="Arial"/>
          <w:b/>
          <w:color w:val="000000" w:themeColor="text1"/>
          <w:u w:val="single"/>
        </w:rPr>
        <w:t>.1 Influence of Government Policy on Digital Financial Inclusion</w:t>
      </w:r>
      <w:r w:rsidR="00C30A0F" w:rsidRPr="00095A36">
        <w:rPr>
          <w:rFonts w:ascii="Arial" w:hAnsi="Arial" w:cs="Arial"/>
          <w:color w:val="000000" w:themeColor="text1"/>
        </w:rPr>
        <w:t xml:space="preserve"> </w:t>
      </w:r>
    </w:p>
    <w:p w14:paraId="1EF566E5" w14:textId="77777777" w:rsidR="009E0333" w:rsidRPr="00095A36" w:rsidRDefault="009E0333" w:rsidP="002E3784">
      <w:pPr>
        <w:pStyle w:val="Body"/>
        <w:spacing w:after="0"/>
        <w:rPr>
          <w:rFonts w:ascii="Arial" w:hAnsi="Arial" w:cs="Arial"/>
          <w:color w:val="000000" w:themeColor="text1"/>
        </w:rPr>
      </w:pPr>
    </w:p>
    <w:p w14:paraId="7D8E27A9" w14:textId="66FBA590" w:rsidR="006D3036" w:rsidRPr="00095A36" w:rsidRDefault="006D3036" w:rsidP="002E3784">
      <w:pPr>
        <w:pStyle w:val="Body"/>
        <w:rPr>
          <w:rFonts w:ascii="Arial" w:hAnsi="Arial" w:cs="Arial"/>
          <w:color w:val="000000" w:themeColor="text1"/>
        </w:rPr>
      </w:pPr>
      <w:r w:rsidRPr="00095A36">
        <w:rPr>
          <w:rFonts w:ascii="Arial" w:hAnsi="Arial" w:cs="Arial"/>
          <w:color w:val="000000" w:themeColor="text1"/>
        </w:rPr>
        <w:t>The results indicate that Government Policy has a beneficial and considerable impact on Digital Financial Inclusion (T</w:t>
      </w:r>
      <w:r w:rsidR="00143C78">
        <w:rPr>
          <w:rFonts w:ascii="Arial" w:hAnsi="Arial" w:cs="Arial"/>
          <w:color w:val="000000" w:themeColor="text1"/>
        </w:rPr>
        <w:t xml:space="preserve"> </w:t>
      </w:r>
      <w:r w:rsidRPr="00095A36">
        <w:rPr>
          <w:rFonts w:ascii="Arial" w:hAnsi="Arial" w:cs="Arial"/>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2.236; </w:t>
      </w:r>
      <w:r w:rsidR="00C0428E" w:rsidRPr="00095A36">
        <w:rPr>
          <w:rFonts w:ascii="Arial" w:hAnsi="Arial" w:cs="Arial"/>
          <w:i/>
          <w:iCs/>
          <w:color w:val="000000" w:themeColor="text1"/>
        </w:rPr>
        <w:t>P</w:t>
      </w:r>
      <w:r w:rsidR="00143C78">
        <w:rPr>
          <w:rFonts w:ascii="Arial" w:hAnsi="Arial" w:cs="Arial"/>
          <w:i/>
          <w:iCs/>
          <w:color w:val="000000" w:themeColor="text1"/>
        </w:rPr>
        <w:t xml:space="preserve"> </w:t>
      </w:r>
      <w:r w:rsidR="00C0428E" w:rsidRPr="00095A36">
        <w:rPr>
          <w:rFonts w:ascii="Arial" w:hAnsi="Arial" w:cs="Arial"/>
          <w:i/>
          <w:iCs/>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.025). This evidence is consistent with Public Policy Theory </w:t>
      </w:r>
      <w:r w:rsidR="00964C99">
        <w:rPr>
          <w:rFonts w:ascii="Arial" w:hAnsi="Arial" w:cs="Arial"/>
          <w:color w:val="000000" w:themeColor="text1"/>
        </w:rPr>
        <w:t xml:space="preserve">bye </w:t>
      </w:r>
      <w:r w:rsidRPr="00095A36">
        <w:rPr>
          <w:rFonts w:ascii="Arial" w:hAnsi="Arial" w:cs="Arial"/>
          <w:color w:val="000000" w:themeColor="text1"/>
        </w:rPr>
        <w:t>Dye</w:t>
      </w:r>
      <w:r w:rsidR="0021283E" w:rsidRPr="00095A36">
        <w:rPr>
          <w:rFonts w:ascii="Arial" w:hAnsi="Arial" w:cs="Arial"/>
          <w:color w:val="000000" w:themeColor="text1"/>
        </w:rPr>
        <w:t xml:space="preserve"> (</w:t>
      </w:r>
      <w:r w:rsidRPr="00095A36">
        <w:rPr>
          <w:rFonts w:ascii="Arial" w:hAnsi="Arial" w:cs="Arial"/>
          <w:color w:val="000000" w:themeColor="text1"/>
        </w:rPr>
        <w:t>2017</w:t>
      </w:r>
      <w:r w:rsidR="0021283E" w:rsidRPr="00095A36">
        <w:rPr>
          <w:rFonts w:ascii="Arial" w:hAnsi="Arial" w:cs="Arial"/>
          <w:color w:val="000000" w:themeColor="text1"/>
        </w:rPr>
        <w:t xml:space="preserve">) </w:t>
      </w:r>
      <w:r w:rsidR="0030409C" w:rsidRPr="00095A36">
        <w:rPr>
          <w:rFonts w:ascii="Arial" w:hAnsi="Arial" w:cs="Arial"/>
          <w:color w:val="000000" w:themeColor="text1"/>
        </w:rPr>
        <w:t>which suggests that government actions such as the P2SK Law and the 2025 Payment System Blueprint from Bank Indonesia establish a framework necessary for embracing financial solutions</w:t>
      </w:r>
      <w:r w:rsidR="00C56EB9">
        <w:rPr>
          <w:rFonts w:ascii="Arial" w:hAnsi="Arial" w:cs="Arial"/>
          <w:color w:val="000000" w:themeColor="text1"/>
        </w:rPr>
        <w:t xml:space="preserve"> </w:t>
      </w:r>
      <w:r w:rsidR="0021283E" w:rsidRPr="00095A36">
        <w:rPr>
          <w:rFonts w:ascii="Arial" w:hAnsi="Arial" w:cs="Arial"/>
          <w:color w:val="000000" w:themeColor="text1"/>
        </w:rPr>
        <w:fldChar w:fldCharType="begin" w:fldLock="1"/>
      </w:r>
      <w:r w:rsidR="0021283E" w:rsidRPr="00095A36">
        <w:rPr>
          <w:rFonts w:ascii="Arial" w:hAnsi="Arial" w:cs="Arial"/>
          <w:color w:val="000000" w:themeColor="text1"/>
        </w:rPr>
        <w:instrText>ADDIN CSL_CITATION {"citationItems":[{"id":"ITEM-1","itemData":{"DOI":"10.1007/978-3-030-99724-3","ISBN":"9783030997243","abstract":"This open access book responds to the need for a specifically African focus on public policy. It outlines the fundamental principles of public policy research, and engages with major issues in the study of public policy from an African perspective, covering essential topics such as the location and centrality of social sciences in relation to public policy, leadership, methodology, institutions, governance, and gender. This book is essential for understanding the various aspects and dimensions of policy making in Africa that underscore quality research and are at the core of excellence in teaching and learning.","author":[{"dropping-particle":"","family":"Remi Aiyede","given":"E.","non-dropping-particle":"","parse-names":false,"suffix":""},{"dropping-particle":"","family":"Muganda","given":"Beatrice","non-dropping-particle":"","parse-names":false,"suffix":""}],"container-title":"Public Policy and Research in Africa","id":"ITEM-1","issued":{"date-parts":[["2022","1","1"]]},"number-of-pages":"1-278","publisher":"Springer International Publishing","title":"Public Policy and Research in Africa","type":"book"},"uris":["http://www.mendeley.com/documents/?uuid=aaf8b6a7-03bd-30ee-a8bf-4554a17127f7"]}],"mendeley":{"formattedCitation":"(Remi Aiyede &amp; Muganda, 2022)","plainTextFormattedCitation":"(Remi Aiyede &amp; Muganda, 2022)","previouslyFormattedCitation":"(Remi Aiyede &amp; Muganda, 2022)"},"properties":{"noteIndex":0},"schema":"https://github.com/citation-style-language/schema/raw/master/csl-citation.json"}</w:instrText>
      </w:r>
      <w:r w:rsidR="0021283E" w:rsidRPr="00095A36">
        <w:rPr>
          <w:rFonts w:ascii="Arial" w:hAnsi="Arial" w:cs="Arial"/>
          <w:color w:val="000000" w:themeColor="text1"/>
        </w:rPr>
        <w:fldChar w:fldCharType="separate"/>
      </w:r>
      <w:r w:rsidR="0021283E" w:rsidRPr="00095A36">
        <w:rPr>
          <w:rFonts w:ascii="Arial" w:hAnsi="Arial" w:cs="Arial"/>
          <w:noProof/>
          <w:color w:val="000000" w:themeColor="text1"/>
        </w:rPr>
        <w:t>(Remi Aiyede &amp; Muganda, 2022)</w:t>
      </w:r>
      <w:r w:rsidR="0021283E" w:rsidRPr="00095A36">
        <w:rPr>
          <w:rFonts w:ascii="Arial" w:hAnsi="Arial" w:cs="Arial"/>
          <w:color w:val="000000" w:themeColor="text1"/>
        </w:rPr>
        <w:fldChar w:fldCharType="end"/>
      </w:r>
      <w:r w:rsidR="0030409C">
        <w:rPr>
          <w:rFonts w:ascii="Arial" w:hAnsi="Arial" w:cs="Arial"/>
          <w:color w:val="000000" w:themeColor="text1"/>
        </w:rPr>
        <w:t>.</w:t>
      </w:r>
    </w:p>
    <w:p w14:paraId="23223216" w14:textId="1BC5CBC6" w:rsidR="00DA5AD5" w:rsidRPr="00095A36" w:rsidRDefault="006D3036" w:rsidP="002E3784">
      <w:pPr>
        <w:pStyle w:val="Body"/>
        <w:spacing w:after="0"/>
        <w:rPr>
          <w:rFonts w:ascii="Arial" w:hAnsi="Arial" w:cs="Arial"/>
          <w:color w:val="000000" w:themeColor="text1"/>
        </w:rPr>
      </w:pPr>
      <w:r w:rsidRPr="00095A36">
        <w:rPr>
          <w:rFonts w:ascii="Arial" w:hAnsi="Arial" w:cs="Arial"/>
          <w:color w:val="000000" w:themeColor="text1"/>
        </w:rPr>
        <w:t xml:space="preserve">Nevertheless, an important observation from this research is the extent of the influence. The effect size </w:t>
      </w:r>
      <w:r w:rsidR="00D47037"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00D47037" w:rsidRPr="00095A36">
        <w:rPr>
          <w:rFonts w:ascii="Arial" w:eastAsia="Calibri" w:hAnsi="Arial" w:cs="Arial"/>
          <w:color w:val="000000" w:themeColor="text1"/>
        </w:rPr>
        <w:t xml:space="preserve">) </w:t>
      </w:r>
      <w:r w:rsidRPr="00095A36">
        <w:rPr>
          <w:rFonts w:ascii="Arial" w:hAnsi="Arial" w:cs="Arial"/>
          <w:color w:val="000000" w:themeColor="text1"/>
        </w:rPr>
        <w:t xml:space="preserve">for Government Policy stands at 0.067, which is classified as a minor effect. This implies that although regulatory structures and services play a crucial role "the highway", they are not the main force driving Gen Z MSMEs. This group, being well-versed in digital technology, might perceive government services as a standard expectation rather than a source of motivation. This finding aligns with observations made by </w:t>
      </w:r>
      <w:r w:rsidR="00C90C1F" w:rsidRPr="00095A36">
        <w:rPr>
          <w:rFonts w:ascii="Arial" w:hAnsi="Arial" w:cs="Arial"/>
          <w:color w:val="000000" w:themeColor="text1"/>
        </w:rPr>
        <w:fldChar w:fldCharType="begin" w:fldLock="1"/>
      </w:r>
      <w:r w:rsidR="0021283E" w:rsidRPr="00095A36">
        <w:rPr>
          <w:rFonts w:ascii="Arial" w:hAnsi="Arial" w:cs="Arial"/>
          <w:color w:val="000000" w:themeColor="text1"/>
        </w:rPr>
        <w:instrText>ADDIN CSL_CITATION {"citationItems":[{"id":"ITEM-1","itemData":{"DOI":"10.51508/intcess.202206","ISBN":"9786050628647","author":[{"dropping-particle":"","family":"Bozhinova","given":"Mariyana","non-dropping-particle":"","parse-names":false,"suffix":""},{"dropping-particle":"","family":"Ganchev","given":"Alexander","non-dropping-particle":"","parse-names":false,"suffix":""}],"id":"ITEM-1","issue":"January","issued":{"date-parts":[["2022"]]},"page":"38-44","title":"Digitalisation of Financial Services and Financial Literacy of Young Generations – Trends, Challenges and Solutions From Bulgarian Practice","type":"article-journal"},"uris":["http://www.mendeley.com/documents/?uuid=7537fb8a-cb86-48a1-b241-b62334ba1d40"]}],"mendeley":{"formattedCitation":"(Bozhinova &amp; Ganchev, 2022)","plainTextFormattedCitation":"(Bozhinova &amp; Ganchev, 2022)","previouslyFormattedCitation":"(Bozhinova &amp; Ganchev, 2022)"},"properties":{"noteIndex":0},"schema":"https://github.com/citation-style-language/schema/raw/master/csl-citation.json"}</w:instrText>
      </w:r>
      <w:r w:rsidR="00C90C1F" w:rsidRPr="00095A36">
        <w:rPr>
          <w:rFonts w:ascii="Arial" w:hAnsi="Arial" w:cs="Arial"/>
          <w:color w:val="000000" w:themeColor="text1"/>
        </w:rPr>
        <w:fldChar w:fldCharType="separate"/>
      </w:r>
      <w:r w:rsidR="00C90C1F" w:rsidRPr="00095A36">
        <w:rPr>
          <w:rFonts w:ascii="Arial" w:hAnsi="Arial" w:cs="Arial"/>
          <w:noProof/>
          <w:color w:val="000000" w:themeColor="text1"/>
        </w:rPr>
        <w:t>(Bozhinova &amp; Ganchev, 2022)</w:t>
      </w:r>
      <w:r w:rsidR="00C90C1F" w:rsidRPr="00095A36">
        <w:rPr>
          <w:rFonts w:ascii="Arial" w:hAnsi="Arial" w:cs="Arial"/>
          <w:color w:val="000000" w:themeColor="text1"/>
        </w:rPr>
        <w:fldChar w:fldCharType="end"/>
      </w:r>
      <w:r w:rsidR="00C90C1F" w:rsidRPr="00095A36">
        <w:rPr>
          <w:rFonts w:ascii="Arial" w:hAnsi="Arial" w:cs="Arial"/>
          <w:color w:val="000000" w:themeColor="text1"/>
        </w:rPr>
        <w:t>,</w:t>
      </w:r>
      <w:r w:rsidRPr="00095A36">
        <w:rPr>
          <w:rFonts w:ascii="Arial" w:hAnsi="Arial" w:cs="Arial"/>
          <w:color w:val="000000" w:themeColor="text1"/>
        </w:rPr>
        <w:t xml:space="preserve"> who pointed out that the effectiveness of policies often depends on the preparedness of the users.</w:t>
      </w:r>
    </w:p>
    <w:p w14:paraId="17F52B70" w14:textId="77777777" w:rsidR="00DA5AD5" w:rsidRPr="00095A36" w:rsidRDefault="00DA5AD5" w:rsidP="002E3784">
      <w:pPr>
        <w:pStyle w:val="Body"/>
        <w:spacing w:after="0"/>
        <w:rPr>
          <w:rFonts w:ascii="Arial" w:hAnsi="Arial" w:cs="Arial"/>
          <w:color w:val="000000" w:themeColor="text1"/>
        </w:rPr>
      </w:pPr>
    </w:p>
    <w:p w14:paraId="3D4E7972" w14:textId="1EBE4C74" w:rsidR="00472DC9" w:rsidRPr="00095A36" w:rsidRDefault="00472DC9" w:rsidP="002E3784">
      <w:pPr>
        <w:pStyle w:val="Body"/>
        <w:spacing w:after="0"/>
        <w:rPr>
          <w:rFonts w:ascii="Arial" w:hAnsi="Arial" w:cs="Arial"/>
          <w:b/>
          <w:color w:val="000000" w:themeColor="text1"/>
          <w:u w:val="single"/>
        </w:rPr>
      </w:pPr>
      <w:r w:rsidRPr="00095A36">
        <w:rPr>
          <w:rFonts w:ascii="Arial" w:hAnsi="Arial" w:cs="Arial"/>
          <w:b/>
          <w:color w:val="000000" w:themeColor="text1"/>
          <w:u w:val="single"/>
        </w:rPr>
        <w:t>3.</w:t>
      </w:r>
      <w:r w:rsidR="001766EA" w:rsidRPr="00095A36">
        <w:rPr>
          <w:rFonts w:ascii="Arial" w:hAnsi="Arial" w:cs="Arial"/>
          <w:b/>
          <w:color w:val="000000" w:themeColor="text1"/>
          <w:u w:val="single"/>
        </w:rPr>
        <w:t>5</w:t>
      </w:r>
      <w:r w:rsidRPr="00095A36">
        <w:rPr>
          <w:rFonts w:ascii="Arial" w:hAnsi="Arial" w:cs="Arial"/>
          <w:b/>
          <w:color w:val="000000" w:themeColor="text1"/>
          <w:u w:val="single"/>
        </w:rPr>
        <w:t xml:space="preserve">.2 </w:t>
      </w:r>
      <w:r w:rsidR="003B2429" w:rsidRPr="00095A36">
        <w:rPr>
          <w:rFonts w:ascii="Arial" w:hAnsi="Arial" w:cs="Arial"/>
          <w:b/>
          <w:color w:val="000000" w:themeColor="text1"/>
          <w:u w:val="single"/>
        </w:rPr>
        <w:t xml:space="preserve">Influence of Digital Financial Literacy on Digital Financial Inclusion </w:t>
      </w:r>
    </w:p>
    <w:p w14:paraId="3CDDF759" w14:textId="77777777" w:rsidR="00944857" w:rsidRPr="00095A36" w:rsidRDefault="00944857" w:rsidP="002E3784">
      <w:pPr>
        <w:pStyle w:val="Body"/>
        <w:spacing w:after="0"/>
        <w:rPr>
          <w:rFonts w:ascii="Arial" w:hAnsi="Arial" w:cs="Arial"/>
          <w:color w:val="000000" w:themeColor="text1"/>
        </w:rPr>
      </w:pPr>
    </w:p>
    <w:p w14:paraId="115931D9" w14:textId="2F85166B" w:rsidR="001766EA" w:rsidRPr="00095A36" w:rsidRDefault="001766EA" w:rsidP="002E3784">
      <w:pPr>
        <w:pStyle w:val="Body"/>
        <w:rPr>
          <w:rFonts w:ascii="Arial" w:hAnsi="Arial" w:cs="Arial"/>
          <w:color w:val="000000" w:themeColor="text1"/>
        </w:rPr>
      </w:pPr>
      <w:r w:rsidRPr="00095A36">
        <w:rPr>
          <w:rFonts w:ascii="Arial" w:hAnsi="Arial" w:cs="Arial"/>
          <w:color w:val="000000" w:themeColor="text1"/>
        </w:rPr>
        <w:t>Digital Financial Literacy has proven to be a more significant factor, showing a strong and noteworthy impact (T</w:t>
      </w:r>
      <w:r w:rsidR="00143C78">
        <w:rPr>
          <w:rFonts w:ascii="Arial" w:hAnsi="Arial" w:cs="Arial"/>
          <w:color w:val="000000" w:themeColor="text1"/>
        </w:rPr>
        <w:t xml:space="preserve"> </w:t>
      </w:r>
      <w:r w:rsidRPr="00095A36">
        <w:rPr>
          <w:rFonts w:ascii="Arial" w:hAnsi="Arial" w:cs="Arial"/>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3.311;</w:t>
      </w:r>
      <w:r w:rsidR="003529A0" w:rsidRPr="00095A36">
        <w:rPr>
          <w:rFonts w:ascii="Arial" w:hAnsi="Arial" w:cs="Arial"/>
          <w:color w:val="000000" w:themeColor="text1"/>
        </w:rPr>
        <w:t xml:space="preserve"> </w:t>
      </w:r>
      <w:r w:rsidR="00C0428E" w:rsidRPr="00095A36">
        <w:rPr>
          <w:rFonts w:ascii="Arial" w:hAnsi="Arial" w:cs="Arial"/>
          <w:i/>
          <w:iCs/>
          <w:color w:val="000000" w:themeColor="text1"/>
        </w:rPr>
        <w:t>P</w:t>
      </w:r>
      <w:r w:rsidR="00143C78">
        <w:rPr>
          <w:rFonts w:ascii="Arial" w:hAnsi="Arial" w:cs="Arial"/>
          <w:i/>
          <w:iCs/>
          <w:color w:val="000000" w:themeColor="text1"/>
        </w:rPr>
        <w:t xml:space="preserve"> </w:t>
      </w:r>
      <w:r w:rsidR="00C0428E" w:rsidRPr="00095A36">
        <w:rPr>
          <w:rFonts w:ascii="Arial" w:hAnsi="Arial" w:cs="Arial"/>
          <w:i/>
          <w:iCs/>
          <w:color w:val="000000" w:themeColor="text1"/>
        </w:rPr>
        <w:t>=</w:t>
      </w:r>
      <w:r w:rsidR="00143C78">
        <w:rPr>
          <w:rFonts w:ascii="Arial" w:hAnsi="Arial" w:cs="Arial"/>
          <w:color w:val="000000" w:themeColor="text1"/>
        </w:rPr>
        <w:t xml:space="preserve"> </w:t>
      </w:r>
      <w:r w:rsidRPr="00095A36">
        <w:rPr>
          <w:rFonts w:ascii="Arial" w:hAnsi="Arial" w:cs="Arial"/>
          <w:color w:val="000000" w:themeColor="text1"/>
        </w:rPr>
        <w:t xml:space="preserve">.001) along with a moderate effect size </w:t>
      </w:r>
      <w:r w:rsidR="00D47037" w:rsidRPr="00095A36">
        <w:rPr>
          <w:rFonts w:ascii="Arial" w:eastAsia="Calibri" w:hAnsi="Arial" w:cs="Arial"/>
          <w:color w:val="000000" w:themeColor="text1"/>
        </w:rPr>
        <w:t>(</w:t>
      </w:r>
      <m:oMath>
        <m:sSup>
          <m:sSupPr>
            <m:ctrlPr>
              <w:rPr>
                <w:rFonts w:ascii="Cambria Math" w:eastAsia="Calibri" w:hAnsi="Cambria Math" w:cs="Arial"/>
                <w:i/>
                <w:color w:val="000000" w:themeColor="text1"/>
              </w:rPr>
            </m:ctrlPr>
          </m:sSupPr>
          <m:e>
            <m:r>
              <w:rPr>
                <w:rFonts w:ascii="Cambria Math" w:eastAsia="Calibri" w:hAnsi="Cambria Math" w:cs="Arial"/>
                <w:color w:val="000000" w:themeColor="text1"/>
              </w:rPr>
              <m:t>f</m:t>
            </m:r>
          </m:e>
          <m:sup>
            <m:r>
              <w:rPr>
                <w:rFonts w:ascii="Cambria Math" w:eastAsia="Calibri" w:hAnsi="Cambria Math" w:cs="Arial"/>
                <w:color w:val="000000" w:themeColor="text1"/>
              </w:rPr>
              <m:t>2</m:t>
            </m:r>
          </m:sup>
        </m:sSup>
      </m:oMath>
      <w:r w:rsidRPr="00095A36">
        <w:rPr>
          <w:rFonts w:ascii="Arial" w:hAnsi="Arial" w:cs="Arial"/>
          <w:color w:val="000000" w:themeColor="text1"/>
        </w:rPr>
        <w:t xml:space="preserve">=0.169). This </w:t>
      </w:r>
      <w:r w:rsidRPr="00095A36">
        <w:rPr>
          <w:rFonts w:ascii="Arial" w:hAnsi="Arial" w:cs="Arial"/>
          <w:color w:val="000000" w:themeColor="text1"/>
        </w:rPr>
        <w:lastRenderedPageBreak/>
        <w:t xml:space="preserve">result aligns well with Human Capital Theory </w:t>
      </w:r>
      <w:r w:rsidR="0021283E" w:rsidRPr="00095A36">
        <w:rPr>
          <w:rFonts w:ascii="Arial" w:hAnsi="Arial" w:cs="Arial"/>
          <w:color w:val="000000" w:themeColor="text1"/>
        </w:rPr>
        <w:t xml:space="preserve">Becker (1964) </w:t>
      </w:r>
      <w:r w:rsidR="006B188C" w:rsidRPr="00095A36">
        <w:rPr>
          <w:rFonts w:ascii="Arial" w:hAnsi="Arial" w:cs="Arial"/>
          <w:color w:val="000000" w:themeColor="text1"/>
        </w:rPr>
        <w:t>which suggests that literacy functions as an intangible asset that boosts economic productivity</w:t>
      </w:r>
      <w:r w:rsidR="006B188C">
        <w:rPr>
          <w:rFonts w:ascii="Arial" w:hAnsi="Arial" w:cs="Arial"/>
          <w:color w:val="000000" w:themeColor="text1"/>
        </w:rPr>
        <w:t xml:space="preserve"> </w:t>
      </w:r>
      <w:r w:rsidR="0021283E" w:rsidRPr="00095A36">
        <w:rPr>
          <w:rFonts w:ascii="Arial" w:hAnsi="Arial" w:cs="Arial"/>
          <w:color w:val="000000" w:themeColor="text1"/>
        </w:rPr>
        <w:fldChar w:fldCharType="begin" w:fldLock="1"/>
      </w:r>
      <w:r w:rsidR="0021283E" w:rsidRPr="00095A36">
        <w:rPr>
          <w:rFonts w:ascii="Arial" w:hAnsi="Arial" w:cs="Arial"/>
          <w:color w:val="000000" w:themeColor="text1"/>
        </w:rPr>
        <w:instrText>ADDIN CSL_CITATION {"citationItems":[{"id":"ITEM-1","itemData":{"DOI":"10.1186/s40172-014-0012-2","abstract":"In a prolific and illustrious career, the late Gary Becker (1930–2014) developed whathe would later call \"the economic approach to human behaviour\". One of the mostsignificant strands of that research was that which focused on human capital,occuping a significant part of his career, especially in his early years. In this paper wewill focus on Becker’s early work in human capital up to the publication of his bookin 1964, a period that laid the foundations for his career and in which he tested thepossibilities of (and the resistance to) this economic approach to human behaviour.We will explore the context in which the book was developed and the interactionswith other people that were laying the foundations for human capital research,namely those working at the Chicago and Columbia Departments of Economics.","author":[{"dropping-particle":"","family":"Teixeira","given":"Pedro Nuno","non-dropping-particle":"","parse-names":false,"suffix":""}],"container-title":"IZA Journal of Labor Economics","id":"ITEM-1","issue":"12","issued":{"date-parts":[["2014"]]},"page":"1-20","title":"Gary Beckers early work on human capital - collaborations and distinctiveness","type":"article-journal","volume":"3"},"uris":["http://www.mendeley.com/documents/?uuid=67374479-6941-4be4-94b3-d27d1550c4bb"]}],"mendeley":{"formattedCitation":"(Teixeira, 2014)","plainTextFormattedCitation":"(Teixeira, 2014)","previouslyFormattedCitation":"(Teixeira, 2014)"},"properties":{"noteIndex":0},"schema":"https://github.com/citation-style-language/schema/raw/master/csl-citation.json"}</w:instrText>
      </w:r>
      <w:r w:rsidR="0021283E" w:rsidRPr="00095A36">
        <w:rPr>
          <w:rFonts w:ascii="Arial" w:hAnsi="Arial" w:cs="Arial"/>
          <w:color w:val="000000" w:themeColor="text1"/>
        </w:rPr>
        <w:fldChar w:fldCharType="separate"/>
      </w:r>
      <w:r w:rsidR="0021283E" w:rsidRPr="00095A36">
        <w:rPr>
          <w:rFonts w:ascii="Arial" w:hAnsi="Arial" w:cs="Arial"/>
          <w:noProof/>
          <w:color w:val="000000" w:themeColor="text1"/>
        </w:rPr>
        <w:t>(Teixeira, 2014)</w:t>
      </w:r>
      <w:r w:rsidR="0021283E" w:rsidRPr="00095A36">
        <w:rPr>
          <w:rFonts w:ascii="Arial" w:hAnsi="Arial" w:cs="Arial"/>
          <w:color w:val="000000" w:themeColor="text1"/>
        </w:rPr>
        <w:fldChar w:fldCharType="end"/>
      </w:r>
      <w:r w:rsidRPr="00095A36">
        <w:rPr>
          <w:rFonts w:ascii="Arial" w:hAnsi="Arial" w:cs="Arial"/>
          <w:color w:val="000000" w:themeColor="text1"/>
        </w:rPr>
        <w:t xml:space="preserve">, </w:t>
      </w:r>
    </w:p>
    <w:p w14:paraId="0695D20D" w14:textId="04D0547C" w:rsidR="00472DC9" w:rsidRPr="00095A36" w:rsidRDefault="001766EA" w:rsidP="002E3784">
      <w:pPr>
        <w:pStyle w:val="Body"/>
        <w:spacing w:after="0"/>
        <w:rPr>
          <w:rFonts w:ascii="Arial" w:hAnsi="Arial" w:cs="Arial"/>
          <w:color w:val="000000" w:themeColor="text1"/>
        </w:rPr>
      </w:pPr>
      <w:r w:rsidRPr="00095A36">
        <w:rPr>
          <w:rFonts w:ascii="Arial" w:hAnsi="Arial" w:cs="Arial"/>
          <w:color w:val="000000" w:themeColor="text1"/>
        </w:rPr>
        <w:t>For Gen Z MSMEs in East Java, literacy goes beyond just basic information</w:t>
      </w:r>
      <w:r w:rsidR="00FC3580" w:rsidRPr="00095A36">
        <w:rPr>
          <w:rFonts w:ascii="Arial" w:hAnsi="Arial" w:cs="Arial"/>
          <w:color w:val="000000" w:themeColor="text1"/>
        </w:rPr>
        <w:t>,</w:t>
      </w:r>
      <w:r w:rsidR="00AE331F" w:rsidRPr="00095A36">
        <w:rPr>
          <w:rFonts w:ascii="Arial" w:hAnsi="Arial" w:cs="Arial"/>
          <w:color w:val="000000" w:themeColor="text1"/>
        </w:rPr>
        <w:t xml:space="preserve"> </w:t>
      </w:r>
      <w:r w:rsidRPr="00095A36">
        <w:rPr>
          <w:rFonts w:ascii="Arial" w:hAnsi="Arial" w:cs="Arial"/>
          <w:color w:val="000000" w:themeColor="text1"/>
        </w:rPr>
        <w:t>it represents a practical skill. The descriptive analysis indicates that these business owners excel particularly in security practices, like keeping PINs confidential (Mean 4</w:t>
      </w:r>
      <w:r w:rsidR="003B4B6E">
        <w:rPr>
          <w:rFonts w:ascii="Arial" w:hAnsi="Arial" w:cs="Arial"/>
          <w:color w:val="000000" w:themeColor="text1"/>
        </w:rPr>
        <w:t>.</w:t>
      </w:r>
      <w:r w:rsidRPr="00095A36">
        <w:rPr>
          <w:rFonts w:ascii="Arial" w:hAnsi="Arial" w:cs="Arial"/>
          <w:color w:val="000000" w:themeColor="text1"/>
        </w:rPr>
        <w:t>12). This high standard of</w:t>
      </w:r>
      <w:r w:rsidR="0021283E" w:rsidRPr="00095A36">
        <w:rPr>
          <w:rFonts w:ascii="Arial" w:hAnsi="Arial" w:cs="Arial"/>
          <w:color w:val="000000" w:themeColor="text1"/>
        </w:rPr>
        <w:t xml:space="preserve"> </w:t>
      </w:r>
      <w:r w:rsidRPr="00095A36">
        <w:rPr>
          <w:rFonts w:ascii="Arial" w:hAnsi="Arial" w:cs="Arial"/>
          <w:color w:val="000000" w:themeColor="text1"/>
        </w:rPr>
        <w:t xml:space="preserve">"digital hygiene" lessens the perceived risks associated with adopting fintech, facilitating faster inclusion. This aligns with </w:t>
      </w:r>
      <w:r w:rsidR="0021283E" w:rsidRPr="00095A36">
        <w:rPr>
          <w:rFonts w:ascii="Arial" w:hAnsi="Arial" w:cs="Arial"/>
          <w:color w:val="000000" w:themeColor="text1"/>
        </w:rPr>
        <w:fldChar w:fldCharType="begin" w:fldLock="1"/>
      </w:r>
      <w:r w:rsidR="0021283E" w:rsidRPr="00095A36">
        <w:rPr>
          <w:rFonts w:ascii="Arial" w:hAnsi="Arial" w:cs="Arial"/>
          <w:color w:val="000000" w:themeColor="text1"/>
        </w:rPr>
        <w:instrText>ADDIN CSL_CITATION {"citationItems":[{"id":"ITEM-1","itemData":{"DOI":"10.1080/23311975.2024.2322778","ISSN":"23311975","abstract":"This study aims to answer the impact of digital financial literacy (DFL) and the demographic factors on digital financial inclusion (DFI). This model employed the independent variables that consist of digital financial literacy and demographic factors including gender, age, occupation, marital status, income. By applying purposive sampling, this study collected the data from 160 households who have minimum one banks’ accounts. To answer the research hypotheses, this study analyzed the data using binary logistic regression that categorized sample into DFI or otherwise. Based on the model fit test, the findings showed that DFL and demographic factors affect DFI. The effect of gender and marital status showed an insignificant effect on DFI. Conversely, DFL and other demographic factors including age, income, occupation significantly explain DFI in Indonesian household. The model can predict 84.4% respondents in a correct classification as DFI or otherwise.","author":[{"dropping-particle":"","family":"Widyastuti","given":"Umi","non-dropping-particle":"","parse-names":false,"suffix":""},{"dropping-particle":"","family":"Respati","given":"Dwi Kismayanti","non-dropping-particle":"","parse-names":false,"suffix":""},{"dropping-particle":"","family":"Dewi","given":"Vera Intanie","non-dropping-particle":"","parse-names":false,"suffix":""},{"dropping-particle":"","family":"Soma","given":"Abdul Mukti","non-dropping-particle":"","parse-names":false,"suffix":""}],"container-title":"Cogent Business and Management","id":"ITEM-1","issue":"1","issued":{"date-parts":[["2024"]]},"page":"-","publisher":"Cogent","title":"The Nexus of Digital Financial Inclusion, Digital Financial Literacy and Demographic Factors: Lesson From Indonesia","type":"article-journal","volume":"11"},"uris":["http://www.mendeley.com/documents/?uuid=6a8810db-cc7e-4f5f-9024-ea48848e28db"]}],"mendeley":{"formattedCitation":"(Widyastuti et al., 2024)","plainTextFormattedCitation":"(Widyastuti et al., 2024)","previouslyFormattedCitation":"(Widyastuti et al., 2024)"},"properties":{"noteIndex":0},"schema":"https://github.com/citation-style-language/schema/raw/master/csl-citation.json"}</w:instrText>
      </w:r>
      <w:r w:rsidR="0021283E" w:rsidRPr="00095A36">
        <w:rPr>
          <w:rFonts w:ascii="Arial" w:hAnsi="Arial" w:cs="Arial"/>
          <w:color w:val="000000" w:themeColor="text1"/>
        </w:rPr>
        <w:fldChar w:fldCharType="separate"/>
      </w:r>
      <w:r w:rsidR="0021283E" w:rsidRPr="00095A36">
        <w:rPr>
          <w:rFonts w:ascii="Arial" w:hAnsi="Arial" w:cs="Arial"/>
          <w:noProof/>
          <w:color w:val="000000" w:themeColor="text1"/>
        </w:rPr>
        <w:t>(Widyastuti et al., 2024)</w:t>
      </w:r>
      <w:r w:rsidR="0021283E" w:rsidRPr="00095A36">
        <w:rPr>
          <w:rFonts w:ascii="Arial" w:hAnsi="Arial" w:cs="Arial"/>
          <w:color w:val="000000" w:themeColor="text1"/>
        </w:rPr>
        <w:fldChar w:fldCharType="end"/>
      </w:r>
      <w:r w:rsidR="0021283E" w:rsidRPr="00095A36">
        <w:rPr>
          <w:rFonts w:ascii="Arial" w:hAnsi="Arial" w:cs="Arial"/>
          <w:color w:val="000000" w:themeColor="text1"/>
        </w:rPr>
        <w:t>,</w:t>
      </w:r>
      <w:r w:rsidRPr="00095A36">
        <w:rPr>
          <w:rFonts w:ascii="Arial" w:hAnsi="Arial" w:cs="Arial"/>
          <w:color w:val="000000" w:themeColor="text1"/>
        </w:rPr>
        <w:t xml:space="preserve"> who stated that managing digital risks is crucial for being an active user. The findings suggest that reducing the "access without literacy" gap is a more powerful strategy for fostering inclusion than merely expanding infrastructure.</w:t>
      </w:r>
    </w:p>
    <w:p w14:paraId="1D0C0439" w14:textId="77777777" w:rsidR="00505F06" w:rsidRPr="00095A36" w:rsidRDefault="00505F06" w:rsidP="002E3784">
      <w:pPr>
        <w:pStyle w:val="Body"/>
        <w:spacing w:after="0"/>
        <w:rPr>
          <w:rFonts w:ascii="Arial" w:hAnsi="Arial" w:cs="Arial"/>
          <w:color w:val="EE0000"/>
        </w:rPr>
      </w:pPr>
    </w:p>
    <w:p w14:paraId="125CB77F" w14:textId="1C410BF8" w:rsidR="00AE768C" w:rsidRPr="00095A36" w:rsidRDefault="00AE768C" w:rsidP="002E3784">
      <w:pPr>
        <w:pStyle w:val="Body"/>
        <w:spacing w:after="0"/>
        <w:rPr>
          <w:rFonts w:ascii="Arial" w:hAnsi="Arial" w:cs="Arial"/>
          <w:b/>
          <w:color w:val="000000" w:themeColor="text1"/>
          <w:u w:val="single"/>
        </w:rPr>
      </w:pPr>
      <w:r w:rsidRPr="00095A36">
        <w:rPr>
          <w:rFonts w:ascii="Arial" w:hAnsi="Arial" w:cs="Arial"/>
          <w:b/>
          <w:color w:val="000000" w:themeColor="text1"/>
          <w:u w:val="single"/>
        </w:rPr>
        <w:t>3.</w:t>
      </w:r>
      <w:r w:rsidR="003400F6" w:rsidRPr="00095A36">
        <w:rPr>
          <w:rFonts w:ascii="Arial" w:hAnsi="Arial" w:cs="Arial"/>
          <w:b/>
          <w:color w:val="000000" w:themeColor="text1"/>
          <w:u w:val="single"/>
        </w:rPr>
        <w:t>5</w:t>
      </w:r>
      <w:r w:rsidRPr="00095A36">
        <w:rPr>
          <w:rFonts w:ascii="Arial" w:hAnsi="Arial" w:cs="Arial"/>
          <w:b/>
          <w:color w:val="000000" w:themeColor="text1"/>
          <w:u w:val="single"/>
        </w:rPr>
        <w:t xml:space="preserve">.3 </w:t>
      </w:r>
      <w:r w:rsidR="001C1C2E" w:rsidRPr="00095A36">
        <w:rPr>
          <w:rFonts w:ascii="Arial" w:hAnsi="Arial" w:cs="Arial"/>
          <w:b/>
          <w:color w:val="000000" w:themeColor="text1"/>
          <w:u w:val="single"/>
        </w:rPr>
        <w:t xml:space="preserve">Simultaneous </w:t>
      </w:r>
      <w:r w:rsidRPr="00095A36">
        <w:rPr>
          <w:rFonts w:ascii="Arial" w:hAnsi="Arial" w:cs="Arial"/>
          <w:b/>
          <w:color w:val="000000" w:themeColor="text1"/>
          <w:u w:val="single"/>
        </w:rPr>
        <w:t>In</w:t>
      </w:r>
      <w:r w:rsidR="001C1C2E" w:rsidRPr="00095A36">
        <w:rPr>
          <w:rFonts w:ascii="Arial" w:hAnsi="Arial" w:cs="Arial"/>
          <w:b/>
          <w:color w:val="000000" w:themeColor="text1"/>
          <w:u w:val="single"/>
        </w:rPr>
        <w:t>f</w:t>
      </w:r>
      <w:r w:rsidRPr="00095A36">
        <w:rPr>
          <w:rFonts w:ascii="Arial" w:hAnsi="Arial" w:cs="Arial"/>
          <w:b/>
          <w:color w:val="000000" w:themeColor="text1"/>
          <w:u w:val="single"/>
        </w:rPr>
        <w:t>luence</w:t>
      </w:r>
      <w:r w:rsidR="001C1C2E" w:rsidRPr="00095A36">
        <w:rPr>
          <w:rFonts w:ascii="Arial" w:hAnsi="Arial" w:cs="Arial"/>
          <w:b/>
          <w:color w:val="000000" w:themeColor="text1"/>
          <w:u w:val="single"/>
        </w:rPr>
        <w:t xml:space="preserve"> </w:t>
      </w:r>
    </w:p>
    <w:p w14:paraId="3585824A" w14:textId="77777777" w:rsidR="00F30238" w:rsidRPr="00095A36" w:rsidRDefault="00F30238" w:rsidP="002E3784">
      <w:pPr>
        <w:pStyle w:val="Body"/>
        <w:spacing w:after="0"/>
        <w:rPr>
          <w:rFonts w:ascii="Arial" w:hAnsi="Arial" w:cs="Arial"/>
          <w:color w:val="000000" w:themeColor="text1"/>
        </w:rPr>
      </w:pPr>
    </w:p>
    <w:p w14:paraId="2FDFF718" w14:textId="26DC68F0" w:rsidR="003400F6" w:rsidRPr="00095A36" w:rsidRDefault="003400F6" w:rsidP="002E3784">
      <w:pPr>
        <w:pStyle w:val="Body"/>
        <w:rPr>
          <w:rFonts w:ascii="Arial" w:hAnsi="Arial" w:cs="Arial"/>
          <w:color w:val="000000" w:themeColor="text1"/>
        </w:rPr>
      </w:pPr>
      <w:r w:rsidRPr="00095A36">
        <w:rPr>
          <w:rFonts w:ascii="Arial" w:hAnsi="Arial" w:cs="Arial"/>
          <w:color w:val="000000" w:themeColor="text1"/>
        </w:rPr>
        <w:t xml:space="preserve">At the same time, Government Policies and Digital Financial Literacy play crucial roles in fostering Digital Financial Inclusion, </w:t>
      </w:r>
      <w:r w:rsidR="00204303">
        <w:rPr>
          <w:rFonts w:ascii="Arial" w:hAnsi="Arial" w:cs="Arial"/>
          <w:color w:val="000000" w:themeColor="text1"/>
        </w:rPr>
        <w:t>a</w:t>
      </w:r>
      <w:r w:rsidR="000D20C4" w:rsidRPr="000D20C4">
        <w:rPr>
          <w:rFonts w:ascii="Arial" w:hAnsi="Arial" w:cs="Arial"/>
          <w:color w:val="000000" w:themeColor="text1"/>
        </w:rPr>
        <w:t xml:space="preserve">s shown in the results section, the </w:t>
      </w:r>
      <m:oMath>
        <m:sSub>
          <m:sSubPr>
            <m:ctrlPr>
              <w:rPr>
                <w:rFonts w:ascii="Cambria Math" w:eastAsia="Calibri" w:hAnsi="Cambria Math"/>
                <w:i/>
                <w:color w:val="000000" w:themeColor="text1"/>
              </w:rPr>
            </m:ctrlPr>
          </m:sSubPr>
          <m:e>
            <m:r>
              <w:rPr>
                <w:rFonts w:ascii="Cambria Math" w:eastAsia="Calibri" w:hAnsi="Cambria Math"/>
                <w:color w:val="000000" w:themeColor="text1"/>
              </w:rPr>
              <m:t>F</m:t>
            </m:r>
          </m:e>
          <m:sub>
            <m:r>
              <w:rPr>
                <w:rFonts w:ascii="Cambria Math" w:eastAsia="Calibri" w:hAnsi="Cambria Math"/>
                <w:color w:val="000000" w:themeColor="text1"/>
              </w:rPr>
              <m:t>count</m:t>
            </m:r>
          </m:sub>
        </m:sSub>
        <m:r>
          <w:rPr>
            <w:rFonts w:ascii="Cambria Math" w:eastAsia="Calibri" w:hAnsi="Cambria Math"/>
            <w:color w:val="000000" w:themeColor="text1"/>
          </w:rPr>
          <m:t xml:space="preserve"> </m:t>
        </m:r>
      </m:oMath>
      <w:r w:rsidR="000D20C4" w:rsidRPr="000D20C4">
        <w:rPr>
          <w:rFonts w:ascii="Arial" w:hAnsi="Arial" w:cs="Arial"/>
          <w:color w:val="000000" w:themeColor="text1"/>
        </w:rPr>
        <w:t xml:space="preserve"> of 62.34 (which is well above the critical threshold) offers strong statistical proof of this combined effect. This indicates a supportive connection between overarching structural assistance and individual skill development.</w:t>
      </w:r>
    </w:p>
    <w:p w14:paraId="1A3E787F" w14:textId="2EFEA37C" w:rsidR="003400F6" w:rsidRPr="00095A36" w:rsidRDefault="003400F6" w:rsidP="002E3784">
      <w:pPr>
        <w:pStyle w:val="Body"/>
        <w:rPr>
          <w:rFonts w:ascii="Arial" w:hAnsi="Arial" w:cs="Arial"/>
          <w:color w:val="000000" w:themeColor="text1"/>
        </w:rPr>
      </w:pPr>
      <w:r w:rsidRPr="00095A36">
        <w:rPr>
          <w:rFonts w:ascii="Arial" w:hAnsi="Arial" w:cs="Arial"/>
          <w:color w:val="000000" w:themeColor="text1"/>
        </w:rPr>
        <w:t xml:space="preserve">In this context, Digital Financial Literacy is likened to the "driving skills," while Government Policy serves as the "secure road. " Both elements are essential. Without proper knowledge, the advanced systems developed by the government, such as QRIS or digital banking, may not be used effectively and could even facilitate fraud. On the other hand, entrepreneurs who possess strong financial literacy may struggle to succeed without a well-regulated, safe, and accessible digital environment. </w:t>
      </w:r>
    </w:p>
    <w:p w14:paraId="09F82F46" w14:textId="0C386156" w:rsidR="00AE768C" w:rsidRPr="00095A36" w:rsidRDefault="003400F6" w:rsidP="002E3784">
      <w:pPr>
        <w:pStyle w:val="Body"/>
        <w:spacing w:after="0"/>
        <w:rPr>
          <w:rFonts w:ascii="Arial" w:hAnsi="Arial" w:cs="Arial"/>
          <w:b/>
          <w:bCs/>
          <w:color w:val="000000" w:themeColor="text1"/>
        </w:rPr>
      </w:pPr>
      <w:r w:rsidRPr="00095A36">
        <w:rPr>
          <w:rFonts w:ascii="Arial" w:hAnsi="Arial" w:cs="Arial"/>
          <w:color w:val="000000" w:themeColor="text1"/>
        </w:rPr>
        <w:t>Although the model accounts for 24.6% of the variability</w:t>
      </w:r>
      <w:r w:rsidR="00B231E7" w:rsidRPr="00095A36">
        <w:rPr>
          <w:rFonts w:ascii="Arial" w:hAnsi="Arial" w:cs="Arial"/>
          <w:color w:val="000000" w:themeColor="text1"/>
        </w:rPr>
        <w:t xml:space="preserve">, </w:t>
      </w:r>
      <w:r w:rsidRPr="00095A36">
        <w:rPr>
          <w:rFonts w:ascii="Arial" w:hAnsi="Arial" w:cs="Arial"/>
          <w:color w:val="000000" w:themeColor="text1"/>
        </w:rPr>
        <w:t>a reasonable figure for behavioral social science underscores that close to a quarter of the decision to engage with digital finance is influenced by this collaboration. The other 75.4% of the variability is probably linked to unseen factors like access to capital, social pressures, or market dynamics. Nonetheless, the research emphasizes that combining supportive policy with strong literacy is crucial for fostering inclusive growth in the digital economy.</w:t>
      </w:r>
    </w:p>
    <w:p w14:paraId="3EC851D8" w14:textId="33EF8772" w:rsidR="00790ADA" w:rsidRPr="00095A36" w:rsidRDefault="00790ADA" w:rsidP="002E3784">
      <w:pPr>
        <w:pStyle w:val="Body"/>
        <w:spacing w:after="0"/>
        <w:rPr>
          <w:rFonts w:ascii="Arial" w:hAnsi="Arial" w:cs="Arial"/>
          <w:color w:val="EE0000"/>
        </w:rPr>
      </w:pPr>
    </w:p>
    <w:p w14:paraId="0F515ED8" w14:textId="08226CFA" w:rsidR="00B85323" w:rsidRPr="00095A36" w:rsidRDefault="00000F8F" w:rsidP="002E3784">
      <w:pPr>
        <w:pStyle w:val="ConcHead"/>
        <w:spacing w:after="0"/>
        <w:jc w:val="both"/>
        <w:rPr>
          <w:rFonts w:ascii="Arial" w:hAnsi="Arial" w:cs="Arial"/>
        </w:rPr>
      </w:pPr>
      <w:r w:rsidRPr="00095A36">
        <w:rPr>
          <w:rFonts w:ascii="Arial" w:hAnsi="Arial" w:cs="Arial"/>
        </w:rPr>
        <w:t xml:space="preserve">4. </w:t>
      </w:r>
      <w:r w:rsidR="00B01FCD" w:rsidRPr="00095A36">
        <w:rPr>
          <w:rFonts w:ascii="Arial" w:hAnsi="Arial" w:cs="Arial"/>
        </w:rPr>
        <w:t>Conclusion</w:t>
      </w:r>
    </w:p>
    <w:p w14:paraId="51A4943A" w14:textId="77777777" w:rsidR="00932AB9" w:rsidRPr="00095A36" w:rsidRDefault="00932AB9" w:rsidP="002E3784">
      <w:pPr>
        <w:pStyle w:val="ConcHead"/>
        <w:spacing w:after="0"/>
        <w:jc w:val="both"/>
        <w:rPr>
          <w:rFonts w:ascii="Arial" w:hAnsi="Arial" w:cs="Arial"/>
        </w:rPr>
      </w:pPr>
    </w:p>
    <w:p w14:paraId="6393720E" w14:textId="57017CF2" w:rsidR="004D55B1" w:rsidRPr="00095A36" w:rsidRDefault="00B85323" w:rsidP="002E3784">
      <w:pPr>
        <w:pStyle w:val="Body"/>
        <w:spacing w:after="0"/>
        <w:rPr>
          <w:rFonts w:ascii="Arial" w:hAnsi="Arial" w:cs="Arial"/>
        </w:rPr>
      </w:pPr>
      <w:r w:rsidRPr="00095A36">
        <w:rPr>
          <w:rFonts w:ascii="Arial" w:hAnsi="Arial" w:cs="Arial"/>
        </w:rPr>
        <w:t>This research finds that</w:t>
      </w:r>
      <w:r w:rsidR="001E5DE6" w:rsidRPr="00095A36">
        <w:rPr>
          <w:rFonts w:ascii="Arial" w:hAnsi="Arial" w:cs="Arial"/>
        </w:rPr>
        <w:t xml:space="preserve"> </w:t>
      </w:r>
      <w:r w:rsidRPr="00095A36">
        <w:rPr>
          <w:rFonts w:ascii="Arial" w:hAnsi="Arial" w:cs="Arial"/>
        </w:rPr>
        <w:t>Government Policies have a beneficial and substantial impact on Digital Financial Inclusion</w:t>
      </w:r>
      <w:r w:rsidR="00315899" w:rsidRPr="00095A36">
        <w:rPr>
          <w:rFonts w:ascii="Arial" w:hAnsi="Arial" w:cs="Arial"/>
        </w:rPr>
        <w:t xml:space="preserve">, </w:t>
      </w:r>
      <w:r w:rsidRPr="00095A36">
        <w:rPr>
          <w:rFonts w:ascii="Arial" w:hAnsi="Arial" w:cs="Arial"/>
        </w:rPr>
        <w:t>Digital Financial Literacy also has a positive and significant impact on Digital Financial Inclusion,</w:t>
      </w:r>
      <w:r w:rsidR="001E5DE6" w:rsidRPr="00095A36">
        <w:rPr>
          <w:rFonts w:ascii="Arial" w:hAnsi="Arial" w:cs="Arial"/>
        </w:rPr>
        <w:t xml:space="preserve"> </w:t>
      </w:r>
      <w:r w:rsidRPr="00095A36">
        <w:rPr>
          <w:rFonts w:ascii="Arial" w:hAnsi="Arial" w:cs="Arial"/>
        </w:rPr>
        <w:t>serving as the more influential factor</w:t>
      </w:r>
      <w:r w:rsidR="00315899" w:rsidRPr="00095A36">
        <w:rPr>
          <w:rFonts w:ascii="Arial" w:hAnsi="Arial" w:cs="Arial"/>
        </w:rPr>
        <w:t xml:space="preserve">, </w:t>
      </w:r>
      <w:r w:rsidRPr="00095A36">
        <w:rPr>
          <w:rFonts w:ascii="Arial" w:hAnsi="Arial" w:cs="Arial"/>
        </w:rPr>
        <w:t xml:space="preserve">and </w:t>
      </w:r>
      <w:r w:rsidR="001E5DE6" w:rsidRPr="00095A36">
        <w:rPr>
          <w:rFonts w:ascii="Arial" w:hAnsi="Arial" w:cs="Arial"/>
        </w:rPr>
        <w:t>b</w:t>
      </w:r>
      <w:r w:rsidRPr="00095A36">
        <w:rPr>
          <w:rFonts w:ascii="Arial" w:hAnsi="Arial" w:cs="Arial"/>
        </w:rPr>
        <w:t>oth elements collectively affect the inclusion of Gen Z MSMEs in East Java. It is suggested that the government (OJK/B</w:t>
      </w:r>
      <w:r w:rsidR="000D561D">
        <w:rPr>
          <w:rFonts w:ascii="Arial" w:hAnsi="Arial" w:cs="Arial"/>
        </w:rPr>
        <w:t>ank Indonesia</w:t>
      </w:r>
      <w:r w:rsidRPr="00095A36">
        <w:rPr>
          <w:rFonts w:ascii="Arial" w:hAnsi="Arial" w:cs="Arial"/>
        </w:rPr>
        <w:t>) shift its emphasis from merely increasing access to enhancing the quality of digital financial education (DFL) using strategies suited for Gen Z. For MSMEs, engaging in independent learning about digital risks and features is crucial to fully leverage the advantages of the digital economy.</w:t>
      </w:r>
    </w:p>
    <w:p w14:paraId="34B5DC5B" w14:textId="77777777" w:rsidR="00790ADA" w:rsidRPr="00095A36" w:rsidRDefault="00790ADA" w:rsidP="002E3784">
      <w:pPr>
        <w:pStyle w:val="Body"/>
        <w:spacing w:after="0"/>
        <w:rPr>
          <w:rFonts w:ascii="Arial" w:hAnsi="Arial" w:cs="Arial"/>
        </w:rPr>
      </w:pPr>
    </w:p>
    <w:p w14:paraId="6640F716" w14:textId="77777777" w:rsidR="00315186" w:rsidRPr="00095A36" w:rsidRDefault="00315186" w:rsidP="002E3784">
      <w:pPr>
        <w:rPr>
          <w:rFonts w:ascii="Arial" w:hAnsi="Arial" w:cs="Arial"/>
        </w:rPr>
      </w:pPr>
      <w:bookmarkStart w:id="1" w:name="_GoBack"/>
      <w:bookmarkEnd w:id="1"/>
    </w:p>
    <w:p w14:paraId="6553E327" w14:textId="77777777" w:rsidR="00315186" w:rsidRPr="00095A36" w:rsidRDefault="00315186" w:rsidP="002E3784">
      <w:pPr>
        <w:rPr>
          <w:rFonts w:ascii="Arial" w:hAnsi="Arial" w:cs="Arial"/>
        </w:rPr>
      </w:pPr>
    </w:p>
    <w:p w14:paraId="3C0950F4" w14:textId="77777777" w:rsidR="005C784C" w:rsidRPr="00095A36" w:rsidRDefault="005C784C" w:rsidP="002E3784">
      <w:pPr>
        <w:pStyle w:val="ReferHead"/>
        <w:spacing w:after="0"/>
        <w:jc w:val="both"/>
        <w:rPr>
          <w:rFonts w:ascii="Arial" w:hAnsi="Arial" w:cs="Arial"/>
          <w:b w:val="0"/>
          <w:caps w:val="0"/>
          <w:color w:val="EE0000"/>
          <w:sz w:val="20"/>
        </w:rPr>
      </w:pPr>
    </w:p>
    <w:p w14:paraId="76883E4B" w14:textId="33096C3A" w:rsidR="00473E7A" w:rsidRDefault="005C784C" w:rsidP="002E3784">
      <w:pPr>
        <w:pStyle w:val="ReferHead"/>
        <w:spacing w:after="0"/>
        <w:jc w:val="both"/>
        <w:rPr>
          <w:rFonts w:ascii="Arial" w:hAnsi="Arial" w:cs="Arial"/>
          <w:bCs/>
          <w:color w:val="000000" w:themeColor="text1"/>
        </w:rPr>
      </w:pPr>
      <w:r w:rsidRPr="00095A36">
        <w:rPr>
          <w:rFonts w:ascii="Arial" w:hAnsi="Arial" w:cs="Arial"/>
          <w:bCs/>
          <w:color w:val="000000" w:themeColor="text1"/>
        </w:rPr>
        <w:t>Ethical approval</w:t>
      </w:r>
    </w:p>
    <w:p w14:paraId="0003A864" w14:textId="77777777" w:rsidR="00D90A49" w:rsidRPr="00095A36" w:rsidRDefault="00D90A49" w:rsidP="002E3784">
      <w:pPr>
        <w:pStyle w:val="ReferHead"/>
        <w:spacing w:after="0"/>
        <w:jc w:val="both"/>
        <w:rPr>
          <w:rFonts w:ascii="Arial" w:hAnsi="Arial" w:cs="Arial"/>
          <w:bCs/>
          <w:color w:val="000000" w:themeColor="text1"/>
        </w:rPr>
      </w:pPr>
    </w:p>
    <w:p w14:paraId="5A95E96C" w14:textId="62F89C12" w:rsidR="0041027F" w:rsidRDefault="00473E7A" w:rsidP="002E3784">
      <w:pPr>
        <w:pStyle w:val="ReferHead"/>
        <w:spacing w:after="0"/>
        <w:jc w:val="both"/>
        <w:rPr>
          <w:rFonts w:ascii="Arial" w:hAnsi="Arial" w:cs="Arial"/>
          <w:b w:val="0"/>
          <w:caps w:val="0"/>
          <w:color w:val="000000" w:themeColor="text1"/>
          <w:sz w:val="20"/>
        </w:rPr>
      </w:pPr>
      <w:r w:rsidRPr="00095A36">
        <w:rPr>
          <w:rFonts w:ascii="Arial" w:hAnsi="Arial" w:cs="Arial"/>
          <w:b w:val="0"/>
          <w:caps w:val="0"/>
          <w:color w:val="000000" w:themeColor="text1"/>
          <w:sz w:val="20"/>
        </w:rPr>
        <w:t xml:space="preserve">Ethical guidelines were diligently upheld during the research. Participants were completely informed of the study's aim and guaranteed that their involvement was optional and confidential. No identifiable personal data was gathered, and individuals had the right to exit </w:t>
      </w:r>
      <w:r w:rsidRPr="00095A36">
        <w:rPr>
          <w:rFonts w:ascii="Arial" w:hAnsi="Arial" w:cs="Arial"/>
          <w:b w:val="0"/>
          <w:caps w:val="0"/>
          <w:color w:val="000000" w:themeColor="text1"/>
          <w:sz w:val="20"/>
        </w:rPr>
        <w:lastRenderedPageBreak/>
        <w:t>at any point in the procedure. The research complied with organizational ethical standards and adhered to the tenets of informed consent and privacy, making certain that the rights and confidentiality of participants were thoroughly honored.</w:t>
      </w:r>
    </w:p>
    <w:p w14:paraId="423A5876" w14:textId="77777777" w:rsidR="00A523CD" w:rsidRDefault="00A523CD" w:rsidP="002E3784">
      <w:pPr>
        <w:pStyle w:val="ReferHead"/>
        <w:spacing w:after="0"/>
        <w:jc w:val="both"/>
        <w:rPr>
          <w:rFonts w:ascii="Arial" w:hAnsi="Arial" w:cs="Arial"/>
          <w:b w:val="0"/>
          <w:caps w:val="0"/>
          <w:color w:val="000000" w:themeColor="text1"/>
          <w:sz w:val="20"/>
        </w:rPr>
      </w:pPr>
    </w:p>
    <w:p w14:paraId="42EFB04E" w14:textId="77777777" w:rsidR="00A523CD" w:rsidRDefault="00A523CD" w:rsidP="00A523CD">
      <w:pPr>
        <w:pStyle w:val="DefAcrHead"/>
        <w:spacing w:after="0"/>
        <w:jc w:val="both"/>
        <w:rPr>
          <w:rFonts w:ascii="Arial" w:hAnsi="Arial" w:cs="Arial"/>
          <w:color w:val="000000" w:themeColor="text1"/>
        </w:rPr>
      </w:pPr>
      <w:r w:rsidRPr="00095A36">
        <w:rPr>
          <w:rFonts w:ascii="Arial" w:hAnsi="Arial" w:cs="Arial"/>
          <w:color w:val="000000" w:themeColor="text1"/>
        </w:rPr>
        <w:t>Definitions, Acronyms, Abbreviations</w:t>
      </w:r>
    </w:p>
    <w:p w14:paraId="004B7ADB" w14:textId="77777777" w:rsidR="00A523CD" w:rsidRPr="00095A36" w:rsidRDefault="00A523CD" w:rsidP="00A523CD">
      <w:pPr>
        <w:pStyle w:val="DefAcrHead"/>
        <w:spacing w:after="0"/>
        <w:jc w:val="both"/>
        <w:rPr>
          <w:rFonts w:ascii="Arial" w:hAnsi="Arial" w:cs="Arial"/>
          <w:color w:val="000000" w:themeColor="text1"/>
        </w:rPr>
      </w:pPr>
    </w:p>
    <w:p w14:paraId="6AB4C0DA"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MSMEs</w:t>
      </w:r>
      <w:r w:rsidRPr="00095A36">
        <w:rPr>
          <w:rFonts w:ascii="Arial" w:hAnsi="Arial" w:cs="Arial"/>
          <w:color w:val="000000" w:themeColor="text1"/>
        </w:rPr>
        <w:t xml:space="preserve">: Micro, Small, and Medium Enterprises. In the Indonesian context, this is referred to as UMKM (Usaha </w:t>
      </w:r>
      <w:proofErr w:type="spellStart"/>
      <w:r w:rsidRPr="00095A36">
        <w:rPr>
          <w:rFonts w:ascii="Arial" w:hAnsi="Arial" w:cs="Arial"/>
          <w:color w:val="000000" w:themeColor="text1"/>
        </w:rPr>
        <w:t>Mikro</w:t>
      </w:r>
      <w:proofErr w:type="spellEnd"/>
      <w:r w:rsidRPr="00095A36">
        <w:rPr>
          <w:rFonts w:ascii="Arial" w:hAnsi="Arial" w:cs="Arial"/>
          <w:color w:val="000000" w:themeColor="text1"/>
        </w:rPr>
        <w:t xml:space="preserve">, Kecil, dan </w:t>
      </w:r>
      <w:proofErr w:type="spellStart"/>
      <w:r w:rsidRPr="00095A36">
        <w:rPr>
          <w:rFonts w:ascii="Arial" w:hAnsi="Arial" w:cs="Arial"/>
          <w:color w:val="000000" w:themeColor="text1"/>
        </w:rPr>
        <w:t>Menengah</w:t>
      </w:r>
      <w:proofErr w:type="spellEnd"/>
      <w:r w:rsidRPr="00095A36">
        <w:rPr>
          <w:rFonts w:ascii="Arial" w:hAnsi="Arial" w:cs="Arial"/>
          <w:color w:val="000000" w:themeColor="text1"/>
        </w:rPr>
        <w:t>).</w:t>
      </w:r>
      <w:r w:rsidRPr="00095A36">
        <w:rPr>
          <w:rFonts w:ascii="Arial" w:hAnsi="Arial" w:cs="Arial"/>
        </w:rPr>
        <w:t xml:space="preserve"> </w:t>
      </w:r>
    </w:p>
    <w:p w14:paraId="33576C39"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Gen Z</w:t>
      </w:r>
      <w:r w:rsidRPr="00095A36">
        <w:rPr>
          <w:rFonts w:ascii="Arial" w:hAnsi="Arial" w:cs="Arial"/>
          <w:color w:val="000000" w:themeColor="text1"/>
        </w:rPr>
        <w:t>: Generation Z, defined in this study as the demographic cohort born between 1997 and 2012.</w:t>
      </w:r>
    </w:p>
    <w:p w14:paraId="3BDFA6B1"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QRIS</w:t>
      </w:r>
      <w:r w:rsidRPr="00095A36">
        <w:rPr>
          <w:rFonts w:ascii="Arial" w:hAnsi="Arial" w:cs="Arial"/>
          <w:color w:val="000000" w:themeColor="text1"/>
        </w:rPr>
        <w:t>: Quick Response Code Indonesian Standard; a national standard for QR code payments in Indonesia launched by Bank Indonesia.</w:t>
      </w:r>
    </w:p>
    <w:p w14:paraId="0E0AA1EE"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OJK</w:t>
      </w:r>
      <w:r w:rsidRPr="00095A36">
        <w:rPr>
          <w:rFonts w:ascii="Arial" w:hAnsi="Arial" w:cs="Arial"/>
          <w:color w:val="000000" w:themeColor="text1"/>
        </w:rPr>
        <w:t xml:space="preserve">: </w:t>
      </w:r>
      <w:proofErr w:type="spellStart"/>
      <w:r w:rsidRPr="00095A36">
        <w:rPr>
          <w:rFonts w:ascii="Arial" w:hAnsi="Arial" w:cs="Arial"/>
          <w:color w:val="000000" w:themeColor="text1"/>
        </w:rPr>
        <w:t>Otoritas</w:t>
      </w:r>
      <w:proofErr w:type="spellEnd"/>
      <w:r w:rsidRPr="00095A36">
        <w:rPr>
          <w:rFonts w:ascii="Arial" w:hAnsi="Arial" w:cs="Arial"/>
          <w:color w:val="000000" w:themeColor="text1"/>
        </w:rPr>
        <w:t xml:space="preserve"> </w:t>
      </w:r>
      <w:proofErr w:type="spellStart"/>
      <w:r w:rsidRPr="00095A36">
        <w:rPr>
          <w:rFonts w:ascii="Arial" w:hAnsi="Arial" w:cs="Arial"/>
          <w:color w:val="000000" w:themeColor="text1"/>
        </w:rPr>
        <w:t>Jasa</w:t>
      </w:r>
      <w:proofErr w:type="spellEnd"/>
      <w:r w:rsidRPr="00095A36">
        <w:rPr>
          <w:rFonts w:ascii="Arial" w:hAnsi="Arial" w:cs="Arial"/>
          <w:color w:val="000000" w:themeColor="text1"/>
        </w:rPr>
        <w:t xml:space="preserve"> </w:t>
      </w:r>
      <w:proofErr w:type="spellStart"/>
      <w:r w:rsidRPr="00095A36">
        <w:rPr>
          <w:rFonts w:ascii="Arial" w:hAnsi="Arial" w:cs="Arial"/>
          <w:color w:val="000000" w:themeColor="text1"/>
        </w:rPr>
        <w:t>Keuangan</w:t>
      </w:r>
      <w:proofErr w:type="spellEnd"/>
      <w:r w:rsidRPr="00095A36">
        <w:rPr>
          <w:rFonts w:ascii="Arial" w:hAnsi="Arial" w:cs="Arial"/>
          <w:color w:val="000000" w:themeColor="text1"/>
        </w:rPr>
        <w:t>; The Financial Services Authority of Indonesia, an independent agency regulating the financial sector.</w:t>
      </w:r>
    </w:p>
    <w:p w14:paraId="48F2E1D4"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P2SK Law</w:t>
      </w:r>
      <w:r w:rsidRPr="00095A36">
        <w:rPr>
          <w:rFonts w:ascii="Arial" w:hAnsi="Arial" w:cs="Arial"/>
          <w:color w:val="000000" w:themeColor="text1"/>
        </w:rPr>
        <w:t>: Law No. 4 of 2023 concerning the Development and Strengthening of the Financial Sector (</w:t>
      </w:r>
      <w:proofErr w:type="spellStart"/>
      <w:r w:rsidRPr="00095A36">
        <w:rPr>
          <w:rFonts w:ascii="Arial" w:hAnsi="Arial" w:cs="Arial"/>
          <w:color w:val="000000" w:themeColor="text1"/>
        </w:rPr>
        <w:t>Pengembangan</w:t>
      </w:r>
      <w:proofErr w:type="spellEnd"/>
      <w:r w:rsidRPr="00095A36">
        <w:rPr>
          <w:rFonts w:ascii="Arial" w:hAnsi="Arial" w:cs="Arial"/>
          <w:color w:val="000000" w:themeColor="text1"/>
        </w:rPr>
        <w:t xml:space="preserve"> dan </w:t>
      </w:r>
      <w:proofErr w:type="spellStart"/>
      <w:r w:rsidRPr="00095A36">
        <w:rPr>
          <w:rFonts w:ascii="Arial" w:hAnsi="Arial" w:cs="Arial"/>
          <w:color w:val="000000" w:themeColor="text1"/>
        </w:rPr>
        <w:t>Penguatan</w:t>
      </w:r>
      <w:proofErr w:type="spellEnd"/>
      <w:r w:rsidRPr="00095A36">
        <w:rPr>
          <w:rFonts w:ascii="Arial" w:hAnsi="Arial" w:cs="Arial"/>
          <w:color w:val="000000" w:themeColor="text1"/>
        </w:rPr>
        <w:t xml:space="preserve"> </w:t>
      </w:r>
      <w:proofErr w:type="spellStart"/>
      <w:r w:rsidRPr="00095A36">
        <w:rPr>
          <w:rFonts w:ascii="Arial" w:hAnsi="Arial" w:cs="Arial"/>
          <w:color w:val="000000" w:themeColor="text1"/>
        </w:rPr>
        <w:t>Sektor</w:t>
      </w:r>
      <w:proofErr w:type="spellEnd"/>
      <w:r w:rsidRPr="00095A36">
        <w:rPr>
          <w:rFonts w:ascii="Arial" w:hAnsi="Arial" w:cs="Arial"/>
          <w:color w:val="000000" w:themeColor="text1"/>
        </w:rPr>
        <w:t xml:space="preserve"> </w:t>
      </w:r>
      <w:proofErr w:type="spellStart"/>
      <w:r w:rsidRPr="00095A36">
        <w:rPr>
          <w:rFonts w:ascii="Arial" w:hAnsi="Arial" w:cs="Arial"/>
          <w:color w:val="000000" w:themeColor="text1"/>
        </w:rPr>
        <w:t>Keuangan</w:t>
      </w:r>
      <w:proofErr w:type="spellEnd"/>
      <w:r w:rsidRPr="00095A36">
        <w:rPr>
          <w:rFonts w:ascii="Arial" w:hAnsi="Arial" w:cs="Arial"/>
          <w:color w:val="000000" w:themeColor="text1"/>
        </w:rPr>
        <w:t>).</w:t>
      </w:r>
    </w:p>
    <w:p w14:paraId="28CE6EF7"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PLS-SEM</w:t>
      </w:r>
      <w:r w:rsidRPr="00095A36">
        <w:rPr>
          <w:rFonts w:ascii="Arial" w:hAnsi="Arial" w:cs="Arial"/>
          <w:color w:val="000000" w:themeColor="text1"/>
        </w:rPr>
        <w:t>: Partial Least Squares - Structural Equation Modeling; a variance-based structural equation modeling technique used for analysis.</w:t>
      </w:r>
    </w:p>
    <w:p w14:paraId="1283B141"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AVE</w:t>
      </w:r>
      <w:r w:rsidRPr="00095A36">
        <w:rPr>
          <w:rFonts w:ascii="Arial" w:hAnsi="Arial" w:cs="Arial"/>
          <w:color w:val="000000" w:themeColor="text1"/>
        </w:rPr>
        <w:t>: Average Variance Extracted; a metric to assess convergent validity.</w:t>
      </w:r>
    </w:p>
    <w:p w14:paraId="6133D4F1" w14:textId="77777777" w:rsidR="00A523CD" w:rsidRPr="00095A36" w:rsidRDefault="00A523CD" w:rsidP="00A523CD">
      <w:pPr>
        <w:pStyle w:val="Body"/>
        <w:rPr>
          <w:rFonts w:ascii="Arial" w:hAnsi="Arial" w:cs="Arial"/>
          <w:color w:val="000000" w:themeColor="text1"/>
        </w:rPr>
      </w:pPr>
      <w:r w:rsidRPr="00095A36">
        <w:rPr>
          <w:rFonts w:ascii="Arial" w:hAnsi="Arial" w:cs="Arial"/>
          <w:b/>
          <w:bCs/>
          <w:color w:val="000000" w:themeColor="text1"/>
        </w:rPr>
        <w:t>HTMT</w:t>
      </w:r>
      <w:r w:rsidRPr="00095A36">
        <w:rPr>
          <w:rFonts w:ascii="Arial" w:hAnsi="Arial" w:cs="Arial"/>
          <w:color w:val="000000" w:themeColor="text1"/>
        </w:rPr>
        <w:t xml:space="preserve">: </w:t>
      </w:r>
      <w:proofErr w:type="spellStart"/>
      <w:r w:rsidRPr="00095A36">
        <w:rPr>
          <w:rFonts w:ascii="Arial" w:hAnsi="Arial" w:cs="Arial"/>
          <w:color w:val="000000" w:themeColor="text1"/>
        </w:rPr>
        <w:t>Heterotrait-Monotrait</w:t>
      </w:r>
      <w:proofErr w:type="spellEnd"/>
      <w:r w:rsidRPr="00095A36">
        <w:rPr>
          <w:rFonts w:ascii="Arial" w:hAnsi="Arial" w:cs="Arial"/>
          <w:color w:val="000000" w:themeColor="text1"/>
        </w:rPr>
        <w:t xml:space="preserve"> Ratio; a metric used to assess discriminant validity.</w:t>
      </w:r>
    </w:p>
    <w:p w14:paraId="1C7D0296" w14:textId="77777777" w:rsidR="00A523CD" w:rsidRDefault="00A523CD" w:rsidP="00A523CD">
      <w:pPr>
        <w:pStyle w:val="Body"/>
        <w:rPr>
          <w:rFonts w:ascii="Arial" w:hAnsi="Arial" w:cs="Arial"/>
          <w:color w:val="000000" w:themeColor="text1"/>
        </w:rPr>
      </w:pPr>
      <w:r w:rsidRPr="00095A36">
        <w:rPr>
          <w:rFonts w:ascii="Arial" w:hAnsi="Arial" w:cs="Arial"/>
          <w:b/>
          <w:bCs/>
          <w:color w:val="000000" w:themeColor="text1"/>
        </w:rPr>
        <w:t>VIF</w:t>
      </w:r>
      <w:r w:rsidRPr="00095A36">
        <w:rPr>
          <w:rFonts w:ascii="Arial" w:hAnsi="Arial" w:cs="Arial"/>
          <w:color w:val="000000" w:themeColor="text1"/>
        </w:rPr>
        <w:t>: Variance Inflation Factor; a measure used to detect multicollinearity among predictors</w:t>
      </w:r>
    </w:p>
    <w:p w14:paraId="02D8F097" w14:textId="77777777" w:rsidR="00A523CD" w:rsidRPr="00095A36" w:rsidRDefault="00A523CD" w:rsidP="00A523CD">
      <w:pPr>
        <w:pStyle w:val="Body"/>
        <w:rPr>
          <w:rFonts w:ascii="Arial" w:hAnsi="Arial" w:cs="Arial"/>
          <w:color w:val="000000" w:themeColor="text1"/>
        </w:rPr>
      </w:pPr>
      <w:r w:rsidRPr="00501697">
        <w:rPr>
          <w:rFonts w:ascii="Arial" w:hAnsi="Arial" w:cs="Arial"/>
          <w:b/>
          <w:bCs/>
          <w:color w:val="000000" w:themeColor="text1"/>
        </w:rPr>
        <w:t>DFL</w:t>
      </w:r>
      <w:r>
        <w:rPr>
          <w:rFonts w:ascii="Arial" w:hAnsi="Arial" w:cs="Arial"/>
          <w:color w:val="000000" w:themeColor="text1"/>
        </w:rPr>
        <w:t>: Digital Financial Literacy</w:t>
      </w:r>
      <w:r w:rsidRPr="00095A36">
        <w:rPr>
          <w:rFonts w:ascii="Arial" w:hAnsi="Arial" w:cs="Arial"/>
          <w:color w:val="000000" w:themeColor="text1"/>
          <w:sz w:val="24"/>
        </w:rPr>
        <w:t xml:space="preserve"> </w:t>
      </w:r>
    </w:p>
    <w:p w14:paraId="579277E4" w14:textId="77777777" w:rsidR="00A523CD" w:rsidRPr="00095A36" w:rsidRDefault="00A523CD" w:rsidP="00A523CD">
      <w:pPr>
        <w:pStyle w:val="Appendix"/>
        <w:spacing w:after="0"/>
        <w:jc w:val="both"/>
        <w:rPr>
          <w:rFonts w:ascii="Arial" w:hAnsi="Arial" w:cs="Arial"/>
          <w:b w:val="0"/>
          <w:color w:val="EE0000"/>
        </w:rPr>
        <w:sectPr w:rsidR="00A523CD" w:rsidRPr="00095A36" w:rsidSect="00F34DF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90E5806" w14:textId="77777777" w:rsidR="00A523CD" w:rsidRPr="00095A36" w:rsidRDefault="00A523CD" w:rsidP="00A523CD">
      <w:pPr>
        <w:pStyle w:val="Appendix"/>
        <w:spacing w:after="0"/>
        <w:jc w:val="both"/>
        <w:rPr>
          <w:rFonts w:ascii="Arial" w:hAnsi="Arial" w:cs="Arial"/>
          <w:b w:val="0"/>
          <w:color w:val="EE0000"/>
        </w:rPr>
      </w:pPr>
    </w:p>
    <w:p w14:paraId="726F97CF" w14:textId="77777777" w:rsidR="00A523CD" w:rsidRPr="00095A36" w:rsidRDefault="00A523CD" w:rsidP="002E3784">
      <w:pPr>
        <w:pStyle w:val="ReferHead"/>
        <w:spacing w:after="0"/>
        <w:jc w:val="both"/>
        <w:rPr>
          <w:rFonts w:ascii="Arial" w:hAnsi="Arial" w:cs="Arial"/>
          <w:b w:val="0"/>
          <w:caps w:val="0"/>
          <w:color w:val="000000" w:themeColor="text1"/>
          <w:sz w:val="20"/>
        </w:rPr>
      </w:pPr>
    </w:p>
    <w:p w14:paraId="57C4F410" w14:textId="77777777" w:rsidR="00473E7A" w:rsidRPr="00095A36" w:rsidRDefault="00473E7A" w:rsidP="002E3784">
      <w:pPr>
        <w:pStyle w:val="ReferHead"/>
        <w:spacing w:after="0"/>
        <w:jc w:val="both"/>
        <w:rPr>
          <w:rFonts w:ascii="Arial" w:hAnsi="Arial" w:cs="Arial"/>
          <w:b w:val="0"/>
          <w:caps w:val="0"/>
          <w:color w:val="EE0000"/>
          <w:sz w:val="20"/>
        </w:rPr>
      </w:pPr>
    </w:p>
    <w:p w14:paraId="7CEBA0C0" w14:textId="64D19819" w:rsidR="00B01FCD" w:rsidRPr="00D90A49" w:rsidRDefault="00B01FCD" w:rsidP="002E3784">
      <w:pPr>
        <w:pStyle w:val="ReferHead"/>
        <w:spacing w:after="0"/>
        <w:jc w:val="both"/>
        <w:rPr>
          <w:rFonts w:ascii="Arial" w:hAnsi="Arial" w:cs="Arial"/>
          <w:color w:val="000000" w:themeColor="text1"/>
        </w:rPr>
      </w:pPr>
      <w:r w:rsidRPr="00D90A49">
        <w:rPr>
          <w:rFonts w:ascii="Arial" w:hAnsi="Arial" w:cs="Arial"/>
          <w:color w:val="000000" w:themeColor="text1"/>
        </w:rPr>
        <w:t>References</w:t>
      </w:r>
    </w:p>
    <w:p w14:paraId="7682E07B" w14:textId="77777777" w:rsidR="00790ADA" w:rsidRPr="00095A36" w:rsidRDefault="00790ADA" w:rsidP="002E3784">
      <w:pPr>
        <w:pStyle w:val="ReferHead"/>
        <w:spacing w:after="0"/>
        <w:jc w:val="both"/>
        <w:rPr>
          <w:rFonts w:ascii="Arial" w:hAnsi="Arial" w:cs="Arial"/>
          <w:color w:val="EE0000"/>
        </w:rPr>
      </w:pPr>
    </w:p>
    <w:p w14:paraId="00ECE25E" w14:textId="55BB90A4"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Bank Indonesia. (2019). Bank Indonesia: Navigating the National Payment System in the Digital Era. BANK INDONESIA. </w:t>
      </w:r>
      <w:hyperlink r:id="rId18" w:history="1">
        <w:r w:rsidR="00710C30" w:rsidRPr="005D518E">
          <w:rPr>
            <w:rStyle w:val="Hyperlink"/>
            <w:rFonts w:ascii="Arial" w:hAnsi="Arial" w:cs="Arial"/>
          </w:rPr>
          <w:t>https://www.bi.go.id/id/publikasi/kajian/Documents/Blueprint-Sistem-Pembayaran-Indonesia-2025.pdf</w:t>
        </w:r>
      </w:hyperlink>
      <w:r w:rsidR="00710C30">
        <w:rPr>
          <w:rFonts w:ascii="Arial" w:hAnsi="Arial" w:cs="Arial"/>
        </w:rPr>
        <w:t xml:space="preserve"> </w:t>
      </w:r>
    </w:p>
    <w:p w14:paraId="1AB4E679" w14:textId="7AFCBDD3"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East Java Regional Development Planning Agency (</w:t>
      </w:r>
      <w:proofErr w:type="spellStart"/>
      <w:r w:rsidRPr="00484C2D">
        <w:rPr>
          <w:rFonts w:ascii="Arial" w:hAnsi="Arial" w:cs="Arial"/>
        </w:rPr>
        <w:t>Bappeda</w:t>
      </w:r>
      <w:proofErr w:type="spellEnd"/>
      <w:r w:rsidRPr="00484C2D">
        <w:rPr>
          <w:rFonts w:ascii="Arial" w:hAnsi="Arial" w:cs="Arial"/>
        </w:rPr>
        <w:t xml:space="preserve"> </w:t>
      </w:r>
      <w:proofErr w:type="spellStart"/>
      <w:r w:rsidRPr="00484C2D">
        <w:rPr>
          <w:rFonts w:ascii="Arial" w:hAnsi="Arial" w:cs="Arial"/>
        </w:rPr>
        <w:t>Jatim</w:t>
      </w:r>
      <w:proofErr w:type="spellEnd"/>
      <w:r w:rsidRPr="00484C2D">
        <w:rPr>
          <w:rFonts w:ascii="Arial" w:hAnsi="Arial" w:cs="Arial"/>
        </w:rPr>
        <w:t>). (2024). East Java's Financial Inclusion and Literacy Levels 2019-2022 Consistently Above National Levels. East Java Provincial Development Planning Agency (</w:t>
      </w:r>
      <w:proofErr w:type="spellStart"/>
      <w:r w:rsidRPr="00484C2D">
        <w:rPr>
          <w:rFonts w:ascii="Arial" w:hAnsi="Arial" w:cs="Arial"/>
        </w:rPr>
        <w:t>Bappeda</w:t>
      </w:r>
      <w:proofErr w:type="spellEnd"/>
      <w:r w:rsidRPr="00484C2D">
        <w:rPr>
          <w:rFonts w:ascii="Arial" w:hAnsi="Arial" w:cs="Arial"/>
        </w:rPr>
        <w:t xml:space="preserve"> </w:t>
      </w:r>
      <w:proofErr w:type="spellStart"/>
      <w:r w:rsidRPr="00484C2D">
        <w:rPr>
          <w:rFonts w:ascii="Arial" w:hAnsi="Arial" w:cs="Arial"/>
        </w:rPr>
        <w:t>Jatim</w:t>
      </w:r>
      <w:proofErr w:type="spellEnd"/>
      <w:r w:rsidRPr="00484C2D">
        <w:rPr>
          <w:rFonts w:ascii="Arial" w:hAnsi="Arial" w:cs="Arial"/>
        </w:rPr>
        <w:t xml:space="preserve">). </w:t>
      </w:r>
      <w:hyperlink r:id="rId19" w:history="1">
        <w:r w:rsidR="00F2194F" w:rsidRPr="005D518E">
          <w:rPr>
            <w:rStyle w:val="Hyperlink"/>
            <w:rFonts w:ascii="Arial" w:hAnsi="Arial" w:cs="Arial"/>
          </w:rPr>
          <w:t>https://bappeda.jatimprov.go.id/archive/page/6</w:t>
        </w:r>
      </w:hyperlink>
      <w:r w:rsidR="00F2194F">
        <w:rPr>
          <w:rFonts w:ascii="Arial" w:hAnsi="Arial" w:cs="Arial"/>
        </w:rPr>
        <w:t xml:space="preserve"> </w:t>
      </w:r>
    </w:p>
    <w:p w14:paraId="28FA7DE3" w14:textId="6DF1FCA4" w:rsidR="00484C2D" w:rsidRPr="00484C2D" w:rsidRDefault="00484C2D" w:rsidP="00484C2D">
      <w:pPr>
        <w:widowControl w:val="0"/>
        <w:autoSpaceDE w:val="0"/>
        <w:autoSpaceDN w:val="0"/>
        <w:adjustRightInd w:val="0"/>
        <w:ind w:left="480" w:hanging="480"/>
        <w:jc w:val="both"/>
        <w:rPr>
          <w:rFonts w:ascii="Arial" w:hAnsi="Arial" w:cs="Arial"/>
        </w:rPr>
      </w:pPr>
      <w:proofErr w:type="spellStart"/>
      <w:r w:rsidRPr="00484C2D">
        <w:rPr>
          <w:rFonts w:ascii="Arial" w:hAnsi="Arial" w:cs="Arial"/>
        </w:rPr>
        <w:t>Bozhinova</w:t>
      </w:r>
      <w:proofErr w:type="spellEnd"/>
      <w:r w:rsidRPr="00484C2D">
        <w:rPr>
          <w:rFonts w:ascii="Arial" w:hAnsi="Arial" w:cs="Arial"/>
        </w:rPr>
        <w:t xml:space="preserve">, M., &amp; </w:t>
      </w:r>
      <w:proofErr w:type="spellStart"/>
      <w:r w:rsidRPr="00484C2D">
        <w:rPr>
          <w:rFonts w:ascii="Arial" w:hAnsi="Arial" w:cs="Arial"/>
        </w:rPr>
        <w:t>Ganchev</w:t>
      </w:r>
      <w:proofErr w:type="spellEnd"/>
      <w:r w:rsidRPr="00484C2D">
        <w:rPr>
          <w:rFonts w:ascii="Arial" w:hAnsi="Arial" w:cs="Arial"/>
        </w:rPr>
        <w:t xml:space="preserve">, A. (2022). Digitalization of Financial Services and Financial Literacy of Young Generations – Trends, Challenges, and Solutions </w:t>
      </w:r>
      <w:proofErr w:type="gramStart"/>
      <w:r w:rsidRPr="00484C2D">
        <w:rPr>
          <w:rFonts w:ascii="Arial" w:hAnsi="Arial" w:cs="Arial"/>
        </w:rPr>
        <w:t>From</w:t>
      </w:r>
      <w:proofErr w:type="gramEnd"/>
      <w:r w:rsidRPr="00484C2D">
        <w:rPr>
          <w:rFonts w:ascii="Arial" w:hAnsi="Arial" w:cs="Arial"/>
        </w:rPr>
        <w:t xml:space="preserve"> Bulgarian Practice. January, 38–44. </w:t>
      </w:r>
      <w:proofErr w:type="spellStart"/>
      <w:r w:rsidR="00C44CEB" w:rsidRPr="00C44CEB">
        <w:rPr>
          <w:rFonts w:ascii="Arial" w:hAnsi="Arial" w:cs="Arial"/>
        </w:rPr>
        <w:t>Bozhinova</w:t>
      </w:r>
      <w:proofErr w:type="spellEnd"/>
      <w:r w:rsidR="00C44CEB" w:rsidRPr="00C44CEB">
        <w:rPr>
          <w:rFonts w:ascii="Arial" w:hAnsi="Arial" w:cs="Arial"/>
        </w:rPr>
        <w:t xml:space="preserve">, M., &amp; </w:t>
      </w:r>
      <w:proofErr w:type="spellStart"/>
      <w:r w:rsidR="00C44CEB" w:rsidRPr="00C44CEB">
        <w:rPr>
          <w:rFonts w:ascii="Arial" w:hAnsi="Arial" w:cs="Arial"/>
        </w:rPr>
        <w:t>Ganchev</w:t>
      </w:r>
      <w:proofErr w:type="spellEnd"/>
      <w:r w:rsidR="00C44CEB" w:rsidRPr="00C44CEB">
        <w:rPr>
          <w:rFonts w:ascii="Arial" w:hAnsi="Arial" w:cs="Arial"/>
        </w:rPr>
        <w:t xml:space="preserve">, A. (2022). </w:t>
      </w:r>
      <w:proofErr w:type="spellStart"/>
      <w:r w:rsidR="00C44CEB" w:rsidRPr="00C44CEB">
        <w:rPr>
          <w:rFonts w:ascii="Arial" w:hAnsi="Arial" w:cs="Arial"/>
        </w:rPr>
        <w:t>Digitalisation</w:t>
      </w:r>
      <w:proofErr w:type="spellEnd"/>
      <w:r w:rsidR="00C44CEB" w:rsidRPr="00C44CEB">
        <w:rPr>
          <w:rFonts w:ascii="Arial" w:hAnsi="Arial" w:cs="Arial"/>
        </w:rPr>
        <w:t xml:space="preserve"> of Financial Services and Financial Literacy of Young Generations – Trends, Challenges and Solutions </w:t>
      </w:r>
      <w:proofErr w:type="gramStart"/>
      <w:r w:rsidR="00C44CEB" w:rsidRPr="00C44CEB">
        <w:rPr>
          <w:rFonts w:ascii="Arial" w:hAnsi="Arial" w:cs="Arial"/>
        </w:rPr>
        <w:t>From</w:t>
      </w:r>
      <w:proofErr w:type="gramEnd"/>
      <w:r w:rsidR="00C44CEB" w:rsidRPr="00C44CEB">
        <w:rPr>
          <w:rFonts w:ascii="Arial" w:hAnsi="Arial" w:cs="Arial"/>
        </w:rPr>
        <w:t xml:space="preserve"> Bulgarian Practice </w:t>
      </w:r>
      <w:hyperlink r:id="rId20" w:history="1">
        <w:r w:rsidR="00C44CEB" w:rsidRPr="005D518E">
          <w:rPr>
            <w:rStyle w:val="Hyperlink"/>
            <w:rFonts w:ascii="Arial" w:hAnsi="Arial" w:cs="Arial"/>
          </w:rPr>
          <w:t>https://doi.org/10.51508/intcess.202206</w:t>
        </w:r>
      </w:hyperlink>
      <w:r w:rsidR="00C44CEB">
        <w:rPr>
          <w:rFonts w:ascii="Arial" w:hAnsi="Arial" w:cs="Arial"/>
        </w:rPr>
        <w:t xml:space="preserve"> </w:t>
      </w:r>
    </w:p>
    <w:p w14:paraId="2CBC28D9" w14:textId="44B8079C"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Cohen, J. (1992). QUANTITATIVE METHODS IN PSYCHOLOGY: A Power Primer. 112(I), 155–159. </w:t>
      </w:r>
      <w:hyperlink r:id="rId21" w:history="1">
        <w:r w:rsidR="00A81084" w:rsidRPr="005D518E">
          <w:rPr>
            <w:rStyle w:val="Hyperlink"/>
            <w:rFonts w:ascii="Arial" w:hAnsi="Arial" w:cs="Arial"/>
          </w:rPr>
          <w:t>https://doi.org/10.1037/0033-2909.112.1.155</w:t>
        </w:r>
      </w:hyperlink>
      <w:r w:rsidR="00A81084">
        <w:rPr>
          <w:rFonts w:ascii="Arial" w:hAnsi="Arial" w:cs="Arial"/>
        </w:rPr>
        <w:t xml:space="preserve"> </w:t>
      </w:r>
    </w:p>
    <w:p w14:paraId="4977D194" w14:textId="106A62C1" w:rsidR="00484C2D" w:rsidRPr="00484C2D" w:rsidRDefault="00484C2D" w:rsidP="00484C2D">
      <w:pPr>
        <w:widowControl w:val="0"/>
        <w:autoSpaceDE w:val="0"/>
        <w:autoSpaceDN w:val="0"/>
        <w:adjustRightInd w:val="0"/>
        <w:ind w:left="480" w:hanging="480"/>
        <w:jc w:val="both"/>
        <w:rPr>
          <w:rFonts w:ascii="Arial" w:hAnsi="Arial" w:cs="Arial"/>
        </w:rPr>
      </w:pPr>
      <w:proofErr w:type="spellStart"/>
      <w:r w:rsidRPr="00484C2D">
        <w:rPr>
          <w:rFonts w:ascii="Arial" w:hAnsi="Arial" w:cs="Arial"/>
        </w:rPr>
        <w:lastRenderedPageBreak/>
        <w:t>Kominfo</w:t>
      </w:r>
      <w:proofErr w:type="spellEnd"/>
      <w:r w:rsidRPr="00484C2D">
        <w:rPr>
          <w:rFonts w:ascii="Arial" w:hAnsi="Arial" w:cs="Arial"/>
        </w:rPr>
        <w:t xml:space="preserve">. (2024). </w:t>
      </w:r>
      <w:proofErr w:type="spellStart"/>
      <w:r w:rsidRPr="00484C2D">
        <w:rPr>
          <w:rFonts w:ascii="Arial" w:hAnsi="Arial" w:cs="Arial"/>
        </w:rPr>
        <w:t>Kominfo</w:t>
      </w:r>
      <w:proofErr w:type="spellEnd"/>
      <w:r w:rsidRPr="00484C2D">
        <w:rPr>
          <w:rFonts w:ascii="Arial" w:hAnsi="Arial" w:cs="Arial"/>
        </w:rPr>
        <w:t xml:space="preserve"> Blocks Tens of Thousands of Illegal Loan Applications. </w:t>
      </w:r>
      <w:hyperlink r:id="rId22" w:history="1">
        <w:r w:rsidR="00A90572" w:rsidRPr="005D518E">
          <w:rPr>
            <w:rStyle w:val="Hyperlink"/>
            <w:rFonts w:ascii="Arial" w:hAnsi="Arial" w:cs="Arial"/>
          </w:rPr>
          <w:t>https://kbr.id/articles/ragam/kominfo-blokir-belasan-ribu-aplikasi-pinjol-ilegal</w:t>
        </w:r>
      </w:hyperlink>
      <w:r w:rsidR="00A90572">
        <w:rPr>
          <w:rFonts w:ascii="Arial" w:hAnsi="Arial" w:cs="Arial"/>
        </w:rPr>
        <w:t xml:space="preserve"> </w:t>
      </w:r>
    </w:p>
    <w:p w14:paraId="14AFFA90" w14:textId="04097D54"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Lusardi, A., &amp; Mitchell, O. S. (2014). The economic importance of financial literacy: Theory and evidence. Journal of Economic Literature, 52(1), 5–44. </w:t>
      </w:r>
      <w:hyperlink r:id="rId23" w:history="1">
        <w:r w:rsidR="00F25857" w:rsidRPr="005D518E">
          <w:rPr>
            <w:rStyle w:val="Hyperlink"/>
            <w:rFonts w:ascii="Arial" w:hAnsi="Arial" w:cs="Arial"/>
          </w:rPr>
          <w:t>https://doi.org/10.1257/jel.52.1.5</w:t>
        </w:r>
      </w:hyperlink>
      <w:r w:rsidR="00F25857">
        <w:rPr>
          <w:rFonts w:ascii="Arial" w:hAnsi="Arial" w:cs="Arial"/>
        </w:rPr>
        <w:t xml:space="preserve"> </w:t>
      </w:r>
    </w:p>
    <w:p w14:paraId="3E2C35BD" w14:textId="7F925157"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OECD. (2020). OECD/INFE 2020 International Survey of Adult Financial Literacy. </w:t>
      </w:r>
      <w:hyperlink r:id="rId24" w:history="1">
        <w:r w:rsidR="00573617" w:rsidRPr="005D518E">
          <w:rPr>
            <w:rStyle w:val="Hyperlink"/>
            <w:rFonts w:ascii="Arial" w:hAnsi="Arial" w:cs="Arial"/>
          </w:rPr>
          <w:t>https://doi.org/10.1787/145f5607-en</w:t>
        </w:r>
      </w:hyperlink>
      <w:r w:rsidR="00573617">
        <w:rPr>
          <w:rFonts w:ascii="Arial" w:hAnsi="Arial" w:cs="Arial"/>
        </w:rPr>
        <w:t xml:space="preserve"> </w:t>
      </w:r>
      <w:r w:rsidRPr="00484C2D">
        <w:rPr>
          <w:rFonts w:ascii="Arial" w:hAnsi="Arial" w:cs="Arial"/>
        </w:rPr>
        <w:t>.</w:t>
      </w:r>
    </w:p>
    <w:p w14:paraId="41165BD1" w14:textId="5F64947C"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OJK. (2021, November 11). This is OJK's Policy to Promote Digitalization in the Financial Sector (25, trans.). 1–5. </w:t>
      </w:r>
      <w:hyperlink r:id="rId25" w:history="1">
        <w:r w:rsidR="002C523D" w:rsidRPr="005D518E">
          <w:rPr>
            <w:rStyle w:val="Hyperlink"/>
            <w:rFonts w:ascii="Arial" w:hAnsi="Arial" w:cs="Arial"/>
          </w:rPr>
          <w:t>https://setkab.go.id/inilah-kebijakan-ojk-dorong-digitalisasi-di-sektor-keuangan/</w:t>
        </w:r>
      </w:hyperlink>
      <w:r w:rsidR="002C523D">
        <w:rPr>
          <w:rFonts w:ascii="Arial" w:hAnsi="Arial" w:cs="Arial"/>
        </w:rPr>
        <w:t xml:space="preserve"> </w:t>
      </w:r>
    </w:p>
    <w:p w14:paraId="11CD37B2" w14:textId="5CE049A1"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Financial Services Authority. (2017). Financial Services Authority Circular Letter Number 31 /Seojk.07/2017 Concerning the Implementation of Activities to Increase Financial Inclusion in the Financial Services Sector. In Financial Services Authority (OJK). </w:t>
      </w:r>
      <w:hyperlink r:id="rId26" w:history="1">
        <w:r w:rsidR="001B2838" w:rsidRPr="005D518E">
          <w:rPr>
            <w:rStyle w:val="Hyperlink"/>
            <w:rFonts w:ascii="Arial" w:hAnsi="Arial" w:cs="Arial"/>
          </w:rPr>
          <w:t>https://www.ojk.go.id/id/kanal/edukasi-dan-perlindungan-konsumen/Pages/Pelaksanaan-Kegiatan-dalam-rangka-Meningkatkan-Inklusi-Keuangan-di-Sektor-Jasa-Keuangan.aspx</w:t>
        </w:r>
      </w:hyperlink>
      <w:r w:rsidR="001B2838">
        <w:rPr>
          <w:rFonts w:ascii="Arial" w:hAnsi="Arial" w:cs="Arial"/>
        </w:rPr>
        <w:t xml:space="preserve"> </w:t>
      </w:r>
    </w:p>
    <w:p w14:paraId="08DE682E" w14:textId="77777777"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Remi </w:t>
      </w:r>
      <w:proofErr w:type="spellStart"/>
      <w:r w:rsidRPr="00484C2D">
        <w:rPr>
          <w:rFonts w:ascii="Arial" w:hAnsi="Arial" w:cs="Arial"/>
        </w:rPr>
        <w:t>Aiyede</w:t>
      </w:r>
      <w:proofErr w:type="spellEnd"/>
      <w:r w:rsidRPr="00484C2D">
        <w:rPr>
          <w:rFonts w:ascii="Arial" w:hAnsi="Arial" w:cs="Arial"/>
        </w:rPr>
        <w:t xml:space="preserve">, E., &amp; </w:t>
      </w:r>
      <w:proofErr w:type="spellStart"/>
      <w:r w:rsidRPr="00484C2D">
        <w:rPr>
          <w:rFonts w:ascii="Arial" w:hAnsi="Arial" w:cs="Arial"/>
        </w:rPr>
        <w:t>Muganda</w:t>
      </w:r>
      <w:proofErr w:type="spellEnd"/>
      <w:r w:rsidRPr="00484C2D">
        <w:rPr>
          <w:rFonts w:ascii="Arial" w:hAnsi="Arial" w:cs="Arial"/>
        </w:rPr>
        <w:t>, B. (2022). Public Policy and Research in Africa. In Public Policy and Research in Africa. Springer International Publishing.</w:t>
      </w:r>
    </w:p>
    <w:p w14:paraId="574F6F3F" w14:textId="184F33A1" w:rsidR="00484C2D" w:rsidRPr="00484C2D" w:rsidRDefault="00E60120" w:rsidP="00484C2D">
      <w:pPr>
        <w:widowControl w:val="0"/>
        <w:autoSpaceDE w:val="0"/>
        <w:autoSpaceDN w:val="0"/>
        <w:adjustRightInd w:val="0"/>
        <w:ind w:left="480" w:hanging="480"/>
        <w:jc w:val="both"/>
        <w:rPr>
          <w:rFonts w:ascii="Arial" w:hAnsi="Arial" w:cs="Arial"/>
        </w:rPr>
      </w:pPr>
      <w:hyperlink r:id="rId27" w:history="1">
        <w:r w:rsidR="00467CE3" w:rsidRPr="005D518E">
          <w:rPr>
            <w:rStyle w:val="Hyperlink"/>
            <w:rFonts w:ascii="Arial" w:hAnsi="Arial" w:cs="Arial"/>
          </w:rPr>
          <w:t>https://doi.org/10.1007/978-3-030-99724-3</w:t>
        </w:r>
      </w:hyperlink>
      <w:r w:rsidR="00467CE3">
        <w:rPr>
          <w:rFonts w:ascii="Arial" w:hAnsi="Arial" w:cs="Arial"/>
        </w:rPr>
        <w:t xml:space="preserve"> </w:t>
      </w:r>
    </w:p>
    <w:p w14:paraId="1D6BA91E" w14:textId="69E9BB8C" w:rsidR="00484C2D" w:rsidRPr="00484C2D" w:rsidRDefault="00484C2D" w:rsidP="00484C2D">
      <w:pPr>
        <w:widowControl w:val="0"/>
        <w:autoSpaceDE w:val="0"/>
        <w:autoSpaceDN w:val="0"/>
        <w:adjustRightInd w:val="0"/>
        <w:ind w:left="480" w:hanging="480"/>
        <w:jc w:val="both"/>
        <w:rPr>
          <w:rFonts w:ascii="Arial" w:hAnsi="Arial" w:cs="Arial"/>
        </w:rPr>
      </w:pPr>
      <w:proofErr w:type="spellStart"/>
      <w:r w:rsidRPr="00484C2D">
        <w:rPr>
          <w:rFonts w:ascii="Arial" w:hAnsi="Arial" w:cs="Arial"/>
        </w:rPr>
        <w:t>Sholihah</w:t>
      </w:r>
      <w:proofErr w:type="spellEnd"/>
      <w:r w:rsidRPr="00484C2D">
        <w:rPr>
          <w:rFonts w:ascii="Arial" w:hAnsi="Arial" w:cs="Arial"/>
        </w:rPr>
        <w:t xml:space="preserve">, E., </w:t>
      </w:r>
      <w:proofErr w:type="spellStart"/>
      <w:r w:rsidRPr="00484C2D">
        <w:rPr>
          <w:rFonts w:ascii="Arial" w:hAnsi="Arial" w:cs="Arial"/>
        </w:rPr>
        <w:t>Nurhapsari</w:t>
      </w:r>
      <w:proofErr w:type="spellEnd"/>
      <w:r w:rsidRPr="00484C2D">
        <w:rPr>
          <w:rFonts w:ascii="Arial" w:hAnsi="Arial" w:cs="Arial"/>
        </w:rPr>
        <w:t xml:space="preserve">, R., &amp; </w:t>
      </w:r>
      <w:proofErr w:type="spellStart"/>
      <w:r w:rsidRPr="00484C2D">
        <w:rPr>
          <w:rFonts w:ascii="Arial" w:hAnsi="Arial" w:cs="Arial"/>
        </w:rPr>
        <w:t>Rohmania</w:t>
      </w:r>
      <w:proofErr w:type="spellEnd"/>
      <w:r w:rsidRPr="00484C2D">
        <w:rPr>
          <w:rFonts w:ascii="Arial" w:hAnsi="Arial" w:cs="Arial"/>
        </w:rPr>
        <w:t xml:space="preserve">, A. S. (2023). The Role of Literacy and Government Support in Improving MSME Performance Through Digital Financial Services Adoption and Financial Inclusion. Journal of Finance and Banking, 27(3), 424–436. </w:t>
      </w:r>
      <w:hyperlink r:id="rId28" w:history="1">
        <w:r w:rsidR="00F533FE" w:rsidRPr="005D518E">
          <w:rPr>
            <w:rStyle w:val="Hyperlink"/>
            <w:rFonts w:ascii="Arial" w:hAnsi="Arial" w:cs="Arial"/>
          </w:rPr>
          <w:t>https://doi.org/10.26905/jkdp.v27i3.11147</w:t>
        </w:r>
      </w:hyperlink>
      <w:r w:rsidR="00F533FE">
        <w:rPr>
          <w:rFonts w:ascii="Arial" w:hAnsi="Arial" w:cs="Arial"/>
        </w:rPr>
        <w:t xml:space="preserve"> </w:t>
      </w:r>
    </w:p>
    <w:p w14:paraId="4643A696" w14:textId="24D57457" w:rsidR="00484C2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 xml:space="preserve">Teixeira, P. N. (2014). Gary </w:t>
      </w:r>
      <w:proofErr w:type="spellStart"/>
      <w:r w:rsidRPr="00484C2D">
        <w:rPr>
          <w:rFonts w:ascii="Arial" w:hAnsi="Arial" w:cs="Arial"/>
        </w:rPr>
        <w:t>Beckers</w:t>
      </w:r>
      <w:proofErr w:type="spellEnd"/>
      <w:r w:rsidRPr="00484C2D">
        <w:rPr>
          <w:rFonts w:ascii="Arial" w:hAnsi="Arial" w:cs="Arial"/>
        </w:rPr>
        <w:t xml:space="preserve"> early work on human capital - collaborations and distinctiveness. IZA Journal of Labor Economics, 3(12), 1–20. </w:t>
      </w:r>
      <w:hyperlink r:id="rId29" w:history="1">
        <w:r w:rsidR="00A0549B" w:rsidRPr="005D518E">
          <w:rPr>
            <w:rStyle w:val="Hyperlink"/>
            <w:rFonts w:ascii="Arial" w:hAnsi="Arial" w:cs="Arial"/>
          </w:rPr>
          <w:t>https://doi.org/10.1186/s40172-014-0012-2</w:t>
        </w:r>
      </w:hyperlink>
      <w:r w:rsidR="00A0549B">
        <w:rPr>
          <w:rFonts w:ascii="Arial" w:hAnsi="Arial" w:cs="Arial"/>
        </w:rPr>
        <w:t xml:space="preserve"> </w:t>
      </w:r>
    </w:p>
    <w:p w14:paraId="2C5A954C" w14:textId="0023BBE1" w:rsidR="00484C2D" w:rsidRPr="00484C2D" w:rsidRDefault="00484C2D" w:rsidP="00484C2D">
      <w:pPr>
        <w:widowControl w:val="0"/>
        <w:autoSpaceDE w:val="0"/>
        <w:autoSpaceDN w:val="0"/>
        <w:adjustRightInd w:val="0"/>
        <w:ind w:left="480" w:hanging="480"/>
        <w:jc w:val="both"/>
        <w:rPr>
          <w:rFonts w:ascii="Arial" w:hAnsi="Arial" w:cs="Arial"/>
        </w:rPr>
      </w:pPr>
      <w:proofErr w:type="spellStart"/>
      <w:r w:rsidRPr="00484C2D">
        <w:rPr>
          <w:rFonts w:ascii="Arial" w:hAnsi="Arial" w:cs="Arial"/>
        </w:rPr>
        <w:t>Widyastuti</w:t>
      </w:r>
      <w:proofErr w:type="spellEnd"/>
      <w:r w:rsidRPr="00484C2D">
        <w:rPr>
          <w:rFonts w:ascii="Arial" w:hAnsi="Arial" w:cs="Arial"/>
        </w:rPr>
        <w:t xml:space="preserve">, U., </w:t>
      </w:r>
      <w:proofErr w:type="spellStart"/>
      <w:r w:rsidRPr="00484C2D">
        <w:rPr>
          <w:rFonts w:ascii="Arial" w:hAnsi="Arial" w:cs="Arial"/>
        </w:rPr>
        <w:t>Respati</w:t>
      </w:r>
      <w:proofErr w:type="spellEnd"/>
      <w:r w:rsidRPr="00484C2D">
        <w:rPr>
          <w:rFonts w:ascii="Arial" w:hAnsi="Arial" w:cs="Arial"/>
        </w:rPr>
        <w:t xml:space="preserve">, D. K., </w:t>
      </w:r>
      <w:proofErr w:type="spellStart"/>
      <w:r w:rsidRPr="00484C2D">
        <w:rPr>
          <w:rFonts w:ascii="Arial" w:hAnsi="Arial" w:cs="Arial"/>
        </w:rPr>
        <w:t>Dewi</w:t>
      </w:r>
      <w:proofErr w:type="spellEnd"/>
      <w:r w:rsidRPr="00484C2D">
        <w:rPr>
          <w:rFonts w:ascii="Arial" w:hAnsi="Arial" w:cs="Arial"/>
        </w:rPr>
        <w:t xml:space="preserve">, V. I., &amp; Soma, A. M. (2024). The Nexus of Digital Financial Inclusion, Digital Financial Literacy and Demographic Factors: Lessons </w:t>
      </w:r>
      <w:proofErr w:type="gramStart"/>
      <w:r w:rsidRPr="00484C2D">
        <w:rPr>
          <w:rFonts w:ascii="Arial" w:hAnsi="Arial" w:cs="Arial"/>
        </w:rPr>
        <w:t>From</w:t>
      </w:r>
      <w:proofErr w:type="gramEnd"/>
      <w:r w:rsidRPr="00484C2D">
        <w:rPr>
          <w:rFonts w:ascii="Arial" w:hAnsi="Arial" w:cs="Arial"/>
        </w:rPr>
        <w:t xml:space="preserve"> Indonesia. Cogent Business and Management, 11(1). </w:t>
      </w:r>
      <w:hyperlink r:id="rId30" w:history="1">
        <w:r w:rsidR="00E465D0" w:rsidRPr="005D518E">
          <w:rPr>
            <w:rStyle w:val="Hyperlink"/>
            <w:rFonts w:ascii="Arial" w:hAnsi="Arial" w:cs="Arial"/>
          </w:rPr>
          <w:t>https://doi.org/10.1080/23311975.2024.2322778</w:t>
        </w:r>
      </w:hyperlink>
      <w:r w:rsidR="00E465D0">
        <w:rPr>
          <w:rFonts w:ascii="Arial" w:hAnsi="Arial" w:cs="Arial"/>
        </w:rPr>
        <w:t xml:space="preserve"> </w:t>
      </w:r>
    </w:p>
    <w:p w14:paraId="0ABA4E6F" w14:textId="621C51B8" w:rsidR="00B01FCD" w:rsidRPr="00484C2D" w:rsidRDefault="00484C2D" w:rsidP="00484C2D">
      <w:pPr>
        <w:widowControl w:val="0"/>
        <w:autoSpaceDE w:val="0"/>
        <w:autoSpaceDN w:val="0"/>
        <w:adjustRightInd w:val="0"/>
        <w:ind w:left="480" w:hanging="480"/>
        <w:jc w:val="both"/>
        <w:rPr>
          <w:rFonts w:ascii="Arial" w:hAnsi="Arial" w:cs="Arial"/>
        </w:rPr>
      </w:pPr>
      <w:r w:rsidRPr="00484C2D">
        <w:rPr>
          <w:rFonts w:ascii="Arial" w:hAnsi="Arial" w:cs="Arial"/>
        </w:rPr>
        <w:t>World Bank. (2022). Universal Digital Inclusion and Usage. Independent Evaluation Group (</w:t>
      </w:r>
      <w:proofErr w:type="spellStart"/>
      <w:r w:rsidRPr="00484C2D">
        <w:rPr>
          <w:rFonts w:ascii="Arial" w:hAnsi="Arial" w:cs="Arial"/>
        </w:rPr>
        <w:t>Ieg</w:t>
      </w:r>
      <w:proofErr w:type="spellEnd"/>
      <w:r w:rsidRPr="00484C2D">
        <w:rPr>
          <w:rFonts w:ascii="Arial" w:hAnsi="Arial" w:cs="Arial"/>
        </w:rPr>
        <w:t xml:space="preserve">), 1. </w:t>
      </w:r>
      <w:hyperlink r:id="rId31" w:history="1">
        <w:r w:rsidR="009D053B" w:rsidRPr="005D518E">
          <w:rPr>
            <w:rStyle w:val="Hyperlink"/>
            <w:rFonts w:ascii="Arial" w:hAnsi="Arial" w:cs="Arial"/>
          </w:rPr>
          <w:t>https://doi.org/10.1596/IEG173890</w:t>
        </w:r>
      </w:hyperlink>
      <w:r w:rsidR="009D053B">
        <w:rPr>
          <w:rFonts w:ascii="Arial" w:hAnsi="Arial" w:cs="Arial"/>
        </w:rPr>
        <w:t xml:space="preserve"> </w:t>
      </w:r>
    </w:p>
    <w:sectPr w:rsidR="00B01FCD" w:rsidRPr="00484C2D" w:rsidSect="00F34DF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FF17D" w14:textId="77777777" w:rsidR="00E60120" w:rsidRDefault="00E60120" w:rsidP="00C37E61">
      <w:r>
        <w:separator/>
      </w:r>
    </w:p>
  </w:endnote>
  <w:endnote w:type="continuationSeparator" w:id="0">
    <w:p w14:paraId="17E585D4" w14:textId="77777777" w:rsidR="00E60120" w:rsidRDefault="00E601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3A974" w14:textId="77777777" w:rsidR="00F34DF0" w:rsidRDefault="00F34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F7B40" w14:textId="77777777" w:rsidR="00F34DF0" w:rsidRDefault="00F34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12852" w14:textId="77777777" w:rsidR="009E048A" w:rsidRDefault="009E048A">
    <w:pPr>
      <w:pStyle w:val="Footer"/>
      <w:rPr>
        <w:rFonts w:ascii="Arial" w:hAnsi="Arial" w:cs="Arial"/>
        <w:sz w:val="16"/>
      </w:rPr>
    </w:pPr>
  </w:p>
  <w:p w14:paraId="1104A27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9DA60EF" w14:textId="77777777" w:rsidR="009E048A" w:rsidRDefault="009E048A">
    <w:pPr>
      <w:pStyle w:val="Footer"/>
      <w:rPr>
        <w:rFonts w:ascii="Arial" w:hAnsi="Arial" w:cs="Arial"/>
        <w:sz w:val="16"/>
      </w:rPr>
    </w:pPr>
  </w:p>
  <w:p w14:paraId="49C5B4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A1C4" w14:textId="77777777" w:rsidR="00A523CD" w:rsidRPr="00C37E61" w:rsidRDefault="00A523C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A9AF8" w14:textId="77777777" w:rsidR="00E60120" w:rsidRDefault="00E60120" w:rsidP="00C37E61">
      <w:r>
        <w:separator/>
      </w:r>
    </w:p>
  </w:footnote>
  <w:footnote w:type="continuationSeparator" w:id="0">
    <w:p w14:paraId="75A154C7" w14:textId="77777777" w:rsidR="00E60120" w:rsidRDefault="00E601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388C" w14:textId="6BC6FD1D" w:rsidR="00F34DF0" w:rsidRDefault="00F34DF0">
    <w:pPr>
      <w:pStyle w:val="Header"/>
    </w:pPr>
    <w:r>
      <w:rPr>
        <w:noProof/>
      </w:rPr>
      <w:pict w14:anchorId="51C41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13D3" w14:textId="15C41E02" w:rsidR="00F34DF0" w:rsidRDefault="00F34DF0">
    <w:pPr>
      <w:pStyle w:val="Header"/>
    </w:pPr>
    <w:r>
      <w:rPr>
        <w:noProof/>
      </w:rPr>
      <w:pict w14:anchorId="6BE39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0500" w14:textId="02B6A8ED" w:rsidR="00296529" w:rsidRPr="00296529" w:rsidRDefault="00F34DF0" w:rsidP="00296529">
    <w:pPr>
      <w:ind w:left="2160"/>
      <w:jc w:val="center"/>
      <w:rPr>
        <w:rFonts w:ascii="Times New Roman" w:eastAsia="Calibri" w:hAnsi="Times New Roman"/>
        <w:i/>
        <w:sz w:val="18"/>
        <w:szCs w:val="22"/>
      </w:rPr>
    </w:pPr>
    <w:r>
      <w:rPr>
        <w:noProof/>
      </w:rPr>
      <w:pict w14:anchorId="4D48F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C7B92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16D3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AC6B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B060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73F8C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1BCD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7B0B" w14:textId="2D751969" w:rsidR="00F34DF0" w:rsidRDefault="00F34DF0">
    <w:pPr>
      <w:pStyle w:val="Header"/>
    </w:pPr>
    <w:r>
      <w:rPr>
        <w:noProof/>
      </w:rPr>
      <w:pict w14:anchorId="5904E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6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47A4" w14:textId="183D1F01" w:rsidR="00F34DF0" w:rsidRDefault="00F34DF0">
    <w:pPr>
      <w:pStyle w:val="Header"/>
    </w:pPr>
    <w:r>
      <w:rPr>
        <w:noProof/>
      </w:rPr>
      <w:pict w14:anchorId="04CF1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6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DA4E0" w14:textId="6883C0FC" w:rsidR="00F34DF0" w:rsidRDefault="00F34DF0">
    <w:pPr>
      <w:pStyle w:val="Header"/>
    </w:pPr>
    <w:r>
      <w:rPr>
        <w:noProof/>
      </w:rPr>
      <w:pict w14:anchorId="5401E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23515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F822F3"/>
    <w:multiLevelType w:val="hybridMultilevel"/>
    <w:tmpl w:val="9C6EBDCA"/>
    <w:lvl w:ilvl="0" w:tplc="6F242B6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B366815"/>
    <w:multiLevelType w:val="hybridMultilevel"/>
    <w:tmpl w:val="794E0C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870B40"/>
    <w:multiLevelType w:val="hybridMultilevel"/>
    <w:tmpl w:val="381E4FB8"/>
    <w:lvl w:ilvl="0" w:tplc="BCFEE63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0DE1393"/>
    <w:multiLevelType w:val="hybridMultilevel"/>
    <w:tmpl w:val="3F9EDE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5B64D3A"/>
    <w:multiLevelType w:val="hybridMultilevel"/>
    <w:tmpl w:val="E26E2386"/>
    <w:lvl w:ilvl="0" w:tplc="9A30BCA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0"/>
  </w:num>
  <w:num w:numId="10">
    <w:abstractNumId w:val="2"/>
  </w:num>
  <w:num w:numId="11">
    <w:abstractNumId w:val="23"/>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2"/>
  </w:num>
  <w:num w:numId="21">
    <w:abstractNumId w:val="10"/>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1"/>
  </w:num>
  <w:num w:numId="31">
    <w:abstractNumId w:val="22"/>
  </w:num>
  <w:num w:numId="32">
    <w:abstractNumId w:val="14"/>
  </w:num>
  <w:num w:numId="33">
    <w:abstractNumId w:val="8"/>
  </w:num>
  <w:num w:numId="34">
    <w:abstractNumId w:val="1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DF2"/>
    <w:rsid w:val="00003A45"/>
    <w:rsid w:val="000164A5"/>
    <w:rsid w:val="00017264"/>
    <w:rsid w:val="00017300"/>
    <w:rsid w:val="00017477"/>
    <w:rsid w:val="000258B9"/>
    <w:rsid w:val="0002682A"/>
    <w:rsid w:val="00030174"/>
    <w:rsid w:val="00037D5A"/>
    <w:rsid w:val="0004579C"/>
    <w:rsid w:val="0005297D"/>
    <w:rsid w:val="00062DA9"/>
    <w:rsid w:val="0006454D"/>
    <w:rsid w:val="00064CE9"/>
    <w:rsid w:val="00084A62"/>
    <w:rsid w:val="00092D0B"/>
    <w:rsid w:val="00095A36"/>
    <w:rsid w:val="00095E17"/>
    <w:rsid w:val="000A47FA"/>
    <w:rsid w:val="000A65D3"/>
    <w:rsid w:val="000A7029"/>
    <w:rsid w:val="000A7481"/>
    <w:rsid w:val="000B1E33"/>
    <w:rsid w:val="000D0C45"/>
    <w:rsid w:val="000D20C4"/>
    <w:rsid w:val="000D561D"/>
    <w:rsid w:val="000D689F"/>
    <w:rsid w:val="000D69C5"/>
    <w:rsid w:val="000E7B7B"/>
    <w:rsid w:val="000E7D62"/>
    <w:rsid w:val="000F3778"/>
    <w:rsid w:val="00103357"/>
    <w:rsid w:val="001111C9"/>
    <w:rsid w:val="00122262"/>
    <w:rsid w:val="00123C9F"/>
    <w:rsid w:val="00126190"/>
    <w:rsid w:val="00126916"/>
    <w:rsid w:val="00130F17"/>
    <w:rsid w:val="001320BF"/>
    <w:rsid w:val="00143C78"/>
    <w:rsid w:val="001467E6"/>
    <w:rsid w:val="00150347"/>
    <w:rsid w:val="00163BC4"/>
    <w:rsid w:val="00167818"/>
    <w:rsid w:val="00174014"/>
    <w:rsid w:val="001766EA"/>
    <w:rsid w:val="00191062"/>
    <w:rsid w:val="00192B72"/>
    <w:rsid w:val="001A29D8"/>
    <w:rsid w:val="001A2E10"/>
    <w:rsid w:val="001A5CAA"/>
    <w:rsid w:val="001B0427"/>
    <w:rsid w:val="001B0794"/>
    <w:rsid w:val="001B2838"/>
    <w:rsid w:val="001B2EE8"/>
    <w:rsid w:val="001B3308"/>
    <w:rsid w:val="001B4A3E"/>
    <w:rsid w:val="001C1C2E"/>
    <w:rsid w:val="001D3A51"/>
    <w:rsid w:val="001D3C18"/>
    <w:rsid w:val="001E10D2"/>
    <w:rsid w:val="001E25B4"/>
    <w:rsid w:val="001E44FE"/>
    <w:rsid w:val="001E5DE6"/>
    <w:rsid w:val="001E7ED4"/>
    <w:rsid w:val="001F1CED"/>
    <w:rsid w:val="00200595"/>
    <w:rsid w:val="00200F5E"/>
    <w:rsid w:val="00201DC8"/>
    <w:rsid w:val="00204303"/>
    <w:rsid w:val="00204835"/>
    <w:rsid w:val="0021283E"/>
    <w:rsid w:val="002222DE"/>
    <w:rsid w:val="002228C9"/>
    <w:rsid w:val="002246FC"/>
    <w:rsid w:val="002303ED"/>
    <w:rsid w:val="00231920"/>
    <w:rsid w:val="0023195C"/>
    <w:rsid w:val="00237D49"/>
    <w:rsid w:val="0024282C"/>
    <w:rsid w:val="002460DC"/>
    <w:rsid w:val="00246D9D"/>
    <w:rsid w:val="00250985"/>
    <w:rsid w:val="002556F6"/>
    <w:rsid w:val="00260727"/>
    <w:rsid w:val="00273D7B"/>
    <w:rsid w:val="00283105"/>
    <w:rsid w:val="00284C4C"/>
    <w:rsid w:val="00287E68"/>
    <w:rsid w:val="0029352C"/>
    <w:rsid w:val="00296529"/>
    <w:rsid w:val="002A21DD"/>
    <w:rsid w:val="002A22A3"/>
    <w:rsid w:val="002B27FB"/>
    <w:rsid w:val="002B4A94"/>
    <w:rsid w:val="002B685A"/>
    <w:rsid w:val="002B7206"/>
    <w:rsid w:val="002C523D"/>
    <w:rsid w:val="002C57D2"/>
    <w:rsid w:val="002E0D56"/>
    <w:rsid w:val="002E2B46"/>
    <w:rsid w:val="002E3784"/>
    <w:rsid w:val="002E4D3C"/>
    <w:rsid w:val="002E7F93"/>
    <w:rsid w:val="002F3218"/>
    <w:rsid w:val="0030409C"/>
    <w:rsid w:val="003053FD"/>
    <w:rsid w:val="003125ED"/>
    <w:rsid w:val="0031458A"/>
    <w:rsid w:val="0031493A"/>
    <w:rsid w:val="00315121"/>
    <w:rsid w:val="00315186"/>
    <w:rsid w:val="00315899"/>
    <w:rsid w:val="00320762"/>
    <w:rsid w:val="00327A76"/>
    <w:rsid w:val="0033343E"/>
    <w:rsid w:val="003400F6"/>
    <w:rsid w:val="00346599"/>
    <w:rsid w:val="003512C2"/>
    <w:rsid w:val="003527E4"/>
    <w:rsid w:val="003529A0"/>
    <w:rsid w:val="00352CA2"/>
    <w:rsid w:val="00360CAB"/>
    <w:rsid w:val="00365E4A"/>
    <w:rsid w:val="00371FB6"/>
    <w:rsid w:val="003763C1"/>
    <w:rsid w:val="00376BBE"/>
    <w:rsid w:val="003803D6"/>
    <w:rsid w:val="0038789F"/>
    <w:rsid w:val="003904C6"/>
    <w:rsid w:val="0039224F"/>
    <w:rsid w:val="003A43A4"/>
    <w:rsid w:val="003A507F"/>
    <w:rsid w:val="003A7E18"/>
    <w:rsid w:val="003B2429"/>
    <w:rsid w:val="003B4B6E"/>
    <w:rsid w:val="003C4305"/>
    <w:rsid w:val="003C4C86"/>
    <w:rsid w:val="003C4C8A"/>
    <w:rsid w:val="003C6258"/>
    <w:rsid w:val="003D00A0"/>
    <w:rsid w:val="003D039F"/>
    <w:rsid w:val="003D38AC"/>
    <w:rsid w:val="003E2904"/>
    <w:rsid w:val="003F30DC"/>
    <w:rsid w:val="00401927"/>
    <w:rsid w:val="0040702A"/>
    <w:rsid w:val="0041027F"/>
    <w:rsid w:val="00412475"/>
    <w:rsid w:val="00423789"/>
    <w:rsid w:val="004257C6"/>
    <w:rsid w:val="00425E50"/>
    <w:rsid w:val="004322CF"/>
    <w:rsid w:val="00440C20"/>
    <w:rsid w:val="00440F43"/>
    <w:rsid w:val="00441B6F"/>
    <w:rsid w:val="00446221"/>
    <w:rsid w:val="00450E62"/>
    <w:rsid w:val="00451374"/>
    <w:rsid w:val="004539DB"/>
    <w:rsid w:val="00454E7C"/>
    <w:rsid w:val="00457AEC"/>
    <w:rsid w:val="00462AC6"/>
    <w:rsid w:val="0046433F"/>
    <w:rsid w:val="00467CE3"/>
    <w:rsid w:val="00471A80"/>
    <w:rsid w:val="00472DC9"/>
    <w:rsid w:val="00473E7A"/>
    <w:rsid w:val="00481094"/>
    <w:rsid w:val="00484C2D"/>
    <w:rsid w:val="004A4751"/>
    <w:rsid w:val="004A5D34"/>
    <w:rsid w:val="004A718A"/>
    <w:rsid w:val="004B19EE"/>
    <w:rsid w:val="004B33A0"/>
    <w:rsid w:val="004D305E"/>
    <w:rsid w:val="004D4277"/>
    <w:rsid w:val="004D55B1"/>
    <w:rsid w:val="004E2C22"/>
    <w:rsid w:val="00501697"/>
    <w:rsid w:val="005017DB"/>
    <w:rsid w:val="00501F59"/>
    <w:rsid w:val="00502516"/>
    <w:rsid w:val="00502733"/>
    <w:rsid w:val="0050317A"/>
    <w:rsid w:val="00503B85"/>
    <w:rsid w:val="00504B76"/>
    <w:rsid w:val="00505F06"/>
    <w:rsid w:val="00506828"/>
    <w:rsid w:val="00513220"/>
    <w:rsid w:val="00527547"/>
    <w:rsid w:val="0053056E"/>
    <w:rsid w:val="005460D6"/>
    <w:rsid w:val="00551FF0"/>
    <w:rsid w:val="00553D0B"/>
    <w:rsid w:val="00554FDA"/>
    <w:rsid w:val="005613F6"/>
    <w:rsid w:val="0056231D"/>
    <w:rsid w:val="0056334D"/>
    <w:rsid w:val="00573617"/>
    <w:rsid w:val="00582E7C"/>
    <w:rsid w:val="005874E8"/>
    <w:rsid w:val="00593567"/>
    <w:rsid w:val="005A214F"/>
    <w:rsid w:val="005C1CAE"/>
    <w:rsid w:val="005C3AD4"/>
    <w:rsid w:val="005C784C"/>
    <w:rsid w:val="005D17F6"/>
    <w:rsid w:val="005E4C45"/>
    <w:rsid w:val="005E5539"/>
    <w:rsid w:val="005F337C"/>
    <w:rsid w:val="005F770F"/>
    <w:rsid w:val="00602BF5"/>
    <w:rsid w:val="00617FDD"/>
    <w:rsid w:val="00633614"/>
    <w:rsid w:val="00633F68"/>
    <w:rsid w:val="00636EB2"/>
    <w:rsid w:val="006375B8"/>
    <w:rsid w:val="00641EC0"/>
    <w:rsid w:val="00642B55"/>
    <w:rsid w:val="006522BA"/>
    <w:rsid w:val="0066463A"/>
    <w:rsid w:val="0066510A"/>
    <w:rsid w:val="00667423"/>
    <w:rsid w:val="00670215"/>
    <w:rsid w:val="00671AE1"/>
    <w:rsid w:val="00673F9F"/>
    <w:rsid w:val="00676471"/>
    <w:rsid w:val="0067714D"/>
    <w:rsid w:val="00686953"/>
    <w:rsid w:val="00687DEA"/>
    <w:rsid w:val="00687E67"/>
    <w:rsid w:val="00694631"/>
    <w:rsid w:val="0069649B"/>
    <w:rsid w:val="006967F7"/>
    <w:rsid w:val="0069748A"/>
    <w:rsid w:val="006A250C"/>
    <w:rsid w:val="006A48B5"/>
    <w:rsid w:val="006B188C"/>
    <w:rsid w:val="006B21D3"/>
    <w:rsid w:val="006B57D0"/>
    <w:rsid w:val="006B6E34"/>
    <w:rsid w:val="006B7B91"/>
    <w:rsid w:val="006D01A3"/>
    <w:rsid w:val="006D3036"/>
    <w:rsid w:val="006D30FF"/>
    <w:rsid w:val="006D3D3F"/>
    <w:rsid w:val="006D6940"/>
    <w:rsid w:val="006E2983"/>
    <w:rsid w:val="006F11EC"/>
    <w:rsid w:val="006F7980"/>
    <w:rsid w:val="0070082C"/>
    <w:rsid w:val="00710C30"/>
    <w:rsid w:val="00736676"/>
    <w:rsid w:val="007369E6"/>
    <w:rsid w:val="00746E59"/>
    <w:rsid w:val="00754C9A"/>
    <w:rsid w:val="0075599A"/>
    <w:rsid w:val="00761D52"/>
    <w:rsid w:val="00765282"/>
    <w:rsid w:val="00767F9B"/>
    <w:rsid w:val="0077604B"/>
    <w:rsid w:val="0077749E"/>
    <w:rsid w:val="00790ADA"/>
    <w:rsid w:val="00791D2F"/>
    <w:rsid w:val="007A0D88"/>
    <w:rsid w:val="007A606D"/>
    <w:rsid w:val="007B0743"/>
    <w:rsid w:val="007D2288"/>
    <w:rsid w:val="007D4D86"/>
    <w:rsid w:val="007E088F"/>
    <w:rsid w:val="007E0BD5"/>
    <w:rsid w:val="007E7286"/>
    <w:rsid w:val="007F7B32"/>
    <w:rsid w:val="00801662"/>
    <w:rsid w:val="00804BC2"/>
    <w:rsid w:val="008123FB"/>
    <w:rsid w:val="0081431A"/>
    <w:rsid w:val="00814835"/>
    <w:rsid w:val="00823858"/>
    <w:rsid w:val="0083172D"/>
    <w:rsid w:val="0083216F"/>
    <w:rsid w:val="008357FE"/>
    <w:rsid w:val="00835C39"/>
    <w:rsid w:val="0083740A"/>
    <w:rsid w:val="00837E23"/>
    <w:rsid w:val="00842125"/>
    <w:rsid w:val="00850BE7"/>
    <w:rsid w:val="008542FE"/>
    <w:rsid w:val="00860000"/>
    <w:rsid w:val="00862D4D"/>
    <w:rsid w:val="00863BD3"/>
    <w:rsid w:val="008641ED"/>
    <w:rsid w:val="00866D66"/>
    <w:rsid w:val="008671C6"/>
    <w:rsid w:val="00875803"/>
    <w:rsid w:val="00877B95"/>
    <w:rsid w:val="00877EE9"/>
    <w:rsid w:val="0088126D"/>
    <w:rsid w:val="00886ED1"/>
    <w:rsid w:val="008A2410"/>
    <w:rsid w:val="008B3DED"/>
    <w:rsid w:val="008B459E"/>
    <w:rsid w:val="008D52B3"/>
    <w:rsid w:val="008E0607"/>
    <w:rsid w:val="008E0621"/>
    <w:rsid w:val="008E13AE"/>
    <w:rsid w:val="008E1506"/>
    <w:rsid w:val="008E710C"/>
    <w:rsid w:val="008F04D4"/>
    <w:rsid w:val="008F69D6"/>
    <w:rsid w:val="00902823"/>
    <w:rsid w:val="00915CA6"/>
    <w:rsid w:val="00927834"/>
    <w:rsid w:val="0093098D"/>
    <w:rsid w:val="009313B6"/>
    <w:rsid w:val="00932929"/>
    <w:rsid w:val="00932AB9"/>
    <w:rsid w:val="00944857"/>
    <w:rsid w:val="00944EBA"/>
    <w:rsid w:val="009500A6"/>
    <w:rsid w:val="00953A64"/>
    <w:rsid w:val="00957C18"/>
    <w:rsid w:val="00964C99"/>
    <w:rsid w:val="009659BA"/>
    <w:rsid w:val="0096748A"/>
    <w:rsid w:val="00972AE1"/>
    <w:rsid w:val="00983040"/>
    <w:rsid w:val="00983C55"/>
    <w:rsid w:val="00987DFD"/>
    <w:rsid w:val="00990101"/>
    <w:rsid w:val="00990779"/>
    <w:rsid w:val="00992E42"/>
    <w:rsid w:val="009A5FCD"/>
    <w:rsid w:val="009B3FB9"/>
    <w:rsid w:val="009C2465"/>
    <w:rsid w:val="009D053B"/>
    <w:rsid w:val="009D35A0"/>
    <w:rsid w:val="009D7EB7"/>
    <w:rsid w:val="009E0333"/>
    <w:rsid w:val="009E048A"/>
    <w:rsid w:val="009E08E9"/>
    <w:rsid w:val="009E31F3"/>
    <w:rsid w:val="009E3DB9"/>
    <w:rsid w:val="009E6E35"/>
    <w:rsid w:val="009F0EDA"/>
    <w:rsid w:val="00A02706"/>
    <w:rsid w:val="00A03B96"/>
    <w:rsid w:val="00A04368"/>
    <w:rsid w:val="00A0549B"/>
    <w:rsid w:val="00A05B19"/>
    <w:rsid w:val="00A1134E"/>
    <w:rsid w:val="00A24E7E"/>
    <w:rsid w:val="00A258C3"/>
    <w:rsid w:val="00A347C0"/>
    <w:rsid w:val="00A51431"/>
    <w:rsid w:val="00A523CD"/>
    <w:rsid w:val="00A539AD"/>
    <w:rsid w:val="00A80ABF"/>
    <w:rsid w:val="00A81084"/>
    <w:rsid w:val="00A84CDD"/>
    <w:rsid w:val="00A90275"/>
    <w:rsid w:val="00A90572"/>
    <w:rsid w:val="00A94063"/>
    <w:rsid w:val="00AA6219"/>
    <w:rsid w:val="00AA74E0"/>
    <w:rsid w:val="00AB1B97"/>
    <w:rsid w:val="00AB5E0E"/>
    <w:rsid w:val="00AB703F"/>
    <w:rsid w:val="00AC6BB8"/>
    <w:rsid w:val="00AC7897"/>
    <w:rsid w:val="00AD0914"/>
    <w:rsid w:val="00AD1533"/>
    <w:rsid w:val="00AD1C24"/>
    <w:rsid w:val="00AE008F"/>
    <w:rsid w:val="00AE331F"/>
    <w:rsid w:val="00AE768C"/>
    <w:rsid w:val="00AF1BCB"/>
    <w:rsid w:val="00B01432"/>
    <w:rsid w:val="00B01FCD"/>
    <w:rsid w:val="00B11685"/>
    <w:rsid w:val="00B1776C"/>
    <w:rsid w:val="00B231E7"/>
    <w:rsid w:val="00B2727A"/>
    <w:rsid w:val="00B31202"/>
    <w:rsid w:val="00B35681"/>
    <w:rsid w:val="00B52583"/>
    <w:rsid w:val="00B52896"/>
    <w:rsid w:val="00B53B34"/>
    <w:rsid w:val="00B8164A"/>
    <w:rsid w:val="00B85323"/>
    <w:rsid w:val="00B85B81"/>
    <w:rsid w:val="00B95236"/>
    <w:rsid w:val="00B96BD9"/>
    <w:rsid w:val="00BA1B01"/>
    <w:rsid w:val="00BA2641"/>
    <w:rsid w:val="00BB31FB"/>
    <w:rsid w:val="00BB37AA"/>
    <w:rsid w:val="00BC414D"/>
    <w:rsid w:val="00BC53A0"/>
    <w:rsid w:val="00BD3EE3"/>
    <w:rsid w:val="00BD7483"/>
    <w:rsid w:val="00BE62AD"/>
    <w:rsid w:val="00BF0F70"/>
    <w:rsid w:val="00BF121F"/>
    <w:rsid w:val="00BF1F80"/>
    <w:rsid w:val="00C00948"/>
    <w:rsid w:val="00C0428E"/>
    <w:rsid w:val="00C1057F"/>
    <w:rsid w:val="00C166EF"/>
    <w:rsid w:val="00C16FBF"/>
    <w:rsid w:val="00C17EB0"/>
    <w:rsid w:val="00C27344"/>
    <w:rsid w:val="00C27F5F"/>
    <w:rsid w:val="00C30A0F"/>
    <w:rsid w:val="00C30AA0"/>
    <w:rsid w:val="00C37E61"/>
    <w:rsid w:val="00C40F37"/>
    <w:rsid w:val="00C44CEB"/>
    <w:rsid w:val="00C56EB9"/>
    <w:rsid w:val="00C70F1B"/>
    <w:rsid w:val="00C71A47"/>
    <w:rsid w:val="00C7464C"/>
    <w:rsid w:val="00C85588"/>
    <w:rsid w:val="00C90C1F"/>
    <w:rsid w:val="00CB2925"/>
    <w:rsid w:val="00CB5252"/>
    <w:rsid w:val="00CC1385"/>
    <w:rsid w:val="00CC33EC"/>
    <w:rsid w:val="00CC6D37"/>
    <w:rsid w:val="00CD0BA2"/>
    <w:rsid w:val="00CD37A0"/>
    <w:rsid w:val="00CD58EF"/>
    <w:rsid w:val="00CD5BDA"/>
    <w:rsid w:val="00CD5E11"/>
    <w:rsid w:val="00CD6755"/>
    <w:rsid w:val="00CD6856"/>
    <w:rsid w:val="00CE0089"/>
    <w:rsid w:val="00CE1860"/>
    <w:rsid w:val="00CE4E21"/>
    <w:rsid w:val="00CE793C"/>
    <w:rsid w:val="00CF193C"/>
    <w:rsid w:val="00CF556C"/>
    <w:rsid w:val="00D04D03"/>
    <w:rsid w:val="00D07821"/>
    <w:rsid w:val="00D173F1"/>
    <w:rsid w:val="00D23D41"/>
    <w:rsid w:val="00D24250"/>
    <w:rsid w:val="00D27E78"/>
    <w:rsid w:val="00D3789D"/>
    <w:rsid w:val="00D45075"/>
    <w:rsid w:val="00D47037"/>
    <w:rsid w:val="00D51C16"/>
    <w:rsid w:val="00D5490E"/>
    <w:rsid w:val="00D54D4E"/>
    <w:rsid w:val="00D7495B"/>
    <w:rsid w:val="00D74CB0"/>
    <w:rsid w:val="00D8295D"/>
    <w:rsid w:val="00D833A7"/>
    <w:rsid w:val="00D90A49"/>
    <w:rsid w:val="00D91A75"/>
    <w:rsid w:val="00D94E22"/>
    <w:rsid w:val="00D95D0D"/>
    <w:rsid w:val="00DA5AD5"/>
    <w:rsid w:val="00DC2A65"/>
    <w:rsid w:val="00DC5E1D"/>
    <w:rsid w:val="00DD2499"/>
    <w:rsid w:val="00DD7654"/>
    <w:rsid w:val="00DE15F0"/>
    <w:rsid w:val="00DE5663"/>
    <w:rsid w:val="00DE78AA"/>
    <w:rsid w:val="00DF1AF0"/>
    <w:rsid w:val="00DF422D"/>
    <w:rsid w:val="00DF6797"/>
    <w:rsid w:val="00DF7DBA"/>
    <w:rsid w:val="00E053D0"/>
    <w:rsid w:val="00E15994"/>
    <w:rsid w:val="00E17751"/>
    <w:rsid w:val="00E25E46"/>
    <w:rsid w:val="00E3114E"/>
    <w:rsid w:val="00E31A70"/>
    <w:rsid w:val="00E35B02"/>
    <w:rsid w:val="00E35EA2"/>
    <w:rsid w:val="00E41492"/>
    <w:rsid w:val="00E465D0"/>
    <w:rsid w:val="00E46C28"/>
    <w:rsid w:val="00E471D9"/>
    <w:rsid w:val="00E547DB"/>
    <w:rsid w:val="00E5600F"/>
    <w:rsid w:val="00E60120"/>
    <w:rsid w:val="00E63E0C"/>
    <w:rsid w:val="00E6618E"/>
    <w:rsid w:val="00E66496"/>
    <w:rsid w:val="00E66B35"/>
    <w:rsid w:val="00E66E10"/>
    <w:rsid w:val="00E74BF7"/>
    <w:rsid w:val="00E769F6"/>
    <w:rsid w:val="00E82A5D"/>
    <w:rsid w:val="00E8407C"/>
    <w:rsid w:val="00E84F3C"/>
    <w:rsid w:val="00E86930"/>
    <w:rsid w:val="00EA012C"/>
    <w:rsid w:val="00EA595A"/>
    <w:rsid w:val="00EB44BF"/>
    <w:rsid w:val="00EC6A55"/>
    <w:rsid w:val="00ED0288"/>
    <w:rsid w:val="00ED4C8E"/>
    <w:rsid w:val="00EE52CB"/>
    <w:rsid w:val="00EF03E0"/>
    <w:rsid w:val="00EF581D"/>
    <w:rsid w:val="00EF6A03"/>
    <w:rsid w:val="00EF7FD8"/>
    <w:rsid w:val="00F02A25"/>
    <w:rsid w:val="00F06F59"/>
    <w:rsid w:val="00F17988"/>
    <w:rsid w:val="00F2194F"/>
    <w:rsid w:val="00F25857"/>
    <w:rsid w:val="00F279B5"/>
    <w:rsid w:val="00F30238"/>
    <w:rsid w:val="00F34A13"/>
    <w:rsid w:val="00F34DF0"/>
    <w:rsid w:val="00F446C0"/>
    <w:rsid w:val="00F44B7E"/>
    <w:rsid w:val="00F469F0"/>
    <w:rsid w:val="00F527E7"/>
    <w:rsid w:val="00F52AD4"/>
    <w:rsid w:val="00F53273"/>
    <w:rsid w:val="00F533FE"/>
    <w:rsid w:val="00F53510"/>
    <w:rsid w:val="00F642FB"/>
    <w:rsid w:val="00F66741"/>
    <w:rsid w:val="00F755E4"/>
    <w:rsid w:val="00F77D02"/>
    <w:rsid w:val="00F9117C"/>
    <w:rsid w:val="00F968E3"/>
    <w:rsid w:val="00FA2645"/>
    <w:rsid w:val="00FB3A86"/>
    <w:rsid w:val="00FC3580"/>
    <w:rsid w:val="00FC5106"/>
    <w:rsid w:val="00FD36C8"/>
    <w:rsid w:val="00FD6AE4"/>
    <w:rsid w:val="00FF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8E4634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201DC8"/>
  </w:style>
  <w:style w:type="paragraph" w:customStyle="1" w:styleId="p1">
    <w:name w:val="p1"/>
    <w:basedOn w:val="Normal"/>
    <w:rsid w:val="005874E8"/>
    <w:rPr>
      <w:rFonts w:ascii="Arial" w:hAnsi="Arial" w:cs="Arial"/>
      <w:color w:val="000000"/>
      <w:sz w:val="14"/>
      <w:szCs w:val="14"/>
      <w:lang w:val="en-ID"/>
    </w:rPr>
  </w:style>
  <w:style w:type="table" w:styleId="TableGridLight">
    <w:name w:val="Grid Table Light"/>
    <w:basedOn w:val="TableNormal"/>
    <w:uiPriority w:val="40"/>
    <w:rsid w:val="002E7F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90275"/>
    <w:rPr>
      <w:b/>
      <w:bCs/>
    </w:rPr>
  </w:style>
  <w:style w:type="paragraph" w:styleId="EndnoteText">
    <w:name w:val="endnote text"/>
    <w:basedOn w:val="Normal"/>
    <w:link w:val="EndnoteTextChar"/>
    <w:semiHidden/>
    <w:unhideWhenUsed/>
    <w:rsid w:val="0021283E"/>
  </w:style>
  <w:style w:type="character" w:customStyle="1" w:styleId="EndnoteTextChar">
    <w:name w:val="Endnote Text Char"/>
    <w:basedOn w:val="DefaultParagraphFont"/>
    <w:link w:val="EndnoteText"/>
    <w:semiHidden/>
    <w:rsid w:val="0021283E"/>
    <w:rPr>
      <w:rFonts w:ascii="Helvetica" w:hAnsi="Helvetica"/>
    </w:rPr>
  </w:style>
  <w:style w:type="character" w:styleId="EndnoteReference">
    <w:name w:val="endnote reference"/>
    <w:basedOn w:val="DefaultParagraphFont"/>
    <w:semiHidden/>
    <w:unhideWhenUsed/>
    <w:rsid w:val="0021283E"/>
    <w:rPr>
      <w:vertAlign w:val="superscript"/>
    </w:rPr>
  </w:style>
  <w:style w:type="character" w:customStyle="1" w:styleId="FooterChar">
    <w:name w:val="Footer Char"/>
    <w:basedOn w:val="DefaultParagraphFont"/>
    <w:link w:val="Footer"/>
    <w:rsid w:val="00A523C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i.go.id/id/publikasi/kajian/Documents/Blueprint-Sistem-Pembayaran-Indonesia-2025.pdf" TargetMode="External"/><Relationship Id="rId26" Type="http://schemas.openxmlformats.org/officeDocument/2006/relationships/hyperlink" Target="https://www.ojk.go.id/id/kanal/edukasi-dan-perlindungan-konsumen/Pages/Pelaksanaan-Kegiatan-dalam-rangka-Meningkatkan-Inklusi-Keuangan-di-Sektor-Jasa-Keuangan.aspx" TargetMode="External"/><Relationship Id="rId3" Type="http://schemas.openxmlformats.org/officeDocument/2006/relationships/styles" Target="styles.xml"/><Relationship Id="rId21" Type="http://schemas.openxmlformats.org/officeDocument/2006/relationships/hyperlink" Target="https://doi.org/10.1037/0033-2909.112.1.15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setkab.go.id/inilah-kebijakan-ojk-dorong-digitalisasi-di-sektor-keuanga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51508/intcess.202206" TargetMode="External"/><Relationship Id="rId29" Type="http://schemas.openxmlformats.org/officeDocument/2006/relationships/hyperlink" Target="https://doi.org/10.1186/s40172-014-00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87/145f5607-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257/jel.52.1.5" TargetMode="External"/><Relationship Id="rId28" Type="http://schemas.openxmlformats.org/officeDocument/2006/relationships/hyperlink" Target="https://doi.org/10.26905/jkdp.v27i3.11147" TargetMode="External"/><Relationship Id="rId10" Type="http://schemas.openxmlformats.org/officeDocument/2006/relationships/footer" Target="footer1.xml"/><Relationship Id="rId19" Type="http://schemas.openxmlformats.org/officeDocument/2006/relationships/hyperlink" Target="https://bappeda.jatimprov.go.id/archive/page/6" TargetMode="External"/><Relationship Id="rId31" Type="http://schemas.openxmlformats.org/officeDocument/2006/relationships/hyperlink" Target="https://doi.org/10.1596/IEG1738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kbr.id/articles/ragam/kominfo-blokir-belasan-ribu-aplikasi-pinjol-ilegal" TargetMode="External"/><Relationship Id="rId27" Type="http://schemas.openxmlformats.org/officeDocument/2006/relationships/hyperlink" Target="https://doi.org/10.1007/978-3-030-99724-3" TargetMode="External"/><Relationship Id="rId30" Type="http://schemas.openxmlformats.org/officeDocument/2006/relationships/hyperlink" Target="https://doi.org/10.1080/23311975.2024.2322778"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37028-969B-4207-8866-4E4868BC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11</Pages>
  <Words>7567</Words>
  <Characters>43133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50599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2025-12-07T08:37:00Z</cp:lastPrinted>
  <dcterms:created xsi:type="dcterms:W3CDTF">2025-12-07T12:25:00Z</dcterms:created>
  <dcterms:modified xsi:type="dcterms:W3CDTF">2025-12-08T07:31:00Z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1f304b65-539d-314a-aea1-eb745c07ecbb</vt:lpwstr>
  </property>
  <property fmtid="{D5CDD505-2E9C-101B-9397-08002B2CF9AE}" pid="24" name="Mendeley Citation Style_1">
    <vt:lpwstr>http://www.zotero.org/styles/apa</vt:lpwstr>
  </property>
</Properties>
</file>