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0D13C" w14:textId="77777777" w:rsidR="009E201F" w:rsidRDefault="009E201F" w:rsidP="009E201F">
      <w:pPr>
        <w:rPr>
          <w:rFonts w:cs="Times New Roman"/>
          <w:b/>
        </w:rPr>
      </w:pPr>
      <w:r w:rsidRPr="005D7C35">
        <w:rPr>
          <w:rFonts w:cs="Times New Roman"/>
          <w:b/>
        </w:rPr>
        <w:t>Revenue Deficit, Capital Expenditure, and the Fiscal–Growth Nexus in India, 1980–2023</w:t>
      </w:r>
    </w:p>
    <w:p w14:paraId="0209CE4D" w14:textId="6FD72EFA" w:rsidR="004A137C" w:rsidRDefault="004A137C" w:rsidP="009E201F">
      <w:pPr>
        <w:rPr>
          <w:rStyle w:val="Strong"/>
          <w:rFonts w:cs="Times New Roman"/>
          <w:bCs w:val="0"/>
          <w:szCs w:val="24"/>
        </w:rPr>
      </w:pPr>
    </w:p>
    <w:p w14:paraId="2D3230C5" w14:textId="77777777" w:rsidR="0094187D" w:rsidRDefault="0094187D" w:rsidP="009E201F">
      <w:pPr>
        <w:rPr>
          <w:rStyle w:val="Strong"/>
          <w:rFonts w:cs="Times New Roman"/>
          <w:bCs w:val="0"/>
          <w:szCs w:val="24"/>
        </w:rPr>
      </w:pPr>
      <w:bookmarkStart w:id="0" w:name="_GoBack"/>
      <w:bookmarkEnd w:id="0"/>
    </w:p>
    <w:p w14:paraId="5274CA51" w14:textId="459BB8B5" w:rsidR="00BA2E4A" w:rsidRPr="005D7C35" w:rsidRDefault="00BA2E4A" w:rsidP="009E201F">
      <w:pPr>
        <w:rPr>
          <w:rFonts w:cs="Times New Roman"/>
        </w:rPr>
      </w:pPr>
      <w:r w:rsidRPr="005D7C35">
        <w:rPr>
          <w:rStyle w:val="Strong"/>
          <w:rFonts w:cs="Times New Roman"/>
          <w:bCs w:val="0"/>
          <w:szCs w:val="24"/>
        </w:rPr>
        <w:t>Abstract</w:t>
      </w:r>
    </w:p>
    <w:p w14:paraId="65827511" w14:textId="77777777" w:rsidR="00BA2E4A" w:rsidRPr="005D7C35" w:rsidRDefault="00BA2E4A" w:rsidP="009E201F">
      <w:pPr>
        <w:pStyle w:val="NormalWeb"/>
        <w:spacing w:line="360" w:lineRule="auto"/>
        <w:jc w:val="both"/>
      </w:pPr>
      <w:r w:rsidRPr="005D7C35">
        <w:t xml:space="preserve">The relationship between fiscal deficits and economic growth remains one of the most contested issues in macroeconomics, particularly for emerging economies such as India where fiscal policy serves both developmental and stabilization functions. Motivated by persistent disagreements in the literature and India’s evolving fiscal landscape, this study investigates the impact of fiscal deficit, revenue deficit, and capital expenditure on economic growth. Using annual data from 1980 to 2023 sourced from the Reserve Bank of India and Union Budget documents, the analysis applies the autoregressive distributed lag (ARDL) bounds testing framework, supported by unit root tests, error correction </w:t>
      </w:r>
      <w:proofErr w:type="spellStart"/>
      <w:r w:rsidRPr="005D7C35">
        <w:t>modeling</w:t>
      </w:r>
      <w:proofErr w:type="spellEnd"/>
      <w:r w:rsidRPr="005D7C35">
        <w:t>, and structural break analysis. The results reveal that fiscal deficits exert a positive and statistically significant effect on GDP in the short run, consistent with Keynesian predictions, while revenue deficits strongly reduce growth and capital expenditure exerts unexpected short-run costs, likely reflecting implementation lags. The bounds test finds no evidence of a stable long-run equilibrium, a result explained by structural breaks that disrupt fiscal–growth relationships over time. The study concludes that fiscal policy in India is effective primarily in the short run but unstable in the long run, reconciling divergent results in earlier research. Policy implications emphasize the importance of minimizing revenue deficits, strengthening the productivity of capital expenditure, and designing fiscal rules that allow countercyclical stimulus while safeguarding long-run sustainability.</w:t>
      </w:r>
    </w:p>
    <w:p w14:paraId="58D1FFBD" w14:textId="77777777" w:rsidR="00BA2E4A" w:rsidRPr="005D7C35" w:rsidRDefault="00BA2E4A" w:rsidP="009E201F">
      <w:pPr>
        <w:rPr>
          <w:rFonts w:cs="Times New Roman"/>
        </w:rPr>
      </w:pPr>
      <w:r w:rsidRPr="005D7C35">
        <w:rPr>
          <w:rFonts w:cs="Times New Roman"/>
          <w:b/>
        </w:rPr>
        <w:t>Keywords</w:t>
      </w:r>
      <w:r w:rsidRPr="005D7C35">
        <w:rPr>
          <w:rFonts w:cs="Times New Roman"/>
        </w:rPr>
        <w:t>: Fiscal deficit, Revenue deficit, Capital expenditure, Economic growth, ARDL bounds testing, India</w:t>
      </w:r>
    </w:p>
    <w:p w14:paraId="0B4CEB73" w14:textId="77777777" w:rsidR="00BA2E4A" w:rsidRPr="005D7C35" w:rsidRDefault="00BA2E4A" w:rsidP="009E201F">
      <w:pPr>
        <w:rPr>
          <w:rFonts w:cs="Times New Roman"/>
        </w:rPr>
      </w:pPr>
      <w:r w:rsidRPr="005D7C35">
        <w:rPr>
          <w:rFonts w:cs="Times New Roman"/>
          <w:b/>
        </w:rPr>
        <w:t>JEL Classifications</w:t>
      </w:r>
      <w:r w:rsidRPr="005D7C35">
        <w:rPr>
          <w:rFonts w:cs="Times New Roman"/>
        </w:rPr>
        <w:t xml:space="preserve">: </w:t>
      </w:r>
      <w:r w:rsidRPr="005D7C35">
        <w:rPr>
          <w:rStyle w:val="Strong"/>
          <w:rFonts w:cs="Times New Roman"/>
          <w:szCs w:val="24"/>
        </w:rPr>
        <w:t>E62</w:t>
      </w:r>
      <w:r w:rsidRPr="005D7C35">
        <w:rPr>
          <w:rFonts w:cs="Times New Roman"/>
        </w:rPr>
        <w:t xml:space="preserve">, </w:t>
      </w:r>
      <w:r w:rsidRPr="005D7C35">
        <w:rPr>
          <w:rStyle w:val="Strong"/>
          <w:rFonts w:cs="Times New Roman"/>
          <w:szCs w:val="24"/>
        </w:rPr>
        <w:t>O47</w:t>
      </w:r>
      <w:r w:rsidRPr="005D7C35">
        <w:rPr>
          <w:rFonts w:cs="Times New Roman"/>
        </w:rPr>
        <w:t xml:space="preserve">, </w:t>
      </w:r>
      <w:r w:rsidRPr="005D7C35">
        <w:rPr>
          <w:rStyle w:val="Strong"/>
          <w:rFonts w:cs="Times New Roman"/>
          <w:szCs w:val="24"/>
        </w:rPr>
        <w:t>C32</w:t>
      </w:r>
      <w:r w:rsidRPr="005D7C35">
        <w:rPr>
          <w:rFonts w:cs="Times New Roman"/>
        </w:rPr>
        <w:t xml:space="preserve"> </w:t>
      </w:r>
    </w:p>
    <w:p w14:paraId="20F162EF" w14:textId="77777777" w:rsidR="00B3362E" w:rsidRPr="005D7C35" w:rsidRDefault="00B3362E" w:rsidP="009E201F">
      <w:pPr>
        <w:rPr>
          <w:rFonts w:cs="Times New Roman"/>
          <w:b/>
          <w:lang w:eastAsia="en-IN"/>
        </w:rPr>
      </w:pPr>
      <w:r w:rsidRPr="005D7C35">
        <w:rPr>
          <w:rFonts w:cs="Times New Roman"/>
          <w:b/>
          <w:lang w:eastAsia="en-IN"/>
        </w:rPr>
        <w:t xml:space="preserve">1. Introduction </w:t>
      </w:r>
    </w:p>
    <w:p w14:paraId="676D4197"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The relationship between fiscal deficits and economic growth has long occupied a central position in macroeconomic debates. Competing schools of thought continue to offer diverging perspectives: while neoclassical theory stresses that fiscal deficits crowd out private investment and impair growth through higher interest rates and inflationary pressures, Keynesian economics posits that deficit spending is essential to stimulate aggregate demand, especially in </w:t>
      </w:r>
      <w:r w:rsidRPr="005D7C35">
        <w:rPr>
          <w:rFonts w:eastAsia="Times New Roman" w:cs="Times New Roman"/>
          <w:szCs w:val="24"/>
          <w:lang w:eastAsia="en-IN"/>
        </w:rPr>
        <w:lastRenderedPageBreak/>
        <w:t>periods of slack. The tension between these views is particularly relevant for developing economies such as India, where fiscal policy is not merely a tool of stabilization but also a crucial driver of structural transformation and welfare spending.</w:t>
      </w:r>
    </w:p>
    <w:p w14:paraId="657A24BB"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India’s fiscal history reflects this complexity. The fiscal imbalances that emerged in the late 1980s culminated in the balance of payments crisis of 1991, which compelled policymakers to adopt a program of economic liberalization and fiscal consolidation. Since then, successive governments have attempted to balance the dual imperatives of fiscal prudence and developmental spending. The enactment of the </w:t>
      </w:r>
      <w:r w:rsidRPr="005D7C35">
        <w:rPr>
          <w:rFonts w:eastAsia="Times New Roman" w:cs="Times New Roman"/>
          <w:bCs/>
          <w:szCs w:val="24"/>
          <w:lang w:eastAsia="en-IN"/>
        </w:rPr>
        <w:t>Fiscal Responsibility and Budget Management (FRBM) Act, 2003</w:t>
      </w:r>
      <w:r w:rsidRPr="005D7C35">
        <w:rPr>
          <w:rFonts w:eastAsia="Times New Roman" w:cs="Times New Roman"/>
          <w:szCs w:val="24"/>
          <w:lang w:eastAsia="en-IN"/>
        </w:rPr>
        <w:t>, marked a watershed in India’s fiscal management, setting numerical targets for deficits and debt. Yet, economic exigencies such as the global financial crisis of 2008, the introduction of welfare schemes, and, more recently, the disruptions caused by demonetization and the Goods and Services Tax (GST) in 2016, have repeatedly led to deviations from these targets. Structural break analysis conducted in this study confirms that 2004 and 2016 represent turning points in India’s fiscal–growth trajectory, highlighting the instability of long-run relationships.</w:t>
      </w:r>
    </w:p>
    <w:p w14:paraId="19E002D6"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Despite an extensive body of empirical work, consensus on the growth impact of fiscal deficits in India remains elusive. Several studies argue that fiscal deficits have supported growth by expanding aggregate demand in line with Keynesian theory, while others emphasize the inflationary consequences, debt burdens, and crowding-out effects associated with persistent deficits. These contradictions partly reflect methodological choices. A large share of Indian studies </w:t>
      </w:r>
      <w:proofErr w:type="gramStart"/>
      <w:r w:rsidRPr="005D7C35">
        <w:rPr>
          <w:rFonts w:eastAsia="Times New Roman" w:cs="Times New Roman"/>
          <w:szCs w:val="24"/>
          <w:lang w:eastAsia="en-IN"/>
        </w:rPr>
        <w:t>rely</w:t>
      </w:r>
      <w:proofErr w:type="gramEnd"/>
      <w:r w:rsidRPr="005D7C35">
        <w:rPr>
          <w:rFonts w:eastAsia="Times New Roman" w:cs="Times New Roman"/>
          <w:szCs w:val="24"/>
          <w:lang w:eastAsia="en-IN"/>
        </w:rPr>
        <w:t xml:space="preserve"> on Johansen cointegration and related techniques that assume long-run stability among variables. However, this assumption appears unrealistic in the presence of structural breaks and policy regime shifts. The findings of the present study reinforce this point: no long-run cointegration is observed between GDP and fiscal indicators, yet strong short-run dynamics emerge, consistent with Keynesian predictions.</w:t>
      </w:r>
    </w:p>
    <w:p w14:paraId="41D98A9B"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The lack of consensus in prior work can be traced to several research gaps. First, findings across the Indian literature remain inconsistent, with positive, negative, and even insignificant relationships reported between deficits and growth. Second, methodological mismatches persist, as earlier studies frequently impose cointegration frameworks on data that violate their assumptions, particularly when variables are integrated of mixed orders. Third, structural breaks in India’s fiscal history—linked to reforms, crises, and policy innovations—are rarely accounted for, even though they clearly influence long-run stability. Fourth, much of the </w:t>
      </w:r>
      <w:r w:rsidRPr="005D7C35">
        <w:rPr>
          <w:rFonts w:eastAsia="Times New Roman" w:cs="Times New Roman"/>
          <w:szCs w:val="24"/>
          <w:lang w:eastAsia="en-IN"/>
        </w:rPr>
        <w:lastRenderedPageBreak/>
        <w:t xml:space="preserve">empirical work is narrowly focused on the fiscal deficit alone, overlooking the distinct roles of </w:t>
      </w:r>
      <w:r w:rsidRPr="005D7C35">
        <w:rPr>
          <w:rFonts w:eastAsia="Times New Roman" w:cs="Times New Roman"/>
          <w:bCs/>
          <w:szCs w:val="24"/>
          <w:lang w:eastAsia="en-IN"/>
        </w:rPr>
        <w:t>revenue deficit</w:t>
      </w:r>
      <w:r w:rsidRPr="005D7C35">
        <w:rPr>
          <w:rFonts w:eastAsia="Times New Roman" w:cs="Times New Roman"/>
          <w:szCs w:val="24"/>
          <w:lang w:eastAsia="en-IN"/>
        </w:rPr>
        <w:t xml:space="preserve"> and </w:t>
      </w:r>
      <w:r w:rsidRPr="005D7C35">
        <w:rPr>
          <w:rFonts w:eastAsia="Times New Roman" w:cs="Times New Roman"/>
          <w:bCs/>
          <w:szCs w:val="24"/>
          <w:lang w:eastAsia="en-IN"/>
        </w:rPr>
        <w:t>capital expenditure</w:t>
      </w:r>
      <w:r w:rsidRPr="005D7C35">
        <w:rPr>
          <w:rFonts w:eastAsia="Times New Roman" w:cs="Times New Roman"/>
          <w:szCs w:val="24"/>
          <w:lang w:eastAsia="en-IN"/>
        </w:rPr>
        <w:t xml:space="preserve"> in shaping the quality of fiscal policy. Finally, many studies stop short of connecting empirical evidence to the ongoing policy debates surrounding India’s fiscal consolidation path, the design of the FRBM Act, and the balance between infrastructure investment and welfare expenditure.</w:t>
      </w:r>
    </w:p>
    <w:p w14:paraId="51A7455B"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This study seeks to address these shortcomings through a comprehensive investigation of the fiscal deficit–growth nexus in India. Specifically, it examines the short-run and long-run relationships between GDP and three key fiscal indicators—gross fiscal deficit, revenue deficit, and capital expenditure—using the autoregressive distributed lag (ARDL) framework. By employing unit root tests (ADF and PP), the analysis confirms that the variables are a mix of </w:t>
      </w:r>
      <w:proofErr w:type="gramStart"/>
      <w:r w:rsidRPr="005D7C35">
        <w:rPr>
          <w:rFonts w:eastAsia="Times New Roman" w:cs="Times New Roman"/>
          <w:szCs w:val="24"/>
          <w:lang w:eastAsia="en-IN"/>
        </w:rPr>
        <w:t>I(</w:t>
      </w:r>
      <w:proofErr w:type="gramEnd"/>
      <w:r w:rsidRPr="005D7C35">
        <w:rPr>
          <w:rFonts w:eastAsia="Times New Roman" w:cs="Times New Roman"/>
          <w:szCs w:val="24"/>
          <w:lang w:eastAsia="en-IN"/>
        </w:rPr>
        <w:t>0) and I(1), which makes ARDL an appropriate choice. The bounds testing procedure reveals no evidence of long-run cointegration, a finding that is explained by the presence of structural breaks that destabilize long-run equilibria. However, the short-run ARDL dynamics reveal strong and statistically significant relationships: fiscal deficit is positively linked to GDP in the short run, while revenue deficit exerts a strong negative impact, and capital expenditure shows adverse short-run effects that may reflect implementation lags.</w:t>
      </w:r>
    </w:p>
    <w:p w14:paraId="191CA73A"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The contributions of this paper are threefold. Methodologically, it demonstrates the value of the ARDL bounds testing framework in contexts where traditional cointegration approaches are inappropriate due to mixed integration orders and structural instability. Analytically, it incorporates evidence from structural break tests to explain why the Indian economy exhibits no stable long-run equilibrium between fiscal and growth variables, thereby strengthening the case for focusing on short-run dynamics. Substantively, it provides a policy-relevant interpretation: fiscal deficits can indeed enhance growth in the short run, consistent with Keynesian economics, but the sustainability of such growth is undermined when deficits are driven by persistent revenue shortfalls rather than productive capital expenditure.</w:t>
      </w:r>
    </w:p>
    <w:p w14:paraId="7B481683" w14:textId="77777777" w:rsidR="00B3362E" w:rsidRPr="005D7C35" w:rsidRDefault="00B3362E" w:rsidP="009E201F">
      <w:pPr>
        <w:spacing w:before="100" w:beforeAutospacing="1" w:after="100" w:afterAutospacing="1" w:line="360" w:lineRule="auto"/>
        <w:jc w:val="both"/>
        <w:rPr>
          <w:rFonts w:eastAsia="Times New Roman" w:cs="Times New Roman"/>
          <w:szCs w:val="24"/>
          <w:lang w:eastAsia="en-IN"/>
        </w:rPr>
      </w:pPr>
      <w:r w:rsidRPr="005D7C35">
        <w:rPr>
          <w:rFonts w:eastAsia="Times New Roman" w:cs="Times New Roman"/>
          <w:szCs w:val="24"/>
          <w:lang w:eastAsia="en-IN"/>
        </w:rPr>
        <w:t xml:space="preserve">The remainder of the paper is structured as follows. Section 2 reviews the theoretical and empirical literature on fiscal deficits and growth, drawing on both international and Indian evidence. Section 3 outlines the data sources and methodological framework, including unit root tests, ARDL </w:t>
      </w:r>
      <w:proofErr w:type="spellStart"/>
      <w:r w:rsidRPr="005D7C35">
        <w:rPr>
          <w:rFonts w:eastAsia="Times New Roman" w:cs="Times New Roman"/>
          <w:szCs w:val="24"/>
          <w:lang w:eastAsia="en-IN"/>
        </w:rPr>
        <w:t>modeling</w:t>
      </w:r>
      <w:proofErr w:type="spellEnd"/>
      <w:r w:rsidRPr="005D7C35">
        <w:rPr>
          <w:rFonts w:eastAsia="Times New Roman" w:cs="Times New Roman"/>
          <w:szCs w:val="24"/>
          <w:lang w:eastAsia="en-IN"/>
        </w:rPr>
        <w:t xml:space="preserve">, and diagnostic checks. Section 4 presents the empirical results, including descriptive statistics, baseline regressions, ARDL estimation, bounds testing, and the error correction representation. Section 5 discusses the findings in the light of Keynesian and alternative theoretical perspectives, emphasizing the implications of structural breaks and fiscal </w:t>
      </w:r>
      <w:r w:rsidRPr="005D7C35">
        <w:rPr>
          <w:rFonts w:eastAsia="Times New Roman" w:cs="Times New Roman"/>
          <w:szCs w:val="24"/>
          <w:lang w:eastAsia="en-IN"/>
        </w:rPr>
        <w:lastRenderedPageBreak/>
        <w:t>policy design. Section 6 concludes with key policy implications for India’s fiscal strategy and avenues for future research.</w:t>
      </w:r>
    </w:p>
    <w:p w14:paraId="17949382" w14:textId="77777777" w:rsidR="005E2EB2" w:rsidRPr="005D7C35" w:rsidRDefault="005E2EB2" w:rsidP="009E201F">
      <w:pPr>
        <w:rPr>
          <w:rFonts w:cs="Times New Roman"/>
        </w:rPr>
      </w:pPr>
      <w:r w:rsidRPr="005D7C35">
        <w:rPr>
          <w:rStyle w:val="Strong"/>
          <w:rFonts w:cs="Times New Roman"/>
          <w:bCs w:val="0"/>
          <w:szCs w:val="24"/>
        </w:rPr>
        <w:t>2. Literature Review</w:t>
      </w:r>
    </w:p>
    <w:p w14:paraId="39EB95B4" w14:textId="77777777" w:rsidR="005E2EB2" w:rsidRPr="005D7C35" w:rsidRDefault="005E2EB2" w:rsidP="009E201F">
      <w:pPr>
        <w:pStyle w:val="NormalWeb"/>
        <w:spacing w:line="360" w:lineRule="auto"/>
        <w:jc w:val="both"/>
      </w:pPr>
      <w:r w:rsidRPr="005D7C35">
        <w:t>The nexus between fiscal deficits and economic growth has long been a contested topic in economic research. Competing theoretical frameworks provide contrasting predictions, while empirical evidence across countries, including India, has produced mixed and sometimes contradictory results. This section reviews the relevant literature in three strands: theoretical perspectives, international empirical evidence, and findings specific to India and South Asia.</w:t>
      </w:r>
    </w:p>
    <w:p w14:paraId="1DDAEC11" w14:textId="77777777" w:rsidR="005E2EB2" w:rsidRPr="005D7C35" w:rsidRDefault="005E2EB2" w:rsidP="009E201F">
      <w:pPr>
        <w:pStyle w:val="NormalWeb"/>
        <w:spacing w:line="360" w:lineRule="auto"/>
        <w:jc w:val="both"/>
      </w:pPr>
      <w:r w:rsidRPr="005D7C35">
        <w:t>Classical and neoclassical economics argue that fiscal deficits harm growth through crowding-out effects, higher interest rates, inflationary pressures, and debt overhang (Barro, 1974; Diamond, 1965; Modigliani, 1961). Persistent government borrowing, according to this view, diverts resources away from productive private investment and worsens intergenerational equity. Conversely, Keynesian economics posits that deficits can stimulate aggregate demand, especially under conditions of idle capacity, thereby supporting output and employment in the short run (Keynes, 1936; Blinder &amp; Solow, 1973). Keynesian frameworks also emphasize multiplier effects of government expenditure, especially when directed toward infrastructure and capital formation. A third position is Ricardian equivalence, which contends that rational agents internalize government budget constraints: deficits today imply future taxes, leading households to save more and offsetting fiscal stimulus (Barro, 1989).</w:t>
      </w:r>
    </w:p>
    <w:p w14:paraId="729EFB33" w14:textId="77777777" w:rsidR="005E2EB2" w:rsidRPr="005D7C35" w:rsidRDefault="005E2EB2" w:rsidP="009E201F">
      <w:pPr>
        <w:pStyle w:val="NormalWeb"/>
        <w:spacing w:line="360" w:lineRule="auto"/>
        <w:jc w:val="both"/>
      </w:pPr>
      <w:r w:rsidRPr="005D7C35">
        <w:t xml:space="preserve">Theoretical contributions thus underscore context dependence. The growth effects of deficits are not uniform but hinge on macroeconomic conditions, institutional credibility, and the composition of expenditure (Elmendorf &amp; Mankiw, 1999; </w:t>
      </w:r>
      <w:proofErr w:type="spellStart"/>
      <w:r w:rsidRPr="005D7C35">
        <w:t>Alesina</w:t>
      </w:r>
      <w:proofErr w:type="spellEnd"/>
      <w:r w:rsidRPr="005D7C35">
        <w:t xml:space="preserve"> &amp; </w:t>
      </w:r>
      <w:proofErr w:type="spellStart"/>
      <w:r w:rsidRPr="005D7C35">
        <w:t>Perotti</w:t>
      </w:r>
      <w:proofErr w:type="spellEnd"/>
      <w:r w:rsidRPr="005D7C35">
        <w:t xml:space="preserve">, 1996). Deficits </w:t>
      </w:r>
      <w:proofErr w:type="spellStart"/>
      <w:r w:rsidRPr="005D7C35">
        <w:t>channeled</w:t>
      </w:r>
      <w:proofErr w:type="spellEnd"/>
      <w:r w:rsidRPr="005D7C35">
        <w:t xml:space="preserve"> into capital formation may crowd in private investment, while those financing current consumption often fail to generate growth.</w:t>
      </w:r>
    </w:p>
    <w:p w14:paraId="5817C81D" w14:textId="77777777" w:rsidR="005E2EB2" w:rsidRPr="005D7C35" w:rsidRDefault="005E2EB2" w:rsidP="009E201F">
      <w:pPr>
        <w:pStyle w:val="NormalWeb"/>
        <w:spacing w:line="360" w:lineRule="auto"/>
        <w:jc w:val="both"/>
      </w:pPr>
      <w:r w:rsidRPr="005D7C35">
        <w:t xml:space="preserve">Empirical research in advanced economies often corroborates neoclassical predictions. Reinhart and Rogoff (2010) find that when debt-to-GDP ratios exceed 90 percent, economic growth slows significantly. Similarly, Afonso and Sousa (2012) show that fiscal consolidations in European economies can enhance growth when they improve long-run expectations. Studies in the U.S. and OECD countries also highlight that high deficits are associated with inflationary </w:t>
      </w:r>
      <w:r w:rsidRPr="005D7C35">
        <w:lastRenderedPageBreak/>
        <w:t>pressures and reduced private investment (Elmendorf &amp; Mankiw, 1999; Engen &amp; Hubbard, 2004).</w:t>
      </w:r>
    </w:p>
    <w:p w14:paraId="2364F2A7" w14:textId="77777777" w:rsidR="005E2EB2" w:rsidRPr="005D7C35" w:rsidRDefault="005E2EB2" w:rsidP="009E201F">
      <w:pPr>
        <w:pStyle w:val="NormalWeb"/>
        <w:spacing w:line="360" w:lineRule="auto"/>
        <w:jc w:val="both"/>
      </w:pPr>
      <w:r w:rsidRPr="005D7C35">
        <w:t>In contrast, evidence from developing countries is more nuanced. Easterly and Rebelo (1993) emphasize that fiscal deficits tied to infrastructure and public investment are positively correlated with growth in developing economies. Gupta et al. (2005) highlight that fiscal policy composition matters: expenditure on education and health fosters long-run growth, while subsidies and transfers often impede it. Adam and Bevan (2005), examining a panel of low-income countries, find that moderate deficits can support growth but that high and persistent deficits hinder sustainability. Studies from Latin America during the debt crisis of the 1980s illustrate how unchecked borrowing led to fiscal crises and stagnation (Tanzi &amp; Davoodi, 1997; Dornbusch &amp; Edwards, 1991).</w:t>
      </w:r>
    </w:p>
    <w:p w14:paraId="72BDBCA4" w14:textId="77777777" w:rsidR="005E2EB2" w:rsidRPr="005D7C35" w:rsidRDefault="005E2EB2" w:rsidP="009E201F">
      <w:pPr>
        <w:pStyle w:val="NormalWeb"/>
        <w:spacing w:line="360" w:lineRule="auto"/>
        <w:jc w:val="both"/>
      </w:pPr>
      <w:r w:rsidRPr="005D7C35">
        <w:t>Emerging economy evidence is mixed. Woo and Kumar (2015) suggest that higher fiscal deficits are associated with slower medium-term growth in a panel of 38 emerging economies, but effects vary depending on the efficiency of expenditure. In African economies, deficits financed by external borrowing often created debt distress, while domestically financed deficits sometimes supported short-term growth (</w:t>
      </w:r>
      <w:proofErr w:type="spellStart"/>
      <w:r w:rsidRPr="005D7C35">
        <w:t>Ndikumana</w:t>
      </w:r>
      <w:proofErr w:type="spellEnd"/>
      <w:r w:rsidRPr="005D7C35">
        <w:t xml:space="preserve"> &amp; </w:t>
      </w:r>
      <w:proofErr w:type="spellStart"/>
      <w:r w:rsidRPr="005D7C35">
        <w:t>Pickbourn</w:t>
      </w:r>
      <w:proofErr w:type="spellEnd"/>
      <w:r w:rsidRPr="005D7C35">
        <w:t>, 2017).</w:t>
      </w:r>
    </w:p>
    <w:p w14:paraId="73FAE6D2" w14:textId="77777777" w:rsidR="005E2EB2" w:rsidRPr="005D7C35" w:rsidRDefault="005E2EB2" w:rsidP="009E201F">
      <w:pPr>
        <w:pStyle w:val="NormalWeb"/>
        <w:spacing w:line="360" w:lineRule="auto"/>
        <w:jc w:val="both"/>
      </w:pPr>
      <w:r w:rsidRPr="005D7C35">
        <w:t>South Asia has been a focus of fiscal policy research given persistent deficits and structural constraints. In Pakistan, Abbas and Christensen (2010) show that sustained deficits increased debt burdens and crowded out investment, constraining growth. Sri Lanka and Bangladesh face similar challenges, with studies highlighting short-run benefits but long-run sustainability risks (Haider &amp; Khan, 2008; Hossain, 2015).</w:t>
      </w:r>
    </w:p>
    <w:p w14:paraId="7B76013E" w14:textId="77777777" w:rsidR="005E2EB2" w:rsidRPr="005D7C35" w:rsidRDefault="005E2EB2" w:rsidP="009E201F">
      <w:pPr>
        <w:pStyle w:val="NormalWeb"/>
        <w:spacing w:line="360" w:lineRule="auto"/>
        <w:jc w:val="both"/>
      </w:pPr>
      <w:r w:rsidRPr="005D7C35">
        <w:t xml:space="preserve">In India, findings are strikingly divergent. Early work by Rangarajan and Srivastava (2005) emphasized the inflationary and crowding-out effects of deficits during the pre-liberalization period. Buiter and Patel (2010) argue that persistent revenue deficits have constrained India’s fiscal space. In contrast, Bose and </w:t>
      </w:r>
      <w:proofErr w:type="spellStart"/>
      <w:r w:rsidRPr="005D7C35">
        <w:t>Bhanumurthy</w:t>
      </w:r>
      <w:proofErr w:type="spellEnd"/>
      <w:r w:rsidRPr="005D7C35">
        <w:t xml:space="preserve"> (2015) find that fiscal policy played a countercyclical role in supporting growth during downturns. Mohan (2004) underscores that the quality of expenditure is crucial: capital spending has positive effects, while consumption-driven deficits are harmful. Reserve Bank of India (2019) reports echo this concern, warning that high revenue deficits undermine fiscal sustainability.</w:t>
      </w:r>
    </w:p>
    <w:p w14:paraId="791AAA92" w14:textId="77777777" w:rsidR="005E2EB2" w:rsidRPr="005D7C35" w:rsidRDefault="005E2EB2" w:rsidP="009E201F">
      <w:pPr>
        <w:pStyle w:val="NormalWeb"/>
        <w:spacing w:line="360" w:lineRule="auto"/>
        <w:jc w:val="both"/>
      </w:pPr>
      <w:r w:rsidRPr="005D7C35">
        <w:lastRenderedPageBreak/>
        <w:t>Methodological differences contribute to divergent findings. Studies applying Johansen cointegration often report mixed results. Narayan (2005) finds evidence of long-run cointegration between fiscal deficit and GDP, whereas Jain and Kumar (2013) report no such relationship. Kumar and Woo (2015) emphasize that ignoring structural breaks can yield misleading conclusions. Structural break tests are particularly relevant for India given major fiscal regime shifts, including the high-growth years of 2004–08 and disruptions from demonetization and GST in 2016. The evidence of breaks explains why cointegration fails and why ARDL models are better suited to capture short-run dynamics.</w:t>
      </w:r>
    </w:p>
    <w:p w14:paraId="0F0E9768" w14:textId="77777777" w:rsidR="005E2EB2" w:rsidRPr="005D7C35" w:rsidRDefault="005E2EB2" w:rsidP="009E201F">
      <w:pPr>
        <w:pStyle w:val="NormalWeb"/>
        <w:spacing w:line="360" w:lineRule="auto"/>
        <w:jc w:val="both"/>
      </w:pPr>
      <w:r w:rsidRPr="005D7C35">
        <w:t xml:space="preserve">Recent studies highlight the importance of disaggregating fiscal indicators. Revenue deficits, fiscal deficits, and capital expenditure play different roles in growth dynamics (Bose &amp; </w:t>
      </w:r>
      <w:proofErr w:type="spellStart"/>
      <w:r w:rsidRPr="005D7C35">
        <w:t>Bhanumurthy</w:t>
      </w:r>
      <w:proofErr w:type="spellEnd"/>
      <w:r w:rsidRPr="005D7C35">
        <w:t>, 2015; Mohanty &amp; Misra, 2016). Capital expenditure tends to crowd in private investment, while persistent revenue deficits represent unproductive borrowing. Empirical results in this study resonate with these insights: fiscal deficit is positively linked to GDP in the short run, while revenue deficit exerts negative effects.</w:t>
      </w:r>
    </w:p>
    <w:p w14:paraId="3DD327B4" w14:textId="77777777" w:rsidR="005E2EB2" w:rsidRPr="005D7C35" w:rsidRDefault="005E2EB2" w:rsidP="009E201F">
      <w:pPr>
        <w:pStyle w:val="NormalWeb"/>
        <w:spacing w:line="360" w:lineRule="auto"/>
        <w:jc w:val="both"/>
      </w:pPr>
      <w:r w:rsidRPr="005D7C35">
        <w:t>Overall, the literature underscores three points. First, theoretical perspectives provide competing predictions, highlighting the need for context-specific empirical analysis. Second, international and South Asian evidence shows that fiscal deficits may stimulate growth in the short run but often undermine long-run sustainability when associated with persistent imbalances. Third, in India, evidence is inconsistent due to methodological choices, neglect of structural breaks, and failure to disaggregate fiscal indicators. This paper addresses these gaps by employing the ARDL framework, incorporating structural break analysis, and distinguishing between fiscal deficit, revenue deficit, and capital expenditure.</w:t>
      </w:r>
    </w:p>
    <w:p w14:paraId="68A703B2" w14:textId="77777777" w:rsidR="000C1BBC" w:rsidRPr="005D7C35" w:rsidRDefault="000C1BBC" w:rsidP="002D0433">
      <w:pPr>
        <w:rPr>
          <w:rFonts w:cs="Times New Roman"/>
        </w:rPr>
      </w:pPr>
      <w:r w:rsidRPr="005D7C35">
        <w:rPr>
          <w:rStyle w:val="Strong"/>
          <w:rFonts w:cs="Times New Roman"/>
          <w:bCs w:val="0"/>
          <w:szCs w:val="24"/>
        </w:rPr>
        <w:t>3.1 Data Description</w:t>
      </w:r>
    </w:p>
    <w:p w14:paraId="6A45C5AA" w14:textId="77777777" w:rsidR="002D0433" w:rsidRPr="005D7C35" w:rsidRDefault="002D0433" w:rsidP="002D0433">
      <w:pPr>
        <w:pStyle w:val="NormalWeb"/>
        <w:spacing w:line="360" w:lineRule="auto"/>
        <w:jc w:val="both"/>
      </w:pPr>
      <w:r w:rsidRPr="005D7C35">
        <w:t xml:space="preserve">The analysis in this study is based on annual time-series data for India covering the period from 1980 to 2023. Four key macroeconomic variables are considered to capture the interaction between fiscal policy and economic growth. The dependent variable is Gross Domestic Product (GDP) at constant prices, which is transformed into its natural logarithm (LN_GDP) to stabilize variance and interpret coefficients in elasticity form. Fiscal indicators include the Gross Fiscal Deficit (GFD), expressed as a ratio to GDP and log-transformed (LN_GFD); the Revenue Deficit (RD), measured as a proportion of GDP (RD_GDP); and Capital Expenditure (CE), also scaled as a proportion of GDP (CE_GDP). The selection of these variables is consistent </w:t>
      </w:r>
      <w:r w:rsidRPr="005D7C35">
        <w:lastRenderedPageBreak/>
        <w:t xml:space="preserve">with previous studies that emphasize the importance of distinguishing between overall fiscal imbalance, the quality of expenditure, and the allocation between consumption and investment spending (Rangarajan &amp; Srivastava, 2005; Bose &amp; </w:t>
      </w:r>
      <w:proofErr w:type="spellStart"/>
      <w:r w:rsidRPr="005D7C35">
        <w:t>Bhanumurthy</w:t>
      </w:r>
      <w:proofErr w:type="spellEnd"/>
      <w:r w:rsidRPr="005D7C35">
        <w:t>, 2015).</w:t>
      </w:r>
    </w:p>
    <w:p w14:paraId="11BCEA38" w14:textId="77777777" w:rsidR="002D0433" w:rsidRPr="005D7C35" w:rsidRDefault="002D0433" w:rsidP="002D0433">
      <w:pPr>
        <w:pStyle w:val="NormalWeb"/>
        <w:spacing w:line="360" w:lineRule="auto"/>
        <w:jc w:val="both"/>
      </w:pPr>
      <w:r w:rsidRPr="005D7C35">
        <w:t>Data for all variables were obtained from authoritative domestic sources, namely the Reserve Bank of India’s Handbook of Statistics and the Union Budget documents of the Ministry of Finance, which ensures reliability and comparability across years. The decision to scale fiscal variables by GDP enhances their interpretability, allowing the analysis to focus on relative fiscal burdens rather than absolute values that may be influenced by inflation or nominal shocks.</w:t>
      </w:r>
    </w:p>
    <w:p w14:paraId="1772298F" w14:textId="77777777" w:rsidR="000C1BBC" w:rsidRPr="005D7C35" w:rsidRDefault="002D0433" w:rsidP="002D0433">
      <w:pPr>
        <w:pStyle w:val="NormalWeb"/>
        <w:spacing w:line="360" w:lineRule="auto"/>
        <w:jc w:val="both"/>
      </w:pPr>
      <w:r w:rsidRPr="005D7C35">
        <w:t xml:space="preserve">Preliminary descriptive statistics, summarized in Table 1, suggest that the series are generally well behaved. Measures of skewness are close to zero, indicating near symmetry, while kurtosis values are reasonably close to the normal benchmark of three. The Jarque–Bera test further supports the hypothesis of normality in the residual distributions, suggesting that the dataset is suitable for econometric </w:t>
      </w:r>
      <w:proofErr w:type="spellStart"/>
      <w:r w:rsidRPr="005D7C35">
        <w:t>modeling</w:t>
      </w:r>
      <w:proofErr w:type="spellEnd"/>
      <w:r w:rsidRPr="005D7C35">
        <w:t>. These preliminary results provide confidence in the robustness of subsequent estimation procedures.</w:t>
      </w:r>
    </w:p>
    <w:p w14:paraId="11B103CE" w14:textId="77777777" w:rsidR="000F5D84" w:rsidRPr="005D7C35" w:rsidRDefault="000F5D84" w:rsidP="002D0433">
      <w:pPr>
        <w:rPr>
          <w:rFonts w:cs="Times New Roman"/>
        </w:rPr>
      </w:pPr>
      <w:r w:rsidRPr="005D7C35">
        <w:rPr>
          <w:rStyle w:val="Strong"/>
          <w:rFonts w:cs="Times New Roman"/>
          <w:bCs w:val="0"/>
          <w:szCs w:val="24"/>
        </w:rPr>
        <w:t>3.2 Econometric Methodology</w:t>
      </w:r>
    </w:p>
    <w:p w14:paraId="4EEBB9CC" w14:textId="77777777" w:rsidR="000F5D84" w:rsidRPr="005D7C35" w:rsidRDefault="000F5D84" w:rsidP="009E201F">
      <w:pPr>
        <w:pStyle w:val="NormalWeb"/>
        <w:spacing w:line="360" w:lineRule="auto"/>
        <w:jc w:val="both"/>
      </w:pPr>
      <w:r w:rsidRPr="005D7C35">
        <w:t xml:space="preserve">The empirical strategy of this study proceeds in three stages. The first step is to determine the time-series properties of the variables, since regressions involving non-stationary data can produce spurious results (Granger &amp; Newbold, 1974). For this purpose, </w:t>
      </w:r>
      <w:r w:rsidR="002D0433" w:rsidRPr="005D7C35">
        <w:t>both the Augmented Dickey–Fuller (ADF) test (Dickey &amp; Fuller, 1979) and the Phillips–Perron (PP) test (Phillips &amp; Perron, 1988) are applied. The general form of the ADF test is expressed as:</w:t>
      </w:r>
    </w:p>
    <w:p w14:paraId="44439748" w14:textId="77777777" w:rsidR="000E0537" w:rsidRPr="005D7C35" w:rsidRDefault="000E0537" w:rsidP="009E201F">
      <w:pPr>
        <w:spacing w:line="360" w:lineRule="auto"/>
        <w:jc w:val="both"/>
        <w:rPr>
          <w:rStyle w:val="katex-mathml"/>
          <w:rFonts w:cs="Times New Roman"/>
          <w:szCs w:val="24"/>
        </w:rPr>
      </w:pPr>
      <m:oMathPara>
        <m:oMath>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m:t>
              </m:r>
            </m:sub>
          </m:sSub>
          <m:r>
            <w:rPr>
              <w:rStyle w:val="katex-mathml"/>
              <w:rFonts w:ascii="Cambria Math" w:hAnsi="Cambria Math" w:cs="Times New Roman"/>
              <w:szCs w:val="24"/>
            </w:rPr>
            <m:t>=α+βt+γ</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t-1</m:t>
              </m:r>
            </m:sub>
          </m:sSub>
          <m:r>
            <w:rPr>
              <w:rStyle w:val="katex-mathml"/>
              <w:rFonts w:ascii="Cambria Math" w:hAnsi="Cambria Math" w:cs="Times New Roman"/>
              <w:szCs w:val="24"/>
            </w:rPr>
            <m:t>+</m:t>
          </m:r>
          <m:nary>
            <m:naryPr>
              <m:chr m:val="∑"/>
              <m:limLoc m:val="undOvr"/>
              <m:ctrlPr>
                <w:rPr>
                  <w:rStyle w:val="katex-mathml"/>
                  <w:rFonts w:ascii="Cambria Math" w:hAnsi="Cambria Math" w:cs="Times New Roman"/>
                  <w:i/>
                  <w:szCs w:val="24"/>
                </w:rPr>
              </m:ctrlPr>
            </m:naryPr>
            <m:sub>
              <m:r>
                <w:rPr>
                  <w:rStyle w:val="katex-mathml"/>
                  <w:rFonts w:ascii="Cambria Math" w:hAnsi="Cambria Math" w:cs="Times New Roman"/>
                  <w:szCs w:val="24"/>
                </w:rPr>
                <m:t>i=1</m:t>
              </m:r>
            </m:sub>
            <m:sup>
              <m:r>
                <w:rPr>
                  <w:rStyle w:val="katex-mathml"/>
                  <w:rFonts w:ascii="Cambria Math" w:hAnsi="Cambria Math" w:cs="Times New Roman"/>
                  <w:szCs w:val="24"/>
                </w:rPr>
                <m:t>p</m:t>
              </m:r>
            </m:sup>
            <m:e>
              <m:sSub>
                <m:sSubPr>
                  <m:ctrlPr>
                    <w:rPr>
                      <w:rStyle w:val="katex-mathml"/>
                      <w:rFonts w:ascii="Cambria Math" w:hAnsi="Cambria Math" w:cs="Times New Roman"/>
                      <w:i/>
                      <w:szCs w:val="24"/>
                    </w:rPr>
                  </m:ctrlPr>
                </m:sSubPr>
                <m:e>
                  <m:r>
                    <w:rPr>
                      <w:rStyle w:val="katex-mathml"/>
                      <w:rFonts w:ascii="Cambria Math" w:hAnsi="Cambria Math" w:cs="Times New Roman"/>
                      <w:szCs w:val="24"/>
                    </w:rPr>
                    <m:t>δ</m:t>
                  </m:r>
                </m:e>
                <m:sub>
                  <m:r>
                    <w:rPr>
                      <w:rStyle w:val="katex-mathml"/>
                      <w:rFonts w:ascii="Cambria Math" w:hAnsi="Cambria Math" w:cs="Times New Roman"/>
                      <w:szCs w:val="24"/>
                    </w:rPr>
                    <m:t>i</m:t>
                  </m:r>
                </m:sub>
              </m:sSub>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Y</m:t>
                  </m:r>
                </m:e>
                <m:sub>
                  <m:r>
                    <w:rPr>
                      <w:rStyle w:val="katex-mathml"/>
                      <w:rFonts w:ascii="Cambria Math" w:hAnsi="Cambria Math" w:cs="Times New Roman"/>
                      <w:szCs w:val="24"/>
                    </w:rPr>
                    <m:t>t-i</m:t>
                  </m:r>
                </m:sub>
              </m:sSub>
            </m:e>
          </m:nary>
          <m:r>
            <w:rPr>
              <w:rStyle w:val="katex-mathml"/>
              <w:rFonts w:ascii="Cambria Math"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14:paraId="700F8CA1" w14:textId="77777777" w:rsidR="000F5D84" w:rsidRPr="005D7C35" w:rsidRDefault="000F5D84" w:rsidP="009E201F">
      <w:pPr>
        <w:pStyle w:val="NormalWeb"/>
        <w:spacing w:line="360" w:lineRule="auto"/>
        <w:jc w:val="both"/>
      </w:pPr>
      <w:r w:rsidRPr="005D7C35">
        <w:t xml:space="preserve">where </w:t>
      </w:r>
      <w:proofErr w:type="spellStart"/>
      <w:r w:rsidRPr="005D7C35">
        <w:rPr>
          <w:rStyle w:val="katex-mathml"/>
        </w:rPr>
        <w:t>Y</w:t>
      </w:r>
      <w:r w:rsidRPr="005D7C35">
        <w:rPr>
          <w:rStyle w:val="katex-mathml"/>
          <w:vertAlign w:val="subscript"/>
        </w:rPr>
        <w:t>t</w:t>
      </w:r>
      <w:proofErr w:type="spellEnd"/>
      <w:r w:rsidRPr="005D7C35">
        <w:rPr>
          <w:rStyle w:val="vlist-s"/>
        </w:rPr>
        <w:t>​</w:t>
      </w:r>
      <w:r w:rsidRPr="005D7C35">
        <w:t xml:space="preserve"> represents the variable under consideration, </w:t>
      </w:r>
      <w:r w:rsidRPr="005D7C35">
        <w:rPr>
          <w:rStyle w:val="katex-mathml"/>
        </w:rPr>
        <w:t>Δ</w:t>
      </w:r>
      <w:r w:rsidRPr="005D7C35">
        <w:t xml:space="preserve"> is the difference operator, and </w:t>
      </w:r>
      <w:r w:rsidRPr="005D7C35">
        <w:rPr>
          <w:rStyle w:val="katex-mathml"/>
        </w:rPr>
        <w:t>p</w:t>
      </w:r>
      <w:r w:rsidRPr="005D7C35">
        <w:t xml:space="preserve"> is the number of lags. The null hypothesis of a unit root (</w:t>
      </w:r>
      <w:r w:rsidRPr="005D7C35">
        <w:rPr>
          <w:rStyle w:val="katex-mathml"/>
        </w:rPr>
        <w:t>γ=0</w:t>
      </w:r>
      <w:r w:rsidRPr="005D7C35">
        <w:t>) implies non-stationarity, while the alternative hypothesis (</w:t>
      </w:r>
      <w:r w:rsidRPr="005D7C35">
        <w:rPr>
          <w:rStyle w:val="katex-mathml"/>
        </w:rPr>
        <w:t>γ&lt;0</w:t>
      </w:r>
      <w:r w:rsidRPr="005D7C35">
        <w:t>) indicates stationarity. The PP test modifies this procedure by applying non-parametric corrections for serial correlation and heteroskedasticity.</w:t>
      </w:r>
    </w:p>
    <w:p w14:paraId="1F92F6C6" w14:textId="77777777" w:rsidR="000F5D84" w:rsidRPr="005D7C35" w:rsidRDefault="000F5D84" w:rsidP="009E201F">
      <w:pPr>
        <w:pStyle w:val="NormalWeb"/>
        <w:spacing w:line="360" w:lineRule="auto"/>
        <w:jc w:val="both"/>
      </w:pPr>
      <w:r w:rsidRPr="005D7C35">
        <w:t xml:space="preserve">Results from these tests reveal that GDP, fiscal deficit, and capital expenditure are integrated of order one, while revenue deficit is integrated of order zero. The mixture of integration orders </w:t>
      </w:r>
      <w:r w:rsidRPr="005D7C35">
        <w:lastRenderedPageBreak/>
        <w:t xml:space="preserve">makes the </w:t>
      </w:r>
      <w:r w:rsidRPr="005D7C35">
        <w:rPr>
          <w:rStyle w:val="Strong"/>
          <w:b w:val="0"/>
        </w:rPr>
        <w:t>Autoregressive Distributed Lag (ARDL)</w:t>
      </w:r>
      <w:r w:rsidRPr="005D7C35">
        <w:t xml:space="preserve"> framework appropriate. The ARDL model, developed by </w:t>
      </w:r>
      <w:proofErr w:type="spellStart"/>
      <w:r w:rsidRPr="005D7C35">
        <w:t>Pesaran</w:t>
      </w:r>
      <w:proofErr w:type="spellEnd"/>
      <w:r w:rsidRPr="005D7C35">
        <w:t xml:space="preserve">, Shin, and Smith (2001), allows estimation of both short-run and long-run relationships regardless of whether regressors are </w:t>
      </w:r>
      <w:proofErr w:type="gramStart"/>
      <w:r w:rsidRPr="005D7C35">
        <w:t>I(</w:t>
      </w:r>
      <w:proofErr w:type="gramEnd"/>
      <w:r w:rsidRPr="005D7C35">
        <w:t xml:space="preserve">0) or I(1), provided none are I(2). The general </w:t>
      </w:r>
      <w:proofErr w:type="gramStart"/>
      <w:r w:rsidRPr="005D7C35">
        <w:t>ARDL(</w:t>
      </w:r>
      <w:proofErr w:type="gramEnd"/>
      <w:r w:rsidRPr="005D7C35">
        <w:t>p, q₁, q₂, q₃) model in this study is specified as:</w:t>
      </w:r>
    </w:p>
    <w:p w14:paraId="6411CE30" w14:textId="77777777" w:rsidR="00CE0661" w:rsidRPr="005D7C35" w:rsidRDefault="006D6408" w:rsidP="009E201F">
      <w:pPr>
        <w:spacing w:line="360" w:lineRule="auto"/>
        <w:jc w:val="both"/>
        <w:rPr>
          <w:rFonts w:cs="Times New Roman"/>
          <w:szCs w:val="24"/>
        </w:rPr>
      </w:pPr>
      <m:oMathPara>
        <m:oMath>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m:t>
              </m:r>
            </m:sub>
          </m:sSub>
          <m:r>
            <w:rPr>
              <w:rStyle w:val="vlist-s"/>
              <w:rFonts w:ascii="Cambria Math" w:hAnsi="Cambria Math" w:cs="Times New Roman"/>
              <w:szCs w:val="24"/>
            </w:rPr>
            <m:t>=</m:t>
          </m:r>
          <m:sSub>
            <m:sSubPr>
              <m:ctrlPr>
                <w:rPr>
                  <w:rStyle w:val="vlist-s"/>
                  <w:rFonts w:ascii="Cambria Math" w:hAnsi="Cambria Math" w:cs="Times New Roman"/>
                  <w:i/>
                  <w:szCs w:val="24"/>
                </w:rPr>
              </m:ctrlPr>
            </m:sSubPr>
            <m:e>
              <m:r>
                <w:rPr>
                  <w:rStyle w:val="vlist-s"/>
                  <w:rFonts w:ascii="Cambria Math" w:hAnsi="Cambria Math" w:cs="Times New Roman"/>
                  <w:szCs w:val="24"/>
                </w:rPr>
                <m:t>α</m:t>
              </m:r>
            </m:e>
            <m:sub>
              <m:r>
                <w:rPr>
                  <w:rStyle w:val="vlist-s"/>
                  <w:rFonts w:ascii="Cambria Math" w:hAnsi="Cambria Math" w:cs="Times New Roman"/>
                  <w:szCs w:val="24"/>
                </w:rPr>
                <m:t>0</m:t>
              </m:r>
            </m:sub>
          </m:sSub>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i=1</m:t>
              </m:r>
            </m:sub>
            <m:sup>
              <m:r>
                <w:rPr>
                  <w:rStyle w:val="vlist-s"/>
                  <w:rFonts w:ascii="Cambria Math" w:hAnsi="Cambria Math" w:cs="Times New Roman"/>
                  <w:szCs w:val="24"/>
                </w:rPr>
                <m:t>p</m:t>
              </m:r>
            </m:sup>
            <m:e>
              <m:sSub>
                <m:sSubPr>
                  <m:ctrlPr>
                    <w:rPr>
                      <w:rStyle w:val="vlist-s"/>
                      <w:rFonts w:ascii="Cambria Math" w:hAnsi="Cambria Math" w:cs="Times New Roman"/>
                      <w:i/>
                      <w:szCs w:val="24"/>
                    </w:rPr>
                  </m:ctrlPr>
                </m:sSubPr>
                <m:e>
                  <m:r>
                    <w:rPr>
                      <w:rStyle w:val="vlist-s"/>
                      <w:rFonts w:ascii="Cambria Math" w:hAnsi="Cambria Math" w:cs="Times New Roman"/>
                      <w:szCs w:val="24"/>
                    </w:rPr>
                    <m:t>ϕ</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j=0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1</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β</m:t>
                  </m:r>
                </m:e>
                <m:sub>
                  <m:r>
                    <w:rPr>
                      <w:rStyle w:val="vlist-s"/>
                      <w:rFonts w:ascii="Cambria Math" w:hAnsi="Cambria Math" w:cs="Times New Roman"/>
                      <w:szCs w:val="24"/>
                    </w:rPr>
                    <m:t>j</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LN_GFD</m:t>
                  </m:r>
                </m:e>
                <m:sub>
                  <m:r>
                    <w:rPr>
                      <w:rStyle w:val="vlist-s"/>
                      <w:rFonts w:ascii="Cambria Math" w:hAnsi="Cambria Math" w:cs="Times New Roman"/>
                      <w:szCs w:val="24"/>
                    </w:rPr>
                    <m:t>t-j</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k=0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2</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θ</m:t>
                  </m:r>
                </m:e>
                <m:sub>
                  <m:r>
                    <w:rPr>
                      <w:rStyle w:val="vlist-s"/>
                      <w:rFonts w:ascii="Cambria Math" w:hAnsi="Cambria Math" w:cs="Times New Roman"/>
                      <w:szCs w:val="24"/>
                    </w:rPr>
                    <m:t>k</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l=0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3</m:t>
                  </m:r>
                </m:sub>
              </m:sSub>
            </m:sup>
            <m:e>
              <m:sSub>
                <m:sSubPr>
                  <m:ctrlPr>
                    <w:rPr>
                      <w:rStyle w:val="vlist-s"/>
                      <w:rFonts w:ascii="Cambria Math" w:hAnsi="Cambria Math" w:cs="Times New Roman"/>
                      <w:i/>
                      <w:szCs w:val="24"/>
                    </w:rPr>
                  </m:ctrlPr>
                </m:sSubPr>
                <m:e>
                  <m:r>
                    <w:rPr>
                      <w:rStyle w:val="vlist-s"/>
                      <w:rFonts w:ascii="Cambria Math" w:hAnsi="Cambria Math" w:cs="Times New Roman"/>
                      <w:szCs w:val="24"/>
                    </w:rPr>
                    <m:t>λ</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RD_GDP</m:t>
                  </m:r>
                </m:e>
                <m:sub>
                  <m:r>
                    <w:rPr>
                      <w:rStyle w:val="vlist-s"/>
                      <w:rFonts w:ascii="Cambria Math" w:hAnsi="Cambria Math" w:cs="Times New Roman"/>
                      <w:szCs w:val="24"/>
                    </w:rPr>
                    <m:t>t-l</m:t>
                  </m:r>
                </m:sub>
              </m:sSub>
            </m:e>
          </m:nary>
          <m:r>
            <w:rPr>
              <w:rStyle w:val="vlist-s"/>
              <w:rFonts w:ascii="Cambria Math" w:eastAsiaTheme="minorEastAsia"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14:paraId="1A1FF37D" w14:textId="77777777" w:rsidR="000F5D84" w:rsidRPr="005D7C35" w:rsidRDefault="00CD3E44" w:rsidP="009E201F">
      <w:pPr>
        <w:pStyle w:val="NormalWeb"/>
        <w:spacing w:line="360" w:lineRule="auto"/>
        <w:jc w:val="both"/>
      </w:pPr>
      <w:r w:rsidRPr="005D7C35">
        <w:t xml:space="preserve">The second step involves testing for cointegration using the bounds testing approach proposed by </w:t>
      </w:r>
      <w:proofErr w:type="spellStart"/>
      <w:r w:rsidRPr="005D7C35">
        <w:t>Pesaran</w:t>
      </w:r>
      <w:proofErr w:type="spellEnd"/>
      <w:r w:rsidRPr="005D7C35">
        <w:t xml:space="preserve"> et al. (2001). For this purpose, the ARDL model is </w:t>
      </w:r>
      <w:proofErr w:type="spellStart"/>
      <w:r w:rsidRPr="005D7C35">
        <w:t>reparameterized</w:t>
      </w:r>
      <w:proofErr w:type="spellEnd"/>
      <w:r w:rsidRPr="005D7C35">
        <w:t xml:space="preserve"> into an Unrestricted Error Correction Model (UECM):</w:t>
      </w:r>
    </w:p>
    <w:p w14:paraId="56CCB30A" w14:textId="77777777" w:rsidR="00B71825" w:rsidRPr="005D7C35" w:rsidRDefault="006D6408" w:rsidP="009E201F">
      <w:pPr>
        <w:spacing w:line="360" w:lineRule="auto"/>
        <w:jc w:val="both"/>
        <w:rPr>
          <w:rFonts w:cs="Times New Roman"/>
          <w:szCs w:val="24"/>
        </w:rPr>
      </w:pPr>
      <m:oMathPara>
        <m:oMath>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LN_GDP</m:t>
              </m:r>
            </m:e>
            <m:sub>
              <m:r>
                <w:rPr>
                  <w:rStyle w:val="vlist-s"/>
                  <w:rFonts w:ascii="Cambria Math" w:hAnsi="Cambria Math" w:cs="Times New Roman"/>
                  <w:szCs w:val="24"/>
                </w:rPr>
                <m:t>t</m:t>
              </m:r>
            </m:sub>
          </m:sSub>
          <m:r>
            <w:rPr>
              <w:rStyle w:val="vlist-s"/>
              <w:rFonts w:ascii="Cambria Math" w:hAnsi="Cambria Math" w:cs="Times New Roman"/>
              <w:szCs w:val="24"/>
            </w:rPr>
            <m:t>=</m:t>
          </m:r>
          <m:sSub>
            <m:sSubPr>
              <m:ctrlPr>
                <w:rPr>
                  <w:rStyle w:val="vlist-s"/>
                  <w:rFonts w:ascii="Cambria Math" w:hAnsi="Cambria Math" w:cs="Times New Roman"/>
                  <w:i/>
                  <w:szCs w:val="24"/>
                </w:rPr>
              </m:ctrlPr>
            </m:sSubPr>
            <m:e>
              <m:r>
                <w:rPr>
                  <w:rStyle w:val="vlist-s"/>
                  <w:rFonts w:ascii="Cambria Math" w:hAnsi="Cambria Math" w:cs="Times New Roman"/>
                  <w:szCs w:val="24"/>
                </w:rPr>
                <m:t>α</m:t>
              </m:r>
            </m:e>
            <m:sub>
              <m:r>
                <w:rPr>
                  <w:rStyle w:val="vlist-s"/>
                  <w:rFonts w:ascii="Cambria Math" w:hAnsi="Cambria Math" w:cs="Times New Roman"/>
                  <w:szCs w:val="24"/>
                </w:rPr>
                <m:t>0</m:t>
              </m:r>
            </m:sub>
          </m:sSub>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i=1</m:t>
              </m:r>
            </m:sub>
            <m:sup>
              <m:r>
                <w:rPr>
                  <w:rStyle w:val="vlist-s"/>
                  <w:rFonts w:ascii="Cambria Math" w:hAnsi="Cambria Math" w:cs="Times New Roman"/>
                  <w:szCs w:val="24"/>
                </w:rPr>
                <m:t>p-1</m:t>
              </m:r>
            </m:sup>
            <m:e>
              <m:sSub>
                <m:sSubPr>
                  <m:ctrlPr>
                    <w:rPr>
                      <w:rStyle w:val="vlist-s"/>
                      <w:rFonts w:ascii="Cambria Math" w:hAnsi="Cambria Math" w:cs="Times New Roman"/>
                      <w:i/>
                      <w:szCs w:val="24"/>
                    </w:rPr>
                  </m:ctrlPr>
                </m:sSubPr>
                <m:e>
                  <m:r>
                    <w:rPr>
                      <w:rStyle w:val="vlist-s"/>
                      <w:rFonts w:ascii="Cambria Math" w:hAnsi="Cambria Math" w:cs="Times New Roman"/>
                      <w:szCs w:val="24"/>
                    </w:rPr>
                    <m:t>ϕ</m:t>
                  </m:r>
                </m:e>
                <m:sub>
                  <m:r>
                    <w:rPr>
                      <w:rStyle w:val="vlist-s"/>
                      <w:rFonts w:ascii="Cambria Math" w:hAnsi="Cambria Math" w:cs="Times New Roman"/>
                      <w:szCs w:val="24"/>
                    </w:rPr>
                    <m:t>t</m:t>
                  </m:r>
                </m:sub>
              </m:sSub>
              <m:r>
                <m:rPr>
                  <m:sty m:val="p"/>
                </m:rPr>
                <w:rPr>
                  <w:rFonts w:ascii="Cambria Math" w:eastAsia="Times New Roman" w:hAnsi="Cambria Math" w:cs="Times New Roman"/>
                  <w:szCs w:val="24"/>
                  <w:lang w:eastAsia="en-IN"/>
                </w:rPr>
                <m:t>Δ</m:t>
              </m:r>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j=0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1</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β</m:t>
                  </m:r>
                </m:e>
                <m:sub>
                  <m:r>
                    <w:rPr>
                      <w:rStyle w:val="vlist-s"/>
                      <w:rFonts w:ascii="Cambria Math" w:hAnsi="Cambria Math" w:cs="Times New Roman"/>
                      <w:szCs w:val="24"/>
                    </w:rPr>
                    <m:t>j</m:t>
                  </m:r>
                </m:sub>
              </m:sSub>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LN_GFD</m:t>
                  </m:r>
                </m:e>
                <m:sub>
                  <m:r>
                    <w:rPr>
                      <w:rStyle w:val="vlist-s"/>
                      <w:rFonts w:ascii="Cambria Math" w:hAnsi="Cambria Math" w:cs="Times New Roman"/>
                      <w:szCs w:val="24"/>
                    </w:rPr>
                    <m:t>t-j</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k=0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2</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θ</m:t>
                  </m:r>
                </m:e>
                <m:sub>
                  <m:r>
                    <w:rPr>
                      <w:rStyle w:val="vlist-s"/>
                      <w:rFonts w:ascii="Cambria Math" w:hAnsi="Cambria Math" w:cs="Times New Roman"/>
                      <w:szCs w:val="24"/>
                    </w:rPr>
                    <m:t>k</m:t>
                  </m:r>
                </m:sub>
              </m:sSub>
              <m:r>
                <m:rPr>
                  <m:sty m:val="p"/>
                </m:rPr>
                <w:rPr>
                  <w:rFonts w:ascii="Cambria Math" w:eastAsia="Times New Roman" w:hAnsi="Cambria Math" w:cs="Times New Roman"/>
                  <w:szCs w:val="24"/>
                  <w:lang w:eastAsia="en-IN"/>
                </w:rPr>
                <m:t>Δ</m:t>
              </m:r>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e>
          </m:nary>
          <m:r>
            <w:rPr>
              <w:rStyle w:val="vlist-s"/>
              <w:rFonts w:ascii="Cambria Math" w:hAnsi="Cambria Math" w:cs="Times New Roman"/>
              <w:szCs w:val="24"/>
            </w:rPr>
            <m:t>+</m:t>
          </m:r>
          <m:nary>
            <m:naryPr>
              <m:chr m:val="∑"/>
              <m:limLoc m:val="undOvr"/>
              <m:ctrlPr>
                <w:rPr>
                  <w:rStyle w:val="vlist-s"/>
                  <w:rFonts w:ascii="Cambria Math" w:hAnsi="Cambria Math" w:cs="Times New Roman"/>
                  <w:i/>
                  <w:szCs w:val="24"/>
                </w:rPr>
              </m:ctrlPr>
            </m:naryPr>
            <m:sub>
              <m:r>
                <w:rPr>
                  <w:rStyle w:val="vlist-s"/>
                  <w:rFonts w:ascii="Cambria Math" w:hAnsi="Cambria Math" w:cs="Times New Roman"/>
                  <w:szCs w:val="24"/>
                </w:rPr>
                <m:t>l=0</m:t>
              </m:r>
            </m:sub>
            <m:sup>
              <m:sSub>
                <m:sSubPr>
                  <m:ctrlPr>
                    <w:rPr>
                      <w:rStyle w:val="vlist-s"/>
                      <w:rFonts w:ascii="Cambria Math" w:hAnsi="Cambria Math" w:cs="Times New Roman"/>
                      <w:i/>
                      <w:szCs w:val="24"/>
                    </w:rPr>
                  </m:ctrlPr>
                </m:sSubPr>
                <m:e>
                  <m:r>
                    <w:rPr>
                      <w:rStyle w:val="vlist-s"/>
                      <w:rFonts w:ascii="Cambria Math" w:hAnsi="Cambria Math" w:cs="Times New Roman"/>
                      <w:szCs w:val="24"/>
                    </w:rPr>
                    <m:t>q</m:t>
                  </m:r>
                </m:e>
                <m:sub>
                  <m:r>
                    <w:rPr>
                      <w:rStyle w:val="vlist-s"/>
                      <w:rFonts w:ascii="Cambria Math" w:hAnsi="Cambria Math" w:cs="Times New Roman"/>
                      <w:szCs w:val="24"/>
                    </w:rPr>
                    <m:t>3</m:t>
                  </m:r>
                </m:sub>
              </m:sSub>
              <m:r>
                <w:rPr>
                  <w:rStyle w:val="vlist-s"/>
                  <w:rFonts w:ascii="Cambria Math" w:hAnsi="Cambria Math" w:cs="Times New Roman"/>
                  <w:szCs w:val="24"/>
                </w:rPr>
                <m:t>-1</m:t>
              </m:r>
            </m:sup>
            <m:e>
              <m:sSub>
                <m:sSubPr>
                  <m:ctrlPr>
                    <w:rPr>
                      <w:rStyle w:val="vlist-s"/>
                      <w:rFonts w:ascii="Cambria Math" w:hAnsi="Cambria Math" w:cs="Times New Roman"/>
                      <w:i/>
                      <w:szCs w:val="24"/>
                    </w:rPr>
                  </m:ctrlPr>
                </m:sSubPr>
                <m:e>
                  <m:r>
                    <w:rPr>
                      <w:rStyle w:val="vlist-s"/>
                      <w:rFonts w:ascii="Cambria Math" w:hAnsi="Cambria Math" w:cs="Times New Roman"/>
                      <w:szCs w:val="24"/>
                    </w:rPr>
                    <m:t>λ</m:t>
                  </m:r>
                </m:e>
                <m:sub>
                  <m:r>
                    <w:rPr>
                      <w:rStyle w:val="vlist-s"/>
                      <w:rFonts w:ascii="Cambria Math" w:hAnsi="Cambria Math" w:cs="Times New Roman"/>
                      <w:szCs w:val="24"/>
                    </w:rPr>
                    <m:t>t</m:t>
                  </m:r>
                </m:sub>
              </m:sSub>
              <m:sSub>
                <m:sSubPr>
                  <m:ctrlPr>
                    <w:rPr>
                      <w:rStyle w:val="vlist-s"/>
                      <w:rFonts w:ascii="Cambria Math" w:hAnsi="Cambria Math" w:cs="Times New Roman"/>
                      <w:i/>
                      <w:szCs w:val="24"/>
                    </w:rPr>
                  </m:ctrlPr>
                </m:sSubPr>
                <m:e>
                  <m:r>
                    <m:rPr>
                      <m:sty m:val="p"/>
                    </m:rPr>
                    <w:rPr>
                      <w:rFonts w:ascii="Cambria Math" w:eastAsia="Times New Roman" w:hAnsi="Cambria Math" w:cs="Times New Roman"/>
                      <w:szCs w:val="24"/>
                      <w:lang w:eastAsia="en-IN"/>
                    </w:rPr>
                    <m:t>Δ</m:t>
                  </m:r>
                  <m:r>
                    <w:rPr>
                      <w:rStyle w:val="vlist-s"/>
                      <w:rFonts w:ascii="Cambria Math" w:hAnsi="Cambria Math" w:cs="Times New Roman"/>
                      <w:szCs w:val="24"/>
                    </w:rPr>
                    <m:t>RD_GDP</m:t>
                  </m:r>
                </m:e>
                <m:sub>
                  <m:r>
                    <w:rPr>
                      <w:rStyle w:val="vlist-s"/>
                      <w:rFonts w:ascii="Cambria Math" w:hAnsi="Cambria Math" w:cs="Times New Roman"/>
                      <w:szCs w:val="24"/>
                    </w:rPr>
                    <m:t>t-l</m:t>
                  </m:r>
                </m:sub>
              </m:sSub>
            </m:e>
          </m:nary>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1</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LN_GDP</m:t>
              </m:r>
            </m:e>
            <m:sub>
              <m:r>
                <w:rPr>
                  <w:rStyle w:val="vlist-s"/>
                  <w:rFonts w:ascii="Cambria Math" w:hAnsi="Cambria Math" w:cs="Times New Roman"/>
                  <w:szCs w:val="24"/>
                </w:rPr>
                <m:t>t-1</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2</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LN_GFD</m:t>
              </m:r>
            </m:e>
            <m:sub>
              <m:r>
                <w:rPr>
                  <w:rStyle w:val="vlist-s"/>
                  <w:rFonts w:ascii="Cambria Math" w:hAnsi="Cambria Math" w:cs="Times New Roman"/>
                  <w:szCs w:val="24"/>
                </w:rPr>
                <m:t>t-j</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3</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CE_GDP</m:t>
              </m:r>
            </m:e>
            <m:sub>
              <m:r>
                <w:rPr>
                  <w:rStyle w:val="vlist-s"/>
                  <w:rFonts w:ascii="Cambria Math" w:hAnsi="Cambria Math" w:cs="Times New Roman"/>
                  <w:szCs w:val="24"/>
                </w:rPr>
                <m:t>t-k</m:t>
              </m:r>
            </m:sub>
          </m:sSub>
          <m:r>
            <w:rPr>
              <w:rStyle w:val="vlist-s"/>
              <w:rFonts w:ascii="Cambria Math" w:eastAsiaTheme="minorEastAsia" w:hAnsi="Cambria Math" w:cs="Times New Roman"/>
              <w:szCs w:val="24"/>
            </w:rPr>
            <m:t>+</m:t>
          </m:r>
          <m:sSub>
            <m:sSubPr>
              <m:ctrlPr>
                <w:rPr>
                  <w:rStyle w:val="vlist-s"/>
                  <w:rFonts w:ascii="Cambria Math" w:eastAsiaTheme="minorEastAsia" w:hAnsi="Cambria Math" w:cs="Times New Roman"/>
                  <w:i/>
                  <w:szCs w:val="24"/>
                </w:rPr>
              </m:ctrlPr>
            </m:sSubPr>
            <m:e>
              <m:r>
                <m:rPr>
                  <m:sty m:val="p"/>
                </m:rPr>
                <w:rPr>
                  <w:rFonts w:ascii="Cambria Math" w:eastAsia="Times New Roman" w:hAnsi="Cambria Math" w:cs="Times New Roman"/>
                  <w:szCs w:val="24"/>
                  <w:lang w:eastAsia="en-IN"/>
                </w:rPr>
                <m:t>ψ</m:t>
              </m:r>
            </m:e>
            <m:sub>
              <m:r>
                <w:rPr>
                  <w:rStyle w:val="vlist-s"/>
                  <w:rFonts w:ascii="Cambria Math" w:eastAsiaTheme="minorEastAsia" w:hAnsi="Cambria Math" w:cs="Times New Roman"/>
                  <w:szCs w:val="24"/>
                </w:rPr>
                <m:t>4</m:t>
              </m:r>
            </m:sub>
          </m:sSub>
          <m:sSub>
            <m:sSubPr>
              <m:ctrlPr>
                <w:rPr>
                  <w:rStyle w:val="vlist-s"/>
                  <w:rFonts w:ascii="Cambria Math" w:hAnsi="Cambria Math" w:cs="Times New Roman"/>
                  <w:i/>
                  <w:szCs w:val="24"/>
                </w:rPr>
              </m:ctrlPr>
            </m:sSubPr>
            <m:e>
              <m:r>
                <w:rPr>
                  <w:rStyle w:val="vlist-s"/>
                  <w:rFonts w:ascii="Cambria Math" w:hAnsi="Cambria Math" w:cs="Times New Roman"/>
                  <w:szCs w:val="24"/>
                </w:rPr>
                <m:t>RD_GDP</m:t>
              </m:r>
            </m:e>
            <m:sub>
              <m:r>
                <w:rPr>
                  <w:rStyle w:val="vlist-s"/>
                  <w:rFonts w:ascii="Cambria Math" w:hAnsi="Cambria Math" w:cs="Times New Roman"/>
                  <w:szCs w:val="24"/>
                </w:rPr>
                <m:t>t-l</m:t>
              </m:r>
            </m:sub>
          </m:sSub>
          <m:r>
            <w:rPr>
              <w:rStyle w:val="vlist-s"/>
              <w:rFonts w:ascii="Cambria Math" w:eastAsiaTheme="minorEastAsia" w:hAnsi="Cambria Math" w:cs="Times New Roman"/>
              <w:szCs w:val="24"/>
            </w:rPr>
            <m:t>+</m:t>
          </m:r>
          <m:sSub>
            <m:sSubPr>
              <m:ctrlPr>
                <w:rPr>
                  <w:rStyle w:val="katex-mathml"/>
                  <w:rFonts w:ascii="Cambria Math" w:hAnsi="Cambria Math" w:cs="Times New Roman"/>
                  <w:i/>
                  <w:szCs w:val="24"/>
                </w:rPr>
              </m:ctrlPr>
            </m:sSubPr>
            <m:e>
              <m:r>
                <w:rPr>
                  <w:rStyle w:val="katex-mathml"/>
                  <w:rFonts w:ascii="Cambria Math" w:hAnsi="Cambria Math" w:cs="Times New Roman"/>
                  <w:szCs w:val="24"/>
                </w:rPr>
                <m:t>ϵ</m:t>
              </m:r>
            </m:e>
            <m:sub>
              <m:r>
                <w:rPr>
                  <w:rStyle w:val="katex-mathml"/>
                  <w:rFonts w:ascii="Cambria Math" w:hAnsi="Cambria Math" w:cs="Times New Roman"/>
                  <w:szCs w:val="24"/>
                </w:rPr>
                <m:t>t</m:t>
              </m:r>
            </m:sub>
          </m:sSub>
        </m:oMath>
      </m:oMathPara>
    </w:p>
    <w:p w14:paraId="05FD5C0E" w14:textId="77777777" w:rsidR="000F5D84" w:rsidRPr="005D7C35" w:rsidRDefault="000F5D84" w:rsidP="009E201F">
      <w:pPr>
        <w:pStyle w:val="NormalWeb"/>
        <w:spacing w:line="360" w:lineRule="auto"/>
        <w:jc w:val="both"/>
      </w:pPr>
      <w:r w:rsidRPr="005D7C35">
        <w:t>The null hypothesis of no cointegration is tested through the joint insignificance of the lagged-level variables</w:t>
      </w:r>
      <m:oMath>
        <m:r>
          <m:rPr>
            <m:sty m:val="p"/>
          </m:rPr>
          <w:rPr>
            <w:rFonts w:ascii="Cambria Math" w:hAnsi="Cambria Math"/>
          </w:rPr>
          <m:t>(</m:t>
        </m:r>
        <m:r>
          <m:rPr>
            <m:sty m:val="p"/>
          </m:rPr>
          <w:rPr>
            <w:rStyle w:val="katex-mathml"/>
            <w:rFonts w:ascii="Cambria Math" w:hAnsi="Cambria Math"/>
          </w:rPr>
          <m:t>ψ1=ψ2=ψ3=ψ4=0</m:t>
        </m:r>
        <m:r>
          <m:rPr>
            <m:sty m:val="p"/>
          </m:rPr>
          <w:rPr>
            <w:rFonts w:ascii="Cambria Math" w:hAnsi="Cambria Math"/>
          </w:rPr>
          <m:t>)</m:t>
        </m:r>
      </m:oMath>
      <w:r w:rsidRPr="005D7C35">
        <w:t>. If the computed F-statistic exceeds the upper bound critical value, cointegration is established; if it falls below the lower bound, the null cannot be rejected.</w:t>
      </w:r>
    </w:p>
    <w:p w14:paraId="63C13B42" w14:textId="77777777" w:rsidR="000F5D84" w:rsidRPr="005D7C35" w:rsidRDefault="00CD3E44" w:rsidP="009E201F">
      <w:pPr>
        <w:pStyle w:val="NormalWeb"/>
        <w:spacing w:line="360" w:lineRule="auto"/>
        <w:jc w:val="both"/>
        <w:rPr>
          <w:noProof/>
        </w:rPr>
      </w:pPr>
      <w:r w:rsidRPr="005D7C35">
        <w:rPr>
          <w:noProof/>
        </w:rPr>
        <w:t>Finally, the short-run dynamics are captured using the Error Correction Model (ECM) representation:</w:t>
      </w:r>
    </w:p>
    <w:p w14:paraId="070B3955" w14:textId="77777777" w:rsidR="00CE0661" w:rsidRPr="005D7C35" w:rsidRDefault="006D6408" w:rsidP="009E201F">
      <w:pPr>
        <w:pStyle w:val="NormalWeb"/>
        <w:spacing w:line="360" w:lineRule="auto"/>
        <w:jc w:val="both"/>
      </w:pPr>
      <m:oMathPara>
        <m:oMath>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LN_GDP</m:t>
              </m:r>
            </m:e>
            <m:sub>
              <m:r>
                <w:rPr>
                  <w:rStyle w:val="vlist-s"/>
                  <w:rFonts w:ascii="Cambria Math" w:hAnsi="Cambria Math"/>
                </w:rPr>
                <m:t>t</m:t>
              </m:r>
            </m:sub>
          </m:sSub>
          <m:r>
            <w:rPr>
              <w:rStyle w:val="vlist-s"/>
              <w:rFonts w:ascii="Cambria Math" w:hAnsi="Cambria Math"/>
            </w:rPr>
            <m:t>=</m:t>
          </m:r>
          <m:sSub>
            <m:sSubPr>
              <m:ctrlPr>
                <w:rPr>
                  <w:rStyle w:val="vlist-s"/>
                  <w:rFonts w:ascii="Cambria Math" w:eastAsiaTheme="minorHAnsi" w:hAnsi="Cambria Math"/>
                  <w:i/>
                  <w:lang w:eastAsia="en-US"/>
                </w:rPr>
              </m:ctrlPr>
            </m:sSubPr>
            <m:e>
              <m:r>
                <w:rPr>
                  <w:rStyle w:val="vlist-s"/>
                  <w:rFonts w:ascii="Cambria Math" w:hAnsi="Cambria Math"/>
                </w:rPr>
                <m:t>α</m:t>
              </m:r>
            </m:e>
            <m:sub>
              <m:r>
                <w:rPr>
                  <w:rStyle w:val="vlist-s"/>
                  <w:rFonts w:ascii="Cambria Math" w:hAnsi="Cambria Math"/>
                </w:rPr>
                <m:t>0</m:t>
              </m:r>
            </m:sub>
          </m:sSub>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i=1</m:t>
              </m:r>
            </m:sub>
            <m:sup>
              <m:r>
                <w:rPr>
                  <w:rStyle w:val="vlist-s"/>
                  <w:rFonts w:ascii="Cambria Math" w:hAnsi="Cambria Math"/>
                </w:rPr>
                <m:t>p-1</m:t>
              </m:r>
            </m:sup>
            <m:e>
              <m:sSub>
                <m:sSubPr>
                  <m:ctrlPr>
                    <w:rPr>
                      <w:rStyle w:val="vlist-s"/>
                      <w:rFonts w:ascii="Cambria Math" w:eastAsiaTheme="minorHAnsi" w:hAnsi="Cambria Math"/>
                      <w:i/>
                      <w:lang w:eastAsia="en-US"/>
                    </w:rPr>
                  </m:ctrlPr>
                </m:sSubPr>
                <m:e>
                  <m:r>
                    <w:rPr>
                      <w:rStyle w:val="vlist-s"/>
                      <w:rFonts w:ascii="Cambria Math" w:hAnsi="Cambria Math"/>
                    </w:rPr>
                    <m:t>ϕ</m:t>
                  </m:r>
                </m:e>
                <m:sub>
                  <m:r>
                    <w:rPr>
                      <w:rStyle w:val="vlist-s"/>
                      <w:rFonts w:ascii="Cambria Math" w:hAnsi="Cambria Math"/>
                    </w:rPr>
                    <m:t>t</m:t>
                  </m:r>
                </m:sub>
              </m:sSub>
              <m:r>
                <m:rPr>
                  <m:sty m:val="p"/>
                </m:rPr>
                <w:rPr>
                  <w:rFonts w:ascii="Cambria Math" w:hAnsi="Cambria Math"/>
                </w:rPr>
                <m:t>Δ</m:t>
              </m:r>
              <m:sSub>
                <m:sSubPr>
                  <m:ctrlPr>
                    <w:rPr>
                      <w:rStyle w:val="vlist-s"/>
                      <w:rFonts w:ascii="Cambria Math" w:eastAsiaTheme="minorHAnsi" w:hAnsi="Cambria Math"/>
                      <w:i/>
                      <w:lang w:eastAsia="en-US"/>
                    </w:rPr>
                  </m:ctrlPr>
                </m:sSubPr>
                <m:e>
                  <m:r>
                    <w:rPr>
                      <w:rStyle w:val="vlist-s"/>
                      <w:rFonts w:ascii="Cambria Math" w:hAnsi="Cambria Math"/>
                    </w:rPr>
                    <m:t>LN_GDP</m:t>
                  </m:r>
                </m:e>
                <m:sub>
                  <m:r>
                    <w:rPr>
                      <w:rStyle w:val="vlist-s"/>
                      <w:rFonts w:ascii="Cambria Math" w:hAnsi="Cambria Math"/>
                    </w:rPr>
                    <m:t>t-1</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j=0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1</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β</m:t>
                  </m:r>
                </m:e>
                <m:sub>
                  <m:r>
                    <w:rPr>
                      <w:rStyle w:val="vlist-s"/>
                      <w:rFonts w:ascii="Cambria Math" w:hAnsi="Cambria Math"/>
                    </w:rPr>
                    <m:t>j</m:t>
                  </m:r>
                </m:sub>
              </m:sSub>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LN_GFD</m:t>
                  </m:r>
                </m:e>
                <m:sub>
                  <m:r>
                    <w:rPr>
                      <w:rStyle w:val="vlist-s"/>
                      <w:rFonts w:ascii="Cambria Math" w:hAnsi="Cambria Math"/>
                    </w:rPr>
                    <m:t>t-j</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k=0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2</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θ</m:t>
                  </m:r>
                </m:e>
                <m:sub>
                  <m:r>
                    <w:rPr>
                      <w:rStyle w:val="vlist-s"/>
                      <w:rFonts w:ascii="Cambria Math" w:hAnsi="Cambria Math"/>
                    </w:rPr>
                    <m:t>k</m:t>
                  </m:r>
                </m:sub>
              </m:sSub>
              <m:r>
                <m:rPr>
                  <m:sty m:val="p"/>
                </m:rPr>
                <w:rPr>
                  <w:rFonts w:ascii="Cambria Math" w:hAnsi="Cambria Math"/>
                </w:rPr>
                <m:t>Δ</m:t>
              </m:r>
              <m:sSub>
                <m:sSubPr>
                  <m:ctrlPr>
                    <w:rPr>
                      <w:rStyle w:val="vlist-s"/>
                      <w:rFonts w:ascii="Cambria Math" w:eastAsiaTheme="minorHAnsi" w:hAnsi="Cambria Math"/>
                      <w:i/>
                      <w:lang w:eastAsia="en-US"/>
                    </w:rPr>
                  </m:ctrlPr>
                </m:sSubPr>
                <m:e>
                  <m:r>
                    <w:rPr>
                      <w:rStyle w:val="vlist-s"/>
                      <w:rFonts w:ascii="Cambria Math" w:hAnsi="Cambria Math"/>
                    </w:rPr>
                    <m:t>CE_GDP</m:t>
                  </m:r>
                </m:e>
                <m:sub>
                  <m:r>
                    <w:rPr>
                      <w:rStyle w:val="vlist-s"/>
                      <w:rFonts w:ascii="Cambria Math" w:hAnsi="Cambria Math"/>
                    </w:rPr>
                    <m:t>t-k</m:t>
                  </m:r>
                </m:sub>
              </m:sSub>
            </m:e>
          </m:nary>
          <m:r>
            <w:rPr>
              <w:rStyle w:val="vlist-s"/>
              <w:rFonts w:ascii="Cambria Math" w:hAnsi="Cambria Math"/>
            </w:rPr>
            <m:t>+</m:t>
          </m:r>
          <m:nary>
            <m:naryPr>
              <m:chr m:val="∑"/>
              <m:limLoc m:val="undOvr"/>
              <m:ctrlPr>
                <w:rPr>
                  <w:rStyle w:val="vlist-s"/>
                  <w:rFonts w:ascii="Cambria Math" w:eastAsiaTheme="minorHAnsi" w:hAnsi="Cambria Math"/>
                  <w:i/>
                  <w:lang w:eastAsia="en-US"/>
                </w:rPr>
              </m:ctrlPr>
            </m:naryPr>
            <m:sub>
              <m:r>
                <w:rPr>
                  <w:rStyle w:val="vlist-s"/>
                  <w:rFonts w:ascii="Cambria Math" w:hAnsi="Cambria Math"/>
                </w:rPr>
                <m:t>l=0</m:t>
              </m:r>
            </m:sub>
            <m:sup>
              <m:sSub>
                <m:sSubPr>
                  <m:ctrlPr>
                    <w:rPr>
                      <w:rStyle w:val="vlist-s"/>
                      <w:rFonts w:ascii="Cambria Math" w:hAnsi="Cambria Math"/>
                      <w:i/>
                    </w:rPr>
                  </m:ctrlPr>
                </m:sSubPr>
                <m:e>
                  <m:r>
                    <w:rPr>
                      <w:rStyle w:val="vlist-s"/>
                      <w:rFonts w:ascii="Cambria Math" w:hAnsi="Cambria Math"/>
                    </w:rPr>
                    <m:t>q</m:t>
                  </m:r>
                </m:e>
                <m:sub>
                  <m:r>
                    <w:rPr>
                      <w:rStyle w:val="vlist-s"/>
                      <w:rFonts w:ascii="Cambria Math" w:hAnsi="Cambria Math"/>
                    </w:rPr>
                    <m:t>3</m:t>
                  </m:r>
                </m:sub>
              </m:sSub>
              <m:r>
                <w:rPr>
                  <w:rStyle w:val="vlist-s"/>
                  <w:rFonts w:ascii="Cambria Math" w:hAnsi="Cambria Math"/>
                </w:rPr>
                <m:t>-1</m:t>
              </m:r>
            </m:sup>
            <m:e>
              <m:sSub>
                <m:sSubPr>
                  <m:ctrlPr>
                    <w:rPr>
                      <w:rStyle w:val="vlist-s"/>
                      <w:rFonts w:ascii="Cambria Math" w:eastAsiaTheme="minorHAnsi" w:hAnsi="Cambria Math"/>
                      <w:i/>
                      <w:lang w:eastAsia="en-US"/>
                    </w:rPr>
                  </m:ctrlPr>
                </m:sSubPr>
                <m:e>
                  <m:r>
                    <w:rPr>
                      <w:rStyle w:val="vlist-s"/>
                      <w:rFonts w:ascii="Cambria Math" w:hAnsi="Cambria Math"/>
                    </w:rPr>
                    <m:t>λ</m:t>
                  </m:r>
                </m:e>
                <m:sub>
                  <m:r>
                    <w:rPr>
                      <w:rStyle w:val="vlist-s"/>
                      <w:rFonts w:ascii="Cambria Math" w:hAnsi="Cambria Math"/>
                    </w:rPr>
                    <m:t>t</m:t>
                  </m:r>
                </m:sub>
              </m:sSub>
              <m:sSub>
                <m:sSubPr>
                  <m:ctrlPr>
                    <w:rPr>
                      <w:rStyle w:val="vlist-s"/>
                      <w:rFonts w:ascii="Cambria Math" w:eastAsiaTheme="minorHAnsi" w:hAnsi="Cambria Math"/>
                      <w:i/>
                      <w:lang w:eastAsia="en-US"/>
                    </w:rPr>
                  </m:ctrlPr>
                </m:sSubPr>
                <m:e>
                  <m:r>
                    <m:rPr>
                      <m:sty m:val="p"/>
                    </m:rPr>
                    <w:rPr>
                      <w:rFonts w:ascii="Cambria Math" w:hAnsi="Cambria Math"/>
                    </w:rPr>
                    <m:t>Δ</m:t>
                  </m:r>
                  <m:r>
                    <w:rPr>
                      <w:rStyle w:val="vlist-s"/>
                      <w:rFonts w:ascii="Cambria Math" w:hAnsi="Cambria Math"/>
                    </w:rPr>
                    <m:t>RD_GDP</m:t>
                  </m:r>
                </m:e>
                <m:sub>
                  <m:r>
                    <w:rPr>
                      <w:rStyle w:val="vlist-s"/>
                      <w:rFonts w:ascii="Cambria Math" w:hAnsi="Cambria Math"/>
                    </w:rPr>
                    <m:t>t-l</m:t>
                  </m:r>
                </m:sub>
              </m:sSub>
            </m:e>
          </m:nary>
          <m:r>
            <w:rPr>
              <w:rStyle w:val="vlist-s"/>
              <w:rFonts w:ascii="Cambria Math" w:eastAsiaTheme="minorEastAsia" w:hAnsi="Cambria Math"/>
            </w:rPr>
            <m:t>+φ</m:t>
          </m:r>
          <m:sSub>
            <m:sSubPr>
              <m:ctrlPr>
                <w:rPr>
                  <w:rStyle w:val="vlist-s"/>
                  <w:rFonts w:ascii="Cambria Math" w:eastAsiaTheme="minorEastAsia" w:hAnsi="Cambria Math"/>
                  <w:i/>
                </w:rPr>
              </m:ctrlPr>
            </m:sSubPr>
            <m:e>
              <m:r>
                <w:rPr>
                  <w:rStyle w:val="vlist-s"/>
                  <w:rFonts w:ascii="Cambria Math" w:eastAsiaTheme="minorEastAsia" w:hAnsi="Cambria Math"/>
                </w:rPr>
                <m:t>ECT</m:t>
              </m:r>
            </m:e>
            <m:sub>
              <m:r>
                <w:rPr>
                  <w:rStyle w:val="vlist-s"/>
                  <w:rFonts w:ascii="Cambria Math" w:eastAsiaTheme="minorEastAsia" w:hAnsi="Cambria Math"/>
                </w:rPr>
                <m:t>t-1</m:t>
              </m:r>
            </m:sub>
          </m:sSub>
          <m:r>
            <w:rPr>
              <w:rStyle w:val="vlist-s"/>
              <w:rFonts w:ascii="Cambria Math" w:eastAsiaTheme="minorEastAsia" w:hAnsi="Cambria Math"/>
            </w:rPr>
            <m:t>+</m:t>
          </m:r>
          <m:sSub>
            <m:sSubPr>
              <m:ctrlPr>
                <w:rPr>
                  <w:rStyle w:val="katex-mathml"/>
                  <w:rFonts w:ascii="Cambria Math" w:eastAsiaTheme="minorHAnsi" w:hAnsi="Cambria Math"/>
                  <w:i/>
                  <w:lang w:eastAsia="en-US"/>
                </w:rPr>
              </m:ctrlPr>
            </m:sSubPr>
            <m:e>
              <m:r>
                <w:rPr>
                  <w:rStyle w:val="katex-mathml"/>
                  <w:rFonts w:ascii="Cambria Math" w:hAnsi="Cambria Math"/>
                </w:rPr>
                <m:t>ϵ</m:t>
              </m:r>
            </m:e>
            <m:sub>
              <m:r>
                <w:rPr>
                  <w:rStyle w:val="katex-mathml"/>
                  <w:rFonts w:ascii="Cambria Math" w:hAnsi="Cambria Math"/>
                </w:rPr>
                <m:t>t</m:t>
              </m:r>
            </m:sub>
          </m:sSub>
        </m:oMath>
      </m:oMathPara>
    </w:p>
    <w:p w14:paraId="54A32A00" w14:textId="77777777" w:rsidR="000F5D84" w:rsidRPr="005D7C35" w:rsidRDefault="000F5D84" w:rsidP="009E201F">
      <w:pPr>
        <w:pStyle w:val="NormalWeb"/>
        <w:spacing w:line="360" w:lineRule="auto"/>
        <w:jc w:val="both"/>
      </w:pPr>
      <w:r w:rsidRPr="005D7C35">
        <w:lastRenderedPageBreak/>
        <w:t xml:space="preserve">where </w:t>
      </w:r>
      <m:oMath>
        <m:sSub>
          <m:sSubPr>
            <m:ctrlPr>
              <w:rPr>
                <w:rStyle w:val="vlist-s"/>
                <w:rFonts w:ascii="Cambria Math" w:eastAsiaTheme="minorEastAsia" w:hAnsi="Cambria Math"/>
                <w:i/>
              </w:rPr>
            </m:ctrlPr>
          </m:sSubPr>
          <m:e>
            <m:r>
              <w:rPr>
                <w:rStyle w:val="vlist-s"/>
                <w:rFonts w:ascii="Cambria Math" w:eastAsiaTheme="minorEastAsia" w:hAnsi="Cambria Math"/>
              </w:rPr>
              <m:t>ECT</m:t>
            </m:r>
          </m:e>
          <m:sub>
            <m:r>
              <w:rPr>
                <w:rStyle w:val="vlist-s"/>
                <w:rFonts w:ascii="Cambria Math" w:eastAsiaTheme="minorEastAsia" w:hAnsi="Cambria Math"/>
              </w:rPr>
              <m:t>t-1</m:t>
            </m:r>
          </m:sub>
        </m:sSub>
      </m:oMath>
      <w:r w:rsidRPr="005D7C35">
        <w:rPr>
          <w:rStyle w:val="vlist-s"/>
        </w:rPr>
        <w:t>​</w:t>
      </w:r>
      <w:r w:rsidRPr="005D7C35">
        <w:t xml:space="preserve"> is the lagged error correction term. The coefficient </w:t>
      </w:r>
      <w:r w:rsidRPr="005D7C35">
        <w:rPr>
          <w:rStyle w:val="katex-mathml"/>
        </w:rPr>
        <w:t>φ</w:t>
      </w:r>
      <w:r w:rsidRPr="005D7C35">
        <w:t xml:space="preserve"> measures the speed of adjustment towards long-run equilibrium. A significantly negative value of </w:t>
      </w:r>
      <w:r w:rsidRPr="005D7C35">
        <w:rPr>
          <w:rStyle w:val="katex-mathml"/>
        </w:rPr>
        <w:t>φ</w:t>
      </w:r>
      <w:r w:rsidRPr="005D7C35">
        <w:t xml:space="preserve"> would confirm convergence, though in this study the error correction term is insignificant due to the absence of cointegration. Nevertheless, the short-run parameters remain valid and highly informative.</w:t>
      </w:r>
    </w:p>
    <w:p w14:paraId="128F1DB7" w14:textId="77777777" w:rsidR="000F5D84" w:rsidRPr="005D7C35" w:rsidRDefault="000F5D84" w:rsidP="00CD3E44">
      <w:pPr>
        <w:rPr>
          <w:rFonts w:cs="Times New Roman"/>
        </w:rPr>
      </w:pPr>
      <w:r w:rsidRPr="005D7C35">
        <w:rPr>
          <w:rStyle w:val="Strong"/>
          <w:rFonts w:cs="Times New Roman"/>
          <w:bCs w:val="0"/>
          <w:szCs w:val="24"/>
        </w:rPr>
        <w:t>3.3 Diagnostic and Stability Tests</w:t>
      </w:r>
    </w:p>
    <w:p w14:paraId="1773B58C" w14:textId="77777777" w:rsidR="000F5D84" w:rsidRPr="005D7C35" w:rsidRDefault="000F5D84" w:rsidP="009E201F">
      <w:pPr>
        <w:pStyle w:val="NormalWeb"/>
        <w:spacing w:line="360" w:lineRule="auto"/>
        <w:jc w:val="both"/>
      </w:pPr>
      <w:r w:rsidRPr="005D7C35">
        <w:t>Model validity is assessed through a comprehensive suite of diagnostic tests, each grounded in established econometric theory.</w:t>
      </w:r>
    </w:p>
    <w:p w14:paraId="4D087AF3" w14:textId="77777777" w:rsidR="000F5D84" w:rsidRPr="005D7C35" w:rsidRDefault="00CD3E44" w:rsidP="009E201F">
      <w:pPr>
        <w:pStyle w:val="NormalWeb"/>
        <w:spacing w:line="360" w:lineRule="auto"/>
        <w:jc w:val="both"/>
      </w:pPr>
      <w:r w:rsidRPr="005D7C35">
        <w:t xml:space="preserve">Multicollinearity is assessed using the Variance Inflation Factor (VIF) </w:t>
      </w:r>
      <w:r w:rsidR="000F5D84" w:rsidRPr="005D7C35">
        <w:t xml:space="preserve">(Gujarati &amp; Porter, 2009). For a given regressor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j</m:t>
            </m:r>
          </m:sub>
        </m:sSub>
      </m:oMath>
      <w:r w:rsidR="000F5D84" w:rsidRPr="005D7C35">
        <w:rPr>
          <w:rStyle w:val="vlist-s"/>
        </w:rPr>
        <w:t>​</w:t>
      </w:r>
      <w:r w:rsidR="000F5D84" w:rsidRPr="005D7C35">
        <w:t>, the VIF is calculated as:</w:t>
      </w:r>
    </w:p>
    <w:p w14:paraId="596193DE" w14:textId="77777777" w:rsidR="00333FEA" w:rsidRPr="005D7C35" w:rsidRDefault="006D6408" w:rsidP="009E201F">
      <w:pPr>
        <w:pStyle w:val="NormalWeb"/>
        <w:spacing w:line="360" w:lineRule="auto"/>
        <w:jc w:val="both"/>
      </w:pPr>
      <m:oMathPara>
        <m:oMath>
          <m:sSub>
            <m:sSubPr>
              <m:ctrlPr>
                <w:rPr>
                  <w:rFonts w:ascii="Cambria Math" w:hAnsi="Cambria Math"/>
                  <w:i/>
                </w:rPr>
              </m:ctrlPr>
            </m:sSubPr>
            <m:e>
              <m:r>
                <w:rPr>
                  <w:rFonts w:ascii="Cambria Math" w:hAnsi="Cambria Math"/>
                </w:rPr>
                <m:t>VIF</m:t>
              </m:r>
            </m:e>
            <m:sub>
              <m:r>
                <w:rPr>
                  <w:rFonts w:ascii="Cambria Math" w:hAnsi="Cambria Math"/>
                </w:rPr>
                <m:t>j</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sSubSup>
                <m:sSubSupPr>
                  <m:ctrlPr>
                    <w:rPr>
                      <w:rFonts w:ascii="Cambria Math" w:hAnsi="Cambria Math"/>
                      <w:i/>
                    </w:rPr>
                  </m:ctrlPr>
                </m:sSubSupPr>
                <m:e>
                  <m:r>
                    <w:rPr>
                      <w:rFonts w:ascii="Cambria Math" w:hAnsi="Cambria Math"/>
                    </w:rPr>
                    <m:t>R</m:t>
                  </m:r>
                </m:e>
                <m:sub>
                  <m:r>
                    <w:rPr>
                      <w:rFonts w:ascii="Cambria Math" w:hAnsi="Cambria Math"/>
                    </w:rPr>
                    <m:t>j</m:t>
                  </m:r>
                </m:sub>
                <m:sup>
                  <m:r>
                    <w:rPr>
                      <w:rFonts w:ascii="Cambria Math" w:hAnsi="Cambria Math"/>
                    </w:rPr>
                    <m:t>2</m:t>
                  </m:r>
                </m:sup>
              </m:sSubSup>
            </m:den>
          </m:f>
        </m:oMath>
      </m:oMathPara>
    </w:p>
    <w:p w14:paraId="0F729274" w14:textId="77777777" w:rsidR="000F5D84" w:rsidRPr="005D7C35" w:rsidRDefault="000F5D84" w:rsidP="009E201F">
      <w:pPr>
        <w:pStyle w:val="NormalWeb"/>
        <w:spacing w:line="360" w:lineRule="auto"/>
        <w:jc w:val="both"/>
      </w:pPr>
      <w:r w:rsidRPr="005D7C35">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j</m:t>
            </m:r>
          </m:sub>
          <m:sup>
            <m:r>
              <w:rPr>
                <w:rFonts w:ascii="Cambria Math" w:hAnsi="Cambria Math"/>
              </w:rPr>
              <m:t>2</m:t>
            </m:r>
          </m:sup>
        </m:sSubSup>
      </m:oMath>
      <w:r w:rsidRPr="005D7C35">
        <w:rPr>
          <w:rStyle w:val="vlist-s"/>
        </w:rPr>
        <w:t>​</w:t>
      </w:r>
      <w:r w:rsidRPr="005D7C35">
        <w:t xml:space="preserve"> is the coefficient of determination from regressing </w:t>
      </w:r>
      <m:oMath>
        <m:sSub>
          <m:sSubPr>
            <m:ctrlPr>
              <w:rPr>
                <w:rStyle w:val="katex-mathml"/>
                <w:rFonts w:ascii="Cambria Math" w:hAnsi="Cambria Math"/>
                <w:i/>
              </w:rPr>
            </m:ctrlPr>
          </m:sSubPr>
          <m:e>
            <m:r>
              <w:rPr>
                <w:rStyle w:val="katex-mathml"/>
                <w:rFonts w:ascii="Cambria Math" w:hAnsi="Cambria Math"/>
              </w:rPr>
              <m:t>X</m:t>
            </m:r>
          </m:e>
          <m:sub>
            <m:r>
              <w:rPr>
                <w:rStyle w:val="katex-mathml"/>
                <w:rFonts w:ascii="Cambria Math" w:hAnsi="Cambria Math"/>
              </w:rPr>
              <m:t>j</m:t>
            </m:r>
          </m:sub>
        </m:sSub>
      </m:oMath>
      <w:r w:rsidRPr="005D7C35">
        <w:rPr>
          <w:rStyle w:val="vlist-s"/>
        </w:rPr>
        <w:t>​</w:t>
      </w:r>
      <w:r w:rsidRPr="005D7C35">
        <w:t xml:space="preserve"> on all other regressors. A VIF value above 10 indicates serious multicollinearity; in this study, all values are below 5, suggesting no concern.</w:t>
      </w:r>
    </w:p>
    <w:p w14:paraId="396927B6" w14:textId="77777777" w:rsidR="000F5D84" w:rsidRPr="005D7C35" w:rsidRDefault="00CD3E44" w:rsidP="009E201F">
      <w:pPr>
        <w:pStyle w:val="NormalWeb"/>
        <w:spacing w:line="360" w:lineRule="auto"/>
        <w:jc w:val="both"/>
      </w:pPr>
      <w:r w:rsidRPr="005D7C35">
        <w:t>Serial correlation is tested using the Breusch–Godfrey (BG) Lagrange Multiplier test (Breusch, 1978; Godfrey, 1978). The auxiliary regression is specified as:</w:t>
      </w:r>
    </w:p>
    <w:p w14:paraId="1225341B" w14:textId="77777777" w:rsidR="001A5787" w:rsidRPr="005D7C35" w:rsidRDefault="006D6408" w:rsidP="009E201F">
      <w:pPr>
        <w:spacing w:line="360" w:lineRule="auto"/>
        <w:jc w:val="both"/>
        <w:rPr>
          <w:rFonts w:eastAsiaTheme="minorEastAsia" w:cs="Times New Roman"/>
          <w:szCs w:val="24"/>
        </w:rPr>
      </w:pPr>
      <m:oMathPara>
        <m:oMath>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k</m:t>
              </m:r>
            </m:sup>
            <m:e>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m:t>
                  </m:r>
                </m:sub>
              </m:sSub>
            </m:e>
          </m:nary>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t-1</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j=1</m:t>
              </m:r>
            </m:sub>
            <m:sup>
              <m:r>
                <w:rPr>
                  <w:rFonts w:ascii="Cambria Math" w:hAnsi="Cambria Math" w:cs="Times New Roman"/>
                  <w:szCs w:val="24"/>
                </w:rPr>
                <m:t>m</m:t>
              </m:r>
            </m:sup>
            <m:e>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e>
          </m:nary>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jt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t</m:t>
              </m:r>
            </m:sub>
          </m:sSub>
        </m:oMath>
      </m:oMathPara>
    </w:p>
    <w:p w14:paraId="384CB21F" w14:textId="77777777" w:rsidR="000F5D84" w:rsidRPr="005D7C35" w:rsidRDefault="000F5D84" w:rsidP="009E201F">
      <w:pPr>
        <w:pStyle w:val="NormalWeb"/>
        <w:spacing w:line="360" w:lineRule="auto"/>
        <w:jc w:val="both"/>
      </w:pPr>
      <w:r w:rsidRPr="005D7C35">
        <w:t xml:space="preserve">where </w:t>
      </w:r>
      <m:oMath>
        <m:sSub>
          <m:sSubPr>
            <m:ctrlPr>
              <w:rPr>
                <w:rFonts w:ascii="Cambria Math" w:eastAsiaTheme="minorHAnsi" w:hAnsi="Cambria Math"/>
                <w:i/>
                <w:lang w:eastAsia="en-US"/>
              </w:rPr>
            </m:ctrlPr>
          </m:sSubPr>
          <m:e>
            <m:acc>
              <m:accPr>
                <m:ctrlPr>
                  <w:rPr>
                    <w:rFonts w:ascii="Cambria Math" w:eastAsiaTheme="minorHAnsi" w:hAnsi="Cambria Math"/>
                    <w:i/>
                    <w:lang w:eastAsia="en-US"/>
                  </w:rPr>
                </m:ctrlPr>
              </m:accPr>
              <m:e>
                <m:r>
                  <w:rPr>
                    <w:rFonts w:ascii="Cambria Math" w:hAnsi="Cambria Math"/>
                  </w:rPr>
                  <m:t>ε</m:t>
                </m:r>
              </m:e>
            </m:acc>
          </m:e>
          <m:sub>
            <m:r>
              <w:rPr>
                <w:rFonts w:ascii="Cambria Math" w:hAnsi="Cambria Math"/>
              </w:rPr>
              <m:t>t</m:t>
            </m:r>
          </m:sub>
        </m:sSub>
      </m:oMath>
      <w:r w:rsidR="00A1310F" w:rsidRPr="005D7C35">
        <w:rPr>
          <w:lang w:eastAsia="en-US"/>
        </w:rPr>
        <w:t xml:space="preserve"> </w:t>
      </w:r>
      <w:r w:rsidRPr="005D7C35">
        <w:t xml:space="preserve">are the residuals from the original regression, and </w:t>
      </w:r>
      <m:oMath>
        <m:sSub>
          <m:sSubPr>
            <m:ctrlPr>
              <w:rPr>
                <w:rFonts w:ascii="Cambria Math" w:eastAsiaTheme="minorHAnsi" w:hAnsi="Cambria Math"/>
                <w:i/>
                <w:lang w:eastAsia="en-US"/>
              </w:rPr>
            </m:ctrlPr>
          </m:sSubPr>
          <m:e>
            <m:r>
              <w:rPr>
                <w:rFonts w:ascii="Cambria Math" w:hAnsi="Cambria Math"/>
              </w:rPr>
              <m:t>X</m:t>
            </m:r>
          </m:e>
          <m:sub>
            <m:r>
              <w:rPr>
                <w:rFonts w:ascii="Cambria Math" w:hAnsi="Cambria Math"/>
              </w:rPr>
              <m:t>jt</m:t>
            </m:r>
          </m:sub>
        </m:sSub>
      </m:oMath>
      <w:r w:rsidRPr="005D7C35">
        <w:rPr>
          <w:rStyle w:val="vlist-s"/>
        </w:rPr>
        <w:t>​</w:t>
      </w:r>
      <w:r w:rsidRPr="005D7C35">
        <w:t xml:space="preserve"> are regressors. The LM statistic is computed as </w:t>
      </w:r>
      <m:oMath>
        <m:sSup>
          <m:sSupPr>
            <m:ctrlPr>
              <w:rPr>
                <w:rStyle w:val="katex-mathml"/>
                <w:rFonts w:ascii="Cambria Math" w:hAnsi="Cambria Math"/>
                <w:i/>
              </w:rPr>
            </m:ctrlPr>
          </m:sSupPr>
          <m:e>
            <m:r>
              <w:rPr>
                <w:rStyle w:val="katex-mathml"/>
                <w:rFonts w:ascii="Cambria Math" w:hAnsi="Cambria Math"/>
              </w:rPr>
              <m:t>nR</m:t>
            </m:r>
          </m:e>
          <m:sup>
            <m:r>
              <w:rPr>
                <w:rStyle w:val="katex-mathml"/>
                <w:rFonts w:ascii="Cambria Math" w:hAnsi="Cambria Math"/>
              </w:rPr>
              <m:t>2</m:t>
            </m:r>
          </m:sup>
        </m:sSup>
        <m:r>
          <w:rPr>
            <w:rStyle w:val="katex-mathml"/>
            <w:rFonts w:ascii="Cambria Math" w:hAnsi="Cambria Math"/>
          </w:rPr>
          <m:t>∼</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(p)</m:t>
        </m:r>
      </m:oMath>
      <w:r w:rsidRPr="005D7C35">
        <w:t>. Here, the null hypothesis of no autocorrelation is not rejected, confirming independence of residuals.</w:t>
      </w:r>
    </w:p>
    <w:p w14:paraId="715A1F95" w14:textId="77777777" w:rsidR="000F5D84" w:rsidRPr="005D7C35" w:rsidRDefault="00CD3E44" w:rsidP="009E201F">
      <w:pPr>
        <w:pStyle w:val="NormalWeb"/>
        <w:spacing w:line="360" w:lineRule="auto"/>
        <w:jc w:val="both"/>
      </w:pPr>
      <w:r w:rsidRPr="005D7C35">
        <w:t>Heteroskedasticity is evaluated using the Breusch–Pagan–Godfrey (BPG) test (Breusch &amp; Pagan, 1979). The model is re-estimated with squared residuals as the dependent variable:</w:t>
      </w:r>
    </w:p>
    <w:p w14:paraId="297A8C8B" w14:textId="77777777" w:rsidR="00895AD6" w:rsidRPr="005D7C35" w:rsidRDefault="006D6408" w:rsidP="009E201F">
      <w:pPr>
        <w:spacing w:line="360" w:lineRule="auto"/>
        <w:jc w:val="both"/>
        <w:rPr>
          <w:rFonts w:cs="Times New Roman"/>
          <w:szCs w:val="24"/>
        </w:rPr>
      </w:pPr>
      <m:oMathPara>
        <m:oMath>
          <m:sSubSup>
            <m:sSubSupPr>
              <m:ctrlPr>
                <w:rPr>
                  <w:rFonts w:ascii="Cambria Math" w:hAnsi="Cambria Math" w:cs="Times New Roman"/>
                  <w:i/>
                  <w:szCs w:val="24"/>
                </w:rPr>
              </m:ctrlPr>
            </m:sSubSupPr>
            <m:e>
              <m:acc>
                <m:accPr>
                  <m:ctrlPr>
                    <w:rPr>
                      <w:rFonts w:ascii="Cambria Math" w:hAnsi="Cambria Math" w:cs="Times New Roman"/>
                      <w:i/>
                      <w:szCs w:val="24"/>
                    </w:rPr>
                  </m:ctrlPr>
                </m:accPr>
                <m:e>
                  <m:r>
                    <w:rPr>
                      <w:rFonts w:ascii="Cambria Math" w:hAnsi="Cambria Math" w:cs="Times New Roman"/>
                      <w:szCs w:val="24"/>
                    </w:rPr>
                    <m:t>ε</m:t>
                  </m:r>
                </m:e>
              </m:acc>
            </m:e>
            <m:sub>
              <m:r>
                <w:rPr>
                  <w:rFonts w:ascii="Cambria Math" w:hAnsi="Cambria Math" w:cs="Times New Roman"/>
                  <w:szCs w:val="24"/>
                </w:rPr>
                <m:t>t</m:t>
              </m:r>
            </m:sub>
            <m:sup>
              <m:r>
                <w:rPr>
                  <w:rFonts w:ascii="Cambria Math" w:hAnsi="Cambria Math" w:cs="Times New Roman"/>
                  <w:szCs w:val="24"/>
                </w:rPr>
                <m:t>2</m:t>
              </m:r>
            </m:sup>
          </m:sSubSup>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rPr>
                <m:t>0</m:t>
              </m:r>
            </m:sub>
          </m:sSub>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j=1</m:t>
              </m:r>
            </m:sub>
            <m:sup>
              <m:r>
                <w:rPr>
                  <w:rFonts w:ascii="Cambria Math" w:hAnsi="Cambria Math" w:cs="Times New Roman"/>
                  <w:szCs w:val="24"/>
                </w:rPr>
                <m:t>m</m:t>
              </m:r>
            </m:sup>
            <m:e>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e>
          </m:nary>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jt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t</m:t>
              </m:r>
            </m:sub>
          </m:sSub>
        </m:oMath>
      </m:oMathPara>
    </w:p>
    <w:p w14:paraId="5D6E7C3F" w14:textId="77777777" w:rsidR="000F5D84" w:rsidRPr="005D7C35" w:rsidRDefault="000F5D84" w:rsidP="009E201F">
      <w:pPr>
        <w:pStyle w:val="NormalWeb"/>
        <w:spacing w:line="360" w:lineRule="auto"/>
        <w:jc w:val="both"/>
      </w:pPr>
      <w:r w:rsidRPr="005D7C35">
        <w:lastRenderedPageBreak/>
        <w:t xml:space="preserve">where </w:t>
      </w:r>
      <m:oMath>
        <m:sSub>
          <m:sSubPr>
            <m:ctrlPr>
              <w:rPr>
                <w:rFonts w:ascii="Cambria Math" w:eastAsiaTheme="minorHAnsi" w:hAnsi="Cambria Math"/>
                <w:i/>
                <w:lang w:eastAsia="en-US"/>
              </w:rPr>
            </m:ctrlPr>
          </m:sSubPr>
          <m:e>
            <m:r>
              <w:rPr>
                <w:rFonts w:ascii="Cambria Math" w:hAnsi="Cambria Math"/>
              </w:rPr>
              <m:t>X</m:t>
            </m:r>
          </m:e>
          <m:sub>
            <m:r>
              <w:rPr>
                <w:rFonts w:ascii="Cambria Math" w:hAnsi="Cambria Math"/>
              </w:rPr>
              <m:t>jt</m:t>
            </m:r>
          </m:sub>
        </m:sSub>
      </m:oMath>
      <w:r w:rsidRPr="005D7C35">
        <w:rPr>
          <w:rStyle w:val="vlist-s"/>
        </w:rPr>
        <w:t>​</w:t>
      </w:r>
      <w:r w:rsidRPr="005D7C35">
        <w:t xml:space="preserve"> are the regressors. The test statistic </w:t>
      </w:r>
      <m:oMath>
        <m:sSup>
          <m:sSupPr>
            <m:ctrlPr>
              <w:rPr>
                <w:rStyle w:val="katex-mathml"/>
                <w:rFonts w:ascii="Cambria Math" w:hAnsi="Cambria Math"/>
                <w:i/>
              </w:rPr>
            </m:ctrlPr>
          </m:sSupPr>
          <m:e>
            <m:r>
              <w:rPr>
                <w:rStyle w:val="katex-mathml"/>
                <w:rFonts w:ascii="Cambria Math" w:hAnsi="Cambria Math"/>
              </w:rPr>
              <m:t>nR</m:t>
            </m:r>
          </m:e>
          <m:sup>
            <m:r>
              <w:rPr>
                <w:rStyle w:val="katex-mathml"/>
                <w:rFonts w:ascii="Cambria Math" w:hAnsi="Cambria Math"/>
              </w:rPr>
              <m:t>2</m:t>
            </m:r>
          </m:sup>
        </m:sSup>
        <m:r>
          <w:rPr>
            <w:rStyle w:val="katex-mathml"/>
            <w:rFonts w:ascii="Cambria Math" w:hAnsi="Cambria Math"/>
          </w:rPr>
          <m:t>∼</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(k)</m:t>
        </m:r>
      </m:oMath>
      <w:r w:rsidR="004C1A63" w:rsidRPr="005D7C35">
        <w:t>.</w:t>
      </w:r>
      <w:r w:rsidRPr="005D7C35">
        <w:t xml:space="preserve"> checks whether error variance depends on explanatory variables. Results suggest constant variance (homoskedasticity).</w:t>
      </w:r>
    </w:p>
    <w:p w14:paraId="72A16F39" w14:textId="77777777" w:rsidR="000F5D84" w:rsidRPr="005D7C35" w:rsidRDefault="00CD3E44" w:rsidP="009E201F">
      <w:pPr>
        <w:pStyle w:val="NormalWeb"/>
        <w:spacing w:line="360" w:lineRule="auto"/>
        <w:jc w:val="both"/>
      </w:pPr>
      <w:r w:rsidRPr="005D7C35">
        <w:t>Normality of residuals is tested using the Jarque–Bera (JB) statistic (Jarque &amp; Bera, 1980)</w:t>
      </w:r>
      <w:r w:rsidR="000F5D84" w:rsidRPr="005D7C35">
        <w:t>:</w:t>
      </w:r>
    </w:p>
    <w:p w14:paraId="3634E4F4" w14:textId="77777777" w:rsidR="00DF3CDC" w:rsidRPr="005D7C35" w:rsidRDefault="00DF3CDC" w:rsidP="009E201F">
      <w:pPr>
        <w:pStyle w:val="NormalWeb"/>
        <w:spacing w:line="360" w:lineRule="auto"/>
        <w:jc w:val="both"/>
      </w:pPr>
      <m:oMathPara>
        <m:oMath>
          <m:r>
            <w:rPr>
              <w:rFonts w:ascii="Cambria Math" w:hAnsi="Cambria Math"/>
            </w:rPr>
            <m:t>JB=</m:t>
          </m:r>
          <m:f>
            <m:fPr>
              <m:ctrlPr>
                <w:rPr>
                  <w:rFonts w:ascii="Cambria Math" w:hAnsi="Cambria Math"/>
                  <w:i/>
                </w:rPr>
              </m:ctrlPr>
            </m:fPr>
            <m:num>
              <m:r>
                <w:rPr>
                  <w:rFonts w:ascii="Cambria Math" w:hAnsi="Cambria Math"/>
                </w:rPr>
                <m:t>n</m:t>
              </m:r>
            </m:num>
            <m:den>
              <m:r>
                <w:rPr>
                  <w:rFonts w:ascii="Cambria Math" w:hAnsi="Cambria Math"/>
                </w:rPr>
                <m:t>6</m:t>
              </m:r>
            </m:den>
          </m:f>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(K-3)</m:t>
                  </m:r>
                </m:e>
                <m:sup>
                  <m:r>
                    <w:rPr>
                      <w:rFonts w:ascii="Cambria Math" w:hAnsi="Cambria Math"/>
                    </w:rPr>
                    <m:t>2</m:t>
                  </m:r>
                </m:sup>
              </m:sSup>
            </m:num>
            <m:den>
              <m:r>
                <w:rPr>
                  <w:rFonts w:ascii="Cambria Math" w:hAnsi="Cambria Math"/>
                </w:rPr>
                <m:t>4</m:t>
              </m:r>
            </m:den>
          </m:f>
        </m:oMath>
      </m:oMathPara>
    </w:p>
    <w:p w14:paraId="2640393D" w14:textId="77777777" w:rsidR="00DF3CDC" w:rsidRPr="005D7C35" w:rsidRDefault="00DF3CDC" w:rsidP="009E201F">
      <w:pPr>
        <w:spacing w:line="360" w:lineRule="auto"/>
        <w:jc w:val="both"/>
        <w:rPr>
          <w:rFonts w:cs="Times New Roman"/>
          <w:szCs w:val="24"/>
        </w:rPr>
      </w:pPr>
    </w:p>
    <w:p w14:paraId="08E08F69" w14:textId="77777777" w:rsidR="000F5D84" w:rsidRPr="005D7C35" w:rsidRDefault="000F5D84" w:rsidP="009E201F">
      <w:pPr>
        <w:pStyle w:val="NormalWeb"/>
        <w:spacing w:line="360" w:lineRule="auto"/>
        <w:jc w:val="both"/>
      </w:pPr>
      <w:r w:rsidRPr="005D7C35">
        <w:t xml:space="preserve">where </w:t>
      </w:r>
      <w:r w:rsidRPr="005D7C35">
        <w:rPr>
          <w:rStyle w:val="katex-mathml"/>
        </w:rPr>
        <w:t>S</w:t>
      </w:r>
      <w:r w:rsidRPr="005D7C35">
        <w:t xml:space="preserve"> is skewness and </w:t>
      </w:r>
      <w:r w:rsidRPr="005D7C35">
        <w:rPr>
          <w:rStyle w:val="katex-mathml"/>
        </w:rPr>
        <w:t>K</w:t>
      </w:r>
      <w:r w:rsidRPr="005D7C35">
        <w:t xml:space="preserve"> is kurtosis. Under the null of normality, </w:t>
      </w:r>
      <m:oMath>
        <m:r>
          <w:rPr>
            <w:rStyle w:val="katex-mathml"/>
            <w:rFonts w:ascii="Cambria Math" w:hAnsi="Cambria Math"/>
          </w:rPr>
          <m:t>JB∼</m:t>
        </m:r>
        <m:sSup>
          <m:sSupPr>
            <m:ctrlPr>
              <w:rPr>
                <w:rStyle w:val="katex-mathml"/>
                <w:rFonts w:ascii="Cambria Math" w:hAnsi="Cambria Math"/>
                <w:i/>
              </w:rPr>
            </m:ctrlPr>
          </m:sSupPr>
          <m:e>
            <m:r>
              <w:rPr>
                <w:rStyle w:val="katex-mathml"/>
                <w:rFonts w:ascii="Cambria Math" w:hAnsi="Cambria Math"/>
              </w:rPr>
              <m:t>χ</m:t>
            </m:r>
          </m:e>
          <m:sup>
            <m:r>
              <w:rPr>
                <w:rStyle w:val="katex-mathml"/>
                <w:rFonts w:ascii="Cambria Math" w:hAnsi="Cambria Math"/>
              </w:rPr>
              <m:t>2</m:t>
            </m:r>
          </m:sup>
        </m:sSup>
        <m:r>
          <w:rPr>
            <w:rStyle w:val="katex-mathml"/>
            <w:rFonts w:ascii="Cambria Math" w:hAnsi="Cambria Math"/>
          </w:rPr>
          <m:t>(2)</m:t>
        </m:r>
      </m:oMath>
      <w:r w:rsidRPr="005D7C35">
        <w:t>. The test results confirm that the residuals are approximately normal.</w:t>
      </w:r>
    </w:p>
    <w:p w14:paraId="29EA761A" w14:textId="77777777" w:rsidR="00DF3CDC" w:rsidRPr="005D7C35" w:rsidRDefault="00CD3E44" w:rsidP="00CD3E44">
      <w:pPr>
        <w:pStyle w:val="NormalWeb"/>
        <w:spacing w:line="360" w:lineRule="auto"/>
        <w:jc w:val="both"/>
      </w:pPr>
      <w:r w:rsidRPr="005D7C35">
        <w:t xml:space="preserve">The Durbin–Watson (DW) statistic (Durbin &amp; Watson, 1950) provides a direct check for first-order autocorrelation: </w:t>
      </w:r>
      <m:oMath>
        <m:r>
          <w:rPr>
            <w:rFonts w:ascii="Cambria Math" w:hAnsi="Cambria Math"/>
          </w:rPr>
          <m:t>DW=</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t=2</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t-1</m:t>
                        </m:r>
                      </m:sub>
                    </m:sSub>
                    <m:r>
                      <w:rPr>
                        <w:rFonts w:ascii="Cambria Math" w:hAnsi="Cambria Math"/>
                      </w:rPr>
                      <m:t>)</m:t>
                    </m:r>
                  </m:e>
                  <m:sup>
                    <m:r>
                      <w:rPr>
                        <w:rFonts w:ascii="Cambria Math" w:hAnsi="Cambria Math"/>
                      </w:rPr>
                      <m:t>2</m:t>
                    </m:r>
                  </m:sup>
                </m:sSup>
              </m:e>
            </m:nary>
          </m:num>
          <m:den>
            <m:nary>
              <m:naryPr>
                <m:chr m:val="∑"/>
                <m:limLoc m:val="subSup"/>
                <m:ctrlPr>
                  <w:rPr>
                    <w:rFonts w:ascii="Cambria Math" w:hAnsi="Cambria Math"/>
                    <w:i/>
                  </w:rPr>
                </m:ctrlPr>
              </m:naryPr>
              <m:sub>
                <m:r>
                  <w:rPr>
                    <w:rFonts w:ascii="Cambria Math" w:hAnsi="Cambria Math"/>
                  </w:rPr>
                  <m:t>t=1</m:t>
                </m:r>
              </m:sub>
              <m:sup>
                <m:r>
                  <w:rPr>
                    <w:rFonts w:ascii="Cambria Math" w:hAnsi="Cambria Math"/>
                  </w:rPr>
                  <m:t>n</m:t>
                </m:r>
              </m:sup>
              <m:e>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t</m:t>
                    </m:r>
                  </m:sub>
                </m:sSub>
              </m:e>
            </m:nary>
          </m:den>
        </m:f>
      </m:oMath>
    </w:p>
    <w:p w14:paraId="22C19DD0" w14:textId="77777777" w:rsidR="000F5D84" w:rsidRPr="005D7C35" w:rsidRDefault="000F5D84" w:rsidP="009E201F">
      <w:pPr>
        <w:pStyle w:val="NormalWeb"/>
        <w:spacing w:line="360" w:lineRule="auto"/>
        <w:jc w:val="both"/>
      </w:pPr>
      <w:r w:rsidRPr="005D7C35">
        <w:t>The statistic ranges between 0 and 4; values around 2 indicate no autocorrelation. The computed values (~1.9) fall in the acceptable range.</w:t>
      </w:r>
    </w:p>
    <w:p w14:paraId="78CFEA48" w14:textId="77777777" w:rsidR="000F49A5" w:rsidRPr="005D7C35" w:rsidRDefault="000F49A5" w:rsidP="009E201F">
      <w:pPr>
        <w:pStyle w:val="NormalWeb"/>
        <w:spacing w:line="360" w:lineRule="auto"/>
        <w:jc w:val="both"/>
      </w:pPr>
      <w:r w:rsidRPr="005D7C35">
        <w:t xml:space="preserve">Structural stability is tested using the Bai–Perron multiple breakpoint methodology (Bai &amp; Perron, 1998, 2003). We assume the data-generating process may suffer </w:t>
      </w:r>
      <w:r w:rsidRPr="005D7C35">
        <w:rPr>
          <w:rStyle w:val="katex-mathml"/>
        </w:rPr>
        <w:t>mm</w:t>
      </w:r>
      <w:r w:rsidRPr="005D7C35">
        <w:rPr>
          <w:rStyle w:val="mord"/>
        </w:rPr>
        <w:t>m</w:t>
      </w:r>
      <w:r w:rsidRPr="005D7C35">
        <w:t xml:space="preserve"> unknown breaks and represent the model in regime </w:t>
      </w:r>
      <w:r w:rsidRPr="005D7C35">
        <w:rPr>
          <w:rStyle w:val="katex-mathml"/>
        </w:rPr>
        <w:t>j</w:t>
      </w:r>
      <w:r w:rsidRPr="005D7C35">
        <w:t xml:space="preserve"> as</w:t>
      </w:r>
    </w:p>
    <w:p w14:paraId="5B5BD56C" w14:textId="77777777" w:rsidR="00C77E49" w:rsidRPr="005D7C35" w:rsidRDefault="006D6408" w:rsidP="009E201F">
      <w:pPr>
        <w:pStyle w:val="NormalWeb"/>
        <w:spacing w:line="360" w:lineRule="auto"/>
        <w:jc w:val="both"/>
      </w:pP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t</m:t>
            </m:r>
          </m:sub>
          <m:sup>
            <m:r>
              <w:rPr>
                <w:rFonts w:ascii="Cambria Math" w:hAnsi="Cambria Math"/>
              </w:rPr>
              <m:t>'</m:t>
            </m:r>
          </m:sup>
        </m:sSubSup>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oMath>
      <w:r w:rsidR="003C24B2" w:rsidRPr="005D7C35">
        <w:t xml:space="preserve"> for </w:t>
      </w:r>
      <m:oMath>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j-1</m:t>
            </m:r>
          </m:sub>
        </m:sSub>
        <m:r>
          <w:rPr>
            <w:rFonts w:ascii="Cambria Math" w:hAnsi="Cambria Math"/>
          </w:rPr>
          <m:t>+1,…,</m:t>
        </m:r>
        <m:sSub>
          <m:sSubPr>
            <m:ctrlPr>
              <w:rPr>
                <w:rFonts w:ascii="Cambria Math" w:hAnsi="Cambria Math"/>
                <w:i/>
              </w:rPr>
            </m:ctrlPr>
          </m:sSubPr>
          <m:e>
            <m:r>
              <w:rPr>
                <w:rFonts w:ascii="Cambria Math" w:hAnsi="Cambria Math"/>
              </w:rPr>
              <m:t>T</m:t>
            </m:r>
          </m:e>
          <m:sub>
            <m:r>
              <w:rPr>
                <w:rFonts w:ascii="Cambria Math" w:hAnsi="Cambria Math"/>
              </w:rPr>
              <m:t>j</m:t>
            </m:r>
          </m:sub>
        </m:sSub>
      </m:oMath>
      <w:r w:rsidR="002A60B3" w:rsidRPr="005D7C35">
        <w:t>.</w:t>
      </w:r>
      <w:r w:rsidR="000F49A5" w:rsidRPr="005D7C35">
        <w:t xml:space="preserve"> For any candidate partition the segment OLS estimates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j</m:t>
            </m:r>
          </m:sub>
        </m:sSub>
      </m:oMath>
      <w:r w:rsidR="000F49A5" w:rsidRPr="005D7C35">
        <w:rPr>
          <w:rStyle w:val="vlist-s"/>
        </w:rPr>
        <w:t>​</w:t>
      </w:r>
      <w:r w:rsidR="000F49A5" w:rsidRPr="005D7C35">
        <w:t xml:space="preserve"> are obtained and the total sum of squared residuals </w:t>
      </w:r>
      <m:oMath>
        <m:sSub>
          <m:sSubPr>
            <m:ctrlPr>
              <w:rPr>
                <w:rFonts w:ascii="Cambria Math" w:hAnsi="Cambria Math"/>
                <w:i/>
              </w:rPr>
            </m:ctrlPr>
          </m:sSubPr>
          <m:e>
            <m:r>
              <w:rPr>
                <w:rFonts w:ascii="Cambria Math" w:hAnsi="Cambria Math"/>
              </w:rPr>
              <m:t>S</m:t>
            </m:r>
          </m:e>
          <m:sub>
            <m:r>
              <w:rPr>
                <w:rFonts w:ascii="Cambria Math" w:hAnsi="Cambria Math"/>
              </w:rPr>
              <m:t>T</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m:t>
                </m:r>
              </m:sub>
            </m:sSub>
          </m:e>
        </m:d>
        <m:r>
          <w:rPr>
            <w:rFonts w:ascii="Cambria Math" w:hAnsi="Cambria Math"/>
          </w:rPr>
          <m:t>=</m:t>
        </m:r>
        <m:nary>
          <m:naryPr>
            <m:chr m:val="∑"/>
            <m:limLoc m:val="subSup"/>
            <m:ctrlPr>
              <w:rPr>
                <w:rFonts w:ascii="Cambria Math" w:hAnsi="Cambria Math"/>
                <w:i/>
              </w:rPr>
            </m:ctrlPr>
          </m:naryPr>
          <m:sub>
            <m:r>
              <w:rPr>
                <w:rFonts w:ascii="Cambria Math" w:hAnsi="Cambria Math"/>
              </w:rPr>
              <m:t>j=1</m:t>
            </m:r>
          </m:sub>
          <m:sup>
            <m:r>
              <w:rPr>
                <w:rFonts w:ascii="Cambria Math" w:hAnsi="Cambria Math"/>
              </w:rPr>
              <m:t>m+1</m:t>
            </m:r>
          </m:sup>
          <m:e>
            <m:sSub>
              <m:sSubPr>
                <m:ctrlPr>
                  <w:rPr>
                    <w:rFonts w:ascii="Cambria Math" w:hAnsi="Cambria Math"/>
                    <w:i/>
                  </w:rPr>
                </m:ctrlPr>
              </m:sSubPr>
              <m:e>
                <m:r>
                  <w:rPr>
                    <w:rFonts w:ascii="Cambria Math" w:hAnsi="Cambria Math"/>
                  </w:rPr>
                  <m:t>SSR</m:t>
                </m:r>
              </m:e>
              <m:sub>
                <m:r>
                  <w:rPr>
                    <w:rFonts w:ascii="Cambria Math" w:hAnsi="Cambria Math"/>
                  </w:rPr>
                  <m:t>j</m:t>
                </m:r>
              </m:sub>
            </m:sSub>
          </m:e>
        </m:nary>
      </m:oMath>
    </w:p>
    <w:p w14:paraId="6D178771" w14:textId="77777777" w:rsidR="000F49A5" w:rsidRPr="005D7C35" w:rsidRDefault="000F49A5" w:rsidP="009E201F">
      <w:pPr>
        <w:pStyle w:val="NormalWeb"/>
        <w:spacing w:line="360" w:lineRule="auto"/>
        <w:jc w:val="both"/>
      </w:pPr>
      <w:r w:rsidRPr="005D7C35">
        <w:rPr>
          <w:rStyle w:val="vlist-s"/>
        </w:rPr>
        <w:t>​</w:t>
      </w:r>
      <w:r w:rsidRPr="005D7C35">
        <w:t xml:space="preserve"> is computed. Break dates are estimated by minimizing </w:t>
      </w:r>
      <m:oMath>
        <m:sSub>
          <m:sSubPr>
            <m:ctrlPr>
              <w:rPr>
                <w:rStyle w:val="katex-mathml"/>
                <w:rFonts w:ascii="Cambria Math" w:hAnsi="Cambria Math"/>
                <w:i/>
              </w:rPr>
            </m:ctrlPr>
          </m:sSubPr>
          <m:e>
            <m:r>
              <w:rPr>
                <w:rStyle w:val="katex-mathml"/>
                <w:rFonts w:ascii="Cambria Math" w:hAnsi="Cambria Math"/>
              </w:rPr>
              <m:t>S</m:t>
            </m:r>
          </m:e>
          <m:sub>
            <m:r>
              <w:rPr>
                <w:rStyle w:val="katex-mathml"/>
                <w:rFonts w:ascii="Cambria Math" w:hAnsi="Cambria Math"/>
              </w:rPr>
              <m:t>T</m:t>
            </m:r>
          </m:sub>
        </m:sSub>
        <m:r>
          <w:rPr>
            <w:rStyle w:val="katex-mathml"/>
            <w:rFonts w:ascii="Cambria Math" w:hAnsi="Cambria Math"/>
          </w:rPr>
          <m:t>(⋅)</m:t>
        </m:r>
      </m:oMath>
      <w:r w:rsidR="00C77E49" w:rsidRPr="005D7C35">
        <w:rPr>
          <w:rStyle w:val="katex-mathml"/>
        </w:rPr>
        <w:t xml:space="preserve"> </w:t>
      </w:r>
      <w:r w:rsidRPr="005D7C35">
        <w:t>subject to the trimming constraint</w:t>
      </w:r>
      <w:r w:rsidR="00C77E49" w:rsidRPr="005D7C35">
        <w:rPr>
          <w:rStyle w:val="katex-mathml"/>
        </w:rPr>
        <w:t xml:space="preserve"> </w:t>
      </w:r>
      <m:oMath>
        <m:sSub>
          <m:sSubPr>
            <m:ctrlPr>
              <w:rPr>
                <w:rStyle w:val="katex-mathml"/>
                <w:rFonts w:ascii="Cambria Math" w:hAnsi="Cambria Math"/>
                <w:i/>
              </w:rPr>
            </m:ctrlPr>
          </m:sSubPr>
          <m:e>
            <m:r>
              <w:rPr>
                <w:rStyle w:val="katex-mathml"/>
                <w:rFonts w:ascii="Cambria Math" w:hAnsi="Cambria Math"/>
              </w:rPr>
              <m:t>T</m:t>
            </m:r>
          </m:e>
          <m:sub>
            <m:r>
              <w:rPr>
                <w:rStyle w:val="katex-mathml"/>
                <w:rFonts w:ascii="Cambria Math" w:hAnsi="Cambria Math"/>
              </w:rPr>
              <m:t>j</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T</m:t>
            </m:r>
          </m:e>
          <m:sub>
            <m:r>
              <w:rPr>
                <w:rStyle w:val="katex-mathml"/>
                <w:rFonts w:ascii="Cambria Math" w:hAnsi="Cambria Math"/>
              </w:rPr>
              <m:t>j-1</m:t>
            </m:r>
          </m:sub>
        </m:sSub>
        <m:r>
          <w:rPr>
            <w:rStyle w:val="katex-mathml"/>
            <w:rFonts w:ascii="Cambria Math" w:hAnsi="Cambria Math"/>
          </w:rPr>
          <m:t>≥hT</m:t>
        </m:r>
      </m:oMath>
      <w:r w:rsidRPr="005D7C35">
        <w:t xml:space="preserve">. Statistical testing follows the sup-F and sequential F procedures described in Bai and Perron (1998, 2003). In practice we implement the algorithm with a trimming fraction </w:t>
      </w:r>
      <w:r w:rsidRPr="005D7C35">
        <w:rPr>
          <w:rStyle w:val="katex-mathml"/>
        </w:rPr>
        <w:t>h=0.15</w:t>
      </w:r>
      <w:r w:rsidRPr="005D7C35">
        <w:t xml:space="preserve"> (results are robust to alternative </w:t>
      </w:r>
      <w:proofErr w:type="spellStart"/>
      <w:r w:rsidRPr="005D7C35">
        <w:rPr>
          <w:rStyle w:val="katex-mathml"/>
        </w:rPr>
        <w:t>hh</w:t>
      </w:r>
      <w:r w:rsidRPr="005D7C35">
        <w:rPr>
          <w:rStyle w:val="mord"/>
        </w:rPr>
        <w:t>h</w:t>
      </w:r>
      <w:proofErr w:type="spellEnd"/>
      <w:r w:rsidRPr="005D7C35">
        <w:t xml:space="preserve"> values), a maximum of </w:t>
      </w:r>
      <w:r w:rsidRPr="005D7C35">
        <w:rPr>
          <w:rStyle w:val="katex-mathml"/>
        </w:rPr>
        <w:t>M</w:t>
      </w:r>
      <w:r w:rsidR="00DD3CA7" w:rsidRPr="005D7C35">
        <w:rPr>
          <w:rStyle w:val="katex-mathml"/>
        </w:rPr>
        <w:t xml:space="preserve"> </w:t>
      </w:r>
      <w:r w:rsidRPr="005D7C35">
        <w:t>candidate breaks, and model selection aided by sequential sup-F tests and information criteria. (Details of estimated break dates and their interpretation are reported in Section 4.)</w:t>
      </w:r>
    </w:p>
    <w:p w14:paraId="3AB3F9E1" w14:textId="77777777" w:rsidR="000F5D84" w:rsidRPr="005D7C35" w:rsidRDefault="000F5D84" w:rsidP="009E201F">
      <w:pPr>
        <w:pStyle w:val="NormalWeb"/>
        <w:spacing w:line="360" w:lineRule="auto"/>
        <w:jc w:val="both"/>
      </w:pPr>
      <w:r w:rsidRPr="005D7C35">
        <w:t xml:space="preserve">Collectively, the VIF, BG, BPG, JB, DW, and Bai–Perron tests confirm the robustness of the ARDL results. Residuals are free from multicollinearity, serial correlation, and </w:t>
      </w:r>
      <w:r w:rsidRPr="005D7C35">
        <w:lastRenderedPageBreak/>
        <w:t>heteroskedasticity, approximately normally distributed, and stable except for identified structural breaks, which explain the absence of long-run cointegration.</w:t>
      </w:r>
    </w:p>
    <w:p w14:paraId="25860215" w14:textId="77777777" w:rsidR="00700BED" w:rsidRPr="005D7C35" w:rsidRDefault="00700BED" w:rsidP="009E201F">
      <w:pPr>
        <w:pStyle w:val="Heading1"/>
        <w:spacing w:line="360" w:lineRule="auto"/>
        <w:jc w:val="both"/>
        <w:rPr>
          <w:sz w:val="24"/>
          <w:szCs w:val="24"/>
        </w:rPr>
      </w:pPr>
      <w:r w:rsidRPr="005D7C35">
        <w:rPr>
          <w:rStyle w:val="Strong"/>
          <w:b/>
          <w:bCs/>
          <w:sz w:val="24"/>
          <w:szCs w:val="24"/>
        </w:rPr>
        <w:t>4. Empirical Results</w:t>
      </w:r>
    </w:p>
    <w:p w14:paraId="210AB533" w14:textId="77777777" w:rsidR="00700BED" w:rsidRPr="005D7C35" w:rsidRDefault="00700BED" w:rsidP="005D7C35">
      <w:pPr>
        <w:rPr>
          <w:rFonts w:cs="Times New Roman"/>
        </w:rPr>
      </w:pPr>
      <w:r w:rsidRPr="005D7C35">
        <w:rPr>
          <w:rStyle w:val="Strong"/>
          <w:rFonts w:cs="Times New Roman"/>
          <w:bCs w:val="0"/>
          <w:szCs w:val="24"/>
        </w:rPr>
        <w:t>4.1 Time Series Properties of LN_GDP</w:t>
      </w:r>
    </w:p>
    <w:p w14:paraId="32D629A3" w14:textId="77777777" w:rsidR="00700BED" w:rsidRPr="005D7C35" w:rsidRDefault="00700BED" w:rsidP="009E201F">
      <w:pPr>
        <w:pStyle w:val="NormalWeb"/>
        <w:spacing w:line="360" w:lineRule="auto"/>
        <w:jc w:val="both"/>
      </w:pPr>
      <w:r w:rsidRPr="005D7C35">
        <w:t xml:space="preserve">The analysis begins by examining the long-run evolution of India’s real gross domestic product (GDP), expressed in natural logarithms (LN_GDP). As illustrated in </w:t>
      </w:r>
      <w:r w:rsidRPr="005D7C35">
        <w:rPr>
          <w:rStyle w:val="Strong"/>
          <w:b w:val="0"/>
          <w:i/>
        </w:rPr>
        <w:t>Figure 1</w:t>
      </w:r>
      <w:r w:rsidRPr="005D7C35">
        <w:t>, the series displays a clear upward trajectory over the entire sample period (1980–2023). This persistent trend reflects India’s sustained growth performance, beginning with modest increases during the 1980s, accelerating after the liberalization reforms of the early 1990s, and rising more sharply during the mid-2000s high-growth phase. Visual inspection further suggests periods of deceleration associated with macroeconomic shocks and policy changes, including the global financial crisis and post-2016 disruptions.</w:t>
      </w:r>
    </w:p>
    <w:p w14:paraId="5D083053" w14:textId="77777777" w:rsidR="00700BED" w:rsidRPr="005D7C35" w:rsidRDefault="00700BED" w:rsidP="009E201F">
      <w:pPr>
        <w:pStyle w:val="NormalWeb"/>
        <w:spacing w:line="360" w:lineRule="auto"/>
        <w:jc w:val="both"/>
      </w:pPr>
      <w:r w:rsidRPr="005D7C35">
        <w:t xml:space="preserve">The consistently increasing path of LN_GDP implies the presence of a deterministic trend, a feature commonly observed in macroeconomic time series (Nelson &amp; </w:t>
      </w:r>
      <w:proofErr w:type="spellStart"/>
      <w:r w:rsidRPr="005D7C35">
        <w:t>Plosser</w:t>
      </w:r>
      <w:proofErr w:type="spellEnd"/>
      <w:r w:rsidRPr="005D7C35">
        <w:t xml:space="preserve">, 1982). While short-term fluctuations are evident, they are relatively small compared to the long-run rise, reinforcing the need to distinguish between temporary deviations and structural shifts in growth. The trending </w:t>
      </w:r>
      <w:proofErr w:type="spellStart"/>
      <w:r w:rsidRPr="005D7C35">
        <w:t>behavior</w:t>
      </w:r>
      <w:proofErr w:type="spellEnd"/>
      <w:r w:rsidRPr="005D7C35">
        <w:t xml:space="preserve"> is consistent with the unit-root findings reported later (Table 2), which indicate that LN_GDP is non-stationary in levels and integrated of order one. This result motivates the application of the ARDL bounds testing framework, which permits a mixture of </w:t>
      </w:r>
      <w:proofErr w:type="gramStart"/>
      <w:r w:rsidRPr="005D7C35">
        <w:t>I(</w:t>
      </w:r>
      <w:proofErr w:type="gramEnd"/>
      <w:r w:rsidRPr="005D7C35">
        <w:t>0) and I(1) variables (</w:t>
      </w:r>
      <w:proofErr w:type="spellStart"/>
      <w:r w:rsidRPr="005D7C35">
        <w:t>Pesaran</w:t>
      </w:r>
      <w:proofErr w:type="spellEnd"/>
      <w:r w:rsidRPr="005D7C35">
        <w:t>, Shin, &amp; Smith, 2001). Moreover, the visual suggestion of slope changes in Figure 1 justifies the subsequent use of structural break tests (Bai &amp; Perron, 2003) to formally detect shifts in the fiscal–growth relationship.</w:t>
      </w:r>
    </w:p>
    <w:p w14:paraId="1E32BF63" w14:textId="77777777" w:rsidR="009C5557" w:rsidRPr="005D7C35" w:rsidRDefault="009C5557" w:rsidP="009E201F">
      <w:pPr>
        <w:spacing w:line="360" w:lineRule="auto"/>
        <w:jc w:val="both"/>
        <w:rPr>
          <w:rFonts w:cs="Times New Roman"/>
          <w:szCs w:val="24"/>
        </w:rPr>
      </w:pPr>
      <w:r w:rsidRPr="005D7C35">
        <w:rPr>
          <w:rFonts w:cs="Times New Roman"/>
          <w:szCs w:val="24"/>
        </w:rPr>
        <w:t>Figure 1: Time Series Trends of LN_GDP</w:t>
      </w:r>
    </w:p>
    <w:p w14:paraId="1BE50DA3" w14:textId="77777777" w:rsidR="009C5557" w:rsidRPr="005D7C35" w:rsidRDefault="009C5557" w:rsidP="009E201F">
      <w:pPr>
        <w:spacing w:line="360" w:lineRule="auto"/>
        <w:jc w:val="both"/>
        <w:rPr>
          <w:rFonts w:cs="Times New Roman"/>
          <w:szCs w:val="24"/>
        </w:rPr>
      </w:pPr>
    </w:p>
    <w:p w14:paraId="3D48E36F" w14:textId="77777777" w:rsidR="009C5557" w:rsidRPr="005D7C35" w:rsidRDefault="009C5557" w:rsidP="009E201F">
      <w:pPr>
        <w:spacing w:line="360" w:lineRule="auto"/>
        <w:jc w:val="both"/>
        <w:rPr>
          <w:rFonts w:cs="Times New Roman"/>
          <w:szCs w:val="24"/>
        </w:rPr>
      </w:pPr>
      <w:r w:rsidRPr="005D7C35">
        <w:rPr>
          <w:rFonts w:cs="Times New Roman"/>
          <w:noProof/>
          <w:szCs w:val="24"/>
          <w:lang w:eastAsia="en-IN"/>
        </w:rPr>
        <w:lastRenderedPageBreak/>
        <w:drawing>
          <wp:inline distT="0" distB="0" distL="0" distR="0" wp14:anchorId="05EFE1C4" wp14:editId="5EB4CA22">
            <wp:extent cx="5731510" cy="2298700"/>
            <wp:effectExtent l="0" t="0" r="254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49DC29" w14:textId="77777777" w:rsidR="00CB0A0F" w:rsidRPr="00CB0A0F" w:rsidRDefault="00CB0A0F" w:rsidP="00CB0A0F">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1C8FEBA3" w14:textId="77777777" w:rsidR="00700BED" w:rsidRPr="005D7C35" w:rsidRDefault="00700BED" w:rsidP="005D7C35">
      <w:r w:rsidRPr="005D7C35">
        <w:rPr>
          <w:rStyle w:val="Strong"/>
          <w:rFonts w:cs="Times New Roman"/>
          <w:bCs w:val="0"/>
          <w:szCs w:val="24"/>
        </w:rPr>
        <w:t>4.2 Descriptive Statistics of GDP and Fiscal Indicators</w:t>
      </w:r>
    </w:p>
    <w:p w14:paraId="584F7E6A" w14:textId="77777777" w:rsidR="00700BED" w:rsidRPr="005D7C35" w:rsidRDefault="00700BED" w:rsidP="009E201F">
      <w:pPr>
        <w:pStyle w:val="NormalWeb"/>
        <w:spacing w:line="360" w:lineRule="auto"/>
        <w:jc w:val="both"/>
      </w:pPr>
      <w:r w:rsidRPr="005D7C35">
        <w:t xml:space="preserve">Before undertaking formal econometric estimation, it is useful to examine the basic statistical properties of the series. </w:t>
      </w:r>
      <w:r w:rsidRPr="005D7C35">
        <w:rPr>
          <w:rStyle w:val="Strong"/>
          <w:b w:val="0"/>
          <w:i/>
        </w:rPr>
        <w:t>Table 1</w:t>
      </w:r>
      <w:r w:rsidRPr="005D7C35">
        <w:t xml:space="preserve"> reports the descriptive statistics for the variables under consideration: the natural logarithm of GDP (LN_GDP), the natural logarithm of the gross fiscal deficit (LN_GFD), capital expenditure as a share of GDP (CE_GDP), and revenue deficit as a share of GDP (RD_GDP).</w:t>
      </w:r>
    </w:p>
    <w:p w14:paraId="7CB19D2B" w14:textId="77777777" w:rsidR="00700BED" w:rsidRPr="005D7C35" w:rsidRDefault="00700BED" w:rsidP="009E201F">
      <w:pPr>
        <w:pStyle w:val="NormalWeb"/>
        <w:spacing w:line="360" w:lineRule="auto"/>
        <w:jc w:val="both"/>
      </w:pPr>
      <w:r w:rsidRPr="005D7C35">
        <w:t>The results confirm several important features. First, the mean value of LN_GDP is 15.40, with relatively low variability (standard deviation of 0.76), reflecting India’s steady growth over the sample period. Fiscal deficit (LN_GFD) has a mean of 12.48 and displays moderate variation (standard deviation 0.69), while both capital expenditure and revenue deficit ratios are small in magnitude, averaging around 3.3 percent and 2.9 percent of GDP respectively.</w:t>
      </w:r>
    </w:p>
    <w:p w14:paraId="44E773B5" w14:textId="77777777" w:rsidR="00700BED" w:rsidRPr="005D7C35" w:rsidRDefault="00700BED" w:rsidP="009E201F">
      <w:pPr>
        <w:pStyle w:val="NormalWeb"/>
        <w:spacing w:line="360" w:lineRule="auto"/>
        <w:jc w:val="both"/>
      </w:pPr>
      <w:r w:rsidRPr="005D7C35">
        <w:t>Second, measures of skewness and kurtosis indicate that the distributions of the variables are broadly consistent with normality. LN_GDP is nearly symmetric (skewness = 0.08), while the fiscal variables exhibit moderate positive skewness (0.44 for LN_GFD, 0.74 for CE_GDP, and 0.70 for RD_GDP), suggesting occasional periods of higher-than-average deficits and expenditure. Kurtosis values for most variables lie close to the benchmark of 3, except LN_GDP, which is slightly platykurtic (1.73), indicating thinner tails.</w:t>
      </w:r>
    </w:p>
    <w:p w14:paraId="7E4EAE9B" w14:textId="77777777" w:rsidR="00700BED" w:rsidRPr="005D7C35" w:rsidRDefault="00700BED" w:rsidP="009E201F">
      <w:pPr>
        <w:pStyle w:val="NormalWeb"/>
        <w:spacing w:line="360" w:lineRule="auto"/>
        <w:jc w:val="both"/>
      </w:pPr>
      <w:r w:rsidRPr="005D7C35">
        <w:t xml:space="preserve">Third, the Jarque–Bera test statistics provide formal evidence on normality. For LN_GDP and LN_GFD, the null hypothesis of normality cannot be rejected at conventional significance levels (p = 0.22 and 0.41, respectively). For CE_GDP and RD_GDP, the test values are higher </w:t>
      </w:r>
      <w:r w:rsidRPr="005D7C35">
        <w:lastRenderedPageBreak/>
        <w:t>but remain above the 5 percent threshold (p ≈ 0.06), suggesting only mild departures from normality. These results support the reliability of the data for subsequent econometric analysis, as residual distributions are unlikely to be severely distorted by non-normality (Gujarati &amp; Porter, 2009).</w:t>
      </w:r>
    </w:p>
    <w:p w14:paraId="2B8D77EE" w14:textId="77777777" w:rsidR="00700BED" w:rsidRPr="005D7C35" w:rsidRDefault="00700BED" w:rsidP="009E201F">
      <w:pPr>
        <w:pStyle w:val="NormalWeb"/>
        <w:spacing w:line="360" w:lineRule="auto"/>
        <w:jc w:val="both"/>
      </w:pPr>
      <w:r w:rsidRPr="005D7C35">
        <w:t>Taken together, the descriptive statistics highlight that India’s GDP has grown steadily over the past four decades, fiscal deficits have remained persistently positive but within moderate variation, and the relative shares of revenue deficit and capital expenditure are small yet significant in shaping fiscal dynamics. The preliminary evidence of approximate normality provides confidence in moving forward to stationarity and cointegration analysis.</w:t>
      </w:r>
    </w:p>
    <w:p w14:paraId="6D3EB69B" w14:textId="77777777" w:rsidR="006F588A" w:rsidRPr="005D7C35" w:rsidRDefault="00890ECB" w:rsidP="009E201F">
      <w:pPr>
        <w:spacing w:line="360" w:lineRule="auto"/>
        <w:jc w:val="both"/>
        <w:rPr>
          <w:rFonts w:cs="Times New Roman"/>
          <w:szCs w:val="24"/>
        </w:rPr>
      </w:pPr>
      <w:r w:rsidRPr="005D7C35">
        <w:rPr>
          <w:rFonts w:cs="Times New Roman"/>
          <w:szCs w:val="24"/>
        </w:rPr>
        <w:t>Table 1: Descriptive Statistics of GDP and Fiscal Indicators in India</w:t>
      </w:r>
    </w:p>
    <w:tbl>
      <w:tblPr>
        <w:tblW w:w="10206" w:type="dxa"/>
        <w:tblInd w:w="-5" w:type="dxa"/>
        <w:tblLook w:val="04A0" w:firstRow="1" w:lastRow="0" w:firstColumn="1" w:lastColumn="0" w:noHBand="0" w:noVBand="1"/>
      </w:tblPr>
      <w:tblGrid>
        <w:gridCol w:w="1094"/>
        <w:gridCol w:w="1067"/>
        <w:gridCol w:w="1067"/>
        <w:gridCol w:w="1067"/>
        <w:gridCol w:w="1067"/>
        <w:gridCol w:w="1177"/>
        <w:gridCol w:w="1220"/>
        <w:gridCol w:w="1098"/>
        <w:gridCol w:w="1349"/>
      </w:tblGrid>
      <w:tr w:rsidR="003B1266" w:rsidRPr="00E93F0D" w14:paraId="49234F4D" w14:textId="77777777" w:rsidTr="003B1266">
        <w:trPr>
          <w:trHeight w:val="148"/>
        </w:trPr>
        <w:tc>
          <w:tcPr>
            <w:tcW w:w="1094" w:type="dxa"/>
            <w:tcBorders>
              <w:top w:val="single" w:sz="4" w:space="0" w:color="auto"/>
              <w:left w:val="single" w:sz="4" w:space="0" w:color="auto"/>
              <w:bottom w:val="single" w:sz="4" w:space="0" w:color="auto"/>
              <w:right w:val="single" w:sz="4" w:space="0" w:color="auto"/>
            </w:tcBorders>
            <w:noWrap/>
            <w:vAlign w:val="center"/>
            <w:hideMark/>
          </w:tcPr>
          <w:p w14:paraId="19F04DA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Variable</w:t>
            </w:r>
          </w:p>
        </w:tc>
        <w:tc>
          <w:tcPr>
            <w:tcW w:w="1067" w:type="dxa"/>
            <w:tcBorders>
              <w:top w:val="single" w:sz="4" w:space="0" w:color="auto"/>
              <w:left w:val="nil"/>
              <w:bottom w:val="single" w:sz="4" w:space="0" w:color="auto"/>
              <w:right w:val="single" w:sz="4" w:space="0" w:color="auto"/>
            </w:tcBorders>
            <w:noWrap/>
            <w:vAlign w:val="center"/>
            <w:hideMark/>
          </w:tcPr>
          <w:p w14:paraId="32DF9E2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Mean</w:t>
            </w:r>
          </w:p>
        </w:tc>
        <w:tc>
          <w:tcPr>
            <w:tcW w:w="1067" w:type="dxa"/>
            <w:tcBorders>
              <w:top w:val="single" w:sz="4" w:space="0" w:color="auto"/>
              <w:left w:val="nil"/>
              <w:bottom w:val="single" w:sz="4" w:space="0" w:color="auto"/>
              <w:right w:val="single" w:sz="4" w:space="0" w:color="auto"/>
            </w:tcBorders>
            <w:noWrap/>
            <w:vAlign w:val="center"/>
            <w:hideMark/>
          </w:tcPr>
          <w:p w14:paraId="47C38853"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Median</w:t>
            </w:r>
          </w:p>
        </w:tc>
        <w:tc>
          <w:tcPr>
            <w:tcW w:w="1067" w:type="dxa"/>
            <w:tcBorders>
              <w:top w:val="single" w:sz="4" w:space="0" w:color="auto"/>
              <w:left w:val="nil"/>
              <w:bottom w:val="single" w:sz="4" w:space="0" w:color="auto"/>
              <w:right w:val="single" w:sz="4" w:space="0" w:color="auto"/>
            </w:tcBorders>
            <w:noWrap/>
            <w:vAlign w:val="center"/>
            <w:hideMark/>
          </w:tcPr>
          <w:p w14:paraId="3351B48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Max</w:t>
            </w:r>
          </w:p>
        </w:tc>
        <w:tc>
          <w:tcPr>
            <w:tcW w:w="1067" w:type="dxa"/>
            <w:tcBorders>
              <w:top w:val="single" w:sz="4" w:space="0" w:color="auto"/>
              <w:left w:val="nil"/>
              <w:bottom w:val="single" w:sz="4" w:space="0" w:color="auto"/>
              <w:right w:val="single" w:sz="4" w:space="0" w:color="auto"/>
            </w:tcBorders>
            <w:noWrap/>
            <w:vAlign w:val="center"/>
            <w:hideMark/>
          </w:tcPr>
          <w:p w14:paraId="6087EA8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Min</w:t>
            </w:r>
          </w:p>
        </w:tc>
        <w:tc>
          <w:tcPr>
            <w:tcW w:w="1177" w:type="dxa"/>
            <w:tcBorders>
              <w:top w:val="single" w:sz="4" w:space="0" w:color="auto"/>
              <w:left w:val="nil"/>
              <w:bottom w:val="single" w:sz="4" w:space="0" w:color="auto"/>
              <w:right w:val="single" w:sz="4" w:space="0" w:color="auto"/>
            </w:tcBorders>
            <w:noWrap/>
            <w:vAlign w:val="center"/>
            <w:hideMark/>
          </w:tcPr>
          <w:p w14:paraId="593DE39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Std. Dev.</w:t>
            </w:r>
          </w:p>
        </w:tc>
        <w:tc>
          <w:tcPr>
            <w:tcW w:w="1220" w:type="dxa"/>
            <w:tcBorders>
              <w:top w:val="single" w:sz="4" w:space="0" w:color="auto"/>
              <w:left w:val="nil"/>
              <w:bottom w:val="single" w:sz="4" w:space="0" w:color="auto"/>
              <w:right w:val="single" w:sz="4" w:space="0" w:color="auto"/>
            </w:tcBorders>
            <w:noWrap/>
            <w:vAlign w:val="center"/>
            <w:hideMark/>
          </w:tcPr>
          <w:p w14:paraId="3650CC75"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Skewness</w:t>
            </w:r>
          </w:p>
        </w:tc>
        <w:tc>
          <w:tcPr>
            <w:tcW w:w="1098" w:type="dxa"/>
            <w:tcBorders>
              <w:top w:val="single" w:sz="4" w:space="0" w:color="auto"/>
              <w:left w:val="nil"/>
              <w:bottom w:val="single" w:sz="4" w:space="0" w:color="auto"/>
              <w:right w:val="single" w:sz="4" w:space="0" w:color="auto"/>
            </w:tcBorders>
            <w:noWrap/>
            <w:vAlign w:val="center"/>
            <w:hideMark/>
          </w:tcPr>
          <w:p w14:paraId="54C06B9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Kurtosis</w:t>
            </w:r>
          </w:p>
        </w:tc>
        <w:tc>
          <w:tcPr>
            <w:tcW w:w="1349" w:type="dxa"/>
            <w:tcBorders>
              <w:top w:val="single" w:sz="4" w:space="0" w:color="auto"/>
              <w:left w:val="nil"/>
              <w:bottom w:val="single" w:sz="4" w:space="0" w:color="auto"/>
              <w:right w:val="single" w:sz="4" w:space="0" w:color="auto"/>
            </w:tcBorders>
            <w:noWrap/>
            <w:vAlign w:val="center"/>
            <w:hideMark/>
          </w:tcPr>
          <w:p w14:paraId="74ED27F8"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Jarque-Bera (p)</w:t>
            </w:r>
          </w:p>
        </w:tc>
      </w:tr>
      <w:tr w:rsidR="003B1266" w:rsidRPr="00E93F0D" w14:paraId="22EC5203" w14:textId="77777777" w:rsidTr="003B1266">
        <w:trPr>
          <w:trHeight w:val="148"/>
        </w:trPr>
        <w:tc>
          <w:tcPr>
            <w:tcW w:w="1094" w:type="dxa"/>
            <w:tcBorders>
              <w:top w:val="nil"/>
              <w:left w:val="single" w:sz="4" w:space="0" w:color="auto"/>
              <w:bottom w:val="single" w:sz="4" w:space="0" w:color="auto"/>
              <w:right w:val="single" w:sz="4" w:space="0" w:color="auto"/>
            </w:tcBorders>
            <w:noWrap/>
            <w:vAlign w:val="center"/>
            <w:hideMark/>
          </w:tcPr>
          <w:p w14:paraId="6AA620B3"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LN_GDP</w:t>
            </w:r>
          </w:p>
        </w:tc>
        <w:tc>
          <w:tcPr>
            <w:tcW w:w="1067" w:type="dxa"/>
            <w:tcBorders>
              <w:top w:val="nil"/>
              <w:left w:val="nil"/>
              <w:bottom w:val="single" w:sz="4" w:space="0" w:color="auto"/>
              <w:right w:val="single" w:sz="4" w:space="0" w:color="auto"/>
            </w:tcBorders>
            <w:noWrap/>
            <w:vAlign w:val="center"/>
            <w:hideMark/>
          </w:tcPr>
          <w:p w14:paraId="02416A2B"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15.4047</w:t>
            </w:r>
          </w:p>
        </w:tc>
        <w:tc>
          <w:tcPr>
            <w:tcW w:w="1067" w:type="dxa"/>
            <w:tcBorders>
              <w:top w:val="nil"/>
              <w:left w:val="nil"/>
              <w:bottom w:val="single" w:sz="4" w:space="0" w:color="auto"/>
              <w:right w:val="single" w:sz="4" w:space="0" w:color="auto"/>
            </w:tcBorders>
            <w:noWrap/>
            <w:vAlign w:val="center"/>
            <w:hideMark/>
          </w:tcPr>
          <w:p w14:paraId="22929FC2"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15.3461</w:t>
            </w:r>
          </w:p>
        </w:tc>
        <w:tc>
          <w:tcPr>
            <w:tcW w:w="1067" w:type="dxa"/>
            <w:tcBorders>
              <w:top w:val="nil"/>
              <w:left w:val="nil"/>
              <w:bottom w:val="single" w:sz="4" w:space="0" w:color="auto"/>
              <w:right w:val="single" w:sz="4" w:space="0" w:color="auto"/>
            </w:tcBorders>
            <w:noWrap/>
            <w:vAlign w:val="center"/>
            <w:hideMark/>
          </w:tcPr>
          <w:p w14:paraId="6E07886D"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16.6863</w:t>
            </w:r>
          </w:p>
        </w:tc>
        <w:tc>
          <w:tcPr>
            <w:tcW w:w="1067" w:type="dxa"/>
            <w:tcBorders>
              <w:top w:val="nil"/>
              <w:left w:val="nil"/>
              <w:bottom w:val="single" w:sz="4" w:space="0" w:color="auto"/>
              <w:right w:val="single" w:sz="4" w:space="0" w:color="auto"/>
            </w:tcBorders>
            <w:noWrap/>
            <w:vAlign w:val="center"/>
            <w:hideMark/>
          </w:tcPr>
          <w:p w14:paraId="3209C239"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14.1970</w:t>
            </w:r>
          </w:p>
        </w:tc>
        <w:tc>
          <w:tcPr>
            <w:tcW w:w="1177" w:type="dxa"/>
            <w:tcBorders>
              <w:top w:val="nil"/>
              <w:left w:val="nil"/>
              <w:bottom w:val="single" w:sz="4" w:space="0" w:color="auto"/>
              <w:right w:val="single" w:sz="4" w:space="0" w:color="auto"/>
            </w:tcBorders>
            <w:noWrap/>
            <w:vAlign w:val="center"/>
            <w:hideMark/>
          </w:tcPr>
          <w:p w14:paraId="3B6CCBA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0.7608</w:t>
            </w:r>
          </w:p>
        </w:tc>
        <w:tc>
          <w:tcPr>
            <w:tcW w:w="1220" w:type="dxa"/>
            <w:tcBorders>
              <w:top w:val="nil"/>
              <w:left w:val="nil"/>
              <w:bottom w:val="single" w:sz="4" w:space="0" w:color="auto"/>
              <w:right w:val="single" w:sz="4" w:space="0" w:color="auto"/>
            </w:tcBorders>
            <w:noWrap/>
            <w:vAlign w:val="center"/>
            <w:hideMark/>
          </w:tcPr>
          <w:p w14:paraId="57CE131F"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0.08</w:t>
            </w:r>
          </w:p>
        </w:tc>
        <w:tc>
          <w:tcPr>
            <w:tcW w:w="1098" w:type="dxa"/>
            <w:tcBorders>
              <w:top w:val="nil"/>
              <w:left w:val="nil"/>
              <w:bottom w:val="single" w:sz="4" w:space="0" w:color="auto"/>
              <w:right w:val="single" w:sz="4" w:space="0" w:color="auto"/>
            </w:tcBorders>
            <w:noWrap/>
            <w:vAlign w:val="center"/>
            <w:hideMark/>
          </w:tcPr>
          <w:p w14:paraId="17C0685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1.73</w:t>
            </w:r>
          </w:p>
        </w:tc>
        <w:tc>
          <w:tcPr>
            <w:tcW w:w="1349" w:type="dxa"/>
            <w:tcBorders>
              <w:top w:val="nil"/>
              <w:left w:val="nil"/>
              <w:bottom w:val="single" w:sz="4" w:space="0" w:color="auto"/>
              <w:right w:val="single" w:sz="4" w:space="0" w:color="auto"/>
            </w:tcBorders>
            <w:noWrap/>
            <w:vAlign w:val="center"/>
            <w:hideMark/>
          </w:tcPr>
          <w:p w14:paraId="4B70013D"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3.02 (0.2212)</w:t>
            </w:r>
          </w:p>
        </w:tc>
      </w:tr>
      <w:tr w:rsidR="003B1266" w:rsidRPr="00E93F0D" w14:paraId="6C2A4C07" w14:textId="77777777" w:rsidTr="003B1266">
        <w:trPr>
          <w:trHeight w:val="148"/>
        </w:trPr>
        <w:tc>
          <w:tcPr>
            <w:tcW w:w="1094" w:type="dxa"/>
            <w:tcBorders>
              <w:top w:val="nil"/>
              <w:left w:val="single" w:sz="4" w:space="0" w:color="auto"/>
              <w:bottom w:val="single" w:sz="4" w:space="0" w:color="auto"/>
              <w:right w:val="single" w:sz="4" w:space="0" w:color="auto"/>
            </w:tcBorders>
            <w:noWrap/>
            <w:vAlign w:val="center"/>
            <w:hideMark/>
          </w:tcPr>
          <w:p w14:paraId="5F12F030"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LN_GFD</w:t>
            </w:r>
          </w:p>
        </w:tc>
        <w:tc>
          <w:tcPr>
            <w:tcW w:w="1067" w:type="dxa"/>
            <w:tcBorders>
              <w:top w:val="nil"/>
              <w:left w:val="nil"/>
              <w:bottom w:val="single" w:sz="4" w:space="0" w:color="auto"/>
              <w:right w:val="single" w:sz="4" w:space="0" w:color="auto"/>
            </w:tcBorders>
            <w:noWrap/>
            <w:vAlign w:val="center"/>
            <w:hideMark/>
          </w:tcPr>
          <w:p w14:paraId="74955CFE"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12.4805</w:t>
            </w:r>
          </w:p>
        </w:tc>
        <w:tc>
          <w:tcPr>
            <w:tcW w:w="1067" w:type="dxa"/>
            <w:tcBorders>
              <w:top w:val="nil"/>
              <w:left w:val="nil"/>
              <w:bottom w:val="single" w:sz="4" w:space="0" w:color="auto"/>
              <w:right w:val="single" w:sz="4" w:space="0" w:color="auto"/>
            </w:tcBorders>
            <w:noWrap/>
            <w:vAlign w:val="center"/>
            <w:hideMark/>
          </w:tcPr>
          <w:p w14:paraId="211D6A45"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12.3095</w:t>
            </w:r>
          </w:p>
        </w:tc>
        <w:tc>
          <w:tcPr>
            <w:tcW w:w="1067" w:type="dxa"/>
            <w:tcBorders>
              <w:top w:val="nil"/>
              <w:left w:val="nil"/>
              <w:bottom w:val="single" w:sz="4" w:space="0" w:color="auto"/>
              <w:right w:val="single" w:sz="4" w:space="0" w:color="auto"/>
            </w:tcBorders>
            <w:noWrap/>
            <w:vAlign w:val="center"/>
            <w:hideMark/>
          </w:tcPr>
          <w:p w14:paraId="0082A56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14.0420</w:t>
            </w:r>
          </w:p>
        </w:tc>
        <w:tc>
          <w:tcPr>
            <w:tcW w:w="1067" w:type="dxa"/>
            <w:tcBorders>
              <w:top w:val="nil"/>
              <w:left w:val="nil"/>
              <w:bottom w:val="single" w:sz="4" w:space="0" w:color="auto"/>
              <w:right w:val="single" w:sz="4" w:space="0" w:color="auto"/>
            </w:tcBorders>
            <w:noWrap/>
            <w:vAlign w:val="center"/>
            <w:hideMark/>
          </w:tcPr>
          <w:p w14:paraId="2F10D73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11.2627</w:t>
            </w:r>
          </w:p>
        </w:tc>
        <w:tc>
          <w:tcPr>
            <w:tcW w:w="1177" w:type="dxa"/>
            <w:tcBorders>
              <w:top w:val="nil"/>
              <w:left w:val="nil"/>
              <w:bottom w:val="single" w:sz="4" w:space="0" w:color="auto"/>
              <w:right w:val="single" w:sz="4" w:space="0" w:color="auto"/>
            </w:tcBorders>
            <w:noWrap/>
            <w:vAlign w:val="center"/>
            <w:hideMark/>
          </w:tcPr>
          <w:p w14:paraId="341DD8B7"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0.6982</w:t>
            </w:r>
          </w:p>
        </w:tc>
        <w:tc>
          <w:tcPr>
            <w:tcW w:w="1220" w:type="dxa"/>
            <w:tcBorders>
              <w:top w:val="nil"/>
              <w:left w:val="nil"/>
              <w:bottom w:val="single" w:sz="4" w:space="0" w:color="auto"/>
              <w:right w:val="single" w:sz="4" w:space="0" w:color="auto"/>
            </w:tcBorders>
            <w:noWrap/>
            <w:vAlign w:val="center"/>
            <w:hideMark/>
          </w:tcPr>
          <w:p w14:paraId="780FA122"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0.44</w:t>
            </w:r>
          </w:p>
        </w:tc>
        <w:tc>
          <w:tcPr>
            <w:tcW w:w="1098" w:type="dxa"/>
            <w:tcBorders>
              <w:top w:val="nil"/>
              <w:left w:val="nil"/>
              <w:bottom w:val="single" w:sz="4" w:space="0" w:color="auto"/>
              <w:right w:val="single" w:sz="4" w:space="0" w:color="auto"/>
            </w:tcBorders>
            <w:noWrap/>
            <w:vAlign w:val="center"/>
            <w:hideMark/>
          </w:tcPr>
          <w:p w14:paraId="0AA583D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2.55</w:t>
            </w:r>
          </w:p>
        </w:tc>
        <w:tc>
          <w:tcPr>
            <w:tcW w:w="1349" w:type="dxa"/>
            <w:tcBorders>
              <w:top w:val="nil"/>
              <w:left w:val="nil"/>
              <w:bottom w:val="single" w:sz="4" w:space="0" w:color="auto"/>
              <w:right w:val="single" w:sz="4" w:space="0" w:color="auto"/>
            </w:tcBorders>
            <w:noWrap/>
            <w:vAlign w:val="center"/>
            <w:hideMark/>
          </w:tcPr>
          <w:p w14:paraId="0ABF68F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1.78 (0.4099)</w:t>
            </w:r>
          </w:p>
        </w:tc>
      </w:tr>
      <w:tr w:rsidR="003B1266" w:rsidRPr="00E93F0D" w14:paraId="00F94533" w14:textId="77777777" w:rsidTr="003B1266">
        <w:trPr>
          <w:trHeight w:val="148"/>
        </w:trPr>
        <w:tc>
          <w:tcPr>
            <w:tcW w:w="1094" w:type="dxa"/>
            <w:tcBorders>
              <w:top w:val="nil"/>
              <w:left w:val="single" w:sz="4" w:space="0" w:color="auto"/>
              <w:bottom w:val="single" w:sz="4" w:space="0" w:color="auto"/>
              <w:right w:val="single" w:sz="4" w:space="0" w:color="auto"/>
            </w:tcBorders>
            <w:noWrap/>
            <w:vAlign w:val="center"/>
            <w:hideMark/>
          </w:tcPr>
          <w:p w14:paraId="2DB39E42"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CE_GDP</w:t>
            </w:r>
          </w:p>
        </w:tc>
        <w:tc>
          <w:tcPr>
            <w:tcW w:w="1067" w:type="dxa"/>
            <w:tcBorders>
              <w:top w:val="nil"/>
              <w:left w:val="nil"/>
              <w:bottom w:val="single" w:sz="4" w:space="0" w:color="auto"/>
              <w:right w:val="single" w:sz="4" w:space="0" w:color="auto"/>
            </w:tcBorders>
            <w:noWrap/>
            <w:vAlign w:val="center"/>
            <w:hideMark/>
          </w:tcPr>
          <w:p w14:paraId="5ECB0B3D"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0.0335</w:t>
            </w:r>
          </w:p>
        </w:tc>
        <w:tc>
          <w:tcPr>
            <w:tcW w:w="1067" w:type="dxa"/>
            <w:tcBorders>
              <w:top w:val="nil"/>
              <w:left w:val="nil"/>
              <w:bottom w:val="single" w:sz="4" w:space="0" w:color="auto"/>
              <w:right w:val="single" w:sz="4" w:space="0" w:color="auto"/>
            </w:tcBorders>
            <w:noWrap/>
            <w:vAlign w:val="center"/>
            <w:hideMark/>
          </w:tcPr>
          <w:p w14:paraId="2E7B0505"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0.0259</w:t>
            </w:r>
          </w:p>
        </w:tc>
        <w:tc>
          <w:tcPr>
            <w:tcW w:w="1067" w:type="dxa"/>
            <w:tcBorders>
              <w:top w:val="nil"/>
              <w:left w:val="nil"/>
              <w:bottom w:val="single" w:sz="4" w:space="0" w:color="auto"/>
              <w:right w:val="single" w:sz="4" w:space="0" w:color="auto"/>
            </w:tcBorders>
            <w:noWrap/>
            <w:vAlign w:val="center"/>
            <w:hideMark/>
          </w:tcPr>
          <w:p w14:paraId="407C4CD6"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0.0693</w:t>
            </w:r>
          </w:p>
        </w:tc>
        <w:tc>
          <w:tcPr>
            <w:tcW w:w="1067" w:type="dxa"/>
            <w:tcBorders>
              <w:top w:val="nil"/>
              <w:left w:val="nil"/>
              <w:bottom w:val="single" w:sz="4" w:space="0" w:color="auto"/>
              <w:right w:val="single" w:sz="4" w:space="0" w:color="auto"/>
            </w:tcBorders>
            <w:noWrap/>
            <w:vAlign w:val="center"/>
            <w:hideMark/>
          </w:tcPr>
          <w:p w14:paraId="7B9C742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0.0154</w:t>
            </w:r>
          </w:p>
        </w:tc>
        <w:tc>
          <w:tcPr>
            <w:tcW w:w="1177" w:type="dxa"/>
            <w:tcBorders>
              <w:top w:val="nil"/>
              <w:left w:val="nil"/>
              <w:bottom w:val="single" w:sz="4" w:space="0" w:color="auto"/>
              <w:right w:val="single" w:sz="4" w:space="0" w:color="auto"/>
            </w:tcBorders>
            <w:noWrap/>
            <w:vAlign w:val="center"/>
            <w:hideMark/>
          </w:tcPr>
          <w:p w14:paraId="3C21B24C"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0.0174</w:t>
            </w:r>
          </w:p>
        </w:tc>
        <w:tc>
          <w:tcPr>
            <w:tcW w:w="1220" w:type="dxa"/>
            <w:tcBorders>
              <w:top w:val="nil"/>
              <w:left w:val="nil"/>
              <w:bottom w:val="single" w:sz="4" w:space="0" w:color="auto"/>
              <w:right w:val="single" w:sz="4" w:space="0" w:color="auto"/>
            </w:tcBorders>
            <w:noWrap/>
            <w:vAlign w:val="center"/>
            <w:hideMark/>
          </w:tcPr>
          <w:p w14:paraId="73C1E041"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0.74</w:t>
            </w:r>
          </w:p>
        </w:tc>
        <w:tc>
          <w:tcPr>
            <w:tcW w:w="1098" w:type="dxa"/>
            <w:tcBorders>
              <w:top w:val="nil"/>
              <w:left w:val="nil"/>
              <w:bottom w:val="single" w:sz="4" w:space="0" w:color="auto"/>
              <w:right w:val="single" w:sz="4" w:space="0" w:color="auto"/>
            </w:tcBorders>
            <w:noWrap/>
            <w:vAlign w:val="center"/>
            <w:hideMark/>
          </w:tcPr>
          <w:p w14:paraId="6FC504DD"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2.06</w:t>
            </w:r>
          </w:p>
        </w:tc>
        <w:tc>
          <w:tcPr>
            <w:tcW w:w="1349" w:type="dxa"/>
            <w:tcBorders>
              <w:top w:val="nil"/>
              <w:left w:val="nil"/>
              <w:bottom w:val="single" w:sz="4" w:space="0" w:color="auto"/>
              <w:right w:val="single" w:sz="4" w:space="0" w:color="auto"/>
            </w:tcBorders>
            <w:noWrap/>
            <w:vAlign w:val="center"/>
            <w:hideMark/>
          </w:tcPr>
          <w:p w14:paraId="745877CF"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5.70 (0.0610)</w:t>
            </w:r>
          </w:p>
        </w:tc>
      </w:tr>
      <w:tr w:rsidR="003B1266" w:rsidRPr="00E93F0D" w14:paraId="51488D1C" w14:textId="77777777" w:rsidTr="003B1266">
        <w:trPr>
          <w:trHeight w:val="148"/>
        </w:trPr>
        <w:tc>
          <w:tcPr>
            <w:tcW w:w="1094" w:type="dxa"/>
            <w:tcBorders>
              <w:top w:val="nil"/>
              <w:left w:val="single" w:sz="4" w:space="0" w:color="auto"/>
              <w:bottom w:val="single" w:sz="4" w:space="0" w:color="auto"/>
              <w:right w:val="single" w:sz="4" w:space="0" w:color="auto"/>
            </w:tcBorders>
            <w:noWrap/>
            <w:vAlign w:val="center"/>
            <w:hideMark/>
          </w:tcPr>
          <w:p w14:paraId="75E078E3"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RD_GDP</w:t>
            </w:r>
          </w:p>
        </w:tc>
        <w:tc>
          <w:tcPr>
            <w:tcW w:w="1067" w:type="dxa"/>
            <w:tcBorders>
              <w:top w:val="nil"/>
              <w:left w:val="nil"/>
              <w:bottom w:val="single" w:sz="4" w:space="0" w:color="auto"/>
              <w:right w:val="single" w:sz="4" w:space="0" w:color="auto"/>
            </w:tcBorders>
            <w:noWrap/>
            <w:vAlign w:val="center"/>
            <w:hideMark/>
          </w:tcPr>
          <w:p w14:paraId="3F8A819F"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0.0295</w:t>
            </w:r>
          </w:p>
        </w:tc>
        <w:tc>
          <w:tcPr>
            <w:tcW w:w="1067" w:type="dxa"/>
            <w:tcBorders>
              <w:top w:val="nil"/>
              <w:left w:val="nil"/>
              <w:bottom w:val="single" w:sz="4" w:space="0" w:color="auto"/>
              <w:right w:val="single" w:sz="4" w:space="0" w:color="auto"/>
            </w:tcBorders>
            <w:noWrap/>
            <w:vAlign w:val="center"/>
            <w:hideMark/>
          </w:tcPr>
          <w:p w14:paraId="3F9B7805"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0.0269</w:t>
            </w:r>
          </w:p>
        </w:tc>
        <w:tc>
          <w:tcPr>
            <w:tcW w:w="1067" w:type="dxa"/>
            <w:tcBorders>
              <w:top w:val="nil"/>
              <w:left w:val="nil"/>
              <w:bottom w:val="single" w:sz="4" w:space="0" w:color="auto"/>
              <w:right w:val="single" w:sz="4" w:space="0" w:color="auto"/>
            </w:tcBorders>
            <w:noWrap/>
            <w:vAlign w:val="center"/>
            <w:hideMark/>
          </w:tcPr>
          <w:p w14:paraId="4A5827B1"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0.0730</w:t>
            </w:r>
          </w:p>
        </w:tc>
        <w:tc>
          <w:tcPr>
            <w:tcW w:w="1067" w:type="dxa"/>
            <w:tcBorders>
              <w:top w:val="nil"/>
              <w:left w:val="nil"/>
              <w:bottom w:val="single" w:sz="4" w:space="0" w:color="auto"/>
              <w:right w:val="single" w:sz="4" w:space="0" w:color="auto"/>
            </w:tcBorders>
            <w:noWrap/>
            <w:vAlign w:val="center"/>
            <w:hideMark/>
          </w:tcPr>
          <w:p w14:paraId="32F77CE8"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0.0023</w:t>
            </w:r>
          </w:p>
        </w:tc>
        <w:tc>
          <w:tcPr>
            <w:tcW w:w="1177" w:type="dxa"/>
            <w:tcBorders>
              <w:top w:val="nil"/>
              <w:left w:val="nil"/>
              <w:bottom w:val="single" w:sz="4" w:space="0" w:color="auto"/>
              <w:right w:val="single" w:sz="4" w:space="0" w:color="auto"/>
            </w:tcBorders>
            <w:noWrap/>
            <w:vAlign w:val="center"/>
            <w:hideMark/>
          </w:tcPr>
          <w:p w14:paraId="5B7F8E52"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0.0127</w:t>
            </w:r>
          </w:p>
        </w:tc>
        <w:tc>
          <w:tcPr>
            <w:tcW w:w="1220" w:type="dxa"/>
            <w:tcBorders>
              <w:top w:val="nil"/>
              <w:left w:val="nil"/>
              <w:bottom w:val="single" w:sz="4" w:space="0" w:color="auto"/>
              <w:right w:val="single" w:sz="4" w:space="0" w:color="auto"/>
            </w:tcBorders>
            <w:noWrap/>
            <w:vAlign w:val="center"/>
            <w:hideMark/>
          </w:tcPr>
          <w:p w14:paraId="4783C8EA"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0.7</w:t>
            </w:r>
          </w:p>
        </w:tc>
        <w:tc>
          <w:tcPr>
            <w:tcW w:w="1098" w:type="dxa"/>
            <w:tcBorders>
              <w:top w:val="nil"/>
              <w:left w:val="nil"/>
              <w:bottom w:val="single" w:sz="4" w:space="0" w:color="auto"/>
              <w:right w:val="single" w:sz="4" w:space="0" w:color="auto"/>
            </w:tcBorders>
            <w:noWrap/>
            <w:vAlign w:val="center"/>
            <w:hideMark/>
          </w:tcPr>
          <w:p w14:paraId="25BF8CC8"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3.4</w:t>
            </w:r>
          </w:p>
        </w:tc>
        <w:tc>
          <w:tcPr>
            <w:tcW w:w="1349" w:type="dxa"/>
            <w:tcBorders>
              <w:top w:val="nil"/>
              <w:left w:val="nil"/>
              <w:bottom w:val="single" w:sz="4" w:space="0" w:color="auto"/>
              <w:right w:val="single" w:sz="4" w:space="0" w:color="auto"/>
            </w:tcBorders>
            <w:noWrap/>
            <w:vAlign w:val="center"/>
            <w:hideMark/>
          </w:tcPr>
          <w:p w14:paraId="40888AFB" w14:textId="77777777" w:rsidR="00E93F0D" w:rsidRPr="00E93F0D" w:rsidRDefault="00E93F0D" w:rsidP="00E93F0D">
            <w:pPr>
              <w:spacing w:after="0" w:line="240" w:lineRule="auto"/>
              <w:jc w:val="both"/>
              <w:rPr>
                <w:rFonts w:eastAsia="Times New Roman" w:cs="Times New Roman"/>
                <w:color w:val="000000"/>
                <w:sz w:val="20"/>
                <w:szCs w:val="20"/>
                <w:lang w:eastAsia="en-IN"/>
              </w:rPr>
            </w:pPr>
            <w:r w:rsidRPr="00E93F0D">
              <w:rPr>
                <w:rFonts w:eastAsia="Times New Roman" w:cs="Times New Roman"/>
                <w:color w:val="000000"/>
                <w:sz w:val="20"/>
                <w:szCs w:val="20"/>
                <w:lang w:eastAsia="en-IN"/>
              </w:rPr>
              <w:t>9.83 (0.0615)</w:t>
            </w:r>
          </w:p>
        </w:tc>
      </w:tr>
    </w:tbl>
    <w:p w14:paraId="675A416A" w14:textId="77777777" w:rsidR="00CB0A0F" w:rsidRPr="00CB0A0F" w:rsidRDefault="00CB0A0F" w:rsidP="00CB0A0F">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0C8C5BF9" w14:textId="77777777" w:rsidR="00700BED" w:rsidRPr="003B1266" w:rsidRDefault="00700BED" w:rsidP="003B1266">
      <w:r w:rsidRPr="003B1266">
        <w:rPr>
          <w:rStyle w:val="Strong"/>
          <w:rFonts w:cs="Times New Roman"/>
          <w:bCs w:val="0"/>
          <w:szCs w:val="24"/>
        </w:rPr>
        <w:t>4.3 Unit Root and Stationarity Tests</w:t>
      </w:r>
    </w:p>
    <w:p w14:paraId="7FB11879" w14:textId="77777777" w:rsidR="00700BED" w:rsidRPr="005D7C35" w:rsidRDefault="00700BED" w:rsidP="009E201F">
      <w:pPr>
        <w:pStyle w:val="NormalWeb"/>
        <w:spacing w:line="360" w:lineRule="auto"/>
        <w:jc w:val="both"/>
      </w:pPr>
      <w:r w:rsidRPr="005D7C35">
        <w:t>To ensure valid inference in time-series models, it is essential to establish the order of integration of the variables. Non-stationary series can lead to spurious regression results (Granger &amp; Newbold, 1974), and the choice of cointegration or ARDL techniques depends on whether variables are integrated of order zero [</w:t>
      </w:r>
      <w:proofErr w:type="gramStart"/>
      <w:r w:rsidRPr="005D7C35">
        <w:t>I(</w:t>
      </w:r>
      <w:proofErr w:type="gramEnd"/>
      <w:r w:rsidRPr="005D7C35">
        <w:t>0)], order one [I(1)], or a mixture. Accordingly, the Augmented Dickey–Fuller (ADF; Dickey &amp; Fuller, 1979) and Phillips–Perron (PP; Phillips &amp; Perron, 1988) tests were applied.</w:t>
      </w:r>
    </w:p>
    <w:p w14:paraId="4804E2ED" w14:textId="77777777" w:rsidR="00700BED" w:rsidRPr="005D7C35" w:rsidRDefault="00700BED" w:rsidP="009E201F">
      <w:pPr>
        <w:pStyle w:val="NormalWeb"/>
        <w:spacing w:line="360" w:lineRule="auto"/>
        <w:jc w:val="both"/>
      </w:pPr>
      <w:r w:rsidRPr="005D7C35">
        <w:t xml:space="preserve">The results, presented in </w:t>
      </w:r>
      <w:r w:rsidRPr="003B1266">
        <w:rPr>
          <w:rStyle w:val="Strong"/>
          <w:b w:val="0"/>
          <w:i/>
        </w:rPr>
        <w:t>Table 2</w:t>
      </w:r>
      <w:r w:rsidRPr="005D7C35">
        <w:t>, indicate that LN_GDP, LN_GFD, and CE_GDP fail to reject the null hypothesis of a unit root at conventional significance levels, under both ADF and PP specifications. This suggests that these variables are non-stationary in levels and become stationary after first differencing, i.e., they are integrated of order one [</w:t>
      </w:r>
      <w:proofErr w:type="gramStart"/>
      <w:r w:rsidRPr="005D7C35">
        <w:t>I(</w:t>
      </w:r>
      <w:proofErr w:type="gramEnd"/>
      <w:r w:rsidRPr="005D7C35">
        <w:t>1)]. By contrast, the revenue deficit ratio (RD_GDP) is found to be stationary in levels, with test statistics significant at the 5 percent level for both ADF and PP tests, confirming that it is integrated of order zero [</w:t>
      </w:r>
      <w:proofErr w:type="gramStart"/>
      <w:r w:rsidRPr="005D7C35">
        <w:t>I(</w:t>
      </w:r>
      <w:proofErr w:type="gramEnd"/>
      <w:r w:rsidRPr="005D7C35">
        <w:t>0)].</w:t>
      </w:r>
    </w:p>
    <w:p w14:paraId="7E82796F" w14:textId="77777777" w:rsidR="00700BED" w:rsidRPr="005D7C35" w:rsidRDefault="00700BED" w:rsidP="009E201F">
      <w:pPr>
        <w:pStyle w:val="NormalWeb"/>
        <w:spacing w:line="360" w:lineRule="auto"/>
        <w:jc w:val="both"/>
      </w:pPr>
      <w:r w:rsidRPr="005D7C35">
        <w:lastRenderedPageBreak/>
        <w:t xml:space="preserve">These findings are consistent with the expectation that macroeconomic aggregates such as GDP and fiscal deficit typically display unit-root properties due to their trending </w:t>
      </w:r>
      <w:proofErr w:type="spellStart"/>
      <w:r w:rsidRPr="005D7C35">
        <w:t>behavior</w:t>
      </w:r>
      <w:proofErr w:type="spellEnd"/>
      <w:r w:rsidRPr="005D7C35">
        <w:t xml:space="preserve"> (Nelson &amp; </w:t>
      </w:r>
      <w:proofErr w:type="spellStart"/>
      <w:r w:rsidRPr="005D7C35">
        <w:t>Plosser</w:t>
      </w:r>
      <w:proofErr w:type="spellEnd"/>
      <w:r w:rsidRPr="005D7C35">
        <w:t xml:space="preserve">, 1982). Importantly, the mixed integration orders — with LN_GDP, LN_GFD, and CE_GDP being </w:t>
      </w:r>
      <w:proofErr w:type="gramStart"/>
      <w:r w:rsidRPr="005D7C35">
        <w:t>I(</w:t>
      </w:r>
      <w:proofErr w:type="gramEnd"/>
      <w:r w:rsidRPr="005D7C35">
        <w:t xml:space="preserve">1), and RD_GDP being I(0) — rule out the application of Johansen cointegration, which requires variables to be integrated of the same order (Johansen, 1988). Instead, they provide strong justification for adopting the </w:t>
      </w:r>
      <w:r w:rsidRPr="003B1266">
        <w:rPr>
          <w:rStyle w:val="Strong"/>
          <w:b w:val="0"/>
        </w:rPr>
        <w:t>Autoregressive Distributed Lag (ARDL) bounds testing framework</w:t>
      </w:r>
      <w:r w:rsidRPr="005D7C35">
        <w:t xml:space="preserve"> (</w:t>
      </w:r>
      <w:proofErr w:type="spellStart"/>
      <w:r w:rsidRPr="005D7C35">
        <w:t>Pesaran</w:t>
      </w:r>
      <w:proofErr w:type="spellEnd"/>
      <w:r w:rsidRPr="005D7C35">
        <w:t xml:space="preserve">, Shin, &amp; Smith, 2001), which is valid when regressors are a combination of </w:t>
      </w:r>
      <w:proofErr w:type="gramStart"/>
      <w:r w:rsidRPr="005D7C35">
        <w:t>I(</w:t>
      </w:r>
      <w:proofErr w:type="gramEnd"/>
      <w:r w:rsidRPr="005D7C35">
        <w:t>0) and I(1).</w:t>
      </w:r>
    </w:p>
    <w:p w14:paraId="6E798145" w14:textId="77777777" w:rsidR="00700BED" w:rsidRPr="005D7C35" w:rsidRDefault="00700BED" w:rsidP="009E201F">
      <w:pPr>
        <w:pStyle w:val="NormalWeb"/>
        <w:spacing w:line="360" w:lineRule="auto"/>
        <w:jc w:val="both"/>
      </w:pPr>
      <w:r w:rsidRPr="005D7C35">
        <w:t xml:space="preserve">Thus, the unit root results not only confirm the trending </w:t>
      </w:r>
      <w:proofErr w:type="spellStart"/>
      <w:r w:rsidRPr="005D7C35">
        <w:t>behavior</w:t>
      </w:r>
      <w:proofErr w:type="spellEnd"/>
      <w:r w:rsidRPr="005D7C35">
        <w:t xml:space="preserve"> observed in Figure 1 but also directly motivate the methodological choice of ARDL for investigating the fiscal–growth relationship in India.</w:t>
      </w:r>
    </w:p>
    <w:p w14:paraId="46612E46" w14:textId="77777777" w:rsidR="0048578A" w:rsidRPr="005D7C35" w:rsidRDefault="0048578A" w:rsidP="009E201F">
      <w:pPr>
        <w:spacing w:line="360" w:lineRule="auto"/>
        <w:jc w:val="both"/>
        <w:rPr>
          <w:rFonts w:cs="Times New Roman"/>
          <w:szCs w:val="24"/>
        </w:rPr>
      </w:pPr>
      <w:r w:rsidRPr="005D7C35">
        <w:rPr>
          <w:rFonts w:cs="Times New Roman"/>
          <w:szCs w:val="24"/>
        </w:rPr>
        <w:t>Table 2: Stationarity Assessment of GDP and Fiscal Indicators Using ADF and PP Tests</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016"/>
        <w:gridCol w:w="2016"/>
        <w:gridCol w:w="3300"/>
      </w:tblGrid>
      <w:tr w:rsidR="0048578A" w:rsidRPr="005D7C35" w14:paraId="5A4DF3BC" w14:textId="77777777" w:rsidTr="003B1266">
        <w:trPr>
          <w:trHeight w:val="153"/>
        </w:trPr>
        <w:tc>
          <w:tcPr>
            <w:tcW w:w="1976" w:type="dxa"/>
            <w:noWrap/>
            <w:vAlign w:val="bottom"/>
            <w:hideMark/>
          </w:tcPr>
          <w:p w14:paraId="19391729"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Variable</w:t>
            </w:r>
          </w:p>
        </w:tc>
        <w:tc>
          <w:tcPr>
            <w:tcW w:w="2016" w:type="dxa"/>
            <w:noWrap/>
            <w:vAlign w:val="bottom"/>
            <w:hideMark/>
          </w:tcPr>
          <w:p w14:paraId="3E3A50AB"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ADF Test</w:t>
            </w:r>
          </w:p>
        </w:tc>
        <w:tc>
          <w:tcPr>
            <w:tcW w:w="2016" w:type="dxa"/>
            <w:noWrap/>
            <w:vAlign w:val="bottom"/>
            <w:hideMark/>
          </w:tcPr>
          <w:p w14:paraId="5E35829E"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PP Test</w:t>
            </w:r>
          </w:p>
        </w:tc>
        <w:tc>
          <w:tcPr>
            <w:tcW w:w="3300" w:type="dxa"/>
            <w:noWrap/>
            <w:vAlign w:val="bottom"/>
            <w:hideMark/>
          </w:tcPr>
          <w:p w14:paraId="45E0C0B7"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Conclusion</w:t>
            </w:r>
          </w:p>
        </w:tc>
      </w:tr>
      <w:tr w:rsidR="0048578A" w:rsidRPr="005D7C35" w14:paraId="2D2DA003" w14:textId="77777777" w:rsidTr="003B1266">
        <w:trPr>
          <w:trHeight w:val="153"/>
        </w:trPr>
        <w:tc>
          <w:tcPr>
            <w:tcW w:w="1976" w:type="dxa"/>
            <w:noWrap/>
            <w:vAlign w:val="bottom"/>
            <w:hideMark/>
          </w:tcPr>
          <w:p w14:paraId="7B8C6988"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LN_GDP</w:t>
            </w:r>
          </w:p>
        </w:tc>
        <w:tc>
          <w:tcPr>
            <w:tcW w:w="2016" w:type="dxa"/>
            <w:noWrap/>
            <w:vAlign w:val="bottom"/>
            <w:hideMark/>
          </w:tcPr>
          <w:p w14:paraId="54B9785F"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0.63 (0.989)</w:t>
            </w:r>
          </w:p>
        </w:tc>
        <w:tc>
          <w:tcPr>
            <w:tcW w:w="2016" w:type="dxa"/>
            <w:noWrap/>
            <w:vAlign w:val="bottom"/>
            <w:hideMark/>
          </w:tcPr>
          <w:p w14:paraId="6A4BB8FD"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1.11 (0.997)</w:t>
            </w:r>
          </w:p>
        </w:tc>
        <w:tc>
          <w:tcPr>
            <w:tcW w:w="3300" w:type="dxa"/>
            <w:noWrap/>
            <w:vAlign w:val="bottom"/>
            <w:hideMark/>
          </w:tcPr>
          <w:p w14:paraId="7604B200"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 xml:space="preserve">Non-stationary, </w:t>
            </w:r>
            <w:proofErr w:type="gramStart"/>
            <w:r w:rsidRPr="005D7C35">
              <w:rPr>
                <w:rFonts w:eastAsia="Times New Roman" w:cs="Times New Roman"/>
                <w:color w:val="000000"/>
                <w:szCs w:val="24"/>
                <w:lang w:eastAsia="en-IN"/>
              </w:rPr>
              <w:t>I(</w:t>
            </w:r>
            <w:proofErr w:type="gramEnd"/>
            <w:r w:rsidRPr="005D7C35">
              <w:rPr>
                <w:rFonts w:eastAsia="Times New Roman" w:cs="Times New Roman"/>
                <w:color w:val="000000"/>
                <w:szCs w:val="24"/>
                <w:lang w:eastAsia="en-IN"/>
              </w:rPr>
              <w:t>1)</w:t>
            </w:r>
          </w:p>
        </w:tc>
      </w:tr>
      <w:tr w:rsidR="0048578A" w:rsidRPr="005D7C35" w14:paraId="2D48E31C" w14:textId="77777777" w:rsidTr="003B1266">
        <w:trPr>
          <w:trHeight w:val="153"/>
        </w:trPr>
        <w:tc>
          <w:tcPr>
            <w:tcW w:w="1976" w:type="dxa"/>
            <w:noWrap/>
            <w:vAlign w:val="bottom"/>
            <w:hideMark/>
          </w:tcPr>
          <w:p w14:paraId="4A60703A"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LN_GFD</w:t>
            </w:r>
          </w:p>
        </w:tc>
        <w:tc>
          <w:tcPr>
            <w:tcW w:w="2016" w:type="dxa"/>
            <w:noWrap/>
            <w:vAlign w:val="bottom"/>
            <w:hideMark/>
          </w:tcPr>
          <w:p w14:paraId="70BE3271"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-0.76 (0.820)</w:t>
            </w:r>
          </w:p>
        </w:tc>
        <w:tc>
          <w:tcPr>
            <w:tcW w:w="2016" w:type="dxa"/>
            <w:noWrap/>
            <w:vAlign w:val="bottom"/>
            <w:hideMark/>
          </w:tcPr>
          <w:p w14:paraId="4BA1FCEE"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-0.72 (0.830)</w:t>
            </w:r>
          </w:p>
        </w:tc>
        <w:tc>
          <w:tcPr>
            <w:tcW w:w="3300" w:type="dxa"/>
            <w:noWrap/>
            <w:vAlign w:val="bottom"/>
            <w:hideMark/>
          </w:tcPr>
          <w:p w14:paraId="2071153F"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 xml:space="preserve">Non-stationary, </w:t>
            </w:r>
            <w:proofErr w:type="gramStart"/>
            <w:r w:rsidRPr="005D7C35">
              <w:rPr>
                <w:rFonts w:eastAsia="Times New Roman" w:cs="Times New Roman"/>
                <w:color w:val="000000"/>
                <w:szCs w:val="24"/>
                <w:lang w:eastAsia="en-IN"/>
              </w:rPr>
              <w:t>I(</w:t>
            </w:r>
            <w:proofErr w:type="gramEnd"/>
            <w:r w:rsidRPr="005D7C35">
              <w:rPr>
                <w:rFonts w:eastAsia="Times New Roman" w:cs="Times New Roman"/>
                <w:color w:val="000000"/>
                <w:szCs w:val="24"/>
                <w:lang w:eastAsia="en-IN"/>
              </w:rPr>
              <w:t>1)</w:t>
            </w:r>
          </w:p>
        </w:tc>
      </w:tr>
      <w:tr w:rsidR="0048578A" w:rsidRPr="005D7C35" w14:paraId="4376B9F6" w14:textId="77777777" w:rsidTr="003B1266">
        <w:trPr>
          <w:trHeight w:val="153"/>
        </w:trPr>
        <w:tc>
          <w:tcPr>
            <w:tcW w:w="1976" w:type="dxa"/>
            <w:noWrap/>
            <w:vAlign w:val="bottom"/>
            <w:hideMark/>
          </w:tcPr>
          <w:p w14:paraId="603D7F1D"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CE_GDP</w:t>
            </w:r>
          </w:p>
        </w:tc>
        <w:tc>
          <w:tcPr>
            <w:tcW w:w="2016" w:type="dxa"/>
            <w:noWrap/>
            <w:vAlign w:val="bottom"/>
            <w:hideMark/>
          </w:tcPr>
          <w:p w14:paraId="3242627D"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-1.37 (0.587)</w:t>
            </w:r>
          </w:p>
        </w:tc>
        <w:tc>
          <w:tcPr>
            <w:tcW w:w="2016" w:type="dxa"/>
            <w:noWrap/>
            <w:vAlign w:val="bottom"/>
            <w:hideMark/>
          </w:tcPr>
          <w:p w14:paraId="37C91EEA"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-1.37 (0.588)</w:t>
            </w:r>
          </w:p>
        </w:tc>
        <w:tc>
          <w:tcPr>
            <w:tcW w:w="3300" w:type="dxa"/>
            <w:noWrap/>
            <w:vAlign w:val="bottom"/>
            <w:hideMark/>
          </w:tcPr>
          <w:p w14:paraId="39B3D81E"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 xml:space="preserve">Non-stationary, </w:t>
            </w:r>
            <w:proofErr w:type="gramStart"/>
            <w:r w:rsidRPr="005D7C35">
              <w:rPr>
                <w:rFonts w:eastAsia="Times New Roman" w:cs="Times New Roman"/>
                <w:color w:val="000000"/>
                <w:szCs w:val="24"/>
                <w:lang w:eastAsia="en-IN"/>
              </w:rPr>
              <w:t>I(</w:t>
            </w:r>
            <w:proofErr w:type="gramEnd"/>
            <w:r w:rsidRPr="005D7C35">
              <w:rPr>
                <w:rFonts w:eastAsia="Times New Roman" w:cs="Times New Roman"/>
                <w:color w:val="000000"/>
                <w:szCs w:val="24"/>
                <w:lang w:eastAsia="en-IN"/>
              </w:rPr>
              <w:t>1)</w:t>
            </w:r>
          </w:p>
        </w:tc>
      </w:tr>
      <w:tr w:rsidR="0048578A" w:rsidRPr="005D7C35" w14:paraId="77AC9808" w14:textId="77777777" w:rsidTr="003B1266">
        <w:trPr>
          <w:trHeight w:val="153"/>
        </w:trPr>
        <w:tc>
          <w:tcPr>
            <w:tcW w:w="1976" w:type="dxa"/>
            <w:noWrap/>
            <w:vAlign w:val="bottom"/>
            <w:hideMark/>
          </w:tcPr>
          <w:p w14:paraId="3CC8DBA6"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RD_GDP</w:t>
            </w:r>
          </w:p>
        </w:tc>
        <w:tc>
          <w:tcPr>
            <w:tcW w:w="2016" w:type="dxa"/>
            <w:noWrap/>
            <w:vAlign w:val="bottom"/>
            <w:hideMark/>
          </w:tcPr>
          <w:p w14:paraId="009F3B83"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-3.45 (0.015)</w:t>
            </w:r>
          </w:p>
        </w:tc>
        <w:tc>
          <w:tcPr>
            <w:tcW w:w="2016" w:type="dxa"/>
            <w:noWrap/>
            <w:vAlign w:val="bottom"/>
            <w:hideMark/>
          </w:tcPr>
          <w:p w14:paraId="77BAB9A6"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-3.45 (0.015)</w:t>
            </w:r>
          </w:p>
        </w:tc>
        <w:tc>
          <w:tcPr>
            <w:tcW w:w="3300" w:type="dxa"/>
            <w:noWrap/>
            <w:vAlign w:val="bottom"/>
            <w:hideMark/>
          </w:tcPr>
          <w:p w14:paraId="517103D3" w14:textId="77777777" w:rsidR="0048578A" w:rsidRPr="005D7C35" w:rsidRDefault="0048578A"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 xml:space="preserve">Stationary, </w:t>
            </w:r>
            <w:proofErr w:type="gramStart"/>
            <w:r w:rsidRPr="005D7C35">
              <w:rPr>
                <w:rFonts w:eastAsia="Times New Roman" w:cs="Times New Roman"/>
                <w:color w:val="000000"/>
                <w:szCs w:val="24"/>
                <w:lang w:eastAsia="en-IN"/>
              </w:rPr>
              <w:t>I(</w:t>
            </w:r>
            <w:proofErr w:type="gramEnd"/>
            <w:r w:rsidRPr="005D7C35">
              <w:rPr>
                <w:rFonts w:eastAsia="Times New Roman" w:cs="Times New Roman"/>
                <w:color w:val="000000"/>
                <w:szCs w:val="24"/>
                <w:lang w:eastAsia="en-IN"/>
              </w:rPr>
              <w:t>0)</w:t>
            </w:r>
          </w:p>
        </w:tc>
      </w:tr>
    </w:tbl>
    <w:p w14:paraId="335157B4" w14:textId="77777777" w:rsidR="00CB0A0F" w:rsidRPr="00CB0A0F" w:rsidRDefault="00CB0A0F" w:rsidP="00CB0A0F">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529E6457" w14:textId="77777777" w:rsidR="00963D6B" w:rsidRPr="003B1266" w:rsidRDefault="00963D6B" w:rsidP="003B1266">
      <w:r w:rsidRPr="003B1266">
        <w:rPr>
          <w:rStyle w:val="Strong"/>
          <w:rFonts w:cs="Times New Roman"/>
          <w:bCs w:val="0"/>
          <w:szCs w:val="24"/>
        </w:rPr>
        <w:t>4.4 Baseline OLS Estimates</w:t>
      </w:r>
    </w:p>
    <w:p w14:paraId="217C302E" w14:textId="77777777" w:rsidR="00963D6B" w:rsidRPr="005D7C35" w:rsidRDefault="00963D6B" w:rsidP="009E201F">
      <w:pPr>
        <w:pStyle w:val="NormalWeb"/>
        <w:spacing w:line="360" w:lineRule="auto"/>
        <w:jc w:val="both"/>
      </w:pPr>
      <w:r w:rsidRPr="005D7C35">
        <w:t xml:space="preserve">As a starting point, the relationship between GDP and the selected fiscal indicators is estimated using a baseline </w:t>
      </w:r>
      <w:r w:rsidRPr="003B1266">
        <w:rPr>
          <w:rStyle w:val="Strong"/>
          <w:b w:val="0"/>
        </w:rPr>
        <w:t>ordinary least squares (OLS) regression</w:t>
      </w:r>
      <w:r w:rsidRPr="005D7C35">
        <w:t xml:space="preserve">. The dependent variable is LN_GDP, while the explanatory variables are LN_GFD, CE_GDP, and RD_GDP. The results are presented in </w:t>
      </w:r>
      <w:r w:rsidRPr="003B1266">
        <w:rPr>
          <w:rStyle w:val="Strong"/>
          <w:b w:val="0"/>
          <w:i/>
        </w:rPr>
        <w:t>Table 3</w:t>
      </w:r>
      <w:r w:rsidRPr="005D7C35">
        <w:t>.</w:t>
      </w:r>
    </w:p>
    <w:p w14:paraId="34510EA2" w14:textId="77777777" w:rsidR="00963D6B" w:rsidRPr="005D7C35" w:rsidRDefault="00963D6B" w:rsidP="009E201F">
      <w:pPr>
        <w:pStyle w:val="NormalWeb"/>
        <w:spacing w:line="360" w:lineRule="auto"/>
        <w:jc w:val="both"/>
      </w:pPr>
      <w:r w:rsidRPr="005D7C35">
        <w:t xml:space="preserve">The estimates reveal several important findings. First, the coefficient on the gross fiscal deficit (LN_GFD) is positive and highly significant (0.956, </w:t>
      </w:r>
      <w:r w:rsidRPr="005D7C35">
        <w:rPr>
          <w:rStyle w:val="Emphasis"/>
        </w:rPr>
        <w:t>p</w:t>
      </w:r>
      <w:r w:rsidRPr="005D7C35">
        <w:t xml:space="preserve"> &lt; 0.01). This suggests that, within the sample, increases in fiscal deficit are positively associated with GDP, in line with the Keynesian argument that deficit-financed spending can stimulate aggregate demand and output (Blinder &amp; Solow, 1973; Bose &amp; </w:t>
      </w:r>
      <w:proofErr w:type="spellStart"/>
      <w:r w:rsidRPr="005D7C35">
        <w:t>Bhanumurthy</w:t>
      </w:r>
      <w:proofErr w:type="spellEnd"/>
      <w:r w:rsidRPr="005D7C35">
        <w:t>, 2015).</w:t>
      </w:r>
    </w:p>
    <w:p w14:paraId="24AB1FFD" w14:textId="77777777" w:rsidR="00963D6B" w:rsidRPr="005D7C35" w:rsidRDefault="00963D6B" w:rsidP="009E201F">
      <w:pPr>
        <w:pStyle w:val="NormalWeb"/>
        <w:spacing w:line="360" w:lineRule="auto"/>
        <w:jc w:val="both"/>
      </w:pPr>
      <w:r w:rsidRPr="005D7C35">
        <w:lastRenderedPageBreak/>
        <w:t xml:space="preserve">Second, both revenue deficit (RD_GDP) and capital expenditure (CE_GDP) display large negative and statistically significant coefficients (–18.32 and –16.88, respectively, </w:t>
      </w:r>
      <w:r w:rsidRPr="005D7C35">
        <w:rPr>
          <w:rStyle w:val="Emphasis"/>
        </w:rPr>
        <w:t>p</w:t>
      </w:r>
      <w:r w:rsidRPr="005D7C35">
        <w:t xml:space="preserve"> &lt; 0.01). The negative sign for RD_GDP is consistent with the view that financing unproductive current expenditure undermines growth by diverting resources from investment (Rangarajan &amp; Srivastava, 2005; Buiter &amp; Patel, 2010). The negative coefficient for CE_GDP is somewhat counterintuitive, as capital expenditure is generally expected to foster growth. One possible explanation is that the benefits of capital outlays may materialize with lags, while short-run fiscal imbalances associated with higher capital spending may initially suppress growth. This underlines the need for dynamic </w:t>
      </w:r>
      <w:proofErr w:type="spellStart"/>
      <w:r w:rsidRPr="005D7C35">
        <w:t>modeling</w:t>
      </w:r>
      <w:proofErr w:type="spellEnd"/>
      <w:r w:rsidRPr="005D7C35">
        <w:t xml:space="preserve"> beyond static OLS regressions.</w:t>
      </w:r>
    </w:p>
    <w:p w14:paraId="53F6FD28" w14:textId="77777777" w:rsidR="00963D6B" w:rsidRPr="005D7C35" w:rsidRDefault="00963D6B" w:rsidP="009E201F">
      <w:pPr>
        <w:pStyle w:val="NormalWeb"/>
        <w:spacing w:line="360" w:lineRule="auto"/>
        <w:jc w:val="both"/>
      </w:pPr>
      <w:r w:rsidRPr="005D7C35">
        <w:t xml:space="preserve">Third, the regression exhibits an exceptionally high explanatory power, with an </w:t>
      </w:r>
      <w:r w:rsidRPr="005D7C35">
        <w:rPr>
          <w:rStyle w:val="katex-mathml"/>
        </w:rPr>
        <w:t>R2R^2</w:t>
      </w:r>
      <w:r w:rsidRPr="005D7C35">
        <w:rPr>
          <w:rStyle w:val="mord"/>
        </w:rPr>
        <w:t>R2</w:t>
      </w:r>
      <w:r w:rsidRPr="005D7C35">
        <w:t xml:space="preserve"> of 0.9936 and an adjusted </w:t>
      </w:r>
      <w:r w:rsidRPr="005D7C35">
        <w:rPr>
          <w:rStyle w:val="katex-mathml"/>
        </w:rPr>
        <w:t>R2R^2</w:t>
      </w:r>
      <w:r w:rsidRPr="005D7C35">
        <w:rPr>
          <w:rStyle w:val="mord"/>
        </w:rPr>
        <w:t>R2</w:t>
      </w:r>
      <w:r w:rsidRPr="005D7C35">
        <w:t xml:space="preserve"> of 0.9931. The F-statistic (2070.06, </w:t>
      </w:r>
      <w:r w:rsidRPr="005D7C35">
        <w:rPr>
          <w:rStyle w:val="Emphasis"/>
        </w:rPr>
        <w:t>p</w:t>
      </w:r>
      <w:r w:rsidRPr="005D7C35">
        <w:t xml:space="preserve"> &lt; 0.01) confirms joint significance of the regressors. The Durbin–Watson statistic (1.91) is close to the ideal value of 2, suggesting no major autocorrelation in the residuals. Information criteria (AIC = –2.60) also point to a good model fit.</w:t>
      </w:r>
    </w:p>
    <w:p w14:paraId="455AD5FA" w14:textId="77777777" w:rsidR="00963D6B" w:rsidRPr="005D7C35" w:rsidRDefault="00963D6B" w:rsidP="009E201F">
      <w:pPr>
        <w:pStyle w:val="NormalWeb"/>
        <w:spacing w:line="360" w:lineRule="auto"/>
        <w:jc w:val="both"/>
      </w:pPr>
      <w:r w:rsidRPr="005D7C35">
        <w:t xml:space="preserve">Despite these strong diagnostics, reliance on OLS raises concerns. The very high </w:t>
      </w:r>
      <w:r w:rsidRPr="005D7C35">
        <w:rPr>
          <w:rStyle w:val="katex-mathml"/>
        </w:rPr>
        <w:t>R2R^2</w:t>
      </w:r>
      <w:r w:rsidRPr="005D7C35">
        <w:rPr>
          <w:rStyle w:val="mord"/>
        </w:rPr>
        <w:t>R2</w:t>
      </w:r>
      <w:r w:rsidRPr="005D7C35">
        <w:t xml:space="preserve"> and strongly significant coefficients may be driven by the trending, non-stationary nature of the variables. As Granger and Newbold (1974) caution, regressions involving non-stationary series may produce “spurious results,” in which apparently strong relationships are purely artifacts of shared trends. Given the unit root results reported in Table 2, the OLS estimates cannot be interpreted as evidence of a stable long-run equilibrium.</w:t>
      </w:r>
    </w:p>
    <w:p w14:paraId="48CFA79E" w14:textId="77777777" w:rsidR="00963D6B" w:rsidRPr="005D7C35" w:rsidRDefault="00963D6B" w:rsidP="009E201F">
      <w:pPr>
        <w:pStyle w:val="NormalWeb"/>
        <w:spacing w:line="360" w:lineRule="auto"/>
        <w:jc w:val="both"/>
      </w:pPr>
      <w:r w:rsidRPr="005D7C35">
        <w:t>Taken together, the baseline OLS estimates suggest a positive role of fiscal deficit in supporting growth, a harmful effect of revenue deficits, and unexpected short-run costs of capital expenditure. However, the potential spuriousness of these results necessitates a more robust framework. Accordingly, the subsequent sections employ the ARDL bounds testing methodology, which explicitly accounts for non-stationarity, short-run dynamics, and potential long-run relationships.</w:t>
      </w:r>
    </w:p>
    <w:p w14:paraId="615E4365" w14:textId="77777777" w:rsidR="00724D4C" w:rsidRPr="005D7C35" w:rsidRDefault="00724D4C" w:rsidP="009E201F">
      <w:pPr>
        <w:spacing w:line="360" w:lineRule="auto"/>
        <w:jc w:val="both"/>
        <w:rPr>
          <w:rFonts w:cs="Times New Roman"/>
          <w:szCs w:val="24"/>
        </w:rPr>
      </w:pPr>
      <w:r w:rsidRPr="005D7C35">
        <w:rPr>
          <w:rFonts w:cs="Times New Roman"/>
          <w:szCs w:val="24"/>
        </w:rPr>
        <w:t>Table 3: OLS Estimates of GDP with Fiscal Deficit, Revenue Deficit, and Capital Expenditure</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576"/>
        <w:gridCol w:w="1276"/>
        <w:gridCol w:w="2021"/>
        <w:gridCol w:w="1276"/>
        <w:gridCol w:w="2095"/>
      </w:tblGrid>
      <w:tr w:rsidR="00724D4C" w:rsidRPr="003B1266" w14:paraId="7DF27D89" w14:textId="77777777" w:rsidTr="003B1266">
        <w:trPr>
          <w:trHeight w:val="198"/>
        </w:trPr>
        <w:tc>
          <w:tcPr>
            <w:tcW w:w="1355" w:type="dxa"/>
            <w:noWrap/>
            <w:vAlign w:val="bottom"/>
            <w:hideMark/>
          </w:tcPr>
          <w:p w14:paraId="784C6237"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Variable</w:t>
            </w:r>
          </w:p>
        </w:tc>
        <w:tc>
          <w:tcPr>
            <w:tcW w:w="1576" w:type="dxa"/>
            <w:noWrap/>
            <w:vAlign w:val="bottom"/>
            <w:hideMark/>
          </w:tcPr>
          <w:p w14:paraId="2560C0BB"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Coefficient</w:t>
            </w:r>
          </w:p>
        </w:tc>
        <w:tc>
          <w:tcPr>
            <w:tcW w:w="1276" w:type="dxa"/>
            <w:noWrap/>
            <w:vAlign w:val="bottom"/>
            <w:hideMark/>
          </w:tcPr>
          <w:p w14:paraId="0BCE9D61"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Std. Error</w:t>
            </w:r>
          </w:p>
        </w:tc>
        <w:tc>
          <w:tcPr>
            <w:tcW w:w="2021" w:type="dxa"/>
            <w:noWrap/>
            <w:vAlign w:val="bottom"/>
            <w:hideMark/>
          </w:tcPr>
          <w:p w14:paraId="107844BE"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t-stat (p-value)</w:t>
            </w:r>
          </w:p>
        </w:tc>
        <w:tc>
          <w:tcPr>
            <w:tcW w:w="1276" w:type="dxa"/>
            <w:noWrap/>
            <w:vAlign w:val="bottom"/>
            <w:hideMark/>
          </w:tcPr>
          <w:p w14:paraId="70F1F0D5"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R-squared</w:t>
            </w:r>
          </w:p>
        </w:tc>
        <w:tc>
          <w:tcPr>
            <w:tcW w:w="2095" w:type="dxa"/>
            <w:noWrap/>
            <w:vAlign w:val="bottom"/>
            <w:hideMark/>
          </w:tcPr>
          <w:p w14:paraId="0CB103FB"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0.9936</w:t>
            </w:r>
          </w:p>
        </w:tc>
      </w:tr>
      <w:tr w:rsidR="00724D4C" w:rsidRPr="003B1266" w14:paraId="10FD98B5" w14:textId="77777777" w:rsidTr="003B1266">
        <w:trPr>
          <w:trHeight w:val="198"/>
        </w:trPr>
        <w:tc>
          <w:tcPr>
            <w:tcW w:w="1355" w:type="dxa"/>
            <w:noWrap/>
            <w:vAlign w:val="bottom"/>
            <w:hideMark/>
          </w:tcPr>
          <w:p w14:paraId="5AC6EA4D"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LN_GFD</w:t>
            </w:r>
          </w:p>
        </w:tc>
        <w:tc>
          <w:tcPr>
            <w:tcW w:w="1576" w:type="dxa"/>
            <w:noWrap/>
            <w:vAlign w:val="bottom"/>
            <w:hideMark/>
          </w:tcPr>
          <w:p w14:paraId="1C177DCB"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0.956</w:t>
            </w:r>
          </w:p>
        </w:tc>
        <w:tc>
          <w:tcPr>
            <w:tcW w:w="1276" w:type="dxa"/>
            <w:noWrap/>
            <w:vAlign w:val="bottom"/>
            <w:hideMark/>
          </w:tcPr>
          <w:p w14:paraId="4C4184DA"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0.0232</w:t>
            </w:r>
          </w:p>
        </w:tc>
        <w:tc>
          <w:tcPr>
            <w:tcW w:w="2021" w:type="dxa"/>
            <w:noWrap/>
            <w:vAlign w:val="bottom"/>
            <w:hideMark/>
          </w:tcPr>
          <w:p w14:paraId="08926A34"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41.14 (0.0000)</w:t>
            </w:r>
          </w:p>
        </w:tc>
        <w:tc>
          <w:tcPr>
            <w:tcW w:w="1276" w:type="dxa"/>
            <w:noWrap/>
            <w:vAlign w:val="bottom"/>
            <w:hideMark/>
          </w:tcPr>
          <w:p w14:paraId="7400F98C"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Adj. RÂ²</w:t>
            </w:r>
          </w:p>
        </w:tc>
        <w:tc>
          <w:tcPr>
            <w:tcW w:w="2095" w:type="dxa"/>
            <w:noWrap/>
            <w:vAlign w:val="bottom"/>
            <w:hideMark/>
          </w:tcPr>
          <w:p w14:paraId="64725396"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0.9931</w:t>
            </w:r>
          </w:p>
        </w:tc>
      </w:tr>
      <w:tr w:rsidR="00724D4C" w:rsidRPr="003B1266" w14:paraId="35EC27C1" w14:textId="77777777" w:rsidTr="003B1266">
        <w:trPr>
          <w:trHeight w:val="198"/>
        </w:trPr>
        <w:tc>
          <w:tcPr>
            <w:tcW w:w="1355" w:type="dxa"/>
            <w:noWrap/>
            <w:vAlign w:val="bottom"/>
            <w:hideMark/>
          </w:tcPr>
          <w:p w14:paraId="6BD80ADA"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CE_GDP</w:t>
            </w:r>
          </w:p>
        </w:tc>
        <w:tc>
          <w:tcPr>
            <w:tcW w:w="1576" w:type="dxa"/>
            <w:noWrap/>
            <w:vAlign w:val="bottom"/>
            <w:hideMark/>
          </w:tcPr>
          <w:p w14:paraId="5A2548C0"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-16.882</w:t>
            </w:r>
          </w:p>
        </w:tc>
        <w:tc>
          <w:tcPr>
            <w:tcW w:w="1276" w:type="dxa"/>
            <w:noWrap/>
            <w:vAlign w:val="bottom"/>
            <w:hideMark/>
          </w:tcPr>
          <w:p w14:paraId="6364DBD1"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0.7737</w:t>
            </w:r>
          </w:p>
        </w:tc>
        <w:tc>
          <w:tcPr>
            <w:tcW w:w="2021" w:type="dxa"/>
            <w:noWrap/>
            <w:vAlign w:val="bottom"/>
            <w:hideMark/>
          </w:tcPr>
          <w:p w14:paraId="2F51DA9C"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-21.82 (0.0000)</w:t>
            </w:r>
          </w:p>
        </w:tc>
        <w:tc>
          <w:tcPr>
            <w:tcW w:w="1276" w:type="dxa"/>
            <w:noWrap/>
            <w:vAlign w:val="bottom"/>
            <w:hideMark/>
          </w:tcPr>
          <w:p w14:paraId="723C6BE9"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S.E.</w:t>
            </w:r>
          </w:p>
        </w:tc>
        <w:tc>
          <w:tcPr>
            <w:tcW w:w="2095" w:type="dxa"/>
            <w:noWrap/>
            <w:vAlign w:val="bottom"/>
            <w:hideMark/>
          </w:tcPr>
          <w:p w14:paraId="1304B04D"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0.0631</w:t>
            </w:r>
          </w:p>
        </w:tc>
      </w:tr>
      <w:tr w:rsidR="00724D4C" w:rsidRPr="003B1266" w14:paraId="042F0EB0" w14:textId="77777777" w:rsidTr="003B1266">
        <w:trPr>
          <w:trHeight w:val="198"/>
        </w:trPr>
        <w:tc>
          <w:tcPr>
            <w:tcW w:w="1355" w:type="dxa"/>
            <w:noWrap/>
            <w:vAlign w:val="bottom"/>
            <w:hideMark/>
          </w:tcPr>
          <w:p w14:paraId="3FBDF047"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RD_GDP</w:t>
            </w:r>
          </w:p>
        </w:tc>
        <w:tc>
          <w:tcPr>
            <w:tcW w:w="1576" w:type="dxa"/>
            <w:noWrap/>
            <w:vAlign w:val="bottom"/>
            <w:hideMark/>
          </w:tcPr>
          <w:p w14:paraId="74B7B379"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-18.32</w:t>
            </w:r>
          </w:p>
        </w:tc>
        <w:tc>
          <w:tcPr>
            <w:tcW w:w="1276" w:type="dxa"/>
            <w:noWrap/>
            <w:vAlign w:val="bottom"/>
            <w:hideMark/>
          </w:tcPr>
          <w:p w14:paraId="466D2770"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1.0517</w:t>
            </w:r>
          </w:p>
        </w:tc>
        <w:tc>
          <w:tcPr>
            <w:tcW w:w="2021" w:type="dxa"/>
            <w:noWrap/>
            <w:vAlign w:val="bottom"/>
            <w:hideMark/>
          </w:tcPr>
          <w:p w14:paraId="648EBE8A"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-17.42 (0.0000)</w:t>
            </w:r>
          </w:p>
        </w:tc>
        <w:tc>
          <w:tcPr>
            <w:tcW w:w="1276" w:type="dxa"/>
            <w:noWrap/>
            <w:vAlign w:val="bottom"/>
            <w:hideMark/>
          </w:tcPr>
          <w:p w14:paraId="53309F94"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AIC</w:t>
            </w:r>
          </w:p>
        </w:tc>
        <w:tc>
          <w:tcPr>
            <w:tcW w:w="2095" w:type="dxa"/>
            <w:noWrap/>
            <w:vAlign w:val="bottom"/>
            <w:hideMark/>
          </w:tcPr>
          <w:p w14:paraId="0B66DCBE"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-2.6015</w:t>
            </w:r>
          </w:p>
        </w:tc>
      </w:tr>
      <w:tr w:rsidR="00724D4C" w:rsidRPr="003B1266" w14:paraId="11573322" w14:textId="77777777" w:rsidTr="003B1266">
        <w:trPr>
          <w:trHeight w:val="198"/>
        </w:trPr>
        <w:tc>
          <w:tcPr>
            <w:tcW w:w="1355" w:type="dxa"/>
            <w:noWrap/>
            <w:vAlign w:val="bottom"/>
            <w:hideMark/>
          </w:tcPr>
          <w:p w14:paraId="1C53291E"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lastRenderedPageBreak/>
              <w:t>Constant</w:t>
            </w:r>
          </w:p>
        </w:tc>
        <w:tc>
          <w:tcPr>
            <w:tcW w:w="1576" w:type="dxa"/>
            <w:noWrap/>
            <w:vAlign w:val="bottom"/>
            <w:hideMark/>
          </w:tcPr>
          <w:p w14:paraId="3D5D19B3"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4.579</w:t>
            </w:r>
          </w:p>
        </w:tc>
        <w:tc>
          <w:tcPr>
            <w:tcW w:w="1276" w:type="dxa"/>
            <w:noWrap/>
            <w:vAlign w:val="bottom"/>
            <w:hideMark/>
          </w:tcPr>
          <w:p w14:paraId="37AFAB8A"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0.2903</w:t>
            </w:r>
          </w:p>
        </w:tc>
        <w:tc>
          <w:tcPr>
            <w:tcW w:w="2021" w:type="dxa"/>
            <w:noWrap/>
            <w:vAlign w:val="bottom"/>
            <w:hideMark/>
          </w:tcPr>
          <w:p w14:paraId="695499DB"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15.77 (0.0000)</w:t>
            </w:r>
          </w:p>
        </w:tc>
        <w:tc>
          <w:tcPr>
            <w:tcW w:w="1276" w:type="dxa"/>
            <w:noWrap/>
            <w:vAlign w:val="bottom"/>
            <w:hideMark/>
          </w:tcPr>
          <w:p w14:paraId="6D9F66C2"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F-stat</w:t>
            </w:r>
          </w:p>
        </w:tc>
        <w:tc>
          <w:tcPr>
            <w:tcW w:w="2095" w:type="dxa"/>
            <w:noWrap/>
            <w:vAlign w:val="bottom"/>
            <w:hideMark/>
          </w:tcPr>
          <w:p w14:paraId="17361884"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2070.063(0.00)</w:t>
            </w:r>
          </w:p>
        </w:tc>
      </w:tr>
      <w:tr w:rsidR="00724D4C" w:rsidRPr="003B1266" w14:paraId="57B7A3BC" w14:textId="77777777" w:rsidTr="003B1266">
        <w:trPr>
          <w:trHeight w:val="198"/>
        </w:trPr>
        <w:tc>
          <w:tcPr>
            <w:tcW w:w="1355" w:type="dxa"/>
            <w:noWrap/>
            <w:vAlign w:val="bottom"/>
            <w:hideMark/>
          </w:tcPr>
          <w:p w14:paraId="59515526" w14:textId="77777777" w:rsidR="00724D4C" w:rsidRPr="003B1266" w:rsidRDefault="00724D4C" w:rsidP="009E201F">
            <w:pPr>
              <w:spacing w:after="0" w:line="360" w:lineRule="auto"/>
              <w:jc w:val="both"/>
              <w:rPr>
                <w:rFonts w:eastAsia="Times New Roman" w:cs="Times New Roman"/>
                <w:color w:val="000000"/>
                <w:sz w:val="20"/>
                <w:szCs w:val="20"/>
                <w:lang w:eastAsia="en-IN"/>
              </w:rPr>
            </w:pPr>
          </w:p>
        </w:tc>
        <w:tc>
          <w:tcPr>
            <w:tcW w:w="1576" w:type="dxa"/>
            <w:noWrap/>
            <w:vAlign w:val="bottom"/>
            <w:hideMark/>
          </w:tcPr>
          <w:p w14:paraId="203C7CAE" w14:textId="77777777" w:rsidR="00724D4C" w:rsidRPr="003B1266" w:rsidRDefault="00724D4C" w:rsidP="009E201F">
            <w:pPr>
              <w:spacing w:after="0" w:line="360" w:lineRule="auto"/>
              <w:jc w:val="both"/>
              <w:rPr>
                <w:rFonts w:eastAsia="Times New Roman" w:cs="Times New Roman"/>
                <w:sz w:val="20"/>
                <w:szCs w:val="20"/>
                <w:lang w:eastAsia="en-IN"/>
              </w:rPr>
            </w:pPr>
          </w:p>
        </w:tc>
        <w:tc>
          <w:tcPr>
            <w:tcW w:w="1276" w:type="dxa"/>
            <w:noWrap/>
            <w:vAlign w:val="bottom"/>
            <w:hideMark/>
          </w:tcPr>
          <w:p w14:paraId="4B87EBF0" w14:textId="77777777" w:rsidR="00724D4C" w:rsidRPr="003B1266" w:rsidRDefault="00724D4C" w:rsidP="009E201F">
            <w:pPr>
              <w:spacing w:after="0" w:line="360" w:lineRule="auto"/>
              <w:jc w:val="both"/>
              <w:rPr>
                <w:rFonts w:eastAsia="Times New Roman" w:cs="Times New Roman"/>
                <w:sz w:val="20"/>
                <w:szCs w:val="20"/>
                <w:lang w:eastAsia="en-IN"/>
              </w:rPr>
            </w:pPr>
          </w:p>
        </w:tc>
        <w:tc>
          <w:tcPr>
            <w:tcW w:w="2021" w:type="dxa"/>
            <w:noWrap/>
            <w:vAlign w:val="bottom"/>
            <w:hideMark/>
          </w:tcPr>
          <w:p w14:paraId="38733007" w14:textId="77777777" w:rsidR="00724D4C" w:rsidRPr="003B1266" w:rsidRDefault="00724D4C" w:rsidP="009E201F">
            <w:pPr>
              <w:spacing w:after="0" w:line="360" w:lineRule="auto"/>
              <w:jc w:val="both"/>
              <w:rPr>
                <w:rFonts w:eastAsia="Times New Roman" w:cs="Times New Roman"/>
                <w:sz w:val="20"/>
                <w:szCs w:val="20"/>
                <w:lang w:eastAsia="en-IN"/>
              </w:rPr>
            </w:pPr>
          </w:p>
        </w:tc>
        <w:tc>
          <w:tcPr>
            <w:tcW w:w="1276" w:type="dxa"/>
            <w:noWrap/>
            <w:vAlign w:val="bottom"/>
            <w:hideMark/>
          </w:tcPr>
          <w:p w14:paraId="36064E37"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DW</w:t>
            </w:r>
          </w:p>
        </w:tc>
        <w:tc>
          <w:tcPr>
            <w:tcW w:w="2095" w:type="dxa"/>
            <w:noWrap/>
            <w:vAlign w:val="bottom"/>
            <w:hideMark/>
          </w:tcPr>
          <w:p w14:paraId="2AF36D5F" w14:textId="77777777" w:rsidR="00724D4C" w:rsidRPr="003B1266" w:rsidRDefault="00724D4C"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1.9086</w:t>
            </w:r>
          </w:p>
        </w:tc>
      </w:tr>
    </w:tbl>
    <w:p w14:paraId="3B11556A" w14:textId="77777777" w:rsidR="005153C1" w:rsidRPr="00CB0A0F" w:rsidRDefault="005153C1" w:rsidP="005153C1">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23068F7D" w14:textId="77777777" w:rsidR="00DC258F" w:rsidRPr="003B1266" w:rsidRDefault="00DC258F" w:rsidP="003B1266">
      <w:r w:rsidRPr="003B1266">
        <w:rPr>
          <w:rStyle w:val="Strong"/>
          <w:rFonts w:cs="Times New Roman"/>
          <w:bCs w:val="0"/>
          <w:szCs w:val="24"/>
        </w:rPr>
        <w:t>4.5 ARDL Estimation and Bounds Testing Results</w:t>
      </w:r>
    </w:p>
    <w:p w14:paraId="4DBB68EE" w14:textId="77777777" w:rsidR="00DC258F" w:rsidRPr="005D7C35" w:rsidRDefault="00DC258F" w:rsidP="009E201F">
      <w:pPr>
        <w:pStyle w:val="NormalWeb"/>
        <w:spacing w:line="360" w:lineRule="auto"/>
        <w:jc w:val="both"/>
      </w:pPr>
      <w:r w:rsidRPr="005D7C35">
        <w:t xml:space="preserve">Given the mixed order of integration established in Table 2, the autoregressive distributed lag (ARDL) approach was employed to model the relationship between GDP and fiscal indicators. </w:t>
      </w:r>
      <w:r w:rsidRPr="003B1266">
        <w:rPr>
          <w:rStyle w:val="Strong"/>
          <w:b w:val="0"/>
          <w:i/>
        </w:rPr>
        <w:t>Table 4</w:t>
      </w:r>
      <w:r w:rsidRPr="005D7C35">
        <w:t xml:space="preserve"> reports the long-run </w:t>
      </w:r>
      <w:proofErr w:type="gramStart"/>
      <w:r w:rsidRPr="005D7C35">
        <w:t>ARDL(</w:t>
      </w:r>
      <w:proofErr w:type="gramEnd"/>
      <w:r w:rsidRPr="005D7C35">
        <w:t xml:space="preserve">1,0,0,1) estimates, while </w:t>
      </w:r>
      <w:r w:rsidRPr="003B1266">
        <w:rPr>
          <w:rStyle w:val="Strong"/>
          <w:b w:val="0"/>
          <w:i/>
        </w:rPr>
        <w:t>Table 5</w:t>
      </w:r>
      <w:r w:rsidRPr="005D7C35">
        <w:t xml:space="preserve"> presents the results of the bounds test for cointegration and the short-run error correction representation.</w:t>
      </w:r>
    </w:p>
    <w:p w14:paraId="29B546FB" w14:textId="77777777" w:rsidR="00DC258F" w:rsidRPr="005D7C35" w:rsidRDefault="00DC258F" w:rsidP="009E201F">
      <w:pPr>
        <w:pStyle w:val="NormalWeb"/>
        <w:spacing w:line="360" w:lineRule="auto"/>
        <w:jc w:val="both"/>
      </w:pPr>
      <w:r w:rsidRPr="005D7C35">
        <w:t>The ARDL estimates in Table 4 highlight several important dynamics. The lagged dependent variable (LN_GDP</w:t>
      </w:r>
      <w:r w:rsidRPr="005D7C35">
        <w:rPr>
          <w:rStyle w:val="katex-mathml"/>
        </w:rPr>
        <w:t>t−1_{t-1}</w:t>
      </w:r>
      <w:r w:rsidRPr="005D7C35">
        <w:rPr>
          <w:rStyle w:val="mord"/>
        </w:rPr>
        <w:t>t</w:t>
      </w:r>
      <w:r w:rsidRPr="005D7C35">
        <w:rPr>
          <w:rStyle w:val="mbin"/>
        </w:rPr>
        <w:t>−</w:t>
      </w:r>
      <w:r w:rsidRPr="005D7C35">
        <w:rPr>
          <w:rStyle w:val="mord"/>
        </w:rPr>
        <w:t>1</w:t>
      </w:r>
      <w:r w:rsidRPr="005D7C35">
        <w:rPr>
          <w:rStyle w:val="vlist-s"/>
        </w:rPr>
        <w:t>​</w:t>
      </w:r>
      <w:r w:rsidRPr="005D7C35">
        <w:t xml:space="preserve">) enters with a coefficient of 0.877 (p &lt; 0.01), indicating strong persistence in GDP growth. Fiscal deficit (LN_GFD) exerts a positive and statistically significant effect (0.121, p &lt; 0.01), consistent with Keynesian theory that deficit spending stimulates output in the short run (Blinder &amp; Solow, 1973; Bose &amp; </w:t>
      </w:r>
      <w:proofErr w:type="spellStart"/>
      <w:r w:rsidRPr="005D7C35">
        <w:t>Bhanumurthy</w:t>
      </w:r>
      <w:proofErr w:type="spellEnd"/>
      <w:r w:rsidRPr="005D7C35">
        <w:t>, 2015). By contrast, revenue deficit (RD_GDP) shows a large negative coefficient (–3.884, p &lt; 0.01), reflecting the growth-reducing impact of financing unproductive current expenditure, in line with concerns raised by Rangarajan and Srivastava (2005) and Buiter and Patel (2010). Interestingly, capital expenditure (CE_GDP) also carries a negative coefficient (–2.376, p &lt; 0.01). While counterintuitive, this result may indicate that capital spending is associated with short-run fiscal stress or implementation lags, delaying its positive growth effects until later periods. The significance of the lagged RD_GDP term (1.053, p &lt; 0.01) further suggests dynamic adjustment in the role of revenue deficit, whereby past imbalances partly offset current negative effects.</w:t>
      </w:r>
    </w:p>
    <w:p w14:paraId="2A70E0D4" w14:textId="77777777" w:rsidR="00DC258F" w:rsidRPr="005D7C35" w:rsidRDefault="00DC258F" w:rsidP="009E201F">
      <w:pPr>
        <w:pStyle w:val="NormalWeb"/>
        <w:spacing w:line="360" w:lineRule="auto"/>
        <w:jc w:val="both"/>
      </w:pPr>
      <w:r w:rsidRPr="005D7C35">
        <w:t>Turning to Table 5, the bounds test produces an F-statistic of 0.87, which lies below the lower bound of the critical value range (</w:t>
      </w:r>
      <w:proofErr w:type="gramStart"/>
      <w:r w:rsidRPr="005D7C35">
        <w:t>I(</w:t>
      </w:r>
      <w:proofErr w:type="gramEnd"/>
      <w:r w:rsidRPr="005D7C35">
        <w:t xml:space="preserve">0): 2.72–4.29; I(1): 3.77–5.61). This implies that there is </w:t>
      </w:r>
      <w:r w:rsidRPr="003B1266">
        <w:rPr>
          <w:rStyle w:val="Strong"/>
          <w:b w:val="0"/>
        </w:rPr>
        <w:t>no evidence of a long-run cointegrating relationship</w:t>
      </w:r>
      <w:r w:rsidRPr="005D7C35">
        <w:t xml:space="preserve"> among GDP and the fiscal variables, echoing the structural instability identified by Bai–Perron break tests. In the absence of cointegration, the short-run error correction model (ECM) is more informative.</w:t>
      </w:r>
    </w:p>
    <w:p w14:paraId="476DF018" w14:textId="77777777" w:rsidR="00DC258F" w:rsidRPr="005D7C35" w:rsidRDefault="00DC258F" w:rsidP="009E201F">
      <w:pPr>
        <w:pStyle w:val="NormalWeb"/>
        <w:spacing w:line="360" w:lineRule="auto"/>
        <w:jc w:val="both"/>
      </w:pPr>
      <w:r w:rsidRPr="005D7C35">
        <w:t xml:space="preserve">The short-run ECM results show that the first-differenced revenue deficit (D(RD_GDP)) exerts a strongly negative and highly significant impact (–1.795, p &lt; 0.01), reinforcing the conclusion that consumption-oriented deficits undermine growth in the short run. By contrast, changes in </w:t>
      </w:r>
      <w:r w:rsidRPr="005D7C35">
        <w:lastRenderedPageBreak/>
        <w:t>fiscal deficit and capital expenditure do not exert significant immediate effects, while GDP dynamics remain driven largely by their own past values. The overall explanatory power of the short-run model is moderate (R² = 0.54, Adj. R² = 0.47), and the Durbin–Watson statistic (1.95) suggests no autocorrelation.</w:t>
      </w:r>
    </w:p>
    <w:p w14:paraId="5FA0A2B5" w14:textId="77777777" w:rsidR="00DC258F" w:rsidRPr="005D7C35" w:rsidRDefault="00DC258F" w:rsidP="009E201F">
      <w:pPr>
        <w:pStyle w:val="NormalWeb"/>
        <w:spacing w:line="360" w:lineRule="auto"/>
        <w:jc w:val="both"/>
      </w:pPr>
      <w:r w:rsidRPr="005D7C35">
        <w:t xml:space="preserve">Taken together, these results convey two key insights. First, fiscal policy matters for growth in India primarily through its </w:t>
      </w:r>
      <w:r w:rsidRPr="003B1266">
        <w:rPr>
          <w:rStyle w:val="Strong"/>
          <w:b w:val="0"/>
        </w:rPr>
        <w:t>short-run dynamics</w:t>
      </w:r>
      <w:r w:rsidRPr="005D7C35">
        <w:t>, with fiscal deficit providing stimulus and revenue deficit exerting a contractionary effect. Second, the absence of long-run cointegration implies that fiscal–growth relationships are not stable across regimes, a finding consistent with India’s history of fiscal reforms, crises, and policy shifts. This reinforces the Keynesian perspective that fiscal policy is effective in the short run but subject to diminishing long-run sustainability unless anchored by structural balance.</w:t>
      </w:r>
    </w:p>
    <w:p w14:paraId="308ED95D" w14:textId="77777777" w:rsidR="00B247CB" w:rsidRPr="005D7C35" w:rsidRDefault="004F7725" w:rsidP="009E201F">
      <w:pPr>
        <w:spacing w:line="360" w:lineRule="auto"/>
        <w:jc w:val="both"/>
        <w:rPr>
          <w:rFonts w:cs="Times New Roman"/>
          <w:szCs w:val="24"/>
        </w:rPr>
      </w:pPr>
      <w:r w:rsidRPr="005D7C35">
        <w:rPr>
          <w:rFonts w:cs="Times New Roman"/>
          <w:szCs w:val="24"/>
        </w:rPr>
        <w:t xml:space="preserve">Table 4: </w:t>
      </w:r>
      <w:proofErr w:type="gramStart"/>
      <w:r w:rsidRPr="005D7C35">
        <w:rPr>
          <w:rFonts w:cs="Times New Roman"/>
          <w:szCs w:val="24"/>
        </w:rPr>
        <w:t>ARDL(</w:t>
      </w:r>
      <w:proofErr w:type="gramEnd"/>
      <w:r w:rsidRPr="005D7C35">
        <w:rPr>
          <w:rFonts w:cs="Times New Roman"/>
          <w:szCs w:val="24"/>
        </w:rPr>
        <w:t>1,0,0,1) Estimation Results of GDP with Fiscal Deficit, Revenue Deficit, and Capital Expenditure</w:t>
      </w:r>
    </w:p>
    <w:tbl>
      <w:tblPr>
        <w:tblW w:w="9377" w:type="dxa"/>
        <w:tblInd w:w="-10" w:type="dxa"/>
        <w:tblLook w:val="04A0" w:firstRow="1" w:lastRow="0" w:firstColumn="1" w:lastColumn="0" w:noHBand="0" w:noVBand="1"/>
      </w:tblPr>
      <w:tblGrid>
        <w:gridCol w:w="2384"/>
        <w:gridCol w:w="2431"/>
        <w:gridCol w:w="1593"/>
        <w:gridCol w:w="1376"/>
        <w:gridCol w:w="1593"/>
      </w:tblGrid>
      <w:tr w:rsidR="00B247CB" w:rsidRPr="003B1266" w14:paraId="0F7F9E64" w14:textId="77777777" w:rsidTr="003B1266">
        <w:trPr>
          <w:trHeight w:val="280"/>
        </w:trPr>
        <w:tc>
          <w:tcPr>
            <w:tcW w:w="2384" w:type="dxa"/>
            <w:tcBorders>
              <w:top w:val="single" w:sz="8" w:space="0" w:color="auto"/>
              <w:left w:val="single" w:sz="8" w:space="0" w:color="auto"/>
              <w:bottom w:val="single" w:sz="8" w:space="0" w:color="auto"/>
              <w:right w:val="single" w:sz="8" w:space="0" w:color="auto"/>
            </w:tcBorders>
            <w:vAlign w:val="center"/>
            <w:hideMark/>
          </w:tcPr>
          <w:p w14:paraId="733595EE"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Variable</w:t>
            </w:r>
          </w:p>
        </w:tc>
        <w:tc>
          <w:tcPr>
            <w:tcW w:w="2431" w:type="dxa"/>
            <w:tcBorders>
              <w:top w:val="single" w:sz="8" w:space="0" w:color="auto"/>
              <w:left w:val="nil"/>
              <w:bottom w:val="single" w:sz="8" w:space="0" w:color="auto"/>
              <w:right w:val="single" w:sz="8" w:space="0" w:color="auto"/>
            </w:tcBorders>
            <w:vAlign w:val="center"/>
            <w:hideMark/>
          </w:tcPr>
          <w:p w14:paraId="69C5C0CC"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Coefficient</w:t>
            </w:r>
          </w:p>
        </w:tc>
        <w:tc>
          <w:tcPr>
            <w:tcW w:w="1593" w:type="dxa"/>
            <w:tcBorders>
              <w:top w:val="single" w:sz="8" w:space="0" w:color="auto"/>
              <w:left w:val="nil"/>
              <w:bottom w:val="single" w:sz="8" w:space="0" w:color="auto"/>
              <w:right w:val="single" w:sz="8" w:space="0" w:color="auto"/>
            </w:tcBorders>
            <w:vAlign w:val="center"/>
            <w:hideMark/>
          </w:tcPr>
          <w:p w14:paraId="62823D54"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Std. Error</w:t>
            </w:r>
          </w:p>
        </w:tc>
        <w:tc>
          <w:tcPr>
            <w:tcW w:w="1376" w:type="dxa"/>
            <w:tcBorders>
              <w:top w:val="single" w:sz="8" w:space="0" w:color="auto"/>
              <w:left w:val="nil"/>
              <w:bottom w:val="single" w:sz="8" w:space="0" w:color="auto"/>
              <w:right w:val="single" w:sz="8" w:space="0" w:color="auto"/>
            </w:tcBorders>
            <w:vAlign w:val="center"/>
            <w:hideMark/>
          </w:tcPr>
          <w:p w14:paraId="3977BCF2"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t-stat</w:t>
            </w:r>
          </w:p>
        </w:tc>
        <w:tc>
          <w:tcPr>
            <w:tcW w:w="1593" w:type="dxa"/>
            <w:tcBorders>
              <w:top w:val="single" w:sz="8" w:space="0" w:color="auto"/>
              <w:left w:val="nil"/>
              <w:bottom w:val="single" w:sz="8" w:space="0" w:color="auto"/>
              <w:right w:val="single" w:sz="8" w:space="0" w:color="auto"/>
            </w:tcBorders>
            <w:vAlign w:val="center"/>
            <w:hideMark/>
          </w:tcPr>
          <w:p w14:paraId="41986C4D" w14:textId="77777777" w:rsidR="00B247CB" w:rsidRPr="003B1266" w:rsidRDefault="00B247CB"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p-value</w:t>
            </w:r>
          </w:p>
        </w:tc>
      </w:tr>
      <w:tr w:rsidR="00B247CB" w:rsidRPr="003B1266" w14:paraId="05A860A1"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2DEC22B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w:t>
            </w:r>
            <w:proofErr w:type="gramStart"/>
            <w:r w:rsidRPr="003B1266">
              <w:rPr>
                <w:rFonts w:eastAsia="Times New Roman" w:cs="Times New Roman"/>
                <w:color w:val="000000"/>
                <w:sz w:val="20"/>
                <w:szCs w:val="20"/>
                <w:lang w:eastAsia="en-IN"/>
              </w:rPr>
              <w:t>GDP(</w:t>
            </w:r>
            <w:proofErr w:type="gramEnd"/>
            <w:r w:rsidRPr="003B1266">
              <w:rPr>
                <w:rFonts w:eastAsia="Times New Roman" w:cs="Times New Roman"/>
                <w:color w:val="000000"/>
                <w:sz w:val="20"/>
                <w:szCs w:val="20"/>
                <w:lang w:eastAsia="en-IN"/>
              </w:rPr>
              <w:t>-1)</w:t>
            </w:r>
          </w:p>
        </w:tc>
        <w:tc>
          <w:tcPr>
            <w:tcW w:w="2431" w:type="dxa"/>
            <w:tcBorders>
              <w:top w:val="nil"/>
              <w:left w:val="nil"/>
              <w:bottom w:val="single" w:sz="8" w:space="0" w:color="auto"/>
              <w:right w:val="single" w:sz="8" w:space="0" w:color="auto"/>
            </w:tcBorders>
            <w:vAlign w:val="center"/>
            <w:hideMark/>
          </w:tcPr>
          <w:p w14:paraId="56FBBB43"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0.8767</w:t>
            </w:r>
          </w:p>
        </w:tc>
        <w:tc>
          <w:tcPr>
            <w:tcW w:w="1593" w:type="dxa"/>
            <w:tcBorders>
              <w:top w:val="nil"/>
              <w:left w:val="nil"/>
              <w:bottom w:val="single" w:sz="8" w:space="0" w:color="auto"/>
              <w:right w:val="single" w:sz="8" w:space="0" w:color="auto"/>
            </w:tcBorders>
            <w:vAlign w:val="center"/>
            <w:hideMark/>
          </w:tcPr>
          <w:p w14:paraId="124BE6D0"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0.0377</w:t>
            </w:r>
          </w:p>
        </w:tc>
        <w:tc>
          <w:tcPr>
            <w:tcW w:w="1376" w:type="dxa"/>
            <w:tcBorders>
              <w:top w:val="nil"/>
              <w:left w:val="nil"/>
              <w:bottom w:val="single" w:sz="8" w:space="0" w:color="auto"/>
              <w:right w:val="single" w:sz="8" w:space="0" w:color="auto"/>
            </w:tcBorders>
            <w:vAlign w:val="center"/>
            <w:hideMark/>
          </w:tcPr>
          <w:p w14:paraId="04E27B8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23.24</w:t>
            </w:r>
          </w:p>
        </w:tc>
        <w:tc>
          <w:tcPr>
            <w:tcW w:w="1593" w:type="dxa"/>
            <w:tcBorders>
              <w:top w:val="nil"/>
              <w:left w:val="nil"/>
              <w:bottom w:val="single" w:sz="8" w:space="0" w:color="auto"/>
              <w:right w:val="single" w:sz="8" w:space="0" w:color="auto"/>
            </w:tcBorders>
            <w:vAlign w:val="center"/>
            <w:hideMark/>
          </w:tcPr>
          <w:p w14:paraId="7FA8B157"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w:t>
            </w:r>
          </w:p>
        </w:tc>
      </w:tr>
      <w:tr w:rsidR="00B247CB" w:rsidRPr="003B1266" w14:paraId="19C18C83"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278FA415"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LN_GFD</w:t>
            </w:r>
          </w:p>
        </w:tc>
        <w:tc>
          <w:tcPr>
            <w:tcW w:w="2431" w:type="dxa"/>
            <w:tcBorders>
              <w:top w:val="nil"/>
              <w:left w:val="nil"/>
              <w:bottom w:val="single" w:sz="8" w:space="0" w:color="auto"/>
              <w:right w:val="single" w:sz="8" w:space="0" w:color="auto"/>
            </w:tcBorders>
            <w:vAlign w:val="center"/>
            <w:hideMark/>
          </w:tcPr>
          <w:p w14:paraId="4C9677D2"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0.1206</w:t>
            </w:r>
          </w:p>
        </w:tc>
        <w:tc>
          <w:tcPr>
            <w:tcW w:w="1593" w:type="dxa"/>
            <w:tcBorders>
              <w:top w:val="nil"/>
              <w:left w:val="nil"/>
              <w:bottom w:val="single" w:sz="8" w:space="0" w:color="auto"/>
              <w:right w:val="single" w:sz="8" w:space="0" w:color="auto"/>
            </w:tcBorders>
            <w:vAlign w:val="center"/>
            <w:hideMark/>
          </w:tcPr>
          <w:p w14:paraId="437F83FD"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0.0366</w:t>
            </w:r>
          </w:p>
        </w:tc>
        <w:tc>
          <w:tcPr>
            <w:tcW w:w="1376" w:type="dxa"/>
            <w:tcBorders>
              <w:top w:val="nil"/>
              <w:left w:val="nil"/>
              <w:bottom w:val="single" w:sz="8" w:space="0" w:color="auto"/>
              <w:right w:val="single" w:sz="8" w:space="0" w:color="auto"/>
            </w:tcBorders>
            <w:vAlign w:val="center"/>
            <w:hideMark/>
          </w:tcPr>
          <w:p w14:paraId="0DF74C7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3.29</w:t>
            </w:r>
          </w:p>
        </w:tc>
        <w:tc>
          <w:tcPr>
            <w:tcW w:w="1593" w:type="dxa"/>
            <w:tcBorders>
              <w:top w:val="nil"/>
              <w:left w:val="nil"/>
              <w:bottom w:val="single" w:sz="8" w:space="0" w:color="auto"/>
              <w:right w:val="single" w:sz="8" w:space="0" w:color="auto"/>
            </w:tcBorders>
            <w:vAlign w:val="center"/>
            <w:hideMark/>
          </w:tcPr>
          <w:p w14:paraId="633C421F"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0.0022</w:t>
            </w:r>
          </w:p>
        </w:tc>
      </w:tr>
      <w:tr w:rsidR="00B247CB" w:rsidRPr="003B1266" w14:paraId="0A9D63CB"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31382A9F"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CE_GDP</w:t>
            </w:r>
          </w:p>
        </w:tc>
        <w:tc>
          <w:tcPr>
            <w:tcW w:w="2431" w:type="dxa"/>
            <w:tcBorders>
              <w:top w:val="nil"/>
              <w:left w:val="nil"/>
              <w:bottom w:val="single" w:sz="8" w:space="0" w:color="auto"/>
              <w:right w:val="single" w:sz="8" w:space="0" w:color="auto"/>
            </w:tcBorders>
            <w:vAlign w:val="center"/>
            <w:hideMark/>
          </w:tcPr>
          <w:p w14:paraId="52C7F5F8"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-2.3763</w:t>
            </w:r>
          </w:p>
        </w:tc>
        <w:tc>
          <w:tcPr>
            <w:tcW w:w="1593" w:type="dxa"/>
            <w:tcBorders>
              <w:top w:val="nil"/>
              <w:left w:val="nil"/>
              <w:bottom w:val="single" w:sz="8" w:space="0" w:color="auto"/>
              <w:right w:val="single" w:sz="8" w:space="0" w:color="auto"/>
            </w:tcBorders>
            <w:vAlign w:val="center"/>
            <w:hideMark/>
          </w:tcPr>
          <w:p w14:paraId="5C340DA0"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0.6598</w:t>
            </w:r>
          </w:p>
        </w:tc>
        <w:tc>
          <w:tcPr>
            <w:tcW w:w="1376" w:type="dxa"/>
            <w:tcBorders>
              <w:top w:val="nil"/>
              <w:left w:val="nil"/>
              <w:bottom w:val="single" w:sz="8" w:space="0" w:color="auto"/>
              <w:right w:val="single" w:sz="8" w:space="0" w:color="auto"/>
            </w:tcBorders>
            <w:vAlign w:val="center"/>
            <w:hideMark/>
          </w:tcPr>
          <w:p w14:paraId="53FB877E"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-3.6</w:t>
            </w:r>
          </w:p>
        </w:tc>
        <w:tc>
          <w:tcPr>
            <w:tcW w:w="1593" w:type="dxa"/>
            <w:tcBorders>
              <w:top w:val="nil"/>
              <w:left w:val="nil"/>
              <w:bottom w:val="single" w:sz="8" w:space="0" w:color="auto"/>
              <w:right w:val="single" w:sz="8" w:space="0" w:color="auto"/>
            </w:tcBorders>
            <w:vAlign w:val="center"/>
            <w:hideMark/>
          </w:tcPr>
          <w:p w14:paraId="7389DAD7"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0.0009</w:t>
            </w:r>
          </w:p>
        </w:tc>
      </w:tr>
      <w:tr w:rsidR="00B247CB" w:rsidRPr="003B1266" w14:paraId="76904C85"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530A159F"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RD_GDP</w:t>
            </w:r>
          </w:p>
        </w:tc>
        <w:tc>
          <w:tcPr>
            <w:tcW w:w="2431" w:type="dxa"/>
            <w:tcBorders>
              <w:top w:val="nil"/>
              <w:left w:val="nil"/>
              <w:bottom w:val="single" w:sz="8" w:space="0" w:color="auto"/>
              <w:right w:val="single" w:sz="8" w:space="0" w:color="auto"/>
            </w:tcBorders>
            <w:vAlign w:val="center"/>
            <w:hideMark/>
          </w:tcPr>
          <w:p w14:paraId="44EC5B6A"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-3.8842</w:t>
            </w:r>
          </w:p>
        </w:tc>
        <w:tc>
          <w:tcPr>
            <w:tcW w:w="1593" w:type="dxa"/>
            <w:tcBorders>
              <w:top w:val="nil"/>
              <w:left w:val="nil"/>
              <w:bottom w:val="single" w:sz="8" w:space="0" w:color="auto"/>
              <w:right w:val="single" w:sz="8" w:space="0" w:color="auto"/>
            </w:tcBorders>
            <w:vAlign w:val="center"/>
            <w:hideMark/>
          </w:tcPr>
          <w:p w14:paraId="3A7BC58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0.6776</w:t>
            </w:r>
          </w:p>
        </w:tc>
        <w:tc>
          <w:tcPr>
            <w:tcW w:w="1376" w:type="dxa"/>
            <w:tcBorders>
              <w:top w:val="nil"/>
              <w:left w:val="nil"/>
              <w:bottom w:val="single" w:sz="8" w:space="0" w:color="auto"/>
              <w:right w:val="single" w:sz="8" w:space="0" w:color="auto"/>
            </w:tcBorders>
            <w:vAlign w:val="center"/>
            <w:hideMark/>
          </w:tcPr>
          <w:p w14:paraId="3954B118"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-5.73</w:t>
            </w:r>
          </w:p>
        </w:tc>
        <w:tc>
          <w:tcPr>
            <w:tcW w:w="1593" w:type="dxa"/>
            <w:tcBorders>
              <w:top w:val="nil"/>
              <w:left w:val="nil"/>
              <w:bottom w:val="single" w:sz="8" w:space="0" w:color="auto"/>
              <w:right w:val="single" w:sz="8" w:space="0" w:color="auto"/>
            </w:tcBorders>
            <w:vAlign w:val="center"/>
            <w:hideMark/>
          </w:tcPr>
          <w:p w14:paraId="011AA749"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w:t>
            </w:r>
          </w:p>
        </w:tc>
      </w:tr>
      <w:tr w:rsidR="00B247CB" w:rsidRPr="003B1266" w14:paraId="644A903E" w14:textId="77777777" w:rsidTr="003B1266">
        <w:trPr>
          <w:trHeight w:val="280"/>
        </w:trPr>
        <w:tc>
          <w:tcPr>
            <w:tcW w:w="2384" w:type="dxa"/>
            <w:tcBorders>
              <w:top w:val="nil"/>
              <w:left w:val="single" w:sz="8" w:space="0" w:color="auto"/>
              <w:bottom w:val="single" w:sz="8" w:space="0" w:color="auto"/>
              <w:right w:val="single" w:sz="8" w:space="0" w:color="auto"/>
            </w:tcBorders>
            <w:vAlign w:val="center"/>
            <w:hideMark/>
          </w:tcPr>
          <w:p w14:paraId="18D48295"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RD_</w:t>
            </w:r>
            <w:proofErr w:type="gramStart"/>
            <w:r w:rsidRPr="003B1266">
              <w:rPr>
                <w:rFonts w:eastAsia="Times New Roman" w:cs="Times New Roman"/>
                <w:color w:val="000000"/>
                <w:sz w:val="20"/>
                <w:szCs w:val="20"/>
                <w:lang w:eastAsia="en-IN"/>
              </w:rPr>
              <w:t>GDP(</w:t>
            </w:r>
            <w:proofErr w:type="gramEnd"/>
            <w:r w:rsidRPr="003B1266">
              <w:rPr>
                <w:rFonts w:eastAsia="Times New Roman" w:cs="Times New Roman"/>
                <w:color w:val="000000"/>
                <w:sz w:val="20"/>
                <w:szCs w:val="20"/>
                <w:lang w:eastAsia="en-IN"/>
              </w:rPr>
              <w:t>-1)</w:t>
            </w:r>
          </w:p>
        </w:tc>
        <w:tc>
          <w:tcPr>
            <w:tcW w:w="2431" w:type="dxa"/>
            <w:tcBorders>
              <w:top w:val="nil"/>
              <w:left w:val="nil"/>
              <w:bottom w:val="single" w:sz="8" w:space="0" w:color="auto"/>
              <w:right w:val="single" w:sz="8" w:space="0" w:color="auto"/>
            </w:tcBorders>
            <w:vAlign w:val="center"/>
            <w:hideMark/>
          </w:tcPr>
          <w:p w14:paraId="2BA23B50"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1.0531</w:t>
            </w:r>
          </w:p>
        </w:tc>
        <w:tc>
          <w:tcPr>
            <w:tcW w:w="1593" w:type="dxa"/>
            <w:tcBorders>
              <w:top w:val="nil"/>
              <w:left w:val="nil"/>
              <w:bottom w:val="single" w:sz="8" w:space="0" w:color="auto"/>
              <w:right w:val="single" w:sz="8" w:space="0" w:color="auto"/>
            </w:tcBorders>
            <w:vAlign w:val="center"/>
            <w:hideMark/>
          </w:tcPr>
          <w:p w14:paraId="09CA33D9"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0.2697</w:t>
            </w:r>
          </w:p>
        </w:tc>
        <w:tc>
          <w:tcPr>
            <w:tcW w:w="1376" w:type="dxa"/>
            <w:tcBorders>
              <w:top w:val="nil"/>
              <w:left w:val="nil"/>
              <w:bottom w:val="single" w:sz="8" w:space="0" w:color="auto"/>
              <w:right w:val="single" w:sz="8" w:space="0" w:color="auto"/>
            </w:tcBorders>
            <w:vAlign w:val="center"/>
            <w:hideMark/>
          </w:tcPr>
          <w:p w14:paraId="2D33BFC2"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3.9</w:t>
            </w:r>
          </w:p>
        </w:tc>
        <w:tc>
          <w:tcPr>
            <w:tcW w:w="1593" w:type="dxa"/>
            <w:tcBorders>
              <w:top w:val="nil"/>
              <w:left w:val="nil"/>
              <w:bottom w:val="single" w:sz="8" w:space="0" w:color="auto"/>
              <w:right w:val="single" w:sz="8" w:space="0" w:color="auto"/>
            </w:tcBorders>
            <w:vAlign w:val="center"/>
            <w:hideMark/>
          </w:tcPr>
          <w:p w14:paraId="35504A99"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0.0004</w:t>
            </w:r>
          </w:p>
        </w:tc>
      </w:tr>
      <w:tr w:rsidR="00B247CB" w:rsidRPr="003B1266" w14:paraId="2AA7FFC4" w14:textId="77777777" w:rsidTr="003B1266">
        <w:trPr>
          <w:trHeight w:val="143"/>
        </w:trPr>
        <w:tc>
          <w:tcPr>
            <w:tcW w:w="2384" w:type="dxa"/>
            <w:tcBorders>
              <w:top w:val="nil"/>
              <w:left w:val="single" w:sz="8" w:space="0" w:color="auto"/>
              <w:bottom w:val="single" w:sz="8" w:space="0" w:color="auto"/>
              <w:right w:val="single" w:sz="8" w:space="0" w:color="auto"/>
            </w:tcBorders>
            <w:vAlign w:val="center"/>
            <w:hideMark/>
          </w:tcPr>
          <w:p w14:paraId="1B8C915D"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Constant</w:t>
            </w:r>
          </w:p>
        </w:tc>
        <w:tc>
          <w:tcPr>
            <w:tcW w:w="2431" w:type="dxa"/>
            <w:tcBorders>
              <w:top w:val="nil"/>
              <w:left w:val="nil"/>
              <w:bottom w:val="single" w:sz="8" w:space="0" w:color="auto"/>
              <w:right w:val="single" w:sz="8" w:space="0" w:color="auto"/>
            </w:tcBorders>
            <w:vAlign w:val="center"/>
            <w:hideMark/>
          </w:tcPr>
          <w:p w14:paraId="7AB15368"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0.6091</w:t>
            </w:r>
          </w:p>
        </w:tc>
        <w:tc>
          <w:tcPr>
            <w:tcW w:w="1593" w:type="dxa"/>
            <w:tcBorders>
              <w:top w:val="nil"/>
              <w:left w:val="nil"/>
              <w:bottom w:val="single" w:sz="8" w:space="0" w:color="auto"/>
              <w:right w:val="single" w:sz="8" w:space="0" w:color="auto"/>
            </w:tcBorders>
            <w:vAlign w:val="center"/>
            <w:hideMark/>
          </w:tcPr>
          <w:p w14:paraId="7FD9A694"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0.1865</w:t>
            </w:r>
          </w:p>
        </w:tc>
        <w:tc>
          <w:tcPr>
            <w:tcW w:w="1376" w:type="dxa"/>
            <w:tcBorders>
              <w:top w:val="nil"/>
              <w:left w:val="nil"/>
              <w:bottom w:val="single" w:sz="8" w:space="0" w:color="auto"/>
              <w:right w:val="single" w:sz="8" w:space="0" w:color="auto"/>
            </w:tcBorders>
            <w:vAlign w:val="center"/>
            <w:hideMark/>
          </w:tcPr>
          <w:p w14:paraId="5BD867E3"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3.27</w:t>
            </w:r>
          </w:p>
        </w:tc>
        <w:tc>
          <w:tcPr>
            <w:tcW w:w="1593" w:type="dxa"/>
            <w:tcBorders>
              <w:top w:val="nil"/>
              <w:left w:val="nil"/>
              <w:bottom w:val="single" w:sz="8" w:space="0" w:color="auto"/>
              <w:right w:val="single" w:sz="8" w:space="0" w:color="auto"/>
            </w:tcBorders>
            <w:vAlign w:val="center"/>
            <w:hideMark/>
          </w:tcPr>
          <w:p w14:paraId="18164D81" w14:textId="77777777" w:rsidR="00B247CB" w:rsidRPr="003B1266" w:rsidRDefault="00B247CB"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0.0024</w:t>
            </w:r>
          </w:p>
        </w:tc>
      </w:tr>
    </w:tbl>
    <w:p w14:paraId="0A0BDAFF" w14:textId="77777777" w:rsidR="005153C1" w:rsidRPr="00CB0A0F" w:rsidRDefault="005153C1" w:rsidP="005153C1">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03DD257C" w14:textId="77777777" w:rsidR="006A5B41" w:rsidRPr="005D7C35" w:rsidRDefault="007B0320" w:rsidP="009E201F">
      <w:pPr>
        <w:spacing w:line="360" w:lineRule="auto"/>
        <w:jc w:val="both"/>
        <w:rPr>
          <w:rFonts w:cs="Times New Roman"/>
          <w:szCs w:val="24"/>
        </w:rPr>
      </w:pPr>
      <w:r w:rsidRPr="005D7C35">
        <w:rPr>
          <w:rFonts w:cs="Times New Roman"/>
          <w:szCs w:val="24"/>
        </w:rPr>
        <w:t>Table 5: ARDL Bounds and Short-Run Dynamics for GDP Equation</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313"/>
        <w:gridCol w:w="2367"/>
        <w:gridCol w:w="916"/>
        <w:gridCol w:w="1127"/>
        <w:gridCol w:w="9"/>
      </w:tblGrid>
      <w:tr w:rsidR="007B0320" w:rsidRPr="003B1266" w14:paraId="71BB9446" w14:textId="77777777" w:rsidTr="007B0320">
        <w:trPr>
          <w:gridAfter w:val="1"/>
          <w:wAfter w:w="9" w:type="dxa"/>
          <w:trHeight w:val="55"/>
        </w:trPr>
        <w:tc>
          <w:tcPr>
            <w:tcW w:w="3240" w:type="dxa"/>
            <w:vAlign w:val="center"/>
            <w:hideMark/>
          </w:tcPr>
          <w:p w14:paraId="55F3A60A"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 xml:space="preserve"> Variable</w:t>
            </w:r>
          </w:p>
        </w:tc>
        <w:tc>
          <w:tcPr>
            <w:tcW w:w="2313" w:type="dxa"/>
            <w:vAlign w:val="center"/>
            <w:hideMark/>
          </w:tcPr>
          <w:p w14:paraId="7F35BCF9"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Coefficient</w:t>
            </w:r>
          </w:p>
        </w:tc>
        <w:tc>
          <w:tcPr>
            <w:tcW w:w="2367" w:type="dxa"/>
            <w:vAlign w:val="center"/>
            <w:hideMark/>
          </w:tcPr>
          <w:p w14:paraId="4B9F9983"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Std. Error</w:t>
            </w:r>
          </w:p>
        </w:tc>
        <w:tc>
          <w:tcPr>
            <w:tcW w:w="916" w:type="dxa"/>
            <w:vAlign w:val="center"/>
            <w:hideMark/>
          </w:tcPr>
          <w:p w14:paraId="44D11693"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t-stat</w:t>
            </w:r>
          </w:p>
        </w:tc>
        <w:tc>
          <w:tcPr>
            <w:tcW w:w="1127" w:type="dxa"/>
            <w:vAlign w:val="center"/>
            <w:hideMark/>
          </w:tcPr>
          <w:p w14:paraId="245BD308"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p-value</w:t>
            </w:r>
          </w:p>
        </w:tc>
      </w:tr>
      <w:tr w:rsidR="007B0320" w:rsidRPr="003B1266" w14:paraId="20E3F6EA" w14:textId="77777777" w:rsidTr="007B0320">
        <w:trPr>
          <w:trHeight w:val="55"/>
        </w:trPr>
        <w:tc>
          <w:tcPr>
            <w:tcW w:w="9972" w:type="dxa"/>
            <w:gridSpan w:val="6"/>
            <w:vAlign w:val="center"/>
            <w:hideMark/>
          </w:tcPr>
          <w:p w14:paraId="44342E60"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Bounds Test</w:t>
            </w:r>
          </w:p>
        </w:tc>
      </w:tr>
      <w:tr w:rsidR="007B0320" w:rsidRPr="003B1266" w14:paraId="70E774EA" w14:textId="77777777" w:rsidTr="007B0320">
        <w:trPr>
          <w:gridAfter w:val="1"/>
          <w:wAfter w:w="9" w:type="dxa"/>
          <w:trHeight w:val="82"/>
        </w:trPr>
        <w:tc>
          <w:tcPr>
            <w:tcW w:w="3240" w:type="dxa"/>
            <w:vAlign w:val="center"/>
            <w:hideMark/>
          </w:tcPr>
          <w:p w14:paraId="648420E8"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F-statistic (k=3)</w:t>
            </w:r>
          </w:p>
        </w:tc>
        <w:tc>
          <w:tcPr>
            <w:tcW w:w="2313" w:type="dxa"/>
            <w:vAlign w:val="center"/>
            <w:hideMark/>
          </w:tcPr>
          <w:p w14:paraId="3BEF636F"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0.871</w:t>
            </w:r>
          </w:p>
        </w:tc>
        <w:tc>
          <w:tcPr>
            <w:tcW w:w="2367" w:type="dxa"/>
            <w:vAlign w:val="center"/>
            <w:hideMark/>
          </w:tcPr>
          <w:p w14:paraId="69C67C87"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c>
          <w:tcPr>
            <w:tcW w:w="916" w:type="dxa"/>
            <w:vAlign w:val="center"/>
            <w:hideMark/>
          </w:tcPr>
          <w:p w14:paraId="7EA433C3"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c>
          <w:tcPr>
            <w:tcW w:w="1127" w:type="dxa"/>
            <w:vAlign w:val="center"/>
            <w:hideMark/>
          </w:tcPr>
          <w:p w14:paraId="7C62AF2E"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r>
      <w:tr w:rsidR="007B0320" w:rsidRPr="003B1266" w14:paraId="1F834266" w14:textId="77777777" w:rsidTr="007B0320">
        <w:trPr>
          <w:gridAfter w:val="1"/>
          <w:wAfter w:w="9" w:type="dxa"/>
          <w:trHeight w:val="112"/>
        </w:trPr>
        <w:tc>
          <w:tcPr>
            <w:tcW w:w="3240" w:type="dxa"/>
            <w:vAlign w:val="center"/>
            <w:hideMark/>
          </w:tcPr>
          <w:p w14:paraId="7A7D22ED"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Critical Values (10%, 5%, 1%)</w:t>
            </w:r>
          </w:p>
        </w:tc>
        <w:tc>
          <w:tcPr>
            <w:tcW w:w="2313" w:type="dxa"/>
            <w:vAlign w:val="center"/>
            <w:hideMark/>
          </w:tcPr>
          <w:p w14:paraId="2DB1C9EC" w14:textId="77777777" w:rsidR="006A5B41" w:rsidRPr="003B1266" w:rsidRDefault="006A5B41" w:rsidP="009E201F">
            <w:pPr>
              <w:spacing w:after="0" w:line="360" w:lineRule="auto"/>
              <w:jc w:val="both"/>
              <w:rPr>
                <w:rFonts w:eastAsia="Times New Roman" w:cs="Times New Roman"/>
                <w:color w:val="000000"/>
                <w:sz w:val="20"/>
                <w:szCs w:val="20"/>
                <w:lang w:eastAsia="en-IN"/>
              </w:rPr>
            </w:pPr>
            <w:proofErr w:type="gramStart"/>
            <w:r w:rsidRPr="003B1266">
              <w:rPr>
                <w:rFonts w:eastAsia="Times New Roman" w:cs="Times New Roman"/>
                <w:color w:val="000000"/>
                <w:sz w:val="20"/>
                <w:szCs w:val="20"/>
                <w:lang w:eastAsia="en-IN"/>
              </w:rPr>
              <w:t>I(</w:t>
            </w:r>
            <w:proofErr w:type="gramEnd"/>
            <w:r w:rsidRPr="003B1266">
              <w:rPr>
                <w:rFonts w:eastAsia="Times New Roman" w:cs="Times New Roman"/>
                <w:color w:val="000000"/>
                <w:sz w:val="20"/>
                <w:szCs w:val="20"/>
                <w:lang w:eastAsia="en-IN"/>
              </w:rPr>
              <w:t>0)=2.72, 3.23, 4.29</w:t>
            </w:r>
          </w:p>
        </w:tc>
        <w:tc>
          <w:tcPr>
            <w:tcW w:w="2367" w:type="dxa"/>
            <w:vAlign w:val="center"/>
            <w:hideMark/>
          </w:tcPr>
          <w:p w14:paraId="189C24E6" w14:textId="77777777" w:rsidR="006A5B41" w:rsidRPr="003B1266" w:rsidRDefault="006A5B41" w:rsidP="009E201F">
            <w:pPr>
              <w:spacing w:after="0" w:line="360" w:lineRule="auto"/>
              <w:jc w:val="both"/>
              <w:rPr>
                <w:rFonts w:eastAsia="Times New Roman" w:cs="Times New Roman"/>
                <w:color w:val="000000"/>
                <w:sz w:val="20"/>
                <w:szCs w:val="20"/>
                <w:lang w:eastAsia="en-IN"/>
              </w:rPr>
            </w:pPr>
            <w:proofErr w:type="gramStart"/>
            <w:r w:rsidRPr="003B1266">
              <w:rPr>
                <w:rFonts w:eastAsia="Times New Roman" w:cs="Times New Roman"/>
                <w:color w:val="000000"/>
                <w:sz w:val="20"/>
                <w:szCs w:val="20"/>
                <w:lang w:eastAsia="en-IN"/>
              </w:rPr>
              <w:t>I(</w:t>
            </w:r>
            <w:proofErr w:type="gramEnd"/>
            <w:r w:rsidRPr="003B1266">
              <w:rPr>
                <w:rFonts w:eastAsia="Times New Roman" w:cs="Times New Roman"/>
                <w:color w:val="000000"/>
                <w:sz w:val="20"/>
                <w:szCs w:val="20"/>
                <w:lang w:eastAsia="en-IN"/>
              </w:rPr>
              <w:t>1)=3.77, 4.35, 5.61</w:t>
            </w:r>
          </w:p>
        </w:tc>
        <w:tc>
          <w:tcPr>
            <w:tcW w:w="916" w:type="dxa"/>
            <w:vAlign w:val="center"/>
            <w:hideMark/>
          </w:tcPr>
          <w:p w14:paraId="39404DF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c>
          <w:tcPr>
            <w:tcW w:w="1127" w:type="dxa"/>
            <w:vAlign w:val="center"/>
            <w:hideMark/>
          </w:tcPr>
          <w:p w14:paraId="72FAEDD7"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w:t>
            </w:r>
          </w:p>
        </w:tc>
      </w:tr>
      <w:tr w:rsidR="007B0320" w:rsidRPr="003B1266" w14:paraId="032B66AA" w14:textId="77777777" w:rsidTr="007B0320">
        <w:trPr>
          <w:trHeight w:val="112"/>
        </w:trPr>
        <w:tc>
          <w:tcPr>
            <w:tcW w:w="9972" w:type="dxa"/>
            <w:gridSpan w:val="6"/>
            <w:vAlign w:val="center"/>
            <w:hideMark/>
          </w:tcPr>
          <w:p w14:paraId="09970F1C"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Short-Run ECM (ΔLN_GDP)</w:t>
            </w:r>
          </w:p>
        </w:tc>
      </w:tr>
      <w:tr w:rsidR="007B0320" w:rsidRPr="003B1266" w14:paraId="66001B96" w14:textId="77777777" w:rsidTr="007B0320">
        <w:trPr>
          <w:gridAfter w:val="1"/>
          <w:wAfter w:w="9" w:type="dxa"/>
          <w:trHeight w:val="55"/>
        </w:trPr>
        <w:tc>
          <w:tcPr>
            <w:tcW w:w="3240" w:type="dxa"/>
            <w:vAlign w:val="center"/>
            <w:hideMark/>
          </w:tcPr>
          <w:p w14:paraId="330E31CB"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D(RD_GDP)</w:t>
            </w:r>
          </w:p>
        </w:tc>
        <w:tc>
          <w:tcPr>
            <w:tcW w:w="2313" w:type="dxa"/>
            <w:vAlign w:val="center"/>
            <w:hideMark/>
          </w:tcPr>
          <w:p w14:paraId="42990EC4"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-1.795</w:t>
            </w:r>
          </w:p>
        </w:tc>
        <w:tc>
          <w:tcPr>
            <w:tcW w:w="2367" w:type="dxa"/>
            <w:vAlign w:val="center"/>
            <w:hideMark/>
          </w:tcPr>
          <w:p w14:paraId="04D853C4"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0.295</w:t>
            </w:r>
          </w:p>
        </w:tc>
        <w:tc>
          <w:tcPr>
            <w:tcW w:w="916" w:type="dxa"/>
            <w:vAlign w:val="center"/>
            <w:hideMark/>
          </w:tcPr>
          <w:p w14:paraId="7A124284"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-6.09</w:t>
            </w:r>
          </w:p>
        </w:tc>
        <w:tc>
          <w:tcPr>
            <w:tcW w:w="1127" w:type="dxa"/>
            <w:vAlign w:val="center"/>
            <w:hideMark/>
          </w:tcPr>
          <w:p w14:paraId="298ECAA0"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w:t>
            </w:r>
          </w:p>
        </w:tc>
      </w:tr>
      <w:tr w:rsidR="007B0320" w:rsidRPr="003B1266" w14:paraId="6E7BC6FF" w14:textId="77777777" w:rsidTr="007B0320">
        <w:trPr>
          <w:gridAfter w:val="1"/>
          <w:wAfter w:w="9" w:type="dxa"/>
          <w:trHeight w:val="25"/>
        </w:trPr>
        <w:tc>
          <w:tcPr>
            <w:tcW w:w="3240" w:type="dxa"/>
            <w:vAlign w:val="center"/>
            <w:hideMark/>
          </w:tcPr>
          <w:p w14:paraId="2D2F43ED"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Constant</w:t>
            </w:r>
          </w:p>
        </w:tc>
        <w:tc>
          <w:tcPr>
            <w:tcW w:w="2313" w:type="dxa"/>
            <w:vAlign w:val="center"/>
            <w:hideMark/>
          </w:tcPr>
          <w:p w14:paraId="094DAD4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0.0047</w:t>
            </w:r>
          </w:p>
        </w:tc>
        <w:tc>
          <w:tcPr>
            <w:tcW w:w="2367" w:type="dxa"/>
            <w:vAlign w:val="center"/>
            <w:hideMark/>
          </w:tcPr>
          <w:p w14:paraId="03FDFA0E"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0.234</w:t>
            </w:r>
          </w:p>
        </w:tc>
        <w:tc>
          <w:tcPr>
            <w:tcW w:w="916" w:type="dxa"/>
            <w:vAlign w:val="center"/>
            <w:hideMark/>
          </w:tcPr>
          <w:p w14:paraId="416E9C77"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0.02</w:t>
            </w:r>
          </w:p>
        </w:tc>
        <w:tc>
          <w:tcPr>
            <w:tcW w:w="1127" w:type="dxa"/>
            <w:vAlign w:val="center"/>
            <w:hideMark/>
          </w:tcPr>
          <w:p w14:paraId="4B754F9B"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0.984</w:t>
            </w:r>
          </w:p>
        </w:tc>
      </w:tr>
      <w:tr w:rsidR="007B0320" w:rsidRPr="003B1266" w14:paraId="2CD9AE6E" w14:textId="77777777" w:rsidTr="007B0320">
        <w:trPr>
          <w:gridAfter w:val="1"/>
          <w:wAfter w:w="9" w:type="dxa"/>
          <w:trHeight w:val="55"/>
        </w:trPr>
        <w:tc>
          <w:tcPr>
            <w:tcW w:w="3240" w:type="dxa"/>
            <w:vAlign w:val="center"/>
            <w:hideMark/>
          </w:tcPr>
          <w:p w14:paraId="1D8E0EBD"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LN_</w:t>
            </w:r>
            <w:proofErr w:type="gramStart"/>
            <w:r w:rsidRPr="003B1266">
              <w:rPr>
                <w:rFonts w:eastAsia="Times New Roman" w:cs="Times New Roman"/>
                <w:color w:val="000000"/>
                <w:sz w:val="20"/>
                <w:szCs w:val="20"/>
                <w:lang w:eastAsia="en-IN"/>
              </w:rPr>
              <w:t>GFD(</w:t>
            </w:r>
            <w:proofErr w:type="gramEnd"/>
            <w:r w:rsidRPr="003B1266">
              <w:rPr>
                <w:rFonts w:eastAsia="Times New Roman" w:cs="Times New Roman"/>
                <w:color w:val="000000"/>
                <w:sz w:val="20"/>
                <w:szCs w:val="20"/>
                <w:lang w:eastAsia="en-IN"/>
              </w:rPr>
              <w:t>-1)</w:t>
            </w:r>
          </w:p>
        </w:tc>
        <w:tc>
          <w:tcPr>
            <w:tcW w:w="2313" w:type="dxa"/>
            <w:vAlign w:val="center"/>
            <w:hideMark/>
          </w:tcPr>
          <w:p w14:paraId="6DD823ED"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-0.02</w:t>
            </w:r>
          </w:p>
        </w:tc>
        <w:tc>
          <w:tcPr>
            <w:tcW w:w="2367" w:type="dxa"/>
            <w:vAlign w:val="center"/>
            <w:hideMark/>
          </w:tcPr>
          <w:p w14:paraId="17E72EF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0.048</w:t>
            </w:r>
          </w:p>
        </w:tc>
        <w:tc>
          <w:tcPr>
            <w:tcW w:w="916" w:type="dxa"/>
            <w:vAlign w:val="center"/>
            <w:hideMark/>
          </w:tcPr>
          <w:p w14:paraId="1B008023"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-0.42</w:t>
            </w:r>
          </w:p>
        </w:tc>
        <w:tc>
          <w:tcPr>
            <w:tcW w:w="1127" w:type="dxa"/>
            <w:vAlign w:val="center"/>
            <w:hideMark/>
          </w:tcPr>
          <w:p w14:paraId="7D40751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0.6753</w:t>
            </w:r>
          </w:p>
        </w:tc>
      </w:tr>
      <w:tr w:rsidR="007B0320" w:rsidRPr="003B1266" w14:paraId="2CC04556" w14:textId="77777777" w:rsidTr="007B0320">
        <w:trPr>
          <w:gridAfter w:val="1"/>
          <w:wAfter w:w="9" w:type="dxa"/>
          <w:trHeight w:val="55"/>
        </w:trPr>
        <w:tc>
          <w:tcPr>
            <w:tcW w:w="3240" w:type="dxa"/>
            <w:vAlign w:val="center"/>
            <w:hideMark/>
          </w:tcPr>
          <w:p w14:paraId="36058429"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CE_</w:t>
            </w:r>
            <w:proofErr w:type="gramStart"/>
            <w:r w:rsidRPr="003B1266">
              <w:rPr>
                <w:rFonts w:eastAsia="Times New Roman" w:cs="Times New Roman"/>
                <w:color w:val="000000"/>
                <w:sz w:val="20"/>
                <w:szCs w:val="20"/>
                <w:lang w:eastAsia="en-IN"/>
              </w:rPr>
              <w:t>GDP(</w:t>
            </w:r>
            <w:proofErr w:type="gramEnd"/>
            <w:r w:rsidRPr="003B1266">
              <w:rPr>
                <w:rFonts w:eastAsia="Times New Roman" w:cs="Times New Roman"/>
                <w:color w:val="000000"/>
                <w:sz w:val="20"/>
                <w:szCs w:val="20"/>
                <w:lang w:eastAsia="en-IN"/>
              </w:rPr>
              <w:t>-1)</w:t>
            </w:r>
          </w:p>
        </w:tc>
        <w:tc>
          <w:tcPr>
            <w:tcW w:w="2313" w:type="dxa"/>
            <w:vAlign w:val="center"/>
            <w:hideMark/>
          </w:tcPr>
          <w:p w14:paraId="0CABD657"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0.0003</w:t>
            </w:r>
          </w:p>
        </w:tc>
        <w:tc>
          <w:tcPr>
            <w:tcW w:w="2367" w:type="dxa"/>
            <w:vAlign w:val="center"/>
            <w:hideMark/>
          </w:tcPr>
          <w:p w14:paraId="374A78F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0.842</w:t>
            </w:r>
          </w:p>
        </w:tc>
        <w:tc>
          <w:tcPr>
            <w:tcW w:w="916" w:type="dxa"/>
            <w:vAlign w:val="center"/>
            <w:hideMark/>
          </w:tcPr>
          <w:p w14:paraId="3F1029E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w:t>
            </w:r>
          </w:p>
        </w:tc>
        <w:tc>
          <w:tcPr>
            <w:tcW w:w="1127" w:type="dxa"/>
            <w:vAlign w:val="center"/>
            <w:hideMark/>
          </w:tcPr>
          <w:p w14:paraId="6A251C6C"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0.9997</w:t>
            </w:r>
          </w:p>
        </w:tc>
      </w:tr>
      <w:tr w:rsidR="007B0320" w:rsidRPr="003B1266" w14:paraId="412D889E" w14:textId="77777777" w:rsidTr="007B0320">
        <w:trPr>
          <w:gridAfter w:val="1"/>
          <w:wAfter w:w="9" w:type="dxa"/>
          <w:trHeight w:val="55"/>
        </w:trPr>
        <w:tc>
          <w:tcPr>
            <w:tcW w:w="3240" w:type="dxa"/>
            <w:vAlign w:val="center"/>
            <w:hideMark/>
          </w:tcPr>
          <w:p w14:paraId="6730AF82"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RD_</w:t>
            </w:r>
            <w:proofErr w:type="gramStart"/>
            <w:r w:rsidRPr="003B1266">
              <w:rPr>
                <w:rFonts w:eastAsia="Times New Roman" w:cs="Times New Roman"/>
                <w:color w:val="000000"/>
                <w:sz w:val="20"/>
                <w:szCs w:val="20"/>
                <w:lang w:eastAsia="en-IN"/>
              </w:rPr>
              <w:t>GDP(</w:t>
            </w:r>
            <w:proofErr w:type="gramEnd"/>
            <w:r w:rsidRPr="003B1266">
              <w:rPr>
                <w:rFonts w:eastAsia="Times New Roman" w:cs="Times New Roman"/>
                <w:color w:val="000000"/>
                <w:sz w:val="20"/>
                <w:szCs w:val="20"/>
                <w:lang w:eastAsia="en-IN"/>
              </w:rPr>
              <w:t>-1)</w:t>
            </w:r>
          </w:p>
        </w:tc>
        <w:tc>
          <w:tcPr>
            <w:tcW w:w="2313" w:type="dxa"/>
            <w:vAlign w:val="center"/>
            <w:hideMark/>
          </w:tcPr>
          <w:p w14:paraId="51CA021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-0.088</w:t>
            </w:r>
          </w:p>
        </w:tc>
        <w:tc>
          <w:tcPr>
            <w:tcW w:w="2367" w:type="dxa"/>
            <w:vAlign w:val="center"/>
            <w:hideMark/>
          </w:tcPr>
          <w:p w14:paraId="4DBE18F9"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0.992</w:t>
            </w:r>
          </w:p>
        </w:tc>
        <w:tc>
          <w:tcPr>
            <w:tcW w:w="916" w:type="dxa"/>
            <w:vAlign w:val="center"/>
            <w:hideMark/>
          </w:tcPr>
          <w:p w14:paraId="10D0D749"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-0.09</w:t>
            </w:r>
          </w:p>
        </w:tc>
        <w:tc>
          <w:tcPr>
            <w:tcW w:w="1127" w:type="dxa"/>
            <w:vAlign w:val="center"/>
            <w:hideMark/>
          </w:tcPr>
          <w:p w14:paraId="36DFC24B"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0.9298</w:t>
            </w:r>
          </w:p>
        </w:tc>
      </w:tr>
      <w:tr w:rsidR="007B0320" w:rsidRPr="003B1266" w14:paraId="236D4204" w14:textId="77777777" w:rsidTr="007B0320">
        <w:trPr>
          <w:gridAfter w:val="1"/>
          <w:wAfter w:w="9" w:type="dxa"/>
          <w:trHeight w:val="55"/>
        </w:trPr>
        <w:tc>
          <w:tcPr>
            <w:tcW w:w="3240" w:type="dxa"/>
            <w:vAlign w:val="center"/>
            <w:hideMark/>
          </w:tcPr>
          <w:p w14:paraId="0ADEF948"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lastRenderedPageBreak/>
              <w:t>LN_</w:t>
            </w:r>
            <w:proofErr w:type="gramStart"/>
            <w:r w:rsidRPr="003B1266">
              <w:rPr>
                <w:rFonts w:eastAsia="Times New Roman" w:cs="Times New Roman"/>
                <w:color w:val="000000"/>
                <w:sz w:val="20"/>
                <w:szCs w:val="20"/>
                <w:lang w:eastAsia="en-IN"/>
              </w:rPr>
              <w:t>GDP(</w:t>
            </w:r>
            <w:proofErr w:type="gramEnd"/>
            <w:r w:rsidRPr="003B1266">
              <w:rPr>
                <w:rFonts w:eastAsia="Times New Roman" w:cs="Times New Roman"/>
                <w:color w:val="000000"/>
                <w:sz w:val="20"/>
                <w:szCs w:val="20"/>
                <w:lang w:eastAsia="en-IN"/>
              </w:rPr>
              <w:t>-1)</w:t>
            </w:r>
          </w:p>
        </w:tc>
        <w:tc>
          <w:tcPr>
            <w:tcW w:w="2313" w:type="dxa"/>
            <w:vAlign w:val="center"/>
            <w:hideMark/>
          </w:tcPr>
          <w:p w14:paraId="270DF78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0.02</w:t>
            </w:r>
          </w:p>
        </w:tc>
        <w:tc>
          <w:tcPr>
            <w:tcW w:w="2367" w:type="dxa"/>
            <w:vAlign w:val="center"/>
            <w:hideMark/>
          </w:tcPr>
          <w:p w14:paraId="5DDCDA1E"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0.049</w:t>
            </w:r>
          </w:p>
        </w:tc>
        <w:tc>
          <w:tcPr>
            <w:tcW w:w="916" w:type="dxa"/>
            <w:vAlign w:val="center"/>
            <w:hideMark/>
          </w:tcPr>
          <w:p w14:paraId="7CA88AF5"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0.41</w:t>
            </w:r>
          </w:p>
        </w:tc>
        <w:tc>
          <w:tcPr>
            <w:tcW w:w="1127" w:type="dxa"/>
            <w:vAlign w:val="center"/>
            <w:hideMark/>
          </w:tcPr>
          <w:p w14:paraId="68E7E5F1" w14:textId="77777777" w:rsidR="006A5B41" w:rsidRPr="003B1266" w:rsidRDefault="006A5B41" w:rsidP="009E201F">
            <w:pPr>
              <w:spacing w:after="0" w:line="360" w:lineRule="auto"/>
              <w:jc w:val="both"/>
              <w:rPr>
                <w:rFonts w:eastAsia="Times New Roman" w:cs="Times New Roman"/>
                <w:color w:val="000000"/>
                <w:sz w:val="20"/>
                <w:szCs w:val="20"/>
                <w:lang w:eastAsia="en-IN"/>
              </w:rPr>
            </w:pPr>
            <w:r w:rsidRPr="003B1266">
              <w:rPr>
                <w:rFonts w:eastAsia="Times New Roman" w:cs="Times New Roman"/>
                <w:color w:val="000000"/>
                <w:sz w:val="20"/>
                <w:szCs w:val="20"/>
                <w:lang w:eastAsia="en-IN"/>
              </w:rPr>
              <w:t>0.6817</w:t>
            </w:r>
          </w:p>
        </w:tc>
      </w:tr>
      <w:tr w:rsidR="007B0320" w:rsidRPr="003B1266" w14:paraId="26088E00" w14:textId="77777777" w:rsidTr="007B0320">
        <w:trPr>
          <w:trHeight w:val="55"/>
        </w:trPr>
        <w:tc>
          <w:tcPr>
            <w:tcW w:w="9972" w:type="dxa"/>
            <w:gridSpan w:val="6"/>
            <w:vAlign w:val="center"/>
            <w:hideMark/>
          </w:tcPr>
          <w:p w14:paraId="318A69C6" w14:textId="77777777" w:rsidR="006A5B41" w:rsidRPr="003B1266" w:rsidRDefault="006A5B41" w:rsidP="009E201F">
            <w:pPr>
              <w:spacing w:after="0" w:line="360" w:lineRule="auto"/>
              <w:jc w:val="both"/>
              <w:rPr>
                <w:rFonts w:eastAsia="Times New Roman" w:cs="Times New Roman"/>
                <w:b/>
                <w:bCs/>
                <w:color w:val="000000"/>
                <w:sz w:val="20"/>
                <w:szCs w:val="20"/>
                <w:lang w:eastAsia="en-IN"/>
              </w:rPr>
            </w:pPr>
            <w:r w:rsidRPr="003B1266">
              <w:rPr>
                <w:rFonts w:eastAsia="Times New Roman" w:cs="Times New Roman"/>
                <w:b/>
                <w:bCs/>
                <w:color w:val="000000"/>
                <w:sz w:val="20"/>
                <w:szCs w:val="20"/>
                <w:lang w:eastAsia="en-IN"/>
              </w:rPr>
              <w:t>ECM Statistics</w:t>
            </w:r>
          </w:p>
        </w:tc>
      </w:tr>
      <w:tr w:rsidR="007B0320" w:rsidRPr="000E75CB" w14:paraId="71123C88" w14:textId="77777777" w:rsidTr="007B0320">
        <w:trPr>
          <w:trHeight w:val="252"/>
        </w:trPr>
        <w:tc>
          <w:tcPr>
            <w:tcW w:w="9972" w:type="dxa"/>
            <w:gridSpan w:val="6"/>
            <w:vAlign w:val="center"/>
            <w:hideMark/>
          </w:tcPr>
          <w:p w14:paraId="313C4AE7" w14:textId="77777777" w:rsidR="006A5B41" w:rsidRPr="000E75CB" w:rsidRDefault="006A5B41" w:rsidP="009E201F">
            <w:pPr>
              <w:spacing w:after="0" w:line="360" w:lineRule="auto"/>
              <w:jc w:val="both"/>
              <w:rPr>
                <w:rFonts w:eastAsia="Times New Roman" w:cs="Times New Roman"/>
                <w:color w:val="000000"/>
                <w:sz w:val="20"/>
                <w:szCs w:val="20"/>
                <w:lang w:val="pt-BR" w:eastAsia="en-IN"/>
              </w:rPr>
            </w:pPr>
            <w:r w:rsidRPr="000E75CB">
              <w:rPr>
                <w:rFonts w:eastAsia="Times New Roman" w:cs="Times New Roman"/>
                <w:color w:val="000000"/>
                <w:sz w:val="20"/>
                <w:szCs w:val="20"/>
                <w:lang w:val="pt-BR" w:eastAsia="en-IN"/>
              </w:rPr>
              <w:t>R² = 0.537, Adj. R² = 0.474, F-stat = 8.58 (p=0.0000), DW = 1.95</w:t>
            </w:r>
          </w:p>
        </w:tc>
      </w:tr>
    </w:tbl>
    <w:p w14:paraId="63A92B95" w14:textId="77777777" w:rsidR="005153C1" w:rsidRPr="00CB0A0F" w:rsidRDefault="005153C1" w:rsidP="005153C1">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6BF9EED5" w14:textId="77777777" w:rsidR="00DC258F" w:rsidRPr="00427B0B" w:rsidRDefault="00DC258F" w:rsidP="00427B0B">
      <w:r w:rsidRPr="00427B0B">
        <w:rPr>
          <w:rStyle w:val="Strong"/>
          <w:rFonts w:cs="Times New Roman"/>
          <w:bCs w:val="0"/>
          <w:szCs w:val="24"/>
        </w:rPr>
        <w:t>4.6 Diagnostic and Stability Tests</w:t>
      </w:r>
    </w:p>
    <w:p w14:paraId="6E4C5D4F" w14:textId="77777777" w:rsidR="00DC258F" w:rsidRPr="005D7C35" w:rsidRDefault="00DC258F" w:rsidP="009E201F">
      <w:pPr>
        <w:pStyle w:val="NormalWeb"/>
        <w:spacing w:line="360" w:lineRule="auto"/>
        <w:jc w:val="both"/>
      </w:pPr>
      <w:r w:rsidRPr="005D7C35">
        <w:t xml:space="preserve">To validate the robustness of the estimated models, a range of diagnostic and stability tests were performed. The results are summarized in </w:t>
      </w:r>
      <w:r w:rsidRPr="00427B0B">
        <w:rPr>
          <w:rStyle w:val="Strong"/>
          <w:b w:val="0"/>
          <w:i/>
        </w:rPr>
        <w:t>Table 6</w:t>
      </w:r>
      <w:r w:rsidRPr="005D7C35">
        <w:t xml:space="preserve"> for both the OLS and ARDL specifications.</w:t>
      </w:r>
    </w:p>
    <w:p w14:paraId="02A48A54" w14:textId="77777777" w:rsidR="00DC258F" w:rsidRPr="005D7C35" w:rsidRDefault="00DC258F" w:rsidP="009E201F">
      <w:pPr>
        <w:pStyle w:val="NormalWeb"/>
        <w:spacing w:line="360" w:lineRule="auto"/>
        <w:jc w:val="both"/>
      </w:pPr>
      <w:r w:rsidRPr="005D7C35">
        <w:t xml:space="preserve">The </w:t>
      </w:r>
      <w:r w:rsidRPr="00427B0B">
        <w:rPr>
          <w:rStyle w:val="Strong"/>
          <w:b w:val="0"/>
        </w:rPr>
        <w:t>Variance Inflation Factor (VIF)</w:t>
      </w:r>
      <w:r w:rsidRPr="005D7C35">
        <w:t xml:space="preserve"> values for LN_GFD (2.84), CE_GDP (1.96), and RD_GDP (1.94) all fall well below the conventional threshold of 5, confirming that multicollinearity is not a concern (Gujarati &amp; Porter, 2009). This ensures that estimated coefficients are not biased by excessive correlation among regressors.</w:t>
      </w:r>
    </w:p>
    <w:p w14:paraId="7D5B57E8" w14:textId="77777777" w:rsidR="00DC258F" w:rsidRPr="005D7C35" w:rsidRDefault="00DC258F" w:rsidP="009E201F">
      <w:pPr>
        <w:pStyle w:val="NormalWeb"/>
        <w:spacing w:line="360" w:lineRule="auto"/>
        <w:jc w:val="both"/>
      </w:pPr>
      <w:r w:rsidRPr="005D7C35">
        <w:t xml:space="preserve">The </w:t>
      </w:r>
      <w:r w:rsidRPr="00427B0B">
        <w:rPr>
          <w:rStyle w:val="Strong"/>
          <w:b w:val="0"/>
        </w:rPr>
        <w:t>Jarque–Bera normality test</w:t>
      </w:r>
      <w:r w:rsidRPr="005D7C35">
        <w:t xml:space="preserve"> on OLS residuals yields a statistic of 3.017 with a p-value of 0.221, implying that the null hypothesis of normality cannot be rejected (Jarque &amp; Bera, 1980). This indicates that residuals are approximately normally distributed, a desirable property for valid inference.</w:t>
      </w:r>
    </w:p>
    <w:p w14:paraId="3448639C" w14:textId="77777777" w:rsidR="00DC258F" w:rsidRPr="005D7C35" w:rsidRDefault="00DC258F" w:rsidP="009E201F">
      <w:pPr>
        <w:pStyle w:val="NormalWeb"/>
        <w:spacing w:line="360" w:lineRule="auto"/>
        <w:jc w:val="both"/>
      </w:pPr>
      <w:r w:rsidRPr="005D7C35">
        <w:t xml:space="preserve">The </w:t>
      </w:r>
      <w:r w:rsidRPr="00427B0B">
        <w:rPr>
          <w:rStyle w:val="Strong"/>
          <w:b w:val="0"/>
        </w:rPr>
        <w:t>Breusch–Godfrey LM</w:t>
      </w:r>
      <w:r w:rsidRPr="005D7C35">
        <w:rPr>
          <w:rStyle w:val="Strong"/>
        </w:rPr>
        <w:t xml:space="preserve"> test</w:t>
      </w:r>
      <w:r w:rsidRPr="005D7C35">
        <w:t xml:space="preserve"> for serial correlation produces an Obs</w:t>
      </w:r>
      <w:r w:rsidRPr="005D7C35">
        <w:rPr>
          <w:rStyle w:val="Emphasis"/>
        </w:rPr>
        <w:t xml:space="preserve">R² statistic of 0.372 (p = 0.83), confirming the absence of autocorrelation in the residuals (Breusch, 1978; Godfrey, 1978). Similarly, the </w:t>
      </w:r>
      <w:r w:rsidRPr="00427B0B">
        <w:rPr>
          <w:rStyle w:val="Strong"/>
          <w:b w:val="0"/>
          <w:i/>
          <w:iCs/>
        </w:rPr>
        <w:t>Breusch–Pagan–Godfrey test</w:t>
      </w:r>
      <w:r w:rsidRPr="005D7C35">
        <w:rPr>
          <w:rStyle w:val="Emphasis"/>
        </w:rPr>
        <w:t xml:space="preserve"> for heteroskedasticity yields an Obs</w:t>
      </w:r>
      <w:r w:rsidRPr="005D7C35">
        <w:t xml:space="preserve">R² value of 3.107 (p = 0.375), suggesting </w:t>
      </w:r>
      <w:proofErr w:type="spellStart"/>
      <w:r w:rsidRPr="005D7C35">
        <w:t>homoskedastic</w:t>
      </w:r>
      <w:proofErr w:type="spellEnd"/>
      <w:r w:rsidRPr="005D7C35">
        <w:t xml:space="preserve"> residuals (Breusch &amp; Pagan, 1979).</w:t>
      </w:r>
    </w:p>
    <w:p w14:paraId="582219AF" w14:textId="77777777" w:rsidR="00DC258F" w:rsidRPr="005D7C35" w:rsidRDefault="00DC258F" w:rsidP="009E201F">
      <w:pPr>
        <w:pStyle w:val="NormalWeb"/>
        <w:spacing w:line="360" w:lineRule="auto"/>
        <w:jc w:val="both"/>
      </w:pPr>
      <w:r w:rsidRPr="005D7C35">
        <w:t xml:space="preserve">The </w:t>
      </w:r>
      <w:r w:rsidRPr="00427B0B">
        <w:rPr>
          <w:rStyle w:val="Strong"/>
          <w:b w:val="0"/>
        </w:rPr>
        <w:t>Durbin–Watson (DW) statistic</w:t>
      </w:r>
      <w:r w:rsidRPr="005D7C35">
        <w:t xml:space="preserve"> further supports the absence of autocorrelation, with values of 1.91 for the OLS regression and 1.95 for the ARDL error correction model, both close to the ideal benchmark of 2 (Durbin &amp; Watson, 1950).</w:t>
      </w:r>
    </w:p>
    <w:p w14:paraId="2F402963" w14:textId="77777777" w:rsidR="00DC258F" w:rsidRPr="005D7C35" w:rsidRDefault="00DC258F" w:rsidP="009E201F">
      <w:pPr>
        <w:pStyle w:val="NormalWeb"/>
        <w:spacing w:line="360" w:lineRule="auto"/>
        <w:jc w:val="both"/>
      </w:pPr>
      <w:r w:rsidRPr="005D7C35">
        <w:t xml:space="preserve">Finally, the </w:t>
      </w:r>
      <w:r w:rsidRPr="00427B0B">
        <w:rPr>
          <w:rStyle w:val="Strong"/>
          <w:b w:val="0"/>
        </w:rPr>
        <w:t>Bai–Perron multiple breakpoint test</w:t>
      </w:r>
      <w:r w:rsidRPr="005D7C35">
        <w:t xml:space="preserve"> identifies two statistically significant structural breaks, in 2004 and 2016. While the precise implications are discussed in Section 4.7, the detection of structural instability helps explain why the bounds test fails to identify a long-run equilibrium: shifts in fiscal regimes and policy frameworks undermine the stability of long-run relationships. This finding underscores the importance of adopting short-run models, such as ARDL with an error correction structure, rather than relying solely on cointegration analysis.</w:t>
      </w:r>
    </w:p>
    <w:p w14:paraId="4B809A7F" w14:textId="77777777" w:rsidR="00DC258F" w:rsidRPr="005D7C35" w:rsidRDefault="00DC258F" w:rsidP="009E201F">
      <w:pPr>
        <w:pStyle w:val="NormalWeb"/>
        <w:spacing w:line="360" w:lineRule="auto"/>
        <w:jc w:val="both"/>
      </w:pPr>
      <w:r w:rsidRPr="005D7C35">
        <w:lastRenderedPageBreak/>
        <w:t>Overall, the diagnostic results demonstrate that the estimated models are econometrically sound: residuals are normally distributed, free from autocorrelation and heteroskedasticity, and not distorted by multicollinearity. At the same time, structural break evidence highlights why long-run relationships are unstable, reinforcing the focus on short-run fiscal dynamics.</w:t>
      </w:r>
    </w:p>
    <w:p w14:paraId="1FB3EAAE" w14:textId="77777777" w:rsidR="00DC258F" w:rsidRPr="005D7C35" w:rsidRDefault="00DC258F" w:rsidP="009E201F">
      <w:pPr>
        <w:spacing w:line="360" w:lineRule="auto"/>
        <w:jc w:val="both"/>
        <w:rPr>
          <w:rFonts w:cs="Times New Roman"/>
          <w:szCs w:val="24"/>
        </w:rPr>
      </w:pPr>
    </w:p>
    <w:p w14:paraId="543EE84E" w14:textId="77777777" w:rsidR="00050A69" w:rsidRPr="005D7C35" w:rsidRDefault="00050A69" w:rsidP="009E201F">
      <w:pPr>
        <w:spacing w:line="360" w:lineRule="auto"/>
        <w:jc w:val="both"/>
        <w:rPr>
          <w:rFonts w:cs="Times New Roman"/>
          <w:szCs w:val="24"/>
        </w:rPr>
      </w:pPr>
      <w:r w:rsidRPr="005D7C35">
        <w:rPr>
          <w:rFonts w:cs="Times New Roman"/>
          <w:szCs w:val="24"/>
        </w:rPr>
        <w:t>Table 6: Diagnostic Tests for OLS and ARDL Models</w:t>
      </w: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2316"/>
        <w:gridCol w:w="3336"/>
      </w:tblGrid>
      <w:tr w:rsidR="00971F45" w:rsidRPr="005D7C35" w14:paraId="0577FC1B" w14:textId="77777777" w:rsidTr="00603C09">
        <w:trPr>
          <w:trHeight w:val="39"/>
        </w:trPr>
        <w:tc>
          <w:tcPr>
            <w:tcW w:w="4455" w:type="dxa"/>
            <w:vAlign w:val="center"/>
            <w:hideMark/>
          </w:tcPr>
          <w:p w14:paraId="0C62E30A"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Test</w:t>
            </w:r>
          </w:p>
        </w:tc>
        <w:tc>
          <w:tcPr>
            <w:tcW w:w="2316" w:type="dxa"/>
            <w:vAlign w:val="center"/>
            <w:hideMark/>
          </w:tcPr>
          <w:p w14:paraId="48AC9CEC"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Statistic / Value</w:t>
            </w:r>
          </w:p>
        </w:tc>
        <w:tc>
          <w:tcPr>
            <w:tcW w:w="3336" w:type="dxa"/>
            <w:vAlign w:val="center"/>
            <w:hideMark/>
          </w:tcPr>
          <w:p w14:paraId="210CDC9B"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Conclusion</w:t>
            </w:r>
          </w:p>
        </w:tc>
      </w:tr>
      <w:tr w:rsidR="00971F45" w:rsidRPr="005D7C35" w14:paraId="212E49CC" w14:textId="77777777" w:rsidTr="00603C09">
        <w:trPr>
          <w:trHeight w:val="60"/>
        </w:trPr>
        <w:tc>
          <w:tcPr>
            <w:tcW w:w="4455" w:type="dxa"/>
            <w:vAlign w:val="center"/>
            <w:hideMark/>
          </w:tcPr>
          <w:p w14:paraId="670F4A75"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Multicollinearity (VIF)</w:t>
            </w:r>
          </w:p>
        </w:tc>
        <w:tc>
          <w:tcPr>
            <w:tcW w:w="2316" w:type="dxa"/>
            <w:vAlign w:val="center"/>
            <w:hideMark/>
          </w:tcPr>
          <w:p w14:paraId="50A8629D" w14:textId="77777777" w:rsidR="00971F45" w:rsidRPr="005D7C35" w:rsidRDefault="00971F45" w:rsidP="009E201F">
            <w:pPr>
              <w:spacing w:after="0" w:line="360" w:lineRule="auto"/>
              <w:jc w:val="both"/>
              <w:rPr>
                <w:rFonts w:eastAsia="Times New Roman" w:cs="Times New Roman"/>
                <w:b/>
                <w:bCs/>
                <w:color w:val="000000"/>
                <w:szCs w:val="24"/>
                <w:lang w:eastAsia="en-IN"/>
              </w:rPr>
            </w:pPr>
          </w:p>
        </w:tc>
        <w:tc>
          <w:tcPr>
            <w:tcW w:w="3336" w:type="dxa"/>
            <w:vAlign w:val="center"/>
            <w:hideMark/>
          </w:tcPr>
          <w:p w14:paraId="66DC0164" w14:textId="77777777" w:rsidR="00971F45" w:rsidRPr="005D7C35" w:rsidRDefault="00971F45" w:rsidP="009E201F">
            <w:pPr>
              <w:spacing w:after="0" w:line="360" w:lineRule="auto"/>
              <w:jc w:val="both"/>
              <w:rPr>
                <w:rFonts w:eastAsia="Times New Roman" w:cs="Times New Roman"/>
                <w:szCs w:val="24"/>
                <w:lang w:eastAsia="en-IN"/>
              </w:rPr>
            </w:pPr>
          </w:p>
        </w:tc>
      </w:tr>
      <w:tr w:rsidR="00971F45" w:rsidRPr="005D7C35" w14:paraId="2240733E" w14:textId="77777777" w:rsidTr="00603C09">
        <w:trPr>
          <w:trHeight w:val="80"/>
        </w:trPr>
        <w:tc>
          <w:tcPr>
            <w:tcW w:w="4455" w:type="dxa"/>
            <w:vAlign w:val="center"/>
            <w:hideMark/>
          </w:tcPr>
          <w:p w14:paraId="07D1E33E"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LN_GFD</w:t>
            </w:r>
          </w:p>
        </w:tc>
        <w:tc>
          <w:tcPr>
            <w:tcW w:w="2316" w:type="dxa"/>
            <w:vAlign w:val="center"/>
            <w:hideMark/>
          </w:tcPr>
          <w:p w14:paraId="1A07639E"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2.84</w:t>
            </w:r>
          </w:p>
        </w:tc>
        <w:tc>
          <w:tcPr>
            <w:tcW w:w="3336" w:type="dxa"/>
            <w:vAlign w:val="center"/>
            <w:hideMark/>
          </w:tcPr>
          <w:p w14:paraId="288570A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multicollinearity (VIF &lt; 5)</w:t>
            </w:r>
          </w:p>
        </w:tc>
      </w:tr>
      <w:tr w:rsidR="00971F45" w:rsidRPr="005D7C35" w14:paraId="03CF5191" w14:textId="77777777" w:rsidTr="00603C09">
        <w:trPr>
          <w:trHeight w:val="39"/>
        </w:trPr>
        <w:tc>
          <w:tcPr>
            <w:tcW w:w="4455" w:type="dxa"/>
            <w:vAlign w:val="center"/>
            <w:hideMark/>
          </w:tcPr>
          <w:p w14:paraId="1D91D590"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CE_GDP</w:t>
            </w:r>
          </w:p>
        </w:tc>
        <w:tc>
          <w:tcPr>
            <w:tcW w:w="2316" w:type="dxa"/>
            <w:vAlign w:val="center"/>
            <w:hideMark/>
          </w:tcPr>
          <w:p w14:paraId="7EBAA616"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1.96</w:t>
            </w:r>
          </w:p>
        </w:tc>
        <w:tc>
          <w:tcPr>
            <w:tcW w:w="3336" w:type="dxa"/>
            <w:vAlign w:val="center"/>
            <w:hideMark/>
          </w:tcPr>
          <w:p w14:paraId="5982A3B6"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multicollinearity</w:t>
            </w:r>
          </w:p>
        </w:tc>
      </w:tr>
      <w:tr w:rsidR="00971F45" w:rsidRPr="005D7C35" w14:paraId="1C7A4D27" w14:textId="77777777" w:rsidTr="00603C09">
        <w:trPr>
          <w:trHeight w:val="182"/>
        </w:trPr>
        <w:tc>
          <w:tcPr>
            <w:tcW w:w="4455" w:type="dxa"/>
            <w:vAlign w:val="center"/>
            <w:hideMark/>
          </w:tcPr>
          <w:p w14:paraId="4378CFF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RD_GDP</w:t>
            </w:r>
          </w:p>
        </w:tc>
        <w:tc>
          <w:tcPr>
            <w:tcW w:w="2316" w:type="dxa"/>
            <w:vAlign w:val="center"/>
            <w:hideMark/>
          </w:tcPr>
          <w:p w14:paraId="0CCFEC1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1.94</w:t>
            </w:r>
          </w:p>
        </w:tc>
        <w:tc>
          <w:tcPr>
            <w:tcW w:w="3336" w:type="dxa"/>
            <w:vAlign w:val="center"/>
            <w:hideMark/>
          </w:tcPr>
          <w:p w14:paraId="1FA1C7CA"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multicollinearity</w:t>
            </w:r>
          </w:p>
        </w:tc>
      </w:tr>
      <w:tr w:rsidR="00971F45" w:rsidRPr="005D7C35" w14:paraId="50DB8B10" w14:textId="77777777" w:rsidTr="00603C09">
        <w:trPr>
          <w:trHeight w:val="141"/>
        </w:trPr>
        <w:tc>
          <w:tcPr>
            <w:tcW w:w="4455" w:type="dxa"/>
            <w:vAlign w:val="center"/>
            <w:hideMark/>
          </w:tcPr>
          <w:p w14:paraId="1AEE908F"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Normality (Jarque–Bera, OLS residuals)</w:t>
            </w:r>
          </w:p>
        </w:tc>
        <w:tc>
          <w:tcPr>
            <w:tcW w:w="2316" w:type="dxa"/>
            <w:vAlign w:val="center"/>
            <w:hideMark/>
          </w:tcPr>
          <w:p w14:paraId="4D2C8B0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JB = 3.017(0.221)</w:t>
            </w:r>
          </w:p>
        </w:tc>
        <w:tc>
          <w:tcPr>
            <w:tcW w:w="3336" w:type="dxa"/>
            <w:vAlign w:val="center"/>
            <w:hideMark/>
          </w:tcPr>
          <w:p w14:paraId="40DF480A"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Residuals normal</w:t>
            </w:r>
          </w:p>
        </w:tc>
      </w:tr>
      <w:tr w:rsidR="00971F45" w:rsidRPr="005D7C35" w14:paraId="08AC60B8" w14:textId="77777777" w:rsidTr="00603C09">
        <w:trPr>
          <w:trHeight w:val="121"/>
        </w:trPr>
        <w:tc>
          <w:tcPr>
            <w:tcW w:w="4455" w:type="dxa"/>
            <w:vAlign w:val="center"/>
            <w:hideMark/>
          </w:tcPr>
          <w:p w14:paraId="1172C014"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Serial Correlation (Breusch–Godfrey LM)</w:t>
            </w:r>
          </w:p>
        </w:tc>
        <w:tc>
          <w:tcPr>
            <w:tcW w:w="2316" w:type="dxa"/>
            <w:vAlign w:val="center"/>
            <w:hideMark/>
          </w:tcPr>
          <w:p w14:paraId="7A3F7BE1" w14:textId="77777777" w:rsidR="00971F45" w:rsidRPr="005D7C35" w:rsidRDefault="00971F45" w:rsidP="009E201F">
            <w:pPr>
              <w:spacing w:after="0" w:line="360" w:lineRule="auto"/>
              <w:jc w:val="both"/>
              <w:rPr>
                <w:rFonts w:eastAsia="Times New Roman" w:cs="Times New Roman"/>
                <w:color w:val="000000"/>
                <w:szCs w:val="24"/>
                <w:lang w:eastAsia="en-IN"/>
              </w:rPr>
            </w:pPr>
            <w:proofErr w:type="spellStart"/>
            <w:r w:rsidRPr="005D7C35">
              <w:rPr>
                <w:rFonts w:eastAsia="Times New Roman" w:cs="Times New Roman"/>
                <w:color w:val="000000"/>
                <w:szCs w:val="24"/>
                <w:lang w:eastAsia="en-IN"/>
              </w:rPr>
              <w:t>Obs</w:t>
            </w:r>
            <w:proofErr w:type="spellEnd"/>
            <w:r w:rsidRPr="005D7C35">
              <w:rPr>
                <w:rFonts w:eastAsia="Times New Roman" w:cs="Times New Roman"/>
                <w:color w:val="000000"/>
                <w:szCs w:val="24"/>
                <w:lang w:eastAsia="en-IN"/>
              </w:rPr>
              <w:t>*R² = 0.372(0.83)</w:t>
            </w:r>
          </w:p>
        </w:tc>
        <w:tc>
          <w:tcPr>
            <w:tcW w:w="3336" w:type="dxa"/>
            <w:vAlign w:val="center"/>
            <w:hideMark/>
          </w:tcPr>
          <w:p w14:paraId="708064EA"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autocorrelation</w:t>
            </w:r>
          </w:p>
        </w:tc>
      </w:tr>
      <w:tr w:rsidR="00971F45" w:rsidRPr="005D7C35" w14:paraId="59257FD8" w14:textId="77777777" w:rsidTr="00603C09">
        <w:trPr>
          <w:trHeight w:val="121"/>
        </w:trPr>
        <w:tc>
          <w:tcPr>
            <w:tcW w:w="4455" w:type="dxa"/>
            <w:vAlign w:val="center"/>
            <w:hideMark/>
          </w:tcPr>
          <w:p w14:paraId="5807221F"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Heteroskedasticity (Breusch–Pagan–Godfrey)</w:t>
            </w:r>
          </w:p>
        </w:tc>
        <w:tc>
          <w:tcPr>
            <w:tcW w:w="2316" w:type="dxa"/>
            <w:vAlign w:val="center"/>
            <w:hideMark/>
          </w:tcPr>
          <w:p w14:paraId="24B4F0B5" w14:textId="77777777" w:rsidR="00971F45" w:rsidRPr="005D7C35" w:rsidRDefault="00971F45" w:rsidP="009E201F">
            <w:pPr>
              <w:spacing w:after="0" w:line="360" w:lineRule="auto"/>
              <w:jc w:val="both"/>
              <w:rPr>
                <w:rFonts w:eastAsia="Times New Roman" w:cs="Times New Roman"/>
                <w:color w:val="000000"/>
                <w:szCs w:val="24"/>
                <w:lang w:eastAsia="en-IN"/>
              </w:rPr>
            </w:pPr>
            <w:proofErr w:type="spellStart"/>
            <w:r w:rsidRPr="005D7C35">
              <w:rPr>
                <w:rFonts w:eastAsia="Times New Roman" w:cs="Times New Roman"/>
                <w:color w:val="000000"/>
                <w:szCs w:val="24"/>
                <w:lang w:eastAsia="en-IN"/>
              </w:rPr>
              <w:t>Obs</w:t>
            </w:r>
            <w:proofErr w:type="spellEnd"/>
            <w:r w:rsidRPr="005D7C35">
              <w:rPr>
                <w:rFonts w:eastAsia="Times New Roman" w:cs="Times New Roman"/>
                <w:color w:val="000000"/>
                <w:szCs w:val="24"/>
                <w:lang w:eastAsia="en-IN"/>
              </w:rPr>
              <w:t>*R² = 3.107(0.375)</w:t>
            </w:r>
          </w:p>
        </w:tc>
        <w:tc>
          <w:tcPr>
            <w:tcW w:w="3336" w:type="dxa"/>
            <w:vAlign w:val="center"/>
            <w:hideMark/>
          </w:tcPr>
          <w:p w14:paraId="4C830361" w14:textId="77777777" w:rsidR="00971F45" w:rsidRPr="005D7C35" w:rsidRDefault="00971F45" w:rsidP="009E201F">
            <w:pPr>
              <w:spacing w:after="0" w:line="360" w:lineRule="auto"/>
              <w:jc w:val="both"/>
              <w:rPr>
                <w:rFonts w:eastAsia="Times New Roman" w:cs="Times New Roman"/>
                <w:color w:val="000000"/>
                <w:szCs w:val="24"/>
                <w:lang w:eastAsia="en-IN"/>
              </w:rPr>
            </w:pPr>
            <w:proofErr w:type="spellStart"/>
            <w:r w:rsidRPr="005D7C35">
              <w:rPr>
                <w:rFonts w:eastAsia="Times New Roman" w:cs="Times New Roman"/>
                <w:color w:val="000000"/>
                <w:szCs w:val="24"/>
                <w:lang w:eastAsia="en-IN"/>
              </w:rPr>
              <w:t>Homoskedastic</w:t>
            </w:r>
            <w:proofErr w:type="spellEnd"/>
            <w:r w:rsidRPr="005D7C35">
              <w:rPr>
                <w:rFonts w:eastAsia="Times New Roman" w:cs="Times New Roman"/>
                <w:color w:val="000000"/>
                <w:szCs w:val="24"/>
                <w:lang w:eastAsia="en-IN"/>
              </w:rPr>
              <w:t xml:space="preserve"> residuals</w:t>
            </w:r>
          </w:p>
        </w:tc>
      </w:tr>
      <w:tr w:rsidR="00971F45" w:rsidRPr="005D7C35" w14:paraId="26EBCC71" w14:textId="77777777" w:rsidTr="00603C09">
        <w:trPr>
          <w:trHeight w:val="80"/>
        </w:trPr>
        <w:tc>
          <w:tcPr>
            <w:tcW w:w="4455" w:type="dxa"/>
            <w:vAlign w:val="center"/>
            <w:hideMark/>
          </w:tcPr>
          <w:p w14:paraId="0EA678FC"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Durbin–Watson (OLS)</w:t>
            </w:r>
          </w:p>
        </w:tc>
        <w:tc>
          <w:tcPr>
            <w:tcW w:w="2316" w:type="dxa"/>
            <w:vAlign w:val="center"/>
            <w:hideMark/>
          </w:tcPr>
          <w:p w14:paraId="237C0429"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1.91</w:t>
            </w:r>
          </w:p>
        </w:tc>
        <w:tc>
          <w:tcPr>
            <w:tcW w:w="3336" w:type="dxa"/>
            <w:vAlign w:val="center"/>
            <w:hideMark/>
          </w:tcPr>
          <w:p w14:paraId="67B85D9A"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serious autocorrelation</w:t>
            </w:r>
          </w:p>
        </w:tc>
      </w:tr>
      <w:tr w:rsidR="00971F45" w:rsidRPr="005D7C35" w14:paraId="4E82896F" w14:textId="77777777" w:rsidTr="00603C09">
        <w:trPr>
          <w:trHeight w:val="80"/>
        </w:trPr>
        <w:tc>
          <w:tcPr>
            <w:tcW w:w="4455" w:type="dxa"/>
            <w:vAlign w:val="center"/>
            <w:hideMark/>
          </w:tcPr>
          <w:p w14:paraId="3F0EC951"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Durbin–Watson (ARDL ECM)</w:t>
            </w:r>
          </w:p>
        </w:tc>
        <w:tc>
          <w:tcPr>
            <w:tcW w:w="2316" w:type="dxa"/>
            <w:vAlign w:val="center"/>
            <w:hideMark/>
          </w:tcPr>
          <w:p w14:paraId="354E0018"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1.95</w:t>
            </w:r>
          </w:p>
        </w:tc>
        <w:tc>
          <w:tcPr>
            <w:tcW w:w="3336" w:type="dxa"/>
            <w:vAlign w:val="center"/>
            <w:hideMark/>
          </w:tcPr>
          <w:p w14:paraId="0C666021"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No serious autocorrelation</w:t>
            </w:r>
          </w:p>
        </w:tc>
      </w:tr>
      <w:tr w:rsidR="00971F45" w:rsidRPr="005D7C35" w14:paraId="2E42C7E9" w14:textId="77777777" w:rsidTr="00603C09">
        <w:trPr>
          <w:trHeight w:val="80"/>
        </w:trPr>
        <w:tc>
          <w:tcPr>
            <w:tcW w:w="4455" w:type="dxa"/>
            <w:tcBorders>
              <w:top w:val="single" w:sz="4" w:space="0" w:color="auto"/>
              <w:left w:val="single" w:sz="4" w:space="0" w:color="auto"/>
              <w:bottom w:val="single" w:sz="4" w:space="0" w:color="auto"/>
              <w:right w:val="single" w:sz="4" w:space="0" w:color="auto"/>
            </w:tcBorders>
            <w:vAlign w:val="center"/>
            <w:hideMark/>
          </w:tcPr>
          <w:p w14:paraId="00DF510D" w14:textId="77777777" w:rsidR="00971F45" w:rsidRPr="005D7C35" w:rsidRDefault="00971F45" w:rsidP="009E201F">
            <w:pPr>
              <w:spacing w:after="0" w:line="360" w:lineRule="auto"/>
              <w:jc w:val="both"/>
              <w:rPr>
                <w:rFonts w:eastAsia="Times New Roman" w:cs="Times New Roman"/>
                <w:b/>
                <w:bCs/>
                <w:color w:val="000000"/>
                <w:szCs w:val="24"/>
                <w:lang w:eastAsia="en-IN"/>
              </w:rPr>
            </w:pPr>
            <w:r w:rsidRPr="005D7C35">
              <w:rPr>
                <w:rFonts w:eastAsia="Times New Roman" w:cs="Times New Roman"/>
                <w:b/>
                <w:bCs/>
                <w:color w:val="000000"/>
                <w:szCs w:val="24"/>
                <w:lang w:eastAsia="en-IN"/>
              </w:rPr>
              <w:t>Structural Breaks (Bai–Perron, SC criterion)</w:t>
            </w:r>
          </w:p>
        </w:tc>
        <w:tc>
          <w:tcPr>
            <w:tcW w:w="2316" w:type="dxa"/>
            <w:tcBorders>
              <w:top w:val="single" w:sz="4" w:space="0" w:color="auto"/>
              <w:left w:val="single" w:sz="4" w:space="0" w:color="auto"/>
              <w:bottom w:val="single" w:sz="4" w:space="0" w:color="auto"/>
              <w:right w:val="single" w:sz="4" w:space="0" w:color="auto"/>
            </w:tcBorders>
            <w:vAlign w:val="center"/>
            <w:hideMark/>
          </w:tcPr>
          <w:p w14:paraId="12351E84"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Breaks at 2004, 2016</w:t>
            </w:r>
          </w:p>
        </w:tc>
        <w:tc>
          <w:tcPr>
            <w:tcW w:w="3336" w:type="dxa"/>
            <w:tcBorders>
              <w:top w:val="single" w:sz="4" w:space="0" w:color="auto"/>
              <w:left w:val="single" w:sz="4" w:space="0" w:color="auto"/>
              <w:bottom w:val="single" w:sz="4" w:space="0" w:color="auto"/>
              <w:right w:val="single" w:sz="4" w:space="0" w:color="auto"/>
            </w:tcBorders>
            <w:vAlign w:val="center"/>
            <w:hideMark/>
          </w:tcPr>
          <w:p w14:paraId="1AE069AD" w14:textId="77777777" w:rsidR="00971F45" w:rsidRPr="005D7C35" w:rsidRDefault="00971F45" w:rsidP="009E201F">
            <w:pPr>
              <w:spacing w:after="0" w:line="360" w:lineRule="auto"/>
              <w:jc w:val="both"/>
              <w:rPr>
                <w:rFonts w:eastAsia="Times New Roman" w:cs="Times New Roman"/>
                <w:color w:val="000000"/>
                <w:szCs w:val="24"/>
                <w:lang w:eastAsia="en-IN"/>
              </w:rPr>
            </w:pPr>
            <w:r w:rsidRPr="005D7C35">
              <w:rPr>
                <w:rFonts w:eastAsia="Times New Roman" w:cs="Times New Roman"/>
                <w:color w:val="000000"/>
                <w:szCs w:val="24"/>
                <w:lang w:eastAsia="en-IN"/>
              </w:rPr>
              <w:t>Instability → explains no long-run relationship</w:t>
            </w:r>
          </w:p>
        </w:tc>
      </w:tr>
    </w:tbl>
    <w:p w14:paraId="52FBFE5D" w14:textId="77777777" w:rsidR="005153C1" w:rsidRPr="00CB0A0F" w:rsidRDefault="005153C1" w:rsidP="005153C1">
      <w:pPr>
        <w:pStyle w:val="NormalWeb"/>
        <w:spacing w:line="360" w:lineRule="auto"/>
        <w:jc w:val="both"/>
        <w:rPr>
          <w:sz w:val="20"/>
          <w:szCs w:val="20"/>
        </w:rPr>
      </w:pPr>
      <w:r w:rsidRPr="00CB0A0F">
        <w:rPr>
          <w:sz w:val="20"/>
          <w:szCs w:val="20"/>
        </w:rPr>
        <w:t xml:space="preserve">Source: Own calculation based on secondary data from RBI handbook statistics </w:t>
      </w:r>
    </w:p>
    <w:p w14:paraId="285A0745" w14:textId="77777777" w:rsidR="00A9417F" w:rsidRPr="00A52A60" w:rsidRDefault="00A9417F" w:rsidP="00A52A60">
      <w:r w:rsidRPr="00A52A60">
        <w:rPr>
          <w:rStyle w:val="Strong"/>
          <w:rFonts w:cs="Times New Roman"/>
          <w:bCs w:val="0"/>
          <w:szCs w:val="24"/>
        </w:rPr>
        <w:t>5. Discussion</w:t>
      </w:r>
    </w:p>
    <w:p w14:paraId="20D5BD2E" w14:textId="77777777" w:rsidR="00A9417F" w:rsidRPr="005D7C35" w:rsidRDefault="00A9417F" w:rsidP="009E201F">
      <w:pPr>
        <w:pStyle w:val="NormalWeb"/>
        <w:spacing w:line="360" w:lineRule="auto"/>
        <w:jc w:val="both"/>
      </w:pPr>
      <w:r w:rsidRPr="005D7C35">
        <w:t>The empirical findings of this study provide important insights into the fiscal–growth nexus in India and contribute to the broader debate on the role of fiscal policy in emerging economies. A systematic interpretation of the results highlights three interrelated themes: the dominance of short-run fiscal effects, the absence of long-run equilibrium relationships, and the role of structural instability in shaping fiscal dynamics.</w:t>
      </w:r>
    </w:p>
    <w:p w14:paraId="42C762C1" w14:textId="77777777" w:rsidR="00A9417F" w:rsidRPr="005D7C35" w:rsidRDefault="00A9417F" w:rsidP="009E201F">
      <w:pPr>
        <w:pStyle w:val="NormalWeb"/>
        <w:spacing w:line="360" w:lineRule="auto"/>
        <w:jc w:val="both"/>
      </w:pPr>
      <w:r w:rsidRPr="00427B0B">
        <w:rPr>
          <w:rStyle w:val="Strong"/>
          <w:b w:val="0"/>
        </w:rPr>
        <w:t>First, the evidence strongly supports a short-run Keynesian view of fiscal policy.</w:t>
      </w:r>
      <w:r w:rsidRPr="00427B0B">
        <w:rPr>
          <w:b/>
        </w:rPr>
        <w:t xml:space="preserve"> </w:t>
      </w:r>
      <w:r w:rsidRPr="005D7C35">
        <w:t xml:space="preserve">Both the OLS and ARDL estimates consistently show that fiscal deficits exert a positive and statistically significant effect on output, suggesting that deficit-financed spending has played an </w:t>
      </w:r>
      <w:r w:rsidRPr="005D7C35">
        <w:lastRenderedPageBreak/>
        <w:t xml:space="preserve">expansionary role in stimulating aggregate demand. This is consistent with Keynesian predictions (Blinder &amp; Solow, 1973) and echoes findings from India and other developing economies where deficit spending has been countercyclical and growth-enhancing in the short run (Bose &amp; </w:t>
      </w:r>
      <w:proofErr w:type="spellStart"/>
      <w:r w:rsidRPr="005D7C35">
        <w:t>Bhanumurthy</w:t>
      </w:r>
      <w:proofErr w:type="spellEnd"/>
      <w:r w:rsidRPr="005D7C35">
        <w:t>, 2015; Adam &amp; Bevan, 2005). At the same time, the results confirm that not all deficits are alike: revenue deficits consistently reduce growth, underscoring the adverse effects of financing current consumption rather than investment. This aligns with the argument of Rangarajan and Srivastava (2005) and Buiter and Patel (2010) that persistent revenue deficits weaken fiscal sustainability and undermine productive capacity.</w:t>
      </w:r>
    </w:p>
    <w:p w14:paraId="7624662B" w14:textId="77777777" w:rsidR="00A9417F" w:rsidRPr="005D7C35" w:rsidRDefault="00A9417F" w:rsidP="009E201F">
      <w:pPr>
        <w:pStyle w:val="NormalWeb"/>
        <w:spacing w:line="360" w:lineRule="auto"/>
        <w:jc w:val="both"/>
      </w:pPr>
      <w:r w:rsidRPr="00427B0B">
        <w:rPr>
          <w:rStyle w:val="Strong"/>
          <w:b w:val="0"/>
        </w:rPr>
        <w:t>Second, the results clearly demonstrate the absence of a long-run cointegrating relationship between GDP and fiscal indicators.</w:t>
      </w:r>
      <w:r w:rsidRPr="005D7C35">
        <w:t xml:space="preserve"> The ARDL bounds test statistic lies below the lower critical bound, rejecting the hypothesis of a stable long-run equilibrium. This contrasts with earlier studies that identified cointegration between fiscal deficit and GDP in India (Narayan, 2005; Jain &amp; Kumar, 2013), but the divergence can be explained by two factors. One is methodological: previous studies often relied on Johansen cointegration, which assumes homogeneity of integration orders and stable relationships over time. In contrast, this study applies the ARDL approach, which is more appropriate in the presence of mixed integration orders and structural instability. The second factor is temporal: the Indian economy has undergone significant fiscal regime changes, including the high-growth years of the mid-2000s and the disruptions of demonetization and GST in 2016. These structural shifts undermine the stability of long-run parameters, consistent with the instability hypothesis advanced by Bai and Perron (2003).</w:t>
      </w:r>
    </w:p>
    <w:p w14:paraId="6D707A93" w14:textId="77777777" w:rsidR="00A9417F" w:rsidRPr="005D7C35" w:rsidRDefault="00A9417F" w:rsidP="009E201F">
      <w:pPr>
        <w:pStyle w:val="NormalWeb"/>
        <w:spacing w:line="360" w:lineRule="auto"/>
        <w:jc w:val="both"/>
      </w:pPr>
      <w:r w:rsidRPr="00A52A60">
        <w:rPr>
          <w:rStyle w:val="Strong"/>
          <w:b w:val="0"/>
        </w:rPr>
        <w:t>Third, structural instability plays a central role in explaining why fiscal–growth relationships in India are inherently short-run.</w:t>
      </w:r>
      <w:r w:rsidRPr="005D7C35">
        <w:t xml:space="preserve"> The Bai–Perron multiple breakpoint test identifies significant breaks in 2004 and 2016, coinciding with key macroeconomic and policy events. The 2004 break corresponds to the onset of a growth surge supported by high global demand and domestic fiscal expansion, while the 2016 break reflects institutional shocks such as demonetization and the introduction of GST. These breaks provide strong evidence that fiscal policy effectiveness in India is episodic and regime-dependent, corroborating Woo and Kumar’s (2015) findings for emerging markets more broadly. In other words, fiscal policy works in the short run, but long-run sustainability is undermined by repeated shifts in policy frameworks and macroeconomic shocks.</w:t>
      </w:r>
    </w:p>
    <w:p w14:paraId="0F1B5C75" w14:textId="77777777" w:rsidR="00A9417F" w:rsidRPr="005D7C35" w:rsidRDefault="00A9417F" w:rsidP="009E201F">
      <w:pPr>
        <w:pStyle w:val="NormalWeb"/>
        <w:spacing w:line="360" w:lineRule="auto"/>
        <w:jc w:val="both"/>
      </w:pPr>
      <w:r w:rsidRPr="005D7C35">
        <w:lastRenderedPageBreak/>
        <w:t xml:space="preserve">Taken together, these findings reconcile the divergent results in the Indian literature. The positive role of fiscal deficits in stimulating short-run growth aligns with Keynesian and pro-stimulus arguments (Blinder &amp; Solow, 1973; Bose &amp; </w:t>
      </w:r>
      <w:proofErr w:type="spellStart"/>
      <w:r w:rsidRPr="005D7C35">
        <w:t>Bhanumurthy</w:t>
      </w:r>
      <w:proofErr w:type="spellEnd"/>
      <w:r w:rsidRPr="005D7C35">
        <w:t>, 2015), while the destabilizing effect of revenue deficits supports the fiscal-discipline view advanced by Rangarajan and Srivastava (2005) and Buiter and Patel (2010). The absence of long-run cointegration and the presence of structural breaks explain why earlier studies reported inconsistent results: stability is the critical missing piece.</w:t>
      </w:r>
    </w:p>
    <w:p w14:paraId="27B69C25" w14:textId="77777777" w:rsidR="00A9417F" w:rsidRPr="005D7C35" w:rsidRDefault="00A9417F" w:rsidP="009E201F">
      <w:pPr>
        <w:pStyle w:val="NormalWeb"/>
        <w:spacing w:line="360" w:lineRule="auto"/>
        <w:jc w:val="both"/>
      </w:pPr>
      <w:r w:rsidRPr="00A52A60">
        <w:rPr>
          <w:rStyle w:val="Strong"/>
          <w:b w:val="0"/>
        </w:rPr>
        <w:t>Policy implications</w:t>
      </w:r>
      <w:r w:rsidRPr="005D7C35">
        <w:t xml:space="preserve"> follow directly. Fiscal policy in India should continue to be used countercyclically in the short run to support growth, particularly during downturns. However, the composition of deficits matters critically: revenue deficits should be minimized, while capital expenditures must be structured to yield productivity gains that materialize beyond the short run. At the same time, fiscal consolidation remains essential to avoid long-run instability. This balance between short-run stimulus and long-run discipline reflects the “golden rule” of public finance, which permits borrowing for investment but not for current consumption (</w:t>
      </w:r>
      <w:proofErr w:type="spellStart"/>
      <w:r w:rsidRPr="005D7C35">
        <w:t>Alesina</w:t>
      </w:r>
      <w:proofErr w:type="spellEnd"/>
      <w:r w:rsidRPr="005D7C35">
        <w:t xml:space="preserve"> &amp; </w:t>
      </w:r>
      <w:proofErr w:type="spellStart"/>
      <w:r w:rsidRPr="005D7C35">
        <w:t>Perotti</w:t>
      </w:r>
      <w:proofErr w:type="spellEnd"/>
      <w:r w:rsidRPr="005D7C35">
        <w:t>, 1996).</w:t>
      </w:r>
    </w:p>
    <w:p w14:paraId="2390EE4A" w14:textId="77777777" w:rsidR="00A9417F" w:rsidRPr="005D7C35" w:rsidRDefault="00A9417F" w:rsidP="009E201F">
      <w:pPr>
        <w:pStyle w:val="NormalWeb"/>
        <w:spacing w:line="360" w:lineRule="auto"/>
        <w:jc w:val="both"/>
      </w:pPr>
      <w:r w:rsidRPr="005D7C35">
        <w:t>Finally, this study makes a broader methodological contribution. By combining ARDL estimation with structural break analysis, it demonstrates why mixed results in the literature persist: fiscal–growth relationships are not time-invariant, and methodological frameworks that impose long-run stability may generate misleading conclusions. The approach used here thus provides a more realistic representation of fiscal dynamics in emerging economies, where institutional reforms and shocks are frequent.</w:t>
      </w:r>
    </w:p>
    <w:p w14:paraId="0A12653A" w14:textId="77777777" w:rsidR="00B908A1" w:rsidRPr="00A52A60" w:rsidRDefault="00B908A1" w:rsidP="00A52A60">
      <w:r w:rsidRPr="00A52A60">
        <w:rPr>
          <w:rStyle w:val="Strong"/>
          <w:rFonts w:cs="Times New Roman"/>
          <w:bCs w:val="0"/>
          <w:szCs w:val="24"/>
        </w:rPr>
        <w:t>6. Conclusion</w:t>
      </w:r>
    </w:p>
    <w:p w14:paraId="7EC21B76" w14:textId="77777777" w:rsidR="00B908A1" w:rsidRPr="005D7C35" w:rsidRDefault="00B908A1" w:rsidP="009E201F">
      <w:pPr>
        <w:pStyle w:val="NormalWeb"/>
        <w:spacing w:line="360" w:lineRule="auto"/>
        <w:jc w:val="both"/>
      </w:pPr>
      <w:r w:rsidRPr="005D7C35">
        <w:t>This study set out to re-examine the fiscal deficit–growth nexus in India using annual data from 1980 to 2023. Employing the ARDL bounds testing framework alongside structural break analysis, it makes three substantive contributions to the literature. First, the analysis confirms that fiscal deficits exert a positive and statistically significant effect on GDP in the short run, validating Keynesian predictions of demand-driven stimulus. At the same time, the results demonstrate that revenue deficits are growth-reducing, reflecting the adverse consequences of financing current consumption rather than investment. These findings reinforce the distinction between productive and unproductive forms of fiscal imbalance.</w:t>
      </w:r>
    </w:p>
    <w:p w14:paraId="77A48350" w14:textId="77777777" w:rsidR="00B908A1" w:rsidRPr="005D7C35" w:rsidRDefault="00B908A1" w:rsidP="009E201F">
      <w:pPr>
        <w:pStyle w:val="NormalWeb"/>
        <w:spacing w:line="360" w:lineRule="auto"/>
        <w:jc w:val="both"/>
      </w:pPr>
      <w:r w:rsidRPr="005D7C35">
        <w:lastRenderedPageBreak/>
        <w:t>Second, the ARDL bounds test provides no evidence of a stable long-run cointegrating relationship between GDP and fiscal indicators. This contrasts with several earlier studies that reported cointegration, but the divergence is explained by differences in methodology and by the role of structural instability. Unlike approaches that assume parameter constancy, the ARDL framework accommodates mixed integration orders, while the Bai–Perron break test highlights that India’s fiscal–growth relationship has been disrupted by major policy and macroeconomic shifts. The absence of long-run equilibrium thus reflects the dynamic and episodic nature of fiscal policy in India.</w:t>
      </w:r>
    </w:p>
    <w:p w14:paraId="7D4E813B" w14:textId="77777777" w:rsidR="00B908A1" w:rsidRPr="005D7C35" w:rsidRDefault="00B908A1" w:rsidP="009E201F">
      <w:pPr>
        <w:pStyle w:val="NormalWeb"/>
        <w:spacing w:line="360" w:lineRule="auto"/>
        <w:jc w:val="both"/>
      </w:pPr>
      <w:r w:rsidRPr="005D7C35">
        <w:t>Third, by integrating econometric diagnostics with structural break analysis, the study underscores that the effectiveness of fiscal policy in India is fundamentally short-run. While deficits can stimulate growth in the immediate term, their long-run sustainability is undermined by repeated policy shifts and institutional changes. This reconciles the otherwise contradictory results in the literature: fiscal stimulus is effective in the short run but unstable in the long run.</w:t>
      </w:r>
    </w:p>
    <w:p w14:paraId="47C0A74C" w14:textId="77777777" w:rsidR="00B908A1" w:rsidRPr="005D7C35" w:rsidRDefault="00B908A1" w:rsidP="009E201F">
      <w:pPr>
        <w:pStyle w:val="NormalWeb"/>
        <w:spacing w:line="360" w:lineRule="auto"/>
        <w:jc w:val="both"/>
      </w:pPr>
      <w:r w:rsidRPr="005D7C35">
        <w:t>These results yield important policy implications. Policymakers should continue to deploy fiscal policy countercyclically to support growth, especially during downturns. However, the composition of deficits matters: minimizing revenue deficits while prioritizing well-targeted capital expenditure is essential. To enhance long-run stability, fiscal rules must strike a balance between flexibility for short-run stabilization and discipline to avoid persistent imbalances, consistent with the “golden rule” of public finance.</w:t>
      </w:r>
    </w:p>
    <w:p w14:paraId="44DEF9FB" w14:textId="77777777" w:rsidR="00B908A1" w:rsidRDefault="00B908A1" w:rsidP="009E201F">
      <w:pPr>
        <w:pStyle w:val="NormalWeb"/>
        <w:spacing w:line="360" w:lineRule="auto"/>
        <w:jc w:val="both"/>
      </w:pPr>
      <w:r w:rsidRPr="005D7C35">
        <w:t>Finally, the study is not without limitations. It focuses on aggregate fiscal indicators and GDP, without distinguishing between sectoral channels or incorporating financial market interactions. Moreover, while structural breaks are identified, their underlying political and institutional drivers remain beyond the scope of this analysis. Future research could extend this framework by employing state-level data, exploring nonlinear threshold effects, or integrating fiscal–monetary interactions. Such extensions would further deepen our understanding of how fiscal policy shapes growth in emerging economies.</w:t>
      </w:r>
    </w:p>
    <w:p w14:paraId="24EC9492" w14:textId="77777777" w:rsidR="00BA728E" w:rsidRDefault="00BA728E" w:rsidP="009E201F">
      <w:pPr>
        <w:pStyle w:val="NormalWeb"/>
        <w:spacing w:line="360" w:lineRule="auto"/>
        <w:jc w:val="both"/>
      </w:pPr>
    </w:p>
    <w:p w14:paraId="4594B622" w14:textId="77777777" w:rsidR="00BA728E" w:rsidRPr="00BA728E" w:rsidRDefault="00BA728E" w:rsidP="00BA728E">
      <w:pPr>
        <w:spacing w:after="200" w:line="276" w:lineRule="auto"/>
        <w:jc w:val="both"/>
        <w:outlineLvl w:val="0"/>
        <w:rPr>
          <w:rFonts w:ascii="Arial" w:eastAsia="Times New Roman" w:hAnsi="Arial" w:cs="Arial"/>
          <w:sz w:val="22"/>
          <w:lang w:val="en-GB" w:eastAsia="en-GB"/>
        </w:rPr>
      </w:pPr>
      <w:r w:rsidRPr="00BA728E">
        <w:rPr>
          <w:rFonts w:ascii="Arial" w:eastAsia="Times New Roman" w:hAnsi="Arial" w:cs="Arial"/>
          <w:b/>
          <w:bCs/>
          <w:sz w:val="22"/>
          <w:lang w:val="en-GB" w:eastAsia="en-GB"/>
        </w:rPr>
        <w:t>COMPETING INTERESTS DISCLAIMER:</w:t>
      </w:r>
    </w:p>
    <w:p w14:paraId="751BFF2E" w14:textId="77777777" w:rsidR="00BA728E" w:rsidRPr="00BA728E" w:rsidRDefault="00BA728E" w:rsidP="00BA728E">
      <w:pPr>
        <w:spacing w:after="200" w:line="276" w:lineRule="auto"/>
        <w:rPr>
          <w:rFonts w:ascii="Calibri" w:eastAsia="Times New Roman" w:hAnsi="Calibri" w:cs="Times New Roman"/>
          <w:sz w:val="22"/>
          <w:lang w:val="en-GB" w:eastAsia="en-GB"/>
        </w:rPr>
      </w:pPr>
      <w:r w:rsidRPr="00BA728E">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2BE8EEE9" w14:textId="77777777" w:rsidR="00BA728E" w:rsidRPr="005D7C35" w:rsidRDefault="00BA728E" w:rsidP="009E201F">
      <w:pPr>
        <w:pStyle w:val="NormalWeb"/>
        <w:spacing w:line="360" w:lineRule="auto"/>
        <w:jc w:val="both"/>
      </w:pPr>
    </w:p>
    <w:p w14:paraId="3928F730" w14:textId="77777777" w:rsidR="00A16B46" w:rsidRPr="00A52A60" w:rsidRDefault="00A16B46" w:rsidP="00A52A60">
      <w:r w:rsidRPr="00A52A60">
        <w:rPr>
          <w:rStyle w:val="Strong"/>
          <w:rFonts w:cs="Times New Roman"/>
          <w:bCs w:val="0"/>
          <w:szCs w:val="24"/>
        </w:rPr>
        <w:t xml:space="preserve">References </w:t>
      </w:r>
    </w:p>
    <w:p w14:paraId="5792DDA7" w14:textId="3135C64C" w:rsidR="000E75CB" w:rsidRDefault="000E75CB" w:rsidP="000E75CB">
      <w:pPr>
        <w:pStyle w:val="NormalWeb"/>
        <w:spacing w:line="360" w:lineRule="auto"/>
        <w:jc w:val="both"/>
      </w:pPr>
      <w:r w:rsidRPr="000E75CB">
        <w:t xml:space="preserve">Abbas, S. M. A., &amp; Christensen, J. E. (2010). The role of domestic debt markets in economic growth: An empirical investigation for low-income countries and emerging markets. IMF Staff Papers, 57(1), 209–255. </w:t>
      </w:r>
      <w:hyperlink r:id="rId8" w:history="1">
        <w:r w:rsidRPr="004D2A3B">
          <w:rPr>
            <w:rStyle w:val="Hyperlink"/>
          </w:rPr>
          <w:t>https://doi.org/10.1057/imfsp.2009.24</w:t>
        </w:r>
      </w:hyperlink>
    </w:p>
    <w:p w14:paraId="76C078FB" w14:textId="3280FCE8" w:rsidR="000E75CB" w:rsidRDefault="000E75CB" w:rsidP="000E75CB">
      <w:pPr>
        <w:pStyle w:val="NormalWeb"/>
        <w:spacing w:line="360" w:lineRule="auto"/>
        <w:jc w:val="both"/>
      </w:pPr>
      <w:r w:rsidRPr="000E75CB">
        <w:t xml:space="preserve">Adam, C. S., &amp; Bevan, D. L. (2005). Fiscal deficits and growth in developing countries. Journal of Public Economics, 89(4), 571–597. </w:t>
      </w:r>
      <w:hyperlink r:id="rId9" w:history="1">
        <w:r w:rsidRPr="004D2A3B">
          <w:rPr>
            <w:rStyle w:val="Hyperlink"/>
          </w:rPr>
          <w:t>https://doi.org/10.1016/j.jpubeco.2004.02.006</w:t>
        </w:r>
      </w:hyperlink>
    </w:p>
    <w:p w14:paraId="187DFDA6" w14:textId="0189FD1C" w:rsidR="000E75CB" w:rsidRPr="000E75CB" w:rsidRDefault="000E75CB" w:rsidP="000E75CB">
      <w:pPr>
        <w:pStyle w:val="NormalWeb"/>
        <w:spacing w:line="360" w:lineRule="auto"/>
        <w:jc w:val="both"/>
      </w:pPr>
      <w:r w:rsidRPr="000E75CB">
        <w:rPr>
          <w:lang w:val="pt-BR"/>
        </w:rPr>
        <w:t xml:space="preserve">Afonso, A., &amp; Sousa, R. M. (2012). </w:t>
      </w:r>
      <w:r w:rsidRPr="000E75CB">
        <w:t xml:space="preserve">The macroeconomic effects of fiscal policy. </w:t>
      </w:r>
      <w:r w:rsidRPr="000E75CB">
        <w:rPr>
          <w:lang w:val="pt-BR"/>
        </w:rPr>
        <w:t xml:space="preserve">Applied Economics, 44(34), 4439–4454. </w:t>
      </w:r>
      <w:r>
        <w:rPr>
          <w:lang w:val="pt-BR"/>
        </w:rPr>
        <w:fldChar w:fldCharType="begin"/>
      </w:r>
      <w:r>
        <w:rPr>
          <w:lang w:val="pt-BR"/>
        </w:rPr>
        <w:instrText xml:space="preserve"> HYPERLINK "</w:instrText>
      </w:r>
      <w:r w:rsidRPr="000E75CB">
        <w:rPr>
          <w:lang w:val="pt-BR"/>
        </w:rPr>
        <w:instrText>https://doi.org/10.1080/00036846.2011.591732</w:instrText>
      </w:r>
      <w:r>
        <w:rPr>
          <w:lang w:val="pt-BR"/>
        </w:rPr>
        <w:instrText xml:space="preserve">" </w:instrText>
      </w:r>
      <w:r>
        <w:rPr>
          <w:lang w:val="pt-BR"/>
        </w:rPr>
        <w:fldChar w:fldCharType="separate"/>
      </w:r>
      <w:r w:rsidRPr="004D2A3B">
        <w:rPr>
          <w:rStyle w:val="Hyperlink"/>
          <w:lang w:val="pt-BR"/>
        </w:rPr>
        <w:t>https://doi.org/10.1080/00036846.2011.591732</w:t>
      </w:r>
      <w:r>
        <w:rPr>
          <w:lang w:val="pt-BR"/>
        </w:rPr>
        <w:fldChar w:fldCharType="end"/>
      </w:r>
    </w:p>
    <w:p w14:paraId="7D4ACC54" w14:textId="63F9026D" w:rsidR="000E75CB" w:rsidRDefault="000E75CB" w:rsidP="000E75CB">
      <w:pPr>
        <w:pStyle w:val="NormalWeb"/>
        <w:spacing w:line="360" w:lineRule="auto"/>
        <w:jc w:val="both"/>
      </w:pPr>
      <w:proofErr w:type="spellStart"/>
      <w:r w:rsidRPr="000E75CB">
        <w:t>Alesina</w:t>
      </w:r>
      <w:proofErr w:type="spellEnd"/>
      <w:r w:rsidRPr="000E75CB">
        <w:t xml:space="preserve">, A., &amp; </w:t>
      </w:r>
      <w:proofErr w:type="spellStart"/>
      <w:r w:rsidRPr="000E75CB">
        <w:t>Perotti</w:t>
      </w:r>
      <w:proofErr w:type="spellEnd"/>
      <w:r w:rsidRPr="000E75CB">
        <w:t xml:space="preserve">, R. (1996). Fiscal discipline and the budget process. American Economic Review, 86(2), 401–407. </w:t>
      </w:r>
      <w:hyperlink r:id="rId10" w:history="1">
        <w:r w:rsidRPr="004D2A3B">
          <w:rPr>
            <w:rStyle w:val="Hyperlink"/>
          </w:rPr>
          <w:t>http://links.jstor.org/sici?sici=0002-8282%28199605%2986%3A2%3C401%3AFDATBP%3E2.0.CO%3B2-Y</w:t>
        </w:r>
      </w:hyperlink>
    </w:p>
    <w:p w14:paraId="0C46ABD4" w14:textId="17821748" w:rsidR="000E75CB" w:rsidRDefault="000E75CB" w:rsidP="000E75CB">
      <w:pPr>
        <w:pStyle w:val="NormalWeb"/>
        <w:spacing w:line="360" w:lineRule="auto"/>
        <w:jc w:val="both"/>
      </w:pPr>
      <w:r w:rsidRPr="000E75CB">
        <w:t xml:space="preserve">Bai, J., &amp; </w:t>
      </w:r>
      <w:proofErr w:type="spellStart"/>
      <w:r w:rsidRPr="000E75CB">
        <w:t>Perron</w:t>
      </w:r>
      <w:proofErr w:type="spellEnd"/>
      <w:r w:rsidRPr="000E75CB">
        <w:t xml:space="preserve">, P. (2003). Computation and analysis of multiple structural change models. Journal of Applied Econometrics, 18(1), 1–22. </w:t>
      </w:r>
      <w:hyperlink r:id="rId11" w:history="1">
        <w:r w:rsidRPr="004D2A3B">
          <w:rPr>
            <w:rStyle w:val="Hyperlink"/>
          </w:rPr>
          <w:t>https://doi.org/10.1002/jae.659</w:t>
        </w:r>
      </w:hyperlink>
    </w:p>
    <w:p w14:paraId="5DAD7E89" w14:textId="0330772F" w:rsidR="000E75CB" w:rsidRDefault="000E75CB" w:rsidP="000E75CB">
      <w:pPr>
        <w:pStyle w:val="NormalWeb"/>
        <w:spacing w:line="360" w:lineRule="auto"/>
        <w:jc w:val="both"/>
      </w:pPr>
      <w:r w:rsidRPr="000E75CB">
        <w:t xml:space="preserve">Barro, R. J. (1974). Are government bonds net wealth? Journal of Political Economy, 82(6), 1095–1117. </w:t>
      </w:r>
      <w:hyperlink r:id="rId12" w:history="1">
        <w:r w:rsidRPr="004D2A3B">
          <w:rPr>
            <w:rStyle w:val="Hyperlink"/>
          </w:rPr>
          <w:t>https://doi.org/10.1086/260266</w:t>
        </w:r>
      </w:hyperlink>
    </w:p>
    <w:p w14:paraId="4E37DEF0" w14:textId="1F74F6DA" w:rsidR="000E75CB" w:rsidRDefault="000E75CB" w:rsidP="000E75CB">
      <w:pPr>
        <w:pStyle w:val="NormalWeb"/>
        <w:spacing w:line="360" w:lineRule="auto"/>
        <w:jc w:val="both"/>
      </w:pPr>
      <w:r w:rsidRPr="000E75CB">
        <w:t xml:space="preserve">Barro, R. J. (1989). The Ricardian approach to budget deficits. Journal of Economic Perspectives, 3(2), 37–54. </w:t>
      </w:r>
      <w:hyperlink r:id="rId13" w:history="1">
        <w:r w:rsidRPr="004D2A3B">
          <w:rPr>
            <w:rStyle w:val="Hyperlink"/>
          </w:rPr>
          <w:t>https://doi.org/10.1257/jep.3.2.37</w:t>
        </w:r>
      </w:hyperlink>
    </w:p>
    <w:p w14:paraId="5D112A65" w14:textId="44E0E208" w:rsidR="000E75CB" w:rsidRDefault="000E75CB" w:rsidP="000E75CB">
      <w:pPr>
        <w:pStyle w:val="NormalWeb"/>
        <w:spacing w:line="360" w:lineRule="auto"/>
        <w:jc w:val="both"/>
      </w:pPr>
      <w:r w:rsidRPr="000E75CB">
        <w:t xml:space="preserve">Blinder, A. S., &amp; Solow, R. M. (1973). Does fiscal policy matter? Journal of Public Economics, 2(4), 319–337. </w:t>
      </w:r>
      <w:hyperlink r:id="rId14" w:history="1">
        <w:r w:rsidRPr="004D2A3B">
          <w:rPr>
            <w:rStyle w:val="Hyperlink"/>
          </w:rPr>
          <w:t>https://doi.org/10.1016/0047-2727(73)90023-6</w:t>
        </w:r>
      </w:hyperlink>
    </w:p>
    <w:p w14:paraId="3716A6C0" w14:textId="06113454" w:rsidR="00A52A60" w:rsidRPr="005D7C35" w:rsidRDefault="00A52A60" w:rsidP="000E75CB">
      <w:pPr>
        <w:pStyle w:val="NormalWeb"/>
        <w:spacing w:line="360" w:lineRule="auto"/>
        <w:jc w:val="both"/>
      </w:pPr>
      <w:r w:rsidRPr="005D7C35">
        <w:t xml:space="preserve">Bose, S., &amp; </w:t>
      </w:r>
      <w:proofErr w:type="spellStart"/>
      <w:r w:rsidRPr="005D7C35">
        <w:t>Bhanumurthy</w:t>
      </w:r>
      <w:proofErr w:type="spellEnd"/>
      <w:r w:rsidRPr="005D7C35">
        <w:t xml:space="preserve">, N. R. (2015). Fiscal policy and economic growth: An empirical analysis of Indian states. </w:t>
      </w:r>
      <w:r w:rsidRPr="005D7C35">
        <w:rPr>
          <w:rStyle w:val="Emphasis"/>
        </w:rPr>
        <w:t>Economic and Political Weekly, 50</w:t>
      </w:r>
      <w:r w:rsidRPr="005D7C35">
        <w:t>(21), 41–47.</w:t>
      </w:r>
    </w:p>
    <w:p w14:paraId="26F37A45" w14:textId="39BC8CFA" w:rsidR="000E75CB" w:rsidRDefault="000E75CB" w:rsidP="000E75CB">
      <w:pPr>
        <w:pStyle w:val="NormalWeb"/>
        <w:spacing w:line="360" w:lineRule="auto"/>
        <w:jc w:val="both"/>
      </w:pPr>
      <w:proofErr w:type="spellStart"/>
      <w:r w:rsidRPr="000E75CB">
        <w:t>Buiter</w:t>
      </w:r>
      <w:proofErr w:type="spellEnd"/>
      <w:r w:rsidRPr="000E75CB">
        <w:t xml:space="preserve">, W. H., &amp; Patel, U. R. (2010). Fiscal Rules in India: Are They </w:t>
      </w:r>
      <w:proofErr w:type="gramStart"/>
      <w:r w:rsidRPr="000E75CB">
        <w:t>Effective?.</w:t>
      </w:r>
      <w:proofErr w:type="gramEnd"/>
      <w:r w:rsidRPr="000E75CB">
        <w:t xml:space="preserve"> NBER Working Papers. </w:t>
      </w:r>
      <w:hyperlink r:id="rId15" w:history="1">
        <w:r w:rsidRPr="004D2A3B">
          <w:rPr>
            <w:rStyle w:val="Hyperlink"/>
          </w:rPr>
          <w:t>http://www.nber.org/papers/w15934.pdf</w:t>
        </w:r>
      </w:hyperlink>
    </w:p>
    <w:p w14:paraId="207DDA02" w14:textId="019C3046" w:rsidR="000E75CB" w:rsidRDefault="000E75CB" w:rsidP="000E75CB">
      <w:pPr>
        <w:pStyle w:val="NormalWeb"/>
        <w:spacing w:line="360" w:lineRule="auto"/>
        <w:jc w:val="both"/>
      </w:pPr>
      <w:r w:rsidRPr="000E75CB">
        <w:t xml:space="preserve">Diamond, P. A. (1965). National debt in a neoclassical growth model. American Economic Review, 55(5), 1126–1150. </w:t>
      </w:r>
      <w:hyperlink r:id="rId16" w:history="1">
        <w:r w:rsidRPr="004D2A3B">
          <w:rPr>
            <w:rStyle w:val="Hyperlink"/>
          </w:rPr>
          <w:t>https://doi.org/10.2307/1809231</w:t>
        </w:r>
      </w:hyperlink>
    </w:p>
    <w:p w14:paraId="62D5F3A4" w14:textId="4FF2F242" w:rsidR="000E75CB" w:rsidRDefault="000E75CB" w:rsidP="000E75CB">
      <w:pPr>
        <w:pStyle w:val="NormalWeb"/>
        <w:spacing w:line="360" w:lineRule="auto"/>
        <w:jc w:val="both"/>
      </w:pPr>
      <w:r w:rsidRPr="000E75CB">
        <w:lastRenderedPageBreak/>
        <w:t xml:space="preserve">Dornbusch, R., &amp; Edwards, S. (1991). The macroeconomics of populism. In R. Dornbusch &amp; S. Edwards (Eds.), The macroeconomics of populism in Latin America (pp. 7–13). University of Chicago Press. </w:t>
      </w:r>
      <w:hyperlink r:id="rId17" w:history="1">
        <w:r w:rsidRPr="004D2A3B">
          <w:rPr>
            <w:rStyle w:val="Hyperlink"/>
          </w:rPr>
          <w:t>https://www.nber.org/chapters/c8295</w:t>
        </w:r>
      </w:hyperlink>
    </w:p>
    <w:p w14:paraId="20890C6B" w14:textId="1F1FDE03" w:rsidR="000E75CB" w:rsidRDefault="000E75CB" w:rsidP="000E75CB">
      <w:pPr>
        <w:pStyle w:val="NormalWeb"/>
        <w:spacing w:line="360" w:lineRule="auto"/>
        <w:jc w:val="both"/>
      </w:pPr>
      <w:r w:rsidRPr="000E75CB">
        <w:t xml:space="preserve">Easterly, W., &amp; </w:t>
      </w:r>
      <w:proofErr w:type="spellStart"/>
      <w:r w:rsidRPr="000E75CB">
        <w:t>Rebelo</w:t>
      </w:r>
      <w:proofErr w:type="spellEnd"/>
      <w:r w:rsidRPr="000E75CB">
        <w:t xml:space="preserve">, S. (1993). Fiscal policy and economic growth: An empirical investigation. Journal of Monetary Economics, 32(3), 417–458. </w:t>
      </w:r>
      <w:hyperlink r:id="rId18" w:history="1">
        <w:r w:rsidRPr="004D2A3B">
          <w:rPr>
            <w:rStyle w:val="Hyperlink"/>
          </w:rPr>
          <w:t>https://doi.org/10.1016/0304-3932(93)90025-B</w:t>
        </w:r>
      </w:hyperlink>
    </w:p>
    <w:p w14:paraId="7C48A7FD" w14:textId="6D75D944" w:rsidR="000E75CB" w:rsidRDefault="000E75CB" w:rsidP="000E75CB">
      <w:pPr>
        <w:pStyle w:val="NormalWeb"/>
        <w:spacing w:line="360" w:lineRule="auto"/>
        <w:jc w:val="both"/>
      </w:pPr>
      <w:r w:rsidRPr="000E75CB">
        <w:t xml:space="preserve">Elmendorf, D. W., &amp; Mankiw, N. G. (1999). Government debt. In J. B. Taylor &amp; M. Woodford (Eds.), Handbook of Macroeconomics (pp. 1615–1669). Elsevier. </w:t>
      </w:r>
      <w:hyperlink r:id="rId19" w:history="1">
        <w:r w:rsidRPr="004D2A3B">
          <w:rPr>
            <w:rStyle w:val="Hyperlink"/>
          </w:rPr>
          <w:t>https://doi.org/10.1016/S1574-0048(99)10038-7</w:t>
        </w:r>
      </w:hyperlink>
    </w:p>
    <w:p w14:paraId="35ABC800" w14:textId="238DFF3A" w:rsidR="000E75CB" w:rsidRPr="000E75CB" w:rsidRDefault="000E75CB" w:rsidP="000E75CB">
      <w:pPr>
        <w:spacing w:before="100" w:beforeAutospacing="1" w:after="100" w:afterAutospacing="1" w:line="360" w:lineRule="auto"/>
        <w:jc w:val="both"/>
        <w:rPr>
          <w:rFonts w:eastAsia="Times New Roman" w:cs="Times New Roman"/>
          <w:szCs w:val="24"/>
          <w:lang w:eastAsia="en-IN"/>
        </w:rPr>
      </w:pPr>
      <w:r w:rsidRPr="000E75CB">
        <w:rPr>
          <w:rFonts w:eastAsia="Times New Roman" w:cs="Times New Roman"/>
          <w:szCs w:val="24"/>
          <w:lang w:eastAsia="en-IN"/>
        </w:rPr>
        <w:t xml:space="preserve">Engen, E. M., &amp; Hubbard, R. G. (2004). Federal government debt and interest rates. NBER Macroeconomics Annual, 19, 83–138. </w:t>
      </w:r>
      <w:hyperlink r:id="rId20" w:history="1">
        <w:r w:rsidRPr="000E75CB">
          <w:rPr>
            <w:rStyle w:val="Hyperlink"/>
            <w:rFonts w:eastAsia="Times New Roman" w:cs="Times New Roman"/>
            <w:szCs w:val="24"/>
            <w:lang w:eastAsia="en-IN"/>
          </w:rPr>
          <w:t>https://doi.org/10.1086/ma.19.3585331</w:t>
        </w:r>
      </w:hyperlink>
    </w:p>
    <w:p w14:paraId="532BF59D" w14:textId="00308840" w:rsidR="000E75CB" w:rsidRDefault="000E75CB" w:rsidP="000E75CB">
      <w:pPr>
        <w:pStyle w:val="NormalWeb"/>
        <w:spacing w:line="360" w:lineRule="auto"/>
        <w:jc w:val="both"/>
      </w:pPr>
      <w:r w:rsidRPr="000E75CB">
        <w:t xml:space="preserve">Granger, C. W. J., &amp; Newbold, P. (1974). Spurious regressions in econometrics. Journal of Econometrics, 2(2), 111–120. </w:t>
      </w:r>
      <w:hyperlink r:id="rId21" w:history="1">
        <w:r w:rsidRPr="004D2A3B">
          <w:rPr>
            <w:rStyle w:val="Hyperlink"/>
          </w:rPr>
          <w:t>https://doi.org/10.1016/0304-4076(74)90034-7</w:t>
        </w:r>
      </w:hyperlink>
    </w:p>
    <w:p w14:paraId="1BC120F6" w14:textId="2787D07A" w:rsidR="000E75CB" w:rsidRDefault="000E75CB" w:rsidP="000E75CB">
      <w:pPr>
        <w:pStyle w:val="NormalWeb"/>
        <w:spacing w:line="360" w:lineRule="auto"/>
        <w:jc w:val="both"/>
      </w:pPr>
      <w:r w:rsidRPr="000E75CB">
        <w:rPr>
          <w:lang w:val="pt-BR"/>
        </w:rPr>
        <w:t xml:space="preserve">Gupta, S., Clements, B., Baldacci, E., &amp; Mulas-Granados, C. (2005). </w:t>
      </w:r>
      <w:r w:rsidRPr="000E75CB">
        <w:t xml:space="preserve">Fiscal policy, expenditure composition, and growth in low-income countries. Journal of International Money and Finance, 24(3), 441–463. </w:t>
      </w:r>
      <w:hyperlink r:id="rId22" w:history="1">
        <w:r w:rsidRPr="004D2A3B">
          <w:rPr>
            <w:rStyle w:val="Hyperlink"/>
          </w:rPr>
          <w:t>https://doi.org/10.1016/j.jimonfin.2005.01.004</w:t>
        </w:r>
      </w:hyperlink>
    </w:p>
    <w:p w14:paraId="343E4869" w14:textId="6B46F20F" w:rsidR="00A52A60" w:rsidRPr="005D7C35" w:rsidRDefault="00A52A60" w:rsidP="000E75CB">
      <w:pPr>
        <w:pStyle w:val="NormalWeb"/>
        <w:spacing w:line="360" w:lineRule="auto"/>
        <w:jc w:val="both"/>
      </w:pPr>
      <w:r w:rsidRPr="005D7C35">
        <w:t xml:space="preserve">Haider, A., &amp; Khan, S. (2008). Fiscal deficits and economic growth: The case of Pakistan. </w:t>
      </w:r>
      <w:r w:rsidRPr="005D7C35">
        <w:rPr>
          <w:rStyle w:val="Emphasis"/>
        </w:rPr>
        <w:t>Pakistan Development Review, 47</w:t>
      </w:r>
      <w:r w:rsidRPr="005D7C35">
        <w:t>(4), 105–118.</w:t>
      </w:r>
    </w:p>
    <w:p w14:paraId="074DD9BF" w14:textId="5F05E425" w:rsidR="000E75CB" w:rsidRDefault="000E75CB" w:rsidP="000E75CB">
      <w:pPr>
        <w:pStyle w:val="NormalWeb"/>
        <w:spacing w:line="360" w:lineRule="auto"/>
        <w:jc w:val="both"/>
      </w:pPr>
      <w:r w:rsidRPr="000E75CB">
        <w:t xml:space="preserve">Hossain, M. A. (1987). Impact of inflation on fiscal deficits in the Bangladesh economy. The Pakistan Development Review, 26(2), 179–200. </w:t>
      </w:r>
      <w:hyperlink r:id="rId23" w:history="1">
        <w:r w:rsidRPr="004D2A3B">
          <w:rPr>
            <w:rStyle w:val="Hyperlink"/>
          </w:rPr>
          <w:t>https://doi.org/10.30541/v26i2pp.179-200</w:t>
        </w:r>
      </w:hyperlink>
    </w:p>
    <w:p w14:paraId="6A3FE409" w14:textId="20B97F1A" w:rsidR="00A52A60" w:rsidRPr="005D7C35" w:rsidRDefault="00A52A60" w:rsidP="000E75CB">
      <w:pPr>
        <w:pStyle w:val="NormalWeb"/>
        <w:spacing w:line="360" w:lineRule="auto"/>
        <w:jc w:val="both"/>
      </w:pPr>
      <w:r w:rsidRPr="005D7C35">
        <w:t xml:space="preserve">Jain, R., &amp; Kumar, P. (2013). Fiscal deficit and economic growth in India: An analysis of the long-run relationship. </w:t>
      </w:r>
      <w:r w:rsidRPr="005D7C35">
        <w:rPr>
          <w:rStyle w:val="Emphasis"/>
        </w:rPr>
        <w:t>South Asia Economic Journal, 14</w:t>
      </w:r>
      <w:r w:rsidRPr="005D7C35">
        <w:t>(1), 61–75.</w:t>
      </w:r>
    </w:p>
    <w:p w14:paraId="1271A9E9" w14:textId="3A8A44F6" w:rsidR="000E75CB" w:rsidRDefault="000E75CB" w:rsidP="000E75CB">
      <w:pPr>
        <w:pStyle w:val="NormalWeb"/>
        <w:spacing w:line="360" w:lineRule="auto"/>
        <w:jc w:val="both"/>
      </w:pPr>
      <w:r w:rsidRPr="000E75CB">
        <w:t xml:space="preserve">Jain, R., &amp; Kumar, P. (2013). Size of government expenditure multipliers in India: A structural VAR analysis. Reserve Bank of India Working Paper Series, 07/2013. </w:t>
      </w:r>
      <w:hyperlink r:id="rId24" w:history="1">
        <w:r w:rsidRPr="004D2A3B">
          <w:rPr>
            <w:rStyle w:val="Hyperlink"/>
          </w:rPr>
          <w:t>https://rbi.org.in/scripts/PublicationsView.aspx?Id=15369</w:t>
        </w:r>
      </w:hyperlink>
    </w:p>
    <w:p w14:paraId="05FD1B26" w14:textId="395524CD" w:rsidR="000E75CB" w:rsidRPr="005D7C35" w:rsidRDefault="000E75CB" w:rsidP="000E75CB">
      <w:pPr>
        <w:pStyle w:val="NormalWeb"/>
        <w:spacing w:line="360" w:lineRule="auto"/>
        <w:jc w:val="both"/>
      </w:pPr>
      <w:r w:rsidRPr="005D7C35">
        <w:t xml:space="preserve">Keynes, J. M. (1936). </w:t>
      </w:r>
      <w:r w:rsidRPr="005D7C35">
        <w:rPr>
          <w:rStyle w:val="Emphasis"/>
        </w:rPr>
        <w:t>The General Theory of Employment, Interest and Money</w:t>
      </w:r>
      <w:r w:rsidRPr="005D7C35">
        <w:t>. Macmillan.</w:t>
      </w:r>
    </w:p>
    <w:p w14:paraId="39014C9C" w14:textId="19DB0B3B" w:rsidR="000E75CB" w:rsidRPr="000E75CB" w:rsidRDefault="000E75CB" w:rsidP="000E75CB">
      <w:pPr>
        <w:spacing w:before="100" w:beforeAutospacing="1" w:after="100" w:afterAutospacing="1" w:line="360" w:lineRule="auto"/>
        <w:jc w:val="both"/>
        <w:rPr>
          <w:rFonts w:eastAsia="Times New Roman" w:cs="Times New Roman"/>
          <w:szCs w:val="24"/>
          <w:lang w:eastAsia="en-IN"/>
        </w:rPr>
      </w:pPr>
      <w:r w:rsidRPr="000E75CB">
        <w:rPr>
          <w:rFonts w:eastAsia="Times New Roman" w:cs="Times New Roman"/>
          <w:szCs w:val="24"/>
          <w:lang w:eastAsia="en-IN"/>
        </w:rPr>
        <w:lastRenderedPageBreak/>
        <w:t xml:space="preserve">Kumar, M. S., &amp; Woo, J. (2015). Public debt and growth. </w:t>
      </w:r>
      <w:proofErr w:type="spellStart"/>
      <w:r w:rsidRPr="000E75CB">
        <w:rPr>
          <w:rFonts w:eastAsia="Times New Roman" w:cs="Times New Roman"/>
          <w:szCs w:val="24"/>
          <w:lang w:eastAsia="en-IN"/>
        </w:rPr>
        <w:t>Economica</w:t>
      </w:r>
      <w:proofErr w:type="spellEnd"/>
      <w:r w:rsidRPr="000E75CB">
        <w:rPr>
          <w:rFonts w:eastAsia="Times New Roman" w:cs="Times New Roman"/>
          <w:szCs w:val="24"/>
          <w:lang w:eastAsia="en-IN"/>
        </w:rPr>
        <w:t xml:space="preserve">, 82(328), 705–739. </w:t>
      </w:r>
      <w:hyperlink r:id="rId25" w:history="1">
        <w:r w:rsidRPr="000E75CB">
          <w:rPr>
            <w:rStyle w:val="Hyperlink"/>
            <w:rFonts w:eastAsia="Times New Roman" w:cs="Times New Roman"/>
            <w:szCs w:val="24"/>
            <w:lang w:eastAsia="en-IN"/>
          </w:rPr>
          <w:t>https://doi.org/10.1111/ecca.2015.82.issue-328</w:t>
        </w:r>
      </w:hyperlink>
    </w:p>
    <w:p w14:paraId="439D2616" w14:textId="09E3DC25" w:rsidR="000E75CB" w:rsidRDefault="000E75CB" w:rsidP="000E75CB">
      <w:pPr>
        <w:pStyle w:val="NormalWeb"/>
        <w:spacing w:line="360" w:lineRule="auto"/>
        <w:jc w:val="both"/>
      </w:pPr>
      <w:proofErr w:type="spellStart"/>
      <w:r w:rsidRPr="000E75CB">
        <w:t>Lütkepohl</w:t>
      </w:r>
      <w:proofErr w:type="spellEnd"/>
      <w:r w:rsidRPr="000E75CB">
        <w:t xml:space="preserve">, H. (2005). New introduction to multiple time series analysis. Springer. </w:t>
      </w:r>
      <w:hyperlink r:id="rId26" w:history="1">
        <w:r w:rsidRPr="004D2A3B">
          <w:rPr>
            <w:rStyle w:val="Hyperlink"/>
          </w:rPr>
          <w:t>https://doi.org/10.1007/978-3-540-27752-1</w:t>
        </w:r>
      </w:hyperlink>
    </w:p>
    <w:p w14:paraId="4F02EDD5" w14:textId="6650AE85" w:rsidR="000E75CB" w:rsidRDefault="000E75CB" w:rsidP="000E75CB">
      <w:pPr>
        <w:pStyle w:val="NormalWeb"/>
        <w:spacing w:line="360" w:lineRule="auto"/>
        <w:jc w:val="both"/>
      </w:pPr>
      <w:r w:rsidRPr="000E75CB">
        <w:t xml:space="preserve">Modigliani, F. (1961). Long-Run Implications of Alternative Fiscal Policies and the Burden of the National Debt. The Economic Journal, 71(284), 730–755. </w:t>
      </w:r>
      <w:hyperlink r:id="rId27" w:history="1">
        <w:r w:rsidRPr="004D2A3B">
          <w:rPr>
            <w:rStyle w:val="Hyperlink"/>
          </w:rPr>
          <w:t>https://doi.org/10.2307/2228247</w:t>
        </w:r>
      </w:hyperlink>
    </w:p>
    <w:p w14:paraId="43AB2A51" w14:textId="417C0CC6" w:rsidR="000E75CB" w:rsidRPr="005D7C35" w:rsidRDefault="000E75CB" w:rsidP="000E75CB">
      <w:pPr>
        <w:pStyle w:val="NormalWeb"/>
        <w:spacing w:line="360" w:lineRule="auto"/>
        <w:jc w:val="both"/>
      </w:pPr>
      <w:r w:rsidRPr="005D7C35">
        <w:t xml:space="preserve">Mohan, R. (2004). Fiscal challenges and policy response in India. </w:t>
      </w:r>
      <w:r w:rsidRPr="005D7C35">
        <w:rPr>
          <w:rStyle w:val="Emphasis"/>
        </w:rPr>
        <w:t>Economic and Political Weekly, 39</w:t>
      </w:r>
      <w:r w:rsidRPr="005D7C35">
        <w:t>(15), 1481–1487.</w:t>
      </w:r>
    </w:p>
    <w:p w14:paraId="1883324E" w14:textId="77777777" w:rsidR="000E75CB" w:rsidRPr="005D7C35" w:rsidRDefault="000E75CB" w:rsidP="000E75CB">
      <w:pPr>
        <w:pStyle w:val="NormalWeb"/>
        <w:spacing w:line="360" w:lineRule="auto"/>
        <w:jc w:val="both"/>
      </w:pPr>
      <w:r w:rsidRPr="005D7C35">
        <w:t xml:space="preserve">Mohanty, D., &amp; </w:t>
      </w:r>
      <w:proofErr w:type="spellStart"/>
      <w:r w:rsidRPr="005D7C35">
        <w:t>Misra</w:t>
      </w:r>
      <w:proofErr w:type="spellEnd"/>
      <w:r w:rsidRPr="005D7C35">
        <w:t xml:space="preserve">, S. (2016). Fiscal policy and growth: Evidence from India. </w:t>
      </w:r>
      <w:r w:rsidRPr="005D7C35">
        <w:rPr>
          <w:rStyle w:val="Emphasis"/>
        </w:rPr>
        <w:t>Reserve Bank of India Occasional Papers, 37</w:t>
      </w:r>
      <w:r w:rsidRPr="005D7C35">
        <w:t>(1-2), 31–54.</w:t>
      </w:r>
    </w:p>
    <w:p w14:paraId="161C22EC" w14:textId="5FAE36F1" w:rsidR="000E75CB" w:rsidRDefault="000E75CB" w:rsidP="000E75CB">
      <w:pPr>
        <w:pStyle w:val="NormalWeb"/>
        <w:spacing w:line="360" w:lineRule="auto"/>
        <w:jc w:val="both"/>
      </w:pPr>
      <w:r w:rsidRPr="000E75CB">
        <w:t xml:space="preserve">Narayan, P. K. (2005). The saving and investment nexus for China: Evidence from cointegration tests. Applied Economics, 37(17), 1979–1990. </w:t>
      </w:r>
      <w:hyperlink r:id="rId28" w:history="1">
        <w:r w:rsidRPr="004D2A3B">
          <w:rPr>
            <w:rStyle w:val="Hyperlink"/>
          </w:rPr>
          <w:t>https://doi.org/10.1080/00036840500278103</w:t>
        </w:r>
      </w:hyperlink>
    </w:p>
    <w:p w14:paraId="35783CC9" w14:textId="46573161" w:rsidR="000E75CB" w:rsidRPr="000E75CB" w:rsidRDefault="000E75CB" w:rsidP="000E75CB">
      <w:pPr>
        <w:spacing w:before="100" w:beforeAutospacing="1" w:after="100" w:afterAutospacing="1" w:line="360" w:lineRule="auto"/>
        <w:jc w:val="both"/>
        <w:rPr>
          <w:rFonts w:eastAsia="Times New Roman" w:cs="Times New Roman"/>
          <w:szCs w:val="24"/>
          <w:lang w:eastAsia="en-IN"/>
        </w:rPr>
      </w:pPr>
      <w:proofErr w:type="spellStart"/>
      <w:r w:rsidRPr="000E75CB">
        <w:rPr>
          <w:rFonts w:eastAsia="Times New Roman" w:cs="Times New Roman"/>
          <w:szCs w:val="24"/>
          <w:lang w:eastAsia="en-IN"/>
        </w:rPr>
        <w:t>Ndikumana</w:t>
      </w:r>
      <w:proofErr w:type="spellEnd"/>
      <w:r w:rsidRPr="000E75CB">
        <w:rPr>
          <w:rFonts w:eastAsia="Times New Roman" w:cs="Times New Roman"/>
          <w:szCs w:val="24"/>
          <w:lang w:eastAsia="en-IN"/>
        </w:rPr>
        <w:t xml:space="preserve">, L., &amp; </w:t>
      </w:r>
      <w:proofErr w:type="spellStart"/>
      <w:r w:rsidRPr="000E75CB">
        <w:rPr>
          <w:rFonts w:eastAsia="Times New Roman" w:cs="Times New Roman"/>
          <w:szCs w:val="24"/>
          <w:lang w:eastAsia="en-IN"/>
        </w:rPr>
        <w:t>Mannah</w:t>
      </w:r>
      <w:proofErr w:type="spellEnd"/>
      <w:r w:rsidRPr="000E75CB">
        <w:rPr>
          <w:rFonts w:eastAsia="Times New Roman" w:cs="Times New Roman"/>
          <w:szCs w:val="24"/>
          <w:lang w:eastAsia="en-IN"/>
        </w:rPr>
        <w:t xml:space="preserve">-Blankson, T. (2015). Financing domestic investment in African countries: Does the source of financing matter? Journal of African Development. </w:t>
      </w:r>
      <w:hyperlink r:id="rId29" w:history="1">
        <w:r w:rsidRPr="000E75CB">
          <w:rPr>
            <w:rStyle w:val="Hyperlink"/>
            <w:rFonts w:eastAsia="Times New Roman" w:cs="Times New Roman"/>
            <w:szCs w:val="24"/>
            <w:lang w:eastAsia="en-IN"/>
          </w:rPr>
          <w:t>https://EconPapers.repec.org/RePEc:afe:journl:v:17:y:2015:i:2:p:19-48</w:t>
        </w:r>
      </w:hyperlink>
    </w:p>
    <w:p w14:paraId="47FA00BA" w14:textId="2521DB11" w:rsidR="000E75CB" w:rsidRPr="000E75CB" w:rsidRDefault="000E75CB" w:rsidP="000E75CB">
      <w:pPr>
        <w:spacing w:before="100" w:beforeAutospacing="1" w:after="100" w:afterAutospacing="1" w:line="360" w:lineRule="auto"/>
        <w:jc w:val="both"/>
        <w:rPr>
          <w:rFonts w:eastAsia="Times New Roman" w:cs="Times New Roman"/>
          <w:szCs w:val="24"/>
          <w:lang w:eastAsia="en-IN"/>
        </w:rPr>
      </w:pPr>
      <w:proofErr w:type="spellStart"/>
      <w:r w:rsidRPr="000E75CB">
        <w:rPr>
          <w:rFonts w:eastAsia="Times New Roman" w:cs="Times New Roman"/>
          <w:szCs w:val="24"/>
          <w:lang w:eastAsia="en-IN"/>
        </w:rPr>
        <w:t>Pesaran</w:t>
      </w:r>
      <w:proofErr w:type="spellEnd"/>
      <w:r w:rsidRPr="000E75CB">
        <w:rPr>
          <w:rFonts w:eastAsia="Times New Roman" w:cs="Times New Roman"/>
          <w:szCs w:val="24"/>
          <w:lang w:eastAsia="en-IN"/>
        </w:rPr>
        <w:t xml:space="preserve">, M. H., Shin, Y., &amp; Smith, R. J. (2001). Bounds testing approaches to the analysis of level relationships. Journal of Applied Econometrics, 16(3), 289–326. </w:t>
      </w:r>
      <w:hyperlink r:id="rId30" w:history="1">
        <w:r w:rsidRPr="000E75CB">
          <w:rPr>
            <w:rStyle w:val="Hyperlink"/>
            <w:rFonts w:eastAsia="Times New Roman" w:cs="Times New Roman"/>
            <w:szCs w:val="24"/>
            <w:lang w:eastAsia="en-IN"/>
          </w:rPr>
          <w:t>https://doi.org/10.1002/jae.616</w:t>
        </w:r>
      </w:hyperlink>
    </w:p>
    <w:p w14:paraId="5E56FB33" w14:textId="1EB891CC" w:rsidR="000E75CB" w:rsidRDefault="000E75CB" w:rsidP="000E75CB">
      <w:pPr>
        <w:pStyle w:val="NormalWeb"/>
        <w:spacing w:line="360" w:lineRule="auto"/>
        <w:jc w:val="both"/>
      </w:pPr>
      <w:r w:rsidRPr="000E75CB">
        <w:t xml:space="preserve">Phillips, P. C. B., &amp; </w:t>
      </w:r>
      <w:proofErr w:type="spellStart"/>
      <w:r w:rsidRPr="000E75CB">
        <w:t>Perron</w:t>
      </w:r>
      <w:proofErr w:type="spellEnd"/>
      <w:r w:rsidRPr="000E75CB">
        <w:t xml:space="preserve">, P. (1988). Testing for a unit root in time series regression. </w:t>
      </w:r>
      <w:proofErr w:type="spellStart"/>
      <w:r w:rsidRPr="000E75CB">
        <w:t>Biometrika</w:t>
      </w:r>
      <w:proofErr w:type="spellEnd"/>
      <w:r w:rsidRPr="000E75CB">
        <w:t xml:space="preserve">, 75(2), 335–346. </w:t>
      </w:r>
      <w:hyperlink r:id="rId31" w:history="1">
        <w:r w:rsidRPr="004D2A3B">
          <w:rPr>
            <w:rStyle w:val="Hyperlink"/>
          </w:rPr>
          <w:t>https://doi.org/10.1093/biomet/75.2.335</w:t>
        </w:r>
      </w:hyperlink>
    </w:p>
    <w:p w14:paraId="10788DD8" w14:textId="2DCDEDE4" w:rsidR="000E75CB" w:rsidRDefault="000E75CB" w:rsidP="000E75CB">
      <w:pPr>
        <w:pStyle w:val="NormalWeb"/>
        <w:spacing w:line="360" w:lineRule="auto"/>
        <w:jc w:val="both"/>
      </w:pPr>
      <w:r w:rsidRPr="000E75CB">
        <w:rPr>
          <w:lang w:val="pt-BR"/>
        </w:rPr>
        <w:t xml:space="preserve">Rangarajan, C., &amp; Srivastava, D. K. (2005). </w:t>
      </w:r>
      <w:r w:rsidRPr="000E75CB">
        <w:t xml:space="preserve">Fiscal deficits and government debt in India: Implications for growth and stabilisation. Economic and Political Weekly, 40(27), 2919–2934. </w:t>
      </w:r>
      <w:hyperlink r:id="rId32" w:history="1">
        <w:r w:rsidRPr="004D2A3B">
          <w:rPr>
            <w:rStyle w:val="Hyperlink"/>
          </w:rPr>
          <w:t>https://doi.org/10.2307/4416847</w:t>
        </w:r>
      </w:hyperlink>
    </w:p>
    <w:p w14:paraId="00A62609" w14:textId="1291BE7C" w:rsidR="000E75CB" w:rsidRDefault="000E75CB" w:rsidP="000E75CB">
      <w:pPr>
        <w:pStyle w:val="NormalWeb"/>
        <w:spacing w:line="360" w:lineRule="auto"/>
        <w:jc w:val="both"/>
      </w:pPr>
      <w:r w:rsidRPr="000E75CB">
        <w:t xml:space="preserve">Reinhart, C. M., &amp; Rogoff, K. S. (2010). Growth in a time of debt. American Economic Review, 100(2), 573–578. </w:t>
      </w:r>
      <w:hyperlink r:id="rId33" w:history="1">
        <w:r w:rsidRPr="004D2A3B">
          <w:rPr>
            <w:rStyle w:val="Hyperlink"/>
          </w:rPr>
          <w:t>https://doi.org/10.1257/aer.100.2.573</w:t>
        </w:r>
      </w:hyperlink>
    </w:p>
    <w:p w14:paraId="45232D48" w14:textId="69A88293" w:rsidR="00A52A60" w:rsidRPr="005D7C35" w:rsidRDefault="00A52A60" w:rsidP="000E75CB">
      <w:pPr>
        <w:pStyle w:val="NormalWeb"/>
        <w:spacing w:line="360" w:lineRule="auto"/>
        <w:jc w:val="both"/>
      </w:pPr>
      <w:r w:rsidRPr="005D7C35">
        <w:lastRenderedPageBreak/>
        <w:t xml:space="preserve">Reserve Bank of India. (2019). </w:t>
      </w:r>
      <w:r w:rsidRPr="005D7C35">
        <w:rPr>
          <w:rStyle w:val="Emphasis"/>
        </w:rPr>
        <w:t>Report on Currency and Finance 2018–19</w:t>
      </w:r>
      <w:r w:rsidRPr="005D7C35">
        <w:t>. RBI.</w:t>
      </w:r>
    </w:p>
    <w:p w14:paraId="6B25F38C" w14:textId="7DBEE737" w:rsidR="000E75CB" w:rsidRDefault="000E75CB" w:rsidP="000E75CB">
      <w:pPr>
        <w:pStyle w:val="NormalWeb"/>
        <w:spacing w:line="360" w:lineRule="auto"/>
        <w:jc w:val="both"/>
      </w:pPr>
      <w:proofErr w:type="spellStart"/>
      <w:r w:rsidRPr="000E75CB">
        <w:t>Tanzi</w:t>
      </w:r>
      <w:proofErr w:type="spellEnd"/>
      <w:r w:rsidRPr="000E75CB">
        <w:t xml:space="preserve">, V., &amp; </w:t>
      </w:r>
      <w:proofErr w:type="spellStart"/>
      <w:r w:rsidRPr="000E75CB">
        <w:t>Davoodi</w:t>
      </w:r>
      <w:proofErr w:type="spellEnd"/>
      <w:r w:rsidRPr="000E75CB">
        <w:t xml:space="preserve">, H. (1997). Corruption, public investment, and growth. IMF Working Paper 97/139. </w:t>
      </w:r>
      <w:hyperlink r:id="rId34" w:history="1">
        <w:r w:rsidRPr="004D2A3B">
          <w:rPr>
            <w:rStyle w:val="Hyperlink"/>
          </w:rPr>
          <w:t>https://www.imf.org/external/pubs/ft/wp/wp97139.pdfc</w:t>
        </w:r>
      </w:hyperlink>
    </w:p>
    <w:p w14:paraId="026747AF" w14:textId="3A221A74" w:rsidR="000E75CB" w:rsidRDefault="000E75CB" w:rsidP="000E75CB">
      <w:pPr>
        <w:pStyle w:val="NormalWeb"/>
        <w:spacing w:line="360" w:lineRule="auto"/>
        <w:jc w:val="both"/>
      </w:pPr>
      <w:r w:rsidRPr="000E75CB">
        <w:t xml:space="preserve">Woo, J., &amp; Kumar, M. S. (2015). Public debt and growth. </w:t>
      </w:r>
      <w:proofErr w:type="spellStart"/>
      <w:r w:rsidRPr="000E75CB">
        <w:t>Economica</w:t>
      </w:r>
      <w:proofErr w:type="spellEnd"/>
      <w:r w:rsidRPr="000E75CB">
        <w:t xml:space="preserve">, 82(328), 705–739. </w:t>
      </w:r>
      <w:hyperlink r:id="rId35" w:history="1">
        <w:r w:rsidRPr="004D2A3B">
          <w:rPr>
            <w:rStyle w:val="Hyperlink"/>
          </w:rPr>
          <w:t>https://doi.org/10.1111/ecca.12138</w:t>
        </w:r>
      </w:hyperlink>
    </w:p>
    <w:p w14:paraId="6F1B5099" w14:textId="6C2147F9" w:rsidR="00B247CB" w:rsidRDefault="000E75CB" w:rsidP="000E75CB">
      <w:pPr>
        <w:spacing w:line="360" w:lineRule="auto"/>
        <w:jc w:val="both"/>
        <w:rPr>
          <w:rFonts w:eastAsia="Times New Roman" w:cs="Times New Roman"/>
          <w:szCs w:val="24"/>
          <w:lang w:eastAsia="en-IN"/>
        </w:rPr>
      </w:pPr>
      <w:r w:rsidRPr="000E75CB">
        <w:rPr>
          <w:rFonts w:eastAsia="Times New Roman" w:cs="Times New Roman"/>
          <w:szCs w:val="24"/>
          <w:lang w:eastAsia="en-IN"/>
        </w:rPr>
        <w:t xml:space="preserve">Woo, J., &amp; Kumar, M. S. (2015). Public Debt and Growth. </w:t>
      </w:r>
      <w:proofErr w:type="spellStart"/>
      <w:r w:rsidRPr="000E75CB">
        <w:rPr>
          <w:rFonts w:eastAsia="Times New Roman" w:cs="Times New Roman"/>
          <w:szCs w:val="24"/>
          <w:lang w:eastAsia="en-IN"/>
        </w:rPr>
        <w:t>Economica</w:t>
      </w:r>
      <w:proofErr w:type="spellEnd"/>
      <w:r w:rsidRPr="000E75CB">
        <w:rPr>
          <w:rFonts w:eastAsia="Times New Roman" w:cs="Times New Roman"/>
          <w:szCs w:val="24"/>
          <w:lang w:eastAsia="en-IN"/>
        </w:rPr>
        <w:t xml:space="preserve">, 82(328), 705–739. </w:t>
      </w:r>
      <w:hyperlink r:id="rId36" w:history="1">
        <w:r w:rsidRPr="004D2A3B">
          <w:rPr>
            <w:rStyle w:val="Hyperlink"/>
            <w:rFonts w:eastAsia="Times New Roman" w:cs="Times New Roman"/>
            <w:szCs w:val="24"/>
            <w:lang w:eastAsia="en-IN"/>
          </w:rPr>
          <w:t>https://doi.org/10.1111/ecca.12138</w:t>
        </w:r>
      </w:hyperlink>
    </w:p>
    <w:p w14:paraId="1FA1303C" w14:textId="77777777" w:rsidR="000E75CB" w:rsidRPr="005D7C35" w:rsidRDefault="000E75CB" w:rsidP="009E201F">
      <w:pPr>
        <w:spacing w:line="360" w:lineRule="auto"/>
        <w:jc w:val="both"/>
        <w:rPr>
          <w:rFonts w:cs="Times New Roman"/>
          <w:szCs w:val="24"/>
        </w:rPr>
      </w:pPr>
    </w:p>
    <w:sectPr w:rsidR="000E75CB" w:rsidRPr="005D7C35">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7E50" w14:textId="77777777" w:rsidR="006D6408" w:rsidRDefault="006D6408" w:rsidP="0094187D">
      <w:pPr>
        <w:spacing w:after="0" w:line="240" w:lineRule="auto"/>
      </w:pPr>
      <w:r>
        <w:separator/>
      </w:r>
    </w:p>
  </w:endnote>
  <w:endnote w:type="continuationSeparator" w:id="0">
    <w:p w14:paraId="6F387AF1" w14:textId="77777777" w:rsidR="006D6408" w:rsidRDefault="006D6408" w:rsidP="0094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D8AB" w14:textId="77777777" w:rsidR="0094187D" w:rsidRDefault="00941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97A4A" w14:textId="77777777" w:rsidR="0094187D" w:rsidRDefault="00941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D455" w14:textId="77777777" w:rsidR="0094187D" w:rsidRDefault="0094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5052E" w14:textId="77777777" w:rsidR="006D6408" w:rsidRDefault="006D6408" w:rsidP="0094187D">
      <w:pPr>
        <w:spacing w:after="0" w:line="240" w:lineRule="auto"/>
      </w:pPr>
      <w:r>
        <w:separator/>
      </w:r>
    </w:p>
  </w:footnote>
  <w:footnote w:type="continuationSeparator" w:id="0">
    <w:p w14:paraId="5F38C7D5" w14:textId="77777777" w:rsidR="006D6408" w:rsidRDefault="006D6408" w:rsidP="0094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1CE2" w14:textId="6DCEBA14" w:rsidR="0094187D" w:rsidRDefault="0094187D">
    <w:pPr>
      <w:pStyle w:val="Header"/>
    </w:pPr>
    <w:r>
      <w:rPr>
        <w:noProof/>
      </w:rPr>
      <w:pict w14:anchorId="3CED1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61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D841" w14:textId="69EF6E16" w:rsidR="0094187D" w:rsidRDefault="0094187D">
    <w:pPr>
      <w:pStyle w:val="Header"/>
    </w:pPr>
    <w:r>
      <w:rPr>
        <w:noProof/>
      </w:rPr>
      <w:pict w14:anchorId="0A689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61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EA53" w14:textId="37D1CFB7" w:rsidR="0094187D" w:rsidRDefault="0094187D">
    <w:pPr>
      <w:pStyle w:val="Header"/>
    </w:pPr>
    <w:r>
      <w:rPr>
        <w:noProof/>
      </w:rPr>
      <w:pict w14:anchorId="41F38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61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405"/>
    <w:multiLevelType w:val="hybridMultilevel"/>
    <w:tmpl w:val="1D5A6D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0B76E1"/>
    <w:multiLevelType w:val="multilevel"/>
    <w:tmpl w:val="D12C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9311A3"/>
    <w:multiLevelType w:val="multilevel"/>
    <w:tmpl w:val="B822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18"/>
    <w:rsid w:val="00050A69"/>
    <w:rsid w:val="00084E47"/>
    <w:rsid w:val="000C1BBC"/>
    <w:rsid w:val="000C5235"/>
    <w:rsid w:val="000E0537"/>
    <w:rsid w:val="000E75CB"/>
    <w:rsid w:val="000F49A5"/>
    <w:rsid w:val="000F5D84"/>
    <w:rsid w:val="001A5787"/>
    <w:rsid w:val="0021059E"/>
    <w:rsid w:val="002803BA"/>
    <w:rsid w:val="002A60B3"/>
    <w:rsid w:val="002B3C9F"/>
    <w:rsid w:val="002D0433"/>
    <w:rsid w:val="002D0B6D"/>
    <w:rsid w:val="00333FEA"/>
    <w:rsid w:val="00385128"/>
    <w:rsid w:val="00394C65"/>
    <w:rsid w:val="003A273A"/>
    <w:rsid w:val="003B1266"/>
    <w:rsid w:val="003B541C"/>
    <w:rsid w:val="003C24B2"/>
    <w:rsid w:val="00403918"/>
    <w:rsid w:val="004277D9"/>
    <w:rsid w:val="00427B0B"/>
    <w:rsid w:val="00450119"/>
    <w:rsid w:val="00480927"/>
    <w:rsid w:val="0048578A"/>
    <w:rsid w:val="00486E84"/>
    <w:rsid w:val="004948B1"/>
    <w:rsid w:val="004A137C"/>
    <w:rsid w:val="004B0D52"/>
    <w:rsid w:val="004C1A63"/>
    <w:rsid w:val="004F7725"/>
    <w:rsid w:val="005153C1"/>
    <w:rsid w:val="005302AF"/>
    <w:rsid w:val="00541069"/>
    <w:rsid w:val="0056290B"/>
    <w:rsid w:val="0057280A"/>
    <w:rsid w:val="005D0942"/>
    <w:rsid w:val="005D7C35"/>
    <w:rsid w:val="005E2EB2"/>
    <w:rsid w:val="00603C09"/>
    <w:rsid w:val="006116AA"/>
    <w:rsid w:val="00634F56"/>
    <w:rsid w:val="0067349B"/>
    <w:rsid w:val="006A5B41"/>
    <w:rsid w:val="006B0B7D"/>
    <w:rsid w:val="006D6408"/>
    <w:rsid w:val="006E7D3B"/>
    <w:rsid w:val="006F588A"/>
    <w:rsid w:val="00700BED"/>
    <w:rsid w:val="00716BED"/>
    <w:rsid w:val="00724D4C"/>
    <w:rsid w:val="007569D2"/>
    <w:rsid w:val="007A6A24"/>
    <w:rsid w:val="007B0320"/>
    <w:rsid w:val="007F1B79"/>
    <w:rsid w:val="007F56AD"/>
    <w:rsid w:val="0080321E"/>
    <w:rsid w:val="008814FC"/>
    <w:rsid w:val="0088625B"/>
    <w:rsid w:val="00890ECB"/>
    <w:rsid w:val="00895840"/>
    <w:rsid w:val="00895AD6"/>
    <w:rsid w:val="009025A8"/>
    <w:rsid w:val="0094187D"/>
    <w:rsid w:val="00963D6B"/>
    <w:rsid w:val="00971F45"/>
    <w:rsid w:val="009C5557"/>
    <w:rsid w:val="009E201F"/>
    <w:rsid w:val="00A1310F"/>
    <w:rsid w:val="00A16B46"/>
    <w:rsid w:val="00A40100"/>
    <w:rsid w:val="00A52A60"/>
    <w:rsid w:val="00A868E6"/>
    <w:rsid w:val="00A916FF"/>
    <w:rsid w:val="00A92304"/>
    <w:rsid w:val="00A9417F"/>
    <w:rsid w:val="00AA5A28"/>
    <w:rsid w:val="00AE6855"/>
    <w:rsid w:val="00B247CB"/>
    <w:rsid w:val="00B3362E"/>
    <w:rsid w:val="00B36ED0"/>
    <w:rsid w:val="00B41C7B"/>
    <w:rsid w:val="00B44F72"/>
    <w:rsid w:val="00B71825"/>
    <w:rsid w:val="00B81408"/>
    <w:rsid w:val="00B908A1"/>
    <w:rsid w:val="00BA2E4A"/>
    <w:rsid w:val="00BA728E"/>
    <w:rsid w:val="00BD6322"/>
    <w:rsid w:val="00C357A0"/>
    <w:rsid w:val="00C77E49"/>
    <w:rsid w:val="00CB0A0F"/>
    <w:rsid w:val="00CC3816"/>
    <w:rsid w:val="00CD3E44"/>
    <w:rsid w:val="00CE0661"/>
    <w:rsid w:val="00D01B77"/>
    <w:rsid w:val="00D22FE3"/>
    <w:rsid w:val="00D45A52"/>
    <w:rsid w:val="00DB5FA5"/>
    <w:rsid w:val="00DC258F"/>
    <w:rsid w:val="00DD3CA7"/>
    <w:rsid w:val="00DF3CDC"/>
    <w:rsid w:val="00E669F6"/>
    <w:rsid w:val="00E93F0D"/>
    <w:rsid w:val="00EE13A0"/>
    <w:rsid w:val="00EF0644"/>
    <w:rsid w:val="00F06524"/>
    <w:rsid w:val="00FF6E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9F24CF"/>
  <w15:chartTrackingRefBased/>
  <w15:docId w15:val="{CAB058FD-F951-45B1-A7B0-E86C13FD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362E"/>
    <w:pPr>
      <w:spacing w:before="100" w:beforeAutospacing="1" w:after="100" w:afterAutospacing="1" w:line="240" w:lineRule="auto"/>
      <w:outlineLvl w:val="0"/>
    </w:pPr>
    <w:rPr>
      <w:rFonts w:eastAsia="Times New Roman" w:cs="Times New Roman"/>
      <w:b/>
      <w:bCs/>
      <w:kern w:val="36"/>
      <w:sz w:val="48"/>
      <w:szCs w:val="48"/>
      <w:lang w:eastAsia="en-IN"/>
    </w:rPr>
  </w:style>
  <w:style w:type="paragraph" w:styleId="Heading3">
    <w:name w:val="heading 3"/>
    <w:basedOn w:val="Normal"/>
    <w:next w:val="Normal"/>
    <w:link w:val="Heading3Char"/>
    <w:uiPriority w:val="9"/>
    <w:unhideWhenUsed/>
    <w:qFormat/>
    <w:rsid w:val="005E2EB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62E"/>
    <w:rPr>
      <w:rFonts w:eastAsia="Times New Roman" w:cs="Times New Roman"/>
      <w:b/>
      <w:bCs/>
      <w:kern w:val="36"/>
      <w:sz w:val="48"/>
      <w:szCs w:val="48"/>
      <w:lang w:eastAsia="en-IN"/>
    </w:rPr>
  </w:style>
  <w:style w:type="character" w:styleId="Strong">
    <w:name w:val="Strong"/>
    <w:basedOn w:val="DefaultParagraphFont"/>
    <w:uiPriority w:val="22"/>
    <w:qFormat/>
    <w:rsid w:val="00B3362E"/>
    <w:rPr>
      <w:b/>
      <w:bCs/>
    </w:rPr>
  </w:style>
  <w:style w:type="paragraph" w:styleId="NormalWeb">
    <w:name w:val="Normal (Web)"/>
    <w:basedOn w:val="Normal"/>
    <w:uiPriority w:val="99"/>
    <w:unhideWhenUsed/>
    <w:rsid w:val="00B3362E"/>
    <w:pPr>
      <w:spacing w:before="100" w:beforeAutospacing="1" w:after="100" w:afterAutospacing="1" w:line="240" w:lineRule="auto"/>
    </w:pPr>
    <w:rPr>
      <w:rFonts w:eastAsia="Times New Roman" w:cs="Times New Roman"/>
      <w:szCs w:val="24"/>
      <w:lang w:eastAsia="en-IN"/>
    </w:rPr>
  </w:style>
  <w:style w:type="character" w:customStyle="1" w:styleId="Heading3Char">
    <w:name w:val="Heading 3 Char"/>
    <w:basedOn w:val="DefaultParagraphFont"/>
    <w:link w:val="Heading3"/>
    <w:uiPriority w:val="9"/>
    <w:rsid w:val="005E2EB2"/>
    <w:rPr>
      <w:rFonts w:asciiTheme="majorHAnsi" w:eastAsiaTheme="majorEastAsia" w:hAnsiTheme="majorHAnsi" w:cstheme="majorBidi"/>
      <w:color w:val="1F4D78" w:themeColor="accent1" w:themeShade="7F"/>
      <w:szCs w:val="24"/>
    </w:rPr>
  </w:style>
  <w:style w:type="character" w:styleId="Emphasis">
    <w:name w:val="Emphasis"/>
    <w:basedOn w:val="DefaultParagraphFont"/>
    <w:uiPriority w:val="20"/>
    <w:qFormat/>
    <w:rsid w:val="005E2EB2"/>
    <w:rPr>
      <w:i/>
      <w:iCs/>
    </w:rPr>
  </w:style>
  <w:style w:type="character" w:customStyle="1" w:styleId="katex-mathml">
    <w:name w:val="katex-mathml"/>
    <w:basedOn w:val="DefaultParagraphFont"/>
    <w:rsid w:val="000F5D84"/>
  </w:style>
  <w:style w:type="character" w:customStyle="1" w:styleId="mord">
    <w:name w:val="mord"/>
    <w:basedOn w:val="DefaultParagraphFont"/>
    <w:rsid w:val="000F5D84"/>
  </w:style>
  <w:style w:type="character" w:customStyle="1" w:styleId="vlist-s">
    <w:name w:val="vlist-s"/>
    <w:basedOn w:val="DefaultParagraphFont"/>
    <w:rsid w:val="000F5D84"/>
  </w:style>
  <w:style w:type="character" w:customStyle="1" w:styleId="mrel">
    <w:name w:val="mrel"/>
    <w:basedOn w:val="DefaultParagraphFont"/>
    <w:rsid w:val="000F5D84"/>
  </w:style>
  <w:style w:type="character" w:customStyle="1" w:styleId="mbin">
    <w:name w:val="mbin"/>
    <w:basedOn w:val="DefaultParagraphFont"/>
    <w:rsid w:val="000F5D84"/>
  </w:style>
  <w:style w:type="character" w:customStyle="1" w:styleId="mop">
    <w:name w:val="mop"/>
    <w:basedOn w:val="DefaultParagraphFont"/>
    <w:rsid w:val="000F5D84"/>
  </w:style>
  <w:style w:type="character" w:customStyle="1" w:styleId="mopen">
    <w:name w:val="mopen"/>
    <w:basedOn w:val="DefaultParagraphFont"/>
    <w:rsid w:val="000F5D84"/>
  </w:style>
  <w:style w:type="character" w:customStyle="1" w:styleId="mclose">
    <w:name w:val="mclose"/>
    <w:basedOn w:val="DefaultParagraphFont"/>
    <w:rsid w:val="000F5D84"/>
  </w:style>
  <w:style w:type="character" w:customStyle="1" w:styleId="minner">
    <w:name w:val="minner"/>
    <w:basedOn w:val="DefaultParagraphFont"/>
    <w:rsid w:val="000F5D84"/>
  </w:style>
  <w:style w:type="character" w:customStyle="1" w:styleId="delimsizing">
    <w:name w:val="delimsizing"/>
    <w:basedOn w:val="DefaultParagraphFont"/>
    <w:rsid w:val="000F5D84"/>
  </w:style>
  <w:style w:type="character" w:customStyle="1" w:styleId="mpunct">
    <w:name w:val="mpunct"/>
    <w:basedOn w:val="DefaultParagraphFont"/>
    <w:rsid w:val="000F5D84"/>
  </w:style>
  <w:style w:type="character" w:styleId="PlaceholderText">
    <w:name w:val="Placeholder Text"/>
    <w:basedOn w:val="DefaultParagraphFont"/>
    <w:uiPriority w:val="99"/>
    <w:semiHidden/>
    <w:rsid w:val="000E0537"/>
    <w:rPr>
      <w:color w:val="808080"/>
    </w:rPr>
  </w:style>
  <w:style w:type="character" w:styleId="Hyperlink">
    <w:name w:val="Hyperlink"/>
    <w:basedOn w:val="DefaultParagraphFont"/>
    <w:uiPriority w:val="99"/>
    <w:unhideWhenUsed/>
    <w:rsid w:val="004B0D52"/>
    <w:rPr>
      <w:color w:val="0563C1" w:themeColor="hyperlink"/>
      <w:u w:val="single"/>
    </w:rPr>
  </w:style>
  <w:style w:type="character" w:styleId="FollowedHyperlink">
    <w:name w:val="FollowedHyperlink"/>
    <w:basedOn w:val="DefaultParagraphFont"/>
    <w:uiPriority w:val="99"/>
    <w:semiHidden/>
    <w:unhideWhenUsed/>
    <w:rsid w:val="004B0D52"/>
    <w:rPr>
      <w:color w:val="954F72" w:themeColor="followedHyperlink"/>
      <w:u w:val="single"/>
    </w:rPr>
  </w:style>
  <w:style w:type="character" w:styleId="UnresolvedMention">
    <w:name w:val="Unresolved Mention"/>
    <w:basedOn w:val="DefaultParagraphFont"/>
    <w:uiPriority w:val="99"/>
    <w:semiHidden/>
    <w:unhideWhenUsed/>
    <w:rsid w:val="004A137C"/>
    <w:rPr>
      <w:color w:val="605E5C"/>
      <w:shd w:val="clear" w:color="auto" w:fill="E1DFDD"/>
    </w:rPr>
  </w:style>
  <w:style w:type="paragraph" w:styleId="ListParagraph">
    <w:name w:val="List Paragraph"/>
    <w:basedOn w:val="Normal"/>
    <w:uiPriority w:val="34"/>
    <w:qFormat/>
    <w:rsid w:val="00BA728E"/>
    <w:pPr>
      <w:ind w:left="720"/>
      <w:contextualSpacing/>
    </w:pPr>
  </w:style>
  <w:style w:type="paragraph" w:styleId="Header">
    <w:name w:val="header"/>
    <w:basedOn w:val="Normal"/>
    <w:link w:val="HeaderChar"/>
    <w:uiPriority w:val="99"/>
    <w:unhideWhenUsed/>
    <w:rsid w:val="00941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7D"/>
  </w:style>
  <w:style w:type="paragraph" w:styleId="Footer">
    <w:name w:val="footer"/>
    <w:basedOn w:val="Normal"/>
    <w:link w:val="FooterChar"/>
    <w:uiPriority w:val="99"/>
    <w:unhideWhenUsed/>
    <w:rsid w:val="00941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7818">
      <w:bodyDiv w:val="1"/>
      <w:marLeft w:val="0"/>
      <w:marRight w:val="0"/>
      <w:marTop w:val="0"/>
      <w:marBottom w:val="0"/>
      <w:divBdr>
        <w:top w:val="none" w:sz="0" w:space="0" w:color="auto"/>
        <w:left w:val="none" w:sz="0" w:space="0" w:color="auto"/>
        <w:bottom w:val="none" w:sz="0" w:space="0" w:color="auto"/>
        <w:right w:val="none" w:sz="0" w:space="0" w:color="auto"/>
      </w:divBdr>
    </w:div>
    <w:div w:id="83427715">
      <w:bodyDiv w:val="1"/>
      <w:marLeft w:val="0"/>
      <w:marRight w:val="0"/>
      <w:marTop w:val="0"/>
      <w:marBottom w:val="0"/>
      <w:divBdr>
        <w:top w:val="none" w:sz="0" w:space="0" w:color="auto"/>
        <w:left w:val="none" w:sz="0" w:space="0" w:color="auto"/>
        <w:bottom w:val="none" w:sz="0" w:space="0" w:color="auto"/>
        <w:right w:val="none" w:sz="0" w:space="0" w:color="auto"/>
      </w:divBdr>
    </w:div>
    <w:div w:id="98333748">
      <w:bodyDiv w:val="1"/>
      <w:marLeft w:val="0"/>
      <w:marRight w:val="0"/>
      <w:marTop w:val="0"/>
      <w:marBottom w:val="0"/>
      <w:divBdr>
        <w:top w:val="none" w:sz="0" w:space="0" w:color="auto"/>
        <w:left w:val="none" w:sz="0" w:space="0" w:color="auto"/>
        <w:bottom w:val="none" w:sz="0" w:space="0" w:color="auto"/>
        <w:right w:val="none" w:sz="0" w:space="0" w:color="auto"/>
      </w:divBdr>
    </w:div>
    <w:div w:id="119417302">
      <w:bodyDiv w:val="1"/>
      <w:marLeft w:val="0"/>
      <w:marRight w:val="0"/>
      <w:marTop w:val="0"/>
      <w:marBottom w:val="0"/>
      <w:divBdr>
        <w:top w:val="none" w:sz="0" w:space="0" w:color="auto"/>
        <w:left w:val="none" w:sz="0" w:space="0" w:color="auto"/>
        <w:bottom w:val="none" w:sz="0" w:space="0" w:color="auto"/>
        <w:right w:val="none" w:sz="0" w:space="0" w:color="auto"/>
      </w:divBdr>
    </w:div>
    <w:div w:id="136535641">
      <w:bodyDiv w:val="1"/>
      <w:marLeft w:val="0"/>
      <w:marRight w:val="0"/>
      <w:marTop w:val="0"/>
      <w:marBottom w:val="0"/>
      <w:divBdr>
        <w:top w:val="none" w:sz="0" w:space="0" w:color="auto"/>
        <w:left w:val="none" w:sz="0" w:space="0" w:color="auto"/>
        <w:bottom w:val="none" w:sz="0" w:space="0" w:color="auto"/>
        <w:right w:val="none" w:sz="0" w:space="0" w:color="auto"/>
      </w:divBdr>
    </w:div>
    <w:div w:id="278604767">
      <w:bodyDiv w:val="1"/>
      <w:marLeft w:val="0"/>
      <w:marRight w:val="0"/>
      <w:marTop w:val="0"/>
      <w:marBottom w:val="0"/>
      <w:divBdr>
        <w:top w:val="none" w:sz="0" w:space="0" w:color="auto"/>
        <w:left w:val="none" w:sz="0" w:space="0" w:color="auto"/>
        <w:bottom w:val="none" w:sz="0" w:space="0" w:color="auto"/>
        <w:right w:val="none" w:sz="0" w:space="0" w:color="auto"/>
      </w:divBdr>
    </w:div>
    <w:div w:id="331569775">
      <w:bodyDiv w:val="1"/>
      <w:marLeft w:val="0"/>
      <w:marRight w:val="0"/>
      <w:marTop w:val="0"/>
      <w:marBottom w:val="0"/>
      <w:divBdr>
        <w:top w:val="none" w:sz="0" w:space="0" w:color="auto"/>
        <w:left w:val="none" w:sz="0" w:space="0" w:color="auto"/>
        <w:bottom w:val="none" w:sz="0" w:space="0" w:color="auto"/>
        <w:right w:val="none" w:sz="0" w:space="0" w:color="auto"/>
      </w:divBdr>
    </w:div>
    <w:div w:id="400369272">
      <w:bodyDiv w:val="1"/>
      <w:marLeft w:val="0"/>
      <w:marRight w:val="0"/>
      <w:marTop w:val="0"/>
      <w:marBottom w:val="0"/>
      <w:divBdr>
        <w:top w:val="none" w:sz="0" w:space="0" w:color="auto"/>
        <w:left w:val="none" w:sz="0" w:space="0" w:color="auto"/>
        <w:bottom w:val="none" w:sz="0" w:space="0" w:color="auto"/>
        <w:right w:val="none" w:sz="0" w:space="0" w:color="auto"/>
      </w:divBdr>
    </w:div>
    <w:div w:id="463545725">
      <w:bodyDiv w:val="1"/>
      <w:marLeft w:val="0"/>
      <w:marRight w:val="0"/>
      <w:marTop w:val="0"/>
      <w:marBottom w:val="0"/>
      <w:divBdr>
        <w:top w:val="none" w:sz="0" w:space="0" w:color="auto"/>
        <w:left w:val="none" w:sz="0" w:space="0" w:color="auto"/>
        <w:bottom w:val="none" w:sz="0" w:space="0" w:color="auto"/>
        <w:right w:val="none" w:sz="0" w:space="0" w:color="auto"/>
      </w:divBdr>
    </w:div>
    <w:div w:id="522287858">
      <w:bodyDiv w:val="1"/>
      <w:marLeft w:val="0"/>
      <w:marRight w:val="0"/>
      <w:marTop w:val="0"/>
      <w:marBottom w:val="0"/>
      <w:divBdr>
        <w:top w:val="none" w:sz="0" w:space="0" w:color="auto"/>
        <w:left w:val="none" w:sz="0" w:space="0" w:color="auto"/>
        <w:bottom w:val="none" w:sz="0" w:space="0" w:color="auto"/>
        <w:right w:val="none" w:sz="0" w:space="0" w:color="auto"/>
      </w:divBdr>
    </w:div>
    <w:div w:id="623580267">
      <w:bodyDiv w:val="1"/>
      <w:marLeft w:val="0"/>
      <w:marRight w:val="0"/>
      <w:marTop w:val="0"/>
      <w:marBottom w:val="0"/>
      <w:divBdr>
        <w:top w:val="none" w:sz="0" w:space="0" w:color="auto"/>
        <w:left w:val="none" w:sz="0" w:space="0" w:color="auto"/>
        <w:bottom w:val="none" w:sz="0" w:space="0" w:color="auto"/>
        <w:right w:val="none" w:sz="0" w:space="0" w:color="auto"/>
      </w:divBdr>
    </w:div>
    <w:div w:id="759638675">
      <w:bodyDiv w:val="1"/>
      <w:marLeft w:val="0"/>
      <w:marRight w:val="0"/>
      <w:marTop w:val="0"/>
      <w:marBottom w:val="0"/>
      <w:divBdr>
        <w:top w:val="none" w:sz="0" w:space="0" w:color="auto"/>
        <w:left w:val="none" w:sz="0" w:space="0" w:color="auto"/>
        <w:bottom w:val="none" w:sz="0" w:space="0" w:color="auto"/>
        <w:right w:val="none" w:sz="0" w:space="0" w:color="auto"/>
      </w:divBdr>
    </w:div>
    <w:div w:id="795216931">
      <w:bodyDiv w:val="1"/>
      <w:marLeft w:val="0"/>
      <w:marRight w:val="0"/>
      <w:marTop w:val="0"/>
      <w:marBottom w:val="0"/>
      <w:divBdr>
        <w:top w:val="none" w:sz="0" w:space="0" w:color="auto"/>
        <w:left w:val="none" w:sz="0" w:space="0" w:color="auto"/>
        <w:bottom w:val="none" w:sz="0" w:space="0" w:color="auto"/>
        <w:right w:val="none" w:sz="0" w:space="0" w:color="auto"/>
      </w:divBdr>
    </w:div>
    <w:div w:id="880046985">
      <w:bodyDiv w:val="1"/>
      <w:marLeft w:val="0"/>
      <w:marRight w:val="0"/>
      <w:marTop w:val="0"/>
      <w:marBottom w:val="0"/>
      <w:divBdr>
        <w:top w:val="none" w:sz="0" w:space="0" w:color="auto"/>
        <w:left w:val="none" w:sz="0" w:space="0" w:color="auto"/>
        <w:bottom w:val="none" w:sz="0" w:space="0" w:color="auto"/>
        <w:right w:val="none" w:sz="0" w:space="0" w:color="auto"/>
      </w:divBdr>
    </w:div>
    <w:div w:id="901478964">
      <w:bodyDiv w:val="1"/>
      <w:marLeft w:val="0"/>
      <w:marRight w:val="0"/>
      <w:marTop w:val="0"/>
      <w:marBottom w:val="0"/>
      <w:divBdr>
        <w:top w:val="none" w:sz="0" w:space="0" w:color="auto"/>
        <w:left w:val="none" w:sz="0" w:space="0" w:color="auto"/>
        <w:bottom w:val="none" w:sz="0" w:space="0" w:color="auto"/>
        <w:right w:val="none" w:sz="0" w:space="0" w:color="auto"/>
      </w:divBdr>
    </w:div>
    <w:div w:id="932713240">
      <w:bodyDiv w:val="1"/>
      <w:marLeft w:val="0"/>
      <w:marRight w:val="0"/>
      <w:marTop w:val="0"/>
      <w:marBottom w:val="0"/>
      <w:divBdr>
        <w:top w:val="none" w:sz="0" w:space="0" w:color="auto"/>
        <w:left w:val="none" w:sz="0" w:space="0" w:color="auto"/>
        <w:bottom w:val="none" w:sz="0" w:space="0" w:color="auto"/>
        <w:right w:val="none" w:sz="0" w:space="0" w:color="auto"/>
      </w:divBdr>
    </w:div>
    <w:div w:id="998074123">
      <w:bodyDiv w:val="1"/>
      <w:marLeft w:val="0"/>
      <w:marRight w:val="0"/>
      <w:marTop w:val="0"/>
      <w:marBottom w:val="0"/>
      <w:divBdr>
        <w:top w:val="none" w:sz="0" w:space="0" w:color="auto"/>
        <w:left w:val="none" w:sz="0" w:space="0" w:color="auto"/>
        <w:bottom w:val="none" w:sz="0" w:space="0" w:color="auto"/>
        <w:right w:val="none" w:sz="0" w:space="0" w:color="auto"/>
      </w:divBdr>
    </w:div>
    <w:div w:id="1151287753">
      <w:bodyDiv w:val="1"/>
      <w:marLeft w:val="0"/>
      <w:marRight w:val="0"/>
      <w:marTop w:val="0"/>
      <w:marBottom w:val="0"/>
      <w:divBdr>
        <w:top w:val="none" w:sz="0" w:space="0" w:color="auto"/>
        <w:left w:val="none" w:sz="0" w:space="0" w:color="auto"/>
        <w:bottom w:val="none" w:sz="0" w:space="0" w:color="auto"/>
        <w:right w:val="none" w:sz="0" w:space="0" w:color="auto"/>
      </w:divBdr>
    </w:div>
    <w:div w:id="1207260176">
      <w:bodyDiv w:val="1"/>
      <w:marLeft w:val="0"/>
      <w:marRight w:val="0"/>
      <w:marTop w:val="0"/>
      <w:marBottom w:val="0"/>
      <w:divBdr>
        <w:top w:val="none" w:sz="0" w:space="0" w:color="auto"/>
        <w:left w:val="none" w:sz="0" w:space="0" w:color="auto"/>
        <w:bottom w:val="none" w:sz="0" w:space="0" w:color="auto"/>
        <w:right w:val="none" w:sz="0" w:space="0" w:color="auto"/>
      </w:divBdr>
    </w:div>
    <w:div w:id="1309826517">
      <w:bodyDiv w:val="1"/>
      <w:marLeft w:val="0"/>
      <w:marRight w:val="0"/>
      <w:marTop w:val="0"/>
      <w:marBottom w:val="0"/>
      <w:divBdr>
        <w:top w:val="none" w:sz="0" w:space="0" w:color="auto"/>
        <w:left w:val="none" w:sz="0" w:space="0" w:color="auto"/>
        <w:bottom w:val="none" w:sz="0" w:space="0" w:color="auto"/>
        <w:right w:val="none" w:sz="0" w:space="0" w:color="auto"/>
      </w:divBdr>
    </w:div>
    <w:div w:id="1331955594">
      <w:bodyDiv w:val="1"/>
      <w:marLeft w:val="0"/>
      <w:marRight w:val="0"/>
      <w:marTop w:val="0"/>
      <w:marBottom w:val="0"/>
      <w:divBdr>
        <w:top w:val="none" w:sz="0" w:space="0" w:color="auto"/>
        <w:left w:val="none" w:sz="0" w:space="0" w:color="auto"/>
        <w:bottom w:val="none" w:sz="0" w:space="0" w:color="auto"/>
        <w:right w:val="none" w:sz="0" w:space="0" w:color="auto"/>
      </w:divBdr>
    </w:div>
    <w:div w:id="1428961421">
      <w:bodyDiv w:val="1"/>
      <w:marLeft w:val="0"/>
      <w:marRight w:val="0"/>
      <w:marTop w:val="0"/>
      <w:marBottom w:val="0"/>
      <w:divBdr>
        <w:top w:val="none" w:sz="0" w:space="0" w:color="auto"/>
        <w:left w:val="none" w:sz="0" w:space="0" w:color="auto"/>
        <w:bottom w:val="none" w:sz="0" w:space="0" w:color="auto"/>
        <w:right w:val="none" w:sz="0" w:space="0" w:color="auto"/>
      </w:divBdr>
    </w:div>
    <w:div w:id="1554392860">
      <w:bodyDiv w:val="1"/>
      <w:marLeft w:val="0"/>
      <w:marRight w:val="0"/>
      <w:marTop w:val="0"/>
      <w:marBottom w:val="0"/>
      <w:divBdr>
        <w:top w:val="none" w:sz="0" w:space="0" w:color="auto"/>
        <w:left w:val="none" w:sz="0" w:space="0" w:color="auto"/>
        <w:bottom w:val="none" w:sz="0" w:space="0" w:color="auto"/>
        <w:right w:val="none" w:sz="0" w:space="0" w:color="auto"/>
      </w:divBdr>
    </w:div>
    <w:div w:id="1597516693">
      <w:bodyDiv w:val="1"/>
      <w:marLeft w:val="0"/>
      <w:marRight w:val="0"/>
      <w:marTop w:val="0"/>
      <w:marBottom w:val="0"/>
      <w:divBdr>
        <w:top w:val="none" w:sz="0" w:space="0" w:color="auto"/>
        <w:left w:val="none" w:sz="0" w:space="0" w:color="auto"/>
        <w:bottom w:val="none" w:sz="0" w:space="0" w:color="auto"/>
        <w:right w:val="none" w:sz="0" w:space="0" w:color="auto"/>
      </w:divBdr>
    </w:div>
    <w:div w:id="1740592630">
      <w:bodyDiv w:val="1"/>
      <w:marLeft w:val="0"/>
      <w:marRight w:val="0"/>
      <w:marTop w:val="0"/>
      <w:marBottom w:val="0"/>
      <w:divBdr>
        <w:top w:val="none" w:sz="0" w:space="0" w:color="auto"/>
        <w:left w:val="none" w:sz="0" w:space="0" w:color="auto"/>
        <w:bottom w:val="none" w:sz="0" w:space="0" w:color="auto"/>
        <w:right w:val="none" w:sz="0" w:space="0" w:color="auto"/>
      </w:divBdr>
    </w:div>
    <w:div w:id="1758477670">
      <w:bodyDiv w:val="1"/>
      <w:marLeft w:val="0"/>
      <w:marRight w:val="0"/>
      <w:marTop w:val="0"/>
      <w:marBottom w:val="0"/>
      <w:divBdr>
        <w:top w:val="none" w:sz="0" w:space="0" w:color="auto"/>
        <w:left w:val="none" w:sz="0" w:space="0" w:color="auto"/>
        <w:bottom w:val="none" w:sz="0" w:space="0" w:color="auto"/>
        <w:right w:val="none" w:sz="0" w:space="0" w:color="auto"/>
      </w:divBdr>
    </w:div>
    <w:div w:id="1861430286">
      <w:bodyDiv w:val="1"/>
      <w:marLeft w:val="0"/>
      <w:marRight w:val="0"/>
      <w:marTop w:val="0"/>
      <w:marBottom w:val="0"/>
      <w:divBdr>
        <w:top w:val="none" w:sz="0" w:space="0" w:color="auto"/>
        <w:left w:val="none" w:sz="0" w:space="0" w:color="auto"/>
        <w:bottom w:val="none" w:sz="0" w:space="0" w:color="auto"/>
        <w:right w:val="none" w:sz="0" w:space="0" w:color="auto"/>
      </w:divBdr>
    </w:div>
    <w:div w:id="1946960452">
      <w:bodyDiv w:val="1"/>
      <w:marLeft w:val="0"/>
      <w:marRight w:val="0"/>
      <w:marTop w:val="0"/>
      <w:marBottom w:val="0"/>
      <w:divBdr>
        <w:top w:val="none" w:sz="0" w:space="0" w:color="auto"/>
        <w:left w:val="none" w:sz="0" w:space="0" w:color="auto"/>
        <w:bottom w:val="none" w:sz="0" w:space="0" w:color="auto"/>
        <w:right w:val="none" w:sz="0" w:space="0" w:color="auto"/>
      </w:divBdr>
    </w:div>
    <w:div w:id="2036809759">
      <w:bodyDiv w:val="1"/>
      <w:marLeft w:val="0"/>
      <w:marRight w:val="0"/>
      <w:marTop w:val="0"/>
      <w:marBottom w:val="0"/>
      <w:divBdr>
        <w:top w:val="none" w:sz="0" w:space="0" w:color="auto"/>
        <w:left w:val="none" w:sz="0" w:space="0" w:color="auto"/>
        <w:bottom w:val="none" w:sz="0" w:space="0" w:color="auto"/>
        <w:right w:val="none" w:sz="0" w:space="0" w:color="auto"/>
      </w:divBdr>
    </w:div>
    <w:div w:id="2050448593">
      <w:bodyDiv w:val="1"/>
      <w:marLeft w:val="0"/>
      <w:marRight w:val="0"/>
      <w:marTop w:val="0"/>
      <w:marBottom w:val="0"/>
      <w:divBdr>
        <w:top w:val="none" w:sz="0" w:space="0" w:color="auto"/>
        <w:left w:val="none" w:sz="0" w:space="0" w:color="auto"/>
        <w:bottom w:val="none" w:sz="0" w:space="0" w:color="auto"/>
        <w:right w:val="none" w:sz="0" w:space="0" w:color="auto"/>
      </w:divBdr>
    </w:div>
    <w:div w:id="20967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57/jep.3.2.37" TargetMode="External"/><Relationship Id="rId18" Type="http://schemas.openxmlformats.org/officeDocument/2006/relationships/hyperlink" Target="https://doi.org/10.1016/0304-3932(93)90025-B" TargetMode="External"/><Relationship Id="rId26" Type="http://schemas.openxmlformats.org/officeDocument/2006/relationships/hyperlink" Target="https://doi.org/10.1007/978-3-540-27752-1" TargetMode="External"/><Relationship Id="rId39" Type="http://schemas.openxmlformats.org/officeDocument/2006/relationships/footer" Target="footer1.xml"/><Relationship Id="rId21" Type="http://schemas.openxmlformats.org/officeDocument/2006/relationships/hyperlink" Target="https://doi.org/10.1016/0304-4076(74)90034-7" TargetMode="External"/><Relationship Id="rId34" Type="http://schemas.openxmlformats.org/officeDocument/2006/relationships/hyperlink" Target="https://www.imf.org/external/pubs/ft/wp/wp97139.pdfc" TargetMode="External"/><Relationship Id="rId42"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2307/1809231" TargetMode="External"/><Relationship Id="rId20" Type="http://schemas.openxmlformats.org/officeDocument/2006/relationships/hyperlink" Target="https://doi.org/10.1086/ma.19.3585331" TargetMode="External"/><Relationship Id="rId29" Type="http://schemas.openxmlformats.org/officeDocument/2006/relationships/hyperlink" Target="https://EconPapers.repec.org/RePEc:afe:journl:v:17:y:2015:i:2:p:19-48"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ae.659" TargetMode="External"/><Relationship Id="rId24" Type="http://schemas.openxmlformats.org/officeDocument/2006/relationships/hyperlink" Target="https://rbi.org.in/scripts/PublicationsView.aspx?Id=15369" TargetMode="External"/><Relationship Id="rId32" Type="http://schemas.openxmlformats.org/officeDocument/2006/relationships/hyperlink" Target="https://doi.org/10.2307/441684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ber.org/papers/w15934.pdf" TargetMode="External"/><Relationship Id="rId23" Type="http://schemas.openxmlformats.org/officeDocument/2006/relationships/hyperlink" Target="https://doi.org/10.30541/v26i2pp.179-200" TargetMode="External"/><Relationship Id="rId28" Type="http://schemas.openxmlformats.org/officeDocument/2006/relationships/hyperlink" Target="https://doi.org/10.1080/00036840500278103" TargetMode="External"/><Relationship Id="rId36" Type="http://schemas.openxmlformats.org/officeDocument/2006/relationships/hyperlink" Target="https://doi.org/10.1111/ecca.12138" TargetMode="External"/><Relationship Id="rId10" Type="http://schemas.openxmlformats.org/officeDocument/2006/relationships/hyperlink" Target="http://links.jstor.org/sici?sici=0002-8282%28199605%2986%3A2%3C401%3AFDATBP%3E2.0.CO%3B2-Y" TargetMode="External"/><Relationship Id="rId19" Type="http://schemas.openxmlformats.org/officeDocument/2006/relationships/hyperlink" Target="https://doi.org/10.1016/S1574-0048(99)10038-7" TargetMode="External"/><Relationship Id="rId31" Type="http://schemas.openxmlformats.org/officeDocument/2006/relationships/hyperlink" Target="https://doi.org/10.1093/biomet/75.2.33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jpubeco.2004.02.006" TargetMode="External"/><Relationship Id="rId14" Type="http://schemas.openxmlformats.org/officeDocument/2006/relationships/hyperlink" Target="https://doi.org/10.1016/0047-2727(73)90023-6" TargetMode="External"/><Relationship Id="rId22" Type="http://schemas.openxmlformats.org/officeDocument/2006/relationships/hyperlink" Target="https://doi.org/10.1016/j.jimonfin.2005.01.004" TargetMode="External"/><Relationship Id="rId27" Type="http://schemas.openxmlformats.org/officeDocument/2006/relationships/hyperlink" Target="https://doi.org/10.2307/2228247" TargetMode="External"/><Relationship Id="rId30" Type="http://schemas.openxmlformats.org/officeDocument/2006/relationships/hyperlink" Target="https://doi.org/10.1002/jae.616" TargetMode="External"/><Relationship Id="rId35" Type="http://schemas.openxmlformats.org/officeDocument/2006/relationships/hyperlink" Target="https://doi.org/10.1111/ecca.12138" TargetMode="External"/><Relationship Id="rId43" Type="http://schemas.openxmlformats.org/officeDocument/2006/relationships/fontTable" Target="fontTable.xml"/><Relationship Id="rId8" Type="http://schemas.openxmlformats.org/officeDocument/2006/relationships/hyperlink" Target="https://doi.org/10.1057/imfsp.2009.24" TargetMode="External"/><Relationship Id="rId3" Type="http://schemas.openxmlformats.org/officeDocument/2006/relationships/settings" Target="settings.xml"/><Relationship Id="rId12" Type="http://schemas.openxmlformats.org/officeDocument/2006/relationships/hyperlink" Target="https://doi.org/10.1086/260266" TargetMode="External"/><Relationship Id="rId17" Type="http://schemas.openxmlformats.org/officeDocument/2006/relationships/hyperlink" Target="https://www.nber.org/chapters/c8295" TargetMode="External"/><Relationship Id="rId25" Type="http://schemas.openxmlformats.org/officeDocument/2006/relationships/hyperlink" Target="https://doi.org/10.1111/ecca.2015.82.issue-328" TargetMode="External"/><Relationship Id="rId33" Type="http://schemas.openxmlformats.org/officeDocument/2006/relationships/hyperlink" Target="https://doi.org/10.1257/aer.100.2.573"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New%20paper%20work\new%20single%202\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LN_GDP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strRef>
              <c:f>Sheet1!$A$2:$A$45</c:f>
              <c:strCache>
                <c:ptCount val="44"/>
                <c:pt idx="0">
                  <c:v>1980-81</c:v>
                </c:pt>
                <c:pt idx="1">
                  <c:v>1981-82</c:v>
                </c:pt>
                <c:pt idx="2">
                  <c:v>1982-83</c:v>
                </c:pt>
                <c:pt idx="3">
                  <c:v>1983-84</c:v>
                </c:pt>
                <c:pt idx="4">
                  <c:v>1984-85</c:v>
                </c:pt>
                <c:pt idx="5">
                  <c:v>1985-86</c:v>
                </c:pt>
                <c:pt idx="6">
                  <c:v>1986-87</c:v>
                </c:pt>
                <c:pt idx="7">
                  <c:v>1987-88</c:v>
                </c:pt>
                <c:pt idx="8">
                  <c:v>1988-89</c:v>
                </c:pt>
                <c:pt idx="9">
                  <c:v>1989-90</c:v>
                </c:pt>
                <c:pt idx="10">
                  <c:v>1990-91</c:v>
                </c:pt>
                <c:pt idx="11">
                  <c:v>1991-92</c:v>
                </c:pt>
                <c:pt idx="12">
                  <c:v>1992-93</c:v>
                </c:pt>
                <c:pt idx="13">
                  <c:v>1993-94</c:v>
                </c:pt>
                <c:pt idx="14">
                  <c:v>1994-95</c:v>
                </c:pt>
                <c:pt idx="15">
                  <c:v>1995-96</c:v>
                </c:pt>
                <c:pt idx="16">
                  <c:v>1996-97</c:v>
                </c:pt>
                <c:pt idx="17">
                  <c:v>1997-98</c:v>
                </c:pt>
                <c:pt idx="18">
                  <c:v>1998-99</c:v>
                </c:pt>
                <c:pt idx="19">
                  <c:v>1999-00</c:v>
                </c:pt>
                <c:pt idx="20">
                  <c:v>2000-01</c:v>
                </c:pt>
                <c:pt idx="21">
                  <c:v>2001-02</c:v>
                </c:pt>
                <c:pt idx="22">
                  <c:v>2002-03</c:v>
                </c:pt>
                <c:pt idx="23">
                  <c:v>2003-04</c:v>
                </c:pt>
                <c:pt idx="24">
                  <c:v>2004-05</c:v>
                </c:pt>
                <c:pt idx="25">
                  <c:v>2005-06</c:v>
                </c:pt>
                <c:pt idx="26">
                  <c:v>2006-07</c:v>
                </c:pt>
                <c:pt idx="27">
                  <c:v>2007-08</c:v>
                </c:pt>
                <c:pt idx="28">
                  <c:v>2008-09</c:v>
                </c:pt>
                <c:pt idx="29">
                  <c:v>2009-10</c:v>
                </c:pt>
                <c:pt idx="30">
                  <c:v>2010-11</c:v>
                </c:pt>
                <c:pt idx="31">
                  <c:v>2011-12</c:v>
                </c:pt>
                <c:pt idx="32">
                  <c:v>2012-13</c:v>
                </c:pt>
                <c:pt idx="33">
                  <c:v>2013-14</c:v>
                </c:pt>
                <c:pt idx="34">
                  <c:v>2014-15</c:v>
                </c:pt>
                <c:pt idx="35">
                  <c:v>2015-16</c:v>
                </c:pt>
                <c:pt idx="36">
                  <c:v>2016-17</c:v>
                </c:pt>
                <c:pt idx="37">
                  <c:v>2017-18</c:v>
                </c:pt>
                <c:pt idx="38">
                  <c:v>2018-19</c:v>
                </c:pt>
                <c:pt idx="39">
                  <c:v>2019-20</c:v>
                </c:pt>
                <c:pt idx="40">
                  <c:v>2020-21</c:v>
                </c:pt>
                <c:pt idx="41">
                  <c:v>2021-22</c:v>
                </c:pt>
                <c:pt idx="42">
                  <c:v>2022-23</c:v>
                </c:pt>
                <c:pt idx="43">
                  <c:v>2023-24</c:v>
                </c:pt>
              </c:strCache>
            </c:strRef>
          </c:cat>
          <c:val>
            <c:numRef>
              <c:f>Sheet1!$B$2:$B$45</c:f>
              <c:numCache>
                <c:formatCode>General</c:formatCode>
                <c:ptCount val="44"/>
                <c:pt idx="0">
                  <c:v>14.196951918283901</c:v>
                </c:pt>
                <c:pt idx="1">
                  <c:v>14.2552793494481</c:v>
                </c:pt>
                <c:pt idx="2">
                  <c:v>14.289446287229</c:v>
                </c:pt>
                <c:pt idx="3">
                  <c:v>14.359801231085701</c:v>
                </c:pt>
                <c:pt idx="4">
                  <c:v>14.397296782541099</c:v>
                </c:pt>
                <c:pt idx="5">
                  <c:v>14.4485059160086</c:v>
                </c:pt>
                <c:pt idx="6">
                  <c:v>14.4951658525725</c:v>
                </c:pt>
                <c:pt idx="7">
                  <c:v>14.5340533913248</c:v>
                </c:pt>
                <c:pt idx="8">
                  <c:v>14.6259740415205</c:v>
                </c:pt>
                <c:pt idx="9">
                  <c:v>14.6837460651637</c:v>
                </c:pt>
                <c:pt idx="10">
                  <c:v>14.737603886687999</c:v>
                </c:pt>
                <c:pt idx="11">
                  <c:v>14.7481167467479</c:v>
                </c:pt>
                <c:pt idx="12">
                  <c:v>14.8014906373978</c:v>
                </c:pt>
                <c:pt idx="13">
                  <c:v>14.8479044203964</c:v>
                </c:pt>
                <c:pt idx="14">
                  <c:v>14.912370352030701</c:v>
                </c:pt>
                <c:pt idx="15">
                  <c:v>14.9853837209853</c:v>
                </c:pt>
                <c:pt idx="16">
                  <c:v>15.058164948570401</c:v>
                </c:pt>
                <c:pt idx="17">
                  <c:v>15.097864593643299</c:v>
                </c:pt>
                <c:pt idx="18">
                  <c:v>15.1578717620107</c:v>
                </c:pt>
                <c:pt idx="19">
                  <c:v>15.2426333694756</c:v>
                </c:pt>
                <c:pt idx="20">
                  <c:v>15.2803239814373</c:v>
                </c:pt>
                <c:pt idx="21">
                  <c:v>15.3274362269165</c:v>
                </c:pt>
                <c:pt idx="22">
                  <c:v>15.3647703088198</c:v>
                </c:pt>
                <c:pt idx="23">
                  <c:v>15.440437749499299</c:v>
                </c:pt>
                <c:pt idx="24">
                  <c:v>15.516684999585699</c:v>
                </c:pt>
                <c:pt idx="25">
                  <c:v>15.5929367954461</c:v>
                </c:pt>
                <c:pt idx="26">
                  <c:v>15.670459983174499</c:v>
                </c:pt>
                <c:pt idx="27">
                  <c:v>15.7442755654781</c:v>
                </c:pt>
                <c:pt idx="28">
                  <c:v>15.7746757551499</c:v>
                </c:pt>
                <c:pt idx="29">
                  <c:v>15.850357110907799</c:v>
                </c:pt>
                <c:pt idx="30">
                  <c:v>15.931914856878601</c:v>
                </c:pt>
                <c:pt idx="31">
                  <c:v>15.9830006148678</c:v>
                </c:pt>
                <c:pt idx="32">
                  <c:v>16.0361279081913</c:v>
                </c:pt>
                <c:pt idx="33">
                  <c:v>16.098032711645899</c:v>
                </c:pt>
                <c:pt idx="34">
                  <c:v>16.169517932296898</c:v>
                </c:pt>
                <c:pt idx="35">
                  <c:v>16.246444285661799</c:v>
                </c:pt>
                <c:pt idx="36">
                  <c:v>16.3257757142988</c:v>
                </c:pt>
                <c:pt idx="37">
                  <c:v>16.3915202164773</c:v>
                </c:pt>
                <c:pt idx="38">
                  <c:v>16.454061612035002</c:v>
                </c:pt>
                <c:pt idx="39">
                  <c:v>16.4920453772211</c:v>
                </c:pt>
                <c:pt idx="40">
                  <c:v>16.432531812941001</c:v>
                </c:pt>
                <c:pt idx="41">
                  <c:v>16.525016117280501</c:v>
                </c:pt>
                <c:pt idx="42">
                  <c:v>16.598353610341501</c:v>
                </c:pt>
                <c:pt idx="43">
                  <c:v>16.686279822269601</c:v>
                </c:pt>
              </c:numCache>
            </c:numRef>
          </c:val>
          <c:smooth val="0"/>
          <c:extLst>
            <c:ext xmlns:c16="http://schemas.microsoft.com/office/drawing/2014/chart" uri="{C3380CC4-5D6E-409C-BE32-E72D297353CC}">
              <c16:uniqueId val="{00000000-1E3B-45F0-9BA5-A58B151AF270}"/>
            </c:ext>
          </c:extLst>
        </c:ser>
        <c:dLbls>
          <c:showLegendKey val="0"/>
          <c:showVal val="0"/>
          <c:showCatName val="0"/>
          <c:showSerName val="0"/>
          <c:showPercent val="0"/>
          <c:showBubbleSize val="0"/>
        </c:dLbls>
        <c:marker val="1"/>
        <c:smooth val="0"/>
        <c:axId val="642473119"/>
        <c:axId val="642481023"/>
      </c:lineChart>
      <c:catAx>
        <c:axId val="642473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42481023"/>
        <c:crosses val="autoZero"/>
        <c:auto val="1"/>
        <c:lblAlgn val="ctr"/>
        <c:lblOffset val="100"/>
        <c:noMultiLvlLbl val="0"/>
      </c:catAx>
      <c:valAx>
        <c:axId val="642481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42473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26</Pages>
  <Words>8638</Words>
  <Characters>49241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Pradhan</dc:creator>
  <cp:keywords/>
  <dc:description/>
  <cp:lastModifiedBy>SDI 1084</cp:lastModifiedBy>
  <cp:revision>14</cp:revision>
  <dcterms:created xsi:type="dcterms:W3CDTF">2025-09-11T06:36:00Z</dcterms:created>
  <dcterms:modified xsi:type="dcterms:W3CDTF">2025-12-02T09:30:00Z</dcterms:modified>
</cp:coreProperties>
</file>