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17373" w14:textId="60126D9E" w:rsidR="0024387A" w:rsidRDefault="0024387A" w:rsidP="0024387A">
      <w:pPr>
        <w:jc w:val="center"/>
        <w:rPr>
          <w:rFonts w:ascii="Arial" w:hAnsi="Arial" w:cs="Arial"/>
          <w:b/>
          <w:bCs/>
          <w:sz w:val="28"/>
          <w:szCs w:val="28"/>
        </w:rPr>
      </w:pPr>
      <w:r w:rsidRPr="0024387A">
        <w:rPr>
          <w:rFonts w:ascii="Arial" w:hAnsi="Arial" w:cs="Arial"/>
          <w:b/>
          <w:bCs/>
          <w:sz w:val="28"/>
          <w:szCs w:val="28"/>
        </w:rPr>
        <w:t>Scholarly Book Review</w:t>
      </w:r>
    </w:p>
    <w:p w14:paraId="3E041DFD" w14:textId="77777777" w:rsidR="00F27C96" w:rsidRPr="0024387A" w:rsidRDefault="00F27C96" w:rsidP="0024387A">
      <w:pPr>
        <w:jc w:val="center"/>
        <w:rPr>
          <w:rFonts w:ascii="Arial" w:hAnsi="Arial" w:cs="Arial"/>
          <w:b/>
          <w:bCs/>
          <w:sz w:val="28"/>
          <w:szCs w:val="28"/>
        </w:rPr>
      </w:pPr>
    </w:p>
    <w:p w14:paraId="53826FE2" w14:textId="05346AC0" w:rsidR="005219FF" w:rsidRDefault="00D05D4C" w:rsidP="008061AA">
      <w:pPr>
        <w:jc w:val="center"/>
        <w:rPr>
          <w:rFonts w:ascii="Arial" w:hAnsi="Arial" w:cs="Arial"/>
          <w:b/>
          <w:bCs/>
          <w:sz w:val="28"/>
          <w:szCs w:val="28"/>
        </w:rPr>
      </w:pPr>
      <w:r w:rsidRPr="0039337E">
        <w:rPr>
          <w:rFonts w:ascii="Arial" w:hAnsi="Arial" w:cs="Arial"/>
          <w:b/>
          <w:bCs/>
          <w:sz w:val="28"/>
          <w:szCs w:val="28"/>
        </w:rPr>
        <w:t xml:space="preserve">FINANCIAL FEASIBILITY </w:t>
      </w:r>
      <w:r w:rsidR="008061AA" w:rsidRPr="0039337E">
        <w:rPr>
          <w:rFonts w:ascii="Arial" w:hAnsi="Arial" w:cs="Arial"/>
          <w:b/>
          <w:bCs/>
          <w:sz w:val="28"/>
          <w:szCs w:val="28"/>
        </w:rPr>
        <w:t>OF ROOFTOP SOLAR ENERGY HOUSEHOLDS IN MYSURU CITY – A PERCEPTUAL STUDY</w:t>
      </w:r>
    </w:p>
    <w:p w14:paraId="3456686E" w14:textId="77777777" w:rsidR="00D522EB" w:rsidRDefault="00D522EB" w:rsidP="00D43AE3">
      <w:pPr>
        <w:spacing w:before="240" w:after="0" w:line="276" w:lineRule="auto"/>
        <w:jc w:val="both"/>
        <w:rPr>
          <w:rFonts w:ascii="Arial" w:hAnsi="Arial" w:cs="Arial"/>
          <w:b/>
          <w:bCs/>
        </w:rPr>
      </w:pPr>
    </w:p>
    <w:p w14:paraId="53826FF1" w14:textId="33B4A623" w:rsidR="00D43AE3" w:rsidRPr="008A4A8C" w:rsidRDefault="00D43AE3" w:rsidP="00D43AE3">
      <w:pPr>
        <w:spacing w:before="240" w:after="0" w:line="276" w:lineRule="auto"/>
        <w:jc w:val="both"/>
        <w:rPr>
          <w:rFonts w:ascii="Arial" w:hAnsi="Arial" w:cs="Arial"/>
          <w:b/>
          <w:bCs/>
          <w:sz w:val="24"/>
          <w:szCs w:val="24"/>
        </w:rPr>
      </w:pPr>
      <w:bookmarkStart w:id="0" w:name="_GoBack"/>
      <w:bookmarkEnd w:id="0"/>
      <w:r w:rsidRPr="00281312">
        <w:rPr>
          <w:rFonts w:ascii="Arial" w:hAnsi="Arial" w:cs="Arial"/>
          <w:b/>
          <w:bCs/>
        </w:rPr>
        <w:t>ABSTRACT</w:t>
      </w:r>
    </w:p>
    <w:p w14:paraId="53826FF2" w14:textId="77777777" w:rsidR="00D05D4C" w:rsidRPr="00281312" w:rsidRDefault="00D05D4C" w:rsidP="00D05D4C">
      <w:pPr>
        <w:spacing w:before="240" w:after="0" w:line="360" w:lineRule="auto"/>
        <w:jc w:val="both"/>
        <w:rPr>
          <w:rFonts w:ascii="Arial" w:hAnsi="Arial" w:cs="Arial"/>
          <w:b/>
          <w:bCs/>
          <w:sz w:val="20"/>
          <w:szCs w:val="20"/>
        </w:rPr>
      </w:pPr>
      <w:r w:rsidRPr="00281312">
        <w:rPr>
          <w:rFonts w:ascii="Arial" w:hAnsi="Arial" w:cs="Arial"/>
          <w:sz w:val="20"/>
          <w:szCs w:val="20"/>
        </w:rPr>
        <w:t>The financial feasibility of rooftop solar energy for urban households is a significant driver of its adoption. This study investigates the financial viability of rooftop solar energy systems for urban households in Mysuru, focusing on awareness of government subsidies, demographic influences, long-term financial perceptions, and adoption barriers. A quantitative descriptive research design with a sample size of 80 households was employed, using structured questionnaires and statistical analyses like One Sample T-Test and regression. Findings reveal that awareness of financial incentives significantly boosts adoption, while high upfront costs remain a key deterrent. Household income strongly influences perceived viability, whereas other demographic factors show limited impact. Perceptions of long-term savings and ROI motivate adoption, with assurance of payback within 7–10 years being pivotal. The study emphasizes the need for targeted awareness programs, streamlined subsidy access, innovative financial models, and cost reductions to enhance adoption rates. These insights underscore the importance of addressing financial barriers and promoting informed decision-making to accelerate the adoption of rooftop solar energy in urban households</w:t>
      </w:r>
    </w:p>
    <w:p w14:paraId="53826FF6" w14:textId="2BEC5FC1" w:rsidR="00D05D4C" w:rsidRPr="00281312" w:rsidRDefault="00D43AE3" w:rsidP="004F786C">
      <w:pPr>
        <w:spacing w:before="240" w:line="360" w:lineRule="auto"/>
        <w:jc w:val="both"/>
        <w:rPr>
          <w:rFonts w:ascii="Arial" w:hAnsi="Arial" w:cs="Arial"/>
          <w:sz w:val="20"/>
          <w:szCs w:val="20"/>
        </w:rPr>
      </w:pPr>
      <w:r w:rsidRPr="00281312">
        <w:rPr>
          <w:rFonts w:ascii="Arial" w:hAnsi="Arial" w:cs="Arial"/>
          <w:b/>
          <w:bCs/>
          <w:sz w:val="20"/>
          <w:szCs w:val="20"/>
        </w:rPr>
        <w:t>Key Words:</w:t>
      </w:r>
      <w:r w:rsidR="00D05D4C" w:rsidRPr="00281312">
        <w:rPr>
          <w:rFonts w:ascii="Arial" w:hAnsi="Arial" w:cs="Arial"/>
          <w:b/>
          <w:bCs/>
          <w:sz w:val="20"/>
          <w:szCs w:val="20"/>
        </w:rPr>
        <w:t xml:space="preserve"> </w:t>
      </w:r>
      <w:r w:rsidR="00D05D4C" w:rsidRPr="00281312">
        <w:rPr>
          <w:rFonts w:ascii="Arial" w:eastAsia="Times New Roman" w:hAnsi="Arial" w:cs="Arial"/>
          <w:sz w:val="20"/>
          <w:szCs w:val="20"/>
        </w:rPr>
        <w:t>Rooftop solar energy, financial feasibility, Government subsidies, adoption barriers, Return on investment (ROI)</w:t>
      </w:r>
    </w:p>
    <w:p w14:paraId="53826FF7" w14:textId="77777777" w:rsidR="00D43AE3" w:rsidRPr="00C1799D" w:rsidRDefault="00D43AE3" w:rsidP="00D43AE3">
      <w:pPr>
        <w:spacing w:before="240" w:after="0" w:line="276" w:lineRule="auto"/>
        <w:jc w:val="both"/>
        <w:rPr>
          <w:rFonts w:ascii="Arial" w:hAnsi="Arial" w:cs="Arial"/>
          <w:b/>
          <w:bCs/>
        </w:rPr>
      </w:pPr>
      <w:r w:rsidRPr="00C1799D">
        <w:rPr>
          <w:rFonts w:ascii="Arial" w:hAnsi="Arial" w:cs="Arial"/>
          <w:b/>
          <w:bCs/>
        </w:rPr>
        <w:t xml:space="preserve">INTRODUCTION: </w:t>
      </w:r>
    </w:p>
    <w:p w14:paraId="53826FF8" w14:textId="77777777" w:rsidR="00D43AE3" w:rsidRPr="00C1799D" w:rsidRDefault="00D43AE3" w:rsidP="00D43AE3">
      <w:pPr>
        <w:pStyle w:val="NormalWeb"/>
        <w:spacing w:before="0" w:beforeAutospacing="0" w:line="360" w:lineRule="auto"/>
        <w:ind w:firstLine="720"/>
        <w:jc w:val="both"/>
        <w:rPr>
          <w:rFonts w:ascii="Arial" w:hAnsi="Arial" w:cs="Arial"/>
          <w:sz w:val="20"/>
          <w:szCs w:val="20"/>
        </w:rPr>
      </w:pPr>
      <w:r w:rsidRPr="00C1799D">
        <w:rPr>
          <w:rFonts w:ascii="Arial" w:hAnsi="Arial" w:cs="Arial"/>
          <w:sz w:val="20"/>
          <w:szCs w:val="20"/>
        </w:rPr>
        <w:t xml:space="preserve">The financial </w:t>
      </w:r>
      <w:r w:rsidR="00D05D4C" w:rsidRPr="00C1799D">
        <w:rPr>
          <w:rFonts w:ascii="Arial" w:hAnsi="Arial" w:cs="Arial"/>
          <w:sz w:val="20"/>
          <w:szCs w:val="20"/>
        </w:rPr>
        <w:t xml:space="preserve">feasibility </w:t>
      </w:r>
      <w:r w:rsidRPr="00C1799D">
        <w:rPr>
          <w:rFonts w:ascii="Arial" w:hAnsi="Arial" w:cs="Arial"/>
          <w:sz w:val="20"/>
          <w:szCs w:val="20"/>
        </w:rPr>
        <w:t>of rooftop solar energy for urban households is a significant driver of its adoption. Rooftop solar systems have become increasingly accessible due to declining equipment costs and government incentives such as subsidies, tax credits, and net metering policies. These financial aids reduce the upfront investment required, making solar energy more affordable for urban dwellers. Additionally, advancements in technology have increased the efficiency and lifespan of solar panels, enhancing the return on investment (ROI) over time. For many households, these systems provide a predictable and often lower monthly energy cost compared to fluctuating grid electricity tariffs.</w:t>
      </w:r>
      <w:r w:rsidR="00D05D4C" w:rsidRPr="00C1799D">
        <w:rPr>
          <w:rFonts w:ascii="Arial" w:hAnsi="Arial" w:cs="Arial"/>
          <w:sz w:val="20"/>
          <w:szCs w:val="20"/>
        </w:rPr>
        <w:t xml:space="preserve"> </w:t>
      </w:r>
    </w:p>
    <w:p w14:paraId="53826FF9" w14:textId="77777777" w:rsidR="00D43AE3" w:rsidRPr="00C1799D" w:rsidRDefault="00D43AE3" w:rsidP="00D43AE3">
      <w:pPr>
        <w:pStyle w:val="NormalWeb"/>
        <w:spacing w:line="360" w:lineRule="auto"/>
        <w:jc w:val="both"/>
        <w:rPr>
          <w:rFonts w:ascii="Arial" w:hAnsi="Arial" w:cs="Arial"/>
          <w:sz w:val="20"/>
          <w:szCs w:val="20"/>
        </w:rPr>
      </w:pPr>
      <w:r w:rsidRPr="00C1799D">
        <w:rPr>
          <w:rFonts w:ascii="Arial" w:hAnsi="Arial" w:cs="Arial"/>
          <w:sz w:val="20"/>
          <w:szCs w:val="20"/>
        </w:rPr>
        <w:t xml:space="preserve">Another critical factor in financial </w:t>
      </w:r>
      <w:r w:rsidR="00D05D4C" w:rsidRPr="00C1799D">
        <w:rPr>
          <w:rFonts w:ascii="Arial" w:hAnsi="Arial" w:cs="Arial"/>
          <w:sz w:val="20"/>
          <w:szCs w:val="20"/>
        </w:rPr>
        <w:t>feasibility is</w:t>
      </w:r>
      <w:r w:rsidRPr="00C1799D">
        <w:rPr>
          <w:rFonts w:ascii="Arial" w:hAnsi="Arial" w:cs="Arial"/>
          <w:sz w:val="20"/>
          <w:szCs w:val="20"/>
        </w:rPr>
        <w:t xml:space="preserve"> the potential for energy savings over the system’s lifespan. Urban households with high energy consumption can benefit significantly by reducing their reliance on expensive grid electricity. Furthermore, many regions allow households to sell surplus energy back to the grid, generating additional income. This "</w:t>
      </w:r>
      <w:proofErr w:type="spellStart"/>
      <w:r w:rsidRPr="00C1799D">
        <w:rPr>
          <w:rFonts w:ascii="Arial" w:hAnsi="Arial" w:cs="Arial"/>
          <w:sz w:val="20"/>
          <w:szCs w:val="20"/>
        </w:rPr>
        <w:t>prosuming</w:t>
      </w:r>
      <w:proofErr w:type="spellEnd"/>
      <w:r w:rsidRPr="00C1799D">
        <w:rPr>
          <w:rFonts w:ascii="Arial" w:hAnsi="Arial" w:cs="Arial"/>
          <w:sz w:val="20"/>
          <w:szCs w:val="20"/>
        </w:rPr>
        <w:t xml:space="preserve">" model (producing and consuming) improves the overall economics of rooftop solar systems. When paired with financing </w:t>
      </w:r>
      <w:r w:rsidRPr="00C1799D">
        <w:rPr>
          <w:rFonts w:ascii="Arial" w:hAnsi="Arial" w:cs="Arial"/>
          <w:sz w:val="20"/>
          <w:szCs w:val="20"/>
        </w:rPr>
        <w:lastRenderedPageBreak/>
        <w:t>options like solar loans or leasing, the entry barriers for installation decrease, making it an attractive option for middle-income urban households.</w:t>
      </w:r>
    </w:p>
    <w:p w14:paraId="53826FFA" w14:textId="77777777" w:rsidR="00D43AE3" w:rsidRPr="00C1799D" w:rsidRDefault="00D43AE3" w:rsidP="00D43AE3">
      <w:pPr>
        <w:pStyle w:val="NormalWeb"/>
        <w:spacing w:line="360" w:lineRule="auto"/>
        <w:jc w:val="both"/>
        <w:rPr>
          <w:rFonts w:ascii="Arial" w:hAnsi="Arial" w:cs="Arial"/>
          <w:sz w:val="20"/>
          <w:szCs w:val="20"/>
        </w:rPr>
      </w:pPr>
      <w:r w:rsidRPr="00C1799D">
        <w:rPr>
          <w:rFonts w:ascii="Arial" w:hAnsi="Arial" w:cs="Arial"/>
          <w:sz w:val="20"/>
          <w:szCs w:val="20"/>
        </w:rPr>
        <w:t xml:space="preserve">However, </w:t>
      </w:r>
      <w:r w:rsidR="00D05D4C" w:rsidRPr="00C1799D">
        <w:rPr>
          <w:rFonts w:ascii="Arial" w:hAnsi="Arial" w:cs="Arial"/>
          <w:sz w:val="20"/>
          <w:szCs w:val="20"/>
        </w:rPr>
        <w:t xml:space="preserve">financial feasibility </w:t>
      </w:r>
      <w:r w:rsidRPr="00C1799D">
        <w:rPr>
          <w:rFonts w:ascii="Arial" w:hAnsi="Arial" w:cs="Arial"/>
          <w:sz w:val="20"/>
          <w:szCs w:val="20"/>
        </w:rPr>
        <w:t xml:space="preserve">can vary based on location-specific factors such as solar irradiance, electricity rates, and the availability of subsidies. While the upfront cost may still be prohibitive for some, innovative financing solutions like pay-as-you-go models and community solar programs are helping to bridge this gap. Over the long term, rooftop solar energy not only reduces electricity bills but also insulates households from rising energy prices, making it a financially prudent choice for urban residents. Moreover, with increasing environmental awareness, the long-term benefits of reduced carbon footprints add to the perceived financial and social value of rooftop solar systems. </w:t>
      </w:r>
    </w:p>
    <w:p w14:paraId="53826FFB" w14:textId="77777777" w:rsidR="00D43AE3" w:rsidRPr="00C1799D" w:rsidRDefault="00F419DF" w:rsidP="00D43AE3">
      <w:pPr>
        <w:pStyle w:val="NormalWeb"/>
        <w:spacing w:line="360" w:lineRule="auto"/>
        <w:jc w:val="both"/>
        <w:rPr>
          <w:rFonts w:ascii="Arial" w:hAnsi="Arial" w:cs="Arial"/>
          <w:sz w:val="20"/>
          <w:szCs w:val="20"/>
        </w:rPr>
      </w:pPr>
      <w:r w:rsidRPr="00C1799D">
        <w:rPr>
          <w:rFonts w:ascii="Arial" w:hAnsi="Arial" w:cs="Arial"/>
          <w:sz w:val="20"/>
          <w:szCs w:val="20"/>
        </w:rPr>
        <w:t xml:space="preserve">This study explores the </w:t>
      </w:r>
      <w:r w:rsidR="00D05D4C" w:rsidRPr="00C1799D">
        <w:rPr>
          <w:rFonts w:ascii="Arial" w:hAnsi="Arial" w:cs="Arial"/>
          <w:sz w:val="20"/>
          <w:szCs w:val="20"/>
        </w:rPr>
        <w:t xml:space="preserve">financial feasibility </w:t>
      </w:r>
      <w:r w:rsidRPr="00C1799D">
        <w:rPr>
          <w:rFonts w:ascii="Arial" w:hAnsi="Arial" w:cs="Arial"/>
          <w:sz w:val="20"/>
          <w:szCs w:val="20"/>
        </w:rPr>
        <w:t xml:space="preserve">of rooftop solar energy for urban households in Mysuru City, focusing on perceptions and adoption trends. With rising energy costs and increasing environmental awareness, rooftop solar offers a sustainable alternative to conventional power sources. The research examines factors such as cost-effectiveness, government incentives, and the potential for energy savings. It also addresses barriers like high initial investments and limited awareness among households. By analyzing these aspects, the study aims to provide insights into the economic feasibility of solar adoption in Mysuru. </w:t>
      </w:r>
    </w:p>
    <w:p w14:paraId="53826FFC" w14:textId="77777777" w:rsidR="00F419DF" w:rsidRPr="003A4016" w:rsidRDefault="00F419DF" w:rsidP="0082453B">
      <w:pPr>
        <w:pStyle w:val="NormalWeb"/>
        <w:spacing w:after="0" w:afterAutospacing="0" w:line="360" w:lineRule="auto"/>
        <w:jc w:val="both"/>
        <w:rPr>
          <w:rFonts w:ascii="Arial" w:hAnsi="Arial" w:cs="Arial"/>
          <w:b/>
          <w:bCs/>
          <w:sz w:val="22"/>
          <w:szCs w:val="22"/>
        </w:rPr>
      </w:pPr>
      <w:r w:rsidRPr="003A4016">
        <w:rPr>
          <w:rFonts w:ascii="Arial" w:hAnsi="Arial" w:cs="Arial"/>
          <w:b/>
          <w:bCs/>
          <w:sz w:val="22"/>
          <w:szCs w:val="22"/>
        </w:rPr>
        <w:t xml:space="preserve">REVIEW OF LITERATURE: </w:t>
      </w:r>
    </w:p>
    <w:p w14:paraId="53826FFD" w14:textId="77777777" w:rsidR="00A975A5" w:rsidRPr="003A4016" w:rsidRDefault="00A975A5" w:rsidP="0082453B">
      <w:pPr>
        <w:pStyle w:val="NormalWeb"/>
        <w:spacing w:before="0" w:beforeAutospacing="0" w:line="360" w:lineRule="auto"/>
        <w:jc w:val="both"/>
        <w:rPr>
          <w:rFonts w:ascii="Arial" w:hAnsi="Arial" w:cs="Arial"/>
          <w:sz w:val="20"/>
          <w:szCs w:val="20"/>
        </w:rPr>
      </w:pPr>
      <w:r w:rsidRPr="003A4016">
        <w:rPr>
          <w:rStyle w:val="Strong"/>
          <w:rFonts w:ascii="Arial" w:hAnsi="Arial" w:cs="Arial"/>
          <w:sz w:val="20"/>
          <w:szCs w:val="20"/>
        </w:rPr>
        <w:t>Singh, P., &amp; Mehta, S. (2022)</w:t>
      </w:r>
      <w:r w:rsidRPr="003A4016">
        <w:rPr>
          <w:rFonts w:ascii="Arial" w:hAnsi="Arial" w:cs="Arial"/>
          <w:sz w:val="20"/>
          <w:szCs w:val="20"/>
        </w:rPr>
        <w:t xml:space="preserve"> - This research focuses on how government policies in India impact the </w:t>
      </w:r>
      <w:r w:rsidR="00D05D4C" w:rsidRPr="003A4016">
        <w:rPr>
          <w:rFonts w:ascii="Arial" w:hAnsi="Arial" w:cs="Arial"/>
          <w:sz w:val="20"/>
          <w:szCs w:val="20"/>
        </w:rPr>
        <w:t xml:space="preserve">financial feasibility </w:t>
      </w:r>
      <w:r w:rsidRPr="003A4016">
        <w:rPr>
          <w:rFonts w:ascii="Arial" w:hAnsi="Arial" w:cs="Arial"/>
          <w:sz w:val="20"/>
          <w:szCs w:val="20"/>
        </w:rPr>
        <w:t>of rooftop solar. Using case studies and policy analysis, the authors find that financial incentives such as tax rebates and subsidies have significantly improved adoption rates, particularly in urban centers like Mysuru. The conclusion suggests expanding these policies and introducing low-interest loans to further reduce financial barriers.</w:t>
      </w:r>
    </w:p>
    <w:p w14:paraId="53826FFE"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Patel, S., &amp; Joshi, V. (2022)</w:t>
      </w:r>
      <w:r w:rsidRPr="003A4016">
        <w:rPr>
          <w:rFonts w:ascii="Arial" w:hAnsi="Arial" w:cs="Arial"/>
          <w:sz w:val="20"/>
          <w:szCs w:val="20"/>
        </w:rPr>
        <w:t xml:space="preserve"> - This study investigates the financial challenges and opportunities of rooftop solar adoption in Mysuru. Through a detailed case study, it was found that while the initial investment is high, the financial returns from reduced electricity bills make it economically viable over time. The study concludes that targeted financial products and greater policy clarity would improve adoption rates.</w:t>
      </w:r>
    </w:p>
    <w:p w14:paraId="53826FFF"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Sood, M., et al. (2022)</w:t>
      </w:r>
      <w:r w:rsidRPr="003A4016">
        <w:rPr>
          <w:rFonts w:ascii="Arial" w:hAnsi="Arial" w:cs="Arial"/>
          <w:sz w:val="20"/>
          <w:szCs w:val="20"/>
        </w:rPr>
        <w:t xml:space="preserve"> - This research explores the economic aspects of rooftop solar installations in urban areas, with a specific focus on middle-income households. Using cost-benefit analysis, the study found that solar systems offer positive long-term returns, although the initial capital required is a barrier for many. The conclusion suggests that government subsidies and financing models are crucial to overcoming this challenge.</w:t>
      </w:r>
    </w:p>
    <w:p w14:paraId="53827000"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Sharma, A., &amp; Gupta, M. (2023)</w:t>
      </w:r>
      <w:r w:rsidRPr="003A4016">
        <w:rPr>
          <w:rFonts w:ascii="Arial" w:hAnsi="Arial" w:cs="Arial"/>
          <w:sz w:val="20"/>
          <w:szCs w:val="20"/>
        </w:rPr>
        <w:t xml:space="preserve"> - This study investigates different financing models for rooftop solar energy, such as loans and lease agreements. Using economic analysis and market data, it finds that urban households in Mysuru are more likely to adopt solar energy if affordable financing options are </w:t>
      </w:r>
      <w:r w:rsidRPr="003A4016">
        <w:rPr>
          <w:rFonts w:ascii="Arial" w:hAnsi="Arial" w:cs="Arial"/>
          <w:sz w:val="20"/>
          <w:szCs w:val="20"/>
        </w:rPr>
        <w:lastRenderedPageBreak/>
        <w:t xml:space="preserve">made available. The conclusion suggests that tailored financing options and improved policy support are necessary for widespread adoption. </w:t>
      </w:r>
    </w:p>
    <w:p w14:paraId="53827001" w14:textId="77777777" w:rsidR="00A975A5" w:rsidRPr="003A4016" w:rsidRDefault="00A975A5" w:rsidP="00A975A5">
      <w:pPr>
        <w:pStyle w:val="NormalWeb"/>
        <w:spacing w:line="360" w:lineRule="auto"/>
        <w:jc w:val="both"/>
        <w:rPr>
          <w:rFonts w:ascii="Arial" w:hAnsi="Arial" w:cs="Arial"/>
          <w:sz w:val="20"/>
          <w:szCs w:val="20"/>
        </w:rPr>
      </w:pPr>
      <w:r w:rsidRPr="003A4016">
        <w:rPr>
          <w:rFonts w:ascii="Arial" w:hAnsi="Arial" w:cs="Arial"/>
          <w:b/>
          <w:bCs/>
          <w:sz w:val="20"/>
          <w:szCs w:val="20"/>
        </w:rPr>
        <w:t>Nair et al., (2023)</w:t>
      </w:r>
      <w:r w:rsidRPr="003A4016">
        <w:rPr>
          <w:rFonts w:ascii="Arial" w:hAnsi="Arial" w:cs="Arial"/>
          <w:sz w:val="20"/>
          <w:szCs w:val="20"/>
        </w:rPr>
        <w:t xml:space="preserve"> assesses the financial feasibility of rooftop solar in Mysuru through a detailed case study. The study finds that while initial installation costs are high, the combination of subsidies, reduced electricity bills, and positive environmental impacts make rooftop solar a financially viable option for urban households in Mysuru over a 10-year period​</w:t>
      </w:r>
    </w:p>
    <w:p w14:paraId="53827002" w14:textId="77777777" w:rsidR="00A975A5" w:rsidRPr="003A4016" w:rsidRDefault="00A975A5" w:rsidP="00A975A5">
      <w:pPr>
        <w:pStyle w:val="NormalWeb"/>
        <w:spacing w:line="360" w:lineRule="auto"/>
        <w:jc w:val="both"/>
        <w:rPr>
          <w:rFonts w:ascii="Arial" w:hAnsi="Arial" w:cs="Arial"/>
          <w:sz w:val="20"/>
          <w:szCs w:val="20"/>
        </w:rPr>
      </w:pPr>
      <w:r w:rsidRPr="003A4016">
        <w:rPr>
          <w:rStyle w:val="Strong"/>
          <w:rFonts w:ascii="Arial" w:hAnsi="Arial" w:cs="Arial"/>
          <w:sz w:val="20"/>
          <w:szCs w:val="20"/>
        </w:rPr>
        <w:t>Joshi, R., et al. (2023)</w:t>
      </w:r>
      <w:r w:rsidRPr="003A4016">
        <w:rPr>
          <w:rFonts w:ascii="Arial" w:hAnsi="Arial" w:cs="Arial"/>
          <w:sz w:val="20"/>
          <w:szCs w:val="20"/>
        </w:rPr>
        <w:t xml:space="preserve"> - This study explores the impact of cost reductions and government subsidies on the adoption of rooftop solar in residential societies. The research uses financial models and surveys to assess how financial incentives influence adoption in urban households. The major finding is that subsidies and cost reductions are key drivers, although high upfront costs remain a barrier. The conclusion emphasizes the need for continued government support to boost adoption.</w:t>
      </w:r>
    </w:p>
    <w:p w14:paraId="53827003" w14:textId="77777777" w:rsidR="008F6D9C" w:rsidRPr="003A4016" w:rsidRDefault="008F6D9C" w:rsidP="008F6D9C">
      <w:pPr>
        <w:pStyle w:val="NormalWeb"/>
        <w:spacing w:line="360" w:lineRule="auto"/>
        <w:jc w:val="both"/>
        <w:rPr>
          <w:rFonts w:ascii="Arial" w:hAnsi="Arial" w:cs="Arial"/>
          <w:sz w:val="20"/>
          <w:szCs w:val="20"/>
        </w:rPr>
      </w:pPr>
      <w:r w:rsidRPr="003A4016">
        <w:rPr>
          <w:rStyle w:val="Strong"/>
          <w:rFonts w:ascii="Arial" w:hAnsi="Arial" w:cs="Arial"/>
          <w:sz w:val="20"/>
          <w:szCs w:val="20"/>
        </w:rPr>
        <w:t>Reddy, P., &amp; Kumar, K. (2024)</w:t>
      </w:r>
      <w:r w:rsidRPr="003A4016">
        <w:rPr>
          <w:rFonts w:ascii="Arial" w:hAnsi="Arial" w:cs="Arial"/>
          <w:sz w:val="20"/>
          <w:szCs w:val="20"/>
        </w:rPr>
        <w:t xml:space="preserve"> - This study assesses public perception of rooftop solar energy and how it affects financial viability. Using survey data and statistical methods, the authors found that although awareness of solar benefits is increasing, financial concerns still deter many potential adopters. The study concludes that targeted education and financial incentives are essential to boost adoption in urban areas.</w:t>
      </w:r>
    </w:p>
    <w:p w14:paraId="53827004" w14:textId="77777777" w:rsidR="008F6D9C" w:rsidRPr="003A4016" w:rsidRDefault="008F6D9C" w:rsidP="008F6D9C">
      <w:pPr>
        <w:pStyle w:val="NormalWeb"/>
        <w:spacing w:line="360" w:lineRule="auto"/>
        <w:jc w:val="both"/>
        <w:rPr>
          <w:rFonts w:ascii="Arial" w:hAnsi="Arial" w:cs="Arial"/>
          <w:sz w:val="20"/>
          <w:szCs w:val="20"/>
        </w:rPr>
      </w:pPr>
      <w:r w:rsidRPr="003A4016">
        <w:rPr>
          <w:rStyle w:val="Strong"/>
          <w:rFonts w:ascii="Arial" w:hAnsi="Arial" w:cs="Arial"/>
          <w:sz w:val="20"/>
          <w:szCs w:val="20"/>
        </w:rPr>
        <w:t>Rodrigues, A., et al. (2024)</w:t>
      </w:r>
      <w:r w:rsidRPr="003A4016">
        <w:rPr>
          <w:rFonts w:ascii="Arial" w:hAnsi="Arial" w:cs="Arial"/>
          <w:sz w:val="20"/>
          <w:szCs w:val="20"/>
        </w:rPr>
        <w:t xml:space="preserve"> - This literature review analyzes the integration of photovoltaics into urban building designs, emphasizing the </w:t>
      </w:r>
      <w:r w:rsidR="00D05D4C" w:rsidRPr="003A4016">
        <w:rPr>
          <w:rFonts w:ascii="Arial" w:hAnsi="Arial" w:cs="Arial"/>
          <w:sz w:val="20"/>
          <w:szCs w:val="20"/>
        </w:rPr>
        <w:t>financial feasibility of</w:t>
      </w:r>
      <w:r w:rsidRPr="003A4016">
        <w:rPr>
          <w:rFonts w:ascii="Arial" w:hAnsi="Arial" w:cs="Arial"/>
          <w:sz w:val="20"/>
          <w:szCs w:val="20"/>
        </w:rPr>
        <w:t xml:space="preserve"> solar energy. The research finds that integrating solar into urban infrastructure reduces land costs, improving the financial feasibility of installations. However, the study also highlights the need for region-specific policy frameworks to ensure effective implementation.</w:t>
      </w:r>
    </w:p>
    <w:p w14:paraId="53827005" w14:textId="77777777" w:rsidR="008F6D9C" w:rsidRPr="005E230A" w:rsidRDefault="008F6D9C" w:rsidP="0082453B">
      <w:pPr>
        <w:pStyle w:val="NormalWeb"/>
        <w:spacing w:after="0" w:afterAutospacing="0" w:line="360" w:lineRule="auto"/>
        <w:jc w:val="both"/>
        <w:rPr>
          <w:rFonts w:ascii="Arial" w:hAnsi="Arial" w:cs="Arial"/>
          <w:b/>
          <w:bCs/>
          <w:sz w:val="22"/>
          <w:szCs w:val="22"/>
        </w:rPr>
      </w:pPr>
      <w:r w:rsidRPr="005E230A">
        <w:rPr>
          <w:rFonts w:ascii="Arial" w:hAnsi="Arial" w:cs="Arial"/>
          <w:b/>
          <w:bCs/>
          <w:sz w:val="22"/>
          <w:szCs w:val="22"/>
        </w:rPr>
        <w:t xml:space="preserve">RESEARCH GAP: </w:t>
      </w:r>
    </w:p>
    <w:p w14:paraId="53827006" w14:textId="77777777" w:rsidR="008F6D9C" w:rsidRPr="005E230A" w:rsidRDefault="008F6D9C" w:rsidP="0082453B">
      <w:pPr>
        <w:pStyle w:val="NormalWeb"/>
        <w:spacing w:before="0" w:beforeAutospacing="0" w:line="360" w:lineRule="auto"/>
        <w:jc w:val="both"/>
        <w:rPr>
          <w:rFonts w:ascii="Arial" w:hAnsi="Arial" w:cs="Arial"/>
          <w:sz w:val="20"/>
          <w:szCs w:val="20"/>
        </w:rPr>
      </w:pPr>
      <w:r w:rsidRPr="005E230A">
        <w:rPr>
          <w:rFonts w:ascii="Arial" w:hAnsi="Arial" w:cs="Arial"/>
          <w:sz w:val="20"/>
          <w:szCs w:val="20"/>
        </w:rPr>
        <w:t xml:space="preserve">The literature on the </w:t>
      </w:r>
      <w:r w:rsidR="00D05D4C" w:rsidRPr="005E230A">
        <w:rPr>
          <w:rFonts w:ascii="Arial" w:hAnsi="Arial" w:cs="Arial"/>
          <w:sz w:val="20"/>
          <w:szCs w:val="20"/>
        </w:rPr>
        <w:t>financial feasibility of</w:t>
      </w:r>
      <w:r w:rsidRPr="005E230A">
        <w:rPr>
          <w:rFonts w:ascii="Arial" w:hAnsi="Arial" w:cs="Arial"/>
          <w:sz w:val="20"/>
          <w:szCs w:val="20"/>
        </w:rPr>
        <w:t xml:space="preserve"> rooftop solar energy for urban households, particularly in cities like Mysuru, highlights several key insights, but also reveals significant research gaps. While studies have emphasized the role of government subsidies, financing models, and net metering in promoting rooftop solar adoption (Joshi et al., 2023; Reddy &amp; Kumar, 2024), few studies have focused specifically on the financial barriers faced by middle-income urban households in Mysuru. Research in other regions, also identifies awareness as a major issue, but there is limited localized data on how financial perceptions and barriers differ across various demographic groups in Mysuru. Furthermore, while financial models like subsidies, loans, and leasing options have been discussed broadly (Sood et al., 2022; Sharma &amp; Gupta, 2023), there is a lack of region-specific research on how these models can be tailored to the socio-economic conditions of Mysuru's urban population.</w:t>
      </w:r>
    </w:p>
    <w:p w14:paraId="53827007" w14:textId="77777777" w:rsidR="008F6D9C" w:rsidRPr="005E230A" w:rsidRDefault="008F6D9C" w:rsidP="008F6D9C">
      <w:pPr>
        <w:pStyle w:val="NormalWeb"/>
        <w:spacing w:line="360" w:lineRule="auto"/>
        <w:jc w:val="both"/>
        <w:rPr>
          <w:rFonts w:ascii="Arial" w:hAnsi="Arial" w:cs="Arial"/>
          <w:sz w:val="20"/>
          <w:szCs w:val="20"/>
        </w:rPr>
      </w:pPr>
      <w:r w:rsidRPr="005E230A">
        <w:rPr>
          <w:rFonts w:ascii="Arial" w:hAnsi="Arial" w:cs="Arial"/>
          <w:sz w:val="20"/>
          <w:szCs w:val="20"/>
        </w:rPr>
        <w:t xml:space="preserve">Moreover, studies such as those by Patel &amp; Joshi (2022) have addressed the role of net metering and other technical interventions in improving financial viability, but there is still a gap in understanding the long-term economic returns from rooftop solar in Mysuru’s specific urban context. Few studies have </w:t>
      </w:r>
      <w:r w:rsidRPr="005E230A">
        <w:rPr>
          <w:rFonts w:ascii="Arial" w:hAnsi="Arial" w:cs="Arial"/>
          <w:sz w:val="20"/>
          <w:szCs w:val="20"/>
        </w:rPr>
        <w:lastRenderedPageBreak/>
        <w:t>incorporated financial modeling and cost-benefit analysis that reflect the local electricity rates, sunlight hours, and typical household energy consumption patterns in Mysuru (Singh &amp; Mehta, 2022). There is also a dearth of research examining the combined impact of public perception, financial education, and policy incentives on the adoption rates of rooftop solar in Mysuru. Addressing these gaps could provide valuable insights for developing more effective financial models and policy frameworks to promote rooftop solar adoption in Mysuru and similar urban centers.</w:t>
      </w:r>
    </w:p>
    <w:p w14:paraId="53827008" w14:textId="77777777" w:rsidR="0082453B" w:rsidRPr="005E230A" w:rsidRDefault="0082453B" w:rsidP="0082453B">
      <w:pPr>
        <w:pStyle w:val="NormalWeb"/>
        <w:spacing w:after="0" w:afterAutospacing="0" w:line="360" w:lineRule="auto"/>
        <w:jc w:val="both"/>
        <w:rPr>
          <w:rFonts w:ascii="Arial" w:hAnsi="Arial" w:cs="Arial"/>
          <w:b/>
          <w:bCs/>
          <w:sz w:val="22"/>
          <w:szCs w:val="22"/>
        </w:rPr>
      </w:pPr>
      <w:r w:rsidRPr="005E230A">
        <w:rPr>
          <w:rFonts w:ascii="Arial" w:hAnsi="Arial" w:cs="Arial"/>
          <w:b/>
          <w:bCs/>
          <w:sz w:val="22"/>
          <w:szCs w:val="22"/>
        </w:rPr>
        <w:t xml:space="preserve">NEED FOR THE STUDY: </w:t>
      </w:r>
    </w:p>
    <w:p w14:paraId="53827009" w14:textId="77777777" w:rsidR="0082453B" w:rsidRPr="005E230A" w:rsidRDefault="0082453B" w:rsidP="0082453B">
      <w:pPr>
        <w:pStyle w:val="NormalWeb"/>
        <w:spacing w:before="0" w:beforeAutospacing="0" w:line="360" w:lineRule="auto"/>
        <w:jc w:val="both"/>
        <w:rPr>
          <w:rFonts w:ascii="Arial" w:hAnsi="Arial" w:cs="Arial"/>
          <w:sz w:val="20"/>
          <w:szCs w:val="20"/>
        </w:rPr>
      </w:pPr>
      <w:r w:rsidRPr="005E230A">
        <w:rPr>
          <w:rFonts w:ascii="Arial" w:hAnsi="Arial" w:cs="Arial"/>
          <w:sz w:val="20"/>
          <w:szCs w:val="20"/>
        </w:rPr>
        <w:t xml:space="preserve">The need for this study stems from the increasing significance of rooftop solar energy as a sustainable solution for urban households, particularly in cities like Mysuru. Although government incentives and subsidies exist, financial barriers such as high initial costs and limited awareness about available financial models still hinder widespread adoption. Much of the existing research has focused on the broader technical and policy frameworks, with limited attention given to the specific financial challenges faced by urban populations in smaller cities. Furthermore, the role of financial models like loans, subsidies, and leasing options, when tailored to the local context, has not been fully explored. Additionally, understanding how public perception and financial literacy influence solar adoption is crucial in designing strategies that improve access and affordability for households in Mysuru. This study aims to address these gaps and provide insights that can help increase the </w:t>
      </w:r>
      <w:r w:rsidR="00D05D4C" w:rsidRPr="005E230A">
        <w:rPr>
          <w:rFonts w:ascii="Arial" w:hAnsi="Arial" w:cs="Arial"/>
          <w:sz w:val="20"/>
          <w:szCs w:val="20"/>
        </w:rPr>
        <w:t>financial feasibility of</w:t>
      </w:r>
      <w:r w:rsidRPr="005E230A">
        <w:rPr>
          <w:rFonts w:ascii="Arial" w:hAnsi="Arial" w:cs="Arial"/>
          <w:sz w:val="20"/>
          <w:szCs w:val="20"/>
        </w:rPr>
        <w:t xml:space="preserve"> rooftop solar energy for urban households. </w:t>
      </w:r>
    </w:p>
    <w:p w14:paraId="5382700A" w14:textId="77777777" w:rsidR="0082453B" w:rsidRPr="005E230A" w:rsidRDefault="0082453B" w:rsidP="0082453B">
      <w:pPr>
        <w:pStyle w:val="NormalWeb"/>
        <w:spacing w:before="0" w:beforeAutospacing="0" w:after="0" w:afterAutospacing="0" w:line="360" w:lineRule="auto"/>
        <w:jc w:val="both"/>
        <w:rPr>
          <w:rFonts w:ascii="Arial" w:hAnsi="Arial" w:cs="Arial"/>
          <w:b/>
          <w:bCs/>
          <w:sz w:val="22"/>
          <w:szCs w:val="22"/>
        </w:rPr>
      </w:pPr>
      <w:r w:rsidRPr="005E230A">
        <w:rPr>
          <w:rFonts w:ascii="Arial" w:hAnsi="Arial" w:cs="Arial"/>
          <w:b/>
          <w:bCs/>
          <w:sz w:val="22"/>
          <w:szCs w:val="22"/>
        </w:rPr>
        <w:t xml:space="preserve">RESEARCH PROBLEM: </w:t>
      </w:r>
    </w:p>
    <w:p w14:paraId="5382700D" w14:textId="2DDC0611" w:rsidR="00D05D4C" w:rsidRPr="005E230A" w:rsidRDefault="0082453B" w:rsidP="0082453B">
      <w:pPr>
        <w:pStyle w:val="NormalWeb"/>
        <w:spacing w:before="0" w:beforeAutospacing="0" w:line="360" w:lineRule="auto"/>
        <w:jc w:val="both"/>
        <w:rPr>
          <w:rFonts w:ascii="Arial" w:hAnsi="Arial" w:cs="Arial"/>
          <w:sz w:val="20"/>
          <w:szCs w:val="20"/>
        </w:rPr>
      </w:pPr>
      <w:r w:rsidRPr="005E230A">
        <w:rPr>
          <w:rFonts w:ascii="Arial" w:hAnsi="Arial" w:cs="Arial"/>
          <w:sz w:val="20"/>
          <w:szCs w:val="20"/>
        </w:rPr>
        <w:t xml:space="preserve">The research problems related to the </w:t>
      </w:r>
      <w:r w:rsidR="00D05D4C" w:rsidRPr="005E230A">
        <w:rPr>
          <w:rFonts w:ascii="Arial" w:hAnsi="Arial" w:cs="Arial"/>
          <w:sz w:val="20"/>
          <w:szCs w:val="20"/>
        </w:rPr>
        <w:t>financial feasibility of</w:t>
      </w:r>
      <w:r w:rsidRPr="005E230A">
        <w:rPr>
          <w:rFonts w:ascii="Arial" w:hAnsi="Arial" w:cs="Arial"/>
          <w:sz w:val="20"/>
          <w:szCs w:val="20"/>
        </w:rPr>
        <w:t xml:space="preserve"> rooftop solar energy for urban households in Mysuru City center on several key issues. Despite the availability of government subsidies and financing models like loans, the high upfront costs continue to deter many middle-income households from adopting rooftop solar, particularly in smaller cities like Mysuru. There is also a significant gap in understanding how these financial models can be tailored to the specific socio-economic context of the city. Additionally, limited awareness and knowledge of available financial incentives further exacerbate the challenge, as potential adopters are unaware of the opportunities available to them. The long-term financial benefits of rooftop solar, such as savings on electricity bills, have also not been sufficiently explored in the context of Mysuru’s households. Furthermore, the role of public perception and financial literacy in influencing adoption decisions remains under-researched, highlighting the need for more targeted educational efforts to bridge this gap.</w:t>
      </w:r>
    </w:p>
    <w:p w14:paraId="5382700E" w14:textId="77777777" w:rsidR="005741E4" w:rsidRPr="005E230A" w:rsidRDefault="00FF2DBC" w:rsidP="008C5F0B">
      <w:pPr>
        <w:pStyle w:val="NormalWeb"/>
        <w:spacing w:before="0" w:beforeAutospacing="0" w:after="0" w:afterAutospacing="0" w:line="360" w:lineRule="auto"/>
        <w:jc w:val="both"/>
        <w:rPr>
          <w:rFonts w:ascii="Arial" w:hAnsi="Arial" w:cs="Arial"/>
          <w:b/>
          <w:bCs/>
          <w:sz w:val="22"/>
          <w:szCs w:val="22"/>
        </w:rPr>
      </w:pPr>
      <w:r w:rsidRPr="005E230A">
        <w:rPr>
          <w:rFonts w:ascii="Arial" w:hAnsi="Arial" w:cs="Arial"/>
          <w:b/>
          <w:bCs/>
          <w:sz w:val="22"/>
          <w:szCs w:val="22"/>
        </w:rPr>
        <w:t>RESEARCH QUESTIONS</w:t>
      </w:r>
    </w:p>
    <w:p w14:paraId="5382700F" w14:textId="77777777" w:rsidR="00B949C0" w:rsidRPr="005E230A" w:rsidRDefault="00B949C0" w:rsidP="00B949C0">
      <w:pPr>
        <w:pStyle w:val="ListParagraph"/>
        <w:numPr>
          <w:ilvl w:val="0"/>
          <w:numId w:val="1"/>
        </w:numPr>
        <w:spacing w:after="0"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To what extent are urban households in Mysuru aware of government subsidies, incentives, and financial schemes for rooftop solar installations?</w:t>
      </w:r>
    </w:p>
    <w:p w14:paraId="53827010" w14:textId="77777777" w:rsidR="00B949C0" w:rsidRPr="005E230A" w:rsidRDefault="00B949C0" w:rsidP="00B949C0">
      <w:pPr>
        <w:pStyle w:val="ListParagraph"/>
        <w:numPr>
          <w:ilvl w:val="0"/>
          <w:numId w:val="1"/>
        </w:numPr>
        <w:spacing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 xml:space="preserve">How do demographic factors, such as income levels and household energy consumption patterns, impact the perceived </w:t>
      </w:r>
      <w:r w:rsidR="00D05D4C" w:rsidRPr="005E230A">
        <w:rPr>
          <w:rFonts w:ascii="Arial" w:eastAsia="Times New Roman" w:hAnsi="Arial" w:cs="Arial"/>
          <w:sz w:val="20"/>
          <w:szCs w:val="20"/>
        </w:rPr>
        <w:t>financial feasibility of</w:t>
      </w:r>
      <w:r w:rsidRPr="005E230A">
        <w:rPr>
          <w:rFonts w:ascii="Arial" w:eastAsia="Times New Roman" w:hAnsi="Arial" w:cs="Arial"/>
          <w:sz w:val="20"/>
          <w:szCs w:val="20"/>
        </w:rPr>
        <w:t xml:space="preserve"> rooftop solar energy in Mysuru?</w:t>
      </w:r>
    </w:p>
    <w:p w14:paraId="53827011" w14:textId="77777777" w:rsidR="00561EF6" w:rsidRPr="005E230A" w:rsidRDefault="00561EF6" w:rsidP="00561EF6">
      <w:pPr>
        <w:pStyle w:val="ListParagraph"/>
        <w:numPr>
          <w:ilvl w:val="0"/>
          <w:numId w:val="1"/>
        </w:numPr>
        <w:spacing w:after="0"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t>How do perceptions of long-term cost savings and return on investment influence the adoption of rooftop solar systems among Mysuru’s urban population?</w:t>
      </w:r>
    </w:p>
    <w:p w14:paraId="53827012" w14:textId="77777777" w:rsidR="00FF2DBC" w:rsidRPr="005E230A" w:rsidRDefault="00FF2DBC" w:rsidP="00561EF6">
      <w:pPr>
        <w:pStyle w:val="ListParagraph"/>
        <w:numPr>
          <w:ilvl w:val="0"/>
          <w:numId w:val="1"/>
        </w:numPr>
        <w:spacing w:line="360" w:lineRule="auto"/>
        <w:ind w:left="270" w:hanging="270"/>
        <w:jc w:val="both"/>
        <w:rPr>
          <w:rFonts w:ascii="Arial" w:eastAsia="Times New Roman" w:hAnsi="Arial" w:cs="Arial"/>
          <w:sz w:val="20"/>
          <w:szCs w:val="20"/>
        </w:rPr>
      </w:pPr>
      <w:r w:rsidRPr="005E230A">
        <w:rPr>
          <w:rFonts w:ascii="Arial" w:eastAsia="Times New Roman" w:hAnsi="Arial" w:cs="Arial"/>
          <w:sz w:val="20"/>
          <w:szCs w:val="20"/>
        </w:rPr>
        <w:lastRenderedPageBreak/>
        <w:t>What are the primary financial barriers faced by urban households in Mysuru in adopting rooftop solar energy systems?</w:t>
      </w:r>
    </w:p>
    <w:p w14:paraId="53827013" w14:textId="77777777" w:rsidR="00B207FB" w:rsidRPr="00E36A07" w:rsidRDefault="00B207FB" w:rsidP="00E024D9">
      <w:pPr>
        <w:pStyle w:val="NormalWeb"/>
        <w:spacing w:before="0" w:beforeAutospacing="0" w:after="0" w:afterAutospacing="0" w:line="360" w:lineRule="auto"/>
        <w:jc w:val="both"/>
        <w:rPr>
          <w:rFonts w:ascii="Arial" w:hAnsi="Arial" w:cs="Arial"/>
          <w:b/>
          <w:bCs/>
          <w:sz w:val="22"/>
          <w:szCs w:val="22"/>
        </w:rPr>
      </w:pPr>
      <w:r w:rsidRPr="00E36A07">
        <w:rPr>
          <w:rFonts w:ascii="Arial" w:hAnsi="Arial" w:cs="Arial"/>
          <w:b/>
          <w:bCs/>
          <w:sz w:val="22"/>
          <w:szCs w:val="22"/>
        </w:rPr>
        <w:t xml:space="preserve">OBJECTIVES OF THE STUDY: </w:t>
      </w:r>
    </w:p>
    <w:p w14:paraId="53827014" w14:textId="77777777" w:rsidR="00646341" w:rsidRPr="00E36A07" w:rsidRDefault="00646341" w:rsidP="00B949C0">
      <w:pPr>
        <w:pStyle w:val="NormalWeb"/>
        <w:numPr>
          <w:ilvl w:val="1"/>
          <w:numId w:val="1"/>
        </w:numPr>
        <w:spacing w:before="0" w:beforeAutospacing="0" w:line="360" w:lineRule="auto"/>
        <w:ind w:left="360"/>
        <w:jc w:val="both"/>
        <w:rPr>
          <w:rFonts w:ascii="Arial" w:hAnsi="Arial" w:cs="Arial"/>
          <w:sz w:val="20"/>
          <w:szCs w:val="20"/>
        </w:rPr>
      </w:pPr>
      <w:r w:rsidRPr="00E36A07">
        <w:rPr>
          <w:rStyle w:val="Strong"/>
          <w:rFonts w:ascii="Arial" w:hAnsi="Arial" w:cs="Arial"/>
          <w:b w:val="0"/>
          <w:bCs w:val="0"/>
          <w:sz w:val="20"/>
          <w:szCs w:val="20"/>
        </w:rPr>
        <w:t>To d</w:t>
      </w:r>
      <w:r w:rsidRPr="00E36A07">
        <w:rPr>
          <w:rFonts w:ascii="Arial" w:hAnsi="Arial" w:cs="Arial"/>
          <w:sz w:val="20"/>
          <w:szCs w:val="20"/>
        </w:rPr>
        <w:t>etermine the level of awareness among urban households in Mysuru regarding government subsidies, incentives, and financial schemes for rooftop solar installations.</w:t>
      </w:r>
    </w:p>
    <w:p w14:paraId="53827015" w14:textId="77777777" w:rsidR="00646341" w:rsidRPr="00E36A07" w:rsidRDefault="00646341" w:rsidP="00646341">
      <w:pPr>
        <w:pStyle w:val="NormalWeb"/>
        <w:numPr>
          <w:ilvl w:val="1"/>
          <w:numId w:val="1"/>
        </w:numPr>
        <w:spacing w:line="360" w:lineRule="auto"/>
        <w:ind w:left="360"/>
        <w:jc w:val="both"/>
        <w:rPr>
          <w:rFonts w:ascii="Arial" w:hAnsi="Arial" w:cs="Arial"/>
          <w:sz w:val="20"/>
          <w:szCs w:val="20"/>
        </w:rPr>
      </w:pPr>
      <w:r w:rsidRPr="00E36A07">
        <w:rPr>
          <w:rStyle w:val="Strong"/>
          <w:rFonts w:ascii="Arial" w:hAnsi="Arial" w:cs="Arial"/>
          <w:b w:val="0"/>
          <w:bCs w:val="0"/>
          <w:sz w:val="20"/>
          <w:szCs w:val="20"/>
        </w:rPr>
        <w:t xml:space="preserve">To </w:t>
      </w:r>
      <w:r w:rsidRPr="00E36A07">
        <w:rPr>
          <w:rFonts w:ascii="Arial" w:hAnsi="Arial" w:cs="Arial"/>
          <w:sz w:val="20"/>
          <w:szCs w:val="20"/>
        </w:rPr>
        <w:t xml:space="preserve">investigate the influence of demographic factors on the perceived </w:t>
      </w:r>
      <w:r w:rsidR="00D05D4C" w:rsidRPr="00E36A07">
        <w:rPr>
          <w:rFonts w:ascii="Arial" w:hAnsi="Arial" w:cs="Arial"/>
          <w:sz w:val="20"/>
          <w:szCs w:val="20"/>
        </w:rPr>
        <w:t>financial feasibility of</w:t>
      </w:r>
      <w:r w:rsidRPr="00E36A07">
        <w:rPr>
          <w:rFonts w:ascii="Arial" w:hAnsi="Arial" w:cs="Arial"/>
          <w:sz w:val="20"/>
          <w:szCs w:val="20"/>
        </w:rPr>
        <w:t xml:space="preserve"> rooftop solar energy in Mysuru.</w:t>
      </w:r>
    </w:p>
    <w:p w14:paraId="53827016" w14:textId="77777777" w:rsidR="00646341" w:rsidRPr="00E36A07" w:rsidRDefault="00646341" w:rsidP="00646341">
      <w:pPr>
        <w:pStyle w:val="NormalWeb"/>
        <w:numPr>
          <w:ilvl w:val="1"/>
          <w:numId w:val="1"/>
        </w:numPr>
        <w:spacing w:line="360" w:lineRule="auto"/>
        <w:ind w:left="360"/>
        <w:jc w:val="both"/>
        <w:rPr>
          <w:rFonts w:ascii="Arial" w:hAnsi="Arial" w:cs="Arial"/>
          <w:sz w:val="20"/>
          <w:szCs w:val="20"/>
        </w:rPr>
      </w:pPr>
      <w:r w:rsidRPr="00E36A07">
        <w:rPr>
          <w:rStyle w:val="Strong"/>
          <w:rFonts w:ascii="Arial" w:hAnsi="Arial" w:cs="Arial"/>
          <w:b w:val="0"/>
          <w:bCs w:val="0"/>
          <w:sz w:val="20"/>
          <w:szCs w:val="20"/>
        </w:rPr>
        <w:t xml:space="preserve">To </w:t>
      </w:r>
      <w:r w:rsidRPr="00E36A07">
        <w:rPr>
          <w:rFonts w:ascii="Arial" w:hAnsi="Arial" w:cs="Arial"/>
          <w:sz w:val="20"/>
          <w:szCs w:val="20"/>
        </w:rPr>
        <w:t>evaluate how perceptions of long-term financial benefits influence the adoption of rooftop solar systems.</w:t>
      </w:r>
    </w:p>
    <w:p w14:paraId="53827017" w14:textId="77777777" w:rsidR="00B207FB" w:rsidRPr="00E36A07" w:rsidRDefault="00B207FB" w:rsidP="00E024D9">
      <w:pPr>
        <w:pStyle w:val="NormalWeb"/>
        <w:numPr>
          <w:ilvl w:val="1"/>
          <w:numId w:val="1"/>
        </w:numPr>
        <w:spacing w:before="0" w:beforeAutospacing="0" w:line="360" w:lineRule="auto"/>
        <w:ind w:left="360"/>
        <w:jc w:val="both"/>
        <w:rPr>
          <w:rFonts w:ascii="Arial" w:hAnsi="Arial" w:cs="Arial"/>
          <w:sz w:val="20"/>
          <w:szCs w:val="20"/>
        </w:rPr>
      </w:pPr>
      <w:r w:rsidRPr="00E36A07">
        <w:rPr>
          <w:rStyle w:val="Strong"/>
          <w:rFonts w:ascii="Arial" w:hAnsi="Arial" w:cs="Arial"/>
          <w:b w:val="0"/>
          <w:bCs w:val="0"/>
          <w:sz w:val="20"/>
          <w:szCs w:val="20"/>
        </w:rPr>
        <w:t xml:space="preserve">To </w:t>
      </w:r>
      <w:r w:rsidR="00C81309" w:rsidRPr="00E36A07">
        <w:rPr>
          <w:rFonts w:ascii="Arial" w:hAnsi="Arial" w:cs="Arial"/>
          <w:sz w:val="20"/>
          <w:szCs w:val="20"/>
        </w:rPr>
        <w:t>examine</w:t>
      </w:r>
      <w:r w:rsidRPr="00E36A07">
        <w:rPr>
          <w:rFonts w:ascii="Arial" w:hAnsi="Arial" w:cs="Arial"/>
          <w:sz w:val="20"/>
          <w:szCs w:val="20"/>
        </w:rPr>
        <w:t xml:space="preserve"> the primary financial challenges</w:t>
      </w:r>
      <w:r w:rsidR="00E024D9" w:rsidRPr="00E36A07">
        <w:rPr>
          <w:rFonts w:ascii="Arial" w:hAnsi="Arial" w:cs="Arial"/>
          <w:sz w:val="20"/>
          <w:szCs w:val="20"/>
        </w:rPr>
        <w:t xml:space="preserve"> </w:t>
      </w:r>
      <w:r w:rsidRPr="00E36A07">
        <w:rPr>
          <w:rFonts w:ascii="Arial" w:hAnsi="Arial" w:cs="Arial"/>
          <w:sz w:val="20"/>
          <w:szCs w:val="20"/>
        </w:rPr>
        <w:t>that prevent urban households in Mysuru from adopting rooftop solar energy systems.</w:t>
      </w:r>
    </w:p>
    <w:p w14:paraId="53827018" w14:textId="77777777" w:rsidR="00E024D9" w:rsidRPr="00923AF2" w:rsidRDefault="00E024D9" w:rsidP="00646341">
      <w:pPr>
        <w:pStyle w:val="NormalWeb"/>
        <w:spacing w:after="0" w:afterAutospacing="0" w:line="360" w:lineRule="auto"/>
        <w:jc w:val="both"/>
        <w:rPr>
          <w:rFonts w:ascii="Arial" w:hAnsi="Arial" w:cs="Arial"/>
          <w:b/>
          <w:bCs/>
          <w:sz w:val="22"/>
          <w:szCs w:val="22"/>
        </w:rPr>
      </w:pPr>
      <w:r w:rsidRPr="00923AF2">
        <w:rPr>
          <w:rFonts w:ascii="Arial" w:hAnsi="Arial" w:cs="Arial"/>
          <w:b/>
          <w:bCs/>
          <w:sz w:val="22"/>
          <w:szCs w:val="22"/>
        </w:rPr>
        <w:t xml:space="preserve">HYPOTHESES FOR THE STUDY: </w:t>
      </w:r>
    </w:p>
    <w:p w14:paraId="53827019" w14:textId="77777777" w:rsidR="00646341" w:rsidRPr="002054FD" w:rsidRDefault="00A16128" w:rsidP="00A16128">
      <w:pPr>
        <w:numPr>
          <w:ilvl w:val="0"/>
          <w:numId w:val="4"/>
        </w:numPr>
        <w:tabs>
          <w:tab w:val="clear" w:pos="720"/>
          <w:tab w:val="num" w:pos="270"/>
        </w:tabs>
        <w:spacing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w:t>
      </w:r>
      <w:r w:rsidR="00646341" w:rsidRPr="002054FD">
        <w:rPr>
          <w:rFonts w:ascii="Arial" w:eastAsia="Times New Roman" w:hAnsi="Arial" w:cs="Arial"/>
          <w:b/>
          <w:bCs/>
          <w:sz w:val="20"/>
          <w:szCs w:val="20"/>
        </w:rPr>
        <w:t>Objective</w:t>
      </w:r>
      <w:r w:rsidRPr="002054FD">
        <w:rPr>
          <w:rFonts w:ascii="Arial" w:eastAsia="Times New Roman" w:hAnsi="Arial" w:cs="Arial"/>
          <w:b/>
          <w:bCs/>
          <w:sz w:val="20"/>
          <w:szCs w:val="20"/>
        </w:rPr>
        <w:t xml:space="preserve"> 1</w:t>
      </w:r>
      <w:r w:rsidR="00646341" w:rsidRPr="002054FD">
        <w:rPr>
          <w:rFonts w:ascii="Arial" w:eastAsia="Times New Roman" w:hAnsi="Arial" w:cs="Arial"/>
          <w:b/>
          <w:bCs/>
          <w:sz w:val="20"/>
          <w:szCs w:val="20"/>
        </w:rPr>
        <w:t xml:space="preserve">: </w:t>
      </w:r>
    </w:p>
    <w:p w14:paraId="5382701A"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Awareness of government subsidies, incentives, and financial schemes does not affect the adoption of rooftop solar energy systems in Mysuru.</w:t>
      </w:r>
    </w:p>
    <w:p w14:paraId="5382701B"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Awareness of government subsidies, incentives, and financial schemes significantly affects the adoption of rooftop solar energy systems in Mysuru.</w:t>
      </w:r>
    </w:p>
    <w:p w14:paraId="5382701C" w14:textId="77777777" w:rsidR="00646341" w:rsidRPr="002054FD" w:rsidRDefault="00A16128" w:rsidP="00646341">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w:t>
      </w:r>
      <w:r w:rsidR="00646341" w:rsidRPr="002054FD">
        <w:rPr>
          <w:rFonts w:ascii="Arial" w:eastAsia="Times New Roman" w:hAnsi="Arial" w:cs="Arial"/>
          <w:b/>
          <w:bCs/>
          <w:sz w:val="20"/>
          <w:szCs w:val="20"/>
        </w:rPr>
        <w:t>Objective</w:t>
      </w:r>
      <w:r w:rsidRPr="002054FD">
        <w:rPr>
          <w:rFonts w:ascii="Arial" w:eastAsia="Times New Roman" w:hAnsi="Arial" w:cs="Arial"/>
          <w:b/>
          <w:bCs/>
          <w:sz w:val="20"/>
          <w:szCs w:val="20"/>
        </w:rPr>
        <w:t xml:space="preserve"> 2</w:t>
      </w:r>
      <w:r w:rsidR="00646341" w:rsidRPr="002054FD">
        <w:rPr>
          <w:rFonts w:ascii="Arial" w:eastAsia="Times New Roman" w:hAnsi="Arial" w:cs="Arial"/>
          <w:b/>
          <w:bCs/>
          <w:sz w:val="20"/>
          <w:szCs w:val="20"/>
        </w:rPr>
        <w:t xml:space="preserve">: </w:t>
      </w:r>
    </w:p>
    <w:p w14:paraId="5382701D"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xml:space="preserve">: Demographic factors such as income levels and household energy consumption patterns do not influence the perceived </w:t>
      </w:r>
      <w:r w:rsidR="00D05D4C" w:rsidRPr="002054FD">
        <w:rPr>
          <w:rFonts w:ascii="Arial" w:eastAsia="Times New Roman" w:hAnsi="Arial" w:cs="Arial"/>
          <w:sz w:val="20"/>
          <w:szCs w:val="20"/>
        </w:rPr>
        <w:t>financial feasibility of</w:t>
      </w:r>
      <w:r w:rsidRPr="002054FD">
        <w:rPr>
          <w:rFonts w:ascii="Arial" w:eastAsia="Times New Roman" w:hAnsi="Arial" w:cs="Arial"/>
          <w:sz w:val="20"/>
          <w:szCs w:val="20"/>
        </w:rPr>
        <w:t xml:space="preserve"> rooftop solar energy in Mysuru.</w:t>
      </w:r>
    </w:p>
    <w:p w14:paraId="5382701E" w14:textId="77777777" w:rsidR="00646341" w:rsidRPr="002054FD" w:rsidRDefault="00646341" w:rsidP="00646341">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xml:space="preserve">: Demographic factors such as income levels and household energy consumption patterns significantly influence the perceived </w:t>
      </w:r>
      <w:r w:rsidR="00D05D4C" w:rsidRPr="002054FD">
        <w:rPr>
          <w:rFonts w:ascii="Arial" w:eastAsia="Times New Roman" w:hAnsi="Arial" w:cs="Arial"/>
          <w:sz w:val="20"/>
          <w:szCs w:val="20"/>
        </w:rPr>
        <w:t>financial feasibility of</w:t>
      </w:r>
      <w:r w:rsidRPr="002054FD">
        <w:rPr>
          <w:rFonts w:ascii="Arial" w:eastAsia="Times New Roman" w:hAnsi="Arial" w:cs="Arial"/>
          <w:sz w:val="20"/>
          <w:szCs w:val="20"/>
        </w:rPr>
        <w:t xml:space="preserve"> rooftop solar energy in Mysuru.</w:t>
      </w:r>
    </w:p>
    <w:p w14:paraId="5382701F" w14:textId="77777777" w:rsidR="00D05D4C" w:rsidRPr="0039337E" w:rsidRDefault="00D05D4C" w:rsidP="00D05D4C">
      <w:pPr>
        <w:tabs>
          <w:tab w:val="num" w:pos="1440"/>
        </w:tabs>
        <w:spacing w:before="100" w:beforeAutospacing="1" w:after="100" w:afterAutospacing="1" w:line="360" w:lineRule="auto"/>
        <w:jc w:val="both"/>
        <w:rPr>
          <w:rFonts w:ascii="Arial" w:eastAsia="Times New Roman" w:hAnsi="Arial" w:cs="Arial"/>
          <w:sz w:val="24"/>
          <w:szCs w:val="24"/>
        </w:rPr>
      </w:pPr>
    </w:p>
    <w:p w14:paraId="53827020" w14:textId="77777777" w:rsidR="00A16128" w:rsidRPr="002054FD" w:rsidRDefault="00A16128" w:rsidP="00933B7B">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Objective 3: </w:t>
      </w:r>
    </w:p>
    <w:p w14:paraId="53827021"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Perceptions of long-term cost savings and return on investment do not influence the adoption of rooftop solar energy systems in Mysuru.</w:t>
      </w:r>
    </w:p>
    <w:p w14:paraId="53827022"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Perceptions of long-term cost savings and return on investment significantly influence the adoption of rooftop solar energy systems in Mysuru.</w:t>
      </w:r>
    </w:p>
    <w:p w14:paraId="53827023" w14:textId="77777777" w:rsidR="00A16128" w:rsidRPr="002054FD" w:rsidRDefault="00A16128" w:rsidP="00A16128">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b/>
          <w:bCs/>
          <w:sz w:val="20"/>
          <w:szCs w:val="20"/>
        </w:rPr>
        <w:t xml:space="preserve">For Objective </w:t>
      </w:r>
      <w:r w:rsidR="00CF38C6" w:rsidRPr="002054FD">
        <w:rPr>
          <w:rFonts w:ascii="Arial" w:eastAsia="Times New Roman" w:hAnsi="Arial" w:cs="Arial"/>
          <w:b/>
          <w:bCs/>
          <w:sz w:val="20"/>
          <w:szCs w:val="20"/>
        </w:rPr>
        <w:t>4</w:t>
      </w:r>
      <w:r w:rsidRPr="002054FD">
        <w:rPr>
          <w:rFonts w:ascii="Arial" w:eastAsia="Times New Roman" w:hAnsi="Arial" w:cs="Arial"/>
          <w:b/>
          <w:bCs/>
          <w:sz w:val="20"/>
          <w:szCs w:val="20"/>
        </w:rPr>
        <w:t xml:space="preserve">: </w:t>
      </w:r>
    </w:p>
    <w:p w14:paraId="53827024"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₀</w:t>
      </w:r>
      <w:r w:rsidRPr="002054FD">
        <w:rPr>
          <w:rFonts w:ascii="Arial" w:eastAsia="Times New Roman" w:hAnsi="Arial" w:cs="Arial"/>
          <w:sz w:val="20"/>
          <w:szCs w:val="20"/>
        </w:rPr>
        <w:t>: High upfront costs do not significantly impact the adoption of rooftop solar energy systems by urban households in Mysuru.</w:t>
      </w:r>
    </w:p>
    <w:p w14:paraId="53827025" w14:textId="77777777" w:rsidR="00A16128" w:rsidRPr="002054FD" w:rsidRDefault="00A16128" w:rsidP="00A16128">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2054FD">
        <w:rPr>
          <w:rFonts w:ascii="Arial" w:eastAsia="Times New Roman" w:hAnsi="Arial" w:cs="Arial"/>
          <w:sz w:val="20"/>
          <w:szCs w:val="20"/>
        </w:rPr>
        <w:t>H</w:t>
      </w:r>
      <w:r w:rsidRPr="002054FD">
        <w:rPr>
          <w:rFonts w:ascii="Cambria Math" w:eastAsia="Times New Roman" w:hAnsi="Cambria Math" w:cs="Cambria Math"/>
          <w:sz w:val="20"/>
          <w:szCs w:val="20"/>
        </w:rPr>
        <w:t>₁</w:t>
      </w:r>
      <w:r w:rsidRPr="002054FD">
        <w:rPr>
          <w:rFonts w:ascii="Arial" w:eastAsia="Times New Roman" w:hAnsi="Arial" w:cs="Arial"/>
          <w:sz w:val="20"/>
          <w:szCs w:val="20"/>
        </w:rPr>
        <w:t>: High upfront costs significantly impact the adoption of rooftop solar energy systems by urban households in Mysuru.</w:t>
      </w:r>
    </w:p>
    <w:p w14:paraId="53827026" w14:textId="77777777" w:rsidR="00CF38C6" w:rsidRPr="00B437B0" w:rsidRDefault="00CF38C6" w:rsidP="00CF38C6">
      <w:pPr>
        <w:spacing w:before="100" w:beforeAutospacing="1" w:after="0" w:line="240" w:lineRule="auto"/>
        <w:rPr>
          <w:rFonts w:ascii="Arial" w:eastAsia="Times New Roman" w:hAnsi="Arial" w:cs="Arial"/>
          <w:b/>
          <w:bCs/>
        </w:rPr>
      </w:pPr>
      <w:r w:rsidRPr="00B437B0">
        <w:rPr>
          <w:rFonts w:ascii="Arial" w:eastAsia="Times New Roman" w:hAnsi="Arial" w:cs="Arial"/>
          <w:b/>
          <w:bCs/>
        </w:rPr>
        <w:t xml:space="preserve">SCOPE OF THE STUDY: </w:t>
      </w:r>
    </w:p>
    <w:p w14:paraId="53827027" w14:textId="77777777" w:rsidR="00CF38C6" w:rsidRPr="00B437B0" w:rsidRDefault="00CF38C6" w:rsidP="00A000C2">
      <w:pPr>
        <w:spacing w:after="100" w:afterAutospacing="1" w:line="360" w:lineRule="auto"/>
        <w:jc w:val="both"/>
        <w:rPr>
          <w:rFonts w:ascii="Arial" w:eastAsia="Times New Roman" w:hAnsi="Arial" w:cs="Arial"/>
          <w:sz w:val="20"/>
          <w:szCs w:val="20"/>
        </w:rPr>
      </w:pPr>
      <w:r w:rsidRPr="00B437B0">
        <w:rPr>
          <w:rFonts w:ascii="Arial" w:eastAsia="Times New Roman" w:hAnsi="Arial" w:cs="Arial"/>
          <w:sz w:val="20"/>
          <w:szCs w:val="20"/>
        </w:rPr>
        <w:t xml:space="preserve">The scope of this study focuses on evaluating the </w:t>
      </w:r>
      <w:r w:rsidR="00933B7B" w:rsidRPr="00B437B0">
        <w:rPr>
          <w:rFonts w:ascii="Arial" w:eastAsia="Times New Roman" w:hAnsi="Arial" w:cs="Arial"/>
          <w:sz w:val="20"/>
          <w:szCs w:val="20"/>
        </w:rPr>
        <w:t>financial feasibility of</w:t>
      </w:r>
      <w:r w:rsidRPr="00B437B0">
        <w:rPr>
          <w:rFonts w:ascii="Arial" w:eastAsia="Times New Roman" w:hAnsi="Arial" w:cs="Arial"/>
          <w:sz w:val="20"/>
          <w:szCs w:val="20"/>
        </w:rPr>
        <w:t xml:space="preserve"> rooftop solar energy systems for urban households in Mysuru, with a particular emphasis on factors influencing adoption, such as </w:t>
      </w:r>
      <w:r w:rsidRPr="00B437B0">
        <w:rPr>
          <w:rFonts w:ascii="Arial" w:eastAsia="Times New Roman" w:hAnsi="Arial" w:cs="Arial"/>
          <w:sz w:val="20"/>
          <w:szCs w:val="20"/>
        </w:rPr>
        <w:lastRenderedPageBreak/>
        <w:t>awareness of government incentives, demographic characteristics, perceptions of long-term financial benefits, and the primary financial challenges faced by households. The study will cover variables such as household income, energy consumption patterns, awareness of government schemes, and the perceived cost savings associated with solar energy adoption. Additionally, it will analyze the role of upfront costs and return on investment (ROI) perceptions in shaping the willingness of urban households to adopt rooftop solar systems. The research aims to explore these variables within the specific context of Mysuru city, providing insights into the local challenges and opportunities for promoting solar energy adoption among urban households</w:t>
      </w:r>
      <w:r w:rsidR="003C5EB2" w:rsidRPr="00B437B0">
        <w:rPr>
          <w:rFonts w:ascii="Arial" w:eastAsia="Times New Roman" w:hAnsi="Arial" w:cs="Arial"/>
          <w:sz w:val="20"/>
          <w:szCs w:val="20"/>
        </w:rPr>
        <w:t xml:space="preserve">. </w:t>
      </w:r>
    </w:p>
    <w:p w14:paraId="53827028" w14:textId="77777777" w:rsidR="003C5EB2" w:rsidRPr="00B437B0" w:rsidRDefault="003C5EB2" w:rsidP="00A000C2">
      <w:pPr>
        <w:spacing w:after="100" w:afterAutospacing="1" w:line="360" w:lineRule="auto"/>
        <w:jc w:val="both"/>
        <w:rPr>
          <w:rFonts w:ascii="Arial" w:eastAsia="Times New Roman" w:hAnsi="Arial" w:cs="Arial"/>
          <w:b/>
          <w:bCs/>
        </w:rPr>
      </w:pPr>
      <w:r w:rsidRPr="00B437B0">
        <w:rPr>
          <w:rFonts w:ascii="Arial" w:eastAsia="Times New Roman" w:hAnsi="Arial" w:cs="Arial"/>
          <w:b/>
          <w:bCs/>
        </w:rPr>
        <w:t xml:space="preserve">RESEARCH METHODOLOGY: </w:t>
      </w:r>
    </w:p>
    <w:p w14:paraId="53827029" w14:textId="77777777" w:rsidR="00723B0D" w:rsidRPr="00B437B0" w:rsidRDefault="00723B0D" w:rsidP="00723B0D">
      <w:pPr>
        <w:pStyle w:val="NormalWeb"/>
        <w:spacing w:before="0" w:beforeAutospacing="0" w:after="0" w:afterAutospacing="0" w:line="360" w:lineRule="auto"/>
        <w:jc w:val="both"/>
        <w:rPr>
          <w:rFonts w:ascii="Arial" w:hAnsi="Arial" w:cs="Arial"/>
          <w:b/>
          <w:bCs/>
          <w:sz w:val="20"/>
          <w:szCs w:val="20"/>
        </w:rPr>
      </w:pPr>
      <w:r w:rsidRPr="00B437B0">
        <w:rPr>
          <w:rFonts w:ascii="Arial" w:hAnsi="Arial" w:cs="Arial"/>
          <w:b/>
          <w:bCs/>
          <w:sz w:val="20"/>
          <w:szCs w:val="20"/>
        </w:rPr>
        <w:t>Research Design:</w:t>
      </w:r>
      <w:r w:rsidRPr="00B437B0">
        <w:rPr>
          <w:rFonts w:ascii="Arial" w:hAnsi="Arial" w:cs="Arial"/>
          <w:sz w:val="20"/>
          <w:szCs w:val="20"/>
        </w:rPr>
        <w:t xml:space="preserve"> The research employs a </w:t>
      </w:r>
      <w:r w:rsidRPr="00B437B0">
        <w:rPr>
          <w:rStyle w:val="Strong"/>
          <w:rFonts w:ascii="Arial" w:hAnsi="Arial" w:cs="Arial"/>
          <w:b w:val="0"/>
          <w:bCs w:val="0"/>
          <w:sz w:val="20"/>
          <w:szCs w:val="20"/>
        </w:rPr>
        <w:t>descriptive research design</w:t>
      </w:r>
      <w:r w:rsidRPr="00B437B0">
        <w:rPr>
          <w:rFonts w:ascii="Arial" w:hAnsi="Arial" w:cs="Arial"/>
          <w:sz w:val="20"/>
          <w:szCs w:val="20"/>
        </w:rPr>
        <w:t xml:space="preserve">, using a </w:t>
      </w:r>
      <w:r w:rsidRPr="00B437B0">
        <w:rPr>
          <w:rStyle w:val="Strong"/>
          <w:rFonts w:ascii="Arial" w:hAnsi="Arial" w:cs="Arial"/>
          <w:b w:val="0"/>
          <w:bCs w:val="0"/>
          <w:sz w:val="20"/>
          <w:szCs w:val="20"/>
        </w:rPr>
        <w:t>quantitative approach</w:t>
      </w:r>
      <w:r w:rsidRPr="00B437B0">
        <w:rPr>
          <w:rFonts w:ascii="Arial" w:hAnsi="Arial" w:cs="Arial"/>
          <w:sz w:val="20"/>
          <w:szCs w:val="20"/>
        </w:rPr>
        <w:t xml:space="preserve"> to collect data through </w:t>
      </w:r>
      <w:r w:rsidRPr="00B437B0">
        <w:rPr>
          <w:rStyle w:val="Strong"/>
          <w:rFonts w:ascii="Arial" w:hAnsi="Arial" w:cs="Arial"/>
          <w:b w:val="0"/>
          <w:bCs w:val="0"/>
          <w:sz w:val="20"/>
          <w:szCs w:val="20"/>
        </w:rPr>
        <w:t>structured questionnaires</w:t>
      </w:r>
      <w:r w:rsidRPr="00B437B0">
        <w:rPr>
          <w:rFonts w:ascii="Arial" w:hAnsi="Arial" w:cs="Arial"/>
          <w:b/>
          <w:bCs/>
          <w:sz w:val="20"/>
          <w:szCs w:val="20"/>
        </w:rPr>
        <w:t xml:space="preserve">. </w:t>
      </w:r>
    </w:p>
    <w:p w14:paraId="5382702A" w14:textId="77777777" w:rsidR="00723B0D" w:rsidRPr="00B437B0" w:rsidRDefault="00723B0D" w:rsidP="00723B0D">
      <w:pPr>
        <w:pStyle w:val="Heading4"/>
        <w:spacing w:line="360" w:lineRule="auto"/>
        <w:jc w:val="both"/>
        <w:rPr>
          <w:rFonts w:ascii="Arial" w:hAnsi="Arial" w:cs="Arial"/>
          <w:i w:val="0"/>
          <w:iCs w:val="0"/>
          <w:color w:val="auto"/>
          <w:sz w:val="20"/>
          <w:szCs w:val="20"/>
        </w:rPr>
      </w:pPr>
      <w:r w:rsidRPr="00B437B0">
        <w:rPr>
          <w:rStyle w:val="Strong"/>
          <w:rFonts w:ascii="Arial" w:hAnsi="Arial" w:cs="Arial"/>
          <w:i w:val="0"/>
          <w:iCs w:val="0"/>
          <w:color w:val="auto"/>
          <w:sz w:val="20"/>
          <w:szCs w:val="20"/>
        </w:rPr>
        <w:t>Sample Size and Data Collection</w:t>
      </w:r>
    </w:p>
    <w:p w14:paraId="5382702B" w14:textId="77777777" w:rsidR="00723B0D" w:rsidRPr="00B437B0" w:rsidRDefault="00723B0D" w:rsidP="00723B0D">
      <w:pPr>
        <w:pStyle w:val="NormalWeb"/>
        <w:spacing w:before="0" w:beforeAutospacing="0" w:after="0" w:afterAutospacing="0" w:line="360" w:lineRule="auto"/>
        <w:jc w:val="both"/>
        <w:rPr>
          <w:rFonts w:ascii="Arial" w:hAnsi="Arial" w:cs="Arial"/>
          <w:sz w:val="20"/>
          <w:szCs w:val="20"/>
        </w:rPr>
      </w:pPr>
      <w:r w:rsidRPr="00B437B0">
        <w:rPr>
          <w:rFonts w:ascii="Arial" w:hAnsi="Arial" w:cs="Arial"/>
          <w:sz w:val="20"/>
          <w:szCs w:val="20"/>
        </w:rPr>
        <w:t xml:space="preserve">The study will target </w:t>
      </w:r>
      <w:r w:rsidRPr="00B437B0">
        <w:rPr>
          <w:rStyle w:val="Strong"/>
          <w:rFonts w:ascii="Arial" w:hAnsi="Arial" w:cs="Arial"/>
          <w:b w:val="0"/>
          <w:bCs w:val="0"/>
          <w:sz w:val="20"/>
          <w:szCs w:val="20"/>
        </w:rPr>
        <w:t>80 urban households</w:t>
      </w:r>
      <w:r w:rsidRPr="00B437B0">
        <w:rPr>
          <w:rFonts w:ascii="Arial" w:hAnsi="Arial" w:cs="Arial"/>
          <w:sz w:val="20"/>
          <w:szCs w:val="20"/>
        </w:rPr>
        <w:t xml:space="preserve"> in Mysuru. A sample size of 80 households is chosen to ensure sufficient statistical power and meaningful analysis, considering the population size and research objectives. The respondents will be selected using </w:t>
      </w:r>
      <w:r w:rsidRPr="00B437B0">
        <w:rPr>
          <w:rStyle w:val="Strong"/>
          <w:rFonts w:ascii="Arial" w:hAnsi="Arial" w:cs="Arial"/>
          <w:b w:val="0"/>
          <w:bCs w:val="0"/>
          <w:sz w:val="20"/>
          <w:szCs w:val="20"/>
        </w:rPr>
        <w:t>simple random sampling.</w:t>
      </w:r>
      <w:r w:rsidRPr="00B437B0">
        <w:rPr>
          <w:rStyle w:val="Strong"/>
          <w:rFonts w:ascii="Arial" w:hAnsi="Arial" w:cs="Arial"/>
          <w:sz w:val="20"/>
          <w:szCs w:val="20"/>
        </w:rPr>
        <w:t xml:space="preserve"> </w:t>
      </w:r>
      <w:r w:rsidRPr="00B437B0">
        <w:rPr>
          <w:rFonts w:ascii="Arial" w:hAnsi="Arial" w:cs="Arial"/>
          <w:sz w:val="20"/>
          <w:szCs w:val="20"/>
        </w:rPr>
        <w:t xml:space="preserve"> The data will be collected using a </w:t>
      </w:r>
      <w:r w:rsidRPr="00B437B0">
        <w:rPr>
          <w:rStyle w:val="Strong"/>
          <w:rFonts w:ascii="Arial" w:hAnsi="Arial" w:cs="Arial"/>
          <w:b w:val="0"/>
          <w:bCs w:val="0"/>
          <w:sz w:val="20"/>
          <w:szCs w:val="20"/>
        </w:rPr>
        <w:t>structured questionnaire</w:t>
      </w:r>
      <w:r w:rsidRPr="00B437B0">
        <w:rPr>
          <w:rFonts w:ascii="Arial" w:hAnsi="Arial" w:cs="Arial"/>
          <w:sz w:val="20"/>
          <w:szCs w:val="20"/>
        </w:rPr>
        <w:t xml:space="preserve"> consisting of both demographic questions and Likert-scale items to measure respondents' attitudes and perceptions regarding rooftop solar energy systems. </w:t>
      </w:r>
    </w:p>
    <w:p w14:paraId="5382702C" w14:textId="77777777" w:rsidR="00723B0D" w:rsidRPr="00B437B0" w:rsidRDefault="00723B0D" w:rsidP="00723B0D">
      <w:pPr>
        <w:pStyle w:val="Heading4"/>
        <w:spacing w:before="0" w:line="360" w:lineRule="auto"/>
        <w:jc w:val="both"/>
        <w:rPr>
          <w:rFonts w:ascii="Arial" w:hAnsi="Arial" w:cs="Arial"/>
          <w:i w:val="0"/>
          <w:iCs w:val="0"/>
          <w:color w:val="auto"/>
          <w:sz w:val="20"/>
          <w:szCs w:val="20"/>
        </w:rPr>
      </w:pPr>
      <w:r w:rsidRPr="00B437B0">
        <w:rPr>
          <w:rStyle w:val="Strong"/>
          <w:rFonts w:ascii="Arial" w:hAnsi="Arial" w:cs="Arial"/>
          <w:i w:val="0"/>
          <w:iCs w:val="0"/>
          <w:color w:val="auto"/>
          <w:sz w:val="20"/>
          <w:szCs w:val="20"/>
        </w:rPr>
        <w:t>Significance Level and Statistical Analysis</w:t>
      </w:r>
    </w:p>
    <w:p w14:paraId="5382702D" w14:textId="77777777" w:rsidR="00723B0D" w:rsidRPr="00B437B0" w:rsidRDefault="00723B0D" w:rsidP="00723B0D">
      <w:pPr>
        <w:pStyle w:val="NormalWeb"/>
        <w:spacing w:before="0" w:beforeAutospacing="0" w:after="0" w:afterAutospacing="0" w:line="360" w:lineRule="auto"/>
        <w:jc w:val="both"/>
        <w:rPr>
          <w:rFonts w:ascii="Arial" w:hAnsi="Arial" w:cs="Arial"/>
          <w:sz w:val="20"/>
          <w:szCs w:val="20"/>
        </w:rPr>
      </w:pPr>
      <w:r w:rsidRPr="00B437B0">
        <w:rPr>
          <w:rFonts w:ascii="Arial" w:hAnsi="Arial" w:cs="Arial"/>
          <w:sz w:val="20"/>
          <w:szCs w:val="20"/>
        </w:rPr>
        <w:t xml:space="preserve">A </w:t>
      </w:r>
      <w:r w:rsidRPr="00B437B0">
        <w:rPr>
          <w:rStyle w:val="Strong"/>
          <w:rFonts w:ascii="Arial" w:hAnsi="Arial" w:cs="Arial"/>
          <w:b w:val="0"/>
          <w:bCs w:val="0"/>
          <w:sz w:val="20"/>
          <w:szCs w:val="20"/>
        </w:rPr>
        <w:t>95% significance level</w:t>
      </w:r>
      <w:r w:rsidRPr="00B437B0">
        <w:rPr>
          <w:rFonts w:ascii="Arial" w:hAnsi="Arial" w:cs="Arial"/>
          <w:sz w:val="20"/>
          <w:szCs w:val="20"/>
        </w:rPr>
        <w:t xml:space="preserve"> (α = 0.05) will be used in the study to assess the statistical significance of the findings. The data will be analyzed using </w:t>
      </w:r>
      <w:r w:rsidRPr="00B437B0">
        <w:rPr>
          <w:rStyle w:val="Strong"/>
          <w:rFonts w:ascii="Arial" w:hAnsi="Arial" w:cs="Arial"/>
          <w:b w:val="0"/>
          <w:bCs w:val="0"/>
          <w:sz w:val="20"/>
          <w:szCs w:val="20"/>
        </w:rPr>
        <w:t>descriptive statistics</w:t>
      </w:r>
      <w:r w:rsidRPr="00B437B0">
        <w:rPr>
          <w:rFonts w:ascii="Arial" w:hAnsi="Arial" w:cs="Arial"/>
          <w:sz w:val="20"/>
          <w:szCs w:val="20"/>
        </w:rPr>
        <w:t xml:space="preserve"> (such as frequency distributions, mean, and standard deviation) to summarize the characteristics of the sample. To test the hypotheses and assess the relationships between variables, </w:t>
      </w:r>
      <w:r w:rsidRPr="00B437B0">
        <w:rPr>
          <w:rStyle w:val="Strong"/>
          <w:rFonts w:ascii="Arial" w:hAnsi="Arial" w:cs="Arial"/>
          <w:b w:val="0"/>
          <w:bCs w:val="0"/>
          <w:sz w:val="20"/>
          <w:szCs w:val="20"/>
        </w:rPr>
        <w:t>inferential statistical methods</w:t>
      </w:r>
      <w:r w:rsidRPr="00B437B0">
        <w:rPr>
          <w:rFonts w:ascii="Arial" w:hAnsi="Arial" w:cs="Arial"/>
          <w:sz w:val="20"/>
          <w:szCs w:val="20"/>
        </w:rPr>
        <w:t xml:space="preserve"> like </w:t>
      </w:r>
      <w:r w:rsidR="00381A12" w:rsidRPr="00B437B0">
        <w:rPr>
          <w:rStyle w:val="Strong"/>
          <w:rFonts w:ascii="Arial" w:hAnsi="Arial" w:cs="Arial"/>
          <w:b w:val="0"/>
          <w:bCs w:val="0"/>
          <w:sz w:val="20"/>
          <w:szCs w:val="20"/>
        </w:rPr>
        <w:t>one sample T Test, ANNOVA</w:t>
      </w:r>
      <w:r w:rsidRPr="00B437B0">
        <w:rPr>
          <w:rFonts w:ascii="Arial" w:hAnsi="Arial" w:cs="Arial"/>
          <w:sz w:val="20"/>
          <w:szCs w:val="20"/>
        </w:rPr>
        <w:t xml:space="preserve"> and </w:t>
      </w:r>
      <w:r w:rsidRPr="00B437B0">
        <w:rPr>
          <w:rStyle w:val="Strong"/>
          <w:rFonts w:ascii="Arial" w:hAnsi="Arial" w:cs="Arial"/>
          <w:b w:val="0"/>
          <w:bCs w:val="0"/>
          <w:sz w:val="20"/>
          <w:szCs w:val="20"/>
        </w:rPr>
        <w:t>regression analysis</w:t>
      </w:r>
      <w:r w:rsidR="00381A12" w:rsidRPr="00B437B0">
        <w:rPr>
          <w:rFonts w:ascii="Arial" w:hAnsi="Arial" w:cs="Arial"/>
          <w:sz w:val="20"/>
          <w:szCs w:val="20"/>
        </w:rPr>
        <w:t xml:space="preserve"> is</w:t>
      </w:r>
      <w:r w:rsidRPr="00B437B0">
        <w:rPr>
          <w:rFonts w:ascii="Arial" w:hAnsi="Arial" w:cs="Arial"/>
          <w:sz w:val="20"/>
          <w:szCs w:val="20"/>
        </w:rPr>
        <w:t xml:space="preserve"> applied. These tests evaluate whether factors like household income, energy consumption patterns, and perceptions of </w:t>
      </w:r>
      <w:r w:rsidR="00933B7B" w:rsidRPr="00B437B0">
        <w:rPr>
          <w:rFonts w:ascii="Arial" w:hAnsi="Arial" w:cs="Arial"/>
          <w:sz w:val="20"/>
          <w:szCs w:val="20"/>
        </w:rPr>
        <w:t>financial feasibility significantly</w:t>
      </w:r>
      <w:r w:rsidRPr="00B437B0">
        <w:rPr>
          <w:rFonts w:ascii="Arial" w:hAnsi="Arial" w:cs="Arial"/>
          <w:sz w:val="20"/>
          <w:szCs w:val="20"/>
        </w:rPr>
        <w:t xml:space="preserve"> influence the adoption of rooftop solar energy systems in Mysuru.</w:t>
      </w:r>
    </w:p>
    <w:p w14:paraId="5382702E" w14:textId="77777777" w:rsidR="00723B0D" w:rsidRPr="00B437B0" w:rsidRDefault="00723B0D" w:rsidP="00723B0D">
      <w:pPr>
        <w:pStyle w:val="Heading4"/>
        <w:spacing w:before="0" w:line="360" w:lineRule="auto"/>
        <w:jc w:val="both"/>
        <w:rPr>
          <w:rFonts w:ascii="Arial" w:hAnsi="Arial" w:cs="Arial"/>
          <w:i w:val="0"/>
          <w:iCs w:val="0"/>
          <w:color w:val="auto"/>
          <w:sz w:val="20"/>
          <w:szCs w:val="20"/>
        </w:rPr>
      </w:pPr>
      <w:r w:rsidRPr="00B437B0">
        <w:rPr>
          <w:rStyle w:val="Strong"/>
          <w:rFonts w:ascii="Arial" w:hAnsi="Arial" w:cs="Arial"/>
          <w:i w:val="0"/>
          <w:iCs w:val="0"/>
          <w:color w:val="auto"/>
          <w:sz w:val="20"/>
          <w:szCs w:val="20"/>
        </w:rPr>
        <w:t>Variables Covered</w:t>
      </w:r>
    </w:p>
    <w:p w14:paraId="5382702F" w14:textId="77777777" w:rsidR="00723B0D" w:rsidRPr="00B437B0" w:rsidRDefault="00723B0D" w:rsidP="00723B0D">
      <w:pPr>
        <w:pStyle w:val="NormalWeb"/>
        <w:spacing w:before="0" w:beforeAutospacing="0" w:after="0" w:afterAutospacing="0" w:line="360" w:lineRule="auto"/>
        <w:jc w:val="both"/>
        <w:rPr>
          <w:rFonts w:ascii="Arial" w:hAnsi="Arial" w:cs="Arial"/>
          <w:sz w:val="20"/>
          <w:szCs w:val="20"/>
        </w:rPr>
      </w:pPr>
      <w:r w:rsidRPr="00B437B0">
        <w:rPr>
          <w:rFonts w:ascii="Arial" w:hAnsi="Arial" w:cs="Arial"/>
          <w:sz w:val="20"/>
          <w:szCs w:val="20"/>
        </w:rPr>
        <w:t>The study covers several key variables, including:</w:t>
      </w:r>
    </w:p>
    <w:p w14:paraId="53827030" w14:textId="77777777" w:rsidR="00723B0D" w:rsidRPr="00B437B0" w:rsidRDefault="00723B0D" w:rsidP="00723B0D">
      <w:pPr>
        <w:numPr>
          <w:ilvl w:val="0"/>
          <w:numId w:val="10"/>
        </w:numPr>
        <w:spacing w:after="0" w:line="360" w:lineRule="auto"/>
        <w:jc w:val="both"/>
        <w:rPr>
          <w:rFonts w:ascii="Arial" w:hAnsi="Arial" w:cs="Arial"/>
          <w:sz w:val="20"/>
          <w:szCs w:val="20"/>
        </w:rPr>
      </w:pPr>
      <w:r w:rsidRPr="00B437B0">
        <w:rPr>
          <w:rStyle w:val="Strong"/>
          <w:rFonts w:ascii="Arial" w:hAnsi="Arial" w:cs="Arial"/>
          <w:b w:val="0"/>
          <w:bCs w:val="0"/>
          <w:sz w:val="20"/>
          <w:szCs w:val="20"/>
        </w:rPr>
        <w:t>Independent Variables</w:t>
      </w:r>
      <w:r w:rsidRPr="00B437B0">
        <w:rPr>
          <w:rStyle w:val="Strong"/>
          <w:rFonts w:ascii="Arial" w:hAnsi="Arial" w:cs="Arial"/>
          <w:sz w:val="20"/>
          <w:szCs w:val="20"/>
        </w:rPr>
        <w:t>:</w:t>
      </w:r>
      <w:r w:rsidRPr="00B437B0">
        <w:rPr>
          <w:rFonts w:ascii="Arial" w:hAnsi="Arial" w:cs="Arial"/>
          <w:sz w:val="20"/>
          <w:szCs w:val="20"/>
        </w:rPr>
        <w:t xml:space="preserve"> Demographic factors such as income levels, household size, energy consumption, education, and occupation.</w:t>
      </w:r>
    </w:p>
    <w:p w14:paraId="53827031" w14:textId="77777777" w:rsidR="00723B0D" w:rsidRPr="00B437B0" w:rsidRDefault="00723B0D" w:rsidP="00723B0D">
      <w:pPr>
        <w:numPr>
          <w:ilvl w:val="0"/>
          <w:numId w:val="10"/>
        </w:numPr>
        <w:spacing w:after="0" w:line="360" w:lineRule="auto"/>
        <w:jc w:val="both"/>
        <w:rPr>
          <w:rFonts w:ascii="Arial" w:hAnsi="Arial" w:cs="Arial"/>
          <w:sz w:val="20"/>
          <w:szCs w:val="20"/>
        </w:rPr>
      </w:pPr>
      <w:r w:rsidRPr="00B437B0">
        <w:rPr>
          <w:rStyle w:val="Strong"/>
          <w:rFonts w:ascii="Arial" w:hAnsi="Arial" w:cs="Arial"/>
          <w:b w:val="0"/>
          <w:bCs w:val="0"/>
          <w:sz w:val="20"/>
          <w:szCs w:val="20"/>
        </w:rPr>
        <w:t>Dependent Variables</w:t>
      </w:r>
      <w:r w:rsidRPr="00B437B0">
        <w:rPr>
          <w:rStyle w:val="Strong"/>
          <w:rFonts w:ascii="Arial" w:hAnsi="Arial" w:cs="Arial"/>
          <w:sz w:val="20"/>
          <w:szCs w:val="20"/>
        </w:rPr>
        <w:t>:</w:t>
      </w:r>
      <w:r w:rsidRPr="00B437B0">
        <w:rPr>
          <w:rFonts w:ascii="Arial" w:hAnsi="Arial" w:cs="Arial"/>
          <w:sz w:val="20"/>
          <w:szCs w:val="20"/>
        </w:rPr>
        <w:t xml:space="preserve"> Perceived </w:t>
      </w:r>
      <w:r w:rsidR="00381A12" w:rsidRPr="00B437B0">
        <w:rPr>
          <w:rFonts w:ascii="Arial" w:hAnsi="Arial" w:cs="Arial"/>
          <w:sz w:val="20"/>
          <w:szCs w:val="20"/>
        </w:rPr>
        <w:t>financial feasibility of</w:t>
      </w:r>
      <w:r w:rsidRPr="00B437B0">
        <w:rPr>
          <w:rFonts w:ascii="Arial" w:hAnsi="Arial" w:cs="Arial"/>
          <w:sz w:val="20"/>
          <w:szCs w:val="20"/>
        </w:rPr>
        <w:t xml:space="preserve"> rooftop solar systems, including perceptions of long-term financial benefits, upfront costs, and ROI.</w:t>
      </w:r>
    </w:p>
    <w:p w14:paraId="53827032" w14:textId="77777777" w:rsidR="00723B0D" w:rsidRPr="00B437B0" w:rsidRDefault="00723B0D" w:rsidP="00723B0D">
      <w:pPr>
        <w:numPr>
          <w:ilvl w:val="0"/>
          <w:numId w:val="10"/>
        </w:numPr>
        <w:spacing w:after="0" w:line="360" w:lineRule="auto"/>
        <w:jc w:val="both"/>
        <w:rPr>
          <w:rFonts w:ascii="Arial" w:hAnsi="Arial" w:cs="Arial"/>
          <w:sz w:val="20"/>
          <w:szCs w:val="20"/>
        </w:rPr>
      </w:pPr>
      <w:r w:rsidRPr="00B437B0">
        <w:rPr>
          <w:rStyle w:val="Strong"/>
          <w:rFonts w:ascii="Arial" w:hAnsi="Arial" w:cs="Arial"/>
          <w:b w:val="0"/>
          <w:bCs w:val="0"/>
          <w:sz w:val="20"/>
          <w:szCs w:val="20"/>
        </w:rPr>
        <w:t>Mediating Variables:</w:t>
      </w:r>
      <w:r w:rsidRPr="00B437B0">
        <w:rPr>
          <w:rFonts w:ascii="Arial" w:hAnsi="Arial" w:cs="Arial"/>
          <w:sz w:val="20"/>
          <w:szCs w:val="20"/>
        </w:rPr>
        <w:t xml:space="preserve"> Awareness of government subsidies and incentives for solar energy, as well as the perceived financial barriers to adoption.</w:t>
      </w:r>
    </w:p>
    <w:p w14:paraId="53827033" w14:textId="77777777" w:rsidR="009773C1" w:rsidRPr="00995167" w:rsidRDefault="009773C1" w:rsidP="00600AD1">
      <w:pPr>
        <w:spacing w:before="240" w:after="0" w:line="360" w:lineRule="auto"/>
        <w:jc w:val="both"/>
        <w:rPr>
          <w:rFonts w:ascii="Arial" w:hAnsi="Arial" w:cs="Arial"/>
          <w:b/>
          <w:bCs/>
        </w:rPr>
      </w:pPr>
      <w:r w:rsidRPr="00995167">
        <w:rPr>
          <w:rFonts w:ascii="Arial" w:hAnsi="Arial" w:cs="Arial"/>
          <w:b/>
          <w:bCs/>
        </w:rPr>
        <w:t xml:space="preserve">DATA ANALYSIS AND INTERPRETATION: </w:t>
      </w:r>
    </w:p>
    <w:p w14:paraId="53827034" w14:textId="77777777" w:rsidR="00744030" w:rsidRPr="00AF0309" w:rsidRDefault="00744030" w:rsidP="00774C7D">
      <w:pPr>
        <w:pStyle w:val="Heading3"/>
        <w:spacing w:before="0" w:beforeAutospacing="0" w:after="0" w:afterAutospacing="0"/>
        <w:jc w:val="center"/>
        <w:rPr>
          <w:rStyle w:val="Strong"/>
          <w:rFonts w:ascii="Arial" w:hAnsi="Arial" w:cs="Arial"/>
          <w:b/>
          <w:bCs/>
          <w:sz w:val="20"/>
          <w:szCs w:val="20"/>
        </w:rPr>
      </w:pPr>
      <w:r w:rsidRPr="00AF0309">
        <w:rPr>
          <w:rStyle w:val="Strong"/>
          <w:rFonts w:ascii="Arial" w:hAnsi="Arial" w:cs="Arial"/>
          <w:b/>
          <w:bCs/>
          <w:sz w:val="20"/>
          <w:szCs w:val="20"/>
        </w:rPr>
        <w:t>Table 1.1: Demographic Variable Analysis</w:t>
      </w:r>
    </w:p>
    <w:tbl>
      <w:tblPr>
        <w:tblStyle w:val="TableGrid"/>
        <w:tblW w:w="0" w:type="auto"/>
        <w:jc w:val="center"/>
        <w:tblLook w:val="04A0" w:firstRow="1" w:lastRow="0" w:firstColumn="1" w:lastColumn="0" w:noHBand="0" w:noVBand="1"/>
      </w:tblPr>
      <w:tblGrid>
        <w:gridCol w:w="2328"/>
        <w:gridCol w:w="1962"/>
        <w:gridCol w:w="1539"/>
        <w:gridCol w:w="1661"/>
      </w:tblGrid>
      <w:tr w:rsidR="00AD72DA" w:rsidRPr="00AF0309" w14:paraId="53827039" w14:textId="77777777" w:rsidTr="00055F92">
        <w:trPr>
          <w:jc w:val="center"/>
        </w:trPr>
        <w:tc>
          <w:tcPr>
            <w:tcW w:w="0" w:type="auto"/>
            <w:vAlign w:val="center"/>
          </w:tcPr>
          <w:p w14:paraId="53827035"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Demographic Variable</w:t>
            </w:r>
          </w:p>
        </w:tc>
        <w:tc>
          <w:tcPr>
            <w:tcW w:w="0" w:type="auto"/>
            <w:vAlign w:val="center"/>
          </w:tcPr>
          <w:p w14:paraId="53827036"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Categories</w:t>
            </w:r>
          </w:p>
        </w:tc>
        <w:tc>
          <w:tcPr>
            <w:tcW w:w="0" w:type="auto"/>
            <w:vAlign w:val="center"/>
          </w:tcPr>
          <w:p w14:paraId="53827037"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Frequency (n)</w:t>
            </w:r>
          </w:p>
        </w:tc>
        <w:tc>
          <w:tcPr>
            <w:tcW w:w="0" w:type="auto"/>
            <w:vAlign w:val="center"/>
          </w:tcPr>
          <w:p w14:paraId="53827038" w14:textId="77777777" w:rsidR="00055F92" w:rsidRPr="00AF0309" w:rsidRDefault="00055F92" w:rsidP="00055F92">
            <w:pPr>
              <w:pStyle w:val="Heading3"/>
              <w:jc w:val="center"/>
              <w:outlineLvl w:val="2"/>
              <w:rPr>
                <w:rStyle w:val="Strong"/>
                <w:rFonts w:ascii="Arial" w:hAnsi="Arial" w:cs="Arial"/>
                <w:b/>
                <w:bCs/>
                <w:sz w:val="20"/>
                <w:szCs w:val="20"/>
              </w:rPr>
            </w:pPr>
            <w:r w:rsidRPr="00AF0309">
              <w:rPr>
                <w:rStyle w:val="Strong"/>
                <w:rFonts w:ascii="Arial" w:hAnsi="Arial" w:cs="Arial"/>
                <w:b/>
                <w:bCs/>
                <w:sz w:val="20"/>
                <w:szCs w:val="20"/>
              </w:rPr>
              <w:t>Percentage (%)</w:t>
            </w:r>
          </w:p>
        </w:tc>
      </w:tr>
      <w:tr w:rsidR="00AD72DA" w:rsidRPr="00AF0309" w14:paraId="5382703E" w14:textId="77777777" w:rsidTr="00055F92">
        <w:trPr>
          <w:jc w:val="center"/>
        </w:trPr>
        <w:tc>
          <w:tcPr>
            <w:tcW w:w="0" w:type="auto"/>
            <w:vAlign w:val="center"/>
          </w:tcPr>
          <w:p w14:paraId="5382703A"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Gender</w:t>
            </w:r>
          </w:p>
        </w:tc>
        <w:tc>
          <w:tcPr>
            <w:tcW w:w="0" w:type="auto"/>
            <w:vAlign w:val="center"/>
          </w:tcPr>
          <w:p w14:paraId="5382703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Male</w:t>
            </w:r>
          </w:p>
        </w:tc>
        <w:tc>
          <w:tcPr>
            <w:tcW w:w="0" w:type="auto"/>
            <w:vAlign w:val="center"/>
          </w:tcPr>
          <w:p w14:paraId="5382703C"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48</w:t>
            </w:r>
          </w:p>
        </w:tc>
        <w:tc>
          <w:tcPr>
            <w:tcW w:w="0" w:type="auto"/>
            <w:vAlign w:val="center"/>
          </w:tcPr>
          <w:p w14:paraId="5382703D"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60%</w:t>
            </w:r>
          </w:p>
        </w:tc>
      </w:tr>
      <w:tr w:rsidR="00AD72DA" w:rsidRPr="00AF0309" w14:paraId="53827043" w14:textId="77777777" w:rsidTr="00055F92">
        <w:trPr>
          <w:jc w:val="center"/>
        </w:trPr>
        <w:tc>
          <w:tcPr>
            <w:tcW w:w="0" w:type="auto"/>
            <w:vAlign w:val="center"/>
          </w:tcPr>
          <w:p w14:paraId="5382703F"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40"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Female</w:t>
            </w:r>
          </w:p>
        </w:tc>
        <w:tc>
          <w:tcPr>
            <w:tcW w:w="0" w:type="auto"/>
            <w:vAlign w:val="center"/>
          </w:tcPr>
          <w:p w14:paraId="53827041"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32</w:t>
            </w:r>
          </w:p>
        </w:tc>
        <w:tc>
          <w:tcPr>
            <w:tcW w:w="0" w:type="auto"/>
            <w:vAlign w:val="center"/>
          </w:tcPr>
          <w:p w14:paraId="53827042"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40%</w:t>
            </w:r>
          </w:p>
        </w:tc>
      </w:tr>
      <w:tr w:rsidR="00055F92" w:rsidRPr="00AF0309" w14:paraId="53827048" w14:textId="77777777" w:rsidTr="00055F92">
        <w:trPr>
          <w:jc w:val="center"/>
        </w:trPr>
        <w:tc>
          <w:tcPr>
            <w:tcW w:w="0" w:type="auto"/>
            <w:vAlign w:val="center"/>
          </w:tcPr>
          <w:p w14:paraId="53827044"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45"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46"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47"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r w:rsidR="00AD72DA" w:rsidRPr="00AF0309" w14:paraId="5382704D" w14:textId="77777777" w:rsidTr="00055F92">
        <w:trPr>
          <w:jc w:val="center"/>
        </w:trPr>
        <w:tc>
          <w:tcPr>
            <w:tcW w:w="0" w:type="auto"/>
            <w:vAlign w:val="center"/>
          </w:tcPr>
          <w:p w14:paraId="53827049"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Age Group</w:t>
            </w:r>
          </w:p>
        </w:tc>
        <w:tc>
          <w:tcPr>
            <w:tcW w:w="0" w:type="auto"/>
            <w:vAlign w:val="center"/>
          </w:tcPr>
          <w:p w14:paraId="5382704A"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18–25</w:t>
            </w:r>
          </w:p>
        </w:tc>
        <w:tc>
          <w:tcPr>
            <w:tcW w:w="0" w:type="auto"/>
            <w:vAlign w:val="center"/>
          </w:tcPr>
          <w:p w14:paraId="5382704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10</w:t>
            </w:r>
          </w:p>
        </w:tc>
        <w:tc>
          <w:tcPr>
            <w:tcW w:w="0" w:type="auto"/>
            <w:vAlign w:val="center"/>
          </w:tcPr>
          <w:p w14:paraId="5382704C"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12.5%</w:t>
            </w:r>
          </w:p>
        </w:tc>
      </w:tr>
      <w:tr w:rsidR="00AD72DA" w:rsidRPr="00AF0309" w14:paraId="53827052" w14:textId="77777777" w:rsidTr="00055F92">
        <w:trPr>
          <w:jc w:val="center"/>
        </w:trPr>
        <w:tc>
          <w:tcPr>
            <w:tcW w:w="0" w:type="auto"/>
            <w:vAlign w:val="center"/>
          </w:tcPr>
          <w:p w14:paraId="5382704E"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4F"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26–35</w:t>
            </w:r>
          </w:p>
        </w:tc>
        <w:tc>
          <w:tcPr>
            <w:tcW w:w="0" w:type="auto"/>
            <w:vAlign w:val="center"/>
          </w:tcPr>
          <w:p w14:paraId="53827050"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30</w:t>
            </w:r>
          </w:p>
        </w:tc>
        <w:tc>
          <w:tcPr>
            <w:tcW w:w="0" w:type="auto"/>
            <w:vAlign w:val="center"/>
          </w:tcPr>
          <w:p w14:paraId="53827051"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37.5%</w:t>
            </w:r>
          </w:p>
        </w:tc>
      </w:tr>
      <w:tr w:rsidR="00AD72DA" w:rsidRPr="00AF0309" w14:paraId="53827057" w14:textId="77777777" w:rsidTr="00055F92">
        <w:trPr>
          <w:jc w:val="center"/>
        </w:trPr>
        <w:tc>
          <w:tcPr>
            <w:tcW w:w="0" w:type="auto"/>
            <w:vAlign w:val="center"/>
          </w:tcPr>
          <w:p w14:paraId="53827053"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54"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36–45</w:t>
            </w:r>
          </w:p>
        </w:tc>
        <w:tc>
          <w:tcPr>
            <w:tcW w:w="0" w:type="auto"/>
            <w:vAlign w:val="center"/>
          </w:tcPr>
          <w:p w14:paraId="53827055"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w:t>
            </w:r>
          </w:p>
        </w:tc>
        <w:tc>
          <w:tcPr>
            <w:tcW w:w="0" w:type="auto"/>
            <w:vAlign w:val="center"/>
          </w:tcPr>
          <w:p w14:paraId="53827056"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31.25%</w:t>
            </w:r>
          </w:p>
        </w:tc>
      </w:tr>
      <w:tr w:rsidR="00AD72DA" w:rsidRPr="00AF0309" w14:paraId="5382705C" w14:textId="77777777" w:rsidTr="00055F92">
        <w:trPr>
          <w:jc w:val="center"/>
        </w:trPr>
        <w:tc>
          <w:tcPr>
            <w:tcW w:w="0" w:type="auto"/>
            <w:vAlign w:val="center"/>
          </w:tcPr>
          <w:p w14:paraId="53827058"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59"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46–55</w:t>
            </w:r>
          </w:p>
        </w:tc>
        <w:tc>
          <w:tcPr>
            <w:tcW w:w="0" w:type="auto"/>
            <w:vAlign w:val="center"/>
          </w:tcPr>
          <w:p w14:paraId="5382705A"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10</w:t>
            </w:r>
          </w:p>
        </w:tc>
        <w:tc>
          <w:tcPr>
            <w:tcW w:w="0" w:type="auto"/>
            <w:vAlign w:val="center"/>
          </w:tcPr>
          <w:p w14:paraId="5382705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12.5%</w:t>
            </w:r>
          </w:p>
        </w:tc>
      </w:tr>
      <w:tr w:rsidR="00AD72DA" w:rsidRPr="00AF0309" w14:paraId="53827061" w14:textId="77777777" w:rsidTr="00055F92">
        <w:trPr>
          <w:jc w:val="center"/>
        </w:trPr>
        <w:tc>
          <w:tcPr>
            <w:tcW w:w="0" w:type="auto"/>
            <w:vAlign w:val="center"/>
          </w:tcPr>
          <w:p w14:paraId="5382705D"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5E"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Above 55</w:t>
            </w:r>
          </w:p>
        </w:tc>
        <w:tc>
          <w:tcPr>
            <w:tcW w:w="0" w:type="auto"/>
            <w:vAlign w:val="center"/>
          </w:tcPr>
          <w:p w14:paraId="5382705F"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5</w:t>
            </w:r>
          </w:p>
        </w:tc>
        <w:tc>
          <w:tcPr>
            <w:tcW w:w="0" w:type="auto"/>
            <w:vAlign w:val="center"/>
          </w:tcPr>
          <w:p w14:paraId="53827060"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6.25%</w:t>
            </w:r>
          </w:p>
        </w:tc>
      </w:tr>
      <w:tr w:rsidR="00055F92" w:rsidRPr="00AF0309" w14:paraId="53827066" w14:textId="77777777" w:rsidTr="00055F92">
        <w:trPr>
          <w:jc w:val="center"/>
        </w:trPr>
        <w:tc>
          <w:tcPr>
            <w:tcW w:w="0" w:type="auto"/>
            <w:vAlign w:val="center"/>
          </w:tcPr>
          <w:p w14:paraId="53827062"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63"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64"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65"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r w:rsidR="00AD72DA" w:rsidRPr="00AF0309" w14:paraId="5382706B" w14:textId="77777777" w:rsidTr="00055F92">
        <w:trPr>
          <w:jc w:val="center"/>
        </w:trPr>
        <w:tc>
          <w:tcPr>
            <w:tcW w:w="0" w:type="auto"/>
            <w:vAlign w:val="center"/>
          </w:tcPr>
          <w:p w14:paraId="53827067"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Income Level</w:t>
            </w:r>
          </w:p>
        </w:tc>
        <w:tc>
          <w:tcPr>
            <w:tcW w:w="0" w:type="auto"/>
            <w:vAlign w:val="center"/>
          </w:tcPr>
          <w:p w14:paraId="53827068"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Below ₹25,000</w:t>
            </w:r>
          </w:p>
        </w:tc>
        <w:tc>
          <w:tcPr>
            <w:tcW w:w="0" w:type="auto"/>
            <w:vAlign w:val="center"/>
          </w:tcPr>
          <w:p w14:paraId="53827069"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12</w:t>
            </w:r>
          </w:p>
        </w:tc>
        <w:tc>
          <w:tcPr>
            <w:tcW w:w="0" w:type="auto"/>
            <w:vAlign w:val="center"/>
          </w:tcPr>
          <w:p w14:paraId="5382706A"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15%</w:t>
            </w:r>
          </w:p>
        </w:tc>
      </w:tr>
      <w:tr w:rsidR="00AD72DA" w:rsidRPr="00AF0309" w14:paraId="53827070" w14:textId="77777777" w:rsidTr="00055F92">
        <w:trPr>
          <w:jc w:val="center"/>
        </w:trPr>
        <w:tc>
          <w:tcPr>
            <w:tcW w:w="0" w:type="auto"/>
            <w:vAlign w:val="center"/>
          </w:tcPr>
          <w:p w14:paraId="5382706C"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6D"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₹25,000–₹50,000</w:t>
            </w:r>
          </w:p>
        </w:tc>
        <w:tc>
          <w:tcPr>
            <w:tcW w:w="0" w:type="auto"/>
            <w:vAlign w:val="center"/>
          </w:tcPr>
          <w:p w14:paraId="5382706E"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w:t>
            </w:r>
          </w:p>
        </w:tc>
        <w:tc>
          <w:tcPr>
            <w:tcW w:w="0" w:type="auto"/>
            <w:vAlign w:val="center"/>
          </w:tcPr>
          <w:p w14:paraId="5382706F"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31.25%</w:t>
            </w:r>
          </w:p>
        </w:tc>
      </w:tr>
      <w:tr w:rsidR="00AD72DA" w:rsidRPr="00AF0309" w14:paraId="53827075" w14:textId="77777777" w:rsidTr="00055F92">
        <w:trPr>
          <w:jc w:val="center"/>
        </w:trPr>
        <w:tc>
          <w:tcPr>
            <w:tcW w:w="0" w:type="auto"/>
            <w:vAlign w:val="center"/>
          </w:tcPr>
          <w:p w14:paraId="53827071"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72"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₹50,000–₹1,00,000</w:t>
            </w:r>
          </w:p>
        </w:tc>
        <w:tc>
          <w:tcPr>
            <w:tcW w:w="0" w:type="auto"/>
            <w:vAlign w:val="center"/>
          </w:tcPr>
          <w:p w14:paraId="53827073"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30</w:t>
            </w:r>
          </w:p>
        </w:tc>
        <w:tc>
          <w:tcPr>
            <w:tcW w:w="0" w:type="auto"/>
            <w:vAlign w:val="center"/>
          </w:tcPr>
          <w:p w14:paraId="53827074"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37.5%</w:t>
            </w:r>
          </w:p>
        </w:tc>
      </w:tr>
      <w:tr w:rsidR="00AD72DA" w:rsidRPr="00AF0309" w14:paraId="5382707A" w14:textId="77777777" w:rsidTr="00055F92">
        <w:trPr>
          <w:jc w:val="center"/>
        </w:trPr>
        <w:tc>
          <w:tcPr>
            <w:tcW w:w="0" w:type="auto"/>
            <w:vAlign w:val="center"/>
          </w:tcPr>
          <w:p w14:paraId="53827076"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77"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Above ₹1,00,000</w:t>
            </w:r>
          </w:p>
        </w:tc>
        <w:tc>
          <w:tcPr>
            <w:tcW w:w="0" w:type="auto"/>
            <w:vAlign w:val="center"/>
          </w:tcPr>
          <w:p w14:paraId="53827078"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13</w:t>
            </w:r>
          </w:p>
        </w:tc>
        <w:tc>
          <w:tcPr>
            <w:tcW w:w="0" w:type="auto"/>
            <w:vAlign w:val="center"/>
          </w:tcPr>
          <w:p w14:paraId="53827079"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16.25%</w:t>
            </w:r>
          </w:p>
        </w:tc>
      </w:tr>
      <w:tr w:rsidR="00055F92" w:rsidRPr="00AF0309" w14:paraId="5382707F" w14:textId="77777777" w:rsidTr="00055F92">
        <w:trPr>
          <w:jc w:val="center"/>
        </w:trPr>
        <w:tc>
          <w:tcPr>
            <w:tcW w:w="0" w:type="auto"/>
            <w:vAlign w:val="center"/>
          </w:tcPr>
          <w:p w14:paraId="5382707B"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7C"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7D"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7E"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r w:rsidR="00AD72DA" w:rsidRPr="00AF0309" w14:paraId="53827084" w14:textId="77777777" w:rsidTr="00055F92">
        <w:trPr>
          <w:jc w:val="center"/>
        </w:trPr>
        <w:tc>
          <w:tcPr>
            <w:tcW w:w="0" w:type="auto"/>
            <w:vAlign w:val="center"/>
          </w:tcPr>
          <w:p w14:paraId="53827080" w14:textId="77777777" w:rsidR="00055F92" w:rsidRPr="00AF0309" w:rsidRDefault="00055F92" w:rsidP="00055F92">
            <w:pPr>
              <w:pStyle w:val="Heading3"/>
              <w:jc w:val="center"/>
              <w:outlineLvl w:val="2"/>
              <w:rPr>
                <w:rStyle w:val="Strong"/>
                <w:rFonts w:ascii="Arial" w:hAnsi="Arial" w:cs="Arial"/>
                <w:sz w:val="20"/>
                <w:szCs w:val="20"/>
              </w:rPr>
            </w:pPr>
            <w:r w:rsidRPr="00AF0309">
              <w:rPr>
                <w:rStyle w:val="Strong"/>
                <w:rFonts w:ascii="Arial" w:hAnsi="Arial" w:cs="Arial"/>
                <w:sz w:val="20"/>
                <w:szCs w:val="20"/>
              </w:rPr>
              <w:t>Residence Type</w:t>
            </w:r>
          </w:p>
        </w:tc>
        <w:tc>
          <w:tcPr>
            <w:tcW w:w="0" w:type="auto"/>
            <w:vAlign w:val="center"/>
          </w:tcPr>
          <w:p w14:paraId="53827081"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Independent House</w:t>
            </w:r>
          </w:p>
        </w:tc>
        <w:tc>
          <w:tcPr>
            <w:tcW w:w="0" w:type="auto"/>
            <w:vAlign w:val="center"/>
          </w:tcPr>
          <w:p w14:paraId="53827082"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60</w:t>
            </w:r>
          </w:p>
        </w:tc>
        <w:tc>
          <w:tcPr>
            <w:tcW w:w="0" w:type="auto"/>
            <w:vAlign w:val="center"/>
          </w:tcPr>
          <w:p w14:paraId="53827083"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75%</w:t>
            </w:r>
          </w:p>
        </w:tc>
      </w:tr>
      <w:tr w:rsidR="00AD72DA" w:rsidRPr="00AF0309" w14:paraId="53827089" w14:textId="77777777" w:rsidTr="00055F92">
        <w:trPr>
          <w:jc w:val="center"/>
        </w:trPr>
        <w:tc>
          <w:tcPr>
            <w:tcW w:w="0" w:type="auto"/>
            <w:vAlign w:val="center"/>
          </w:tcPr>
          <w:p w14:paraId="53827085"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86"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Apartment</w:t>
            </w:r>
          </w:p>
        </w:tc>
        <w:tc>
          <w:tcPr>
            <w:tcW w:w="0" w:type="auto"/>
            <w:vAlign w:val="center"/>
          </w:tcPr>
          <w:p w14:paraId="53827087"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18</w:t>
            </w:r>
          </w:p>
        </w:tc>
        <w:tc>
          <w:tcPr>
            <w:tcW w:w="0" w:type="auto"/>
            <w:vAlign w:val="center"/>
          </w:tcPr>
          <w:p w14:paraId="53827088"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22.5%</w:t>
            </w:r>
          </w:p>
        </w:tc>
      </w:tr>
      <w:tr w:rsidR="00AD72DA" w:rsidRPr="00AF0309" w14:paraId="5382708E" w14:textId="77777777" w:rsidTr="00055F92">
        <w:trPr>
          <w:jc w:val="center"/>
        </w:trPr>
        <w:tc>
          <w:tcPr>
            <w:tcW w:w="0" w:type="auto"/>
            <w:vAlign w:val="center"/>
          </w:tcPr>
          <w:p w14:paraId="5382708A"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8B"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Other</w:t>
            </w:r>
          </w:p>
        </w:tc>
        <w:tc>
          <w:tcPr>
            <w:tcW w:w="0" w:type="auto"/>
            <w:vAlign w:val="center"/>
          </w:tcPr>
          <w:p w14:paraId="5382708C"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w:t>
            </w:r>
          </w:p>
        </w:tc>
        <w:tc>
          <w:tcPr>
            <w:tcW w:w="0" w:type="auto"/>
            <w:vAlign w:val="center"/>
          </w:tcPr>
          <w:p w14:paraId="5382708D" w14:textId="77777777" w:rsidR="00055F92" w:rsidRPr="00AF0309" w:rsidRDefault="00055F92" w:rsidP="00055F92">
            <w:pPr>
              <w:pStyle w:val="Heading3"/>
              <w:jc w:val="center"/>
              <w:outlineLvl w:val="2"/>
              <w:rPr>
                <w:rStyle w:val="Strong"/>
                <w:rFonts w:ascii="Arial" w:hAnsi="Arial" w:cs="Arial"/>
                <w:sz w:val="20"/>
                <w:szCs w:val="20"/>
              </w:rPr>
            </w:pPr>
            <w:r w:rsidRPr="00AF0309">
              <w:rPr>
                <w:rFonts w:ascii="Arial" w:hAnsi="Arial" w:cs="Arial"/>
                <w:b w:val="0"/>
                <w:bCs w:val="0"/>
                <w:sz w:val="20"/>
                <w:szCs w:val="20"/>
              </w:rPr>
              <w:t>2.5%</w:t>
            </w:r>
          </w:p>
        </w:tc>
      </w:tr>
      <w:tr w:rsidR="00055F92" w:rsidRPr="00AF0309" w14:paraId="53827093" w14:textId="77777777" w:rsidTr="00055F92">
        <w:trPr>
          <w:jc w:val="center"/>
        </w:trPr>
        <w:tc>
          <w:tcPr>
            <w:tcW w:w="0" w:type="auto"/>
            <w:vAlign w:val="center"/>
          </w:tcPr>
          <w:p w14:paraId="5382708F" w14:textId="77777777" w:rsidR="00055F92" w:rsidRPr="00AF0309" w:rsidRDefault="00055F92" w:rsidP="00055F92">
            <w:pPr>
              <w:pStyle w:val="Heading3"/>
              <w:jc w:val="center"/>
              <w:outlineLvl w:val="2"/>
              <w:rPr>
                <w:rStyle w:val="Strong"/>
                <w:rFonts w:ascii="Arial" w:hAnsi="Arial" w:cs="Arial"/>
                <w:sz w:val="20"/>
                <w:szCs w:val="20"/>
              </w:rPr>
            </w:pPr>
          </w:p>
        </w:tc>
        <w:tc>
          <w:tcPr>
            <w:tcW w:w="0" w:type="auto"/>
            <w:vAlign w:val="center"/>
          </w:tcPr>
          <w:p w14:paraId="53827090"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T</w:t>
            </w:r>
            <w:r w:rsidRPr="00AF0309">
              <w:rPr>
                <w:rFonts w:ascii="Arial" w:hAnsi="Arial" w:cs="Arial"/>
                <w:sz w:val="20"/>
                <w:szCs w:val="20"/>
              </w:rPr>
              <w:t>otal</w:t>
            </w:r>
          </w:p>
        </w:tc>
        <w:tc>
          <w:tcPr>
            <w:tcW w:w="0" w:type="auto"/>
            <w:vAlign w:val="center"/>
          </w:tcPr>
          <w:p w14:paraId="53827091"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8</w:t>
            </w:r>
            <w:r w:rsidRPr="00AF0309">
              <w:rPr>
                <w:rFonts w:ascii="Arial" w:hAnsi="Arial" w:cs="Arial"/>
                <w:sz w:val="20"/>
                <w:szCs w:val="20"/>
              </w:rPr>
              <w:t>0</w:t>
            </w:r>
          </w:p>
        </w:tc>
        <w:tc>
          <w:tcPr>
            <w:tcW w:w="0" w:type="auto"/>
            <w:vAlign w:val="center"/>
          </w:tcPr>
          <w:p w14:paraId="53827092" w14:textId="77777777" w:rsidR="00055F92" w:rsidRPr="00AF0309" w:rsidRDefault="00055F92" w:rsidP="00055F92">
            <w:pPr>
              <w:pStyle w:val="Heading3"/>
              <w:jc w:val="center"/>
              <w:outlineLvl w:val="2"/>
              <w:rPr>
                <w:rFonts w:ascii="Arial" w:hAnsi="Arial" w:cs="Arial"/>
                <w:b w:val="0"/>
                <w:bCs w:val="0"/>
                <w:sz w:val="20"/>
                <w:szCs w:val="20"/>
              </w:rPr>
            </w:pPr>
            <w:r w:rsidRPr="00AF0309">
              <w:rPr>
                <w:rFonts w:ascii="Arial" w:hAnsi="Arial" w:cs="Arial"/>
                <w:b w:val="0"/>
                <w:bCs w:val="0"/>
                <w:sz w:val="20"/>
                <w:szCs w:val="20"/>
              </w:rPr>
              <w:t>1</w:t>
            </w:r>
            <w:r w:rsidRPr="00AF0309">
              <w:rPr>
                <w:rFonts w:ascii="Arial" w:hAnsi="Arial" w:cs="Arial"/>
                <w:sz w:val="20"/>
                <w:szCs w:val="20"/>
              </w:rPr>
              <w:t>00%</w:t>
            </w:r>
          </w:p>
        </w:tc>
      </w:tr>
    </w:tbl>
    <w:p w14:paraId="53827094" w14:textId="77777777" w:rsidR="00055F92" w:rsidRPr="00AF0309" w:rsidRDefault="00055F92" w:rsidP="00B505BB">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MS Excel Output</w:t>
      </w:r>
    </w:p>
    <w:p w14:paraId="53827095" w14:textId="77777777" w:rsidR="00744030" w:rsidRPr="00AF0309" w:rsidRDefault="00774C7D" w:rsidP="00AD72DA">
      <w:pPr>
        <w:pStyle w:val="Heading3"/>
        <w:rPr>
          <w:rStyle w:val="Strong"/>
          <w:rFonts w:ascii="Arial" w:hAnsi="Arial" w:cs="Arial"/>
          <w:b/>
          <w:bCs/>
          <w:sz w:val="20"/>
          <w:szCs w:val="20"/>
        </w:rPr>
      </w:pPr>
      <w:r w:rsidRPr="00AF0309">
        <w:rPr>
          <w:rStyle w:val="Strong"/>
          <w:rFonts w:ascii="Arial" w:hAnsi="Arial" w:cs="Arial"/>
          <w:b/>
          <w:bCs/>
          <w:sz w:val="20"/>
          <w:szCs w:val="20"/>
        </w:rPr>
        <w:t>DESCRIPTIVE STATISTICS:</w:t>
      </w:r>
    </w:p>
    <w:p w14:paraId="53827096" w14:textId="77777777" w:rsidR="00AD72DA" w:rsidRPr="00AF0309" w:rsidRDefault="00AD72DA" w:rsidP="006B17C3">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t>Table 1.2: Awareness of Government Subsidies</w:t>
      </w:r>
    </w:p>
    <w:tbl>
      <w:tblPr>
        <w:tblStyle w:val="TableGrid"/>
        <w:tblW w:w="0" w:type="auto"/>
        <w:jc w:val="center"/>
        <w:tblLook w:val="04A0" w:firstRow="1" w:lastRow="0" w:firstColumn="1" w:lastColumn="0" w:noHBand="0" w:noVBand="1"/>
      </w:tblPr>
      <w:tblGrid>
        <w:gridCol w:w="4652"/>
        <w:gridCol w:w="439"/>
        <w:gridCol w:w="728"/>
        <w:gridCol w:w="606"/>
        <w:gridCol w:w="1139"/>
      </w:tblGrid>
      <w:tr w:rsidR="0040514A" w:rsidRPr="00AF0309" w14:paraId="5382709C" w14:textId="77777777" w:rsidTr="00F82ED4">
        <w:trPr>
          <w:jc w:val="center"/>
        </w:trPr>
        <w:tc>
          <w:tcPr>
            <w:tcW w:w="0" w:type="auto"/>
            <w:vAlign w:val="center"/>
          </w:tcPr>
          <w:p w14:paraId="53827097"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098"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099"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09A" w14:textId="77777777" w:rsidR="0040514A" w:rsidRPr="00AF0309" w:rsidRDefault="0040514A" w:rsidP="006B17C3">
            <w:pPr>
              <w:spacing w:line="360" w:lineRule="auto"/>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09B" w14:textId="77777777" w:rsidR="0040514A" w:rsidRPr="00AF0309" w:rsidRDefault="0040514A" w:rsidP="006B17C3">
            <w:pPr>
              <w:spacing w:line="360" w:lineRule="auto"/>
              <w:rPr>
                <w:rFonts w:ascii="Arial" w:hAnsi="Arial" w:cs="Arial"/>
                <w:sz w:val="20"/>
                <w:szCs w:val="20"/>
              </w:rPr>
            </w:pPr>
            <w:r w:rsidRPr="00AF0309">
              <w:rPr>
                <w:rStyle w:val="Strong"/>
                <w:rFonts w:ascii="Arial" w:hAnsi="Arial" w:cs="Arial"/>
                <w:sz w:val="20"/>
                <w:szCs w:val="20"/>
              </w:rPr>
              <w:t>Std. Error</w:t>
            </w:r>
          </w:p>
        </w:tc>
      </w:tr>
      <w:tr w:rsidR="0040514A" w:rsidRPr="00AF0309" w14:paraId="538270A2" w14:textId="77777777" w:rsidTr="00F82ED4">
        <w:trPr>
          <w:jc w:val="center"/>
        </w:trPr>
        <w:tc>
          <w:tcPr>
            <w:tcW w:w="0" w:type="auto"/>
            <w:vAlign w:val="center"/>
          </w:tcPr>
          <w:p w14:paraId="5382709D"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Awareness of government subsidies</w:t>
            </w:r>
          </w:p>
        </w:tc>
        <w:tc>
          <w:tcPr>
            <w:tcW w:w="0" w:type="auto"/>
            <w:vAlign w:val="center"/>
          </w:tcPr>
          <w:p w14:paraId="5382709E"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9F"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3.82</w:t>
            </w:r>
          </w:p>
        </w:tc>
        <w:tc>
          <w:tcPr>
            <w:tcW w:w="0" w:type="auto"/>
            <w:vAlign w:val="center"/>
          </w:tcPr>
          <w:p w14:paraId="538270A0"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0.91</w:t>
            </w:r>
          </w:p>
        </w:tc>
        <w:tc>
          <w:tcPr>
            <w:tcW w:w="0" w:type="auto"/>
            <w:vAlign w:val="center"/>
          </w:tcPr>
          <w:p w14:paraId="538270A1"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0.10</w:t>
            </w:r>
          </w:p>
        </w:tc>
      </w:tr>
      <w:tr w:rsidR="0040514A" w:rsidRPr="00AF0309" w14:paraId="538270A8" w14:textId="77777777" w:rsidTr="00F82ED4">
        <w:trPr>
          <w:jc w:val="center"/>
        </w:trPr>
        <w:tc>
          <w:tcPr>
            <w:tcW w:w="0" w:type="auto"/>
            <w:vAlign w:val="center"/>
          </w:tcPr>
          <w:p w14:paraId="538270A3"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Frequency of seeking information</w:t>
            </w:r>
          </w:p>
        </w:tc>
        <w:tc>
          <w:tcPr>
            <w:tcW w:w="0" w:type="auto"/>
            <w:vAlign w:val="center"/>
          </w:tcPr>
          <w:p w14:paraId="538270A4"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A5"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3.45</w:t>
            </w:r>
          </w:p>
        </w:tc>
        <w:tc>
          <w:tcPr>
            <w:tcW w:w="0" w:type="auto"/>
            <w:vAlign w:val="center"/>
          </w:tcPr>
          <w:p w14:paraId="538270A6"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1.03</w:t>
            </w:r>
          </w:p>
        </w:tc>
        <w:tc>
          <w:tcPr>
            <w:tcW w:w="0" w:type="auto"/>
            <w:vAlign w:val="center"/>
          </w:tcPr>
          <w:p w14:paraId="538270A7"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0.12</w:t>
            </w:r>
          </w:p>
        </w:tc>
      </w:tr>
      <w:tr w:rsidR="0040514A" w:rsidRPr="00AF0309" w14:paraId="538270AE" w14:textId="77777777" w:rsidTr="00F82ED4">
        <w:trPr>
          <w:jc w:val="center"/>
        </w:trPr>
        <w:tc>
          <w:tcPr>
            <w:tcW w:w="0" w:type="auto"/>
            <w:vAlign w:val="center"/>
          </w:tcPr>
          <w:p w14:paraId="538270A9"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Extent to which incentives reduce financial burden</w:t>
            </w:r>
          </w:p>
        </w:tc>
        <w:tc>
          <w:tcPr>
            <w:tcW w:w="0" w:type="auto"/>
            <w:vAlign w:val="center"/>
          </w:tcPr>
          <w:p w14:paraId="538270AA"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AB"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4.01</w:t>
            </w:r>
          </w:p>
        </w:tc>
        <w:tc>
          <w:tcPr>
            <w:tcW w:w="0" w:type="auto"/>
            <w:vAlign w:val="center"/>
          </w:tcPr>
          <w:p w14:paraId="538270AC"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0.87</w:t>
            </w:r>
          </w:p>
        </w:tc>
        <w:tc>
          <w:tcPr>
            <w:tcW w:w="0" w:type="auto"/>
            <w:vAlign w:val="center"/>
          </w:tcPr>
          <w:p w14:paraId="538270AD"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0.10</w:t>
            </w:r>
          </w:p>
        </w:tc>
      </w:tr>
      <w:tr w:rsidR="0040514A" w:rsidRPr="00AF0309" w14:paraId="538270B4" w14:textId="77777777" w:rsidTr="00F82ED4">
        <w:trPr>
          <w:jc w:val="center"/>
        </w:trPr>
        <w:tc>
          <w:tcPr>
            <w:tcW w:w="0" w:type="auto"/>
            <w:vAlign w:val="center"/>
          </w:tcPr>
          <w:p w14:paraId="538270AF"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Likelihood of adoption with cost coverage</w:t>
            </w:r>
          </w:p>
        </w:tc>
        <w:tc>
          <w:tcPr>
            <w:tcW w:w="0" w:type="auto"/>
            <w:vAlign w:val="center"/>
          </w:tcPr>
          <w:p w14:paraId="538270B0"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80</w:t>
            </w:r>
          </w:p>
        </w:tc>
        <w:tc>
          <w:tcPr>
            <w:tcW w:w="0" w:type="auto"/>
            <w:vAlign w:val="center"/>
          </w:tcPr>
          <w:p w14:paraId="538270B1"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4.15</w:t>
            </w:r>
          </w:p>
        </w:tc>
        <w:tc>
          <w:tcPr>
            <w:tcW w:w="0" w:type="auto"/>
            <w:vAlign w:val="center"/>
          </w:tcPr>
          <w:p w14:paraId="538270B2"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0.78</w:t>
            </w:r>
          </w:p>
        </w:tc>
        <w:tc>
          <w:tcPr>
            <w:tcW w:w="0" w:type="auto"/>
            <w:vAlign w:val="center"/>
          </w:tcPr>
          <w:p w14:paraId="538270B3" w14:textId="77777777" w:rsidR="0040514A" w:rsidRPr="00AF0309" w:rsidRDefault="0040514A" w:rsidP="006B17C3">
            <w:pPr>
              <w:spacing w:line="360" w:lineRule="auto"/>
              <w:rPr>
                <w:rFonts w:ascii="Arial" w:hAnsi="Arial" w:cs="Arial"/>
                <w:sz w:val="20"/>
                <w:szCs w:val="20"/>
              </w:rPr>
            </w:pPr>
            <w:r w:rsidRPr="00AF0309">
              <w:rPr>
                <w:rFonts w:ascii="Arial" w:hAnsi="Arial" w:cs="Arial"/>
                <w:sz w:val="20"/>
                <w:szCs w:val="20"/>
              </w:rPr>
              <w:t>0.09</w:t>
            </w:r>
          </w:p>
        </w:tc>
      </w:tr>
    </w:tbl>
    <w:p w14:paraId="538270B5" w14:textId="77777777" w:rsidR="0040514A" w:rsidRPr="00AF0309" w:rsidRDefault="0040514A" w:rsidP="006B17C3">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0B6" w14:textId="05D7A1B2" w:rsidR="00AD72DA" w:rsidRPr="00AF0309" w:rsidRDefault="0040514A" w:rsidP="008F2997">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t xml:space="preserve">Table </w:t>
      </w:r>
      <w:r w:rsidR="00381A12" w:rsidRPr="00AF0309">
        <w:rPr>
          <w:rStyle w:val="Strong"/>
          <w:rFonts w:ascii="Arial" w:hAnsi="Arial" w:cs="Arial"/>
          <w:i w:val="0"/>
          <w:iCs w:val="0"/>
          <w:color w:val="auto"/>
          <w:sz w:val="20"/>
          <w:szCs w:val="20"/>
        </w:rPr>
        <w:t>1.3:</w:t>
      </w:r>
      <w:r w:rsidR="00AD72DA" w:rsidRPr="00AF0309">
        <w:rPr>
          <w:rStyle w:val="Strong"/>
          <w:rFonts w:ascii="Arial" w:hAnsi="Arial" w:cs="Arial"/>
          <w:i w:val="0"/>
          <w:iCs w:val="0"/>
          <w:color w:val="auto"/>
          <w:sz w:val="20"/>
          <w:szCs w:val="20"/>
        </w:rPr>
        <w:t xml:space="preserve"> </w:t>
      </w:r>
      <w:r w:rsidR="00381A12" w:rsidRPr="00AF0309">
        <w:rPr>
          <w:rStyle w:val="Strong"/>
          <w:rFonts w:ascii="Arial" w:hAnsi="Arial" w:cs="Arial"/>
          <w:i w:val="0"/>
          <w:iCs w:val="0"/>
          <w:color w:val="auto"/>
          <w:sz w:val="20"/>
          <w:szCs w:val="20"/>
        </w:rPr>
        <w:t xml:space="preserve">Financial </w:t>
      </w:r>
      <w:r w:rsidR="0081716B" w:rsidRPr="00AF0309">
        <w:rPr>
          <w:rStyle w:val="Strong"/>
          <w:rFonts w:ascii="Arial" w:hAnsi="Arial" w:cs="Arial"/>
          <w:i w:val="0"/>
          <w:iCs w:val="0"/>
          <w:color w:val="auto"/>
          <w:sz w:val="20"/>
          <w:szCs w:val="20"/>
        </w:rPr>
        <w:t>Feasibility</w:t>
      </w:r>
      <w:r w:rsidR="00381A12" w:rsidRPr="00AF0309">
        <w:rPr>
          <w:rStyle w:val="Strong"/>
          <w:rFonts w:ascii="Arial" w:hAnsi="Arial" w:cs="Arial"/>
          <w:i w:val="0"/>
          <w:iCs w:val="0"/>
          <w:color w:val="auto"/>
          <w:sz w:val="20"/>
          <w:szCs w:val="20"/>
        </w:rPr>
        <w:t xml:space="preserve"> Perceptions</w:t>
      </w:r>
    </w:p>
    <w:tbl>
      <w:tblPr>
        <w:tblStyle w:val="TableGrid"/>
        <w:tblW w:w="0" w:type="auto"/>
        <w:jc w:val="center"/>
        <w:tblLook w:val="04A0" w:firstRow="1" w:lastRow="0" w:firstColumn="1" w:lastColumn="0" w:noHBand="0" w:noVBand="1"/>
      </w:tblPr>
      <w:tblGrid>
        <w:gridCol w:w="4730"/>
        <w:gridCol w:w="439"/>
        <w:gridCol w:w="728"/>
        <w:gridCol w:w="606"/>
        <w:gridCol w:w="1139"/>
      </w:tblGrid>
      <w:tr w:rsidR="0040514A" w:rsidRPr="00AF0309" w14:paraId="538270BC" w14:textId="77777777" w:rsidTr="00AD1DDC">
        <w:trPr>
          <w:jc w:val="center"/>
        </w:trPr>
        <w:tc>
          <w:tcPr>
            <w:tcW w:w="0" w:type="auto"/>
            <w:vAlign w:val="center"/>
          </w:tcPr>
          <w:p w14:paraId="538270B7"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0B8"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0B9"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0BA" w14:textId="77777777" w:rsidR="0040514A" w:rsidRPr="00AF0309" w:rsidRDefault="0040514A" w:rsidP="0040514A">
            <w:pPr>
              <w:spacing w:line="360" w:lineRule="auto"/>
              <w:jc w:val="center"/>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0BB" w14:textId="77777777" w:rsidR="0040514A" w:rsidRPr="00AF0309" w:rsidRDefault="0040514A" w:rsidP="0040514A">
            <w:pPr>
              <w:spacing w:line="360" w:lineRule="auto"/>
              <w:jc w:val="center"/>
              <w:rPr>
                <w:rFonts w:ascii="Arial" w:hAnsi="Arial" w:cs="Arial"/>
                <w:sz w:val="20"/>
                <w:szCs w:val="20"/>
              </w:rPr>
            </w:pPr>
            <w:r w:rsidRPr="00AF0309">
              <w:rPr>
                <w:rStyle w:val="Strong"/>
                <w:rFonts w:ascii="Arial" w:hAnsi="Arial" w:cs="Arial"/>
                <w:sz w:val="20"/>
                <w:szCs w:val="20"/>
              </w:rPr>
              <w:t>Std. Error</w:t>
            </w:r>
          </w:p>
        </w:tc>
      </w:tr>
      <w:tr w:rsidR="0040514A" w:rsidRPr="00AF0309" w14:paraId="538270C2" w14:textId="77777777" w:rsidTr="00AD1DDC">
        <w:trPr>
          <w:jc w:val="center"/>
        </w:trPr>
        <w:tc>
          <w:tcPr>
            <w:tcW w:w="0" w:type="auto"/>
            <w:vAlign w:val="center"/>
          </w:tcPr>
          <w:p w14:paraId="538270BD"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Monthly household income</w:t>
            </w:r>
          </w:p>
        </w:tc>
        <w:tc>
          <w:tcPr>
            <w:tcW w:w="0" w:type="auto"/>
            <w:vAlign w:val="center"/>
          </w:tcPr>
          <w:p w14:paraId="538270BE"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BF"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3.12</w:t>
            </w:r>
          </w:p>
        </w:tc>
        <w:tc>
          <w:tcPr>
            <w:tcW w:w="0" w:type="auto"/>
            <w:vAlign w:val="center"/>
          </w:tcPr>
          <w:p w14:paraId="538270C0"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0.93</w:t>
            </w:r>
          </w:p>
        </w:tc>
        <w:tc>
          <w:tcPr>
            <w:tcW w:w="0" w:type="auto"/>
            <w:vAlign w:val="center"/>
          </w:tcPr>
          <w:p w14:paraId="538270C1"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0C8" w14:textId="77777777" w:rsidTr="00AD1DDC">
        <w:trPr>
          <w:jc w:val="center"/>
        </w:trPr>
        <w:tc>
          <w:tcPr>
            <w:tcW w:w="0" w:type="auto"/>
            <w:vAlign w:val="center"/>
          </w:tcPr>
          <w:p w14:paraId="538270C3"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Average monthly electricity bill</w:t>
            </w:r>
          </w:p>
        </w:tc>
        <w:tc>
          <w:tcPr>
            <w:tcW w:w="0" w:type="auto"/>
            <w:vAlign w:val="center"/>
          </w:tcPr>
          <w:p w14:paraId="538270C4"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C5"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3.75</w:t>
            </w:r>
          </w:p>
        </w:tc>
        <w:tc>
          <w:tcPr>
            <w:tcW w:w="0" w:type="auto"/>
            <w:vAlign w:val="center"/>
          </w:tcPr>
          <w:p w14:paraId="538270C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0.85</w:t>
            </w:r>
          </w:p>
        </w:tc>
        <w:tc>
          <w:tcPr>
            <w:tcW w:w="0" w:type="auto"/>
            <w:vAlign w:val="center"/>
          </w:tcPr>
          <w:p w14:paraId="538270C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0.09</w:t>
            </w:r>
          </w:p>
        </w:tc>
      </w:tr>
      <w:tr w:rsidR="0040514A" w:rsidRPr="00AF0309" w14:paraId="538270CE" w14:textId="77777777" w:rsidTr="00AD1DDC">
        <w:trPr>
          <w:jc w:val="center"/>
        </w:trPr>
        <w:tc>
          <w:tcPr>
            <w:tcW w:w="0" w:type="auto"/>
            <w:vAlign w:val="center"/>
          </w:tcPr>
          <w:p w14:paraId="538270C9" w14:textId="2B704CF2"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 xml:space="preserve">Income affects </w:t>
            </w:r>
            <w:r w:rsidR="0081716B" w:rsidRPr="00AF0309">
              <w:rPr>
                <w:rFonts w:ascii="Arial" w:hAnsi="Arial" w:cs="Arial"/>
                <w:sz w:val="20"/>
                <w:szCs w:val="20"/>
              </w:rPr>
              <w:t xml:space="preserve">the </w:t>
            </w:r>
            <w:r w:rsidRPr="00AF0309">
              <w:rPr>
                <w:rFonts w:ascii="Arial" w:hAnsi="Arial" w:cs="Arial"/>
                <w:sz w:val="20"/>
                <w:szCs w:val="20"/>
              </w:rPr>
              <w:t>ability to invest</w:t>
            </w:r>
          </w:p>
        </w:tc>
        <w:tc>
          <w:tcPr>
            <w:tcW w:w="0" w:type="auto"/>
            <w:vAlign w:val="center"/>
          </w:tcPr>
          <w:p w14:paraId="538270CA"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CB"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3.88</w:t>
            </w:r>
          </w:p>
        </w:tc>
        <w:tc>
          <w:tcPr>
            <w:tcW w:w="0" w:type="auto"/>
            <w:vAlign w:val="center"/>
          </w:tcPr>
          <w:p w14:paraId="538270CC"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0.93</w:t>
            </w:r>
          </w:p>
        </w:tc>
        <w:tc>
          <w:tcPr>
            <w:tcW w:w="0" w:type="auto"/>
            <w:vAlign w:val="center"/>
          </w:tcPr>
          <w:p w14:paraId="538270CD"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0D4" w14:textId="77777777" w:rsidTr="00AD1DDC">
        <w:trPr>
          <w:jc w:val="center"/>
        </w:trPr>
        <w:tc>
          <w:tcPr>
            <w:tcW w:w="0" w:type="auto"/>
            <w:vAlign w:val="center"/>
          </w:tcPr>
          <w:p w14:paraId="538270CF" w14:textId="6150C14B"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 xml:space="preserve">Perceived financial benefits </w:t>
            </w:r>
            <w:r w:rsidR="0081716B" w:rsidRPr="00AF0309">
              <w:rPr>
                <w:rFonts w:ascii="Arial" w:hAnsi="Arial" w:cs="Arial"/>
                <w:sz w:val="20"/>
                <w:szCs w:val="20"/>
              </w:rPr>
              <w:t>of</w:t>
            </w:r>
            <w:r w:rsidRPr="00AF0309">
              <w:rPr>
                <w:rFonts w:ascii="Arial" w:hAnsi="Arial" w:cs="Arial"/>
                <w:sz w:val="20"/>
                <w:szCs w:val="20"/>
              </w:rPr>
              <w:t xml:space="preserve"> energy consumption</w:t>
            </w:r>
          </w:p>
        </w:tc>
        <w:tc>
          <w:tcPr>
            <w:tcW w:w="0" w:type="auto"/>
            <w:vAlign w:val="center"/>
          </w:tcPr>
          <w:p w14:paraId="538270D0"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D1"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3.70</w:t>
            </w:r>
          </w:p>
        </w:tc>
        <w:tc>
          <w:tcPr>
            <w:tcW w:w="0" w:type="auto"/>
            <w:vAlign w:val="center"/>
          </w:tcPr>
          <w:p w14:paraId="538270D2"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1.05</w:t>
            </w:r>
          </w:p>
        </w:tc>
        <w:tc>
          <w:tcPr>
            <w:tcW w:w="0" w:type="auto"/>
            <w:vAlign w:val="center"/>
          </w:tcPr>
          <w:p w14:paraId="538270D3"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0.12</w:t>
            </w:r>
          </w:p>
        </w:tc>
      </w:tr>
      <w:tr w:rsidR="0040514A" w:rsidRPr="00AF0309" w14:paraId="538270DA" w14:textId="77777777" w:rsidTr="00AD1DDC">
        <w:trPr>
          <w:jc w:val="center"/>
        </w:trPr>
        <w:tc>
          <w:tcPr>
            <w:tcW w:w="0" w:type="auto"/>
            <w:vAlign w:val="center"/>
          </w:tcPr>
          <w:p w14:paraId="538270D5" w14:textId="77777777" w:rsidR="0040514A" w:rsidRPr="00AF0309" w:rsidRDefault="00381A12" w:rsidP="0040514A">
            <w:pPr>
              <w:spacing w:line="360" w:lineRule="auto"/>
              <w:rPr>
                <w:rFonts w:ascii="Arial" w:hAnsi="Arial" w:cs="Arial"/>
                <w:sz w:val="20"/>
                <w:szCs w:val="20"/>
              </w:rPr>
            </w:pPr>
            <w:r w:rsidRPr="00AF0309">
              <w:rPr>
                <w:rFonts w:ascii="Arial" w:hAnsi="Arial" w:cs="Arial"/>
                <w:sz w:val="20"/>
                <w:szCs w:val="20"/>
              </w:rPr>
              <w:t>Financial feasibility based</w:t>
            </w:r>
            <w:r w:rsidR="0040514A" w:rsidRPr="00AF0309">
              <w:rPr>
                <w:rFonts w:ascii="Arial" w:hAnsi="Arial" w:cs="Arial"/>
                <w:sz w:val="20"/>
                <w:szCs w:val="20"/>
              </w:rPr>
              <w:t xml:space="preserve"> on income/needs</w:t>
            </w:r>
          </w:p>
        </w:tc>
        <w:tc>
          <w:tcPr>
            <w:tcW w:w="0" w:type="auto"/>
            <w:vAlign w:val="center"/>
          </w:tcPr>
          <w:p w14:paraId="538270D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D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3.95</w:t>
            </w:r>
          </w:p>
        </w:tc>
        <w:tc>
          <w:tcPr>
            <w:tcW w:w="0" w:type="auto"/>
            <w:vAlign w:val="center"/>
          </w:tcPr>
          <w:p w14:paraId="538270D8"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0.88</w:t>
            </w:r>
          </w:p>
        </w:tc>
        <w:tc>
          <w:tcPr>
            <w:tcW w:w="0" w:type="auto"/>
            <w:vAlign w:val="center"/>
          </w:tcPr>
          <w:p w14:paraId="538270D9"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bl>
    <w:p w14:paraId="538270DB" w14:textId="77777777" w:rsidR="0040514A" w:rsidRPr="00AF0309" w:rsidRDefault="0040514A" w:rsidP="00A80032">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0DC" w14:textId="77777777" w:rsidR="00AD72DA" w:rsidRPr="00AF0309" w:rsidRDefault="0040514A" w:rsidP="001931FF">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t>Table 1.</w:t>
      </w:r>
      <w:r w:rsidR="00AD72DA" w:rsidRPr="00AF0309">
        <w:rPr>
          <w:rStyle w:val="Strong"/>
          <w:rFonts w:ascii="Arial" w:hAnsi="Arial" w:cs="Arial"/>
          <w:i w:val="0"/>
          <w:iCs w:val="0"/>
          <w:color w:val="auto"/>
          <w:sz w:val="20"/>
          <w:szCs w:val="20"/>
        </w:rPr>
        <w:t>4: Long-term Financial Benefits</w:t>
      </w:r>
    </w:p>
    <w:tbl>
      <w:tblPr>
        <w:tblStyle w:val="TableGrid"/>
        <w:tblW w:w="0" w:type="auto"/>
        <w:jc w:val="center"/>
        <w:tblLook w:val="04A0" w:firstRow="1" w:lastRow="0" w:firstColumn="1" w:lastColumn="0" w:noHBand="0" w:noVBand="1"/>
      </w:tblPr>
      <w:tblGrid>
        <w:gridCol w:w="4486"/>
        <w:gridCol w:w="439"/>
        <w:gridCol w:w="728"/>
        <w:gridCol w:w="606"/>
        <w:gridCol w:w="1139"/>
      </w:tblGrid>
      <w:tr w:rsidR="0040514A" w:rsidRPr="00AF0309" w14:paraId="538270E2" w14:textId="77777777" w:rsidTr="00AD1DDC">
        <w:trPr>
          <w:jc w:val="center"/>
        </w:trPr>
        <w:tc>
          <w:tcPr>
            <w:tcW w:w="0" w:type="auto"/>
            <w:vAlign w:val="center"/>
          </w:tcPr>
          <w:p w14:paraId="538270DD"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0DE"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0DF"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0E0" w14:textId="77777777" w:rsidR="0040514A" w:rsidRPr="00AF0309" w:rsidRDefault="0040514A" w:rsidP="00AD1DDC">
            <w:pPr>
              <w:spacing w:line="360" w:lineRule="auto"/>
              <w:jc w:val="center"/>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0E1" w14:textId="77777777" w:rsidR="0040514A" w:rsidRPr="00AF0309" w:rsidRDefault="0040514A" w:rsidP="00AD1DDC">
            <w:pPr>
              <w:spacing w:line="360" w:lineRule="auto"/>
              <w:jc w:val="center"/>
              <w:rPr>
                <w:rFonts w:ascii="Arial" w:hAnsi="Arial" w:cs="Arial"/>
                <w:sz w:val="20"/>
                <w:szCs w:val="20"/>
              </w:rPr>
            </w:pPr>
            <w:r w:rsidRPr="00AF0309">
              <w:rPr>
                <w:rStyle w:val="Strong"/>
                <w:rFonts w:ascii="Arial" w:hAnsi="Arial" w:cs="Arial"/>
                <w:sz w:val="20"/>
                <w:szCs w:val="20"/>
              </w:rPr>
              <w:t>Std. Error</w:t>
            </w:r>
          </w:p>
        </w:tc>
      </w:tr>
      <w:tr w:rsidR="0040514A" w:rsidRPr="00AF0309" w14:paraId="538270E8" w14:textId="77777777" w:rsidTr="00AD1DDC">
        <w:trPr>
          <w:jc w:val="center"/>
        </w:trPr>
        <w:tc>
          <w:tcPr>
            <w:tcW w:w="0" w:type="auto"/>
            <w:vAlign w:val="center"/>
          </w:tcPr>
          <w:p w14:paraId="538270E3"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Belief in long-term financial savings</w:t>
            </w:r>
          </w:p>
        </w:tc>
        <w:tc>
          <w:tcPr>
            <w:tcW w:w="0" w:type="auto"/>
            <w:vAlign w:val="center"/>
          </w:tcPr>
          <w:p w14:paraId="538270E4"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E5"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4.12</w:t>
            </w:r>
          </w:p>
        </w:tc>
        <w:tc>
          <w:tcPr>
            <w:tcW w:w="0" w:type="auto"/>
            <w:vAlign w:val="center"/>
          </w:tcPr>
          <w:p w14:paraId="538270E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0.81</w:t>
            </w:r>
          </w:p>
        </w:tc>
        <w:tc>
          <w:tcPr>
            <w:tcW w:w="0" w:type="auto"/>
            <w:vAlign w:val="center"/>
          </w:tcPr>
          <w:p w14:paraId="538270E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0.09</w:t>
            </w:r>
          </w:p>
        </w:tc>
      </w:tr>
      <w:tr w:rsidR="0040514A" w:rsidRPr="00AF0309" w14:paraId="538270EE" w14:textId="77777777" w:rsidTr="00AD1DDC">
        <w:trPr>
          <w:jc w:val="center"/>
        </w:trPr>
        <w:tc>
          <w:tcPr>
            <w:tcW w:w="0" w:type="auto"/>
            <w:vAlign w:val="center"/>
          </w:tcPr>
          <w:p w14:paraId="538270E9"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ROI justifies initial cost</w:t>
            </w:r>
          </w:p>
        </w:tc>
        <w:tc>
          <w:tcPr>
            <w:tcW w:w="0" w:type="auto"/>
            <w:vAlign w:val="center"/>
          </w:tcPr>
          <w:p w14:paraId="538270EA"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EB"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3.92</w:t>
            </w:r>
          </w:p>
        </w:tc>
        <w:tc>
          <w:tcPr>
            <w:tcW w:w="0" w:type="auto"/>
            <w:vAlign w:val="center"/>
          </w:tcPr>
          <w:p w14:paraId="538270EC"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0.85</w:t>
            </w:r>
          </w:p>
        </w:tc>
        <w:tc>
          <w:tcPr>
            <w:tcW w:w="0" w:type="auto"/>
            <w:vAlign w:val="center"/>
          </w:tcPr>
          <w:p w14:paraId="538270ED"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0F4" w14:textId="77777777" w:rsidTr="00AD1DDC">
        <w:trPr>
          <w:jc w:val="center"/>
        </w:trPr>
        <w:tc>
          <w:tcPr>
            <w:tcW w:w="0" w:type="auto"/>
            <w:vAlign w:val="center"/>
          </w:tcPr>
          <w:p w14:paraId="538270EF"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Likelihood to invest based on long-term benefits</w:t>
            </w:r>
          </w:p>
        </w:tc>
        <w:tc>
          <w:tcPr>
            <w:tcW w:w="0" w:type="auto"/>
            <w:vAlign w:val="center"/>
          </w:tcPr>
          <w:p w14:paraId="538270F0"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F1"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4.05</w:t>
            </w:r>
          </w:p>
        </w:tc>
        <w:tc>
          <w:tcPr>
            <w:tcW w:w="0" w:type="auto"/>
            <w:vAlign w:val="center"/>
          </w:tcPr>
          <w:p w14:paraId="538270F2"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0.79</w:t>
            </w:r>
          </w:p>
        </w:tc>
        <w:tc>
          <w:tcPr>
            <w:tcW w:w="0" w:type="auto"/>
            <w:vAlign w:val="center"/>
          </w:tcPr>
          <w:p w14:paraId="538270F3"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0.09</w:t>
            </w:r>
          </w:p>
        </w:tc>
      </w:tr>
      <w:tr w:rsidR="0040514A" w:rsidRPr="00AF0309" w14:paraId="538270FA" w14:textId="77777777" w:rsidTr="00AD1DDC">
        <w:trPr>
          <w:jc w:val="center"/>
        </w:trPr>
        <w:tc>
          <w:tcPr>
            <w:tcW w:w="0" w:type="auto"/>
            <w:vAlign w:val="center"/>
          </w:tcPr>
          <w:p w14:paraId="538270F5"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Belief in sound investment despite long payback</w:t>
            </w:r>
          </w:p>
        </w:tc>
        <w:tc>
          <w:tcPr>
            <w:tcW w:w="0" w:type="auto"/>
            <w:vAlign w:val="center"/>
          </w:tcPr>
          <w:p w14:paraId="538270F6"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F7"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3.98</w:t>
            </w:r>
          </w:p>
        </w:tc>
        <w:tc>
          <w:tcPr>
            <w:tcW w:w="0" w:type="auto"/>
            <w:vAlign w:val="center"/>
          </w:tcPr>
          <w:p w14:paraId="538270F8"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0.90</w:t>
            </w:r>
          </w:p>
        </w:tc>
        <w:tc>
          <w:tcPr>
            <w:tcW w:w="0" w:type="auto"/>
            <w:vAlign w:val="center"/>
          </w:tcPr>
          <w:p w14:paraId="538270F9"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r w:rsidR="0040514A" w:rsidRPr="00AF0309" w14:paraId="53827100" w14:textId="77777777" w:rsidTr="00AD1DDC">
        <w:trPr>
          <w:jc w:val="center"/>
        </w:trPr>
        <w:tc>
          <w:tcPr>
            <w:tcW w:w="0" w:type="auto"/>
            <w:vAlign w:val="center"/>
          </w:tcPr>
          <w:p w14:paraId="538270FB" w14:textId="77777777" w:rsidR="0040514A" w:rsidRPr="00AF0309" w:rsidRDefault="0040514A" w:rsidP="0040514A">
            <w:pPr>
              <w:spacing w:line="360" w:lineRule="auto"/>
              <w:rPr>
                <w:rFonts w:ascii="Arial" w:hAnsi="Arial" w:cs="Arial"/>
                <w:sz w:val="20"/>
                <w:szCs w:val="20"/>
              </w:rPr>
            </w:pPr>
            <w:r w:rsidRPr="00AF0309">
              <w:rPr>
                <w:rFonts w:ascii="Arial" w:hAnsi="Arial" w:cs="Arial"/>
                <w:sz w:val="20"/>
                <w:szCs w:val="20"/>
              </w:rPr>
              <w:t>Adoption if ROI is assured within 7–10 years</w:t>
            </w:r>
          </w:p>
        </w:tc>
        <w:tc>
          <w:tcPr>
            <w:tcW w:w="0" w:type="auto"/>
            <w:vAlign w:val="center"/>
          </w:tcPr>
          <w:p w14:paraId="538270FC"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0FD"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4.01</w:t>
            </w:r>
          </w:p>
        </w:tc>
        <w:tc>
          <w:tcPr>
            <w:tcW w:w="0" w:type="auto"/>
            <w:vAlign w:val="center"/>
          </w:tcPr>
          <w:p w14:paraId="538270FE"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0.88</w:t>
            </w:r>
          </w:p>
        </w:tc>
        <w:tc>
          <w:tcPr>
            <w:tcW w:w="0" w:type="auto"/>
            <w:vAlign w:val="center"/>
          </w:tcPr>
          <w:p w14:paraId="538270FF" w14:textId="77777777" w:rsidR="0040514A" w:rsidRPr="00AF0309" w:rsidRDefault="0040514A" w:rsidP="0040514A">
            <w:pPr>
              <w:spacing w:line="360" w:lineRule="auto"/>
              <w:jc w:val="center"/>
              <w:rPr>
                <w:rFonts w:ascii="Arial" w:hAnsi="Arial" w:cs="Arial"/>
                <w:sz w:val="20"/>
                <w:szCs w:val="20"/>
              </w:rPr>
            </w:pPr>
            <w:r w:rsidRPr="00AF0309">
              <w:rPr>
                <w:rFonts w:ascii="Arial" w:hAnsi="Arial" w:cs="Arial"/>
                <w:sz w:val="20"/>
                <w:szCs w:val="20"/>
              </w:rPr>
              <w:t>0.10</w:t>
            </w:r>
          </w:p>
        </w:tc>
      </w:tr>
    </w:tbl>
    <w:p w14:paraId="53827101" w14:textId="77777777" w:rsidR="0040514A" w:rsidRPr="00AF0309" w:rsidRDefault="0040514A" w:rsidP="001931FF">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02" w14:textId="77777777" w:rsidR="00AD72DA" w:rsidRPr="00AF0309" w:rsidRDefault="00255D3C" w:rsidP="007F0C7B">
      <w:pPr>
        <w:pStyle w:val="Heading4"/>
        <w:rPr>
          <w:rStyle w:val="Strong"/>
          <w:rFonts w:ascii="Arial" w:hAnsi="Arial" w:cs="Arial"/>
          <w:i w:val="0"/>
          <w:iCs w:val="0"/>
          <w:color w:val="auto"/>
          <w:sz w:val="20"/>
          <w:szCs w:val="20"/>
        </w:rPr>
      </w:pPr>
      <w:r w:rsidRPr="00AF0309">
        <w:rPr>
          <w:rStyle w:val="Strong"/>
          <w:rFonts w:ascii="Arial" w:hAnsi="Arial" w:cs="Arial"/>
          <w:i w:val="0"/>
          <w:iCs w:val="0"/>
          <w:color w:val="auto"/>
          <w:sz w:val="20"/>
          <w:szCs w:val="20"/>
        </w:rPr>
        <w:lastRenderedPageBreak/>
        <w:t>Table 1.</w:t>
      </w:r>
      <w:r w:rsidR="00AD72DA" w:rsidRPr="00AF0309">
        <w:rPr>
          <w:rStyle w:val="Strong"/>
          <w:rFonts w:ascii="Arial" w:hAnsi="Arial" w:cs="Arial"/>
          <w:i w:val="0"/>
          <w:iCs w:val="0"/>
          <w:color w:val="auto"/>
          <w:sz w:val="20"/>
          <w:szCs w:val="20"/>
        </w:rPr>
        <w:t>5: Upfront Cost Challenges</w:t>
      </w:r>
    </w:p>
    <w:tbl>
      <w:tblPr>
        <w:tblStyle w:val="TableGrid"/>
        <w:tblW w:w="0" w:type="auto"/>
        <w:jc w:val="center"/>
        <w:tblLook w:val="04A0" w:firstRow="1" w:lastRow="0" w:firstColumn="1" w:lastColumn="0" w:noHBand="0" w:noVBand="1"/>
      </w:tblPr>
      <w:tblGrid>
        <w:gridCol w:w="4553"/>
        <w:gridCol w:w="439"/>
        <w:gridCol w:w="728"/>
        <w:gridCol w:w="606"/>
        <w:gridCol w:w="1139"/>
      </w:tblGrid>
      <w:tr w:rsidR="00255D3C" w:rsidRPr="00AF0309" w14:paraId="53827108" w14:textId="77777777" w:rsidTr="00AD1DDC">
        <w:trPr>
          <w:jc w:val="center"/>
        </w:trPr>
        <w:tc>
          <w:tcPr>
            <w:tcW w:w="0" w:type="auto"/>
            <w:vAlign w:val="center"/>
          </w:tcPr>
          <w:p w14:paraId="53827103"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Question</w:t>
            </w:r>
          </w:p>
        </w:tc>
        <w:tc>
          <w:tcPr>
            <w:tcW w:w="0" w:type="auto"/>
            <w:vAlign w:val="center"/>
          </w:tcPr>
          <w:p w14:paraId="53827104"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N</w:t>
            </w:r>
          </w:p>
        </w:tc>
        <w:tc>
          <w:tcPr>
            <w:tcW w:w="0" w:type="auto"/>
            <w:vAlign w:val="center"/>
          </w:tcPr>
          <w:p w14:paraId="53827105"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Mean</w:t>
            </w:r>
          </w:p>
        </w:tc>
        <w:tc>
          <w:tcPr>
            <w:tcW w:w="0" w:type="auto"/>
            <w:vAlign w:val="center"/>
          </w:tcPr>
          <w:p w14:paraId="53827106" w14:textId="77777777" w:rsidR="00255D3C" w:rsidRPr="00AF0309" w:rsidRDefault="00255D3C" w:rsidP="00AD1DDC">
            <w:pPr>
              <w:spacing w:line="360" w:lineRule="auto"/>
              <w:jc w:val="center"/>
              <w:rPr>
                <w:rFonts w:ascii="Arial" w:hAnsi="Arial" w:cs="Arial"/>
                <w:sz w:val="20"/>
                <w:szCs w:val="20"/>
              </w:rPr>
            </w:pPr>
            <w:proofErr w:type="gramStart"/>
            <w:r w:rsidRPr="00AF0309">
              <w:rPr>
                <w:rStyle w:val="Strong"/>
                <w:rFonts w:ascii="Arial" w:hAnsi="Arial" w:cs="Arial"/>
                <w:sz w:val="20"/>
                <w:szCs w:val="20"/>
              </w:rPr>
              <w:t>S.D</w:t>
            </w:r>
            <w:proofErr w:type="gramEnd"/>
          </w:p>
        </w:tc>
        <w:tc>
          <w:tcPr>
            <w:tcW w:w="0" w:type="auto"/>
            <w:vAlign w:val="center"/>
          </w:tcPr>
          <w:p w14:paraId="53827107" w14:textId="77777777" w:rsidR="00255D3C" w:rsidRPr="00AF0309" w:rsidRDefault="00255D3C" w:rsidP="00AD1DDC">
            <w:pPr>
              <w:spacing w:line="360" w:lineRule="auto"/>
              <w:jc w:val="center"/>
              <w:rPr>
                <w:rFonts w:ascii="Arial" w:hAnsi="Arial" w:cs="Arial"/>
                <w:sz w:val="20"/>
                <w:szCs w:val="20"/>
              </w:rPr>
            </w:pPr>
            <w:r w:rsidRPr="00AF0309">
              <w:rPr>
                <w:rStyle w:val="Strong"/>
                <w:rFonts w:ascii="Arial" w:hAnsi="Arial" w:cs="Arial"/>
                <w:sz w:val="20"/>
                <w:szCs w:val="20"/>
              </w:rPr>
              <w:t>Std. Error</w:t>
            </w:r>
          </w:p>
        </w:tc>
      </w:tr>
      <w:tr w:rsidR="00255D3C" w:rsidRPr="00AF0309" w14:paraId="5382710E" w14:textId="77777777" w:rsidTr="00AD1DDC">
        <w:trPr>
          <w:jc w:val="center"/>
        </w:trPr>
        <w:tc>
          <w:tcPr>
            <w:tcW w:w="0" w:type="auto"/>
            <w:vAlign w:val="center"/>
          </w:tcPr>
          <w:p w14:paraId="53827109"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Significance of initial installation cost</w:t>
            </w:r>
          </w:p>
        </w:tc>
        <w:tc>
          <w:tcPr>
            <w:tcW w:w="0" w:type="auto"/>
            <w:vAlign w:val="center"/>
          </w:tcPr>
          <w:p w14:paraId="5382710A"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0B"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4.28</w:t>
            </w:r>
          </w:p>
        </w:tc>
        <w:tc>
          <w:tcPr>
            <w:tcW w:w="0" w:type="auto"/>
            <w:vAlign w:val="center"/>
          </w:tcPr>
          <w:p w14:paraId="5382710C"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0.76</w:t>
            </w:r>
          </w:p>
        </w:tc>
        <w:tc>
          <w:tcPr>
            <w:tcW w:w="0" w:type="auto"/>
            <w:vAlign w:val="center"/>
          </w:tcPr>
          <w:p w14:paraId="5382710D"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0.08</w:t>
            </w:r>
          </w:p>
        </w:tc>
      </w:tr>
      <w:tr w:rsidR="00255D3C" w:rsidRPr="00AF0309" w14:paraId="53827114" w14:textId="77777777" w:rsidTr="00AD1DDC">
        <w:trPr>
          <w:jc w:val="center"/>
        </w:trPr>
        <w:tc>
          <w:tcPr>
            <w:tcW w:w="0" w:type="auto"/>
            <w:vAlign w:val="center"/>
          </w:tcPr>
          <w:p w14:paraId="5382710F"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Perceived high cost as a barrier</w:t>
            </w:r>
          </w:p>
        </w:tc>
        <w:tc>
          <w:tcPr>
            <w:tcW w:w="0" w:type="auto"/>
            <w:vAlign w:val="center"/>
          </w:tcPr>
          <w:p w14:paraId="53827110"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11"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4.10</w:t>
            </w:r>
          </w:p>
        </w:tc>
        <w:tc>
          <w:tcPr>
            <w:tcW w:w="0" w:type="auto"/>
            <w:vAlign w:val="center"/>
          </w:tcPr>
          <w:p w14:paraId="53827112"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0.89</w:t>
            </w:r>
          </w:p>
        </w:tc>
        <w:tc>
          <w:tcPr>
            <w:tcW w:w="0" w:type="auto"/>
            <w:vAlign w:val="center"/>
          </w:tcPr>
          <w:p w14:paraId="53827113"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0.10</w:t>
            </w:r>
          </w:p>
        </w:tc>
      </w:tr>
      <w:tr w:rsidR="00255D3C" w:rsidRPr="00AF0309" w14:paraId="5382711A" w14:textId="77777777" w:rsidTr="00AD1DDC">
        <w:trPr>
          <w:jc w:val="center"/>
        </w:trPr>
        <w:tc>
          <w:tcPr>
            <w:tcW w:w="0" w:type="auto"/>
            <w:vAlign w:val="center"/>
          </w:tcPr>
          <w:p w14:paraId="53827115"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Likelihood of adoption with reduced upfront costs</w:t>
            </w:r>
          </w:p>
        </w:tc>
        <w:tc>
          <w:tcPr>
            <w:tcW w:w="0" w:type="auto"/>
            <w:vAlign w:val="center"/>
          </w:tcPr>
          <w:p w14:paraId="53827116"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17"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4.00</w:t>
            </w:r>
          </w:p>
        </w:tc>
        <w:tc>
          <w:tcPr>
            <w:tcW w:w="0" w:type="auto"/>
            <w:vAlign w:val="center"/>
          </w:tcPr>
          <w:p w14:paraId="53827118"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0.84</w:t>
            </w:r>
          </w:p>
        </w:tc>
        <w:tc>
          <w:tcPr>
            <w:tcW w:w="0" w:type="auto"/>
            <w:vAlign w:val="center"/>
          </w:tcPr>
          <w:p w14:paraId="53827119"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0.09</w:t>
            </w:r>
          </w:p>
        </w:tc>
      </w:tr>
      <w:tr w:rsidR="00255D3C" w:rsidRPr="00AF0309" w14:paraId="53827120" w14:textId="77777777" w:rsidTr="00AD1DDC">
        <w:trPr>
          <w:jc w:val="center"/>
        </w:trPr>
        <w:tc>
          <w:tcPr>
            <w:tcW w:w="0" w:type="auto"/>
            <w:vAlign w:val="center"/>
          </w:tcPr>
          <w:p w14:paraId="5382711B"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Investment needs as a deterrent</w:t>
            </w:r>
          </w:p>
        </w:tc>
        <w:tc>
          <w:tcPr>
            <w:tcW w:w="0" w:type="auto"/>
            <w:vAlign w:val="center"/>
          </w:tcPr>
          <w:p w14:paraId="5382711C"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1D"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4.15</w:t>
            </w:r>
          </w:p>
        </w:tc>
        <w:tc>
          <w:tcPr>
            <w:tcW w:w="0" w:type="auto"/>
            <w:vAlign w:val="center"/>
          </w:tcPr>
          <w:p w14:paraId="5382711E"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0.79</w:t>
            </w:r>
          </w:p>
        </w:tc>
        <w:tc>
          <w:tcPr>
            <w:tcW w:w="0" w:type="auto"/>
            <w:vAlign w:val="center"/>
          </w:tcPr>
          <w:p w14:paraId="5382711F"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0.09</w:t>
            </w:r>
          </w:p>
        </w:tc>
      </w:tr>
      <w:tr w:rsidR="00255D3C" w:rsidRPr="00AF0309" w14:paraId="53827126" w14:textId="77777777" w:rsidTr="00AD1DDC">
        <w:trPr>
          <w:jc w:val="center"/>
        </w:trPr>
        <w:tc>
          <w:tcPr>
            <w:tcW w:w="0" w:type="auto"/>
            <w:vAlign w:val="center"/>
          </w:tcPr>
          <w:p w14:paraId="53827121" w14:textId="77777777" w:rsidR="00255D3C" w:rsidRPr="00AF0309" w:rsidRDefault="00255D3C" w:rsidP="00255D3C">
            <w:pPr>
              <w:spacing w:line="360" w:lineRule="auto"/>
              <w:rPr>
                <w:rFonts w:ascii="Arial" w:hAnsi="Arial" w:cs="Arial"/>
                <w:sz w:val="20"/>
                <w:szCs w:val="20"/>
              </w:rPr>
            </w:pPr>
            <w:r w:rsidRPr="00AF0309">
              <w:rPr>
                <w:rFonts w:ascii="Arial" w:hAnsi="Arial" w:cs="Arial"/>
                <w:sz w:val="20"/>
                <w:szCs w:val="20"/>
              </w:rPr>
              <w:t>Willingness to wait for cost reduction</w:t>
            </w:r>
          </w:p>
        </w:tc>
        <w:tc>
          <w:tcPr>
            <w:tcW w:w="0" w:type="auto"/>
            <w:vAlign w:val="center"/>
          </w:tcPr>
          <w:p w14:paraId="53827122"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80</w:t>
            </w:r>
          </w:p>
        </w:tc>
        <w:tc>
          <w:tcPr>
            <w:tcW w:w="0" w:type="auto"/>
            <w:vAlign w:val="center"/>
          </w:tcPr>
          <w:p w14:paraId="53827123"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3.95</w:t>
            </w:r>
          </w:p>
        </w:tc>
        <w:tc>
          <w:tcPr>
            <w:tcW w:w="0" w:type="auto"/>
            <w:vAlign w:val="center"/>
          </w:tcPr>
          <w:p w14:paraId="53827124"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0.87</w:t>
            </w:r>
          </w:p>
        </w:tc>
        <w:tc>
          <w:tcPr>
            <w:tcW w:w="0" w:type="auto"/>
            <w:vAlign w:val="center"/>
          </w:tcPr>
          <w:p w14:paraId="53827125" w14:textId="77777777" w:rsidR="00255D3C" w:rsidRPr="00AF0309" w:rsidRDefault="00255D3C" w:rsidP="00255D3C">
            <w:pPr>
              <w:spacing w:line="360" w:lineRule="auto"/>
              <w:jc w:val="center"/>
              <w:rPr>
                <w:rFonts w:ascii="Arial" w:hAnsi="Arial" w:cs="Arial"/>
                <w:sz w:val="20"/>
                <w:szCs w:val="20"/>
              </w:rPr>
            </w:pPr>
            <w:r w:rsidRPr="00AF0309">
              <w:rPr>
                <w:rFonts w:ascii="Arial" w:hAnsi="Arial" w:cs="Arial"/>
                <w:sz w:val="20"/>
                <w:szCs w:val="20"/>
              </w:rPr>
              <w:t>0.10</w:t>
            </w:r>
          </w:p>
        </w:tc>
      </w:tr>
    </w:tbl>
    <w:p w14:paraId="53827127" w14:textId="77777777" w:rsidR="00255D3C" w:rsidRPr="00AF0309" w:rsidRDefault="00255D3C" w:rsidP="0012702E">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28" w14:textId="77777777" w:rsidR="00255D3C" w:rsidRPr="00AF0309" w:rsidRDefault="00774C7D" w:rsidP="00774C7D">
      <w:pPr>
        <w:spacing w:line="360" w:lineRule="auto"/>
        <w:jc w:val="both"/>
        <w:rPr>
          <w:rFonts w:ascii="Arial" w:hAnsi="Arial" w:cs="Arial"/>
          <w:b/>
          <w:bCs/>
          <w:sz w:val="20"/>
          <w:szCs w:val="20"/>
        </w:rPr>
      </w:pPr>
      <w:r w:rsidRPr="00AF0309">
        <w:rPr>
          <w:rFonts w:ascii="Arial" w:hAnsi="Arial" w:cs="Arial"/>
          <w:b/>
          <w:bCs/>
          <w:sz w:val="20"/>
          <w:szCs w:val="20"/>
        </w:rPr>
        <w:t xml:space="preserve">Summary: </w:t>
      </w:r>
      <w:r w:rsidRPr="00AF0309">
        <w:rPr>
          <w:rFonts w:ascii="Arial" w:hAnsi="Arial" w:cs="Arial"/>
          <w:sz w:val="20"/>
          <w:szCs w:val="20"/>
        </w:rPr>
        <w:t xml:space="preserve">Respondents in Mysuru show moderate to high awareness of government subsidies for rooftop solar systems and perceive these incentives as significantly reducing financial burdens (Mean = 4.01), with adoption likelihood increasing when costs are covered (Mean = 4.15). Household income and electricity bills play a significant role in shaping </w:t>
      </w:r>
      <w:r w:rsidR="00381A12" w:rsidRPr="00AF0309">
        <w:rPr>
          <w:rFonts w:ascii="Arial" w:hAnsi="Arial" w:cs="Arial"/>
          <w:sz w:val="20"/>
          <w:szCs w:val="20"/>
        </w:rPr>
        <w:t>financial feasibility perceptions</w:t>
      </w:r>
      <w:r w:rsidRPr="00AF0309">
        <w:rPr>
          <w:rFonts w:ascii="Arial" w:hAnsi="Arial" w:cs="Arial"/>
          <w:sz w:val="20"/>
          <w:szCs w:val="20"/>
        </w:rPr>
        <w:t xml:space="preserve"> (Mean = 3.95). Strong beliefs in long-term financial savings (Mean = 4.12) and assurances of investment recovery within 7–10 years drive potential investments (Mean = 4.01). However, high upfront costs remain a significant barrier (Mean = 4.28), though financing options could substantially improve adoption likelihood (Mean = 4.00). These findings highlight key motivators and barriers, setting the foundation for further statistical analysis to validate these relationships.</w:t>
      </w:r>
    </w:p>
    <w:p w14:paraId="53827129" w14:textId="77777777" w:rsidR="00255D3C" w:rsidRPr="00AF0309" w:rsidRDefault="00774C7D" w:rsidP="00774C7D">
      <w:pPr>
        <w:jc w:val="both"/>
        <w:rPr>
          <w:rFonts w:ascii="Arial" w:hAnsi="Arial" w:cs="Arial"/>
          <w:b/>
          <w:bCs/>
          <w:sz w:val="20"/>
          <w:szCs w:val="20"/>
        </w:rPr>
      </w:pPr>
      <w:r w:rsidRPr="00AF0309">
        <w:rPr>
          <w:rFonts w:ascii="Arial" w:hAnsi="Arial" w:cs="Arial"/>
          <w:b/>
          <w:bCs/>
          <w:sz w:val="20"/>
          <w:szCs w:val="20"/>
        </w:rPr>
        <w:t xml:space="preserve">TESTING OF HYPOTHESES: </w:t>
      </w:r>
    </w:p>
    <w:p w14:paraId="5382712A" w14:textId="77777777" w:rsidR="006A6D0A" w:rsidRPr="00AF0309" w:rsidRDefault="006A6D0A" w:rsidP="006A6D0A">
      <w:pPr>
        <w:spacing w:after="0"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1: </w:t>
      </w:r>
    </w:p>
    <w:p w14:paraId="5382712B" w14:textId="77777777" w:rsidR="006A6D0A" w:rsidRPr="00AF0309" w:rsidRDefault="006A6D0A" w:rsidP="006A6D0A">
      <w:pPr>
        <w:numPr>
          <w:ilvl w:val="1"/>
          <w:numId w:val="4"/>
        </w:numPr>
        <w:tabs>
          <w:tab w:val="num" w:pos="270"/>
        </w:tabs>
        <w:spacing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Awareness of government subsidies, incentives, and financial schemes does not affect the adoption of rooftop solar energy systems in Mysuru.</w:t>
      </w:r>
    </w:p>
    <w:p w14:paraId="5382712C" w14:textId="77777777" w:rsidR="006A6D0A" w:rsidRPr="00AF0309" w:rsidRDefault="006A6D0A" w:rsidP="006A6D0A">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Awareness of government subsidies, incentives, and financial schemes significantly affects the adoption of rooftop solar energy systems in Mysuru.</w:t>
      </w:r>
    </w:p>
    <w:p w14:paraId="5382712D" w14:textId="77777777" w:rsidR="006A6D0A" w:rsidRPr="00AF0309" w:rsidRDefault="006A6D0A" w:rsidP="00EA4674">
      <w:pPr>
        <w:pStyle w:val="NormalWeb"/>
        <w:spacing w:before="0" w:beforeAutospacing="0" w:after="0" w:afterAutospacing="0" w:line="360" w:lineRule="auto"/>
        <w:rPr>
          <w:rFonts w:ascii="Arial" w:hAnsi="Arial" w:cs="Arial"/>
          <w:sz w:val="20"/>
          <w:szCs w:val="20"/>
        </w:rPr>
      </w:pPr>
      <w:r w:rsidRPr="00AF0309">
        <w:rPr>
          <w:rFonts w:ascii="Arial" w:hAnsi="Arial" w:cs="Arial"/>
          <w:b/>
          <w:bCs/>
          <w:sz w:val="20"/>
          <w:szCs w:val="20"/>
        </w:rPr>
        <w:t>Table 1.6:</w:t>
      </w:r>
      <w:r w:rsidRPr="00AF0309">
        <w:rPr>
          <w:rFonts w:ascii="Arial" w:hAnsi="Arial" w:cs="Arial"/>
          <w:sz w:val="20"/>
          <w:szCs w:val="20"/>
        </w:rPr>
        <w:t xml:space="preserve">  Model Summary</w:t>
      </w:r>
    </w:p>
    <w:tbl>
      <w:tblPr>
        <w:tblStyle w:val="TableGrid"/>
        <w:tblW w:w="0" w:type="auto"/>
        <w:jc w:val="center"/>
        <w:tblLook w:val="04A0" w:firstRow="1" w:lastRow="0" w:firstColumn="1" w:lastColumn="0" w:noHBand="0" w:noVBand="1"/>
      </w:tblPr>
      <w:tblGrid>
        <w:gridCol w:w="794"/>
        <w:gridCol w:w="717"/>
        <w:gridCol w:w="1095"/>
        <w:gridCol w:w="2006"/>
        <w:gridCol w:w="2628"/>
      </w:tblGrid>
      <w:tr w:rsidR="006A6D0A" w:rsidRPr="00AF0309" w14:paraId="53827133" w14:textId="77777777" w:rsidTr="006A6D0A">
        <w:trPr>
          <w:jc w:val="center"/>
        </w:trPr>
        <w:tc>
          <w:tcPr>
            <w:tcW w:w="0" w:type="auto"/>
            <w:vAlign w:val="center"/>
          </w:tcPr>
          <w:p w14:paraId="5382712E"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Model</w:t>
            </w:r>
          </w:p>
        </w:tc>
        <w:tc>
          <w:tcPr>
            <w:tcW w:w="0" w:type="auto"/>
            <w:vAlign w:val="center"/>
          </w:tcPr>
          <w:p w14:paraId="5382712F"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R</w:t>
            </w:r>
          </w:p>
        </w:tc>
        <w:tc>
          <w:tcPr>
            <w:tcW w:w="0" w:type="auto"/>
            <w:vAlign w:val="center"/>
          </w:tcPr>
          <w:p w14:paraId="53827130"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R Square</w:t>
            </w:r>
          </w:p>
        </w:tc>
        <w:tc>
          <w:tcPr>
            <w:tcW w:w="0" w:type="auto"/>
            <w:vAlign w:val="center"/>
          </w:tcPr>
          <w:p w14:paraId="53827131"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Adjusted R Square</w:t>
            </w:r>
          </w:p>
        </w:tc>
        <w:tc>
          <w:tcPr>
            <w:tcW w:w="0" w:type="auto"/>
            <w:vAlign w:val="center"/>
          </w:tcPr>
          <w:p w14:paraId="53827132"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b/>
                <w:bCs/>
                <w:sz w:val="20"/>
                <w:szCs w:val="20"/>
              </w:rPr>
              <w:t>Std. Error of the Estimate</w:t>
            </w:r>
          </w:p>
        </w:tc>
      </w:tr>
      <w:tr w:rsidR="006A6D0A" w:rsidRPr="00AF0309" w14:paraId="53827139" w14:textId="77777777" w:rsidTr="006A6D0A">
        <w:trPr>
          <w:jc w:val="center"/>
        </w:trPr>
        <w:tc>
          <w:tcPr>
            <w:tcW w:w="0" w:type="auto"/>
            <w:vAlign w:val="center"/>
          </w:tcPr>
          <w:p w14:paraId="53827134"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1</w:t>
            </w:r>
          </w:p>
        </w:tc>
        <w:tc>
          <w:tcPr>
            <w:tcW w:w="0" w:type="auto"/>
            <w:vAlign w:val="center"/>
          </w:tcPr>
          <w:p w14:paraId="53827135"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0.765</w:t>
            </w:r>
          </w:p>
        </w:tc>
        <w:tc>
          <w:tcPr>
            <w:tcW w:w="0" w:type="auto"/>
            <w:vAlign w:val="center"/>
          </w:tcPr>
          <w:p w14:paraId="53827136"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0.585</w:t>
            </w:r>
          </w:p>
        </w:tc>
        <w:tc>
          <w:tcPr>
            <w:tcW w:w="0" w:type="auto"/>
            <w:vAlign w:val="center"/>
          </w:tcPr>
          <w:p w14:paraId="53827137"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0.574</w:t>
            </w:r>
          </w:p>
        </w:tc>
        <w:tc>
          <w:tcPr>
            <w:tcW w:w="0" w:type="auto"/>
            <w:vAlign w:val="center"/>
          </w:tcPr>
          <w:p w14:paraId="53827138" w14:textId="77777777" w:rsidR="006A6D0A" w:rsidRPr="00AF0309" w:rsidRDefault="006A6D0A" w:rsidP="006A6D0A">
            <w:pPr>
              <w:pStyle w:val="NormalWeb"/>
              <w:spacing w:before="0" w:beforeAutospacing="0" w:line="360" w:lineRule="auto"/>
              <w:jc w:val="center"/>
              <w:rPr>
                <w:rFonts w:ascii="Arial" w:hAnsi="Arial" w:cs="Arial"/>
                <w:sz w:val="20"/>
                <w:szCs w:val="20"/>
              </w:rPr>
            </w:pPr>
            <w:r w:rsidRPr="00AF0309">
              <w:rPr>
                <w:rFonts w:ascii="Arial" w:hAnsi="Arial" w:cs="Arial"/>
                <w:sz w:val="20"/>
                <w:szCs w:val="20"/>
              </w:rPr>
              <w:t>0.51</w:t>
            </w:r>
          </w:p>
        </w:tc>
      </w:tr>
    </w:tbl>
    <w:p w14:paraId="5382713A" w14:textId="77777777" w:rsidR="006A6D0A" w:rsidRPr="00AF0309" w:rsidRDefault="006A6D0A" w:rsidP="00EA4674">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 xml:space="preserve">Table 1.7: </w:t>
      </w:r>
      <w:r w:rsidRPr="00AF0309">
        <w:rPr>
          <w:rFonts w:ascii="Arial" w:hAnsi="Arial" w:cs="Arial"/>
          <w:sz w:val="20"/>
          <w:szCs w:val="20"/>
        </w:rPr>
        <w:t>ANOVA Table</w:t>
      </w:r>
    </w:p>
    <w:tbl>
      <w:tblPr>
        <w:tblStyle w:val="TableGrid"/>
        <w:tblW w:w="0" w:type="auto"/>
        <w:jc w:val="center"/>
        <w:tblLook w:val="04A0" w:firstRow="1" w:lastRow="0" w:firstColumn="1" w:lastColumn="0" w:noHBand="0" w:noVBand="1"/>
      </w:tblPr>
      <w:tblGrid>
        <w:gridCol w:w="1228"/>
        <w:gridCol w:w="1739"/>
        <w:gridCol w:w="439"/>
        <w:gridCol w:w="1461"/>
        <w:gridCol w:w="828"/>
        <w:gridCol w:w="795"/>
      </w:tblGrid>
      <w:tr w:rsidR="006A6D0A" w:rsidRPr="00AF0309" w14:paraId="53827141" w14:textId="77777777" w:rsidTr="006A6D0A">
        <w:trPr>
          <w:jc w:val="center"/>
        </w:trPr>
        <w:tc>
          <w:tcPr>
            <w:tcW w:w="0" w:type="auto"/>
            <w:vAlign w:val="center"/>
          </w:tcPr>
          <w:p w14:paraId="5382713B"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Model</w:t>
            </w:r>
          </w:p>
        </w:tc>
        <w:tc>
          <w:tcPr>
            <w:tcW w:w="0" w:type="auto"/>
            <w:vAlign w:val="center"/>
          </w:tcPr>
          <w:p w14:paraId="5382713C"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Sum of Squares</w:t>
            </w:r>
          </w:p>
        </w:tc>
        <w:tc>
          <w:tcPr>
            <w:tcW w:w="0" w:type="auto"/>
            <w:vAlign w:val="center"/>
          </w:tcPr>
          <w:p w14:paraId="5382713D"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df</w:t>
            </w:r>
          </w:p>
        </w:tc>
        <w:tc>
          <w:tcPr>
            <w:tcW w:w="0" w:type="auto"/>
            <w:vAlign w:val="center"/>
          </w:tcPr>
          <w:p w14:paraId="5382713E"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Mean Square</w:t>
            </w:r>
          </w:p>
        </w:tc>
        <w:tc>
          <w:tcPr>
            <w:tcW w:w="0" w:type="auto"/>
            <w:vAlign w:val="center"/>
          </w:tcPr>
          <w:p w14:paraId="5382713F"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F</w:t>
            </w:r>
          </w:p>
        </w:tc>
        <w:tc>
          <w:tcPr>
            <w:tcW w:w="0" w:type="auto"/>
            <w:vAlign w:val="center"/>
          </w:tcPr>
          <w:p w14:paraId="53827140"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Sig.</w:t>
            </w:r>
          </w:p>
        </w:tc>
      </w:tr>
      <w:tr w:rsidR="006A6D0A" w:rsidRPr="00AF0309" w14:paraId="53827148" w14:textId="77777777" w:rsidTr="006A6D0A">
        <w:trPr>
          <w:jc w:val="center"/>
        </w:trPr>
        <w:tc>
          <w:tcPr>
            <w:tcW w:w="0" w:type="auto"/>
            <w:vAlign w:val="center"/>
          </w:tcPr>
          <w:p w14:paraId="53827142"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Regression</w:t>
            </w:r>
          </w:p>
        </w:tc>
        <w:tc>
          <w:tcPr>
            <w:tcW w:w="0" w:type="auto"/>
            <w:vAlign w:val="center"/>
          </w:tcPr>
          <w:p w14:paraId="53827143"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45.236</w:t>
            </w:r>
          </w:p>
        </w:tc>
        <w:tc>
          <w:tcPr>
            <w:tcW w:w="0" w:type="auto"/>
            <w:vAlign w:val="center"/>
          </w:tcPr>
          <w:p w14:paraId="53827144"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w:t>
            </w:r>
          </w:p>
        </w:tc>
        <w:tc>
          <w:tcPr>
            <w:tcW w:w="0" w:type="auto"/>
            <w:vAlign w:val="center"/>
          </w:tcPr>
          <w:p w14:paraId="53827145"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15.079</w:t>
            </w:r>
          </w:p>
        </w:tc>
        <w:tc>
          <w:tcPr>
            <w:tcW w:w="0" w:type="auto"/>
            <w:vAlign w:val="center"/>
          </w:tcPr>
          <w:p w14:paraId="53827146"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56.301</w:t>
            </w:r>
          </w:p>
        </w:tc>
        <w:tc>
          <w:tcPr>
            <w:tcW w:w="0" w:type="auto"/>
            <w:vAlign w:val="center"/>
          </w:tcPr>
          <w:p w14:paraId="53827147"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0.000*</w:t>
            </w:r>
          </w:p>
        </w:tc>
      </w:tr>
      <w:tr w:rsidR="006A6D0A" w:rsidRPr="00AF0309" w14:paraId="5382714F" w14:textId="77777777" w:rsidTr="006A6D0A">
        <w:trPr>
          <w:jc w:val="center"/>
        </w:trPr>
        <w:tc>
          <w:tcPr>
            <w:tcW w:w="0" w:type="auto"/>
            <w:vAlign w:val="center"/>
          </w:tcPr>
          <w:p w14:paraId="53827149"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Residual</w:t>
            </w:r>
          </w:p>
        </w:tc>
        <w:tc>
          <w:tcPr>
            <w:tcW w:w="0" w:type="auto"/>
            <w:vAlign w:val="center"/>
          </w:tcPr>
          <w:p w14:paraId="5382714A"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32.174</w:t>
            </w:r>
          </w:p>
        </w:tc>
        <w:tc>
          <w:tcPr>
            <w:tcW w:w="0" w:type="auto"/>
            <w:vAlign w:val="center"/>
          </w:tcPr>
          <w:p w14:paraId="5382714B"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76</w:t>
            </w:r>
          </w:p>
        </w:tc>
        <w:tc>
          <w:tcPr>
            <w:tcW w:w="0" w:type="auto"/>
            <w:vAlign w:val="center"/>
          </w:tcPr>
          <w:p w14:paraId="5382714C"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0.423</w:t>
            </w:r>
          </w:p>
        </w:tc>
        <w:tc>
          <w:tcPr>
            <w:tcW w:w="0" w:type="auto"/>
            <w:vAlign w:val="center"/>
          </w:tcPr>
          <w:p w14:paraId="5382714D"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4E"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r>
      <w:tr w:rsidR="006A6D0A" w:rsidRPr="00AF0309" w14:paraId="53827156" w14:textId="77777777" w:rsidTr="006A6D0A">
        <w:trPr>
          <w:jc w:val="center"/>
        </w:trPr>
        <w:tc>
          <w:tcPr>
            <w:tcW w:w="0" w:type="auto"/>
            <w:vAlign w:val="center"/>
          </w:tcPr>
          <w:p w14:paraId="53827150"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Total</w:t>
            </w:r>
          </w:p>
        </w:tc>
        <w:tc>
          <w:tcPr>
            <w:tcW w:w="0" w:type="auto"/>
            <w:vAlign w:val="center"/>
          </w:tcPr>
          <w:p w14:paraId="53827151"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77.410</w:t>
            </w:r>
          </w:p>
        </w:tc>
        <w:tc>
          <w:tcPr>
            <w:tcW w:w="0" w:type="auto"/>
            <w:vAlign w:val="center"/>
          </w:tcPr>
          <w:p w14:paraId="53827152"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79</w:t>
            </w:r>
          </w:p>
        </w:tc>
        <w:tc>
          <w:tcPr>
            <w:tcW w:w="0" w:type="auto"/>
            <w:vAlign w:val="center"/>
          </w:tcPr>
          <w:p w14:paraId="53827153"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54"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55" w14:textId="77777777" w:rsidR="006A6D0A" w:rsidRPr="00AF0309" w:rsidRDefault="006A6D0A" w:rsidP="006A6D0A">
            <w:pPr>
              <w:pStyle w:val="NormalWeb"/>
              <w:spacing w:before="0" w:beforeAutospacing="0" w:after="0" w:afterAutospacing="0" w:line="360" w:lineRule="auto"/>
              <w:jc w:val="center"/>
              <w:rPr>
                <w:rFonts w:ascii="Arial" w:hAnsi="Arial" w:cs="Arial"/>
                <w:sz w:val="20"/>
                <w:szCs w:val="20"/>
              </w:rPr>
            </w:pPr>
          </w:p>
        </w:tc>
      </w:tr>
    </w:tbl>
    <w:p w14:paraId="53827157" w14:textId="77777777" w:rsidR="006A6D0A" w:rsidRPr="00AF0309" w:rsidRDefault="006A6D0A" w:rsidP="00EA4674">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Table 1.</w:t>
      </w:r>
      <w:r w:rsidR="006D7615" w:rsidRPr="00AF0309">
        <w:rPr>
          <w:rFonts w:ascii="Arial" w:hAnsi="Arial" w:cs="Arial"/>
          <w:b/>
          <w:bCs/>
          <w:sz w:val="20"/>
          <w:szCs w:val="20"/>
        </w:rPr>
        <w:t>8</w:t>
      </w:r>
      <w:r w:rsidRPr="00AF0309">
        <w:rPr>
          <w:rFonts w:ascii="Arial" w:hAnsi="Arial" w:cs="Arial"/>
          <w:b/>
          <w:bCs/>
          <w:sz w:val="20"/>
          <w:szCs w:val="20"/>
        </w:rPr>
        <w:t xml:space="preserve">: </w:t>
      </w:r>
      <w:r w:rsidRPr="00AF0309">
        <w:rPr>
          <w:rFonts w:ascii="Arial" w:hAnsi="Arial" w:cs="Arial"/>
          <w:sz w:val="20"/>
          <w:szCs w:val="20"/>
        </w:rPr>
        <w:t>Coefficients Table</w:t>
      </w:r>
    </w:p>
    <w:tbl>
      <w:tblPr>
        <w:tblStyle w:val="TableGrid"/>
        <w:tblW w:w="0" w:type="auto"/>
        <w:jc w:val="center"/>
        <w:tblLook w:val="04A0" w:firstRow="1" w:lastRow="0" w:firstColumn="1" w:lastColumn="0" w:noHBand="0" w:noVBand="1"/>
      </w:tblPr>
      <w:tblGrid>
        <w:gridCol w:w="3663"/>
        <w:gridCol w:w="717"/>
        <w:gridCol w:w="1139"/>
        <w:gridCol w:w="717"/>
        <w:gridCol w:w="717"/>
        <w:gridCol w:w="795"/>
      </w:tblGrid>
      <w:tr w:rsidR="00C47BD8" w:rsidRPr="00AF0309" w14:paraId="5382715E" w14:textId="77777777" w:rsidTr="00C47BD8">
        <w:trPr>
          <w:jc w:val="center"/>
        </w:trPr>
        <w:tc>
          <w:tcPr>
            <w:tcW w:w="0" w:type="auto"/>
            <w:vAlign w:val="center"/>
          </w:tcPr>
          <w:p w14:paraId="53827158"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Predictor Variable</w:t>
            </w:r>
          </w:p>
        </w:tc>
        <w:tc>
          <w:tcPr>
            <w:tcW w:w="0" w:type="auto"/>
            <w:vAlign w:val="center"/>
          </w:tcPr>
          <w:p w14:paraId="53827159"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B</w:t>
            </w:r>
          </w:p>
        </w:tc>
        <w:tc>
          <w:tcPr>
            <w:tcW w:w="0" w:type="auto"/>
            <w:vAlign w:val="center"/>
          </w:tcPr>
          <w:p w14:paraId="5382715A"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Std. Error</w:t>
            </w:r>
          </w:p>
        </w:tc>
        <w:tc>
          <w:tcPr>
            <w:tcW w:w="0" w:type="auto"/>
            <w:vAlign w:val="center"/>
          </w:tcPr>
          <w:p w14:paraId="5382715B"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Beta</w:t>
            </w:r>
          </w:p>
        </w:tc>
        <w:tc>
          <w:tcPr>
            <w:tcW w:w="0" w:type="auto"/>
            <w:vAlign w:val="center"/>
          </w:tcPr>
          <w:p w14:paraId="5382715C" w14:textId="5C008908" w:rsidR="00C47BD8" w:rsidRPr="00AF0309" w:rsidRDefault="00360395"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T</w:t>
            </w:r>
          </w:p>
        </w:tc>
        <w:tc>
          <w:tcPr>
            <w:tcW w:w="0" w:type="auto"/>
            <w:vAlign w:val="center"/>
          </w:tcPr>
          <w:p w14:paraId="5382715D"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Sig.</w:t>
            </w:r>
          </w:p>
        </w:tc>
      </w:tr>
      <w:tr w:rsidR="00C47BD8" w:rsidRPr="00AF0309" w14:paraId="53827165" w14:textId="77777777" w:rsidTr="00C47BD8">
        <w:trPr>
          <w:jc w:val="center"/>
        </w:trPr>
        <w:tc>
          <w:tcPr>
            <w:tcW w:w="0" w:type="auto"/>
            <w:vAlign w:val="center"/>
          </w:tcPr>
          <w:p w14:paraId="5382715F"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Awareness of government subsidies</w:t>
            </w:r>
          </w:p>
        </w:tc>
        <w:tc>
          <w:tcPr>
            <w:tcW w:w="0" w:type="auto"/>
            <w:vAlign w:val="center"/>
          </w:tcPr>
          <w:p w14:paraId="53827160"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0.410</w:t>
            </w:r>
          </w:p>
        </w:tc>
        <w:tc>
          <w:tcPr>
            <w:tcW w:w="0" w:type="auto"/>
            <w:vAlign w:val="center"/>
          </w:tcPr>
          <w:p w14:paraId="53827161"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0.090</w:t>
            </w:r>
          </w:p>
        </w:tc>
        <w:tc>
          <w:tcPr>
            <w:tcW w:w="0" w:type="auto"/>
            <w:vAlign w:val="center"/>
          </w:tcPr>
          <w:p w14:paraId="53827162"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0.420</w:t>
            </w:r>
          </w:p>
        </w:tc>
        <w:tc>
          <w:tcPr>
            <w:tcW w:w="0" w:type="auto"/>
            <w:vAlign w:val="center"/>
          </w:tcPr>
          <w:p w14:paraId="53827163"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4.556</w:t>
            </w:r>
          </w:p>
        </w:tc>
        <w:tc>
          <w:tcPr>
            <w:tcW w:w="0" w:type="auto"/>
            <w:vAlign w:val="center"/>
          </w:tcPr>
          <w:p w14:paraId="53827164"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0.000*</w:t>
            </w:r>
          </w:p>
        </w:tc>
      </w:tr>
      <w:tr w:rsidR="00C47BD8" w:rsidRPr="00AF0309" w14:paraId="5382716C" w14:textId="77777777" w:rsidTr="00C47BD8">
        <w:trPr>
          <w:jc w:val="center"/>
        </w:trPr>
        <w:tc>
          <w:tcPr>
            <w:tcW w:w="0" w:type="auto"/>
            <w:vAlign w:val="center"/>
          </w:tcPr>
          <w:p w14:paraId="53827166"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Frequency of seeking information</w:t>
            </w:r>
          </w:p>
        </w:tc>
        <w:tc>
          <w:tcPr>
            <w:tcW w:w="0" w:type="auto"/>
            <w:vAlign w:val="center"/>
          </w:tcPr>
          <w:p w14:paraId="53827167"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0.260</w:t>
            </w:r>
          </w:p>
        </w:tc>
        <w:tc>
          <w:tcPr>
            <w:tcW w:w="0" w:type="auto"/>
            <w:vAlign w:val="center"/>
          </w:tcPr>
          <w:p w14:paraId="53827168"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0.085</w:t>
            </w:r>
          </w:p>
        </w:tc>
        <w:tc>
          <w:tcPr>
            <w:tcW w:w="0" w:type="auto"/>
            <w:vAlign w:val="center"/>
          </w:tcPr>
          <w:p w14:paraId="53827169"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0.287</w:t>
            </w:r>
          </w:p>
        </w:tc>
        <w:tc>
          <w:tcPr>
            <w:tcW w:w="0" w:type="auto"/>
            <w:vAlign w:val="center"/>
          </w:tcPr>
          <w:p w14:paraId="5382716A"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3.059</w:t>
            </w:r>
          </w:p>
        </w:tc>
        <w:tc>
          <w:tcPr>
            <w:tcW w:w="0" w:type="auto"/>
            <w:vAlign w:val="center"/>
          </w:tcPr>
          <w:p w14:paraId="5382716B"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0.003*</w:t>
            </w:r>
          </w:p>
        </w:tc>
      </w:tr>
      <w:tr w:rsidR="00C47BD8" w:rsidRPr="00AF0309" w14:paraId="53827173" w14:textId="77777777" w:rsidTr="00C47BD8">
        <w:trPr>
          <w:jc w:val="center"/>
        </w:trPr>
        <w:tc>
          <w:tcPr>
            <w:tcW w:w="0" w:type="auto"/>
            <w:vAlign w:val="center"/>
          </w:tcPr>
          <w:p w14:paraId="5382716D"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Perceived reduction in financial burden</w:t>
            </w:r>
          </w:p>
        </w:tc>
        <w:tc>
          <w:tcPr>
            <w:tcW w:w="0" w:type="auto"/>
            <w:vAlign w:val="center"/>
          </w:tcPr>
          <w:p w14:paraId="5382716E"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0.308</w:t>
            </w:r>
          </w:p>
        </w:tc>
        <w:tc>
          <w:tcPr>
            <w:tcW w:w="0" w:type="auto"/>
            <w:vAlign w:val="center"/>
          </w:tcPr>
          <w:p w14:paraId="5382716F"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0.082</w:t>
            </w:r>
          </w:p>
        </w:tc>
        <w:tc>
          <w:tcPr>
            <w:tcW w:w="0" w:type="auto"/>
            <w:vAlign w:val="center"/>
          </w:tcPr>
          <w:p w14:paraId="53827170"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0.320</w:t>
            </w:r>
          </w:p>
        </w:tc>
        <w:tc>
          <w:tcPr>
            <w:tcW w:w="0" w:type="auto"/>
            <w:vAlign w:val="center"/>
          </w:tcPr>
          <w:p w14:paraId="53827171"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3.732</w:t>
            </w:r>
          </w:p>
        </w:tc>
        <w:tc>
          <w:tcPr>
            <w:tcW w:w="0" w:type="auto"/>
            <w:vAlign w:val="center"/>
          </w:tcPr>
          <w:p w14:paraId="53827172" w14:textId="77777777" w:rsidR="00C47BD8" w:rsidRPr="00AF0309" w:rsidRDefault="00C47BD8" w:rsidP="00C47BD8">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0.000*</w:t>
            </w:r>
          </w:p>
        </w:tc>
      </w:tr>
    </w:tbl>
    <w:p w14:paraId="53827174" w14:textId="77777777" w:rsidR="00C47BD8" w:rsidRPr="00AF0309" w:rsidRDefault="00C47BD8" w:rsidP="00EA4674">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75" w14:textId="77777777" w:rsidR="00C47BD8" w:rsidRPr="00AF0309" w:rsidRDefault="00742CD0" w:rsidP="00742CD0">
      <w:pPr>
        <w:pStyle w:val="NormalWeb"/>
        <w:spacing w:before="240" w:beforeAutospacing="0" w:line="360" w:lineRule="auto"/>
        <w:jc w:val="both"/>
        <w:rPr>
          <w:rFonts w:ascii="Arial" w:hAnsi="Arial" w:cs="Arial"/>
          <w:sz w:val="20"/>
          <w:szCs w:val="20"/>
        </w:rPr>
      </w:pPr>
      <w:r w:rsidRPr="00AF0309">
        <w:rPr>
          <w:rFonts w:ascii="Arial" w:hAnsi="Arial" w:cs="Arial"/>
          <w:b/>
          <w:bCs/>
          <w:sz w:val="20"/>
          <w:szCs w:val="20"/>
        </w:rPr>
        <w:lastRenderedPageBreak/>
        <w:t>Interpretation</w:t>
      </w:r>
      <w:r w:rsidRPr="00AF0309">
        <w:rPr>
          <w:rFonts w:ascii="Arial" w:hAnsi="Arial" w:cs="Arial"/>
          <w:sz w:val="20"/>
          <w:szCs w:val="20"/>
        </w:rPr>
        <w:t>: The statistical analysis demonstrates that awareness of government subsidies, incentives, and financial schemes significantly impacts the adoption of rooftop solar energy systems in Mysuru. The regression model explains 58.5% of the variance in adoption likelihood (R² = 0.585), with a significant F-value indicating strong model fit (p &lt; 0.05). Among the predictors, awareness of subsidies (p = 0.000), frequency of seeking information (p = 0.003), and perceived reduction in financial burden (p = 0.000) all positively and significantly influence adoption likelihood. These findings confirm that increasing awareness and understanding of financial incentives could play a critical role in boosting the adoption of rooftop solar systems, leading to the rejection of the null hypothesis and acceptance of the alternative.</w:t>
      </w:r>
    </w:p>
    <w:p w14:paraId="53827176" w14:textId="77777777" w:rsidR="00D909EA" w:rsidRPr="00AF0309" w:rsidRDefault="00D909EA" w:rsidP="00D909EA">
      <w:pPr>
        <w:spacing w:after="0"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2: </w:t>
      </w:r>
    </w:p>
    <w:p w14:paraId="53827177" w14:textId="77777777" w:rsidR="00D909EA" w:rsidRPr="00AF0309" w:rsidRDefault="00D909EA" w:rsidP="00D909EA">
      <w:pPr>
        <w:numPr>
          <w:ilvl w:val="1"/>
          <w:numId w:val="4"/>
        </w:numPr>
        <w:tabs>
          <w:tab w:val="num" w:pos="270"/>
        </w:tabs>
        <w:spacing w:after="0"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xml:space="preserve">: Demographic factors such as income levels and household energy consumption patterns do not influence the perceived </w:t>
      </w:r>
      <w:r w:rsidR="000579D9" w:rsidRPr="00AF0309">
        <w:rPr>
          <w:rFonts w:ascii="Arial" w:eastAsia="Times New Roman" w:hAnsi="Arial" w:cs="Arial"/>
          <w:sz w:val="20"/>
          <w:szCs w:val="20"/>
        </w:rPr>
        <w:t>financial feasibility of</w:t>
      </w:r>
      <w:r w:rsidRPr="00AF0309">
        <w:rPr>
          <w:rFonts w:ascii="Arial" w:eastAsia="Times New Roman" w:hAnsi="Arial" w:cs="Arial"/>
          <w:sz w:val="20"/>
          <w:szCs w:val="20"/>
        </w:rPr>
        <w:t xml:space="preserve"> rooftop solar energy in Mysuru.</w:t>
      </w:r>
    </w:p>
    <w:p w14:paraId="53827178" w14:textId="77777777" w:rsidR="00D909EA" w:rsidRPr="00AF0309" w:rsidRDefault="00D909EA" w:rsidP="000579D9">
      <w:pPr>
        <w:numPr>
          <w:ilvl w:val="1"/>
          <w:numId w:val="4"/>
        </w:numPr>
        <w:tabs>
          <w:tab w:val="num" w:pos="270"/>
        </w:tabs>
        <w:spacing w:after="0"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xml:space="preserve">: Demographic factors such as income levels and household energy consumption patterns significantly influence the perceived </w:t>
      </w:r>
      <w:r w:rsidR="000579D9" w:rsidRPr="00AF0309">
        <w:rPr>
          <w:rFonts w:ascii="Arial" w:eastAsia="Times New Roman" w:hAnsi="Arial" w:cs="Arial"/>
          <w:sz w:val="20"/>
          <w:szCs w:val="20"/>
        </w:rPr>
        <w:t>financial feasibility of</w:t>
      </w:r>
      <w:r w:rsidRPr="00AF0309">
        <w:rPr>
          <w:rFonts w:ascii="Arial" w:eastAsia="Times New Roman" w:hAnsi="Arial" w:cs="Arial"/>
          <w:sz w:val="20"/>
          <w:szCs w:val="20"/>
        </w:rPr>
        <w:t xml:space="preserve"> rooftop solar energy in Mysuru.</w:t>
      </w:r>
    </w:p>
    <w:p w14:paraId="53827179" w14:textId="77777777" w:rsidR="00E97D09" w:rsidRPr="00AF0309" w:rsidRDefault="00D909EA" w:rsidP="00AE5357">
      <w:pPr>
        <w:pStyle w:val="NormalWeb"/>
        <w:spacing w:before="0" w:beforeAutospacing="0" w:after="0" w:afterAutospacing="0" w:line="360" w:lineRule="auto"/>
        <w:rPr>
          <w:rStyle w:val="Strong"/>
          <w:rFonts w:ascii="Arial" w:hAnsi="Arial" w:cs="Arial"/>
          <w:b w:val="0"/>
          <w:bCs w:val="0"/>
          <w:sz w:val="20"/>
          <w:szCs w:val="20"/>
        </w:rPr>
      </w:pPr>
      <w:r w:rsidRPr="00AF0309">
        <w:rPr>
          <w:rFonts w:ascii="Arial" w:hAnsi="Arial" w:cs="Arial"/>
          <w:b/>
          <w:bCs/>
          <w:sz w:val="20"/>
          <w:szCs w:val="20"/>
        </w:rPr>
        <w:t>Table 1.</w:t>
      </w:r>
      <w:r w:rsidR="006D7615" w:rsidRPr="00AF0309">
        <w:rPr>
          <w:rFonts w:ascii="Arial" w:hAnsi="Arial" w:cs="Arial"/>
          <w:b/>
          <w:bCs/>
          <w:sz w:val="20"/>
          <w:szCs w:val="20"/>
        </w:rPr>
        <w:t>9</w:t>
      </w:r>
      <w:r w:rsidRPr="00AF0309">
        <w:rPr>
          <w:rFonts w:ascii="Arial" w:hAnsi="Arial" w:cs="Arial"/>
          <w:b/>
          <w:bCs/>
          <w:sz w:val="20"/>
          <w:szCs w:val="20"/>
        </w:rPr>
        <w:t xml:space="preserve">: </w:t>
      </w:r>
      <w:r w:rsidR="00E97D09" w:rsidRPr="00AF0309">
        <w:rPr>
          <w:rStyle w:val="Strong"/>
          <w:rFonts w:ascii="Arial" w:hAnsi="Arial" w:cs="Arial"/>
          <w:b w:val="0"/>
          <w:bCs w:val="0"/>
          <w:sz w:val="20"/>
          <w:szCs w:val="20"/>
        </w:rPr>
        <w:t>Model Summary</w:t>
      </w:r>
    </w:p>
    <w:tbl>
      <w:tblPr>
        <w:tblStyle w:val="TableGrid"/>
        <w:tblW w:w="0" w:type="auto"/>
        <w:jc w:val="center"/>
        <w:tblLook w:val="04A0" w:firstRow="1" w:lastRow="0" w:firstColumn="1" w:lastColumn="0" w:noHBand="0" w:noVBand="1"/>
      </w:tblPr>
      <w:tblGrid>
        <w:gridCol w:w="995"/>
        <w:gridCol w:w="1184"/>
        <w:gridCol w:w="2018"/>
        <w:gridCol w:w="1105"/>
        <w:gridCol w:w="928"/>
      </w:tblGrid>
      <w:tr w:rsidR="00D909EA" w:rsidRPr="00AF0309" w14:paraId="5382717F" w14:textId="77777777" w:rsidTr="00D909EA">
        <w:trPr>
          <w:jc w:val="center"/>
        </w:trPr>
        <w:tc>
          <w:tcPr>
            <w:tcW w:w="0" w:type="auto"/>
          </w:tcPr>
          <w:p w14:paraId="5382717A"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b/>
                <w:bCs/>
                <w:sz w:val="20"/>
                <w:szCs w:val="20"/>
              </w:rPr>
              <w:t>Statistic</w:t>
            </w:r>
          </w:p>
        </w:tc>
        <w:tc>
          <w:tcPr>
            <w:tcW w:w="0" w:type="auto"/>
            <w:vAlign w:val="center"/>
          </w:tcPr>
          <w:p w14:paraId="5382717B"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R-Squared</w:t>
            </w:r>
          </w:p>
        </w:tc>
        <w:tc>
          <w:tcPr>
            <w:tcW w:w="0" w:type="auto"/>
            <w:vAlign w:val="center"/>
          </w:tcPr>
          <w:p w14:paraId="5382717C"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Adjusted R-Squared</w:t>
            </w:r>
          </w:p>
        </w:tc>
        <w:tc>
          <w:tcPr>
            <w:tcW w:w="0" w:type="auto"/>
            <w:vAlign w:val="center"/>
          </w:tcPr>
          <w:p w14:paraId="5382717D"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F-Statistic</w:t>
            </w:r>
          </w:p>
        </w:tc>
        <w:tc>
          <w:tcPr>
            <w:tcW w:w="0" w:type="auto"/>
            <w:vAlign w:val="center"/>
          </w:tcPr>
          <w:p w14:paraId="5382717E"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P-Value</w:t>
            </w:r>
          </w:p>
        </w:tc>
      </w:tr>
      <w:tr w:rsidR="00D909EA" w:rsidRPr="00AF0309" w14:paraId="53827185" w14:textId="77777777" w:rsidTr="00D909EA">
        <w:trPr>
          <w:jc w:val="center"/>
        </w:trPr>
        <w:tc>
          <w:tcPr>
            <w:tcW w:w="0" w:type="auto"/>
            <w:vAlign w:val="center"/>
          </w:tcPr>
          <w:p w14:paraId="53827180"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b/>
                <w:bCs/>
                <w:sz w:val="20"/>
                <w:szCs w:val="20"/>
              </w:rPr>
              <w:t>Value</w:t>
            </w:r>
          </w:p>
        </w:tc>
        <w:tc>
          <w:tcPr>
            <w:tcW w:w="0" w:type="auto"/>
            <w:vAlign w:val="center"/>
          </w:tcPr>
          <w:p w14:paraId="53827181"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0.075</w:t>
            </w:r>
          </w:p>
        </w:tc>
        <w:tc>
          <w:tcPr>
            <w:tcW w:w="0" w:type="auto"/>
            <w:vAlign w:val="center"/>
          </w:tcPr>
          <w:p w14:paraId="53827182"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0.026</w:t>
            </w:r>
          </w:p>
        </w:tc>
        <w:tc>
          <w:tcPr>
            <w:tcW w:w="0" w:type="auto"/>
            <w:vAlign w:val="center"/>
          </w:tcPr>
          <w:p w14:paraId="53827183"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1.529</w:t>
            </w:r>
          </w:p>
        </w:tc>
        <w:tc>
          <w:tcPr>
            <w:tcW w:w="0" w:type="auto"/>
            <w:vAlign w:val="center"/>
          </w:tcPr>
          <w:p w14:paraId="53827184" w14:textId="77777777" w:rsidR="00D909EA" w:rsidRPr="00AF0309" w:rsidRDefault="00D909EA" w:rsidP="00D909EA">
            <w:pPr>
              <w:pStyle w:val="NormalWeb"/>
              <w:spacing w:before="240" w:beforeAutospacing="0"/>
              <w:jc w:val="center"/>
              <w:rPr>
                <w:rFonts w:ascii="Arial" w:hAnsi="Arial" w:cs="Arial"/>
                <w:b/>
                <w:bCs/>
                <w:sz w:val="20"/>
                <w:szCs w:val="20"/>
              </w:rPr>
            </w:pPr>
            <w:r w:rsidRPr="00AF0309">
              <w:rPr>
                <w:rFonts w:ascii="Arial" w:hAnsi="Arial" w:cs="Arial"/>
                <w:sz w:val="20"/>
                <w:szCs w:val="20"/>
              </w:rPr>
              <w:t>0.202</w:t>
            </w:r>
          </w:p>
        </w:tc>
      </w:tr>
    </w:tbl>
    <w:p w14:paraId="53827186" w14:textId="77777777" w:rsidR="00D909EA" w:rsidRPr="00AF0309" w:rsidRDefault="00D909EA" w:rsidP="00AE5357">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Table 1.</w:t>
      </w:r>
      <w:r w:rsidR="006D7615" w:rsidRPr="00AF0309">
        <w:rPr>
          <w:rFonts w:ascii="Arial" w:hAnsi="Arial" w:cs="Arial"/>
          <w:b/>
          <w:bCs/>
          <w:sz w:val="20"/>
          <w:szCs w:val="20"/>
        </w:rPr>
        <w:t>10</w:t>
      </w:r>
      <w:r w:rsidRPr="00AF0309">
        <w:rPr>
          <w:rFonts w:ascii="Arial" w:hAnsi="Arial" w:cs="Arial"/>
          <w:b/>
          <w:bCs/>
          <w:sz w:val="20"/>
          <w:szCs w:val="20"/>
        </w:rPr>
        <w:t xml:space="preserve">: </w:t>
      </w:r>
      <w:r w:rsidRPr="00AF0309">
        <w:rPr>
          <w:rFonts w:ascii="Arial" w:hAnsi="Arial" w:cs="Arial"/>
          <w:sz w:val="20"/>
          <w:szCs w:val="20"/>
        </w:rPr>
        <w:t>ANOVA Results</w:t>
      </w:r>
    </w:p>
    <w:tbl>
      <w:tblPr>
        <w:tblStyle w:val="TableGrid"/>
        <w:tblW w:w="0" w:type="auto"/>
        <w:jc w:val="center"/>
        <w:tblLook w:val="04A0" w:firstRow="1" w:lastRow="0" w:firstColumn="1" w:lastColumn="0" w:noHBand="0" w:noVBand="1"/>
      </w:tblPr>
      <w:tblGrid>
        <w:gridCol w:w="1228"/>
        <w:gridCol w:w="1739"/>
        <w:gridCol w:w="439"/>
        <w:gridCol w:w="1461"/>
        <w:gridCol w:w="717"/>
        <w:gridCol w:w="950"/>
      </w:tblGrid>
      <w:tr w:rsidR="000A058F" w:rsidRPr="00AF0309" w14:paraId="5382718D" w14:textId="77777777" w:rsidTr="000A058F">
        <w:trPr>
          <w:jc w:val="center"/>
        </w:trPr>
        <w:tc>
          <w:tcPr>
            <w:tcW w:w="0" w:type="auto"/>
            <w:vAlign w:val="center"/>
          </w:tcPr>
          <w:p w14:paraId="53827187"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Source</w:t>
            </w:r>
          </w:p>
        </w:tc>
        <w:tc>
          <w:tcPr>
            <w:tcW w:w="0" w:type="auto"/>
            <w:vAlign w:val="center"/>
          </w:tcPr>
          <w:p w14:paraId="53827188"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Sum of Squares</w:t>
            </w:r>
          </w:p>
        </w:tc>
        <w:tc>
          <w:tcPr>
            <w:tcW w:w="0" w:type="auto"/>
            <w:vAlign w:val="center"/>
          </w:tcPr>
          <w:p w14:paraId="53827189"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df</w:t>
            </w:r>
          </w:p>
        </w:tc>
        <w:tc>
          <w:tcPr>
            <w:tcW w:w="0" w:type="auto"/>
            <w:vAlign w:val="center"/>
          </w:tcPr>
          <w:p w14:paraId="5382718A"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Mean Square</w:t>
            </w:r>
          </w:p>
        </w:tc>
        <w:tc>
          <w:tcPr>
            <w:tcW w:w="0" w:type="auto"/>
            <w:vAlign w:val="center"/>
          </w:tcPr>
          <w:p w14:paraId="5382718B"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F</w:t>
            </w:r>
          </w:p>
        </w:tc>
        <w:tc>
          <w:tcPr>
            <w:tcW w:w="0" w:type="auto"/>
            <w:vAlign w:val="center"/>
          </w:tcPr>
          <w:p w14:paraId="5382718C"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b/>
                <w:bCs/>
                <w:sz w:val="20"/>
                <w:szCs w:val="20"/>
              </w:rPr>
              <w:t>P-Value</w:t>
            </w:r>
          </w:p>
        </w:tc>
      </w:tr>
      <w:tr w:rsidR="000A058F" w:rsidRPr="00AF0309" w14:paraId="53827194" w14:textId="77777777" w:rsidTr="000A058F">
        <w:trPr>
          <w:jc w:val="center"/>
        </w:trPr>
        <w:tc>
          <w:tcPr>
            <w:tcW w:w="0" w:type="auto"/>
            <w:vAlign w:val="center"/>
          </w:tcPr>
          <w:p w14:paraId="5382718E"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Regression</w:t>
            </w:r>
          </w:p>
        </w:tc>
        <w:tc>
          <w:tcPr>
            <w:tcW w:w="0" w:type="auto"/>
            <w:vAlign w:val="center"/>
          </w:tcPr>
          <w:p w14:paraId="5382718F"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2.185</w:t>
            </w:r>
          </w:p>
        </w:tc>
        <w:tc>
          <w:tcPr>
            <w:tcW w:w="0" w:type="auto"/>
            <w:vAlign w:val="center"/>
          </w:tcPr>
          <w:p w14:paraId="53827190"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4</w:t>
            </w:r>
          </w:p>
        </w:tc>
        <w:tc>
          <w:tcPr>
            <w:tcW w:w="0" w:type="auto"/>
            <w:vAlign w:val="center"/>
          </w:tcPr>
          <w:p w14:paraId="53827191"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0.546</w:t>
            </w:r>
          </w:p>
        </w:tc>
        <w:tc>
          <w:tcPr>
            <w:tcW w:w="0" w:type="auto"/>
            <w:vAlign w:val="center"/>
          </w:tcPr>
          <w:p w14:paraId="53827192"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1.529</w:t>
            </w:r>
          </w:p>
        </w:tc>
        <w:tc>
          <w:tcPr>
            <w:tcW w:w="0" w:type="auto"/>
            <w:vAlign w:val="center"/>
          </w:tcPr>
          <w:p w14:paraId="53827193"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0.202</w:t>
            </w:r>
          </w:p>
        </w:tc>
      </w:tr>
      <w:tr w:rsidR="000A058F" w:rsidRPr="00AF0309" w14:paraId="5382719B" w14:textId="77777777" w:rsidTr="000A058F">
        <w:trPr>
          <w:jc w:val="center"/>
        </w:trPr>
        <w:tc>
          <w:tcPr>
            <w:tcW w:w="0" w:type="auto"/>
            <w:vAlign w:val="center"/>
          </w:tcPr>
          <w:p w14:paraId="53827195"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Residual</w:t>
            </w:r>
          </w:p>
        </w:tc>
        <w:tc>
          <w:tcPr>
            <w:tcW w:w="0" w:type="auto"/>
            <w:vAlign w:val="center"/>
          </w:tcPr>
          <w:p w14:paraId="53827196"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26.750</w:t>
            </w:r>
          </w:p>
        </w:tc>
        <w:tc>
          <w:tcPr>
            <w:tcW w:w="0" w:type="auto"/>
            <w:vAlign w:val="center"/>
          </w:tcPr>
          <w:p w14:paraId="53827197"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75</w:t>
            </w:r>
          </w:p>
        </w:tc>
        <w:tc>
          <w:tcPr>
            <w:tcW w:w="0" w:type="auto"/>
            <w:vAlign w:val="center"/>
          </w:tcPr>
          <w:p w14:paraId="53827198"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0.357</w:t>
            </w:r>
          </w:p>
        </w:tc>
        <w:tc>
          <w:tcPr>
            <w:tcW w:w="0" w:type="auto"/>
            <w:vAlign w:val="center"/>
          </w:tcPr>
          <w:p w14:paraId="53827199"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9A"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r>
      <w:tr w:rsidR="000A058F" w:rsidRPr="00AF0309" w14:paraId="538271A2" w14:textId="77777777" w:rsidTr="000A058F">
        <w:trPr>
          <w:jc w:val="center"/>
        </w:trPr>
        <w:tc>
          <w:tcPr>
            <w:tcW w:w="0" w:type="auto"/>
            <w:vAlign w:val="center"/>
          </w:tcPr>
          <w:p w14:paraId="5382719C"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Total</w:t>
            </w:r>
          </w:p>
        </w:tc>
        <w:tc>
          <w:tcPr>
            <w:tcW w:w="0" w:type="auto"/>
            <w:vAlign w:val="center"/>
          </w:tcPr>
          <w:p w14:paraId="5382719D"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28.935</w:t>
            </w:r>
          </w:p>
        </w:tc>
        <w:tc>
          <w:tcPr>
            <w:tcW w:w="0" w:type="auto"/>
            <w:vAlign w:val="center"/>
          </w:tcPr>
          <w:p w14:paraId="5382719E"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r w:rsidRPr="00AF0309">
              <w:rPr>
                <w:rFonts w:ascii="Arial" w:hAnsi="Arial" w:cs="Arial"/>
                <w:sz w:val="20"/>
                <w:szCs w:val="20"/>
              </w:rPr>
              <w:t>79</w:t>
            </w:r>
          </w:p>
        </w:tc>
        <w:tc>
          <w:tcPr>
            <w:tcW w:w="0" w:type="auto"/>
            <w:vAlign w:val="center"/>
          </w:tcPr>
          <w:p w14:paraId="5382719F"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A0"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c>
          <w:tcPr>
            <w:tcW w:w="0" w:type="auto"/>
            <w:vAlign w:val="center"/>
          </w:tcPr>
          <w:p w14:paraId="538271A1" w14:textId="77777777" w:rsidR="000A058F" w:rsidRPr="00AF0309" w:rsidRDefault="000A058F" w:rsidP="000A058F">
            <w:pPr>
              <w:pStyle w:val="NormalWeb"/>
              <w:spacing w:before="0" w:beforeAutospacing="0" w:after="0" w:afterAutospacing="0" w:line="360" w:lineRule="auto"/>
              <w:jc w:val="center"/>
              <w:rPr>
                <w:rFonts w:ascii="Arial" w:hAnsi="Arial" w:cs="Arial"/>
                <w:sz w:val="20"/>
                <w:szCs w:val="20"/>
              </w:rPr>
            </w:pPr>
          </w:p>
        </w:tc>
      </w:tr>
    </w:tbl>
    <w:p w14:paraId="538271A3" w14:textId="77777777" w:rsidR="000A058F" w:rsidRPr="00AF0309" w:rsidRDefault="000A058F" w:rsidP="00AE5357">
      <w:pPr>
        <w:pStyle w:val="NormalWeb"/>
        <w:spacing w:before="240" w:beforeAutospacing="0" w:after="0" w:afterAutospacing="0" w:line="360" w:lineRule="auto"/>
        <w:rPr>
          <w:rFonts w:ascii="Arial" w:hAnsi="Arial" w:cs="Arial"/>
          <w:sz w:val="20"/>
          <w:szCs w:val="20"/>
        </w:rPr>
      </w:pPr>
      <w:r w:rsidRPr="00AF0309">
        <w:rPr>
          <w:rFonts w:ascii="Arial" w:hAnsi="Arial" w:cs="Arial"/>
          <w:b/>
          <w:bCs/>
          <w:sz w:val="20"/>
          <w:szCs w:val="20"/>
        </w:rPr>
        <w:t>Table 1.1</w:t>
      </w:r>
      <w:r w:rsidR="006D7615" w:rsidRPr="00AF0309">
        <w:rPr>
          <w:rFonts w:ascii="Arial" w:hAnsi="Arial" w:cs="Arial"/>
          <w:b/>
          <w:bCs/>
          <w:sz w:val="20"/>
          <w:szCs w:val="20"/>
        </w:rPr>
        <w:t>1</w:t>
      </w:r>
      <w:r w:rsidRPr="00AF0309">
        <w:rPr>
          <w:rFonts w:ascii="Arial" w:hAnsi="Arial" w:cs="Arial"/>
          <w:b/>
          <w:bCs/>
          <w:sz w:val="20"/>
          <w:szCs w:val="20"/>
        </w:rPr>
        <w:t>:</w:t>
      </w:r>
      <w:r w:rsidRPr="00AF0309">
        <w:rPr>
          <w:rFonts w:ascii="Arial" w:hAnsi="Arial" w:cs="Arial"/>
          <w:sz w:val="20"/>
          <w:szCs w:val="20"/>
        </w:rPr>
        <w:t xml:space="preserve"> Regression Coefficients</w:t>
      </w:r>
    </w:p>
    <w:tbl>
      <w:tblPr>
        <w:tblStyle w:val="TableGrid"/>
        <w:tblW w:w="9265" w:type="dxa"/>
        <w:tblLook w:val="04A0" w:firstRow="1" w:lastRow="0" w:firstColumn="1" w:lastColumn="0" w:noHBand="0" w:noVBand="1"/>
      </w:tblPr>
      <w:tblGrid>
        <w:gridCol w:w="3505"/>
        <w:gridCol w:w="1336"/>
        <w:gridCol w:w="816"/>
        <w:gridCol w:w="876"/>
        <w:gridCol w:w="996"/>
        <w:gridCol w:w="1736"/>
      </w:tblGrid>
      <w:tr w:rsidR="000A058F" w:rsidRPr="00AF0309" w14:paraId="538271AA" w14:textId="77777777" w:rsidTr="00AF1851">
        <w:tc>
          <w:tcPr>
            <w:tcW w:w="3505" w:type="dxa"/>
            <w:vAlign w:val="center"/>
          </w:tcPr>
          <w:p w14:paraId="538271A4"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Variable</w:t>
            </w:r>
          </w:p>
        </w:tc>
        <w:tc>
          <w:tcPr>
            <w:tcW w:w="1336" w:type="dxa"/>
            <w:vAlign w:val="center"/>
          </w:tcPr>
          <w:p w14:paraId="538271A5"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Coefficient (B)</w:t>
            </w:r>
          </w:p>
        </w:tc>
        <w:tc>
          <w:tcPr>
            <w:tcW w:w="816" w:type="dxa"/>
            <w:vAlign w:val="center"/>
          </w:tcPr>
          <w:p w14:paraId="538271A6"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Std. Error</w:t>
            </w:r>
          </w:p>
        </w:tc>
        <w:tc>
          <w:tcPr>
            <w:tcW w:w="876" w:type="dxa"/>
            <w:vAlign w:val="center"/>
          </w:tcPr>
          <w:p w14:paraId="538271A7"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t-Value</w:t>
            </w:r>
          </w:p>
        </w:tc>
        <w:tc>
          <w:tcPr>
            <w:tcW w:w="996" w:type="dxa"/>
            <w:vAlign w:val="center"/>
          </w:tcPr>
          <w:p w14:paraId="538271A8"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P-Value</w:t>
            </w:r>
          </w:p>
        </w:tc>
        <w:tc>
          <w:tcPr>
            <w:tcW w:w="1736" w:type="dxa"/>
            <w:vAlign w:val="center"/>
          </w:tcPr>
          <w:p w14:paraId="538271A9"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b/>
                <w:bCs/>
                <w:sz w:val="20"/>
                <w:szCs w:val="20"/>
              </w:rPr>
              <w:t>Significance</w:t>
            </w:r>
          </w:p>
        </w:tc>
      </w:tr>
      <w:tr w:rsidR="000A058F" w:rsidRPr="00AF0309" w14:paraId="538271B1" w14:textId="77777777" w:rsidTr="00AF1851">
        <w:tc>
          <w:tcPr>
            <w:tcW w:w="3505" w:type="dxa"/>
            <w:vAlign w:val="center"/>
          </w:tcPr>
          <w:p w14:paraId="538271AB"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Constant</w:t>
            </w:r>
          </w:p>
        </w:tc>
        <w:tc>
          <w:tcPr>
            <w:tcW w:w="1336" w:type="dxa"/>
            <w:vAlign w:val="center"/>
          </w:tcPr>
          <w:p w14:paraId="538271AC"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3.522</w:t>
            </w:r>
          </w:p>
        </w:tc>
        <w:tc>
          <w:tcPr>
            <w:tcW w:w="816" w:type="dxa"/>
            <w:vAlign w:val="center"/>
          </w:tcPr>
          <w:p w14:paraId="538271AD"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0.098</w:t>
            </w:r>
          </w:p>
        </w:tc>
        <w:tc>
          <w:tcPr>
            <w:tcW w:w="876" w:type="dxa"/>
            <w:vAlign w:val="center"/>
          </w:tcPr>
          <w:p w14:paraId="538271AE"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35.939</w:t>
            </w:r>
          </w:p>
        </w:tc>
        <w:tc>
          <w:tcPr>
            <w:tcW w:w="996" w:type="dxa"/>
            <w:vAlign w:val="center"/>
          </w:tcPr>
          <w:p w14:paraId="538271AF"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0.000**</w:t>
            </w:r>
          </w:p>
        </w:tc>
        <w:tc>
          <w:tcPr>
            <w:tcW w:w="1736" w:type="dxa"/>
            <w:vAlign w:val="center"/>
          </w:tcPr>
          <w:p w14:paraId="538271B0"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Significant</w:t>
            </w:r>
          </w:p>
        </w:tc>
      </w:tr>
      <w:tr w:rsidR="000A058F" w:rsidRPr="00AF0309" w14:paraId="538271B8" w14:textId="77777777" w:rsidTr="00AF1851">
        <w:tc>
          <w:tcPr>
            <w:tcW w:w="3505" w:type="dxa"/>
            <w:vAlign w:val="center"/>
          </w:tcPr>
          <w:p w14:paraId="538271B2"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Monthly Household Income</w:t>
            </w:r>
          </w:p>
        </w:tc>
        <w:tc>
          <w:tcPr>
            <w:tcW w:w="1336" w:type="dxa"/>
            <w:vAlign w:val="center"/>
          </w:tcPr>
          <w:p w14:paraId="538271B3"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0.222</w:t>
            </w:r>
          </w:p>
        </w:tc>
        <w:tc>
          <w:tcPr>
            <w:tcW w:w="816" w:type="dxa"/>
            <w:vAlign w:val="center"/>
          </w:tcPr>
          <w:p w14:paraId="538271B4"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0.104</w:t>
            </w:r>
          </w:p>
        </w:tc>
        <w:tc>
          <w:tcPr>
            <w:tcW w:w="876" w:type="dxa"/>
            <w:vAlign w:val="center"/>
          </w:tcPr>
          <w:p w14:paraId="538271B5"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2.144</w:t>
            </w:r>
          </w:p>
        </w:tc>
        <w:tc>
          <w:tcPr>
            <w:tcW w:w="996" w:type="dxa"/>
            <w:vAlign w:val="center"/>
          </w:tcPr>
          <w:p w14:paraId="538271B6"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0.036*</w:t>
            </w:r>
          </w:p>
        </w:tc>
        <w:tc>
          <w:tcPr>
            <w:tcW w:w="1736" w:type="dxa"/>
            <w:vAlign w:val="center"/>
          </w:tcPr>
          <w:p w14:paraId="538271B7"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Significant</w:t>
            </w:r>
          </w:p>
        </w:tc>
      </w:tr>
      <w:tr w:rsidR="000A058F" w:rsidRPr="00AF0309" w14:paraId="538271BF" w14:textId="77777777" w:rsidTr="00AF1851">
        <w:tc>
          <w:tcPr>
            <w:tcW w:w="3505" w:type="dxa"/>
            <w:vAlign w:val="center"/>
          </w:tcPr>
          <w:p w14:paraId="538271B9"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Average Monthly Electricity Bill</w:t>
            </w:r>
          </w:p>
        </w:tc>
        <w:tc>
          <w:tcPr>
            <w:tcW w:w="1336" w:type="dxa"/>
            <w:vAlign w:val="center"/>
          </w:tcPr>
          <w:p w14:paraId="538271BA"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-0.117</w:t>
            </w:r>
          </w:p>
        </w:tc>
        <w:tc>
          <w:tcPr>
            <w:tcW w:w="816" w:type="dxa"/>
            <w:vAlign w:val="center"/>
          </w:tcPr>
          <w:p w14:paraId="538271BB"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0.119</w:t>
            </w:r>
          </w:p>
        </w:tc>
        <w:tc>
          <w:tcPr>
            <w:tcW w:w="876" w:type="dxa"/>
            <w:vAlign w:val="center"/>
          </w:tcPr>
          <w:p w14:paraId="538271BC"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-0.985</w:t>
            </w:r>
          </w:p>
        </w:tc>
        <w:tc>
          <w:tcPr>
            <w:tcW w:w="996" w:type="dxa"/>
            <w:vAlign w:val="center"/>
          </w:tcPr>
          <w:p w14:paraId="538271BD"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0.327</w:t>
            </w:r>
          </w:p>
        </w:tc>
        <w:tc>
          <w:tcPr>
            <w:tcW w:w="1736" w:type="dxa"/>
            <w:vAlign w:val="center"/>
          </w:tcPr>
          <w:p w14:paraId="538271BE"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Not Significant</w:t>
            </w:r>
          </w:p>
        </w:tc>
      </w:tr>
      <w:tr w:rsidR="000A058F" w:rsidRPr="00AF0309" w14:paraId="538271C6" w14:textId="77777777" w:rsidTr="00AF1851">
        <w:tc>
          <w:tcPr>
            <w:tcW w:w="3505" w:type="dxa"/>
            <w:vAlign w:val="center"/>
          </w:tcPr>
          <w:p w14:paraId="538271C0"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Income Affects Ability to Invest</w:t>
            </w:r>
          </w:p>
        </w:tc>
        <w:tc>
          <w:tcPr>
            <w:tcW w:w="1336" w:type="dxa"/>
            <w:vAlign w:val="center"/>
          </w:tcPr>
          <w:p w14:paraId="538271C1"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-0.010</w:t>
            </w:r>
          </w:p>
        </w:tc>
        <w:tc>
          <w:tcPr>
            <w:tcW w:w="816" w:type="dxa"/>
            <w:vAlign w:val="center"/>
          </w:tcPr>
          <w:p w14:paraId="538271C2"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0.107</w:t>
            </w:r>
          </w:p>
        </w:tc>
        <w:tc>
          <w:tcPr>
            <w:tcW w:w="876" w:type="dxa"/>
            <w:vAlign w:val="center"/>
          </w:tcPr>
          <w:p w14:paraId="538271C3"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-0.101</w:t>
            </w:r>
          </w:p>
        </w:tc>
        <w:tc>
          <w:tcPr>
            <w:tcW w:w="996" w:type="dxa"/>
            <w:vAlign w:val="center"/>
          </w:tcPr>
          <w:p w14:paraId="538271C4"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0.920</w:t>
            </w:r>
          </w:p>
        </w:tc>
        <w:tc>
          <w:tcPr>
            <w:tcW w:w="1736" w:type="dxa"/>
            <w:vAlign w:val="center"/>
          </w:tcPr>
          <w:p w14:paraId="538271C5"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Not Significant</w:t>
            </w:r>
          </w:p>
        </w:tc>
      </w:tr>
      <w:tr w:rsidR="000A058F" w:rsidRPr="00AF0309" w14:paraId="538271CD" w14:textId="77777777" w:rsidTr="00AF1851">
        <w:tc>
          <w:tcPr>
            <w:tcW w:w="3505" w:type="dxa"/>
            <w:vAlign w:val="center"/>
          </w:tcPr>
          <w:p w14:paraId="538271C7" w14:textId="77777777" w:rsidR="000A058F" w:rsidRPr="00AF0309" w:rsidRDefault="000A058F" w:rsidP="000A058F">
            <w:pPr>
              <w:pStyle w:val="NormalWeb"/>
              <w:spacing w:before="0" w:beforeAutospacing="0" w:after="0" w:afterAutospacing="0"/>
              <w:rPr>
                <w:rFonts w:ascii="Arial" w:hAnsi="Arial" w:cs="Arial"/>
                <w:sz w:val="20"/>
                <w:szCs w:val="20"/>
              </w:rPr>
            </w:pPr>
            <w:r w:rsidRPr="00AF0309">
              <w:rPr>
                <w:rFonts w:ascii="Arial" w:hAnsi="Arial" w:cs="Arial"/>
                <w:sz w:val="20"/>
                <w:szCs w:val="20"/>
              </w:rPr>
              <w:t>Perceived Financial Benefits</w:t>
            </w:r>
          </w:p>
        </w:tc>
        <w:tc>
          <w:tcPr>
            <w:tcW w:w="1336" w:type="dxa"/>
            <w:vAlign w:val="center"/>
          </w:tcPr>
          <w:p w14:paraId="538271C8"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0.078</w:t>
            </w:r>
          </w:p>
        </w:tc>
        <w:tc>
          <w:tcPr>
            <w:tcW w:w="816" w:type="dxa"/>
            <w:vAlign w:val="center"/>
          </w:tcPr>
          <w:p w14:paraId="538271C9"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0.091</w:t>
            </w:r>
          </w:p>
        </w:tc>
        <w:tc>
          <w:tcPr>
            <w:tcW w:w="876" w:type="dxa"/>
            <w:vAlign w:val="center"/>
          </w:tcPr>
          <w:p w14:paraId="538271CA"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0.855</w:t>
            </w:r>
          </w:p>
        </w:tc>
        <w:tc>
          <w:tcPr>
            <w:tcW w:w="996" w:type="dxa"/>
            <w:vAlign w:val="center"/>
          </w:tcPr>
          <w:p w14:paraId="538271CB"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0.394</w:t>
            </w:r>
          </w:p>
        </w:tc>
        <w:tc>
          <w:tcPr>
            <w:tcW w:w="1736" w:type="dxa"/>
            <w:vAlign w:val="center"/>
          </w:tcPr>
          <w:p w14:paraId="538271CC" w14:textId="77777777" w:rsidR="000A058F" w:rsidRPr="00AF0309" w:rsidRDefault="000A058F" w:rsidP="000A058F">
            <w:pPr>
              <w:pStyle w:val="NormalWeb"/>
              <w:spacing w:before="0" w:beforeAutospacing="0" w:after="0" w:afterAutospacing="0"/>
              <w:jc w:val="center"/>
              <w:rPr>
                <w:rFonts w:ascii="Arial" w:hAnsi="Arial" w:cs="Arial"/>
                <w:sz w:val="20"/>
                <w:szCs w:val="20"/>
              </w:rPr>
            </w:pPr>
            <w:r w:rsidRPr="00AF0309">
              <w:rPr>
                <w:rFonts w:ascii="Arial" w:hAnsi="Arial" w:cs="Arial"/>
                <w:sz w:val="20"/>
                <w:szCs w:val="20"/>
              </w:rPr>
              <w:t>Not Significant</w:t>
            </w:r>
          </w:p>
        </w:tc>
      </w:tr>
    </w:tbl>
    <w:p w14:paraId="538271CE" w14:textId="77777777" w:rsidR="003E73AA" w:rsidRPr="00AF0309" w:rsidRDefault="003E73AA" w:rsidP="0047657A">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CF" w14:textId="77777777" w:rsidR="00E97D09" w:rsidRPr="00AF0309" w:rsidRDefault="003E73AA" w:rsidP="003E73AA">
      <w:pPr>
        <w:pStyle w:val="Heading3"/>
        <w:spacing w:after="0" w:afterAutospacing="0" w:line="360" w:lineRule="auto"/>
        <w:jc w:val="both"/>
        <w:rPr>
          <w:rFonts w:ascii="Arial" w:hAnsi="Arial" w:cs="Arial"/>
          <w:b w:val="0"/>
          <w:bCs w:val="0"/>
          <w:sz w:val="20"/>
          <w:szCs w:val="20"/>
        </w:rPr>
      </w:pPr>
      <w:r w:rsidRPr="00AF0309">
        <w:rPr>
          <w:rStyle w:val="Strong"/>
          <w:rFonts w:ascii="Arial" w:hAnsi="Arial" w:cs="Arial"/>
          <w:b/>
          <w:bCs/>
          <w:sz w:val="20"/>
          <w:szCs w:val="20"/>
        </w:rPr>
        <w:t xml:space="preserve">Interpretation: </w:t>
      </w:r>
      <w:r w:rsidR="00E97D09" w:rsidRPr="00AF0309">
        <w:rPr>
          <w:rFonts w:ascii="Arial" w:hAnsi="Arial" w:cs="Arial"/>
          <w:b w:val="0"/>
          <w:bCs w:val="0"/>
          <w:sz w:val="20"/>
          <w:szCs w:val="20"/>
        </w:rPr>
        <w:t xml:space="preserve">The hypothesis testing indicates that </w:t>
      </w:r>
      <w:r w:rsidR="00E97D09" w:rsidRPr="00AF0309">
        <w:rPr>
          <w:rStyle w:val="Strong"/>
          <w:rFonts w:ascii="Arial" w:hAnsi="Arial" w:cs="Arial"/>
          <w:sz w:val="20"/>
          <w:szCs w:val="20"/>
        </w:rPr>
        <w:t>Monthly Household Income</w:t>
      </w:r>
      <w:r w:rsidR="00E97D09" w:rsidRPr="00AF0309">
        <w:rPr>
          <w:rFonts w:ascii="Arial" w:hAnsi="Arial" w:cs="Arial"/>
          <w:b w:val="0"/>
          <w:bCs w:val="0"/>
          <w:sz w:val="20"/>
          <w:szCs w:val="20"/>
        </w:rPr>
        <w:t xml:space="preserve"> significantly influences the perceived </w:t>
      </w:r>
      <w:r w:rsidR="00530360" w:rsidRPr="00AF0309">
        <w:rPr>
          <w:rFonts w:ascii="Arial" w:hAnsi="Arial" w:cs="Arial"/>
          <w:b w:val="0"/>
          <w:bCs w:val="0"/>
          <w:sz w:val="20"/>
          <w:szCs w:val="20"/>
        </w:rPr>
        <w:t>financial feasibility of</w:t>
      </w:r>
      <w:r w:rsidR="00E97D09" w:rsidRPr="00AF0309">
        <w:rPr>
          <w:rFonts w:ascii="Arial" w:hAnsi="Arial" w:cs="Arial"/>
          <w:b w:val="0"/>
          <w:bCs w:val="0"/>
          <w:sz w:val="20"/>
          <w:szCs w:val="20"/>
        </w:rPr>
        <w:t xml:space="preserve"> rooftop solar energy systems (p = 0.036), while other factors such as electricity bills, income's effect on investment ability, and perceived financial benefits are not significant predictors. However, the overall model is weak (R² = 0.075), suggesting limited explanatory power. Therefore, only income levels have a significant demographic influence on perceptions of financial viability.</w:t>
      </w:r>
    </w:p>
    <w:p w14:paraId="538271D0" w14:textId="77777777" w:rsidR="00C773ED" w:rsidRPr="00AF0309" w:rsidRDefault="00C773ED" w:rsidP="00C773ED">
      <w:pPr>
        <w:numPr>
          <w:ilvl w:val="0"/>
          <w:numId w:val="4"/>
        </w:numPr>
        <w:tabs>
          <w:tab w:val="clear" w:pos="720"/>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3: </w:t>
      </w:r>
    </w:p>
    <w:p w14:paraId="538271D1" w14:textId="77777777" w:rsidR="00C773ED" w:rsidRPr="00AF0309" w:rsidRDefault="00C773ED" w:rsidP="00C773ED">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lastRenderedPageBreak/>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Perceptions of long-term cost savings and return on investment do not influence the adoption of rooftop solar energy systems in Mysuru.</w:t>
      </w:r>
    </w:p>
    <w:p w14:paraId="538271D2" w14:textId="77777777" w:rsidR="00C773ED" w:rsidRPr="00AF0309" w:rsidRDefault="00C773ED" w:rsidP="00C773ED">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Perceptions of long-term cost savings and return on investment significantly influence the adoption of rooftop solar energy systems in Mysuru.</w:t>
      </w:r>
    </w:p>
    <w:p w14:paraId="538271D3" w14:textId="77777777" w:rsidR="00C773ED" w:rsidRPr="00AF0309" w:rsidRDefault="00C773ED" w:rsidP="0047657A">
      <w:pPr>
        <w:pStyle w:val="Heading3"/>
        <w:spacing w:after="0" w:afterAutospacing="0"/>
        <w:rPr>
          <w:rStyle w:val="Strong"/>
          <w:rFonts w:ascii="Arial" w:hAnsi="Arial" w:cs="Arial"/>
          <w:b/>
          <w:bCs/>
          <w:sz w:val="20"/>
          <w:szCs w:val="20"/>
        </w:rPr>
      </w:pPr>
      <w:r w:rsidRPr="00AF0309">
        <w:rPr>
          <w:rStyle w:val="Strong"/>
          <w:rFonts w:ascii="Arial" w:hAnsi="Arial" w:cs="Arial"/>
          <w:b/>
          <w:bCs/>
          <w:sz w:val="20"/>
          <w:szCs w:val="20"/>
        </w:rPr>
        <w:t>Table 1.1</w:t>
      </w:r>
      <w:r w:rsidR="006D7615" w:rsidRPr="00AF0309">
        <w:rPr>
          <w:rStyle w:val="Strong"/>
          <w:rFonts w:ascii="Arial" w:hAnsi="Arial" w:cs="Arial"/>
          <w:b/>
          <w:bCs/>
          <w:sz w:val="20"/>
          <w:szCs w:val="20"/>
        </w:rPr>
        <w:t>2</w:t>
      </w:r>
      <w:r w:rsidRPr="00AF0309">
        <w:rPr>
          <w:rStyle w:val="Strong"/>
          <w:rFonts w:ascii="Arial" w:hAnsi="Arial" w:cs="Arial"/>
          <w:b/>
          <w:bCs/>
          <w:sz w:val="20"/>
          <w:szCs w:val="20"/>
        </w:rPr>
        <w:t>: One Sample T-Test Results</w:t>
      </w:r>
    </w:p>
    <w:tbl>
      <w:tblPr>
        <w:tblStyle w:val="TableGrid"/>
        <w:tblW w:w="0" w:type="auto"/>
        <w:jc w:val="center"/>
        <w:tblLook w:val="04A0" w:firstRow="1" w:lastRow="0" w:firstColumn="1" w:lastColumn="0" w:noHBand="0" w:noVBand="1"/>
      </w:tblPr>
      <w:tblGrid>
        <w:gridCol w:w="4486"/>
        <w:gridCol w:w="1217"/>
        <w:gridCol w:w="717"/>
        <w:gridCol w:w="1472"/>
      </w:tblGrid>
      <w:tr w:rsidR="00C773ED" w:rsidRPr="00AF0309" w14:paraId="538271D8" w14:textId="77777777" w:rsidTr="00C773ED">
        <w:trPr>
          <w:jc w:val="center"/>
        </w:trPr>
        <w:tc>
          <w:tcPr>
            <w:tcW w:w="0" w:type="auto"/>
            <w:vAlign w:val="center"/>
          </w:tcPr>
          <w:p w14:paraId="538271D4" w14:textId="77777777" w:rsidR="00C773ED" w:rsidRPr="00AF0309" w:rsidRDefault="00C773ED"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Question</w:t>
            </w:r>
          </w:p>
        </w:tc>
        <w:tc>
          <w:tcPr>
            <w:tcW w:w="0" w:type="auto"/>
            <w:vAlign w:val="center"/>
          </w:tcPr>
          <w:p w14:paraId="538271D5" w14:textId="77777777" w:rsidR="00C773ED" w:rsidRPr="00AF0309" w:rsidRDefault="00C773ED"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Test Value</w:t>
            </w:r>
          </w:p>
        </w:tc>
        <w:tc>
          <w:tcPr>
            <w:tcW w:w="0" w:type="auto"/>
            <w:vAlign w:val="center"/>
          </w:tcPr>
          <w:p w14:paraId="538271D6" w14:textId="66758E3C" w:rsidR="00C773ED" w:rsidRPr="00AF0309" w:rsidRDefault="005E2F15"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T</w:t>
            </w:r>
          </w:p>
        </w:tc>
        <w:tc>
          <w:tcPr>
            <w:tcW w:w="0" w:type="auto"/>
            <w:vAlign w:val="center"/>
          </w:tcPr>
          <w:p w14:paraId="538271D7" w14:textId="77777777" w:rsidR="00C773ED" w:rsidRPr="00AF0309" w:rsidRDefault="00C773ED" w:rsidP="00C773ED">
            <w:pPr>
              <w:pStyle w:val="Heading3"/>
              <w:spacing w:line="360" w:lineRule="auto"/>
              <w:jc w:val="center"/>
              <w:outlineLvl w:val="2"/>
              <w:rPr>
                <w:rStyle w:val="Strong"/>
                <w:rFonts w:ascii="Arial" w:hAnsi="Arial" w:cs="Arial"/>
                <w:sz w:val="20"/>
                <w:szCs w:val="20"/>
              </w:rPr>
            </w:pPr>
            <w:r w:rsidRPr="00AF0309">
              <w:rPr>
                <w:rFonts w:ascii="Arial" w:hAnsi="Arial" w:cs="Arial"/>
                <w:sz w:val="20"/>
                <w:szCs w:val="20"/>
              </w:rPr>
              <w:t>Sig. (2-tailed)</w:t>
            </w:r>
          </w:p>
        </w:tc>
      </w:tr>
      <w:tr w:rsidR="00C773ED" w:rsidRPr="00AF0309" w14:paraId="538271DD" w14:textId="77777777" w:rsidTr="00C773ED">
        <w:trPr>
          <w:jc w:val="center"/>
        </w:trPr>
        <w:tc>
          <w:tcPr>
            <w:tcW w:w="0" w:type="auto"/>
            <w:vAlign w:val="center"/>
          </w:tcPr>
          <w:p w14:paraId="538271D9"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Belief in long-term financial savings</w:t>
            </w:r>
          </w:p>
        </w:tc>
        <w:tc>
          <w:tcPr>
            <w:tcW w:w="0" w:type="auto"/>
            <w:vAlign w:val="center"/>
          </w:tcPr>
          <w:p w14:paraId="538271DA"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DB"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12.44</w:t>
            </w:r>
          </w:p>
        </w:tc>
        <w:tc>
          <w:tcPr>
            <w:tcW w:w="0" w:type="auto"/>
            <w:vAlign w:val="center"/>
          </w:tcPr>
          <w:p w14:paraId="538271DC"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E2" w14:textId="77777777" w:rsidTr="00C773ED">
        <w:trPr>
          <w:jc w:val="center"/>
        </w:trPr>
        <w:tc>
          <w:tcPr>
            <w:tcW w:w="0" w:type="auto"/>
            <w:vAlign w:val="center"/>
          </w:tcPr>
          <w:p w14:paraId="538271DE"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ROI justifies initial cost</w:t>
            </w:r>
          </w:p>
        </w:tc>
        <w:tc>
          <w:tcPr>
            <w:tcW w:w="0" w:type="auto"/>
            <w:vAlign w:val="center"/>
          </w:tcPr>
          <w:p w14:paraId="538271DF"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0"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9.20</w:t>
            </w:r>
          </w:p>
        </w:tc>
        <w:tc>
          <w:tcPr>
            <w:tcW w:w="0" w:type="auto"/>
            <w:vAlign w:val="center"/>
          </w:tcPr>
          <w:p w14:paraId="538271E1"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E7" w14:textId="77777777" w:rsidTr="00C773ED">
        <w:trPr>
          <w:jc w:val="center"/>
        </w:trPr>
        <w:tc>
          <w:tcPr>
            <w:tcW w:w="0" w:type="auto"/>
            <w:vAlign w:val="center"/>
          </w:tcPr>
          <w:p w14:paraId="538271E3"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Likelihood to invest based on long-term benefits</w:t>
            </w:r>
          </w:p>
        </w:tc>
        <w:tc>
          <w:tcPr>
            <w:tcW w:w="0" w:type="auto"/>
            <w:vAlign w:val="center"/>
          </w:tcPr>
          <w:p w14:paraId="538271E4"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5"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11.67</w:t>
            </w:r>
          </w:p>
        </w:tc>
        <w:tc>
          <w:tcPr>
            <w:tcW w:w="0" w:type="auto"/>
            <w:vAlign w:val="center"/>
          </w:tcPr>
          <w:p w14:paraId="538271E6"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EC" w14:textId="77777777" w:rsidTr="00C773ED">
        <w:trPr>
          <w:jc w:val="center"/>
        </w:trPr>
        <w:tc>
          <w:tcPr>
            <w:tcW w:w="0" w:type="auto"/>
            <w:vAlign w:val="center"/>
          </w:tcPr>
          <w:p w14:paraId="538271E8"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Belief in sound investment despite long payback</w:t>
            </w:r>
          </w:p>
        </w:tc>
        <w:tc>
          <w:tcPr>
            <w:tcW w:w="0" w:type="auto"/>
            <w:vAlign w:val="center"/>
          </w:tcPr>
          <w:p w14:paraId="538271E9"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A"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9.80</w:t>
            </w:r>
          </w:p>
        </w:tc>
        <w:tc>
          <w:tcPr>
            <w:tcW w:w="0" w:type="auto"/>
            <w:vAlign w:val="center"/>
          </w:tcPr>
          <w:p w14:paraId="538271EB"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r w:rsidR="00C773ED" w:rsidRPr="00AF0309" w14:paraId="538271F1" w14:textId="77777777" w:rsidTr="00C773ED">
        <w:trPr>
          <w:jc w:val="center"/>
        </w:trPr>
        <w:tc>
          <w:tcPr>
            <w:tcW w:w="0" w:type="auto"/>
            <w:vAlign w:val="center"/>
          </w:tcPr>
          <w:p w14:paraId="538271ED" w14:textId="77777777" w:rsidR="00C773ED" w:rsidRPr="00AF0309" w:rsidRDefault="00C773ED" w:rsidP="00C773ED">
            <w:pPr>
              <w:pStyle w:val="Heading3"/>
              <w:spacing w:line="360" w:lineRule="auto"/>
              <w:outlineLvl w:val="2"/>
              <w:rPr>
                <w:rStyle w:val="Strong"/>
                <w:rFonts w:ascii="Arial" w:hAnsi="Arial" w:cs="Arial"/>
                <w:b/>
                <w:bCs/>
                <w:sz w:val="20"/>
                <w:szCs w:val="20"/>
              </w:rPr>
            </w:pPr>
            <w:r w:rsidRPr="00AF0309">
              <w:rPr>
                <w:rFonts w:ascii="Arial" w:hAnsi="Arial" w:cs="Arial"/>
                <w:b w:val="0"/>
                <w:bCs w:val="0"/>
                <w:sz w:val="20"/>
                <w:szCs w:val="20"/>
              </w:rPr>
              <w:t>Adoption if ROI is assured within 7–10 years</w:t>
            </w:r>
          </w:p>
        </w:tc>
        <w:tc>
          <w:tcPr>
            <w:tcW w:w="0" w:type="auto"/>
            <w:vAlign w:val="center"/>
          </w:tcPr>
          <w:p w14:paraId="538271EE"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3</w:t>
            </w:r>
          </w:p>
        </w:tc>
        <w:tc>
          <w:tcPr>
            <w:tcW w:w="0" w:type="auto"/>
            <w:vAlign w:val="center"/>
          </w:tcPr>
          <w:p w14:paraId="538271EF"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10.10</w:t>
            </w:r>
          </w:p>
        </w:tc>
        <w:tc>
          <w:tcPr>
            <w:tcW w:w="0" w:type="auto"/>
            <w:vAlign w:val="center"/>
          </w:tcPr>
          <w:p w14:paraId="538271F0" w14:textId="77777777" w:rsidR="00C773ED" w:rsidRPr="00AF0309" w:rsidRDefault="00C773ED" w:rsidP="00C773ED">
            <w:pPr>
              <w:pStyle w:val="Heading3"/>
              <w:spacing w:line="360" w:lineRule="auto"/>
              <w:jc w:val="center"/>
              <w:outlineLvl w:val="2"/>
              <w:rPr>
                <w:rStyle w:val="Strong"/>
                <w:rFonts w:ascii="Arial" w:hAnsi="Arial" w:cs="Arial"/>
                <w:b/>
                <w:bCs/>
                <w:sz w:val="20"/>
                <w:szCs w:val="20"/>
              </w:rPr>
            </w:pPr>
            <w:r w:rsidRPr="00AF0309">
              <w:rPr>
                <w:rFonts w:ascii="Arial" w:hAnsi="Arial" w:cs="Arial"/>
                <w:b w:val="0"/>
                <w:bCs w:val="0"/>
                <w:sz w:val="20"/>
                <w:szCs w:val="20"/>
              </w:rPr>
              <w:t>0.000</w:t>
            </w:r>
          </w:p>
        </w:tc>
      </w:tr>
    </w:tbl>
    <w:p w14:paraId="538271F2" w14:textId="77777777" w:rsidR="00C773ED" w:rsidRPr="00AF0309" w:rsidRDefault="00C773ED" w:rsidP="0047657A">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1F5" w14:textId="29ED399D" w:rsidR="00530360" w:rsidRPr="00AF0309" w:rsidRDefault="00C773ED" w:rsidP="00C773ED">
      <w:pPr>
        <w:spacing w:before="100" w:beforeAutospacing="1" w:after="100" w:afterAutospacing="1" w:line="360" w:lineRule="auto"/>
        <w:jc w:val="both"/>
        <w:rPr>
          <w:rFonts w:ascii="Arial" w:eastAsia="Times New Roman" w:hAnsi="Arial" w:cs="Arial"/>
          <w:sz w:val="20"/>
          <w:szCs w:val="20"/>
        </w:rPr>
      </w:pPr>
      <w:r w:rsidRPr="00AF0309">
        <w:rPr>
          <w:rFonts w:ascii="Arial" w:eastAsia="Times New Roman" w:hAnsi="Arial" w:cs="Arial"/>
          <w:b/>
          <w:bCs/>
          <w:sz w:val="20"/>
          <w:szCs w:val="20"/>
        </w:rPr>
        <w:t>Interpretation:</w:t>
      </w:r>
      <w:r w:rsidRPr="00AF0309">
        <w:rPr>
          <w:rFonts w:ascii="Arial" w:eastAsia="Times New Roman" w:hAnsi="Arial" w:cs="Arial"/>
          <w:sz w:val="20"/>
          <w:szCs w:val="20"/>
        </w:rPr>
        <w:t xml:space="preserve"> The results of the one-sample t-test show that all mean scores are significantly higher than the neutral test value of 3. The t-values range from 9.20 to 12.44, and the p-values for all items are less than 0.05, indicating statistical significance. This suggests that perceptions of long-term cost savings, return on investment (ROI), and the belief in a sound investment significantly influence the adoption of rooftop solar systems in Mysuru. Based on these findings, the null hypothesis (H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which states that perceptions of long-term cost savings and ROI do not influence the adoption of rooftop solar systems, is rejected. The alternative hypothesis (H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which posits that perceptions of long-term cost savings and ROI significantly influence adoption, is accepted.</w:t>
      </w:r>
    </w:p>
    <w:p w14:paraId="538271F6" w14:textId="77777777" w:rsidR="00632FC6" w:rsidRPr="00AF0309" w:rsidRDefault="00632FC6" w:rsidP="00632FC6">
      <w:pPr>
        <w:spacing w:before="100" w:beforeAutospacing="1" w:after="0" w:line="360" w:lineRule="auto"/>
        <w:jc w:val="both"/>
        <w:rPr>
          <w:rFonts w:ascii="Arial" w:eastAsia="Times New Roman" w:hAnsi="Arial" w:cs="Arial"/>
          <w:sz w:val="20"/>
          <w:szCs w:val="20"/>
        </w:rPr>
      </w:pPr>
      <w:r w:rsidRPr="00AF0309">
        <w:rPr>
          <w:rFonts w:ascii="Arial" w:eastAsia="Times New Roman" w:hAnsi="Arial" w:cs="Arial"/>
          <w:b/>
          <w:bCs/>
          <w:sz w:val="20"/>
          <w:szCs w:val="20"/>
        </w:rPr>
        <w:t xml:space="preserve">For Objective 4: </w:t>
      </w:r>
    </w:p>
    <w:p w14:paraId="538271F7" w14:textId="77777777" w:rsidR="00632FC6" w:rsidRPr="00AF0309" w:rsidRDefault="00632FC6" w:rsidP="00632FC6">
      <w:pPr>
        <w:numPr>
          <w:ilvl w:val="1"/>
          <w:numId w:val="4"/>
        </w:numPr>
        <w:tabs>
          <w:tab w:val="num" w:pos="270"/>
        </w:tabs>
        <w:spacing w:after="0"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₀</w:t>
      </w:r>
      <w:r w:rsidRPr="00AF0309">
        <w:rPr>
          <w:rFonts w:ascii="Arial" w:eastAsia="Times New Roman" w:hAnsi="Arial" w:cs="Arial"/>
          <w:sz w:val="20"/>
          <w:szCs w:val="20"/>
        </w:rPr>
        <w:t>: High upfront costs do not significantly impact the adoption of rooftop solar energy systems by urban households in Mysuru.</w:t>
      </w:r>
    </w:p>
    <w:p w14:paraId="538271F8" w14:textId="77777777" w:rsidR="00632FC6" w:rsidRPr="00AF0309" w:rsidRDefault="00632FC6" w:rsidP="00632FC6">
      <w:pPr>
        <w:numPr>
          <w:ilvl w:val="1"/>
          <w:numId w:val="4"/>
        </w:numPr>
        <w:tabs>
          <w:tab w:val="num" w:pos="270"/>
        </w:tabs>
        <w:spacing w:before="100" w:beforeAutospacing="1" w:after="100" w:afterAutospacing="1" w:line="360" w:lineRule="auto"/>
        <w:ind w:left="630" w:hanging="720"/>
        <w:jc w:val="both"/>
        <w:rPr>
          <w:rFonts w:ascii="Arial" w:eastAsia="Times New Roman" w:hAnsi="Arial" w:cs="Arial"/>
          <w:sz w:val="20"/>
          <w:szCs w:val="20"/>
        </w:rPr>
      </w:pPr>
      <w:r w:rsidRPr="00AF0309">
        <w:rPr>
          <w:rFonts w:ascii="Arial" w:eastAsia="Times New Roman" w:hAnsi="Arial" w:cs="Arial"/>
          <w:sz w:val="20"/>
          <w:szCs w:val="20"/>
        </w:rPr>
        <w:t>H</w:t>
      </w:r>
      <w:r w:rsidRPr="00AF0309">
        <w:rPr>
          <w:rFonts w:ascii="Cambria Math" w:eastAsia="Times New Roman" w:hAnsi="Cambria Math" w:cs="Cambria Math"/>
          <w:sz w:val="20"/>
          <w:szCs w:val="20"/>
        </w:rPr>
        <w:t>₁</w:t>
      </w:r>
      <w:r w:rsidRPr="00AF0309">
        <w:rPr>
          <w:rFonts w:ascii="Arial" w:eastAsia="Times New Roman" w:hAnsi="Arial" w:cs="Arial"/>
          <w:sz w:val="20"/>
          <w:szCs w:val="20"/>
        </w:rPr>
        <w:t>: High upfront costs significantly impact the adoption of rooftop solar energy systems by urban households in Mysuru.</w:t>
      </w:r>
    </w:p>
    <w:p w14:paraId="538271F9" w14:textId="77777777" w:rsidR="00632FC6" w:rsidRPr="00AF0309" w:rsidRDefault="00632FC6" w:rsidP="0047657A">
      <w:pPr>
        <w:tabs>
          <w:tab w:val="num" w:pos="1440"/>
        </w:tabs>
        <w:spacing w:after="0" w:line="360" w:lineRule="auto"/>
        <w:rPr>
          <w:rFonts w:ascii="Arial" w:eastAsia="Times New Roman" w:hAnsi="Arial" w:cs="Arial"/>
          <w:b/>
          <w:bCs/>
          <w:sz w:val="20"/>
          <w:szCs w:val="20"/>
        </w:rPr>
      </w:pPr>
      <w:r w:rsidRPr="00AF0309">
        <w:rPr>
          <w:rFonts w:ascii="Arial" w:eastAsia="Times New Roman" w:hAnsi="Arial" w:cs="Arial"/>
          <w:b/>
          <w:bCs/>
          <w:sz w:val="20"/>
          <w:szCs w:val="20"/>
        </w:rPr>
        <w:t>Table 1.1</w:t>
      </w:r>
      <w:r w:rsidR="006D7615" w:rsidRPr="00AF0309">
        <w:rPr>
          <w:rFonts w:ascii="Arial" w:eastAsia="Times New Roman" w:hAnsi="Arial" w:cs="Arial"/>
          <w:b/>
          <w:bCs/>
          <w:sz w:val="20"/>
          <w:szCs w:val="20"/>
        </w:rPr>
        <w:t>3</w:t>
      </w:r>
      <w:r w:rsidRPr="00AF0309">
        <w:rPr>
          <w:rFonts w:ascii="Arial" w:eastAsia="Times New Roman" w:hAnsi="Arial" w:cs="Arial"/>
          <w:b/>
          <w:bCs/>
          <w:sz w:val="20"/>
          <w:szCs w:val="20"/>
        </w:rPr>
        <w:t>: Model Summary</w:t>
      </w:r>
    </w:p>
    <w:tbl>
      <w:tblPr>
        <w:tblStyle w:val="TableGrid"/>
        <w:tblW w:w="0" w:type="auto"/>
        <w:jc w:val="center"/>
        <w:tblLook w:val="04A0" w:firstRow="1" w:lastRow="0" w:firstColumn="1" w:lastColumn="0" w:noHBand="0" w:noVBand="1"/>
      </w:tblPr>
      <w:tblGrid>
        <w:gridCol w:w="606"/>
        <w:gridCol w:w="606"/>
        <w:gridCol w:w="1339"/>
        <w:gridCol w:w="2272"/>
      </w:tblGrid>
      <w:tr w:rsidR="00632FC6" w:rsidRPr="00AF0309" w14:paraId="538271FE" w14:textId="77777777" w:rsidTr="00632FC6">
        <w:trPr>
          <w:trHeight w:val="70"/>
          <w:jc w:val="center"/>
        </w:trPr>
        <w:tc>
          <w:tcPr>
            <w:tcW w:w="0" w:type="auto"/>
            <w:vAlign w:val="center"/>
          </w:tcPr>
          <w:p w14:paraId="538271FA"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R</w:t>
            </w:r>
          </w:p>
        </w:tc>
        <w:tc>
          <w:tcPr>
            <w:tcW w:w="0" w:type="auto"/>
            <w:vAlign w:val="center"/>
          </w:tcPr>
          <w:p w14:paraId="538271FB"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R²</w:t>
            </w:r>
          </w:p>
        </w:tc>
        <w:tc>
          <w:tcPr>
            <w:tcW w:w="0" w:type="auto"/>
            <w:vAlign w:val="center"/>
          </w:tcPr>
          <w:p w14:paraId="538271FC"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Adjusted R²</w:t>
            </w:r>
          </w:p>
        </w:tc>
        <w:tc>
          <w:tcPr>
            <w:tcW w:w="0" w:type="auto"/>
            <w:vAlign w:val="center"/>
          </w:tcPr>
          <w:p w14:paraId="538271FD"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Std. Error of Estimate</w:t>
            </w:r>
          </w:p>
        </w:tc>
      </w:tr>
      <w:tr w:rsidR="00632FC6" w:rsidRPr="00AF0309" w14:paraId="53827203" w14:textId="77777777" w:rsidTr="00632FC6">
        <w:trPr>
          <w:jc w:val="center"/>
        </w:trPr>
        <w:tc>
          <w:tcPr>
            <w:tcW w:w="0" w:type="auto"/>
            <w:vAlign w:val="center"/>
          </w:tcPr>
          <w:p w14:paraId="538271FF"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0.78</w:t>
            </w:r>
          </w:p>
        </w:tc>
        <w:tc>
          <w:tcPr>
            <w:tcW w:w="0" w:type="auto"/>
            <w:vAlign w:val="center"/>
          </w:tcPr>
          <w:p w14:paraId="53827200"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0.61</w:t>
            </w:r>
          </w:p>
        </w:tc>
        <w:tc>
          <w:tcPr>
            <w:tcW w:w="0" w:type="auto"/>
            <w:vAlign w:val="center"/>
          </w:tcPr>
          <w:p w14:paraId="53827201"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0.58</w:t>
            </w:r>
          </w:p>
        </w:tc>
        <w:tc>
          <w:tcPr>
            <w:tcW w:w="0" w:type="auto"/>
            <w:vAlign w:val="center"/>
          </w:tcPr>
          <w:p w14:paraId="53827202" w14:textId="77777777" w:rsidR="00632FC6" w:rsidRPr="00AF0309" w:rsidRDefault="00632FC6" w:rsidP="00632FC6">
            <w:pPr>
              <w:tabs>
                <w:tab w:val="num" w:pos="1440"/>
              </w:tabs>
              <w:spacing w:line="360" w:lineRule="auto"/>
              <w:jc w:val="center"/>
              <w:rPr>
                <w:rFonts w:ascii="Arial" w:eastAsia="Times New Roman" w:hAnsi="Arial" w:cs="Arial"/>
                <w:b/>
                <w:bCs/>
                <w:sz w:val="20"/>
                <w:szCs w:val="20"/>
              </w:rPr>
            </w:pPr>
            <w:r w:rsidRPr="00AF0309">
              <w:rPr>
                <w:rFonts w:ascii="Arial" w:eastAsia="Times New Roman" w:hAnsi="Arial" w:cs="Arial"/>
                <w:sz w:val="20"/>
                <w:szCs w:val="20"/>
              </w:rPr>
              <w:t>0.68</w:t>
            </w:r>
          </w:p>
        </w:tc>
      </w:tr>
    </w:tbl>
    <w:p w14:paraId="53827204" w14:textId="77777777" w:rsidR="00632FC6" w:rsidRPr="00AF0309" w:rsidRDefault="00632FC6" w:rsidP="000B29AE">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205" w14:textId="77777777" w:rsidR="00632FC6" w:rsidRPr="00AF0309" w:rsidRDefault="00632FC6" w:rsidP="00632FC6">
      <w:pPr>
        <w:tabs>
          <w:tab w:val="num" w:pos="1440"/>
        </w:tabs>
        <w:spacing w:before="100" w:beforeAutospacing="1" w:after="0"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Table 1.1</w:t>
      </w:r>
      <w:r w:rsidR="006D7615" w:rsidRPr="00AF0309">
        <w:rPr>
          <w:rFonts w:ascii="Arial" w:eastAsia="Times New Roman" w:hAnsi="Arial" w:cs="Arial"/>
          <w:b/>
          <w:bCs/>
          <w:sz w:val="20"/>
          <w:szCs w:val="20"/>
        </w:rPr>
        <w:t>4</w:t>
      </w:r>
      <w:r w:rsidRPr="00AF0309">
        <w:rPr>
          <w:rFonts w:ascii="Arial" w:eastAsia="Times New Roman" w:hAnsi="Arial" w:cs="Arial"/>
          <w:b/>
          <w:bCs/>
          <w:sz w:val="20"/>
          <w:szCs w:val="20"/>
        </w:rPr>
        <w:t>: Coefficients</w:t>
      </w:r>
    </w:p>
    <w:tbl>
      <w:tblPr>
        <w:tblStyle w:val="TableGrid"/>
        <w:tblW w:w="9355" w:type="dxa"/>
        <w:tblLook w:val="04A0" w:firstRow="1" w:lastRow="0" w:firstColumn="1" w:lastColumn="0" w:noHBand="0" w:noVBand="1"/>
      </w:tblPr>
      <w:tblGrid>
        <w:gridCol w:w="3952"/>
        <w:gridCol w:w="1799"/>
        <w:gridCol w:w="1349"/>
        <w:gridCol w:w="636"/>
        <w:gridCol w:w="1619"/>
      </w:tblGrid>
      <w:tr w:rsidR="00632FC6" w:rsidRPr="00AF0309" w14:paraId="5382720B" w14:textId="77777777" w:rsidTr="00632FC6">
        <w:tc>
          <w:tcPr>
            <w:tcW w:w="3952" w:type="dxa"/>
            <w:vAlign w:val="center"/>
          </w:tcPr>
          <w:p w14:paraId="53827206"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Predictor</w:t>
            </w:r>
          </w:p>
        </w:tc>
        <w:tc>
          <w:tcPr>
            <w:tcW w:w="1799" w:type="dxa"/>
            <w:vAlign w:val="center"/>
          </w:tcPr>
          <w:p w14:paraId="53827207"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Coefficient (B)</w:t>
            </w:r>
          </w:p>
        </w:tc>
        <w:tc>
          <w:tcPr>
            <w:tcW w:w="1349" w:type="dxa"/>
            <w:vAlign w:val="center"/>
          </w:tcPr>
          <w:p w14:paraId="53827208"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Std. Error</w:t>
            </w:r>
          </w:p>
        </w:tc>
        <w:tc>
          <w:tcPr>
            <w:tcW w:w="636" w:type="dxa"/>
            <w:vAlign w:val="center"/>
          </w:tcPr>
          <w:p w14:paraId="53827209" w14:textId="236E60D8" w:rsidR="00632FC6" w:rsidRPr="00AF0309" w:rsidRDefault="00F15BB1"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T</w:t>
            </w:r>
          </w:p>
        </w:tc>
        <w:tc>
          <w:tcPr>
            <w:tcW w:w="1619" w:type="dxa"/>
            <w:vAlign w:val="center"/>
          </w:tcPr>
          <w:p w14:paraId="5382720A"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b/>
                <w:bCs/>
                <w:sz w:val="20"/>
                <w:szCs w:val="20"/>
              </w:rPr>
              <w:t>Sig. (p-value)</w:t>
            </w:r>
          </w:p>
        </w:tc>
      </w:tr>
      <w:tr w:rsidR="00632FC6" w:rsidRPr="00AF0309" w14:paraId="53827211" w14:textId="77777777" w:rsidTr="00632FC6">
        <w:tc>
          <w:tcPr>
            <w:tcW w:w="3952" w:type="dxa"/>
            <w:vAlign w:val="center"/>
          </w:tcPr>
          <w:p w14:paraId="5382720C"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Significance of initial installation cost</w:t>
            </w:r>
          </w:p>
        </w:tc>
        <w:tc>
          <w:tcPr>
            <w:tcW w:w="1799" w:type="dxa"/>
            <w:vAlign w:val="center"/>
          </w:tcPr>
          <w:p w14:paraId="5382720D"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0.45</w:t>
            </w:r>
          </w:p>
        </w:tc>
        <w:tc>
          <w:tcPr>
            <w:tcW w:w="1349" w:type="dxa"/>
            <w:vAlign w:val="center"/>
          </w:tcPr>
          <w:p w14:paraId="5382720E"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0.12</w:t>
            </w:r>
          </w:p>
        </w:tc>
        <w:tc>
          <w:tcPr>
            <w:tcW w:w="636" w:type="dxa"/>
            <w:vAlign w:val="center"/>
          </w:tcPr>
          <w:p w14:paraId="5382720F"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3.75</w:t>
            </w:r>
          </w:p>
        </w:tc>
        <w:tc>
          <w:tcPr>
            <w:tcW w:w="1619" w:type="dxa"/>
            <w:vAlign w:val="center"/>
          </w:tcPr>
          <w:p w14:paraId="53827210"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0.001</w:t>
            </w:r>
          </w:p>
        </w:tc>
      </w:tr>
      <w:tr w:rsidR="00632FC6" w:rsidRPr="00AF0309" w14:paraId="53827217" w14:textId="77777777" w:rsidTr="00632FC6">
        <w:tc>
          <w:tcPr>
            <w:tcW w:w="3952" w:type="dxa"/>
            <w:vAlign w:val="center"/>
          </w:tcPr>
          <w:p w14:paraId="53827212"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Perceived high cost as a barrier</w:t>
            </w:r>
          </w:p>
        </w:tc>
        <w:tc>
          <w:tcPr>
            <w:tcW w:w="1799" w:type="dxa"/>
            <w:vAlign w:val="center"/>
          </w:tcPr>
          <w:p w14:paraId="53827213"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0.30</w:t>
            </w:r>
          </w:p>
        </w:tc>
        <w:tc>
          <w:tcPr>
            <w:tcW w:w="1349" w:type="dxa"/>
            <w:vAlign w:val="center"/>
          </w:tcPr>
          <w:p w14:paraId="53827214"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0.10</w:t>
            </w:r>
          </w:p>
        </w:tc>
        <w:tc>
          <w:tcPr>
            <w:tcW w:w="636" w:type="dxa"/>
            <w:vAlign w:val="center"/>
          </w:tcPr>
          <w:p w14:paraId="53827215"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3.00</w:t>
            </w:r>
          </w:p>
        </w:tc>
        <w:tc>
          <w:tcPr>
            <w:tcW w:w="1619" w:type="dxa"/>
            <w:vAlign w:val="center"/>
          </w:tcPr>
          <w:p w14:paraId="53827216"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0.004</w:t>
            </w:r>
          </w:p>
        </w:tc>
      </w:tr>
      <w:tr w:rsidR="00632FC6" w:rsidRPr="00AF0309" w14:paraId="5382721D" w14:textId="77777777" w:rsidTr="00632FC6">
        <w:tc>
          <w:tcPr>
            <w:tcW w:w="3952" w:type="dxa"/>
            <w:vAlign w:val="center"/>
          </w:tcPr>
          <w:p w14:paraId="53827218"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Investment needs as a deterrent</w:t>
            </w:r>
          </w:p>
        </w:tc>
        <w:tc>
          <w:tcPr>
            <w:tcW w:w="1799" w:type="dxa"/>
            <w:vAlign w:val="center"/>
          </w:tcPr>
          <w:p w14:paraId="53827219"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0.35</w:t>
            </w:r>
          </w:p>
        </w:tc>
        <w:tc>
          <w:tcPr>
            <w:tcW w:w="1349" w:type="dxa"/>
            <w:vAlign w:val="center"/>
          </w:tcPr>
          <w:p w14:paraId="5382721A"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0.11</w:t>
            </w:r>
          </w:p>
        </w:tc>
        <w:tc>
          <w:tcPr>
            <w:tcW w:w="636" w:type="dxa"/>
            <w:vAlign w:val="center"/>
          </w:tcPr>
          <w:p w14:paraId="5382721B"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3.18</w:t>
            </w:r>
          </w:p>
        </w:tc>
        <w:tc>
          <w:tcPr>
            <w:tcW w:w="1619" w:type="dxa"/>
            <w:vAlign w:val="center"/>
          </w:tcPr>
          <w:p w14:paraId="5382721C"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0.002</w:t>
            </w:r>
          </w:p>
        </w:tc>
      </w:tr>
      <w:tr w:rsidR="00632FC6" w:rsidRPr="00AF0309" w14:paraId="53827223" w14:textId="77777777" w:rsidTr="00632FC6">
        <w:tc>
          <w:tcPr>
            <w:tcW w:w="3952" w:type="dxa"/>
            <w:vAlign w:val="center"/>
          </w:tcPr>
          <w:p w14:paraId="5382721E" w14:textId="77777777" w:rsidR="00632FC6" w:rsidRPr="00AF0309" w:rsidRDefault="00632FC6" w:rsidP="00632FC6">
            <w:pPr>
              <w:tabs>
                <w:tab w:val="num" w:pos="1440"/>
              </w:tabs>
              <w:spacing w:before="100" w:beforeAutospacing="1" w:after="100" w:afterAutospacing="1" w:line="360" w:lineRule="auto"/>
              <w:rPr>
                <w:rFonts w:ascii="Arial" w:eastAsia="Times New Roman" w:hAnsi="Arial" w:cs="Arial"/>
                <w:b/>
                <w:bCs/>
                <w:sz w:val="20"/>
                <w:szCs w:val="20"/>
              </w:rPr>
            </w:pPr>
            <w:r w:rsidRPr="00AF0309">
              <w:rPr>
                <w:rFonts w:ascii="Arial" w:eastAsia="Times New Roman" w:hAnsi="Arial" w:cs="Arial"/>
                <w:sz w:val="20"/>
                <w:szCs w:val="20"/>
              </w:rPr>
              <w:t>Willingness to wait for cost reduction</w:t>
            </w:r>
          </w:p>
        </w:tc>
        <w:tc>
          <w:tcPr>
            <w:tcW w:w="1799" w:type="dxa"/>
            <w:vAlign w:val="center"/>
          </w:tcPr>
          <w:p w14:paraId="5382721F"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0.25</w:t>
            </w:r>
          </w:p>
        </w:tc>
        <w:tc>
          <w:tcPr>
            <w:tcW w:w="1349" w:type="dxa"/>
            <w:vAlign w:val="center"/>
          </w:tcPr>
          <w:p w14:paraId="53827220"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0.09</w:t>
            </w:r>
          </w:p>
        </w:tc>
        <w:tc>
          <w:tcPr>
            <w:tcW w:w="636" w:type="dxa"/>
            <w:vAlign w:val="center"/>
          </w:tcPr>
          <w:p w14:paraId="53827221"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2.78</w:t>
            </w:r>
          </w:p>
        </w:tc>
        <w:tc>
          <w:tcPr>
            <w:tcW w:w="1619" w:type="dxa"/>
            <w:vAlign w:val="center"/>
          </w:tcPr>
          <w:p w14:paraId="53827222" w14:textId="77777777" w:rsidR="00632FC6" w:rsidRPr="00AF0309" w:rsidRDefault="00632FC6" w:rsidP="00632FC6">
            <w:pPr>
              <w:tabs>
                <w:tab w:val="num" w:pos="1440"/>
              </w:tabs>
              <w:spacing w:before="100" w:beforeAutospacing="1" w:after="100" w:afterAutospacing="1" w:line="360" w:lineRule="auto"/>
              <w:jc w:val="center"/>
              <w:rPr>
                <w:rFonts w:ascii="Arial" w:eastAsia="Times New Roman" w:hAnsi="Arial" w:cs="Arial"/>
                <w:b/>
                <w:bCs/>
                <w:sz w:val="20"/>
                <w:szCs w:val="20"/>
              </w:rPr>
            </w:pPr>
            <w:r w:rsidRPr="00AF0309">
              <w:rPr>
                <w:rFonts w:ascii="Arial" w:eastAsia="Times New Roman" w:hAnsi="Arial" w:cs="Arial"/>
                <w:sz w:val="20"/>
                <w:szCs w:val="20"/>
              </w:rPr>
              <w:t>0.007</w:t>
            </w:r>
          </w:p>
        </w:tc>
      </w:tr>
    </w:tbl>
    <w:p w14:paraId="53827224" w14:textId="77777777" w:rsidR="00632FC6" w:rsidRPr="00AF0309" w:rsidRDefault="00632FC6" w:rsidP="00BB03E6">
      <w:pPr>
        <w:pStyle w:val="Heading3"/>
        <w:spacing w:before="0" w:beforeAutospacing="0"/>
        <w:rPr>
          <w:rStyle w:val="Strong"/>
          <w:rFonts w:ascii="Arial" w:hAnsi="Arial" w:cs="Arial"/>
          <w:sz w:val="20"/>
          <w:szCs w:val="20"/>
        </w:rPr>
      </w:pPr>
      <w:r w:rsidRPr="00AF0309">
        <w:rPr>
          <w:rStyle w:val="Strong"/>
          <w:rFonts w:ascii="Arial" w:hAnsi="Arial" w:cs="Arial"/>
          <w:b/>
          <w:bCs/>
          <w:sz w:val="20"/>
          <w:szCs w:val="20"/>
        </w:rPr>
        <w:t xml:space="preserve">Source: </w:t>
      </w:r>
      <w:r w:rsidRPr="00AF0309">
        <w:rPr>
          <w:rStyle w:val="Strong"/>
          <w:rFonts w:ascii="Arial" w:hAnsi="Arial" w:cs="Arial"/>
          <w:sz w:val="20"/>
          <w:szCs w:val="20"/>
        </w:rPr>
        <w:t>SPSS Output</w:t>
      </w:r>
    </w:p>
    <w:p w14:paraId="53827229" w14:textId="00EB1070" w:rsidR="00530360" w:rsidRPr="00AF0309" w:rsidRDefault="003B199B" w:rsidP="003B199B">
      <w:pPr>
        <w:tabs>
          <w:tab w:val="num" w:pos="1440"/>
        </w:tabs>
        <w:spacing w:before="100" w:beforeAutospacing="1" w:after="100" w:afterAutospacing="1" w:line="360" w:lineRule="auto"/>
        <w:jc w:val="both"/>
        <w:rPr>
          <w:rFonts w:ascii="Arial" w:hAnsi="Arial" w:cs="Arial"/>
          <w:sz w:val="20"/>
          <w:szCs w:val="20"/>
        </w:rPr>
      </w:pPr>
      <w:r w:rsidRPr="00AF0309">
        <w:rPr>
          <w:rFonts w:ascii="Arial" w:hAnsi="Arial" w:cs="Arial"/>
          <w:b/>
          <w:bCs/>
          <w:sz w:val="20"/>
          <w:szCs w:val="20"/>
        </w:rPr>
        <w:lastRenderedPageBreak/>
        <w:t>Interpretation</w:t>
      </w:r>
      <w:r w:rsidRPr="00AF0309">
        <w:rPr>
          <w:rFonts w:ascii="Arial" w:hAnsi="Arial" w:cs="Arial"/>
          <w:sz w:val="20"/>
          <w:szCs w:val="20"/>
        </w:rPr>
        <w:t>: The regression analysis reveals that high upfront costs significantly impact the adoption of rooftop solar energy systems by urban households in Mysuru. The model explains 61% of the variance in adoption likelihood (</w:t>
      </w:r>
      <w:r w:rsidRPr="00AF0309">
        <w:rPr>
          <w:rStyle w:val="katex-mathml"/>
          <w:rFonts w:ascii="Arial" w:hAnsi="Arial" w:cs="Arial"/>
          <w:sz w:val="20"/>
          <w:szCs w:val="20"/>
        </w:rPr>
        <w:t>R</w:t>
      </w:r>
      <w:r w:rsidRPr="00AF0309">
        <w:rPr>
          <w:rStyle w:val="katex-mathml"/>
          <w:rFonts w:ascii="Arial" w:hAnsi="Arial" w:cs="Arial"/>
          <w:sz w:val="20"/>
          <w:szCs w:val="20"/>
          <w:vertAlign w:val="superscript"/>
        </w:rPr>
        <w:t>2</w:t>
      </w:r>
      <w:r w:rsidRPr="00AF0309">
        <w:rPr>
          <w:rStyle w:val="katex-mathml"/>
          <w:rFonts w:ascii="Arial" w:hAnsi="Arial" w:cs="Arial"/>
          <w:sz w:val="20"/>
          <w:szCs w:val="20"/>
        </w:rPr>
        <w:t>=0.61</w:t>
      </w:r>
      <w:r w:rsidRPr="00AF0309">
        <w:rPr>
          <w:rFonts w:ascii="Arial" w:hAnsi="Arial" w:cs="Arial"/>
          <w:sz w:val="20"/>
          <w:szCs w:val="20"/>
        </w:rPr>
        <w:t>), with a strong overall relationship (</w:t>
      </w:r>
      <w:r w:rsidRPr="00AF0309">
        <w:rPr>
          <w:rStyle w:val="katex-mathml"/>
          <w:rFonts w:ascii="Arial" w:hAnsi="Arial" w:cs="Arial"/>
          <w:sz w:val="20"/>
          <w:szCs w:val="20"/>
        </w:rPr>
        <w:t>R=0.78</w:t>
      </w:r>
      <w:r w:rsidRPr="00AF0309">
        <w:rPr>
          <w:rFonts w:ascii="Arial" w:hAnsi="Arial" w:cs="Arial"/>
          <w:sz w:val="20"/>
          <w:szCs w:val="20"/>
        </w:rPr>
        <w:t>). All predictors, including the significance of initial installation costs (</w:t>
      </w:r>
      <w:r w:rsidRPr="00AF0309">
        <w:rPr>
          <w:rStyle w:val="katex-mathml"/>
          <w:rFonts w:ascii="Arial" w:hAnsi="Arial" w:cs="Arial"/>
          <w:sz w:val="20"/>
          <w:szCs w:val="20"/>
        </w:rPr>
        <w:t>B=0.45, p=0.001</w:t>
      </w:r>
      <w:r w:rsidRPr="00AF0309">
        <w:rPr>
          <w:rFonts w:ascii="Arial" w:hAnsi="Arial" w:cs="Arial"/>
          <w:sz w:val="20"/>
          <w:szCs w:val="20"/>
        </w:rPr>
        <w:t>), perceived high cost as a barrier (</w:t>
      </w:r>
      <w:r w:rsidRPr="00AF0309">
        <w:rPr>
          <w:rStyle w:val="katex-mathml"/>
          <w:rFonts w:ascii="Arial" w:hAnsi="Arial" w:cs="Arial"/>
          <w:sz w:val="20"/>
          <w:szCs w:val="20"/>
        </w:rPr>
        <w:t>B=0.30, p=0.004</w:t>
      </w:r>
      <w:r w:rsidRPr="00AF0309">
        <w:rPr>
          <w:rFonts w:ascii="Arial" w:hAnsi="Arial" w:cs="Arial"/>
          <w:sz w:val="20"/>
          <w:szCs w:val="20"/>
        </w:rPr>
        <w:t>), investment needs as a deterrent (</w:t>
      </w:r>
      <w:r w:rsidRPr="00AF0309">
        <w:rPr>
          <w:rStyle w:val="katex-mathml"/>
          <w:rFonts w:ascii="Arial" w:hAnsi="Arial" w:cs="Arial"/>
          <w:sz w:val="20"/>
          <w:szCs w:val="20"/>
        </w:rPr>
        <w:t>B=0.35, p=0.002</w:t>
      </w:r>
      <w:r w:rsidRPr="00AF0309">
        <w:rPr>
          <w:rFonts w:ascii="Arial" w:hAnsi="Arial" w:cs="Arial"/>
          <w:sz w:val="20"/>
          <w:szCs w:val="20"/>
        </w:rPr>
        <w:t>), and willingness to wait for cost reduction (</w:t>
      </w:r>
      <w:r w:rsidRPr="00AF0309">
        <w:rPr>
          <w:rStyle w:val="katex-mathml"/>
          <w:rFonts w:ascii="Arial" w:hAnsi="Arial" w:cs="Arial"/>
          <w:sz w:val="20"/>
          <w:szCs w:val="20"/>
        </w:rPr>
        <w:t>B=0.25, p=0.007</w:t>
      </w:r>
      <w:r w:rsidRPr="00AF0309">
        <w:rPr>
          <w:rFonts w:ascii="Arial" w:hAnsi="Arial" w:cs="Arial"/>
          <w:sz w:val="20"/>
          <w:szCs w:val="20"/>
        </w:rPr>
        <w:t>), significantly influence adoption. These findings lead to the rejection of the null hypothesis (</w:t>
      </w:r>
      <w:r w:rsidRPr="00AF0309">
        <w:rPr>
          <w:rStyle w:val="katex-mathml"/>
          <w:rFonts w:ascii="Arial" w:hAnsi="Arial" w:cs="Arial"/>
          <w:sz w:val="20"/>
          <w:szCs w:val="20"/>
        </w:rPr>
        <w:t>H</w:t>
      </w:r>
      <w:r w:rsidRPr="00AF0309">
        <w:rPr>
          <w:rStyle w:val="katex-mathml"/>
          <w:rFonts w:ascii="Arial" w:hAnsi="Arial" w:cs="Arial"/>
          <w:sz w:val="20"/>
          <w:szCs w:val="20"/>
          <w:vertAlign w:val="subscript"/>
        </w:rPr>
        <w:t>0</w:t>
      </w:r>
      <w:r w:rsidRPr="00AF0309">
        <w:rPr>
          <w:rFonts w:ascii="Arial" w:hAnsi="Arial" w:cs="Arial"/>
          <w:sz w:val="20"/>
          <w:szCs w:val="20"/>
        </w:rPr>
        <w:t>) and acceptance of the alternative hypothesis (</w:t>
      </w:r>
      <w:r w:rsidRPr="00AF0309">
        <w:rPr>
          <w:rStyle w:val="katex-mathml"/>
          <w:rFonts w:ascii="Arial" w:hAnsi="Arial" w:cs="Arial"/>
          <w:sz w:val="20"/>
          <w:szCs w:val="20"/>
        </w:rPr>
        <w:t>H</w:t>
      </w:r>
      <w:r w:rsidRPr="00AF0309">
        <w:rPr>
          <w:rStyle w:val="katex-mathml"/>
          <w:rFonts w:ascii="Arial" w:hAnsi="Arial" w:cs="Arial"/>
          <w:sz w:val="20"/>
          <w:szCs w:val="20"/>
          <w:vertAlign w:val="subscript"/>
        </w:rPr>
        <w:t>1</w:t>
      </w:r>
      <w:r w:rsidRPr="00AF0309">
        <w:rPr>
          <w:rStyle w:val="vlist-s"/>
          <w:rFonts w:ascii="Arial" w:hAnsi="Arial" w:cs="Arial"/>
          <w:sz w:val="20"/>
          <w:szCs w:val="20"/>
        </w:rPr>
        <w:t>​</w:t>
      </w:r>
      <w:r w:rsidRPr="00AF0309">
        <w:rPr>
          <w:rFonts w:ascii="Arial" w:hAnsi="Arial" w:cs="Arial"/>
          <w:sz w:val="20"/>
          <w:szCs w:val="20"/>
        </w:rPr>
        <w:t>), confirming that high upfront costs are a significant barrier to adoption.</w:t>
      </w:r>
    </w:p>
    <w:p w14:paraId="5382722A" w14:textId="77777777" w:rsidR="00C27F33" w:rsidRPr="00AF0309" w:rsidRDefault="00C27F33" w:rsidP="00254836">
      <w:pPr>
        <w:tabs>
          <w:tab w:val="num" w:pos="1440"/>
        </w:tabs>
        <w:spacing w:after="0" w:line="360" w:lineRule="auto"/>
        <w:jc w:val="both"/>
        <w:rPr>
          <w:rFonts w:ascii="Arial" w:hAnsi="Arial" w:cs="Arial"/>
          <w:b/>
          <w:bCs/>
          <w:sz w:val="20"/>
          <w:szCs w:val="20"/>
        </w:rPr>
      </w:pPr>
      <w:r w:rsidRPr="00AF0309">
        <w:rPr>
          <w:rFonts w:ascii="Arial" w:hAnsi="Arial" w:cs="Arial"/>
          <w:b/>
          <w:bCs/>
          <w:sz w:val="20"/>
          <w:szCs w:val="20"/>
        </w:rPr>
        <w:t xml:space="preserve">RESULT: </w:t>
      </w:r>
    </w:p>
    <w:p w14:paraId="5382722B" w14:textId="77777777" w:rsidR="00C27F33" w:rsidRPr="00AF0309" w:rsidRDefault="00C27F33" w:rsidP="00254836">
      <w:pPr>
        <w:tabs>
          <w:tab w:val="num" w:pos="1440"/>
        </w:tabs>
        <w:spacing w:after="0" w:line="360" w:lineRule="auto"/>
        <w:jc w:val="center"/>
        <w:rPr>
          <w:rFonts w:ascii="Arial" w:hAnsi="Arial" w:cs="Arial"/>
          <w:b/>
          <w:bCs/>
          <w:sz w:val="20"/>
          <w:szCs w:val="20"/>
        </w:rPr>
      </w:pPr>
      <w:r w:rsidRPr="00AF0309">
        <w:rPr>
          <w:rFonts w:ascii="Arial" w:hAnsi="Arial" w:cs="Arial"/>
          <w:b/>
          <w:bCs/>
          <w:sz w:val="20"/>
          <w:szCs w:val="20"/>
        </w:rPr>
        <w:t>Table 1.15: Summary of Hypotheses Testing</w:t>
      </w:r>
    </w:p>
    <w:tbl>
      <w:tblPr>
        <w:tblStyle w:val="TableGrid"/>
        <w:tblW w:w="0" w:type="auto"/>
        <w:tblLook w:val="04A0" w:firstRow="1" w:lastRow="0" w:firstColumn="1" w:lastColumn="0" w:noHBand="0" w:noVBand="1"/>
      </w:tblPr>
      <w:tblGrid>
        <w:gridCol w:w="1117"/>
        <w:gridCol w:w="2841"/>
        <w:gridCol w:w="1363"/>
        <w:gridCol w:w="1062"/>
        <w:gridCol w:w="2859"/>
      </w:tblGrid>
      <w:tr w:rsidR="00254836" w:rsidRPr="00AF0309" w14:paraId="53827231" w14:textId="77777777" w:rsidTr="00254836">
        <w:tc>
          <w:tcPr>
            <w:tcW w:w="0" w:type="auto"/>
            <w:vAlign w:val="center"/>
          </w:tcPr>
          <w:p w14:paraId="5382722C"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Objective</w:t>
            </w:r>
          </w:p>
        </w:tc>
        <w:tc>
          <w:tcPr>
            <w:tcW w:w="2841" w:type="dxa"/>
            <w:vAlign w:val="center"/>
          </w:tcPr>
          <w:p w14:paraId="5382722D"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Hypotheses</w:t>
            </w:r>
          </w:p>
        </w:tc>
        <w:tc>
          <w:tcPr>
            <w:tcW w:w="1363" w:type="dxa"/>
            <w:vAlign w:val="center"/>
          </w:tcPr>
          <w:p w14:paraId="5382722E"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P-Value</w:t>
            </w:r>
          </w:p>
        </w:tc>
        <w:tc>
          <w:tcPr>
            <w:tcW w:w="0" w:type="auto"/>
            <w:vAlign w:val="center"/>
          </w:tcPr>
          <w:p w14:paraId="5382722F"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Decision</w:t>
            </w:r>
          </w:p>
        </w:tc>
        <w:tc>
          <w:tcPr>
            <w:tcW w:w="0" w:type="auto"/>
            <w:vAlign w:val="center"/>
          </w:tcPr>
          <w:p w14:paraId="53827230"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Conclusion</w:t>
            </w:r>
          </w:p>
        </w:tc>
      </w:tr>
      <w:tr w:rsidR="00254836" w:rsidRPr="00AF0309" w14:paraId="53827237" w14:textId="77777777" w:rsidTr="00254836">
        <w:tc>
          <w:tcPr>
            <w:tcW w:w="0" w:type="auto"/>
            <w:vAlign w:val="center"/>
          </w:tcPr>
          <w:p w14:paraId="53827232"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1</w:t>
            </w:r>
          </w:p>
        </w:tc>
        <w:tc>
          <w:tcPr>
            <w:tcW w:w="2841" w:type="dxa"/>
            <w:vAlign w:val="center"/>
          </w:tcPr>
          <w:p w14:paraId="53827233"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Awareness of government subsidies, incentives, and financial schemes does not affect the adoption of rooftop solar energy systems in Mysuru.</w:t>
            </w:r>
          </w:p>
        </w:tc>
        <w:tc>
          <w:tcPr>
            <w:tcW w:w="1363" w:type="dxa"/>
            <w:vAlign w:val="center"/>
          </w:tcPr>
          <w:p w14:paraId="53827234"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0.000)</w:t>
            </w:r>
          </w:p>
        </w:tc>
        <w:tc>
          <w:tcPr>
            <w:tcW w:w="0" w:type="auto"/>
            <w:vAlign w:val="center"/>
          </w:tcPr>
          <w:p w14:paraId="53827235"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Reject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r w:rsidRPr="00AF0309">
              <w:rPr>
                <w:rStyle w:val="vlist-s"/>
                <w:rFonts w:ascii="Arial" w:hAnsi="Arial" w:cs="Arial"/>
                <w:b/>
                <w:bCs/>
                <w:sz w:val="20"/>
                <w:szCs w:val="20"/>
              </w:rPr>
              <w:t>​</w:t>
            </w:r>
          </w:p>
        </w:tc>
        <w:tc>
          <w:tcPr>
            <w:tcW w:w="0" w:type="auto"/>
            <w:vAlign w:val="center"/>
          </w:tcPr>
          <w:p w14:paraId="53827236"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Awareness of government subsidies, incentives, and financial schemes significantly influences adoption.</w:t>
            </w:r>
          </w:p>
        </w:tc>
      </w:tr>
      <w:tr w:rsidR="00254836" w:rsidRPr="00AF0309" w14:paraId="5382723D" w14:textId="77777777" w:rsidTr="00254836">
        <w:tc>
          <w:tcPr>
            <w:tcW w:w="0" w:type="auto"/>
            <w:vAlign w:val="center"/>
          </w:tcPr>
          <w:p w14:paraId="53827238"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2</w:t>
            </w:r>
          </w:p>
        </w:tc>
        <w:tc>
          <w:tcPr>
            <w:tcW w:w="2841" w:type="dxa"/>
            <w:vAlign w:val="center"/>
          </w:tcPr>
          <w:p w14:paraId="53827239"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xml:space="preserve">: Demographic factors such as income levels and household energy consumption patterns do not influence the perceived </w:t>
            </w:r>
            <w:r w:rsidR="00530360" w:rsidRPr="00AF0309">
              <w:rPr>
                <w:rFonts w:ascii="Arial" w:hAnsi="Arial" w:cs="Arial"/>
                <w:sz w:val="20"/>
                <w:szCs w:val="20"/>
              </w:rPr>
              <w:t>financial feasibility of</w:t>
            </w:r>
            <w:r w:rsidRPr="00AF0309">
              <w:rPr>
                <w:rFonts w:ascii="Arial" w:hAnsi="Arial" w:cs="Arial"/>
                <w:sz w:val="20"/>
                <w:szCs w:val="20"/>
              </w:rPr>
              <w:t xml:space="preserve"> rooftop solar energy in Mysuru.</w:t>
            </w:r>
          </w:p>
        </w:tc>
        <w:tc>
          <w:tcPr>
            <w:tcW w:w="1363" w:type="dxa"/>
            <w:vAlign w:val="center"/>
          </w:tcPr>
          <w:p w14:paraId="5382723A"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 xml:space="preserve">0.202 </w:t>
            </w:r>
          </w:p>
        </w:tc>
        <w:tc>
          <w:tcPr>
            <w:tcW w:w="0" w:type="auto"/>
            <w:vAlign w:val="center"/>
          </w:tcPr>
          <w:p w14:paraId="5382723B"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Accept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p>
        </w:tc>
        <w:tc>
          <w:tcPr>
            <w:tcW w:w="0" w:type="auto"/>
            <w:vAlign w:val="center"/>
          </w:tcPr>
          <w:p w14:paraId="5382723C"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Demographic factors overall do not significantly influence perceived financial viability; however, income levels significantly impact perceptions (p = 0.036).</w:t>
            </w:r>
          </w:p>
        </w:tc>
      </w:tr>
      <w:tr w:rsidR="00254836" w:rsidRPr="00AF0309" w14:paraId="53827243" w14:textId="77777777" w:rsidTr="00254836">
        <w:tc>
          <w:tcPr>
            <w:tcW w:w="0" w:type="auto"/>
            <w:vAlign w:val="center"/>
          </w:tcPr>
          <w:p w14:paraId="5382723E"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3</w:t>
            </w:r>
          </w:p>
        </w:tc>
        <w:tc>
          <w:tcPr>
            <w:tcW w:w="2841" w:type="dxa"/>
            <w:vAlign w:val="center"/>
          </w:tcPr>
          <w:p w14:paraId="5382723F"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Perceptions of long-term cost savings and return on investment (ROI) do not influence the adoption of rooftop solar energy systems in Mysuru.</w:t>
            </w:r>
          </w:p>
        </w:tc>
        <w:tc>
          <w:tcPr>
            <w:tcW w:w="1363" w:type="dxa"/>
            <w:vAlign w:val="center"/>
          </w:tcPr>
          <w:p w14:paraId="53827240"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0.000 (for all items)</w:t>
            </w:r>
          </w:p>
        </w:tc>
        <w:tc>
          <w:tcPr>
            <w:tcW w:w="0" w:type="auto"/>
            <w:vAlign w:val="center"/>
          </w:tcPr>
          <w:p w14:paraId="53827241"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Reject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r w:rsidRPr="00AF0309">
              <w:rPr>
                <w:rStyle w:val="vlist-s"/>
                <w:rFonts w:ascii="Arial" w:hAnsi="Arial" w:cs="Arial"/>
                <w:b/>
                <w:bCs/>
                <w:sz w:val="20"/>
                <w:szCs w:val="20"/>
              </w:rPr>
              <w:t>​</w:t>
            </w:r>
          </w:p>
        </w:tc>
        <w:tc>
          <w:tcPr>
            <w:tcW w:w="0" w:type="auto"/>
            <w:vAlign w:val="center"/>
          </w:tcPr>
          <w:p w14:paraId="53827242"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Perceptions of long-term cost savings and ROI significantly influence the adoption of rooftop solar energy systems.</w:t>
            </w:r>
          </w:p>
        </w:tc>
      </w:tr>
      <w:tr w:rsidR="00254836" w:rsidRPr="00AF0309" w14:paraId="53827249" w14:textId="77777777" w:rsidTr="00254836">
        <w:tc>
          <w:tcPr>
            <w:tcW w:w="0" w:type="auto"/>
            <w:vAlign w:val="center"/>
          </w:tcPr>
          <w:p w14:paraId="53827244"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4</w:t>
            </w:r>
          </w:p>
        </w:tc>
        <w:tc>
          <w:tcPr>
            <w:tcW w:w="2841" w:type="dxa"/>
            <w:vAlign w:val="center"/>
          </w:tcPr>
          <w:p w14:paraId="53827245" w14:textId="77777777" w:rsidR="00254836" w:rsidRPr="00AF0309" w:rsidRDefault="00254836" w:rsidP="00254836">
            <w:pPr>
              <w:tabs>
                <w:tab w:val="num" w:pos="1440"/>
              </w:tabs>
              <w:rPr>
                <w:rFonts w:ascii="Arial" w:hAnsi="Arial" w:cs="Arial"/>
                <w:b/>
                <w:bCs/>
                <w:sz w:val="20"/>
                <w:szCs w:val="20"/>
              </w:rPr>
            </w:pPr>
            <w:r w:rsidRPr="00AF0309">
              <w:rPr>
                <w:rStyle w:val="Strong"/>
                <w:rFonts w:ascii="Arial" w:hAnsi="Arial" w:cs="Arial"/>
                <w:sz w:val="20"/>
                <w:szCs w:val="20"/>
              </w:rPr>
              <w:t>H</w:t>
            </w:r>
            <w:r w:rsidRPr="00AF0309">
              <w:rPr>
                <w:rStyle w:val="Strong"/>
                <w:rFonts w:ascii="Cambria Math" w:hAnsi="Cambria Math" w:cs="Cambria Math"/>
                <w:sz w:val="20"/>
                <w:szCs w:val="20"/>
              </w:rPr>
              <w:t>₀</w:t>
            </w:r>
            <w:r w:rsidRPr="00AF0309">
              <w:rPr>
                <w:rFonts w:ascii="Arial" w:hAnsi="Arial" w:cs="Arial"/>
                <w:sz w:val="20"/>
                <w:szCs w:val="20"/>
              </w:rPr>
              <w:t>: High upfront costs do not significantly impact the adoption of rooftop solar energy systems by urban households in Mysuru.</w:t>
            </w:r>
          </w:p>
        </w:tc>
        <w:tc>
          <w:tcPr>
            <w:tcW w:w="1363" w:type="dxa"/>
            <w:vAlign w:val="center"/>
          </w:tcPr>
          <w:p w14:paraId="53827246" w14:textId="77777777" w:rsidR="00254836" w:rsidRPr="00AF0309" w:rsidRDefault="00254836" w:rsidP="00254836">
            <w:pPr>
              <w:tabs>
                <w:tab w:val="num" w:pos="1440"/>
              </w:tabs>
              <w:jc w:val="center"/>
              <w:rPr>
                <w:rFonts w:ascii="Arial" w:hAnsi="Arial" w:cs="Arial"/>
                <w:b/>
                <w:bCs/>
                <w:sz w:val="20"/>
                <w:szCs w:val="20"/>
              </w:rPr>
            </w:pPr>
            <w:r w:rsidRPr="00AF0309">
              <w:rPr>
                <w:rFonts w:ascii="Arial" w:hAnsi="Arial" w:cs="Arial"/>
                <w:sz w:val="20"/>
                <w:szCs w:val="20"/>
              </w:rPr>
              <w:t xml:space="preserve">0.000 </w:t>
            </w:r>
          </w:p>
        </w:tc>
        <w:tc>
          <w:tcPr>
            <w:tcW w:w="0" w:type="auto"/>
            <w:vAlign w:val="center"/>
          </w:tcPr>
          <w:p w14:paraId="53827247" w14:textId="77777777" w:rsidR="00254836" w:rsidRPr="00AF0309" w:rsidRDefault="00254836" w:rsidP="00254836">
            <w:pPr>
              <w:tabs>
                <w:tab w:val="num" w:pos="1440"/>
              </w:tabs>
              <w:jc w:val="center"/>
              <w:rPr>
                <w:rFonts w:ascii="Arial" w:hAnsi="Arial" w:cs="Arial"/>
                <w:b/>
                <w:bCs/>
                <w:sz w:val="20"/>
                <w:szCs w:val="20"/>
              </w:rPr>
            </w:pPr>
            <w:r w:rsidRPr="00AF0309">
              <w:rPr>
                <w:rStyle w:val="Strong"/>
                <w:rFonts w:ascii="Arial" w:hAnsi="Arial" w:cs="Arial"/>
                <w:sz w:val="20"/>
                <w:szCs w:val="20"/>
              </w:rPr>
              <w:t xml:space="preserve">Reject </w:t>
            </w:r>
            <w:r w:rsidRPr="00AF0309">
              <w:rPr>
                <w:rStyle w:val="katex-mathml"/>
                <w:rFonts w:ascii="Arial" w:hAnsi="Arial" w:cs="Arial"/>
                <w:b/>
                <w:bCs/>
                <w:sz w:val="20"/>
                <w:szCs w:val="20"/>
              </w:rPr>
              <w:t>H</w:t>
            </w:r>
            <w:r w:rsidRPr="00AF0309">
              <w:rPr>
                <w:rStyle w:val="katex-mathml"/>
                <w:rFonts w:ascii="Arial" w:hAnsi="Arial" w:cs="Arial"/>
                <w:b/>
                <w:bCs/>
                <w:sz w:val="20"/>
                <w:szCs w:val="20"/>
                <w:vertAlign w:val="subscript"/>
              </w:rPr>
              <w:t>0</w:t>
            </w:r>
          </w:p>
        </w:tc>
        <w:tc>
          <w:tcPr>
            <w:tcW w:w="0" w:type="auto"/>
            <w:vAlign w:val="center"/>
          </w:tcPr>
          <w:p w14:paraId="53827248" w14:textId="77777777" w:rsidR="00254836" w:rsidRPr="00AF0309" w:rsidRDefault="00254836" w:rsidP="00254836">
            <w:pPr>
              <w:tabs>
                <w:tab w:val="num" w:pos="1440"/>
              </w:tabs>
              <w:rPr>
                <w:rFonts w:ascii="Arial" w:hAnsi="Arial" w:cs="Arial"/>
                <w:b/>
                <w:bCs/>
                <w:sz w:val="20"/>
                <w:szCs w:val="20"/>
              </w:rPr>
            </w:pPr>
            <w:r w:rsidRPr="00AF0309">
              <w:rPr>
                <w:rFonts w:ascii="Arial" w:hAnsi="Arial" w:cs="Arial"/>
                <w:sz w:val="20"/>
                <w:szCs w:val="20"/>
              </w:rPr>
              <w:t>High upfront costs significantly impact the adoption of rooftop solar energy systems.</w:t>
            </w:r>
          </w:p>
        </w:tc>
      </w:tr>
    </w:tbl>
    <w:p w14:paraId="5382724A" w14:textId="77777777" w:rsidR="00C27F33" w:rsidRPr="00BB03E6" w:rsidRDefault="00254836" w:rsidP="00530360">
      <w:pPr>
        <w:tabs>
          <w:tab w:val="num" w:pos="1440"/>
        </w:tabs>
        <w:spacing w:before="100" w:beforeAutospacing="1" w:after="0" w:line="360" w:lineRule="auto"/>
        <w:jc w:val="both"/>
        <w:rPr>
          <w:rFonts w:ascii="Arial" w:eastAsia="Times New Roman" w:hAnsi="Arial" w:cs="Arial"/>
          <w:b/>
          <w:bCs/>
        </w:rPr>
      </w:pPr>
      <w:r w:rsidRPr="00BB03E6">
        <w:rPr>
          <w:rFonts w:ascii="Arial" w:eastAsia="Times New Roman" w:hAnsi="Arial" w:cs="Arial"/>
          <w:b/>
          <w:bCs/>
        </w:rPr>
        <w:t xml:space="preserve">FINDINGS OF THE STUDY: </w:t>
      </w:r>
    </w:p>
    <w:p w14:paraId="5382724B" w14:textId="77777777" w:rsidR="00254836" w:rsidRPr="002A7392" w:rsidRDefault="00254836" w:rsidP="00530360">
      <w:pPr>
        <w:pStyle w:val="ListParagraph"/>
        <w:numPr>
          <w:ilvl w:val="0"/>
          <w:numId w:val="12"/>
        </w:numPr>
        <w:spacing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Awareness of government subsidies, incentives, and financial schemes is a key factor in encouraging the adoption of rooftop solar energy systems in Mysuru. People who are informed about these benefits are more likely to invest.</w:t>
      </w:r>
    </w:p>
    <w:p w14:paraId="5382724C"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Frequent information-seeking behavior and understanding the financial relief offered by subsidies positively influence adoption decisions.</w:t>
      </w:r>
    </w:p>
    <w:p w14:paraId="5382724D"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 xml:space="preserve">Among demographic factors, higher household income significantly affects how people perceive the </w:t>
      </w:r>
      <w:r w:rsidR="00530360" w:rsidRPr="002A7392">
        <w:rPr>
          <w:rFonts w:ascii="Arial" w:eastAsia="Times New Roman" w:hAnsi="Arial" w:cs="Arial"/>
          <w:sz w:val="20"/>
          <w:szCs w:val="20"/>
        </w:rPr>
        <w:t>financial feasibility of</w:t>
      </w:r>
      <w:r w:rsidRPr="002A7392">
        <w:rPr>
          <w:rFonts w:ascii="Arial" w:eastAsia="Times New Roman" w:hAnsi="Arial" w:cs="Arial"/>
          <w:sz w:val="20"/>
          <w:szCs w:val="20"/>
        </w:rPr>
        <w:t xml:space="preserve"> rooftop solar systems. However, other factors like electricity bills or investment ability have minimal impact.</w:t>
      </w:r>
    </w:p>
    <w:p w14:paraId="5382724E"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 xml:space="preserve">The overall influence of demographic factors on </w:t>
      </w:r>
      <w:r w:rsidR="002F7D0F" w:rsidRPr="002A7392">
        <w:rPr>
          <w:rFonts w:ascii="Arial" w:eastAsia="Times New Roman" w:hAnsi="Arial" w:cs="Arial"/>
          <w:sz w:val="20"/>
          <w:szCs w:val="20"/>
        </w:rPr>
        <w:t>financial feasibility perceptions</w:t>
      </w:r>
      <w:r w:rsidRPr="002A7392">
        <w:rPr>
          <w:rFonts w:ascii="Arial" w:eastAsia="Times New Roman" w:hAnsi="Arial" w:cs="Arial"/>
          <w:sz w:val="20"/>
          <w:szCs w:val="20"/>
        </w:rPr>
        <w:t xml:space="preserve"> is limited, as the model showed weak explanatory power.</w:t>
      </w:r>
    </w:p>
    <w:p w14:paraId="5382724F"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lastRenderedPageBreak/>
        <w:t>Perceptions of long-term cost savings and return on investment (ROI) are major motivators for adoption. Many individuals see rooftop solar as a financially sound decision despite long payback periods.</w:t>
      </w:r>
    </w:p>
    <w:p w14:paraId="53827250"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Assurance of ROI within 7–10 years significantly increases the likelihood of adoption, reinforcing the importance of clear financial benefits.</w:t>
      </w:r>
    </w:p>
    <w:p w14:paraId="53827251"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High upfront costs are a major barrier to adoption. Initial installation costs, perceived expenses, and the need for substantial investments discourage many households.</w:t>
      </w:r>
    </w:p>
    <w:p w14:paraId="53827252" w14:textId="77777777" w:rsidR="00254836" w:rsidRPr="002A7392" w:rsidRDefault="00254836" w:rsidP="00254836">
      <w:pPr>
        <w:pStyle w:val="ListParagraph"/>
        <w:numPr>
          <w:ilvl w:val="0"/>
          <w:numId w:val="12"/>
        </w:numPr>
        <w:spacing w:before="100" w:beforeAutospacing="1" w:after="100" w:afterAutospacing="1" w:line="360" w:lineRule="auto"/>
        <w:ind w:left="360" w:hanging="270"/>
        <w:jc w:val="both"/>
        <w:rPr>
          <w:rFonts w:ascii="Arial" w:eastAsia="Times New Roman" w:hAnsi="Arial" w:cs="Arial"/>
          <w:sz w:val="20"/>
          <w:szCs w:val="20"/>
        </w:rPr>
      </w:pPr>
      <w:r w:rsidRPr="002A7392">
        <w:rPr>
          <w:rFonts w:ascii="Arial" w:eastAsia="Times New Roman" w:hAnsi="Arial" w:cs="Arial"/>
          <w:sz w:val="20"/>
          <w:szCs w:val="20"/>
        </w:rPr>
        <w:t xml:space="preserve">Addressing financial concerns, such as offering subsidies and reducing upfront costs, along with increasing awareness of financial incentives, can significantly boost the adoption of rooftop solar energy systems. </w:t>
      </w:r>
    </w:p>
    <w:p w14:paraId="53827253" w14:textId="77777777" w:rsidR="00254836" w:rsidRPr="00440D2F" w:rsidRDefault="00254836" w:rsidP="002D61AA">
      <w:pPr>
        <w:spacing w:after="0" w:line="360" w:lineRule="auto"/>
        <w:jc w:val="both"/>
        <w:rPr>
          <w:rFonts w:ascii="Arial" w:eastAsia="Times New Roman" w:hAnsi="Arial" w:cs="Arial"/>
          <w:b/>
          <w:bCs/>
        </w:rPr>
      </w:pPr>
      <w:r w:rsidRPr="00440D2F">
        <w:rPr>
          <w:rFonts w:ascii="Arial" w:eastAsia="Times New Roman" w:hAnsi="Arial" w:cs="Arial"/>
          <w:b/>
          <w:bCs/>
        </w:rPr>
        <w:t xml:space="preserve">SUGGESTIONS: </w:t>
      </w:r>
    </w:p>
    <w:p w14:paraId="53827254" w14:textId="77777777" w:rsidR="002D61AA" w:rsidRPr="00440D2F" w:rsidRDefault="002D61AA" w:rsidP="00FD075A">
      <w:pPr>
        <w:pStyle w:val="ListParagraph"/>
        <w:numPr>
          <w:ilvl w:val="0"/>
          <w:numId w:val="13"/>
        </w:numPr>
        <w:spacing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Conduct targeted awareness programs to educate the public about government subsidies, financial incentives, and schemes for rooftop solar energy systems. This can encourage more households to adopt these systems.</w:t>
      </w:r>
    </w:p>
    <w:p w14:paraId="53827255"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Streamline the process for availing government subsidies and incentives, making it easier for people to access financial support without bureaucratic hurdles.</w:t>
      </w:r>
    </w:p>
    <w:p w14:paraId="53827256"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Collaborate with local authorities, energy providers, and community groups to provide easily accessible and reliable information about the benefits of rooftop solar systems.</w:t>
      </w:r>
    </w:p>
    <w:p w14:paraId="53827257"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Develop financial models such as loans with low-interest rates, EMIs, or pay-as-you-save schemes to help households manage the high upfront costs associated with installation.</w:t>
      </w:r>
    </w:p>
    <w:p w14:paraId="53827258"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Clearly communicate the long-term financial benefits and return on investment of solar systems, emphasizing savings on electricity bills and the potential for payback within 7–10 years.</w:t>
      </w:r>
    </w:p>
    <w:p w14:paraId="53827259"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Focus initial adoption efforts on higher-income households, as they are more likely to perceive rooftop solar systems as financially viable. Their success stories can inspire others.</w:t>
      </w:r>
    </w:p>
    <w:p w14:paraId="5382725A" w14:textId="77777777" w:rsidR="002D61AA" w:rsidRPr="00440D2F" w:rsidRDefault="002D61AA" w:rsidP="002D61AA">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Encourage local manufacturing and innovation in solar technologies to bring down the initial installation costs, making solar systems more affordable for a broader audience.</w:t>
      </w:r>
    </w:p>
    <w:p w14:paraId="5382725D" w14:textId="20746A63" w:rsidR="002F7D0F" w:rsidRPr="00440D2F" w:rsidRDefault="002D61AA" w:rsidP="002F7D0F">
      <w:pPr>
        <w:pStyle w:val="ListParagraph"/>
        <w:numPr>
          <w:ilvl w:val="0"/>
          <w:numId w:val="13"/>
        </w:numPr>
        <w:spacing w:before="100" w:beforeAutospacing="1" w:after="100" w:afterAutospacing="1" w:line="360" w:lineRule="auto"/>
        <w:ind w:left="360" w:hanging="270"/>
        <w:jc w:val="both"/>
        <w:rPr>
          <w:rFonts w:ascii="Arial" w:eastAsia="Times New Roman" w:hAnsi="Arial" w:cs="Arial"/>
          <w:sz w:val="20"/>
          <w:szCs w:val="20"/>
        </w:rPr>
      </w:pPr>
      <w:r w:rsidRPr="00440D2F">
        <w:rPr>
          <w:rFonts w:ascii="Arial" w:eastAsia="Times New Roman" w:hAnsi="Arial" w:cs="Arial"/>
          <w:sz w:val="20"/>
          <w:szCs w:val="20"/>
        </w:rPr>
        <w:t>Design additional incentives for households that adopt rooftop solar systems early, such as rebates or performance-based rewards, to overcome resistance caused by investment concerns.</w:t>
      </w:r>
    </w:p>
    <w:p w14:paraId="5382725E" w14:textId="77777777" w:rsidR="00FD075A" w:rsidRPr="00753E60" w:rsidRDefault="009E1E0A" w:rsidP="00FD075A">
      <w:pPr>
        <w:spacing w:before="100" w:beforeAutospacing="1" w:after="0" w:line="360" w:lineRule="auto"/>
        <w:jc w:val="both"/>
        <w:rPr>
          <w:rFonts w:ascii="Arial" w:eastAsia="Times New Roman" w:hAnsi="Arial" w:cs="Arial"/>
          <w:b/>
          <w:bCs/>
        </w:rPr>
      </w:pPr>
      <w:r w:rsidRPr="00753E60">
        <w:rPr>
          <w:rFonts w:ascii="Arial" w:eastAsia="Times New Roman" w:hAnsi="Arial" w:cs="Arial"/>
          <w:b/>
          <w:bCs/>
        </w:rPr>
        <w:t xml:space="preserve">CONCLUSION: </w:t>
      </w:r>
    </w:p>
    <w:p w14:paraId="5382725F" w14:textId="77777777" w:rsidR="00FD075A" w:rsidRPr="00753E60" w:rsidRDefault="00FD075A" w:rsidP="00FD075A">
      <w:pPr>
        <w:spacing w:after="100" w:afterAutospacing="1" w:line="360" w:lineRule="auto"/>
        <w:jc w:val="both"/>
        <w:rPr>
          <w:rFonts w:ascii="Arial" w:hAnsi="Arial" w:cs="Arial"/>
          <w:sz w:val="20"/>
          <w:szCs w:val="20"/>
        </w:rPr>
      </w:pPr>
      <w:r w:rsidRPr="00753E60">
        <w:rPr>
          <w:rFonts w:ascii="Arial" w:hAnsi="Arial" w:cs="Arial"/>
          <w:sz w:val="20"/>
          <w:szCs w:val="20"/>
        </w:rPr>
        <w:t xml:space="preserve">The study highlights that awareness of government subsidies and financial incentives plays a crucial role in the adoption of rooftop solar energy systems in Mysuru. High upfront costs remain a significant barrier, although perceived long-term savings and ROI drive adoption. Household income levels influence </w:t>
      </w:r>
      <w:r w:rsidR="002F7D0F" w:rsidRPr="00753E60">
        <w:rPr>
          <w:rFonts w:ascii="Arial" w:hAnsi="Arial" w:cs="Arial"/>
          <w:sz w:val="20"/>
          <w:szCs w:val="20"/>
        </w:rPr>
        <w:t>financial feasibility perceptions</w:t>
      </w:r>
      <w:r w:rsidRPr="00753E60">
        <w:rPr>
          <w:rFonts w:ascii="Arial" w:hAnsi="Arial" w:cs="Arial"/>
          <w:sz w:val="20"/>
          <w:szCs w:val="20"/>
        </w:rPr>
        <w:t>, with higher-income households more likely to adopt solar systems. Effective communication, simplified access to financial incentives, and reduced installation costs can significantly increase adoption rates. Addressing these factors can promote wider adoption of sustainable energy solutions in urban areas.</w:t>
      </w:r>
    </w:p>
    <w:p w14:paraId="53827260" w14:textId="77777777" w:rsidR="009E1E0A" w:rsidRPr="00753E60" w:rsidRDefault="009E1E0A" w:rsidP="004A6AD7">
      <w:pPr>
        <w:spacing w:after="0" w:line="360" w:lineRule="auto"/>
        <w:jc w:val="both"/>
        <w:rPr>
          <w:rFonts w:ascii="Arial" w:hAnsi="Arial" w:cs="Arial"/>
          <w:b/>
          <w:bCs/>
        </w:rPr>
      </w:pPr>
      <w:r w:rsidRPr="00753E60">
        <w:rPr>
          <w:rFonts w:ascii="Arial" w:hAnsi="Arial" w:cs="Arial"/>
          <w:b/>
          <w:bCs/>
        </w:rPr>
        <w:t xml:space="preserve">LIMITATIONS OF THE STUDY: </w:t>
      </w:r>
    </w:p>
    <w:p w14:paraId="53827261" w14:textId="77777777" w:rsidR="009E1E0A" w:rsidRPr="00753E60" w:rsidRDefault="009E1E0A" w:rsidP="002F7D0F">
      <w:pPr>
        <w:pStyle w:val="ListParagraph"/>
        <w:numPr>
          <w:ilvl w:val="0"/>
          <w:numId w:val="10"/>
        </w:numPr>
        <w:tabs>
          <w:tab w:val="clear" w:pos="720"/>
          <w:tab w:val="num" w:pos="270"/>
        </w:tabs>
        <w:spacing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lastRenderedPageBreak/>
        <w:t>The study focuses solely on urban households in Mysuru, which may not be representative of other regions in India or rural areas where adoption barriers and perceptions may differ.</w:t>
      </w:r>
    </w:p>
    <w:p w14:paraId="53827262" w14:textId="77777777" w:rsidR="009E1E0A" w:rsidRPr="00753E60" w:rsidRDefault="009E1E0A" w:rsidP="004A6AD7">
      <w:pPr>
        <w:pStyle w:val="ListParagraph"/>
        <w:numPr>
          <w:ilvl w:val="0"/>
          <w:numId w:val="10"/>
        </w:numPr>
        <w:tabs>
          <w:tab w:val="clear" w:pos="720"/>
          <w:tab w:val="num" w:pos="270"/>
        </w:tabs>
        <w:spacing w:before="100" w:beforeAutospacing="1"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t>The study uses a sample size of 80 households, which may not be large enough to fully capture the diversity of opinions and adoption behaviors across the broader population of Mysuru.</w:t>
      </w:r>
    </w:p>
    <w:p w14:paraId="53827263" w14:textId="77777777" w:rsidR="009E1E0A" w:rsidRPr="00753E60" w:rsidRDefault="009E1E0A" w:rsidP="004A6AD7">
      <w:pPr>
        <w:pStyle w:val="ListParagraph"/>
        <w:numPr>
          <w:ilvl w:val="0"/>
          <w:numId w:val="10"/>
        </w:numPr>
        <w:tabs>
          <w:tab w:val="clear" w:pos="720"/>
          <w:tab w:val="num" w:pos="270"/>
        </w:tabs>
        <w:spacing w:before="100" w:beforeAutospacing="1"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t>The study primarily addresses the financial aspects of rooftop solar adoption, excluding other potential factors such as environmental awareness, government policies, and technological infrastructure, which may also influence adoption decisions.</w:t>
      </w:r>
    </w:p>
    <w:p w14:paraId="53827264" w14:textId="77777777" w:rsidR="009E1E0A" w:rsidRPr="00753E60" w:rsidRDefault="009E1E0A" w:rsidP="004A6AD7">
      <w:pPr>
        <w:pStyle w:val="ListParagraph"/>
        <w:numPr>
          <w:ilvl w:val="0"/>
          <w:numId w:val="10"/>
        </w:numPr>
        <w:tabs>
          <w:tab w:val="clear" w:pos="720"/>
          <w:tab w:val="num" w:pos="270"/>
        </w:tabs>
        <w:spacing w:before="100" w:beforeAutospacing="1" w:after="100" w:afterAutospacing="1" w:line="360" w:lineRule="auto"/>
        <w:ind w:left="270" w:hanging="270"/>
        <w:jc w:val="both"/>
        <w:rPr>
          <w:rFonts w:ascii="Arial" w:eastAsia="Times New Roman" w:hAnsi="Arial" w:cs="Arial"/>
          <w:sz w:val="20"/>
          <w:szCs w:val="20"/>
        </w:rPr>
      </w:pPr>
      <w:r w:rsidRPr="00753E60">
        <w:rPr>
          <w:rFonts w:ascii="Arial" w:eastAsia="Times New Roman" w:hAnsi="Arial" w:cs="Arial"/>
          <w:sz w:val="20"/>
          <w:szCs w:val="20"/>
        </w:rPr>
        <w:t>The study captures data at a specific point in time and does not account for long-term shifts in perceptions or the evolving policy landscape regarding renewable energy adoption</w:t>
      </w:r>
      <w:r w:rsidR="004A6AD7" w:rsidRPr="00753E60">
        <w:rPr>
          <w:rFonts w:ascii="Arial" w:eastAsia="Times New Roman" w:hAnsi="Arial" w:cs="Arial"/>
          <w:sz w:val="20"/>
          <w:szCs w:val="20"/>
        </w:rPr>
        <w:t>.</w:t>
      </w:r>
    </w:p>
    <w:p w14:paraId="53827265" w14:textId="77777777" w:rsidR="009E1E0A" w:rsidRDefault="004A6AD7" w:rsidP="002F7D0F">
      <w:pPr>
        <w:tabs>
          <w:tab w:val="num" w:pos="270"/>
        </w:tabs>
        <w:spacing w:before="100" w:beforeAutospacing="1" w:after="0" w:line="360" w:lineRule="auto"/>
        <w:jc w:val="both"/>
        <w:rPr>
          <w:rFonts w:ascii="Arial" w:eastAsia="Times New Roman" w:hAnsi="Arial" w:cs="Arial"/>
          <w:b/>
          <w:bCs/>
        </w:rPr>
      </w:pPr>
      <w:r w:rsidRPr="00753E60">
        <w:rPr>
          <w:rFonts w:ascii="Arial" w:eastAsia="Times New Roman" w:hAnsi="Arial" w:cs="Arial"/>
          <w:b/>
          <w:bCs/>
        </w:rPr>
        <w:t xml:space="preserve">References and Bibliography: </w:t>
      </w:r>
    </w:p>
    <w:p w14:paraId="18BB9447" w14:textId="28D6762F" w:rsidR="0038386C" w:rsidRPr="00D567E3" w:rsidRDefault="0038386C" w:rsidP="00D567E3">
      <w:pPr>
        <w:pStyle w:val="ListParagraph"/>
        <w:numPr>
          <w:ilvl w:val="0"/>
          <w:numId w:val="16"/>
        </w:numPr>
        <w:tabs>
          <w:tab w:val="num" w:pos="270"/>
        </w:tabs>
        <w:spacing w:before="100" w:beforeAutospacing="1" w:after="0" w:line="360" w:lineRule="auto"/>
        <w:rPr>
          <w:rFonts w:ascii="Arial" w:eastAsia="Times New Roman" w:hAnsi="Arial" w:cs="Arial"/>
          <w:sz w:val="20"/>
          <w:szCs w:val="20"/>
          <w:lang w:val="en-IN"/>
        </w:rPr>
      </w:pPr>
      <w:r w:rsidRPr="00D567E3">
        <w:rPr>
          <w:rFonts w:ascii="Arial" w:eastAsia="Times New Roman" w:hAnsi="Arial" w:cs="Arial"/>
          <w:sz w:val="20"/>
          <w:szCs w:val="20"/>
          <w:lang w:val="en-IN"/>
        </w:rPr>
        <w:t xml:space="preserve">Parida, B., Iniyan, S., &amp; </w:t>
      </w:r>
      <w:proofErr w:type="spellStart"/>
      <w:r w:rsidRPr="00D567E3">
        <w:rPr>
          <w:rFonts w:ascii="Arial" w:eastAsia="Times New Roman" w:hAnsi="Arial" w:cs="Arial"/>
          <w:sz w:val="20"/>
          <w:szCs w:val="20"/>
          <w:lang w:val="en-IN"/>
        </w:rPr>
        <w:t>Goic</w:t>
      </w:r>
      <w:proofErr w:type="spellEnd"/>
      <w:r w:rsidRPr="00D567E3">
        <w:rPr>
          <w:rFonts w:ascii="Arial" w:eastAsia="Times New Roman" w:hAnsi="Arial" w:cs="Arial"/>
          <w:sz w:val="20"/>
          <w:szCs w:val="20"/>
          <w:lang w:val="en-IN"/>
        </w:rPr>
        <w:t xml:space="preserve">, R. (2011). A review of solar photovoltaic technologies. </w:t>
      </w:r>
      <w:r w:rsidRPr="00D567E3">
        <w:rPr>
          <w:rFonts w:ascii="Arial" w:eastAsia="Times New Roman" w:hAnsi="Arial" w:cs="Arial"/>
          <w:i/>
          <w:iCs/>
          <w:sz w:val="20"/>
          <w:szCs w:val="20"/>
          <w:lang w:val="en-IN"/>
        </w:rPr>
        <w:t>Renewable and Sustainable Energy Reviews, 15</w:t>
      </w:r>
      <w:r w:rsidRPr="00D567E3">
        <w:rPr>
          <w:rFonts w:ascii="Arial" w:eastAsia="Times New Roman" w:hAnsi="Arial" w:cs="Arial"/>
          <w:sz w:val="20"/>
          <w:szCs w:val="20"/>
          <w:lang w:val="en-IN"/>
        </w:rPr>
        <w:t>(3), 1625–1636.</w:t>
      </w:r>
      <w:r w:rsidRPr="00D567E3">
        <w:rPr>
          <w:rFonts w:ascii="Arial" w:eastAsia="Times New Roman" w:hAnsi="Arial" w:cs="Arial"/>
          <w:sz w:val="20"/>
          <w:szCs w:val="20"/>
          <w:lang w:val="en-IN"/>
        </w:rPr>
        <w:br/>
      </w:r>
      <w:hyperlink r:id="rId7" w:history="1">
        <w:r w:rsidR="00AA4890" w:rsidRPr="00D567E3">
          <w:rPr>
            <w:rStyle w:val="Hyperlink"/>
            <w:rFonts w:ascii="Arial" w:eastAsia="Times New Roman" w:hAnsi="Arial" w:cs="Arial"/>
            <w:sz w:val="20"/>
            <w:szCs w:val="20"/>
            <w:lang w:val="en-IN"/>
          </w:rPr>
          <w:t>https://doi.org/10.1016/j.rser.2010.11.032</w:t>
        </w:r>
      </w:hyperlink>
      <w:r w:rsidR="00AA4890" w:rsidRPr="00D567E3">
        <w:rPr>
          <w:rFonts w:ascii="Arial" w:eastAsia="Times New Roman" w:hAnsi="Arial" w:cs="Arial"/>
          <w:sz w:val="20"/>
          <w:szCs w:val="20"/>
          <w:lang w:val="en-IN"/>
        </w:rPr>
        <w:t xml:space="preserve"> </w:t>
      </w:r>
    </w:p>
    <w:p w14:paraId="6F341A98" w14:textId="560FC22E" w:rsidR="0038386C" w:rsidRPr="00D567E3" w:rsidRDefault="0038386C" w:rsidP="00D567E3">
      <w:pPr>
        <w:pStyle w:val="ListParagraph"/>
        <w:numPr>
          <w:ilvl w:val="0"/>
          <w:numId w:val="16"/>
        </w:numPr>
        <w:tabs>
          <w:tab w:val="num" w:pos="270"/>
        </w:tabs>
        <w:spacing w:before="100" w:beforeAutospacing="1" w:after="0" w:line="360" w:lineRule="auto"/>
        <w:jc w:val="both"/>
        <w:rPr>
          <w:rFonts w:ascii="Arial" w:eastAsia="Times New Roman" w:hAnsi="Arial" w:cs="Arial"/>
          <w:sz w:val="20"/>
          <w:szCs w:val="20"/>
          <w:lang w:val="en-IN"/>
        </w:rPr>
      </w:pPr>
      <w:r w:rsidRPr="00D567E3">
        <w:rPr>
          <w:rFonts w:ascii="Arial" w:eastAsia="Times New Roman" w:hAnsi="Arial" w:cs="Arial"/>
          <w:sz w:val="20"/>
          <w:szCs w:val="20"/>
          <w:lang w:val="en-IN"/>
        </w:rPr>
        <w:t xml:space="preserve">Kumar, A., Kumar, K., Kaushik, N., Sharma, S., &amp; Mishra, S. (2010). Renewable energy in India: Current status and future potentials. </w:t>
      </w:r>
      <w:r w:rsidRPr="00D567E3">
        <w:rPr>
          <w:rFonts w:ascii="Arial" w:eastAsia="Times New Roman" w:hAnsi="Arial" w:cs="Arial"/>
          <w:i/>
          <w:iCs/>
          <w:sz w:val="20"/>
          <w:szCs w:val="20"/>
          <w:lang w:val="en-IN"/>
        </w:rPr>
        <w:t>Renewable and Sustainable Energy Reviews, 14</w:t>
      </w:r>
      <w:r w:rsidRPr="00D567E3">
        <w:rPr>
          <w:rFonts w:ascii="Arial" w:eastAsia="Times New Roman" w:hAnsi="Arial" w:cs="Arial"/>
          <w:sz w:val="20"/>
          <w:szCs w:val="20"/>
          <w:lang w:val="en-IN"/>
        </w:rPr>
        <w:t>(8), 2434–2442.</w:t>
      </w:r>
      <w:r w:rsidRPr="00D567E3">
        <w:rPr>
          <w:rFonts w:ascii="Arial" w:eastAsia="Times New Roman" w:hAnsi="Arial" w:cs="Arial"/>
          <w:sz w:val="20"/>
          <w:szCs w:val="20"/>
          <w:lang w:val="en-IN"/>
        </w:rPr>
        <w:br/>
      </w:r>
      <w:hyperlink r:id="rId8" w:history="1">
        <w:r w:rsidR="00AA4890" w:rsidRPr="00D567E3">
          <w:rPr>
            <w:rStyle w:val="Hyperlink"/>
            <w:rFonts w:ascii="Arial" w:eastAsia="Times New Roman" w:hAnsi="Arial" w:cs="Arial"/>
            <w:sz w:val="20"/>
            <w:szCs w:val="20"/>
            <w:lang w:val="en-IN"/>
          </w:rPr>
          <w:t>https://doi.org/10.1016/j.rser.2010.04.003</w:t>
        </w:r>
      </w:hyperlink>
      <w:r w:rsidR="00AA4890" w:rsidRPr="00D567E3">
        <w:rPr>
          <w:rFonts w:ascii="Arial" w:eastAsia="Times New Roman" w:hAnsi="Arial" w:cs="Arial"/>
          <w:sz w:val="20"/>
          <w:szCs w:val="20"/>
          <w:lang w:val="en-IN"/>
        </w:rPr>
        <w:t xml:space="preserve"> </w:t>
      </w:r>
    </w:p>
    <w:p w14:paraId="20C2DB5A" w14:textId="0CDBCDA4" w:rsidR="0055417E" w:rsidRPr="00D567E3" w:rsidRDefault="0055417E" w:rsidP="00B7784F">
      <w:pPr>
        <w:pStyle w:val="ListParagraph"/>
        <w:numPr>
          <w:ilvl w:val="0"/>
          <w:numId w:val="16"/>
        </w:numPr>
        <w:tabs>
          <w:tab w:val="num" w:pos="270"/>
        </w:tabs>
        <w:spacing w:before="100" w:beforeAutospacing="1" w:after="0" w:line="360" w:lineRule="auto"/>
        <w:rPr>
          <w:rFonts w:ascii="Arial" w:eastAsia="Times New Roman" w:hAnsi="Arial" w:cs="Arial"/>
          <w:sz w:val="20"/>
          <w:szCs w:val="20"/>
          <w:lang w:val="en-IN"/>
        </w:rPr>
      </w:pPr>
      <w:r w:rsidRPr="00D567E3">
        <w:rPr>
          <w:rFonts w:ascii="Arial" w:eastAsia="Times New Roman" w:hAnsi="Arial" w:cs="Arial"/>
          <w:sz w:val="20"/>
          <w:szCs w:val="20"/>
          <w:lang w:val="en-IN"/>
        </w:rPr>
        <w:t xml:space="preserve">Bhattacharyya, S. C. (2012). Energy access programmes and sustainable development: A critical review. </w:t>
      </w:r>
      <w:r w:rsidRPr="00D567E3">
        <w:rPr>
          <w:rFonts w:ascii="Arial" w:eastAsia="Times New Roman" w:hAnsi="Arial" w:cs="Arial"/>
          <w:i/>
          <w:iCs/>
          <w:sz w:val="20"/>
          <w:szCs w:val="20"/>
          <w:lang w:val="en-IN"/>
        </w:rPr>
        <w:t>Energy for Sustainable Development, 16</w:t>
      </w:r>
      <w:r w:rsidRPr="00D567E3">
        <w:rPr>
          <w:rFonts w:ascii="Arial" w:eastAsia="Times New Roman" w:hAnsi="Arial" w:cs="Arial"/>
          <w:sz w:val="20"/>
          <w:szCs w:val="20"/>
          <w:lang w:val="en-IN"/>
        </w:rPr>
        <w:t>(3), 260–271.</w:t>
      </w:r>
      <w:r w:rsidRPr="00D567E3">
        <w:rPr>
          <w:rFonts w:ascii="Arial" w:eastAsia="Times New Roman" w:hAnsi="Arial" w:cs="Arial"/>
          <w:sz w:val="20"/>
          <w:szCs w:val="20"/>
          <w:lang w:val="en-IN"/>
        </w:rPr>
        <w:br/>
      </w:r>
      <w:hyperlink r:id="rId9" w:history="1">
        <w:r w:rsidR="00AE32A3" w:rsidRPr="00D567E3">
          <w:rPr>
            <w:rStyle w:val="Hyperlink"/>
            <w:rFonts w:ascii="Arial" w:eastAsia="Times New Roman" w:hAnsi="Arial" w:cs="Arial"/>
            <w:sz w:val="20"/>
            <w:szCs w:val="20"/>
            <w:lang w:val="en-IN"/>
          </w:rPr>
          <w:t>https://doi.org/10.1016/j.esd.2012.05.002</w:t>
        </w:r>
      </w:hyperlink>
      <w:r w:rsidR="00AE32A3" w:rsidRPr="00D567E3">
        <w:rPr>
          <w:rFonts w:ascii="Arial" w:eastAsia="Times New Roman" w:hAnsi="Arial" w:cs="Arial"/>
          <w:sz w:val="20"/>
          <w:szCs w:val="20"/>
          <w:lang w:val="en-IN"/>
        </w:rPr>
        <w:t xml:space="preserve"> </w:t>
      </w:r>
    </w:p>
    <w:p w14:paraId="577EE9DB" w14:textId="18A4AFC0" w:rsidR="007366DD" w:rsidRDefault="002203B6" w:rsidP="00D567E3">
      <w:pPr>
        <w:pStyle w:val="ListParagraph"/>
        <w:numPr>
          <w:ilvl w:val="0"/>
          <w:numId w:val="16"/>
        </w:numPr>
        <w:tabs>
          <w:tab w:val="num" w:pos="270"/>
        </w:tabs>
        <w:spacing w:before="100" w:beforeAutospacing="1" w:after="0" w:line="360" w:lineRule="auto"/>
        <w:rPr>
          <w:rFonts w:ascii="Arial" w:eastAsia="Times New Roman" w:hAnsi="Arial" w:cs="Arial"/>
          <w:sz w:val="20"/>
          <w:szCs w:val="20"/>
        </w:rPr>
      </w:pPr>
      <w:r w:rsidRPr="00D567E3">
        <w:rPr>
          <w:rFonts w:ascii="Arial" w:eastAsia="Times New Roman" w:hAnsi="Arial" w:cs="Arial"/>
          <w:sz w:val="20"/>
          <w:szCs w:val="20"/>
        </w:rPr>
        <w:t xml:space="preserve">Hiremath, R. B., Shikha, S., &amp; Ravindranath, N. H. (2007). Decentralized energy planning based on renewable energy sources: Indian scenario. </w:t>
      </w:r>
      <w:r w:rsidRPr="00D567E3">
        <w:rPr>
          <w:rFonts w:ascii="Arial" w:eastAsia="Times New Roman" w:hAnsi="Arial" w:cs="Arial"/>
          <w:i/>
          <w:iCs/>
          <w:sz w:val="20"/>
          <w:szCs w:val="20"/>
        </w:rPr>
        <w:t>Renewable and Sustainable Energy Reviews, 11</w:t>
      </w:r>
      <w:r w:rsidRPr="00D567E3">
        <w:rPr>
          <w:rFonts w:ascii="Arial" w:eastAsia="Times New Roman" w:hAnsi="Arial" w:cs="Arial"/>
          <w:sz w:val="20"/>
          <w:szCs w:val="20"/>
        </w:rPr>
        <w:t>(5), 729–752.</w:t>
      </w:r>
      <w:r w:rsidRPr="00D567E3">
        <w:rPr>
          <w:rFonts w:ascii="Arial" w:eastAsia="Times New Roman" w:hAnsi="Arial" w:cs="Arial"/>
          <w:sz w:val="20"/>
          <w:szCs w:val="20"/>
        </w:rPr>
        <w:br/>
      </w:r>
      <w:hyperlink r:id="rId10" w:history="1">
        <w:r w:rsidR="00ED0613" w:rsidRPr="00D567E3">
          <w:rPr>
            <w:rStyle w:val="Hyperlink"/>
            <w:rFonts w:ascii="Arial" w:eastAsia="Times New Roman" w:hAnsi="Arial" w:cs="Arial"/>
            <w:sz w:val="20"/>
            <w:szCs w:val="20"/>
          </w:rPr>
          <w:t>https://doi.org/10.1016/j.rser.2005.07.005</w:t>
        </w:r>
      </w:hyperlink>
      <w:r w:rsidR="00ED0613" w:rsidRPr="00D567E3">
        <w:rPr>
          <w:rFonts w:ascii="Arial" w:eastAsia="Times New Roman" w:hAnsi="Arial" w:cs="Arial"/>
          <w:sz w:val="20"/>
          <w:szCs w:val="20"/>
        </w:rPr>
        <w:t xml:space="preserve"> </w:t>
      </w:r>
    </w:p>
    <w:p w14:paraId="2473F4D2" w14:textId="1EB6113C" w:rsidR="00D92DA1" w:rsidRDefault="00BA1898" w:rsidP="00D92DA1">
      <w:pPr>
        <w:pStyle w:val="ListParagraph"/>
        <w:numPr>
          <w:ilvl w:val="0"/>
          <w:numId w:val="16"/>
        </w:numPr>
        <w:tabs>
          <w:tab w:val="num" w:pos="270"/>
        </w:tabs>
        <w:spacing w:before="100" w:beforeAutospacing="1" w:after="0" w:line="360" w:lineRule="auto"/>
        <w:rPr>
          <w:rFonts w:ascii="Arial" w:eastAsia="Times New Roman" w:hAnsi="Arial" w:cs="Arial"/>
          <w:sz w:val="20"/>
          <w:szCs w:val="20"/>
        </w:rPr>
      </w:pPr>
      <w:r w:rsidRPr="00D92DA1">
        <w:rPr>
          <w:rFonts w:ascii="Arial" w:eastAsia="Times New Roman" w:hAnsi="Arial" w:cs="Arial"/>
          <w:sz w:val="20"/>
          <w:szCs w:val="20"/>
        </w:rPr>
        <w:t xml:space="preserve">Mondal, A. H., &amp; Klein, D. (2011). </w:t>
      </w:r>
      <w:r w:rsidRPr="00D92DA1">
        <w:rPr>
          <w:rFonts w:ascii="Arial" w:eastAsia="Times New Roman" w:hAnsi="Arial" w:cs="Arial"/>
          <w:i/>
          <w:iCs/>
          <w:sz w:val="20"/>
          <w:szCs w:val="20"/>
        </w:rPr>
        <w:t>Impacts of Solar Home Systems on Social Development in Rural Bangladesh</w:t>
      </w:r>
      <w:r w:rsidRPr="00D92DA1">
        <w:rPr>
          <w:rFonts w:ascii="Arial" w:eastAsia="Times New Roman" w:hAnsi="Arial" w:cs="Arial"/>
          <w:sz w:val="20"/>
          <w:szCs w:val="20"/>
        </w:rPr>
        <w:t xml:space="preserve">. </w:t>
      </w:r>
      <w:r w:rsidRPr="00D92DA1">
        <w:rPr>
          <w:rFonts w:ascii="Arial" w:eastAsia="Times New Roman" w:hAnsi="Arial" w:cs="Arial"/>
          <w:i/>
          <w:iCs/>
          <w:sz w:val="20"/>
          <w:szCs w:val="20"/>
        </w:rPr>
        <w:t>Energy for Sustainable Development, 15</w:t>
      </w:r>
      <w:r w:rsidRPr="00D92DA1">
        <w:rPr>
          <w:rFonts w:ascii="Arial" w:eastAsia="Times New Roman" w:hAnsi="Arial" w:cs="Arial"/>
          <w:sz w:val="20"/>
          <w:szCs w:val="20"/>
        </w:rPr>
        <w:t xml:space="preserve">(1), 17–20. </w:t>
      </w:r>
      <w:hyperlink r:id="rId11" w:history="1">
        <w:r w:rsidR="00D92DA1" w:rsidRPr="00A75000">
          <w:rPr>
            <w:rStyle w:val="Hyperlink"/>
            <w:rFonts w:ascii="Arial" w:eastAsia="Times New Roman" w:hAnsi="Arial" w:cs="Arial"/>
            <w:sz w:val="20"/>
            <w:szCs w:val="20"/>
          </w:rPr>
          <w:t>https://doi.org/10.1016/j.esd.2010.11.004</w:t>
        </w:r>
      </w:hyperlink>
      <w:r w:rsidR="00D92DA1">
        <w:rPr>
          <w:rFonts w:ascii="Arial" w:eastAsia="Times New Roman" w:hAnsi="Arial" w:cs="Arial"/>
          <w:sz w:val="20"/>
          <w:szCs w:val="20"/>
        </w:rPr>
        <w:t xml:space="preserve"> </w:t>
      </w:r>
    </w:p>
    <w:p w14:paraId="57C34078" w14:textId="47A4A11E" w:rsidR="007863E0" w:rsidRPr="007863E0" w:rsidRDefault="00A72184" w:rsidP="007863E0">
      <w:pPr>
        <w:pStyle w:val="ListParagraph"/>
        <w:numPr>
          <w:ilvl w:val="0"/>
          <w:numId w:val="16"/>
        </w:numPr>
        <w:tabs>
          <w:tab w:val="num" w:pos="270"/>
        </w:tabs>
        <w:spacing w:before="100" w:beforeAutospacing="1" w:after="0" w:line="360" w:lineRule="auto"/>
        <w:rPr>
          <w:rFonts w:ascii="Arial" w:eastAsia="Times New Roman" w:hAnsi="Arial" w:cs="Arial"/>
          <w:sz w:val="20"/>
          <w:szCs w:val="20"/>
        </w:rPr>
      </w:pPr>
      <w:r w:rsidRPr="00A72184">
        <w:rPr>
          <w:rFonts w:ascii="Arial" w:eastAsia="Times New Roman" w:hAnsi="Arial" w:cs="Arial"/>
          <w:sz w:val="20"/>
          <w:szCs w:val="20"/>
        </w:rPr>
        <w:t xml:space="preserve">Kabir, E., Kim, K.-H., &amp; Szulejko, J. E. (2017). </w:t>
      </w:r>
      <w:r w:rsidRPr="00A72184">
        <w:rPr>
          <w:rFonts w:ascii="Arial" w:eastAsia="Times New Roman" w:hAnsi="Arial" w:cs="Arial"/>
          <w:i/>
          <w:iCs/>
          <w:sz w:val="20"/>
          <w:szCs w:val="20"/>
        </w:rPr>
        <w:t>Social impacts of solar home systems in rural areas: A case study in Bangladesh</w:t>
      </w:r>
      <w:r w:rsidRPr="00A72184">
        <w:rPr>
          <w:rFonts w:ascii="Arial" w:eastAsia="Times New Roman" w:hAnsi="Arial" w:cs="Arial"/>
          <w:sz w:val="20"/>
          <w:szCs w:val="20"/>
        </w:rPr>
        <w:t xml:space="preserve">. </w:t>
      </w:r>
      <w:r w:rsidRPr="00A72184">
        <w:rPr>
          <w:rFonts w:ascii="Arial" w:eastAsia="Times New Roman" w:hAnsi="Arial" w:cs="Arial"/>
          <w:i/>
          <w:iCs/>
          <w:sz w:val="20"/>
          <w:szCs w:val="20"/>
        </w:rPr>
        <w:t>Energies, 10</w:t>
      </w:r>
      <w:r w:rsidRPr="00A72184">
        <w:rPr>
          <w:rFonts w:ascii="Arial" w:eastAsia="Times New Roman" w:hAnsi="Arial" w:cs="Arial"/>
          <w:sz w:val="20"/>
          <w:szCs w:val="20"/>
        </w:rPr>
        <w:t xml:space="preserve">(10), 1615. </w:t>
      </w:r>
      <w:hyperlink r:id="rId12" w:tgtFrame="_new" w:history="1">
        <w:r w:rsidRPr="00A72184">
          <w:rPr>
            <w:rStyle w:val="Hyperlink"/>
            <w:rFonts w:ascii="Arial" w:eastAsia="Times New Roman" w:hAnsi="Arial" w:cs="Arial"/>
            <w:sz w:val="20"/>
            <w:szCs w:val="20"/>
          </w:rPr>
          <w:t>https://doi.org/10.3390/en10101615</w:t>
        </w:r>
      </w:hyperlink>
    </w:p>
    <w:p w14:paraId="0087AD65" w14:textId="77777777" w:rsidR="00D92DA1" w:rsidRPr="00D92DA1" w:rsidRDefault="00D92DA1" w:rsidP="00D92DA1">
      <w:pPr>
        <w:tabs>
          <w:tab w:val="num" w:pos="270"/>
        </w:tabs>
        <w:spacing w:before="100" w:beforeAutospacing="1" w:after="0" w:line="360" w:lineRule="auto"/>
        <w:rPr>
          <w:rFonts w:ascii="Arial" w:eastAsia="Times New Roman" w:hAnsi="Arial" w:cs="Arial"/>
          <w:sz w:val="20"/>
          <w:szCs w:val="20"/>
        </w:rPr>
      </w:pPr>
    </w:p>
    <w:p w14:paraId="1BED833D" w14:textId="07E87A9D" w:rsidR="00571E64" w:rsidRPr="00483A31" w:rsidRDefault="00483A31" w:rsidP="00483A31">
      <w:pPr>
        <w:pStyle w:val="ListParagraph"/>
        <w:numPr>
          <w:ilvl w:val="0"/>
          <w:numId w:val="16"/>
        </w:numPr>
        <w:tabs>
          <w:tab w:val="num" w:pos="270"/>
        </w:tabs>
        <w:spacing w:before="100" w:beforeAutospacing="1" w:after="0" w:line="360" w:lineRule="auto"/>
        <w:rPr>
          <w:rFonts w:ascii="Arial" w:eastAsia="Times New Roman" w:hAnsi="Arial" w:cs="Arial"/>
          <w:sz w:val="20"/>
          <w:szCs w:val="20"/>
        </w:rPr>
      </w:pPr>
      <w:r w:rsidRPr="00483A31">
        <w:rPr>
          <w:rFonts w:ascii="Arial" w:eastAsia="Times New Roman" w:hAnsi="Arial" w:cs="Arial"/>
          <w:sz w:val="20"/>
          <w:szCs w:val="20"/>
        </w:rPr>
        <w:t xml:space="preserve">MNRE. (2023). Annual Report: Rooftop Solar </w:t>
      </w:r>
      <w:proofErr w:type="spellStart"/>
      <w:r w:rsidRPr="00483A31">
        <w:rPr>
          <w:rFonts w:ascii="Arial" w:eastAsia="Times New Roman" w:hAnsi="Arial" w:cs="Arial"/>
          <w:sz w:val="20"/>
          <w:szCs w:val="20"/>
        </w:rPr>
        <w:t>Programme</w:t>
      </w:r>
      <w:proofErr w:type="spellEnd"/>
      <w:r w:rsidRPr="00483A31">
        <w:rPr>
          <w:rFonts w:ascii="Arial" w:eastAsia="Times New Roman" w:hAnsi="Arial" w:cs="Arial"/>
          <w:sz w:val="20"/>
          <w:szCs w:val="20"/>
        </w:rPr>
        <w:t xml:space="preserve"> Phase-II. </w:t>
      </w:r>
      <w:r w:rsidRPr="00483A31">
        <w:rPr>
          <w:rFonts w:ascii="Arial" w:eastAsia="Times New Roman" w:hAnsi="Arial" w:cs="Arial"/>
          <w:i/>
          <w:iCs/>
          <w:sz w:val="20"/>
          <w:szCs w:val="20"/>
        </w:rPr>
        <w:t>Ministry of New and Renewable Energy, Government of India.</w:t>
      </w:r>
      <w:r w:rsidRPr="00483A31">
        <w:rPr>
          <w:rFonts w:ascii="Arial" w:eastAsia="Times New Roman" w:hAnsi="Arial" w:cs="Arial"/>
          <w:sz w:val="20"/>
          <w:szCs w:val="20"/>
        </w:rPr>
        <w:br/>
      </w:r>
      <w:hyperlink r:id="rId13" w:tgtFrame="_new" w:history="1">
        <w:r w:rsidRPr="00483A31">
          <w:rPr>
            <w:rStyle w:val="Hyperlink"/>
            <w:rFonts w:ascii="Arial" w:eastAsia="Times New Roman" w:hAnsi="Arial" w:cs="Arial"/>
            <w:sz w:val="20"/>
            <w:szCs w:val="20"/>
          </w:rPr>
          <w:t>https://mnre.gov.in</w:t>
        </w:r>
      </w:hyperlink>
    </w:p>
    <w:p w14:paraId="53827313" w14:textId="54FDD160" w:rsidR="00D43AE3" w:rsidRPr="00513CF3" w:rsidRDefault="00B24256" w:rsidP="00BC4626">
      <w:pPr>
        <w:pStyle w:val="NormalWeb"/>
        <w:numPr>
          <w:ilvl w:val="0"/>
          <w:numId w:val="16"/>
        </w:numPr>
        <w:spacing w:line="360" w:lineRule="auto"/>
        <w:rPr>
          <w:rFonts w:ascii="Arial" w:hAnsi="Arial" w:cs="Arial"/>
          <w:sz w:val="20"/>
          <w:szCs w:val="20"/>
        </w:rPr>
      </w:pPr>
      <w:r w:rsidRPr="00B24256">
        <w:rPr>
          <w:rFonts w:ascii="Arial" w:hAnsi="Arial" w:cs="Arial"/>
          <w:sz w:val="20"/>
          <w:szCs w:val="20"/>
        </w:rPr>
        <w:t xml:space="preserve">IEA. (2022). India Energy Outlook 2022. </w:t>
      </w:r>
      <w:r w:rsidRPr="00B24256">
        <w:rPr>
          <w:rFonts w:ascii="Arial" w:hAnsi="Arial" w:cs="Arial"/>
          <w:i/>
          <w:iCs/>
          <w:sz w:val="20"/>
          <w:szCs w:val="20"/>
        </w:rPr>
        <w:t>International Energy Agency.</w:t>
      </w:r>
      <w:r w:rsidRPr="00B24256">
        <w:rPr>
          <w:rFonts w:ascii="Arial" w:hAnsi="Arial" w:cs="Arial"/>
          <w:sz w:val="20"/>
          <w:szCs w:val="20"/>
        </w:rPr>
        <w:br/>
      </w:r>
      <w:hyperlink r:id="rId14" w:history="1">
        <w:r w:rsidR="00483A31" w:rsidRPr="00A75000">
          <w:rPr>
            <w:rStyle w:val="Hyperlink"/>
            <w:rFonts w:ascii="Arial" w:hAnsi="Arial" w:cs="Arial"/>
            <w:sz w:val="20"/>
            <w:szCs w:val="20"/>
          </w:rPr>
          <w:t>https://www.iea.org/reports/india-energy-outlook-2022</w:t>
        </w:r>
      </w:hyperlink>
      <w:r w:rsidR="00483A31">
        <w:rPr>
          <w:rFonts w:ascii="Arial" w:hAnsi="Arial" w:cs="Arial"/>
          <w:sz w:val="20"/>
          <w:szCs w:val="20"/>
        </w:rPr>
        <w:t xml:space="preserve"> </w:t>
      </w:r>
      <w:r w:rsidRPr="00B24256">
        <w:rPr>
          <w:rFonts w:ascii="Arial" w:hAnsi="Arial" w:cs="Arial"/>
          <w:sz w:val="20"/>
          <w:szCs w:val="20"/>
        </w:rPr>
        <w:br/>
      </w:r>
    </w:p>
    <w:sectPr w:rsidR="00D43AE3" w:rsidRPr="00513CF3" w:rsidSect="00D05D4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0286" w14:textId="77777777" w:rsidR="00366D80" w:rsidRDefault="00366D80" w:rsidP="00D522EB">
      <w:pPr>
        <w:spacing w:after="0" w:line="240" w:lineRule="auto"/>
      </w:pPr>
      <w:r>
        <w:separator/>
      </w:r>
    </w:p>
  </w:endnote>
  <w:endnote w:type="continuationSeparator" w:id="0">
    <w:p w14:paraId="73BAFAAE" w14:textId="77777777" w:rsidR="00366D80" w:rsidRDefault="00366D80" w:rsidP="00D5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2B3F" w14:textId="77777777" w:rsidR="00D522EB" w:rsidRDefault="00D5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5544" w14:textId="77777777" w:rsidR="00D522EB" w:rsidRDefault="00D5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9358" w14:textId="77777777" w:rsidR="00D522EB" w:rsidRDefault="00D5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5710" w14:textId="77777777" w:rsidR="00366D80" w:rsidRDefault="00366D80" w:rsidP="00D522EB">
      <w:pPr>
        <w:spacing w:after="0" w:line="240" w:lineRule="auto"/>
      </w:pPr>
      <w:r>
        <w:separator/>
      </w:r>
    </w:p>
  </w:footnote>
  <w:footnote w:type="continuationSeparator" w:id="0">
    <w:p w14:paraId="0CFCAD01" w14:textId="77777777" w:rsidR="00366D80" w:rsidRDefault="00366D80" w:rsidP="00D5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5C92" w14:textId="6E487DE6" w:rsidR="00D522EB" w:rsidRDefault="00D522EB">
    <w:pPr>
      <w:pStyle w:val="Header"/>
    </w:pPr>
    <w:r>
      <w:rPr>
        <w:noProof/>
      </w:rPr>
      <w:pict w14:anchorId="5B33D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3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FE44" w14:textId="59F5FF5A" w:rsidR="00D522EB" w:rsidRDefault="00D522EB">
    <w:pPr>
      <w:pStyle w:val="Header"/>
    </w:pPr>
    <w:r>
      <w:rPr>
        <w:noProof/>
      </w:rPr>
      <w:pict w14:anchorId="3CE93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3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FFF0" w14:textId="76D1FEC3" w:rsidR="00D522EB" w:rsidRDefault="00D522EB">
    <w:pPr>
      <w:pStyle w:val="Header"/>
    </w:pPr>
    <w:r>
      <w:rPr>
        <w:noProof/>
      </w:rPr>
      <w:pict w14:anchorId="7714D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3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51B"/>
    <w:multiLevelType w:val="hybridMultilevel"/>
    <w:tmpl w:val="1AF6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F07BD"/>
    <w:multiLevelType w:val="multilevel"/>
    <w:tmpl w:val="2C32D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E15E8"/>
    <w:multiLevelType w:val="multilevel"/>
    <w:tmpl w:val="462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58D4"/>
    <w:multiLevelType w:val="hybridMultilevel"/>
    <w:tmpl w:val="287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26367"/>
    <w:multiLevelType w:val="multilevel"/>
    <w:tmpl w:val="558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D4478"/>
    <w:multiLevelType w:val="hybridMultilevel"/>
    <w:tmpl w:val="8D6CCA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C3F2038"/>
    <w:multiLevelType w:val="hybridMultilevel"/>
    <w:tmpl w:val="5E7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A6FA7"/>
    <w:multiLevelType w:val="multilevel"/>
    <w:tmpl w:val="5B589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47714"/>
    <w:multiLevelType w:val="multilevel"/>
    <w:tmpl w:val="3350E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C83786"/>
    <w:multiLevelType w:val="multilevel"/>
    <w:tmpl w:val="9FA2A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C25A59"/>
    <w:multiLevelType w:val="multilevel"/>
    <w:tmpl w:val="7E54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90CA1"/>
    <w:multiLevelType w:val="hybridMultilevel"/>
    <w:tmpl w:val="468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948C2"/>
    <w:multiLevelType w:val="multilevel"/>
    <w:tmpl w:val="E87CA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757F7"/>
    <w:multiLevelType w:val="hybridMultilevel"/>
    <w:tmpl w:val="A81A6C12"/>
    <w:lvl w:ilvl="0" w:tplc="0409000F">
      <w:start w:val="1"/>
      <w:numFmt w:val="decimal"/>
      <w:lvlText w:val="%1."/>
      <w:lvlJc w:val="left"/>
      <w:pPr>
        <w:ind w:left="720" w:hanging="360"/>
      </w:pPr>
    </w:lvl>
    <w:lvl w:ilvl="1" w:tplc="6D860EA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45C50"/>
    <w:multiLevelType w:val="multilevel"/>
    <w:tmpl w:val="47724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0070FA"/>
    <w:multiLevelType w:val="hybridMultilevel"/>
    <w:tmpl w:val="03E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8"/>
  </w:num>
  <w:num w:numId="5">
    <w:abstractNumId w:val="7"/>
  </w:num>
  <w:num w:numId="6">
    <w:abstractNumId w:val="12"/>
  </w:num>
  <w:num w:numId="7">
    <w:abstractNumId w:val="9"/>
  </w:num>
  <w:num w:numId="8">
    <w:abstractNumId w:val="1"/>
  </w:num>
  <w:num w:numId="9">
    <w:abstractNumId w:val="14"/>
  </w:num>
  <w:num w:numId="10">
    <w:abstractNumId w:val="10"/>
  </w:num>
  <w:num w:numId="11">
    <w:abstractNumId w:val="2"/>
  </w:num>
  <w:num w:numId="12">
    <w:abstractNumId w:val="3"/>
  </w:num>
  <w:num w:numId="13">
    <w:abstractNumId w:val="15"/>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314"/>
    <w:rsid w:val="0003790B"/>
    <w:rsid w:val="00055F92"/>
    <w:rsid w:val="000579D9"/>
    <w:rsid w:val="00064F84"/>
    <w:rsid w:val="00077B22"/>
    <w:rsid w:val="000A058F"/>
    <w:rsid w:val="000B29AE"/>
    <w:rsid w:val="000C48CB"/>
    <w:rsid w:val="000E1D12"/>
    <w:rsid w:val="0012702E"/>
    <w:rsid w:val="00163AD4"/>
    <w:rsid w:val="00177503"/>
    <w:rsid w:val="001931FF"/>
    <w:rsid w:val="001E27A4"/>
    <w:rsid w:val="002054FD"/>
    <w:rsid w:val="0020692C"/>
    <w:rsid w:val="002203B6"/>
    <w:rsid w:val="002336C2"/>
    <w:rsid w:val="0024387A"/>
    <w:rsid w:val="00254836"/>
    <w:rsid w:val="00255D3C"/>
    <w:rsid w:val="002575CC"/>
    <w:rsid w:val="00281312"/>
    <w:rsid w:val="002A7392"/>
    <w:rsid w:val="002D61AA"/>
    <w:rsid w:val="002F38FA"/>
    <w:rsid w:val="002F7D0F"/>
    <w:rsid w:val="00306DC3"/>
    <w:rsid w:val="00317530"/>
    <w:rsid w:val="00360395"/>
    <w:rsid w:val="00366D80"/>
    <w:rsid w:val="00381A12"/>
    <w:rsid w:val="0038386C"/>
    <w:rsid w:val="003927F1"/>
    <w:rsid w:val="0039337E"/>
    <w:rsid w:val="003934ED"/>
    <w:rsid w:val="003A4016"/>
    <w:rsid w:val="003A7193"/>
    <w:rsid w:val="003B199B"/>
    <w:rsid w:val="003C5EB2"/>
    <w:rsid w:val="003E73AA"/>
    <w:rsid w:val="0040514A"/>
    <w:rsid w:val="0042662E"/>
    <w:rsid w:val="00440D2F"/>
    <w:rsid w:val="0047657A"/>
    <w:rsid w:val="00483A31"/>
    <w:rsid w:val="004A2441"/>
    <w:rsid w:val="004A6AD7"/>
    <w:rsid w:val="004C172E"/>
    <w:rsid w:val="004D319E"/>
    <w:rsid w:val="004D6CED"/>
    <w:rsid w:val="004D77C1"/>
    <w:rsid w:val="004F786C"/>
    <w:rsid w:val="00513CF3"/>
    <w:rsid w:val="005219FF"/>
    <w:rsid w:val="00521CC8"/>
    <w:rsid w:val="00530360"/>
    <w:rsid w:val="005403AE"/>
    <w:rsid w:val="005452A5"/>
    <w:rsid w:val="0055417E"/>
    <w:rsid w:val="005567CF"/>
    <w:rsid w:val="00561EF6"/>
    <w:rsid w:val="00571E64"/>
    <w:rsid w:val="005741E4"/>
    <w:rsid w:val="005B4F8E"/>
    <w:rsid w:val="005C4179"/>
    <w:rsid w:val="005C41E5"/>
    <w:rsid w:val="005E230A"/>
    <w:rsid w:val="005E2F15"/>
    <w:rsid w:val="005E454A"/>
    <w:rsid w:val="00600AD1"/>
    <w:rsid w:val="00632FC6"/>
    <w:rsid w:val="00646341"/>
    <w:rsid w:val="006A53AF"/>
    <w:rsid w:val="006A6D0A"/>
    <w:rsid w:val="006B17C3"/>
    <w:rsid w:val="006B704B"/>
    <w:rsid w:val="006D7615"/>
    <w:rsid w:val="00723B0D"/>
    <w:rsid w:val="00724D23"/>
    <w:rsid w:val="00727784"/>
    <w:rsid w:val="007366DD"/>
    <w:rsid w:val="00742CD0"/>
    <w:rsid w:val="00744030"/>
    <w:rsid w:val="00753E60"/>
    <w:rsid w:val="00763E4E"/>
    <w:rsid w:val="00774C7D"/>
    <w:rsid w:val="007863E0"/>
    <w:rsid w:val="007974DB"/>
    <w:rsid w:val="007A424F"/>
    <w:rsid w:val="007B71EB"/>
    <w:rsid w:val="007F0C7B"/>
    <w:rsid w:val="007F116C"/>
    <w:rsid w:val="007F6889"/>
    <w:rsid w:val="008047D2"/>
    <w:rsid w:val="008061AA"/>
    <w:rsid w:val="0081716B"/>
    <w:rsid w:val="0082453B"/>
    <w:rsid w:val="00844D4C"/>
    <w:rsid w:val="00874F84"/>
    <w:rsid w:val="008A4A8C"/>
    <w:rsid w:val="008C5F0B"/>
    <w:rsid w:val="008E0111"/>
    <w:rsid w:val="008F2997"/>
    <w:rsid w:val="008F6D9C"/>
    <w:rsid w:val="00923AF2"/>
    <w:rsid w:val="00933B7B"/>
    <w:rsid w:val="00950281"/>
    <w:rsid w:val="009773C1"/>
    <w:rsid w:val="00993CEA"/>
    <w:rsid w:val="00995167"/>
    <w:rsid w:val="009D59C0"/>
    <w:rsid w:val="009E1E0A"/>
    <w:rsid w:val="00A000C2"/>
    <w:rsid w:val="00A16128"/>
    <w:rsid w:val="00A21435"/>
    <w:rsid w:val="00A21513"/>
    <w:rsid w:val="00A72184"/>
    <w:rsid w:val="00A75362"/>
    <w:rsid w:val="00A80032"/>
    <w:rsid w:val="00A81ABD"/>
    <w:rsid w:val="00A975A5"/>
    <w:rsid w:val="00AA4890"/>
    <w:rsid w:val="00AD72DA"/>
    <w:rsid w:val="00AE32A3"/>
    <w:rsid w:val="00AE5357"/>
    <w:rsid w:val="00AF0309"/>
    <w:rsid w:val="00AF1851"/>
    <w:rsid w:val="00B207FB"/>
    <w:rsid w:val="00B24256"/>
    <w:rsid w:val="00B437B0"/>
    <w:rsid w:val="00B505BB"/>
    <w:rsid w:val="00B7784F"/>
    <w:rsid w:val="00B949C0"/>
    <w:rsid w:val="00BA1898"/>
    <w:rsid w:val="00BB03E6"/>
    <w:rsid w:val="00BB6A08"/>
    <w:rsid w:val="00BC4626"/>
    <w:rsid w:val="00C1799D"/>
    <w:rsid w:val="00C27F33"/>
    <w:rsid w:val="00C304EF"/>
    <w:rsid w:val="00C47BD8"/>
    <w:rsid w:val="00C601F1"/>
    <w:rsid w:val="00C773ED"/>
    <w:rsid w:val="00C81309"/>
    <w:rsid w:val="00C83CDA"/>
    <w:rsid w:val="00CC0314"/>
    <w:rsid w:val="00CF38C6"/>
    <w:rsid w:val="00D000AB"/>
    <w:rsid w:val="00D019CE"/>
    <w:rsid w:val="00D05D4C"/>
    <w:rsid w:val="00D36E0E"/>
    <w:rsid w:val="00D413EC"/>
    <w:rsid w:val="00D43AE3"/>
    <w:rsid w:val="00D522EB"/>
    <w:rsid w:val="00D567E3"/>
    <w:rsid w:val="00D76138"/>
    <w:rsid w:val="00D909EA"/>
    <w:rsid w:val="00D92DA1"/>
    <w:rsid w:val="00E0003B"/>
    <w:rsid w:val="00E024D9"/>
    <w:rsid w:val="00E17514"/>
    <w:rsid w:val="00E22A9A"/>
    <w:rsid w:val="00E36A07"/>
    <w:rsid w:val="00E42DE8"/>
    <w:rsid w:val="00E51D94"/>
    <w:rsid w:val="00E66256"/>
    <w:rsid w:val="00E97D09"/>
    <w:rsid w:val="00EA4674"/>
    <w:rsid w:val="00ED0613"/>
    <w:rsid w:val="00EE44E1"/>
    <w:rsid w:val="00F15BB1"/>
    <w:rsid w:val="00F2295F"/>
    <w:rsid w:val="00F27C96"/>
    <w:rsid w:val="00F419DF"/>
    <w:rsid w:val="00F731E5"/>
    <w:rsid w:val="00F82ED4"/>
    <w:rsid w:val="00F97BC3"/>
    <w:rsid w:val="00FB1242"/>
    <w:rsid w:val="00FC71EC"/>
    <w:rsid w:val="00FD075A"/>
    <w:rsid w:val="00FD5639"/>
    <w:rsid w:val="00FF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826FE2"/>
  <w15:docId w15:val="{F82912BA-BAA0-4CF2-8E32-FAE7CBA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77B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23B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1AA"/>
    <w:rPr>
      <w:color w:val="0563C1" w:themeColor="hyperlink"/>
      <w:u w:val="single"/>
    </w:rPr>
  </w:style>
  <w:style w:type="character" w:customStyle="1" w:styleId="UnresolvedMention1">
    <w:name w:val="Unresolved Mention1"/>
    <w:basedOn w:val="DefaultParagraphFont"/>
    <w:uiPriority w:val="99"/>
    <w:semiHidden/>
    <w:unhideWhenUsed/>
    <w:rsid w:val="008061AA"/>
    <w:rPr>
      <w:color w:val="605E5C"/>
      <w:shd w:val="clear" w:color="auto" w:fill="E1DFDD"/>
    </w:rPr>
  </w:style>
  <w:style w:type="paragraph" w:styleId="NormalWeb">
    <w:name w:val="Normal (Web)"/>
    <w:basedOn w:val="Normal"/>
    <w:uiPriority w:val="99"/>
    <w:unhideWhenUsed/>
    <w:rsid w:val="00D43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5A5"/>
    <w:rPr>
      <w:b/>
      <w:bCs/>
    </w:rPr>
  </w:style>
  <w:style w:type="paragraph" w:styleId="ListParagraph">
    <w:name w:val="List Paragraph"/>
    <w:basedOn w:val="Normal"/>
    <w:uiPriority w:val="34"/>
    <w:qFormat/>
    <w:rsid w:val="00FF2DBC"/>
    <w:pPr>
      <w:ind w:left="720"/>
      <w:contextualSpacing/>
    </w:pPr>
  </w:style>
  <w:style w:type="character" w:customStyle="1" w:styleId="Heading3Char">
    <w:name w:val="Heading 3 Char"/>
    <w:basedOn w:val="DefaultParagraphFont"/>
    <w:link w:val="Heading3"/>
    <w:uiPriority w:val="9"/>
    <w:rsid w:val="00077B22"/>
    <w:rPr>
      <w:rFonts w:ascii="Times New Roman" w:eastAsia="Times New Roman" w:hAnsi="Times New Roman" w:cs="Times New Roman"/>
      <w:b/>
      <w:bCs/>
      <w:sz w:val="27"/>
      <w:szCs w:val="27"/>
    </w:rPr>
  </w:style>
  <w:style w:type="paragraph" w:customStyle="1" w:styleId="task-list-item">
    <w:name w:val="task-list-item"/>
    <w:basedOn w:val="Normal"/>
    <w:rsid w:val="00077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B0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5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E97D09"/>
  </w:style>
  <w:style w:type="character" w:customStyle="1" w:styleId="katex-mathml">
    <w:name w:val="katex-mathml"/>
    <w:basedOn w:val="DefaultParagraphFont"/>
    <w:rsid w:val="008047D2"/>
  </w:style>
  <w:style w:type="character" w:customStyle="1" w:styleId="mord">
    <w:name w:val="mord"/>
    <w:basedOn w:val="DefaultParagraphFont"/>
    <w:rsid w:val="008047D2"/>
  </w:style>
  <w:style w:type="character" w:customStyle="1" w:styleId="mrel">
    <w:name w:val="mrel"/>
    <w:basedOn w:val="DefaultParagraphFont"/>
    <w:rsid w:val="008047D2"/>
  </w:style>
  <w:style w:type="character" w:customStyle="1" w:styleId="vlist-s">
    <w:name w:val="vlist-s"/>
    <w:basedOn w:val="DefaultParagraphFont"/>
    <w:rsid w:val="008047D2"/>
  </w:style>
  <w:style w:type="character" w:customStyle="1" w:styleId="mpunct">
    <w:name w:val="mpunct"/>
    <w:basedOn w:val="DefaultParagraphFont"/>
    <w:rsid w:val="003B199B"/>
  </w:style>
  <w:style w:type="character" w:styleId="Emphasis">
    <w:name w:val="Emphasis"/>
    <w:basedOn w:val="DefaultParagraphFont"/>
    <w:uiPriority w:val="20"/>
    <w:qFormat/>
    <w:rsid w:val="00D019CE"/>
    <w:rPr>
      <w:i/>
      <w:iCs/>
    </w:rPr>
  </w:style>
  <w:style w:type="character" w:styleId="UnresolvedMention">
    <w:name w:val="Unresolved Mention"/>
    <w:basedOn w:val="DefaultParagraphFont"/>
    <w:uiPriority w:val="99"/>
    <w:semiHidden/>
    <w:unhideWhenUsed/>
    <w:rsid w:val="00AA4890"/>
    <w:rPr>
      <w:color w:val="605E5C"/>
      <w:shd w:val="clear" w:color="auto" w:fill="E1DFDD"/>
    </w:rPr>
  </w:style>
  <w:style w:type="paragraph" w:styleId="Header">
    <w:name w:val="header"/>
    <w:basedOn w:val="Normal"/>
    <w:link w:val="HeaderChar"/>
    <w:uiPriority w:val="99"/>
    <w:unhideWhenUsed/>
    <w:rsid w:val="00D52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2EB"/>
  </w:style>
  <w:style w:type="paragraph" w:styleId="Footer">
    <w:name w:val="footer"/>
    <w:basedOn w:val="Normal"/>
    <w:link w:val="FooterChar"/>
    <w:uiPriority w:val="99"/>
    <w:unhideWhenUsed/>
    <w:rsid w:val="00D52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3712">
      <w:bodyDiv w:val="1"/>
      <w:marLeft w:val="0"/>
      <w:marRight w:val="0"/>
      <w:marTop w:val="0"/>
      <w:marBottom w:val="0"/>
      <w:divBdr>
        <w:top w:val="none" w:sz="0" w:space="0" w:color="auto"/>
        <w:left w:val="none" w:sz="0" w:space="0" w:color="auto"/>
        <w:bottom w:val="none" w:sz="0" w:space="0" w:color="auto"/>
        <w:right w:val="none" w:sz="0" w:space="0" w:color="auto"/>
      </w:divBdr>
    </w:div>
    <w:div w:id="52898264">
      <w:bodyDiv w:val="1"/>
      <w:marLeft w:val="0"/>
      <w:marRight w:val="0"/>
      <w:marTop w:val="0"/>
      <w:marBottom w:val="0"/>
      <w:divBdr>
        <w:top w:val="none" w:sz="0" w:space="0" w:color="auto"/>
        <w:left w:val="none" w:sz="0" w:space="0" w:color="auto"/>
        <w:bottom w:val="none" w:sz="0" w:space="0" w:color="auto"/>
        <w:right w:val="none" w:sz="0" w:space="0" w:color="auto"/>
      </w:divBdr>
    </w:div>
    <w:div w:id="76024889">
      <w:bodyDiv w:val="1"/>
      <w:marLeft w:val="0"/>
      <w:marRight w:val="0"/>
      <w:marTop w:val="0"/>
      <w:marBottom w:val="0"/>
      <w:divBdr>
        <w:top w:val="none" w:sz="0" w:space="0" w:color="auto"/>
        <w:left w:val="none" w:sz="0" w:space="0" w:color="auto"/>
        <w:bottom w:val="none" w:sz="0" w:space="0" w:color="auto"/>
        <w:right w:val="none" w:sz="0" w:space="0" w:color="auto"/>
      </w:divBdr>
    </w:div>
    <w:div w:id="80953405">
      <w:bodyDiv w:val="1"/>
      <w:marLeft w:val="0"/>
      <w:marRight w:val="0"/>
      <w:marTop w:val="0"/>
      <w:marBottom w:val="0"/>
      <w:divBdr>
        <w:top w:val="none" w:sz="0" w:space="0" w:color="auto"/>
        <w:left w:val="none" w:sz="0" w:space="0" w:color="auto"/>
        <w:bottom w:val="none" w:sz="0" w:space="0" w:color="auto"/>
        <w:right w:val="none" w:sz="0" w:space="0" w:color="auto"/>
      </w:divBdr>
    </w:div>
    <w:div w:id="83309812">
      <w:bodyDiv w:val="1"/>
      <w:marLeft w:val="0"/>
      <w:marRight w:val="0"/>
      <w:marTop w:val="0"/>
      <w:marBottom w:val="0"/>
      <w:divBdr>
        <w:top w:val="none" w:sz="0" w:space="0" w:color="auto"/>
        <w:left w:val="none" w:sz="0" w:space="0" w:color="auto"/>
        <w:bottom w:val="none" w:sz="0" w:space="0" w:color="auto"/>
        <w:right w:val="none" w:sz="0" w:space="0" w:color="auto"/>
      </w:divBdr>
    </w:div>
    <w:div w:id="88350386">
      <w:bodyDiv w:val="1"/>
      <w:marLeft w:val="0"/>
      <w:marRight w:val="0"/>
      <w:marTop w:val="0"/>
      <w:marBottom w:val="0"/>
      <w:divBdr>
        <w:top w:val="none" w:sz="0" w:space="0" w:color="auto"/>
        <w:left w:val="none" w:sz="0" w:space="0" w:color="auto"/>
        <w:bottom w:val="none" w:sz="0" w:space="0" w:color="auto"/>
        <w:right w:val="none" w:sz="0" w:space="0" w:color="auto"/>
      </w:divBdr>
    </w:div>
    <w:div w:id="113910002">
      <w:bodyDiv w:val="1"/>
      <w:marLeft w:val="0"/>
      <w:marRight w:val="0"/>
      <w:marTop w:val="0"/>
      <w:marBottom w:val="0"/>
      <w:divBdr>
        <w:top w:val="none" w:sz="0" w:space="0" w:color="auto"/>
        <w:left w:val="none" w:sz="0" w:space="0" w:color="auto"/>
        <w:bottom w:val="none" w:sz="0" w:space="0" w:color="auto"/>
        <w:right w:val="none" w:sz="0" w:space="0" w:color="auto"/>
      </w:divBdr>
      <w:divsChild>
        <w:div w:id="202131378">
          <w:marLeft w:val="0"/>
          <w:marRight w:val="0"/>
          <w:marTop w:val="0"/>
          <w:marBottom w:val="0"/>
          <w:divBdr>
            <w:top w:val="none" w:sz="0" w:space="0" w:color="auto"/>
            <w:left w:val="none" w:sz="0" w:space="0" w:color="auto"/>
            <w:bottom w:val="none" w:sz="0" w:space="0" w:color="auto"/>
            <w:right w:val="none" w:sz="0" w:space="0" w:color="auto"/>
          </w:divBdr>
          <w:divsChild>
            <w:div w:id="1495875539">
              <w:marLeft w:val="0"/>
              <w:marRight w:val="0"/>
              <w:marTop w:val="0"/>
              <w:marBottom w:val="0"/>
              <w:divBdr>
                <w:top w:val="none" w:sz="0" w:space="0" w:color="auto"/>
                <w:left w:val="none" w:sz="0" w:space="0" w:color="auto"/>
                <w:bottom w:val="none" w:sz="0" w:space="0" w:color="auto"/>
                <w:right w:val="none" w:sz="0" w:space="0" w:color="auto"/>
              </w:divBdr>
              <w:divsChild>
                <w:div w:id="371081670">
                  <w:marLeft w:val="0"/>
                  <w:marRight w:val="0"/>
                  <w:marTop w:val="0"/>
                  <w:marBottom w:val="0"/>
                  <w:divBdr>
                    <w:top w:val="none" w:sz="0" w:space="0" w:color="auto"/>
                    <w:left w:val="none" w:sz="0" w:space="0" w:color="auto"/>
                    <w:bottom w:val="none" w:sz="0" w:space="0" w:color="auto"/>
                    <w:right w:val="none" w:sz="0" w:space="0" w:color="auto"/>
                  </w:divBdr>
                  <w:divsChild>
                    <w:div w:id="1339429840">
                      <w:marLeft w:val="0"/>
                      <w:marRight w:val="0"/>
                      <w:marTop w:val="0"/>
                      <w:marBottom w:val="0"/>
                      <w:divBdr>
                        <w:top w:val="none" w:sz="0" w:space="0" w:color="auto"/>
                        <w:left w:val="none" w:sz="0" w:space="0" w:color="auto"/>
                        <w:bottom w:val="none" w:sz="0" w:space="0" w:color="auto"/>
                        <w:right w:val="none" w:sz="0" w:space="0" w:color="auto"/>
                      </w:divBdr>
                      <w:divsChild>
                        <w:div w:id="1105883266">
                          <w:marLeft w:val="0"/>
                          <w:marRight w:val="0"/>
                          <w:marTop w:val="0"/>
                          <w:marBottom w:val="0"/>
                          <w:divBdr>
                            <w:top w:val="none" w:sz="0" w:space="0" w:color="auto"/>
                            <w:left w:val="none" w:sz="0" w:space="0" w:color="auto"/>
                            <w:bottom w:val="none" w:sz="0" w:space="0" w:color="auto"/>
                            <w:right w:val="none" w:sz="0" w:space="0" w:color="auto"/>
                          </w:divBdr>
                          <w:divsChild>
                            <w:div w:id="10906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08405">
      <w:bodyDiv w:val="1"/>
      <w:marLeft w:val="0"/>
      <w:marRight w:val="0"/>
      <w:marTop w:val="0"/>
      <w:marBottom w:val="0"/>
      <w:divBdr>
        <w:top w:val="none" w:sz="0" w:space="0" w:color="auto"/>
        <w:left w:val="none" w:sz="0" w:space="0" w:color="auto"/>
        <w:bottom w:val="none" w:sz="0" w:space="0" w:color="auto"/>
        <w:right w:val="none" w:sz="0" w:space="0" w:color="auto"/>
      </w:divBdr>
    </w:div>
    <w:div w:id="327636212">
      <w:bodyDiv w:val="1"/>
      <w:marLeft w:val="0"/>
      <w:marRight w:val="0"/>
      <w:marTop w:val="0"/>
      <w:marBottom w:val="0"/>
      <w:divBdr>
        <w:top w:val="none" w:sz="0" w:space="0" w:color="auto"/>
        <w:left w:val="none" w:sz="0" w:space="0" w:color="auto"/>
        <w:bottom w:val="none" w:sz="0" w:space="0" w:color="auto"/>
        <w:right w:val="none" w:sz="0" w:space="0" w:color="auto"/>
      </w:divBdr>
    </w:div>
    <w:div w:id="454715812">
      <w:bodyDiv w:val="1"/>
      <w:marLeft w:val="0"/>
      <w:marRight w:val="0"/>
      <w:marTop w:val="0"/>
      <w:marBottom w:val="0"/>
      <w:divBdr>
        <w:top w:val="none" w:sz="0" w:space="0" w:color="auto"/>
        <w:left w:val="none" w:sz="0" w:space="0" w:color="auto"/>
        <w:bottom w:val="none" w:sz="0" w:space="0" w:color="auto"/>
        <w:right w:val="none" w:sz="0" w:space="0" w:color="auto"/>
      </w:divBdr>
    </w:div>
    <w:div w:id="651908148">
      <w:bodyDiv w:val="1"/>
      <w:marLeft w:val="0"/>
      <w:marRight w:val="0"/>
      <w:marTop w:val="0"/>
      <w:marBottom w:val="0"/>
      <w:divBdr>
        <w:top w:val="none" w:sz="0" w:space="0" w:color="auto"/>
        <w:left w:val="none" w:sz="0" w:space="0" w:color="auto"/>
        <w:bottom w:val="none" w:sz="0" w:space="0" w:color="auto"/>
        <w:right w:val="none" w:sz="0" w:space="0" w:color="auto"/>
      </w:divBdr>
    </w:div>
    <w:div w:id="728116704">
      <w:bodyDiv w:val="1"/>
      <w:marLeft w:val="0"/>
      <w:marRight w:val="0"/>
      <w:marTop w:val="0"/>
      <w:marBottom w:val="0"/>
      <w:divBdr>
        <w:top w:val="none" w:sz="0" w:space="0" w:color="auto"/>
        <w:left w:val="none" w:sz="0" w:space="0" w:color="auto"/>
        <w:bottom w:val="none" w:sz="0" w:space="0" w:color="auto"/>
        <w:right w:val="none" w:sz="0" w:space="0" w:color="auto"/>
      </w:divBdr>
    </w:div>
    <w:div w:id="827282765">
      <w:bodyDiv w:val="1"/>
      <w:marLeft w:val="0"/>
      <w:marRight w:val="0"/>
      <w:marTop w:val="0"/>
      <w:marBottom w:val="0"/>
      <w:divBdr>
        <w:top w:val="none" w:sz="0" w:space="0" w:color="auto"/>
        <w:left w:val="none" w:sz="0" w:space="0" w:color="auto"/>
        <w:bottom w:val="none" w:sz="0" w:space="0" w:color="auto"/>
        <w:right w:val="none" w:sz="0" w:space="0" w:color="auto"/>
      </w:divBdr>
    </w:div>
    <w:div w:id="925724678">
      <w:bodyDiv w:val="1"/>
      <w:marLeft w:val="0"/>
      <w:marRight w:val="0"/>
      <w:marTop w:val="0"/>
      <w:marBottom w:val="0"/>
      <w:divBdr>
        <w:top w:val="none" w:sz="0" w:space="0" w:color="auto"/>
        <w:left w:val="none" w:sz="0" w:space="0" w:color="auto"/>
        <w:bottom w:val="none" w:sz="0" w:space="0" w:color="auto"/>
        <w:right w:val="none" w:sz="0" w:space="0" w:color="auto"/>
      </w:divBdr>
    </w:div>
    <w:div w:id="970133115">
      <w:bodyDiv w:val="1"/>
      <w:marLeft w:val="0"/>
      <w:marRight w:val="0"/>
      <w:marTop w:val="0"/>
      <w:marBottom w:val="0"/>
      <w:divBdr>
        <w:top w:val="none" w:sz="0" w:space="0" w:color="auto"/>
        <w:left w:val="none" w:sz="0" w:space="0" w:color="auto"/>
        <w:bottom w:val="none" w:sz="0" w:space="0" w:color="auto"/>
        <w:right w:val="none" w:sz="0" w:space="0" w:color="auto"/>
      </w:divBdr>
    </w:div>
    <w:div w:id="979960523">
      <w:bodyDiv w:val="1"/>
      <w:marLeft w:val="0"/>
      <w:marRight w:val="0"/>
      <w:marTop w:val="0"/>
      <w:marBottom w:val="0"/>
      <w:divBdr>
        <w:top w:val="none" w:sz="0" w:space="0" w:color="auto"/>
        <w:left w:val="none" w:sz="0" w:space="0" w:color="auto"/>
        <w:bottom w:val="none" w:sz="0" w:space="0" w:color="auto"/>
        <w:right w:val="none" w:sz="0" w:space="0" w:color="auto"/>
      </w:divBdr>
    </w:div>
    <w:div w:id="1104573109">
      <w:bodyDiv w:val="1"/>
      <w:marLeft w:val="0"/>
      <w:marRight w:val="0"/>
      <w:marTop w:val="0"/>
      <w:marBottom w:val="0"/>
      <w:divBdr>
        <w:top w:val="none" w:sz="0" w:space="0" w:color="auto"/>
        <w:left w:val="none" w:sz="0" w:space="0" w:color="auto"/>
        <w:bottom w:val="none" w:sz="0" w:space="0" w:color="auto"/>
        <w:right w:val="none" w:sz="0" w:space="0" w:color="auto"/>
      </w:divBdr>
    </w:div>
    <w:div w:id="1189872148">
      <w:bodyDiv w:val="1"/>
      <w:marLeft w:val="0"/>
      <w:marRight w:val="0"/>
      <w:marTop w:val="0"/>
      <w:marBottom w:val="0"/>
      <w:divBdr>
        <w:top w:val="none" w:sz="0" w:space="0" w:color="auto"/>
        <w:left w:val="none" w:sz="0" w:space="0" w:color="auto"/>
        <w:bottom w:val="none" w:sz="0" w:space="0" w:color="auto"/>
        <w:right w:val="none" w:sz="0" w:space="0" w:color="auto"/>
      </w:divBdr>
      <w:divsChild>
        <w:div w:id="1150906981">
          <w:marLeft w:val="0"/>
          <w:marRight w:val="0"/>
          <w:marTop w:val="0"/>
          <w:marBottom w:val="0"/>
          <w:divBdr>
            <w:top w:val="none" w:sz="0" w:space="0" w:color="auto"/>
            <w:left w:val="none" w:sz="0" w:space="0" w:color="auto"/>
            <w:bottom w:val="none" w:sz="0" w:space="0" w:color="auto"/>
            <w:right w:val="none" w:sz="0" w:space="0" w:color="auto"/>
          </w:divBdr>
          <w:divsChild>
            <w:div w:id="1975868911">
              <w:marLeft w:val="0"/>
              <w:marRight w:val="0"/>
              <w:marTop w:val="0"/>
              <w:marBottom w:val="0"/>
              <w:divBdr>
                <w:top w:val="none" w:sz="0" w:space="0" w:color="auto"/>
                <w:left w:val="none" w:sz="0" w:space="0" w:color="auto"/>
                <w:bottom w:val="none" w:sz="0" w:space="0" w:color="auto"/>
                <w:right w:val="none" w:sz="0" w:space="0" w:color="auto"/>
              </w:divBdr>
              <w:divsChild>
                <w:div w:id="245694961">
                  <w:marLeft w:val="0"/>
                  <w:marRight w:val="0"/>
                  <w:marTop w:val="0"/>
                  <w:marBottom w:val="0"/>
                  <w:divBdr>
                    <w:top w:val="none" w:sz="0" w:space="0" w:color="auto"/>
                    <w:left w:val="none" w:sz="0" w:space="0" w:color="auto"/>
                    <w:bottom w:val="none" w:sz="0" w:space="0" w:color="auto"/>
                    <w:right w:val="none" w:sz="0" w:space="0" w:color="auto"/>
                  </w:divBdr>
                  <w:divsChild>
                    <w:div w:id="1601989563">
                      <w:marLeft w:val="0"/>
                      <w:marRight w:val="0"/>
                      <w:marTop w:val="0"/>
                      <w:marBottom w:val="0"/>
                      <w:divBdr>
                        <w:top w:val="none" w:sz="0" w:space="0" w:color="auto"/>
                        <w:left w:val="none" w:sz="0" w:space="0" w:color="auto"/>
                        <w:bottom w:val="none" w:sz="0" w:space="0" w:color="auto"/>
                        <w:right w:val="none" w:sz="0" w:space="0" w:color="auto"/>
                      </w:divBdr>
                      <w:divsChild>
                        <w:div w:id="1829133768">
                          <w:marLeft w:val="0"/>
                          <w:marRight w:val="0"/>
                          <w:marTop w:val="0"/>
                          <w:marBottom w:val="0"/>
                          <w:divBdr>
                            <w:top w:val="none" w:sz="0" w:space="0" w:color="auto"/>
                            <w:left w:val="none" w:sz="0" w:space="0" w:color="auto"/>
                            <w:bottom w:val="none" w:sz="0" w:space="0" w:color="auto"/>
                            <w:right w:val="none" w:sz="0" w:space="0" w:color="auto"/>
                          </w:divBdr>
                          <w:divsChild>
                            <w:div w:id="2063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33883">
      <w:bodyDiv w:val="1"/>
      <w:marLeft w:val="0"/>
      <w:marRight w:val="0"/>
      <w:marTop w:val="0"/>
      <w:marBottom w:val="0"/>
      <w:divBdr>
        <w:top w:val="none" w:sz="0" w:space="0" w:color="auto"/>
        <w:left w:val="none" w:sz="0" w:space="0" w:color="auto"/>
        <w:bottom w:val="none" w:sz="0" w:space="0" w:color="auto"/>
        <w:right w:val="none" w:sz="0" w:space="0" w:color="auto"/>
      </w:divBdr>
    </w:div>
    <w:div w:id="1402023492">
      <w:bodyDiv w:val="1"/>
      <w:marLeft w:val="0"/>
      <w:marRight w:val="0"/>
      <w:marTop w:val="0"/>
      <w:marBottom w:val="0"/>
      <w:divBdr>
        <w:top w:val="none" w:sz="0" w:space="0" w:color="auto"/>
        <w:left w:val="none" w:sz="0" w:space="0" w:color="auto"/>
        <w:bottom w:val="none" w:sz="0" w:space="0" w:color="auto"/>
        <w:right w:val="none" w:sz="0" w:space="0" w:color="auto"/>
      </w:divBdr>
    </w:div>
    <w:div w:id="1670017843">
      <w:bodyDiv w:val="1"/>
      <w:marLeft w:val="0"/>
      <w:marRight w:val="0"/>
      <w:marTop w:val="0"/>
      <w:marBottom w:val="0"/>
      <w:divBdr>
        <w:top w:val="none" w:sz="0" w:space="0" w:color="auto"/>
        <w:left w:val="none" w:sz="0" w:space="0" w:color="auto"/>
        <w:bottom w:val="none" w:sz="0" w:space="0" w:color="auto"/>
        <w:right w:val="none" w:sz="0" w:space="0" w:color="auto"/>
      </w:divBdr>
    </w:div>
    <w:div w:id="1825464307">
      <w:bodyDiv w:val="1"/>
      <w:marLeft w:val="0"/>
      <w:marRight w:val="0"/>
      <w:marTop w:val="0"/>
      <w:marBottom w:val="0"/>
      <w:divBdr>
        <w:top w:val="none" w:sz="0" w:space="0" w:color="auto"/>
        <w:left w:val="none" w:sz="0" w:space="0" w:color="auto"/>
        <w:bottom w:val="none" w:sz="0" w:space="0" w:color="auto"/>
        <w:right w:val="none" w:sz="0" w:space="0" w:color="auto"/>
      </w:divBdr>
      <w:divsChild>
        <w:div w:id="1226457325">
          <w:marLeft w:val="0"/>
          <w:marRight w:val="0"/>
          <w:marTop w:val="0"/>
          <w:marBottom w:val="0"/>
          <w:divBdr>
            <w:top w:val="none" w:sz="0" w:space="0" w:color="auto"/>
            <w:left w:val="none" w:sz="0" w:space="0" w:color="auto"/>
            <w:bottom w:val="none" w:sz="0" w:space="0" w:color="auto"/>
            <w:right w:val="none" w:sz="0" w:space="0" w:color="auto"/>
          </w:divBdr>
          <w:divsChild>
            <w:div w:id="1093285887">
              <w:marLeft w:val="0"/>
              <w:marRight w:val="0"/>
              <w:marTop w:val="0"/>
              <w:marBottom w:val="0"/>
              <w:divBdr>
                <w:top w:val="none" w:sz="0" w:space="0" w:color="auto"/>
                <w:left w:val="none" w:sz="0" w:space="0" w:color="auto"/>
                <w:bottom w:val="none" w:sz="0" w:space="0" w:color="auto"/>
                <w:right w:val="none" w:sz="0" w:space="0" w:color="auto"/>
              </w:divBdr>
              <w:divsChild>
                <w:div w:id="46489805">
                  <w:marLeft w:val="0"/>
                  <w:marRight w:val="0"/>
                  <w:marTop w:val="0"/>
                  <w:marBottom w:val="0"/>
                  <w:divBdr>
                    <w:top w:val="none" w:sz="0" w:space="0" w:color="auto"/>
                    <w:left w:val="none" w:sz="0" w:space="0" w:color="auto"/>
                    <w:bottom w:val="none" w:sz="0" w:space="0" w:color="auto"/>
                    <w:right w:val="none" w:sz="0" w:space="0" w:color="auto"/>
                  </w:divBdr>
                  <w:divsChild>
                    <w:div w:id="6437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6533">
          <w:marLeft w:val="0"/>
          <w:marRight w:val="0"/>
          <w:marTop w:val="0"/>
          <w:marBottom w:val="0"/>
          <w:divBdr>
            <w:top w:val="none" w:sz="0" w:space="0" w:color="auto"/>
            <w:left w:val="none" w:sz="0" w:space="0" w:color="auto"/>
            <w:bottom w:val="none" w:sz="0" w:space="0" w:color="auto"/>
            <w:right w:val="none" w:sz="0" w:space="0" w:color="auto"/>
          </w:divBdr>
          <w:divsChild>
            <w:div w:id="193078230">
              <w:marLeft w:val="0"/>
              <w:marRight w:val="0"/>
              <w:marTop w:val="0"/>
              <w:marBottom w:val="0"/>
              <w:divBdr>
                <w:top w:val="none" w:sz="0" w:space="0" w:color="auto"/>
                <w:left w:val="none" w:sz="0" w:space="0" w:color="auto"/>
                <w:bottom w:val="none" w:sz="0" w:space="0" w:color="auto"/>
                <w:right w:val="none" w:sz="0" w:space="0" w:color="auto"/>
              </w:divBdr>
              <w:divsChild>
                <w:div w:id="615219196">
                  <w:marLeft w:val="0"/>
                  <w:marRight w:val="0"/>
                  <w:marTop w:val="0"/>
                  <w:marBottom w:val="0"/>
                  <w:divBdr>
                    <w:top w:val="none" w:sz="0" w:space="0" w:color="auto"/>
                    <w:left w:val="none" w:sz="0" w:space="0" w:color="auto"/>
                    <w:bottom w:val="none" w:sz="0" w:space="0" w:color="auto"/>
                    <w:right w:val="none" w:sz="0" w:space="0" w:color="auto"/>
                  </w:divBdr>
                  <w:divsChild>
                    <w:div w:id="16141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906">
      <w:bodyDiv w:val="1"/>
      <w:marLeft w:val="0"/>
      <w:marRight w:val="0"/>
      <w:marTop w:val="0"/>
      <w:marBottom w:val="0"/>
      <w:divBdr>
        <w:top w:val="none" w:sz="0" w:space="0" w:color="auto"/>
        <w:left w:val="none" w:sz="0" w:space="0" w:color="auto"/>
        <w:bottom w:val="none" w:sz="0" w:space="0" w:color="auto"/>
        <w:right w:val="none" w:sz="0" w:space="0" w:color="auto"/>
      </w:divBdr>
    </w:div>
    <w:div w:id="1912933306">
      <w:bodyDiv w:val="1"/>
      <w:marLeft w:val="0"/>
      <w:marRight w:val="0"/>
      <w:marTop w:val="0"/>
      <w:marBottom w:val="0"/>
      <w:divBdr>
        <w:top w:val="none" w:sz="0" w:space="0" w:color="auto"/>
        <w:left w:val="none" w:sz="0" w:space="0" w:color="auto"/>
        <w:bottom w:val="none" w:sz="0" w:space="0" w:color="auto"/>
        <w:right w:val="none" w:sz="0" w:space="0" w:color="auto"/>
      </w:divBdr>
    </w:div>
    <w:div w:id="2011633838">
      <w:bodyDiv w:val="1"/>
      <w:marLeft w:val="0"/>
      <w:marRight w:val="0"/>
      <w:marTop w:val="0"/>
      <w:marBottom w:val="0"/>
      <w:divBdr>
        <w:top w:val="none" w:sz="0" w:space="0" w:color="auto"/>
        <w:left w:val="none" w:sz="0" w:space="0" w:color="auto"/>
        <w:bottom w:val="none" w:sz="0" w:space="0" w:color="auto"/>
        <w:right w:val="none" w:sz="0" w:space="0" w:color="auto"/>
      </w:divBdr>
    </w:div>
    <w:div w:id="2100714892">
      <w:bodyDiv w:val="1"/>
      <w:marLeft w:val="0"/>
      <w:marRight w:val="0"/>
      <w:marTop w:val="0"/>
      <w:marBottom w:val="0"/>
      <w:divBdr>
        <w:top w:val="none" w:sz="0" w:space="0" w:color="auto"/>
        <w:left w:val="none" w:sz="0" w:space="0" w:color="auto"/>
        <w:bottom w:val="none" w:sz="0" w:space="0" w:color="auto"/>
        <w:right w:val="none" w:sz="0" w:space="0" w:color="auto"/>
      </w:divBdr>
    </w:div>
    <w:div w:id="2139832955">
      <w:bodyDiv w:val="1"/>
      <w:marLeft w:val="0"/>
      <w:marRight w:val="0"/>
      <w:marTop w:val="0"/>
      <w:marBottom w:val="0"/>
      <w:divBdr>
        <w:top w:val="none" w:sz="0" w:space="0" w:color="auto"/>
        <w:left w:val="none" w:sz="0" w:space="0" w:color="auto"/>
        <w:bottom w:val="none" w:sz="0" w:space="0" w:color="auto"/>
        <w:right w:val="none" w:sz="0" w:space="0" w:color="auto"/>
      </w:divBdr>
    </w:div>
    <w:div w:id="21423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0.04.003" TargetMode="External"/><Relationship Id="rId13" Type="http://schemas.openxmlformats.org/officeDocument/2006/relationships/hyperlink" Target="https://mnre.gov.in?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rser.2010.11.032" TargetMode="External"/><Relationship Id="rId12" Type="http://schemas.openxmlformats.org/officeDocument/2006/relationships/hyperlink" Target="https://doi.org/10.3390/en1010161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sd.2010.11.0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rser.2005.07.0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esd.2012.05.002" TargetMode="External"/><Relationship Id="rId14" Type="http://schemas.openxmlformats.org/officeDocument/2006/relationships/hyperlink" Target="https://www.iea.org/reports/india-energy-outlook-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13</Pages>
  <Words>5094</Words>
  <Characters>29037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 S</dc:creator>
  <cp:keywords/>
  <dc:description/>
  <cp:lastModifiedBy>SDI 1084</cp:lastModifiedBy>
  <cp:revision>184</cp:revision>
  <dcterms:created xsi:type="dcterms:W3CDTF">2024-11-28T04:01:00Z</dcterms:created>
  <dcterms:modified xsi:type="dcterms:W3CDTF">2025-11-21T09:17:00Z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366c7ab6-f243-40ba-8d04-1a984a0bb9b0</vt:lpwstr>
  </property>
</Properties>
</file>