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B4AE3" w14:textId="77777777" w:rsidR="003D64E6" w:rsidRDefault="003D64E6" w:rsidP="003D64E6">
      <w:pPr>
        <w:jc w:val="center"/>
        <w:rPr>
          <w:b/>
        </w:rPr>
      </w:pPr>
      <w:r>
        <w:rPr>
          <w:b/>
        </w:rPr>
        <w:t>E-Government a</w:t>
      </w:r>
      <w:r w:rsidRPr="003D64E6">
        <w:rPr>
          <w:b/>
        </w:rPr>
        <w:t>nd Public Procurement: A Scoping Review of Technolo</w:t>
      </w:r>
      <w:r>
        <w:rPr>
          <w:b/>
        </w:rPr>
        <w:t>gies, Institutional Readiness, a</w:t>
      </w:r>
      <w:r w:rsidRPr="003D64E6">
        <w:rPr>
          <w:b/>
        </w:rPr>
        <w:t>nd Governance Challenges</w:t>
      </w:r>
    </w:p>
    <w:p w14:paraId="3EEFAF50" w14:textId="77777777" w:rsidR="007E6265" w:rsidRDefault="007E6265" w:rsidP="003D64E6">
      <w:pPr>
        <w:jc w:val="center"/>
        <w:rPr>
          <w:b/>
        </w:rPr>
      </w:pPr>
    </w:p>
    <w:p w14:paraId="66D6AFAE" w14:textId="77777777" w:rsidR="007E6265" w:rsidRPr="003D64E6" w:rsidRDefault="007E6265" w:rsidP="003D64E6">
      <w:pPr>
        <w:jc w:val="center"/>
        <w:rPr>
          <w:rFonts w:cs="Times New Roman"/>
          <w:b/>
          <w:szCs w:val="24"/>
        </w:rPr>
      </w:pPr>
    </w:p>
    <w:p w14:paraId="40E4A8B4" w14:textId="77777777" w:rsidR="00624426" w:rsidRPr="00624426" w:rsidRDefault="00624426" w:rsidP="00624426">
      <w:pPr>
        <w:spacing w:after="100" w:afterAutospacing="1" w:line="240" w:lineRule="auto"/>
        <w:jc w:val="center"/>
        <w:rPr>
          <w:rFonts w:eastAsia="Times New Roman" w:cs="Times New Roman"/>
          <w:szCs w:val="24"/>
        </w:rPr>
      </w:pPr>
    </w:p>
    <w:p w14:paraId="1F28CABF" w14:textId="77777777" w:rsidR="00624426" w:rsidRDefault="002E13D7" w:rsidP="00D74AD9">
      <w:pPr>
        <w:jc w:val="both"/>
        <w:rPr>
          <w:rFonts w:cs="Times New Roman"/>
          <w:b/>
          <w:szCs w:val="24"/>
        </w:rPr>
      </w:pPr>
      <w:r>
        <w:rPr>
          <w:rFonts w:cs="Times New Roman"/>
          <w:b/>
          <w:szCs w:val="24"/>
        </w:rPr>
        <w:t>Abstract</w:t>
      </w:r>
    </w:p>
    <w:p w14:paraId="7AF6D48E" w14:textId="77777777" w:rsidR="00D74AD9" w:rsidRDefault="00D74AD9" w:rsidP="00D74AD9">
      <w:pPr>
        <w:pStyle w:val="NormalWeb"/>
        <w:jc w:val="both"/>
      </w:pPr>
      <w:r>
        <w:t>Digital transformation in public procurement is reshaping governance by embedding transparency, efficiency, and accountability into state operations. This scoping review explores the strategic adoption of e</w:t>
      </w:r>
      <w:r w:rsidR="00D443E5">
        <w:t>-</w:t>
      </w:r>
      <w:r>
        <w:t>Government tools in procurement systems, guided by Arksey and O’Malley’s framework as refined by Levac et al. It systematically maps 48 peer-reviewed articles and policy documents published between 2000 and 2025. The review identifies key technologies, including eProcurement platforms, blockchain systems, and AI-driven analytics, implemented across procurement procedures such as tendering, contract management, and auditing. Thematic synthesis reveals enabling conditions such as institutional readiness, ICT infrastructure, and policy support, alongside persistent barriers including infrastructural deficits, behavioral resistance, and regulatory fragmentation. While digital systems improve procurement outcomes, the review highlights underexplored issues such as adaptive corruption, digital exclusion, and trust dynamics. It concludes with implications for research and practice, emphasizing the need for longitudinal studies, inclusive platform design, and regulatory agility to ensure sustainable and equitable digital transformation in public procurement.</w:t>
      </w:r>
    </w:p>
    <w:p w14:paraId="6A453D40" w14:textId="77777777" w:rsidR="00D74AD9" w:rsidRPr="00D74AD9" w:rsidRDefault="00D74AD9" w:rsidP="00D74AD9">
      <w:pPr>
        <w:pStyle w:val="NormalWeb"/>
        <w:jc w:val="both"/>
        <w:rPr>
          <w:i/>
        </w:rPr>
      </w:pPr>
      <w:r>
        <w:rPr>
          <w:rStyle w:val="Strong"/>
        </w:rPr>
        <w:t>Keywords</w:t>
      </w:r>
      <w:r>
        <w:t xml:space="preserve">: </w:t>
      </w:r>
      <w:r w:rsidRPr="00D74AD9">
        <w:rPr>
          <w:i/>
        </w:rPr>
        <w:t>e</w:t>
      </w:r>
      <w:r w:rsidR="00D443E5">
        <w:rPr>
          <w:i/>
        </w:rPr>
        <w:t>-</w:t>
      </w:r>
      <w:r w:rsidRPr="00D74AD9">
        <w:rPr>
          <w:i/>
        </w:rPr>
        <w:t>Government, public procurement, digital reform, transparency, institutional readiness, Global South, adaptive corruption, trust dynamics</w:t>
      </w:r>
    </w:p>
    <w:p w14:paraId="7D4BAF37" w14:textId="77777777" w:rsidR="0060173B" w:rsidRPr="0060173B" w:rsidRDefault="0060173B" w:rsidP="0060173B">
      <w:pPr>
        <w:spacing w:before="100" w:beforeAutospacing="1" w:after="100" w:afterAutospacing="1" w:line="240" w:lineRule="auto"/>
        <w:outlineLvl w:val="2"/>
        <w:rPr>
          <w:rFonts w:eastAsia="Times New Roman" w:cs="Times New Roman"/>
          <w:b/>
          <w:bCs/>
          <w:sz w:val="27"/>
          <w:szCs w:val="27"/>
        </w:rPr>
      </w:pPr>
      <w:r w:rsidRPr="0060173B">
        <w:rPr>
          <w:rFonts w:eastAsia="Times New Roman" w:cs="Times New Roman"/>
          <w:b/>
          <w:bCs/>
          <w:sz w:val="27"/>
          <w:szCs w:val="27"/>
        </w:rPr>
        <w:t>1.</w:t>
      </w:r>
      <w:r>
        <w:rPr>
          <w:rFonts w:eastAsia="Times New Roman" w:cs="Times New Roman"/>
          <w:b/>
          <w:bCs/>
          <w:sz w:val="27"/>
          <w:szCs w:val="27"/>
        </w:rPr>
        <w:t>0</w:t>
      </w:r>
      <w:r w:rsidRPr="0060173B">
        <w:rPr>
          <w:rFonts w:eastAsia="Times New Roman" w:cs="Times New Roman"/>
          <w:b/>
          <w:bCs/>
          <w:sz w:val="27"/>
          <w:szCs w:val="27"/>
        </w:rPr>
        <w:t xml:space="preserve"> Introduction</w:t>
      </w:r>
    </w:p>
    <w:p w14:paraId="5B8DD18E" w14:textId="77777777" w:rsidR="0091766C" w:rsidRDefault="0091766C" w:rsidP="00570279">
      <w:pPr>
        <w:pStyle w:val="NormalWeb"/>
        <w:jc w:val="both"/>
      </w:pPr>
      <w:r>
        <w:t>Governments worldwide integrate e-Government systems into public procurement to enhance transparency, boost efficiency, and strengthen accountability in public sector operations. They digitize procurement workflows to reduce corruption, engage suppliers more effectively, and deliver services more responsively to citizens (</w:t>
      </w:r>
      <w:proofErr w:type="spellStart"/>
      <w:r>
        <w:t>Ayoyi</w:t>
      </w:r>
      <w:proofErr w:type="spellEnd"/>
      <w:r>
        <w:t xml:space="preserve"> &amp; </w:t>
      </w:r>
      <w:proofErr w:type="spellStart"/>
      <w:r>
        <w:t>Kipketer</w:t>
      </w:r>
      <w:proofErr w:type="spellEnd"/>
      <w:r>
        <w:t>, 2024; Hochstetter et al., 2023). In many countries, public procurement consumes a substantial share of government expenditure, prompting policymakers to treat e-Government adoption not as a mere technical upgrade but as a strategic reform with profound implications for governance. This strategic framing aligns with broader efforts to modernize public service delivery, as governments increasingly adopt digital systems across procurement and other domains (</w:t>
      </w:r>
      <w:proofErr w:type="spellStart"/>
      <w:r>
        <w:t>Respati</w:t>
      </w:r>
      <w:proofErr w:type="spellEnd"/>
      <w:r>
        <w:t xml:space="preserve">, 2020; </w:t>
      </w:r>
      <w:proofErr w:type="spellStart"/>
      <w:r>
        <w:t>Chaouali</w:t>
      </w:r>
      <w:proofErr w:type="spellEnd"/>
      <w:r>
        <w:t xml:space="preserve"> et al., 2016; Bhuiyan, 2011; Mishra &amp; Mishra, 2012).</w:t>
      </w:r>
    </w:p>
    <w:p w14:paraId="6AAD2919" w14:textId="77777777" w:rsidR="0091766C" w:rsidRDefault="0091766C" w:rsidP="00570279">
      <w:pPr>
        <w:pStyle w:val="NormalWeb"/>
        <w:jc w:val="both"/>
      </w:pPr>
      <w:r>
        <w:t xml:space="preserve">Governments began using digital tools in procurement in the late 1990s, responding to public sector reform agendas and the growing availability of internet-based services (Chan &amp; Owusu, 2022). For example, countries such as South Korea, Estonia, and Brazil launched centralized e-procurement platforms to fight corruption and strengthen fiscal oversight, often positioning these systems as pillars of transparency and efficiency (Shakya, 2024). Regional blocs like the European </w:t>
      </w:r>
      <w:r>
        <w:lastRenderedPageBreak/>
        <w:t>Union established regulatory frameworks that harmonized digital procurement standards across member states, promoting interoperability and legal coherence. Meanwhile, in Africa and Asia, national governments and development partners initiated reforms and funded e-Government systems to modernize procurement processes. However, adoption rates vary widely due to infrastructural, legislative, and capacity constraints (National Treasury of Kenya, 2024). These global efforts have transformed procurement into a strategic instrument of governance and have prompted scholars to examine how research has evolved in response to these shifts, particularly in relation to smart procurement, sustainability, and digital accountability (Chan &amp; Owusu, 2022).</w:t>
      </w:r>
    </w:p>
    <w:p w14:paraId="100E8F3C" w14:textId="77777777" w:rsidR="0091766C" w:rsidRDefault="0091766C" w:rsidP="00570279">
      <w:pPr>
        <w:pStyle w:val="NormalWeb"/>
        <w:jc w:val="both"/>
      </w:pPr>
      <w:r>
        <w:t>As e-Government systems become embedded in procurement practices, academic inquiry has expanded to evaluate their design, implementation, and impact. Scholars and practitioners increasingly recognize the value of e-Government in public procurement, yet research remains scattered across disciplines, regions, and methodological traditions. Studies often examine isolated case studies, evaluate specific platforms, or propose normative policy recommendations, which limits the ability to identify overarching patterns or assess the field’s maturity. This fragmentation calls for a scoping review that organizes existing scholarship, traces its conceptual development, and directs attention to areas that lack sufficient inquiry.</w:t>
      </w:r>
    </w:p>
    <w:p w14:paraId="19999A89" w14:textId="77777777" w:rsidR="00570279" w:rsidRDefault="0091766C" w:rsidP="00570279">
      <w:pPr>
        <w:pStyle w:val="NormalWeb"/>
        <w:jc w:val="both"/>
      </w:pPr>
      <w:r>
        <w:t xml:space="preserve">To structure this inquiry, the study poses the following research questions: </w:t>
      </w:r>
    </w:p>
    <w:p w14:paraId="34CA33EA" w14:textId="77777777" w:rsidR="000C1696" w:rsidRPr="000C1696" w:rsidRDefault="000C1696" w:rsidP="00164E57">
      <w:pPr>
        <w:pStyle w:val="NormalWeb"/>
        <w:numPr>
          <w:ilvl w:val="0"/>
          <w:numId w:val="1"/>
        </w:numPr>
        <w:jc w:val="both"/>
        <w:rPr>
          <w:rStyle w:val="Strong"/>
          <w:b w:val="0"/>
          <w:bCs w:val="0"/>
        </w:rPr>
      </w:pPr>
      <w:r w:rsidRPr="000C1696">
        <w:rPr>
          <w:rStyle w:val="Strong"/>
          <w:b w:val="0"/>
        </w:rPr>
        <w:t>What are the purposes of adopting e-government in public procurement</w:t>
      </w:r>
    </w:p>
    <w:p w14:paraId="4C36700C" w14:textId="77777777" w:rsidR="000C1696" w:rsidRPr="000C1696" w:rsidRDefault="000C1696" w:rsidP="00164E57">
      <w:pPr>
        <w:pStyle w:val="NormalWeb"/>
        <w:numPr>
          <w:ilvl w:val="0"/>
          <w:numId w:val="1"/>
        </w:numPr>
        <w:jc w:val="both"/>
        <w:rPr>
          <w:rStyle w:val="Strong"/>
          <w:b w:val="0"/>
          <w:bCs w:val="0"/>
        </w:rPr>
      </w:pPr>
      <w:r w:rsidRPr="000C1696">
        <w:rPr>
          <w:rStyle w:val="Strong"/>
          <w:b w:val="0"/>
        </w:rPr>
        <w:t>What types of technologies are used, and in which procurement procedures is e-government implemented?</w:t>
      </w:r>
    </w:p>
    <w:p w14:paraId="5F75669B" w14:textId="77777777" w:rsidR="000C1696" w:rsidRPr="000C1696" w:rsidRDefault="000C1696" w:rsidP="00164E57">
      <w:pPr>
        <w:pStyle w:val="NormalWeb"/>
        <w:numPr>
          <w:ilvl w:val="0"/>
          <w:numId w:val="1"/>
        </w:numPr>
        <w:jc w:val="both"/>
        <w:rPr>
          <w:rStyle w:val="Strong"/>
          <w:b w:val="0"/>
          <w:bCs w:val="0"/>
        </w:rPr>
      </w:pPr>
      <w:r w:rsidRPr="000C1696">
        <w:t xml:space="preserve"> </w:t>
      </w:r>
      <w:r w:rsidRPr="000C1696">
        <w:rPr>
          <w:rStyle w:val="Strong"/>
          <w:b w:val="0"/>
        </w:rPr>
        <w:t>What is known about the adoption and acceptance factors of e-government in public procurement?</w:t>
      </w:r>
    </w:p>
    <w:p w14:paraId="35EE37E1" w14:textId="77777777" w:rsidR="000C1696" w:rsidRPr="000C1696" w:rsidRDefault="000C1696" w:rsidP="00164E57">
      <w:pPr>
        <w:pStyle w:val="NormalWeb"/>
        <w:numPr>
          <w:ilvl w:val="0"/>
          <w:numId w:val="1"/>
        </w:numPr>
        <w:jc w:val="both"/>
      </w:pPr>
      <w:r w:rsidRPr="000C1696">
        <w:rPr>
          <w:rStyle w:val="Strong"/>
          <w:b w:val="0"/>
        </w:rPr>
        <w:t>What impacts arise from e-government services in the public procurement sector?</w:t>
      </w:r>
      <w:r w:rsidRPr="000C1696">
        <w:t xml:space="preserve"> </w:t>
      </w:r>
    </w:p>
    <w:p w14:paraId="0EE277FA" w14:textId="77777777" w:rsidR="000C1696" w:rsidRPr="000C1696" w:rsidRDefault="000C1696" w:rsidP="00164E57">
      <w:pPr>
        <w:pStyle w:val="NormalWeb"/>
        <w:numPr>
          <w:ilvl w:val="0"/>
          <w:numId w:val="1"/>
        </w:numPr>
        <w:jc w:val="both"/>
      </w:pPr>
      <w:r w:rsidRPr="000C1696">
        <w:rPr>
          <w:rStyle w:val="Strong"/>
          <w:b w:val="0"/>
        </w:rPr>
        <w:t>What is known about the challenges and barriers in implementing e-government in public procurement?</w:t>
      </w:r>
      <w:r w:rsidRPr="000C1696">
        <w:t xml:space="preserve"> </w:t>
      </w:r>
    </w:p>
    <w:p w14:paraId="21215F01" w14:textId="77777777" w:rsidR="0060173B" w:rsidRPr="0060173B" w:rsidRDefault="0060173B" w:rsidP="00BB6CEF">
      <w:pPr>
        <w:spacing w:before="100" w:beforeAutospacing="1" w:after="100" w:afterAutospacing="1" w:line="240" w:lineRule="auto"/>
        <w:jc w:val="both"/>
        <w:outlineLvl w:val="2"/>
        <w:rPr>
          <w:rFonts w:eastAsia="Times New Roman" w:cs="Times New Roman"/>
          <w:b/>
          <w:bCs/>
          <w:szCs w:val="24"/>
        </w:rPr>
      </w:pPr>
      <w:r w:rsidRPr="00BB6CEF">
        <w:rPr>
          <w:rFonts w:eastAsia="Times New Roman" w:cs="Times New Roman"/>
          <w:b/>
          <w:bCs/>
          <w:szCs w:val="24"/>
        </w:rPr>
        <w:t>2.0 Methodology</w:t>
      </w:r>
    </w:p>
    <w:p w14:paraId="18467126" w14:textId="77777777" w:rsidR="00BB6CEF" w:rsidRPr="00BB6CEF" w:rsidRDefault="00BB6CEF" w:rsidP="00BB6CEF">
      <w:pPr>
        <w:pStyle w:val="NormalWeb"/>
        <w:jc w:val="both"/>
      </w:pPr>
      <w:r w:rsidRPr="00BB6CEF">
        <w:t>This scoping review adopts the methodological framework proposed by Arksey and O’Malley (2005), refined through the enhancements suggested by Levac, Colquhoun, and O’Brien (2010), to systematically map scholarly and policy-oriented literature on e-Government adoption in public procurement. The approach is designed to clarify conceptual boundaries, identify thematic concentrations, and highlight research gaps across diverse institutional and geographical contexts.</w:t>
      </w:r>
    </w:p>
    <w:p w14:paraId="616F72BA" w14:textId="77777777" w:rsidR="00BB6CEF" w:rsidRPr="00BB6CEF" w:rsidRDefault="00BB6CEF" w:rsidP="00BB6CEF">
      <w:pPr>
        <w:pStyle w:val="Heading3"/>
        <w:jc w:val="both"/>
        <w:rPr>
          <w:sz w:val="24"/>
          <w:szCs w:val="24"/>
        </w:rPr>
      </w:pPr>
      <w:r w:rsidRPr="00BB6CEF">
        <w:rPr>
          <w:sz w:val="24"/>
          <w:szCs w:val="24"/>
        </w:rPr>
        <w:t>2.1 Framework and Rationale</w:t>
      </w:r>
    </w:p>
    <w:p w14:paraId="0B91450E" w14:textId="77777777" w:rsidR="000F1191" w:rsidRDefault="000F1191" w:rsidP="00BB6CEF">
      <w:pPr>
        <w:pStyle w:val="NormalWeb"/>
        <w:jc w:val="both"/>
      </w:pPr>
      <w:r>
        <w:t xml:space="preserve">Arksey and O’Malley (2005)’s five-stage framework comprises the identification of the research question, the identification of relevant studies, the selection of studies, the charting of data, and the collation, summarization, and reporting of results. This framework provides a flexible yet structured foundation for the inquiry. To enhance analytical depth, refinements proposed by Levac et al. (2010) were incorporated, particularly through iterative development of research questions, stakeholder consultation, and interpretive synthesis of findings. The integration of both </w:t>
      </w:r>
      <w:r>
        <w:lastRenderedPageBreak/>
        <w:t>frameworks ensures methodological transparency and supports the review’s goal of mapping fragmented scholarship into coherent thematic domains.</w:t>
      </w:r>
    </w:p>
    <w:p w14:paraId="5F12EABF" w14:textId="77777777" w:rsidR="00BB6CEF" w:rsidRPr="00BB6CEF" w:rsidRDefault="00BB6CEF" w:rsidP="00BB6CEF">
      <w:pPr>
        <w:pStyle w:val="Heading3"/>
        <w:jc w:val="both"/>
        <w:rPr>
          <w:sz w:val="24"/>
          <w:szCs w:val="24"/>
        </w:rPr>
      </w:pPr>
      <w:r w:rsidRPr="00BB6CEF">
        <w:rPr>
          <w:sz w:val="24"/>
          <w:szCs w:val="24"/>
        </w:rPr>
        <w:t>2.2 Search Strategy</w:t>
      </w:r>
    </w:p>
    <w:p w14:paraId="73C49838" w14:textId="77777777" w:rsidR="00C9359C" w:rsidRDefault="00C9359C" w:rsidP="00BB6CEF">
      <w:pPr>
        <w:pStyle w:val="NormalWeb"/>
        <w:jc w:val="both"/>
      </w:pPr>
      <w:r>
        <w:t>A comprehensive search was conducted as part of this scoping review, combining hand-searching with targeted exploration across six multidisciplinary electronic databases: Web of Science (formerly Web of Knowledge: http://apps.webofknowledge.com), ScienceDirect (http://sciencedirect.com), Scopus (http://www.scopus.com), ProQuest (http://www.proquest.com), IEEE Xplore (http://ieeexplore.ieee.org), and Google Scholar. This search was further supplemented by grey literature and policy documents sourced from global institutions such as the World Bank, OECD, UNDP, and national procurement authorities, ensuring broad coverage of scholarly and institutional perspectives relevant to digital procurement and e-governance.</w:t>
      </w:r>
    </w:p>
    <w:p w14:paraId="58109FB1" w14:textId="77777777" w:rsidR="00D3769D" w:rsidRDefault="00A24B9B" w:rsidP="00BB6CEF">
      <w:pPr>
        <w:pStyle w:val="NormalWeb"/>
        <w:jc w:val="both"/>
      </w:pPr>
      <w:r>
        <w:t>The search strategy employed Boolean operators and controlled vocabulary encompassing terms such as “e-Government” and “public procurement,” “digital procurement systems” or “e-procurement platforms,” “transparency” and “governance,” “ICT adoption,” “public sector reform,” “Global South,” and “institutional readiness.” Searches were restricted to publications from 2000 to 2025 to capture the evolution of digital procurement systems in response to global reform agendas and technological advancements. The accompanying table illustrates how e-government terms were explored based on spelling variations, synonyms, and specialized terminology used in public procurement contexts. In examining procurement nomenclature, the research identified that many countries incorporate the word “procurement” in the titles of their procurement departments, particularly within e-governance frameworks. However, alternative terms such as “supply,” “acquisition,” and “logistics” are also employed to denote similar functions, reflecting diverse administrative structures and digital governance strategies across jurisdictions.</w:t>
      </w:r>
    </w:p>
    <w:p w14:paraId="10CB332D" w14:textId="77777777" w:rsidR="00D3769D" w:rsidRPr="00B70852" w:rsidRDefault="00A24B9B" w:rsidP="00B70852">
      <w:pPr>
        <w:pStyle w:val="NormalWeb"/>
        <w:spacing w:after="0" w:afterAutospacing="0"/>
        <w:jc w:val="both"/>
        <w:rPr>
          <w:i/>
        </w:rPr>
      </w:pPr>
      <w:r w:rsidRPr="00B70852">
        <w:rPr>
          <w:b/>
          <w:i/>
        </w:rPr>
        <w:t>Table 1</w:t>
      </w:r>
      <w:r w:rsidRPr="00B70852">
        <w:rPr>
          <w:i/>
        </w:rPr>
        <w:t xml:space="preserve">. The Key Search Terms </w:t>
      </w:r>
    </w:p>
    <w:tbl>
      <w:tblPr>
        <w:tblStyle w:val="TableGrid"/>
        <w:tblW w:w="9270" w:type="dxa"/>
        <w:tblInd w:w="85" w:type="dxa"/>
        <w:tblLook w:val="04A0" w:firstRow="1" w:lastRow="0" w:firstColumn="1" w:lastColumn="0" w:noHBand="0" w:noVBand="1"/>
      </w:tblPr>
      <w:tblGrid>
        <w:gridCol w:w="2790"/>
        <w:gridCol w:w="6480"/>
      </w:tblGrid>
      <w:tr w:rsidR="00B70852" w:rsidRPr="004E261A" w14:paraId="461016B2" w14:textId="77777777" w:rsidTr="00B70852">
        <w:tc>
          <w:tcPr>
            <w:tcW w:w="2790" w:type="dxa"/>
            <w:vAlign w:val="center"/>
          </w:tcPr>
          <w:p w14:paraId="5E771213" w14:textId="77777777" w:rsidR="00B70852" w:rsidRPr="004E261A" w:rsidRDefault="00B70852" w:rsidP="00B70852">
            <w:pPr>
              <w:jc w:val="center"/>
              <w:rPr>
                <w:rFonts w:eastAsia="Times New Roman" w:cs="Times New Roman"/>
                <w:b/>
                <w:bCs/>
                <w:sz w:val="18"/>
                <w:szCs w:val="18"/>
              </w:rPr>
            </w:pPr>
            <w:r w:rsidRPr="004E261A">
              <w:rPr>
                <w:rFonts w:eastAsia="Times New Roman" w:cs="Times New Roman"/>
                <w:b/>
                <w:bCs/>
                <w:sz w:val="18"/>
                <w:szCs w:val="18"/>
              </w:rPr>
              <w:t>Item</w:t>
            </w:r>
          </w:p>
        </w:tc>
        <w:tc>
          <w:tcPr>
            <w:tcW w:w="6480" w:type="dxa"/>
            <w:vAlign w:val="center"/>
          </w:tcPr>
          <w:p w14:paraId="18FD3CBE" w14:textId="77777777" w:rsidR="00B70852" w:rsidRPr="004E261A" w:rsidRDefault="00B70852" w:rsidP="00B70852">
            <w:pPr>
              <w:jc w:val="center"/>
              <w:rPr>
                <w:rFonts w:eastAsia="Times New Roman" w:cs="Times New Roman"/>
                <w:b/>
                <w:bCs/>
                <w:sz w:val="18"/>
                <w:szCs w:val="18"/>
              </w:rPr>
            </w:pPr>
            <w:r w:rsidRPr="004E261A">
              <w:rPr>
                <w:rFonts w:eastAsia="Times New Roman" w:cs="Times New Roman"/>
                <w:b/>
                <w:bCs/>
                <w:sz w:val="18"/>
                <w:szCs w:val="18"/>
              </w:rPr>
              <w:t>Terms</w:t>
            </w:r>
          </w:p>
        </w:tc>
      </w:tr>
      <w:tr w:rsidR="00B70852" w:rsidRPr="004E261A" w14:paraId="232DDB50" w14:textId="77777777" w:rsidTr="00B70852">
        <w:tc>
          <w:tcPr>
            <w:tcW w:w="9270" w:type="dxa"/>
            <w:gridSpan w:val="2"/>
            <w:vAlign w:val="center"/>
          </w:tcPr>
          <w:p w14:paraId="7243840D" w14:textId="77777777" w:rsidR="00B70852" w:rsidRPr="004E261A" w:rsidRDefault="00B70852" w:rsidP="00B70852">
            <w:pPr>
              <w:rPr>
                <w:rFonts w:eastAsia="Times New Roman" w:cs="Times New Roman"/>
                <w:sz w:val="18"/>
                <w:szCs w:val="18"/>
              </w:rPr>
            </w:pPr>
            <w:r w:rsidRPr="004E261A">
              <w:rPr>
                <w:rFonts w:eastAsia="Times New Roman" w:cs="Times New Roman"/>
                <w:b/>
                <w:bCs/>
                <w:sz w:val="18"/>
                <w:szCs w:val="18"/>
              </w:rPr>
              <w:t>E-government terms</w:t>
            </w:r>
          </w:p>
        </w:tc>
      </w:tr>
      <w:tr w:rsidR="00B70852" w:rsidRPr="004E261A" w14:paraId="549E56CD" w14:textId="77777777" w:rsidTr="00B70852">
        <w:tc>
          <w:tcPr>
            <w:tcW w:w="2790" w:type="dxa"/>
            <w:vAlign w:val="center"/>
          </w:tcPr>
          <w:p w14:paraId="314357D1" w14:textId="77777777" w:rsidR="00B70852" w:rsidRPr="004E261A" w:rsidRDefault="00B70852" w:rsidP="00B70852">
            <w:pPr>
              <w:rPr>
                <w:rFonts w:eastAsia="Times New Roman" w:cs="Times New Roman"/>
                <w:sz w:val="18"/>
                <w:szCs w:val="18"/>
              </w:rPr>
            </w:pPr>
            <w:r w:rsidRPr="004E261A">
              <w:rPr>
                <w:rFonts w:eastAsia="Times New Roman" w:cs="Times New Roman"/>
                <w:sz w:val="18"/>
                <w:szCs w:val="18"/>
              </w:rPr>
              <w:t>Spelling of “e-government”</w:t>
            </w:r>
          </w:p>
        </w:tc>
        <w:tc>
          <w:tcPr>
            <w:tcW w:w="6480" w:type="dxa"/>
            <w:vAlign w:val="center"/>
          </w:tcPr>
          <w:p w14:paraId="7F8CB8E6" w14:textId="77777777" w:rsidR="00B70852" w:rsidRPr="004E261A" w:rsidRDefault="00B70852" w:rsidP="00B70852">
            <w:pPr>
              <w:rPr>
                <w:rFonts w:eastAsia="Times New Roman" w:cs="Times New Roman"/>
                <w:sz w:val="18"/>
                <w:szCs w:val="18"/>
              </w:rPr>
            </w:pPr>
            <w:r w:rsidRPr="004E261A">
              <w:rPr>
                <w:rFonts w:eastAsia="Times New Roman" w:cs="Times New Roman"/>
                <w:sz w:val="18"/>
                <w:szCs w:val="18"/>
              </w:rPr>
              <w:t>“eGovernment” or “</w:t>
            </w:r>
            <w:proofErr w:type="spellStart"/>
            <w:r w:rsidRPr="004E261A">
              <w:rPr>
                <w:rFonts w:eastAsia="Times New Roman" w:cs="Times New Roman"/>
                <w:sz w:val="18"/>
                <w:szCs w:val="18"/>
              </w:rPr>
              <w:t>egovernment</w:t>
            </w:r>
            <w:proofErr w:type="spellEnd"/>
            <w:r w:rsidRPr="004E261A">
              <w:rPr>
                <w:rFonts w:eastAsia="Times New Roman" w:cs="Times New Roman"/>
                <w:sz w:val="18"/>
                <w:szCs w:val="18"/>
              </w:rPr>
              <w:t>” or “EGovernment” or “</w:t>
            </w:r>
            <w:proofErr w:type="spellStart"/>
            <w:r w:rsidRPr="004E261A">
              <w:rPr>
                <w:rFonts w:eastAsia="Times New Roman" w:cs="Times New Roman"/>
                <w:sz w:val="18"/>
                <w:szCs w:val="18"/>
              </w:rPr>
              <w:t>Egovernment</w:t>
            </w:r>
            <w:proofErr w:type="spellEnd"/>
            <w:r w:rsidRPr="004E261A">
              <w:rPr>
                <w:rFonts w:eastAsia="Times New Roman" w:cs="Times New Roman"/>
                <w:sz w:val="18"/>
                <w:szCs w:val="18"/>
              </w:rPr>
              <w:t>” or “EGOV” or “</w:t>
            </w:r>
            <w:proofErr w:type="spellStart"/>
            <w:r w:rsidRPr="004E261A">
              <w:rPr>
                <w:rFonts w:eastAsia="Times New Roman" w:cs="Times New Roman"/>
                <w:sz w:val="18"/>
                <w:szCs w:val="18"/>
              </w:rPr>
              <w:t>egov</w:t>
            </w:r>
            <w:proofErr w:type="spellEnd"/>
            <w:r w:rsidRPr="004E261A">
              <w:rPr>
                <w:rFonts w:eastAsia="Times New Roman" w:cs="Times New Roman"/>
                <w:sz w:val="18"/>
                <w:szCs w:val="18"/>
              </w:rPr>
              <w:t>” or “electronic government” or “e-Government” or “E-government” or “e-Gov” or “e-gov”</w:t>
            </w:r>
          </w:p>
        </w:tc>
      </w:tr>
      <w:tr w:rsidR="00B70852" w:rsidRPr="004E261A" w14:paraId="24C63758" w14:textId="77777777" w:rsidTr="00B70852">
        <w:tc>
          <w:tcPr>
            <w:tcW w:w="2790" w:type="dxa"/>
            <w:vAlign w:val="center"/>
          </w:tcPr>
          <w:p w14:paraId="5974CB11" w14:textId="77777777" w:rsidR="00B70852" w:rsidRPr="004E261A" w:rsidRDefault="00B70852" w:rsidP="00B70852">
            <w:pPr>
              <w:rPr>
                <w:rFonts w:eastAsia="Times New Roman" w:cs="Times New Roman"/>
                <w:sz w:val="18"/>
                <w:szCs w:val="18"/>
              </w:rPr>
            </w:pPr>
            <w:r w:rsidRPr="004E261A">
              <w:rPr>
                <w:rFonts w:eastAsia="Times New Roman" w:cs="Times New Roman"/>
                <w:sz w:val="18"/>
                <w:szCs w:val="18"/>
              </w:rPr>
              <w:t>Synonym of “e-government”</w:t>
            </w:r>
          </w:p>
        </w:tc>
        <w:tc>
          <w:tcPr>
            <w:tcW w:w="6480" w:type="dxa"/>
            <w:vAlign w:val="center"/>
          </w:tcPr>
          <w:p w14:paraId="709F27C9" w14:textId="77777777" w:rsidR="00B70852" w:rsidRPr="004E261A" w:rsidRDefault="00B70852" w:rsidP="00B70852">
            <w:pPr>
              <w:rPr>
                <w:rFonts w:eastAsia="Times New Roman" w:cs="Times New Roman"/>
                <w:sz w:val="18"/>
                <w:szCs w:val="18"/>
              </w:rPr>
            </w:pPr>
            <w:r w:rsidRPr="004E261A">
              <w:rPr>
                <w:rFonts w:eastAsia="Times New Roman" w:cs="Times New Roman"/>
                <w:sz w:val="18"/>
                <w:szCs w:val="18"/>
              </w:rPr>
              <w:t>“digital government” or “smart government” or “online government”</w:t>
            </w:r>
          </w:p>
        </w:tc>
      </w:tr>
      <w:tr w:rsidR="00B70852" w:rsidRPr="004E261A" w14:paraId="002BAD83" w14:textId="77777777" w:rsidTr="00B70852">
        <w:tc>
          <w:tcPr>
            <w:tcW w:w="2790" w:type="dxa"/>
            <w:vAlign w:val="center"/>
          </w:tcPr>
          <w:p w14:paraId="6345DF0B" w14:textId="77777777" w:rsidR="00B70852" w:rsidRPr="004E261A" w:rsidRDefault="00B70852" w:rsidP="00B70852">
            <w:pPr>
              <w:rPr>
                <w:rFonts w:eastAsia="Times New Roman" w:cs="Times New Roman"/>
                <w:sz w:val="18"/>
                <w:szCs w:val="18"/>
              </w:rPr>
            </w:pPr>
            <w:r w:rsidRPr="004E261A">
              <w:rPr>
                <w:rFonts w:eastAsia="Times New Roman" w:cs="Times New Roman"/>
                <w:sz w:val="18"/>
                <w:szCs w:val="18"/>
              </w:rPr>
              <w:t>Specific terms of e-government in public procurement</w:t>
            </w:r>
          </w:p>
        </w:tc>
        <w:tc>
          <w:tcPr>
            <w:tcW w:w="6480" w:type="dxa"/>
            <w:vAlign w:val="center"/>
          </w:tcPr>
          <w:p w14:paraId="0A8A8C0E" w14:textId="77777777" w:rsidR="00B70852" w:rsidRPr="004E261A" w:rsidRDefault="00B70852" w:rsidP="00B70852">
            <w:pPr>
              <w:rPr>
                <w:rFonts w:eastAsia="Times New Roman" w:cs="Times New Roman"/>
                <w:sz w:val="18"/>
                <w:szCs w:val="18"/>
              </w:rPr>
            </w:pPr>
            <w:r w:rsidRPr="004E261A">
              <w:rPr>
                <w:rFonts w:eastAsia="Times New Roman" w:cs="Times New Roman"/>
                <w:sz w:val="18"/>
                <w:szCs w:val="18"/>
              </w:rPr>
              <w:t>“eProcurement” or “e-Procurement” or “electronic procurement” or “digital procurement” or “online procurement” or “</w:t>
            </w:r>
            <w:proofErr w:type="spellStart"/>
            <w:r w:rsidRPr="004E261A">
              <w:rPr>
                <w:rFonts w:eastAsia="Times New Roman" w:cs="Times New Roman"/>
                <w:sz w:val="18"/>
                <w:szCs w:val="18"/>
              </w:rPr>
              <w:t>ePurchasing</w:t>
            </w:r>
            <w:proofErr w:type="spellEnd"/>
            <w:r w:rsidRPr="004E261A">
              <w:rPr>
                <w:rFonts w:eastAsia="Times New Roman" w:cs="Times New Roman"/>
                <w:sz w:val="18"/>
                <w:szCs w:val="18"/>
              </w:rPr>
              <w:t>” or “e-Tendering” or “</w:t>
            </w:r>
            <w:proofErr w:type="spellStart"/>
            <w:r w:rsidRPr="004E261A">
              <w:rPr>
                <w:rFonts w:eastAsia="Times New Roman" w:cs="Times New Roman"/>
                <w:sz w:val="18"/>
                <w:szCs w:val="18"/>
              </w:rPr>
              <w:t>eSourcing</w:t>
            </w:r>
            <w:proofErr w:type="spellEnd"/>
            <w:r w:rsidRPr="004E261A">
              <w:rPr>
                <w:rFonts w:eastAsia="Times New Roman" w:cs="Times New Roman"/>
                <w:sz w:val="18"/>
                <w:szCs w:val="18"/>
              </w:rPr>
              <w:t>” or “</w:t>
            </w:r>
            <w:proofErr w:type="spellStart"/>
            <w:r w:rsidRPr="004E261A">
              <w:rPr>
                <w:rFonts w:eastAsia="Times New Roman" w:cs="Times New Roman"/>
                <w:sz w:val="18"/>
                <w:szCs w:val="18"/>
              </w:rPr>
              <w:t>eBidding</w:t>
            </w:r>
            <w:proofErr w:type="spellEnd"/>
            <w:r w:rsidRPr="004E261A">
              <w:rPr>
                <w:rFonts w:eastAsia="Times New Roman" w:cs="Times New Roman"/>
                <w:sz w:val="18"/>
                <w:szCs w:val="18"/>
              </w:rPr>
              <w:t>” or “</w:t>
            </w:r>
            <w:proofErr w:type="spellStart"/>
            <w:r w:rsidRPr="004E261A">
              <w:rPr>
                <w:rFonts w:eastAsia="Times New Roman" w:cs="Times New Roman"/>
                <w:sz w:val="18"/>
                <w:szCs w:val="18"/>
              </w:rPr>
              <w:t>eCatalogue</w:t>
            </w:r>
            <w:proofErr w:type="spellEnd"/>
            <w:r w:rsidRPr="004E261A">
              <w:rPr>
                <w:rFonts w:eastAsia="Times New Roman" w:cs="Times New Roman"/>
                <w:sz w:val="18"/>
                <w:szCs w:val="18"/>
              </w:rPr>
              <w:t>” or “</w:t>
            </w:r>
            <w:proofErr w:type="spellStart"/>
            <w:r w:rsidRPr="004E261A">
              <w:rPr>
                <w:rFonts w:eastAsia="Times New Roman" w:cs="Times New Roman"/>
                <w:sz w:val="18"/>
                <w:szCs w:val="18"/>
              </w:rPr>
              <w:t>eMarketplace</w:t>
            </w:r>
            <w:proofErr w:type="spellEnd"/>
            <w:r w:rsidRPr="004E261A">
              <w:rPr>
                <w:rFonts w:eastAsia="Times New Roman" w:cs="Times New Roman"/>
                <w:sz w:val="18"/>
                <w:szCs w:val="18"/>
              </w:rPr>
              <w:t>”</w:t>
            </w:r>
          </w:p>
        </w:tc>
      </w:tr>
      <w:tr w:rsidR="00B70852" w:rsidRPr="004E261A" w14:paraId="352582B9" w14:textId="77777777" w:rsidTr="00B70852">
        <w:tc>
          <w:tcPr>
            <w:tcW w:w="9270" w:type="dxa"/>
            <w:gridSpan w:val="2"/>
            <w:vAlign w:val="center"/>
          </w:tcPr>
          <w:p w14:paraId="26AC2573" w14:textId="77777777" w:rsidR="00B70852" w:rsidRPr="004E261A" w:rsidRDefault="00B70852" w:rsidP="00B70852">
            <w:pPr>
              <w:rPr>
                <w:rFonts w:eastAsia="Times New Roman" w:cs="Times New Roman"/>
                <w:sz w:val="18"/>
                <w:szCs w:val="18"/>
              </w:rPr>
            </w:pPr>
            <w:r w:rsidRPr="004E261A">
              <w:rPr>
                <w:rFonts w:eastAsia="Times New Roman" w:cs="Times New Roman"/>
                <w:b/>
                <w:bCs/>
                <w:sz w:val="18"/>
                <w:szCs w:val="18"/>
              </w:rPr>
              <w:t>Public procurement terms</w:t>
            </w:r>
          </w:p>
        </w:tc>
      </w:tr>
      <w:tr w:rsidR="00B70852" w:rsidRPr="004E261A" w14:paraId="169D6D3A" w14:textId="77777777" w:rsidTr="00B70852">
        <w:tc>
          <w:tcPr>
            <w:tcW w:w="2790" w:type="dxa"/>
            <w:vAlign w:val="center"/>
          </w:tcPr>
          <w:p w14:paraId="7B14C22E" w14:textId="77777777" w:rsidR="00B70852" w:rsidRPr="004E261A" w:rsidRDefault="00B70852" w:rsidP="00B70852">
            <w:pPr>
              <w:rPr>
                <w:rFonts w:eastAsia="Times New Roman" w:cs="Times New Roman"/>
                <w:sz w:val="18"/>
                <w:szCs w:val="18"/>
              </w:rPr>
            </w:pPr>
            <w:r w:rsidRPr="004E261A">
              <w:rPr>
                <w:rFonts w:eastAsia="Times New Roman" w:cs="Times New Roman"/>
                <w:sz w:val="18"/>
                <w:szCs w:val="18"/>
              </w:rPr>
              <w:t>General procurement terminology</w:t>
            </w:r>
          </w:p>
        </w:tc>
        <w:tc>
          <w:tcPr>
            <w:tcW w:w="6480" w:type="dxa"/>
            <w:vAlign w:val="center"/>
          </w:tcPr>
          <w:p w14:paraId="666A49C8" w14:textId="77777777" w:rsidR="00B70852" w:rsidRPr="004E261A" w:rsidRDefault="00B70852" w:rsidP="00B70852">
            <w:pPr>
              <w:rPr>
                <w:rFonts w:eastAsia="Times New Roman" w:cs="Times New Roman"/>
                <w:sz w:val="18"/>
                <w:szCs w:val="18"/>
              </w:rPr>
            </w:pPr>
            <w:r w:rsidRPr="004E261A">
              <w:rPr>
                <w:rFonts w:eastAsia="Times New Roman" w:cs="Times New Roman"/>
                <w:sz w:val="18"/>
                <w:szCs w:val="18"/>
              </w:rPr>
              <w:t>“public procurement” or “government procurement” or “procurement systems” or “procurement platforms” or “procurement authority” or “procurement department” or “procurement agency” or “procurement office”</w:t>
            </w:r>
          </w:p>
        </w:tc>
      </w:tr>
      <w:tr w:rsidR="00B70852" w:rsidRPr="004E261A" w14:paraId="01BB03E3" w14:textId="77777777" w:rsidTr="00B70852">
        <w:tc>
          <w:tcPr>
            <w:tcW w:w="2790" w:type="dxa"/>
            <w:vAlign w:val="center"/>
          </w:tcPr>
          <w:p w14:paraId="30740F4E" w14:textId="77777777" w:rsidR="00B70852" w:rsidRPr="004E261A" w:rsidRDefault="00B70852" w:rsidP="00B70852">
            <w:pPr>
              <w:rPr>
                <w:rFonts w:eastAsia="Times New Roman" w:cs="Times New Roman"/>
                <w:sz w:val="18"/>
                <w:szCs w:val="18"/>
              </w:rPr>
            </w:pPr>
            <w:r w:rsidRPr="004E261A">
              <w:rPr>
                <w:rFonts w:eastAsia="Times New Roman" w:cs="Times New Roman"/>
                <w:sz w:val="18"/>
                <w:szCs w:val="18"/>
              </w:rPr>
              <w:t>Alternative terms used by procurement organizations</w:t>
            </w:r>
          </w:p>
        </w:tc>
        <w:tc>
          <w:tcPr>
            <w:tcW w:w="6480" w:type="dxa"/>
            <w:vAlign w:val="center"/>
          </w:tcPr>
          <w:p w14:paraId="6F7BF6E1" w14:textId="77777777" w:rsidR="00B70852" w:rsidRPr="004E261A" w:rsidRDefault="00B70852" w:rsidP="00B70852">
            <w:pPr>
              <w:rPr>
                <w:rFonts w:eastAsia="Times New Roman" w:cs="Times New Roman"/>
                <w:sz w:val="18"/>
                <w:szCs w:val="18"/>
              </w:rPr>
            </w:pPr>
            <w:r w:rsidRPr="004E261A">
              <w:rPr>
                <w:rFonts w:eastAsia="Times New Roman" w:cs="Times New Roman"/>
                <w:sz w:val="18"/>
                <w:szCs w:val="18"/>
              </w:rPr>
              <w:t>“Procurement” or “Supply” or “Acquisition” or “Purchasing” or “Logistics” or “Contracting” or “Sourcing” or “Tendering”</w:t>
            </w:r>
          </w:p>
        </w:tc>
      </w:tr>
      <w:tr w:rsidR="00B70852" w:rsidRPr="004E261A" w14:paraId="2B515B4D" w14:textId="77777777" w:rsidTr="00B70852">
        <w:tc>
          <w:tcPr>
            <w:tcW w:w="2790" w:type="dxa"/>
            <w:vAlign w:val="center"/>
          </w:tcPr>
          <w:p w14:paraId="7E90CF89" w14:textId="77777777" w:rsidR="00B70852" w:rsidRPr="004E261A" w:rsidRDefault="00B70852" w:rsidP="00B70852">
            <w:pPr>
              <w:rPr>
                <w:rFonts w:eastAsia="Times New Roman" w:cs="Times New Roman"/>
                <w:sz w:val="18"/>
                <w:szCs w:val="18"/>
              </w:rPr>
            </w:pPr>
            <w:r w:rsidRPr="004E261A">
              <w:rPr>
                <w:rFonts w:eastAsia="Times New Roman" w:cs="Times New Roman"/>
                <w:bCs/>
                <w:sz w:val="18"/>
                <w:szCs w:val="18"/>
              </w:rPr>
              <w:t>Key terms used</w:t>
            </w:r>
          </w:p>
        </w:tc>
        <w:tc>
          <w:tcPr>
            <w:tcW w:w="6480" w:type="dxa"/>
            <w:vAlign w:val="center"/>
          </w:tcPr>
          <w:p w14:paraId="1476C431" w14:textId="77777777" w:rsidR="00B70852" w:rsidRPr="004E261A" w:rsidRDefault="00B70852" w:rsidP="00B70852">
            <w:pPr>
              <w:rPr>
                <w:rFonts w:eastAsia="Times New Roman" w:cs="Times New Roman"/>
                <w:sz w:val="18"/>
                <w:szCs w:val="18"/>
              </w:rPr>
            </w:pPr>
            <w:r w:rsidRPr="004E261A">
              <w:rPr>
                <w:rFonts w:eastAsia="Times New Roman" w:cs="Times New Roman"/>
                <w:sz w:val="18"/>
                <w:szCs w:val="18"/>
              </w:rPr>
              <w:t>("eGovernment" OR "</w:t>
            </w:r>
            <w:proofErr w:type="spellStart"/>
            <w:r w:rsidRPr="004E261A">
              <w:rPr>
                <w:rFonts w:eastAsia="Times New Roman" w:cs="Times New Roman"/>
                <w:sz w:val="18"/>
                <w:szCs w:val="18"/>
              </w:rPr>
              <w:t>egov</w:t>
            </w:r>
            <w:proofErr w:type="spellEnd"/>
            <w:r w:rsidRPr="004E261A">
              <w:rPr>
                <w:rFonts w:eastAsia="Times New Roman" w:cs="Times New Roman"/>
                <w:sz w:val="18"/>
                <w:szCs w:val="18"/>
              </w:rPr>
              <w:t>" OR "electronic government" OR {e-Government} OR {E-Gov} OR "Digital Government" OR "eProcurement</w:t>
            </w:r>
            <w:r w:rsidRPr="004E261A">
              <w:rPr>
                <w:rFonts w:eastAsia="Times New Roman" w:cs="Times New Roman"/>
                <w:i/>
                <w:iCs/>
                <w:sz w:val="18"/>
                <w:szCs w:val="18"/>
              </w:rPr>
              <w:t>" OR {e-Procurement</w:t>
            </w:r>
            <w:r w:rsidRPr="004E261A">
              <w:rPr>
                <w:rFonts w:eastAsia="Times New Roman" w:cs="Times New Roman"/>
                <w:sz w:val="18"/>
                <w:szCs w:val="18"/>
              </w:rPr>
              <w:t>} OR "electronic procurement</w:t>
            </w:r>
            <w:r w:rsidRPr="004E261A">
              <w:rPr>
                <w:rFonts w:eastAsia="Times New Roman" w:cs="Times New Roman"/>
                <w:i/>
                <w:iCs/>
                <w:sz w:val="18"/>
                <w:szCs w:val="18"/>
              </w:rPr>
              <w:t>" OR "</w:t>
            </w:r>
            <w:proofErr w:type="spellStart"/>
            <w:r w:rsidRPr="004E261A">
              <w:rPr>
                <w:rFonts w:eastAsia="Times New Roman" w:cs="Times New Roman"/>
                <w:i/>
                <w:iCs/>
                <w:sz w:val="18"/>
                <w:szCs w:val="18"/>
              </w:rPr>
              <w:t>eTendering</w:t>
            </w:r>
            <w:proofErr w:type="spellEnd"/>
            <w:r w:rsidRPr="004E261A">
              <w:rPr>
                <w:rFonts w:eastAsia="Times New Roman" w:cs="Times New Roman"/>
                <w:sz w:val="18"/>
                <w:szCs w:val="18"/>
              </w:rPr>
              <w:t>" OR "</w:t>
            </w:r>
            <w:proofErr w:type="spellStart"/>
            <w:r w:rsidRPr="004E261A">
              <w:rPr>
                <w:rFonts w:eastAsia="Times New Roman" w:cs="Times New Roman"/>
                <w:sz w:val="18"/>
                <w:szCs w:val="18"/>
              </w:rPr>
              <w:t>ePurchasing</w:t>
            </w:r>
            <w:proofErr w:type="spellEnd"/>
            <w:r w:rsidRPr="004E261A">
              <w:rPr>
                <w:rFonts w:eastAsia="Times New Roman" w:cs="Times New Roman"/>
                <w:i/>
                <w:iCs/>
                <w:sz w:val="18"/>
                <w:szCs w:val="18"/>
              </w:rPr>
              <w:t>" OR "</w:t>
            </w:r>
            <w:proofErr w:type="spellStart"/>
            <w:r w:rsidRPr="004E261A">
              <w:rPr>
                <w:rFonts w:eastAsia="Times New Roman" w:cs="Times New Roman"/>
                <w:i/>
                <w:iCs/>
                <w:sz w:val="18"/>
                <w:szCs w:val="18"/>
              </w:rPr>
              <w:t>eSourcing</w:t>
            </w:r>
            <w:proofErr w:type="spellEnd"/>
            <w:r w:rsidRPr="004E261A">
              <w:rPr>
                <w:rFonts w:eastAsia="Times New Roman" w:cs="Times New Roman"/>
                <w:sz w:val="18"/>
                <w:szCs w:val="18"/>
              </w:rPr>
              <w:t>" OR "</w:t>
            </w:r>
            <w:proofErr w:type="spellStart"/>
            <w:r w:rsidRPr="004E261A">
              <w:rPr>
                <w:rFonts w:eastAsia="Times New Roman" w:cs="Times New Roman"/>
                <w:sz w:val="18"/>
                <w:szCs w:val="18"/>
              </w:rPr>
              <w:t>eBidding</w:t>
            </w:r>
            <w:proofErr w:type="spellEnd"/>
            <w:r w:rsidRPr="004E261A">
              <w:rPr>
                <w:rFonts w:eastAsia="Times New Roman" w:cs="Times New Roman"/>
                <w:i/>
                <w:iCs/>
                <w:sz w:val="18"/>
                <w:szCs w:val="18"/>
              </w:rPr>
              <w:t>" OR "</w:t>
            </w:r>
            <w:proofErr w:type="spellStart"/>
            <w:r w:rsidRPr="004E261A">
              <w:rPr>
                <w:rFonts w:eastAsia="Times New Roman" w:cs="Times New Roman"/>
                <w:i/>
                <w:iCs/>
                <w:sz w:val="18"/>
                <w:szCs w:val="18"/>
              </w:rPr>
              <w:t>eMarketplace</w:t>
            </w:r>
            <w:proofErr w:type="spellEnd"/>
            <w:r w:rsidRPr="004E261A">
              <w:rPr>
                <w:rFonts w:eastAsia="Times New Roman" w:cs="Times New Roman"/>
                <w:sz w:val="18"/>
                <w:szCs w:val="18"/>
              </w:rPr>
              <w:t>") AND ("Procurement" OR "Supply" OR "Acquisition" OR "Tendering")</w:t>
            </w:r>
          </w:p>
        </w:tc>
      </w:tr>
    </w:tbl>
    <w:p w14:paraId="6B286818" w14:textId="77777777" w:rsidR="00A24B9B" w:rsidRDefault="00B70852" w:rsidP="00B70852">
      <w:pPr>
        <w:pStyle w:val="NormalWeb"/>
        <w:spacing w:before="0" w:beforeAutospacing="0"/>
        <w:jc w:val="both"/>
        <w:rPr>
          <w:i/>
        </w:rPr>
      </w:pPr>
      <w:r w:rsidRPr="00A24B9B">
        <w:rPr>
          <w:b/>
        </w:rPr>
        <w:t>Source:</w:t>
      </w:r>
      <w:r>
        <w:t xml:space="preserve"> </w:t>
      </w:r>
      <w:r w:rsidRPr="00A24B9B">
        <w:rPr>
          <w:i/>
        </w:rPr>
        <w:t>Author’s analysis</w:t>
      </w:r>
      <w:r>
        <w:rPr>
          <w:i/>
        </w:rPr>
        <w:t>, 2025</w:t>
      </w:r>
    </w:p>
    <w:p w14:paraId="082E59BB" w14:textId="77777777" w:rsidR="00BB6CEF" w:rsidRPr="00BB6CEF" w:rsidRDefault="00BB6CEF" w:rsidP="00BB6CEF">
      <w:pPr>
        <w:pStyle w:val="Heading3"/>
        <w:jc w:val="both"/>
        <w:rPr>
          <w:sz w:val="24"/>
          <w:szCs w:val="24"/>
        </w:rPr>
      </w:pPr>
      <w:r w:rsidRPr="00BB6CEF">
        <w:rPr>
          <w:sz w:val="24"/>
          <w:szCs w:val="24"/>
        </w:rPr>
        <w:lastRenderedPageBreak/>
        <w:t>2.3 Inclusion and Exclusion Criteria</w:t>
      </w:r>
    </w:p>
    <w:p w14:paraId="75351BE5" w14:textId="77777777" w:rsidR="00BB6CEF" w:rsidRPr="00BB6CEF" w:rsidRDefault="00BB6CEF" w:rsidP="00BB6CEF">
      <w:pPr>
        <w:pStyle w:val="NormalWeb"/>
        <w:jc w:val="both"/>
      </w:pPr>
      <w:r w:rsidRPr="00BB6CEF">
        <w:t>Studies were included if they:</w:t>
      </w:r>
    </w:p>
    <w:p w14:paraId="117C0C8A" w14:textId="77777777" w:rsidR="00BB6CEF" w:rsidRPr="00BB6CEF" w:rsidRDefault="00BB6CEF" w:rsidP="00164E57">
      <w:pPr>
        <w:pStyle w:val="NormalWeb"/>
        <w:numPr>
          <w:ilvl w:val="0"/>
          <w:numId w:val="2"/>
        </w:numPr>
        <w:jc w:val="both"/>
      </w:pPr>
      <w:r w:rsidRPr="00BB6CEF">
        <w:t>Focused explicitly on e-Government or digital systems in public procurement</w:t>
      </w:r>
    </w:p>
    <w:p w14:paraId="5EF9D6C8" w14:textId="77777777" w:rsidR="00BB6CEF" w:rsidRPr="00BB6CEF" w:rsidRDefault="00BB6CEF" w:rsidP="00164E57">
      <w:pPr>
        <w:pStyle w:val="NormalWeb"/>
        <w:numPr>
          <w:ilvl w:val="0"/>
          <w:numId w:val="2"/>
        </w:numPr>
        <w:jc w:val="both"/>
      </w:pPr>
      <w:r w:rsidRPr="00BB6CEF">
        <w:t>Were peer-reviewed articles, policy reports, or institutional publications</w:t>
      </w:r>
    </w:p>
    <w:p w14:paraId="31B1AFE4" w14:textId="77777777" w:rsidR="00BB6CEF" w:rsidRPr="00BB6CEF" w:rsidRDefault="00BB6CEF" w:rsidP="00164E57">
      <w:pPr>
        <w:pStyle w:val="NormalWeb"/>
        <w:numPr>
          <w:ilvl w:val="0"/>
          <w:numId w:val="2"/>
        </w:numPr>
        <w:jc w:val="both"/>
      </w:pPr>
      <w:r w:rsidRPr="00BB6CEF">
        <w:t>Provided empirical, conceptual, or theoretical insights relevant to the research questions</w:t>
      </w:r>
    </w:p>
    <w:p w14:paraId="08B593A0" w14:textId="77777777" w:rsidR="00BB6CEF" w:rsidRPr="00BB6CEF" w:rsidRDefault="00BB6CEF" w:rsidP="00164E57">
      <w:pPr>
        <w:pStyle w:val="NormalWeb"/>
        <w:numPr>
          <w:ilvl w:val="0"/>
          <w:numId w:val="2"/>
        </w:numPr>
        <w:jc w:val="both"/>
      </w:pPr>
      <w:r w:rsidRPr="00BB6CEF">
        <w:t>Were published in English</w:t>
      </w:r>
    </w:p>
    <w:p w14:paraId="38ED13C7" w14:textId="77777777" w:rsidR="00BB6CEF" w:rsidRPr="00BB6CEF" w:rsidRDefault="00BB6CEF" w:rsidP="00BB6CEF">
      <w:pPr>
        <w:pStyle w:val="NormalWeb"/>
        <w:jc w:val="both"/>
      </w:pPr>
      <w:r w:rsidRPr="00BB6CEF">
        <w:t>Excluded materials comprised:</w:t>
      </w:r>
    </w:p>
    <w:p w14:paraId="7A1C8B09" w14:textId="77777777" w:rsidR="00BB6CEF" w:rsidRPr="00BB6CEF" w:rsidRDefault="00BB6CEF" w:rsidP="00164E57">
      <w:pPr>
        <w:pStyle w:val="NormalWeb"/>
        <w:numPr>
          <w:ilvl w:val="0"/>
          <w:numId w:val="3"/>
        </w:numPr>
        <w:jc w:val="both"/>
      </w:pPr>
      <w:r w:rsidRPr="00BB6CEF">
        <w:t>Studies addressing private sector procurement without public sector relevance</w:t>
      </w:r>
    </w:p>
    <w:p w14:paraId="340EDEFE" w14:textId="77777777" w:rsidR="00BB6CEF" w:rsidRPr="00BB6CEF" w:rsidRDefault="00BB6CEF" w:rsidP="00164E57">
      <w:pPr>
        <w:pStyle w:val="NormalWeb"/>
        <w:numPr>
          <w:ilvl w:val="0"/>
          <w:numId w:val="3"/>
        </w:numPr>
        <w:jc w:val="both"/>
      </w:pPr>
      <w:r w:rsidRPr="00BB6CEF">
        <w:t>Articles lacking methodological transparency or substantive engagement with e-Government themes</w:t>
      </w:r>
    </w:p>
    <w:p w14:paraId="398D8087" w14:textId="77777777" w:rsidR="00BB6CEF" w:rsidRPr="00BB6CEF" w:rsidRDefault="00BB6CEF" w:rsidP="00164E57">
      <w:pPr>
        <w:pStyle w:val="NormalWeb"/>
        <w:numPr>
          <w:ilvl w:val="0"/>
          <w:numId w:val="3"/>
        </w:numPr>
        <w:jc w:val="both"/>
      </w:pPr>
      <w:r w:rsidRPr="00BB6CEF">
        <w:t>Editorials, opinion pieces, and non-scholarly commentaries</w:t>
      </w:r>
    </w:p>
    <w:p w14:paraId="0488951C" w14:textId="77777777" w:rsidR="00BB6CEF" w:rsidRPr="00BB6CEF" w:rsidRDefault="00BB6CEF" w:rsidP="00BB6CEF">
      <w:pPr>
        <w:pStyle w:val="Heading3"/>
        <w:jc w:val="both"/>
        <w:rPr>
          <w:sz w:val="24"/>
          <w:szCs w:val="24"/>
        </w:rPr>
      </w:pPr>
      <w:r w:rsidRPr="00BB6CEF">
        <w:rPr>
          <w:sz w:val="24"/>
          <w:szCs w:val="24"/>
        </w:rPr>
        <w:t>2.4 Screening and Selection Process</w:t>
      </w:r>
    </w:p>
    <w:p w14:paraId="06CD1364" w14:textId="77777777" w:rsidR="00BB6CEF" w:rsidRPr="00BB6CEF" w:rsidRDefault="00BB6CEF" w:rsidP="00BB6CEF">
      <w:pPr>
        <w:pStyle w:val="NormalWeb"/>
        <w:jc w:val="both"/>
      </w:pPr>
      <w:r w:rsidRPr="00BB6CEF">
        <w:t>Titles and abstracts we</w:t>
      </w:r>
      <w:r w:rsidR="00D9501E">
        <w:t>re screened independently</w:t>
      </w:r>
      <w:r w:rsidRPr="00BB6CEF">
        <w:t xml:space="preserve"> to ensure relevance and reduce bia</w:t>
      </w:r>
      <w:r w:rsidR="00D9501E">
        <w:t>s. Full-text screening followed</w:t>
      </w:r>
      <w:r w:rsidRPr="00BB6CEF">
        <w:t>. A PRISMA flow diagram was constructed to document the selection process and ensure replicability.</w:t>
      </w:r>
    </w:p>
    <w:p w14:paraId="046D89FF" w14:textId="77777777" w:rsidR="00BB6CEF" w:rsidRPr="00BB6CEF" w:rsidRDefault="00BB6CEF" w:rsidP="00BB6CEF">
      <w:pPr>
        <w:pStyle w:val="Heading3"/>
        <w:jc w:val="both"/>
        <w:rPr>
          <w:sz w:val="24"/>
          <w:szCs w:val="24"/>
        </w:rPr>
      </w:pPr>
      <w:r w:rsidRPr="00BB6CEF">
        <w:rPr>
          <w:sz w:val="24"/>
          <w:szCs w:val="24"/>
        </w:rPr>
        <w:t>2.5 Data Charting and Synthesis</w:t>
      </w:r>
    </w:p>
    <w:p w14:paraId="7953A49F" w14:textId="77777777" w:rsidR="00BB6CEF" w:rsidRPr="00BB6CEF" w:rsidRDefault="00BB6CEF" w:rsidP="00D9501E">
      <w:pPr>
        <w:pStyle w:val="NormalWeb"/>
        <w:jc w:val="both"/>
      </w:pPr>
      <w:r w:rsidRPr="00BB6CEF">
        <w:t>A standardized data extraction template was developed to chart key variables, including:</w:t>
      </w:r>
      <w:r w:rsidR="00D9501E">
        <w:t xml:space="preserve"> </w:t>
      </w:r>
      <w:r w:rsidRPr="00BB6CEF">
        <w:t>Author(s), year, and publication outlet</w:t>
      </w:r>
      <w:r w:rsidR="00D9501E">
        <w:t xml:space="preserve">; </w:t>
      </w:r>
      <w:r w:rsidRPr="00BB6CEF">
        <w:t>Geographical focus and institutional setting</w:t>
      </w:r>
      <w:r w:rsidR="00D9501E">
        <w:t xml:space="preserve">; </w:t>
      </w:r>
      <w:r w:rsidRPr="00BB6CEF">
        <w:t>Theoretical or conceptual frameworks applied</w:t>
      </w:r>
      <w:r w:rsidR="00D9501E">
        <w:t xml:space="preserve">; </w:t>
      </w:r>
      <w:r w:rsidRPr="00BB6CEF">
        <w:t>Methodological design and data sources</w:t>
      </w:r>
      <w:r w:rsidR="00D9501E">
        <w:t xml:space="preserve"> and </w:t>
      </w:r>
      <w:r w:rsidRPr="00BB6CEF">
        <w:t>Reported challenges, opportunities, and outcomes</w:t>
      </w:r>
    </w:p>
    <w:p w14:paraId="18DF4F51" w14:textId="77777777" w:rsidR="00BB6CEF" w:rsidRDefault="00BB6CEF" w:rsidP="00BB6CEF">
      <w:pPr>
        <w:pStyle w:val="NormalWeb"/>
        <w:jc w:val="both"/>
      </w:pPr>
      <w:r w:rsidRPr="00BB6CEF">
        <w:t xml:space="preserve">Thematic synthesis was conducted using an inductive coding approach, allowing emergent patterns to inform the categorization of findings. Themes were clustered around process automation, anti-corruption safeguards, stakeholder engagement, regulatory adaptation, and enabling conditions such as political commitment and ICT infrastructure. </w:t>
      </w:r>
    </w:p>
    <w:p w14:paraId="49F28B1A" w14:textId="77777777" w:rsidR="0060173B" w:rsidRPr="0060173B" w:rsidRDefault="0060173B" w:rsidP="009658B5">
      <w:pPr>
        <w:pStyle w:val="Heading3"/>
      </w:pPr>
      <w:r w:rsidRPr="0060173B">
        <w:t>3.</w:t>
      </w:r>
      <w:r>
        <w:t>0</w:t>
      </w:r>
      <w:r w:rsidRPr="0060173B">
        <w:t xml:space="preserve"> Descriptive Overview of Included Studies</w:t>
      </w:r>
    </w:p>
    <w:p w14:paraId="78CF3284" w14:textId="77777777" w:rsidR="0029104C" w:rsidRPr="0029104C" w:rsidRDefault="0029104C" w:rsidP="00F65CE2">
      <w:pPr>
        <w:spacing w:before="100" w:beforeAutospacing="1" w:after="100" w:afterAutospacing="1" w:line="240" w:lineRule="auto"/>
        <w:jc w:val="both"/>
        <w:rPr>
          <w:rFonts w:cs="Times New Roman"/>
          <w:b/>
          <w:szCs w:val="24"/>
        </w:rPr>
      </w:pPr>
      <w:r w:rsidRPr="0029104C">
        <w:rPr>
          <w:rFonts w:cs="Times New Roman"/>
          <w:b/>
          <w:szCs w:val="24"/>
        </w:rPr>
        <w:t>3.1 Study Selection</w:t>
      </w:r>
    </w:p>
    <w:p w14:paraId="3FD1FC7F" w14:textId="77777777" w:rsidR="007D40DF" w:rsidRPr="00897C03" w:rsidRDefault="00F65CE2" w:rsidP="00F65CE2">
      <w:pPr>
        <w:spacing w:before="100" w:beforeAutospacing="1" w:after="100" w:afterAutospacing="1" w:line="240" w:lineRule="auto"/>
        <w:jc w:val="both"/>
        <w:rPr>
          <w:rFonts w:eastAsia="Times New Roman" w:cs="Times New Roman"/>
          <w:szCs w:val="24"/>
          <w:highlight w:val="yellow"/>
        </w:rPr>
      </w:pPr>
      <w:r w:rsidRPr="00897C03">
        <w:rPr>
          <w:rFonts w:cs="Times New Roman"/>
          <w:szCs w:val="24"/>
        </w:rPr>
        <w:t xml:space="preserve">As shown in </w:t>
      </w:r>
      <w:r w:rsidR="007E5F35" w:rsidRPr="00897C03">
        <w:rPr>
          <w:rFonts w:cs="Times New Roman"/>
          <w:szCs w:val="24"/>
        </w:rPr>
        <w:t>Table 2</w:t>
      </w:r>
      <w:r w:rsidRPr="00897C03">
        <w:rPr>
          <w:rFonts w:cs="Times New Roman"/>
          <w:szCs w:val="24"/>
        </w:rPr>
        <w:t xml:space="preserve">, a number of studies addressing e-Government had to be excluded during the research selection process. Since the focus of the scoping review is on the implementation of e-Government in public procurement, several studies discussing only general aspects of digital governance, without linking them to procurement systems, were not included. In addition, articles that lacked methodological transparency, focused exclusively on private sector procurement, or were editorial in nature were also filtered out. Due to limitations in accessing full-text articles from certain publishers, some potentially relevant studies could not be assessed for eligibility. Ultimately, out of the 63 records initially identified, six duplicates were removed, and 57 articles </w:t>
      </w:r>
      <w:r w:rsidRPr="00897C03">
        <w:rPr>
          <w:rFonts w:cs="Times New Roman"/>
          <w:szCs w:val="24"/>
        </w:rPr>
        <w:lastRenderedPageBreak/>
        <w:t>were screened. Following title and abstract review, 51 full-text articles were assessed, of which three were excluded based on the predefined criteria. A total of 48 studies were included in the final synthesis, ensuring a rigorous and replicable selection process aligned with the Preferred Reporting Items for Systematic Reviews and Meta-Analyses (PRISMA) Statement by Moher and colleagues (2010).</w:t>
      </w:r>
    </w:p>
    <w:p w14:paraId="75D0686E" w14:textId="77777777" w:rsidR="00247B4D" w:rsidRDefault="00247B4D" w:rsidP="007E5F35">
      <w:pPr>
        <w:pStyle w:val="NormalWeb"/>
        <w:spacing w:after="0" w:afterAutospacing="0"/>
        <w:jc w:val="both"/>
        <w:rPr>
          <w:i/>
        </w:rPr>
      </w:pPr>
      <w:r w:rsidRPr="00247B4D">
        <w:rPr>
          <w:b/>
          <w:i/>
        </w:rPr>
        <w:t>Figure 1.</w:t>
      </w:r>
      <w:r>
        <w:t xml:space="preserve"> </w:t>
      </w:r>
      <w:r w:rsidRPr="00247B4D">
        <w:rPr>
          <w:i/>
        </w:rPr>
        <w:t>Literature Search Results and Study Selection</w:t>
      </w:r>
    </w:p>
    <w:p w14:paraId="57432B10" w14:textId="77777777" w:rsidR="00247B4D" w:rsidRDefault="00247B4D" w:rsidP="007E5F35">
      <w:pPr>
        <w:pStyle w:val="NormalWeb"/>
        <w:spacing w:after="0" w:afterAutospacing="0"/>
        <w:jc w:val="both"/>
        <w:rPr>
          <w:i/>
        </w:rPr>
      </w:pPr>
      <w:r>
        <w:rPr>
          <w:noProof/>
        </w:rPr>
        <w:drawing>
          <wp:inline distT="0" distB="0" distL="0" distR="0" wp14:anchorId="094F13CF" wp14:editId="39B7B0E9">
            <wp:extent cx="5686425" cy="4686300"/>
            <wp:effectExtent l="0" t="0" r="9525" b="0"/>
            <wp:docPr id="1" name="Picture 1" descr="Create a flowchart-style PRISMA diagram showing the selection of studies. Include the following stages and counts:&#10;&#10;Identification:&#10;- Records identified through database searching and institutional sources: n = 63&#10;&#10;Screening:&#10;- Duplicates removed: n = 6&#10;- Records screened (titles and abstracts): n = 57&#10;- Records excluded for irrelevance to e-Government in public procurement: n = 6&#10;&#10;Eligibility:&#10;- Full-text articles assessed for eligibility: n = 51&#10;- Full-text articles excluded, with reasons:&#10;  - Focused only on general digital governance: n = 1&#10;  - Addressed private sector procurement only: n = 1&#10;  - Lacked methodological transparency or scholarly rigor: n = 1&#10;&#10;Included:&#10;- Studies included in final synthesis: n =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e a flowchart-style PRISMA diagram showing the selection of studies. Include the following stages and counts:&#10;&#10;Identification:&#10;- Records identified through database searching and institutional sources: n = 63&#10;&#10;Screening:&#10;- Duplicates removed: n = 6&#10;- Records screened (titles and abstracts): n = 57&#10;- Records excluded for irrelevance to e-Government in public procurement: n = 6&#10;&#10;Eligibility:&#10;- Full-text articles assessed for eligibility: n = 51&#10;- Full-text articles excluded, with reasons:&#10;  - Focused only on general digital governance: n = 1&#10;  - Addressed private sector procurement only: n = 1&#10;  - Lacked methodological transparency or scholarly rigor: n = 1&#10;&#10;Included:&#10;- Studies included in final synthesis: n = 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3577" cy="4733400"/>
                    </a:xfrm>
                    <a:prstGeom prst="rect">
                      <a:avLst/>
                    </a:prstGeom>
                    <a:noFill/>
                    <a:ln>
                      <a:noFill/>
                    </a:ln>
                  </pic:spPr>
                </pic:pic>
              </a:graphicData>
            </a:graphic>
          </wp:inline>
        </w:drawing>
      </w:r>
    </w:p>
    <w:p w14:paraId="46D7DC41" w14:textId="77777777" w:rsidR="00FB58E5" w:rsidRDefault="00FB58E5" w:rsidP="00E97511">
      <w:pPr>
        <w:pStyle w:val="NormalWeb"/>
        <w:spacing w:before="0" w:beforeAutospacing="0" w:after="0" w:afterAutospacing="0"/>
        <w:jc w:val="both"/>
        <w:rPr>
          <w:b/>
        </w:rPr>
      </w:pPr>
    </w:p>
    <w:p w14:paraId="6229827A" w14:textId="77777777" w:rsidR="00E97511" w:rsidRDefault="00E97511" w:rsidP="00E97511">
      <w:pPr>
        <w:pStyle w:val="NormalWeb"/>
        <w:spacing w:before="0" w:beforeAutospacing="0" w:after="0" w:afterAutospacing="0"/>
        <w:jc w:val="both"/>
        <w:rPr>
          <w:i/>
        </w:rPr>
      </w:pPr>
      <w:r w:rsidRPr="00A24B9B">
        <w:rPr>
          <w:b/>
        </w:rPr>
        <w:t>Source:</w:t>
      </w:r>
      <w:r>
        <w:t xml:space="preserve"> </w:t>
      </w:r>
      <w:r w:rsidRPr="00A24B9B">
        <w:rPr>
          <w:i/>
        </w:rPr>
        <w:t>Author’s analysis</w:t>
      </w:r>
      <w:r>
        <w:rPr>
          <w:i/>
        </w:rPr>
        <w:t>, 2025</w:t>
      </w:r>
    </w:p>
    <w:p w14:paraId="6D7F6C7E" w14:textId="77777777" w:rsidR="0029104C" w:rsidRPr="0029104C" w:rsidRDefault="0029104C" w:rsidP="00333226">
      <w:pPr>
        <w:spacing w:before="100" w:beforeAutospacing="1" w:after="100" w:afterAutospacing="1" w:line="240" w:lineRule="auto"/>
        <w:rPr>
          <w:rFonts w:eastAsia="Times New Roman" w:cs="Times New Roman"/>
          <w:b/>
          <w:szCs w:val="24"/>
          <w:highlight w:val="yellow"/>
        </w:rPr>
      </w:pPr>
      <w:r w:rsidRPr="0029104C">
        <w:rPr>
          <w:rFonts w:cs="Times New Roman"/>
          <w:b/>
          <w:szCs w:val="24"/>
        </w:rPr>
        <w:t>3. 2 Data Charting and Collation</w:t>
      </w:r>
    </w:p>
    <w:p w14:paraId="4C72065F" w14:textId="77777777" w:rsidR="00C61F15" w:rsidRDefault="00C61F15" w:rsidP="00FB58E5">
      <w:pPr>
        <w:spacing w:before="100" w:beforeAutospacing="1" w:after="100" w:afterAutospacing="1" w:line="240" w:lineRule="auto"/>
        <w:jc w:val="both"/>
        <w:rPr>
          <w:rFonts w:cs="Times New Roman"/>
          <w:szCs w:val="24"/>
        </w:rPr>
      </w:pPr>
      <w:r>
        <w:t xml:space="preserve">In accordance with Arksey and O'Malley’s (2005) framework, the fourth stage of this scoping review involved mapping the selected articles. Although 48 citations were included in the final review, only 35 were charted at this stage due to time and human resource constraints. The charted studies were purposefully selected to reflect diversity in thematic focus, geographical coverage, and methodological orientation. These 35 studies span 27 countries, with Ethiopia (4 articles), India (4), Kenya (3), and South Africa (2) among the most represented. Regionally, Africa accounts for the largest share with 15 studies, followed by Asia (13), the Americas (4), and Europe </w:t>
      </w:r>
      <w:r>
        <w:lastRenderedPageBreak/>
        <w:t>(2). Thematically, the studies address a wide range of issues including technology adoption, blockchain integration, institutional readiness, stakeholder engagement, and procurement transparency. Full details of the charted studies are presented in Table 2.</w:t>
      </w:r>
    </w:p>
    <w:p w14:paraId="4D6B5A3B" w14:textId="77777777" w:rsidR="0029104C" w:rsidRPr="00721FEE" w:rsidRDefault="00721FEE" w:rsidP="00333226">
      <w:pPr>
        <w:spacing w:before="100" w:beforeAutospacing="1" w:after="100" w:afterAutospacing="1" w:line="240" w:lineRule="auto"/>
        <w:rPr>
          <w:rFonts w:eastAsia="Times New Roman" w:cs="Times New Roman"/>
          <w:b/>
          <w:i/>
          <w:szCs w:val="24"/>
          <w:highlight w:val="yellow"/>
        </w:rPr>
      </w:pPr>
      <w:r>
        <w:rPr>
          <w:rFonts w:cs="Times New Roman"/>
          <w:b/>
          <w:i/>
          <w:szCs w:val="24"/>
        </w:rPr>
        <w:t>Table 2</w:t>
      </w:r>
      <w:r w:rsidRPr="00721FEE">
        <w:rPr>
          <w:rFonts w:cs="Times New Roman"/>
          <w:b/>
          <w:i/>
          <w:szCs w:val="24"/>
        </w:rPr>
        <w:t xml:space="preserve">. The key features of the 36 included studies </w:t>
      </w:r>
    </w:p>
    <w:tbl>
      <w:tblPr>
        <w:tblStyle w:val="TableGrid"/>
        <w:tblW w:w="9985" w:type="dxa"/>
        <w:tblLook w:val="04A0" w:firstRow="1" w:lastRow="0" w:firstColumn="1" w:lastColumn="0" w:noHBand="0" w:noVBand="1"/>
      </w:tblPr>
      <w:tblGrid>
        <w:gridCol w:w="570"/>
        <w:gridCol w:w="1783"/>
        <w:gridCol w:w="1523"/>
        <w:gridCol w:w="2172"/>
        <w:gridCol w:w="1629"/>
        <w:gridCol w:w="2308"/>
      </w:tblGrid>
      <w:tr w:rsidR="00897C03" w14:paraId="70FC3639" w14:textId="77777777" w:rsidTr="004E261A">
        <w:tc>
          <w:tcPr>
            <w:tcW w:w="570" w:type="dxa"/>
            <w:vAlign w:val="center"/>
          </w:tcPr>
          <w:p w14:paraId="2A715C9B" w14:textId="77777777" w:rsidR="00897C03" w:rsidRPr="005C2042" w:rsidRDefault="00897C03" w:rsidP="00897C03">
            <w:pPr>
              <w:jc w:val="center"/>
              <w:rPr>
                <w:rFonts w:eastAsia="Times New Roman" w:cs="Times New Roman"/>
                <w:b/>
                <w:bCs/>
                <w:szCs w:val="24"/>
              </w:rPr>
            </w:pPr>
            <w:r w:rsidRPr="005C2042">
              <w:rPr>
                <w:rFonts w:eastAsia="Times New Roman" w:cs="Times New Roman"/>
                <w:b/>
                <w:bCs/>
                <w:szCs w:val="24"/>
              </w:rPr>
              <w:t xml:space="preserve"> No.</w:t>
            </w:r>
          </w:p>
        </w:tc>
        <w:tc>
          <w:tcPr>
            <w:tcW w:w="1848" w:type="dxa"/>
            <w:vAlign w:val="center"/>
          </w:tcPr>
          <w:p w14:paraId="59FA719C" w14:textId="77777777" w:rsidR="00897C03" w:rsidRPr="005C2042" w:rsidRDefault="00897C03" w:rsidP="00897C03">
            <w:pPr>
              <w:jc w:val="center"/>
              <w:rPr>
                <w:rFonts w:eastAsia="Times New Roman" w:cs="Times New Roman"/>
                <w:b/>
                <w:bCs/>
                <w:szCs w:val="24"/>
              </w:rPr>
            </w:pPr>
            <w:r w:rsidRPr="005C2042">
              <w:rPr>
                <w:rFonts w:eastAsia="Times New Roman" w:cs="Times New Roman"/>
                <w:b/>
                <w:bCs/>
                <w:szCs w:val="24"/>
              </w:rPr>
              <w:t>Author(s), Year, Document Type</w:t>
            </w:r>
          </w:p>
        </w:tc>
        <w:tc>
          <w:tcPr>
            <w:tcW w:w="1087" w:type="dxa"/>
            <w:vAlign w:val="center"/>
          </w:tcPr>
          <w:p w14:paraId="77E55C90" w14:textId="77777777" w:rsidR="00897C03" w:rsidRPr="005C2042" w:rsidRDefault="00897C03" w:rsidP="00897C03">
            <w:pPr>
              <w:jc w:val="center"/>
              <w:rPr>
                <w:rFonts w:eastAsia="Times New Roman" w:cs="Times New Roman"/>
                <w:b/>
                <w:bCs/>
                <w:szCs w:val="24"/>
              </w:rPr>
            </w:pPr>
            <w:r w:rsidRPr="005C2042">
              <w:rPr>
                <w:rFonts w:eastAsia="Times New Roman" w:cs="Times New Roman"/>
                <w:b/>
                <w:bCs/>
                <w:szCs w:val="24"/>
              </w:rPr>
              <w:t>Location</w:t>
            </w:r>
          </w:p>
        </w:tc>
        <w:tc>
          <w:tcPr>
            <w:tcW w:w="2337" w:type="dxa"/>
            <w:vAlign w:val="center"/>
          </w:tcPr>
          <w:p w14:paraId="351CF9EC" w14:textId="77777777" w:rsidR="00897C03" w:rsidRPr="005C2042" w:rsidRDefault="00897C03" w:rsidP="00897C03">
            <w:pPr>
              <w:jc w:val="center"/>
              <w:rPr>
                <w:rFonts w:eastAsia="Times New Roman" w:cs="Times New Roman"/>
                <w:b/>
                <w:bCs/>
                <w:szCs w:val="24"/>
              </w:rPr>
            </w:pPr>
            <w:r w:rsidRPr="005C2042">
              <w:rPr>
                <w:rFonts w:eastAsia="Times New Roman" w:cs="Times New Roman"/>
                <w:b/>
                <w:bCs/>
                <w:szCs w:val="24"/>
              </w:rPr>
              <w:t>E-Government Description</w:t>
            </w:r>
          </w:p>
        </w:tc>
        <w:tc>
          <w:tcPr>
            <w:tcW w:w="1629" w:type="dxa"/>
            <w:vAlign w:val="center"/>
          </w:tcPr>
          <w:p w14:paraId="33ACA515" w14:textId="77777777" w:rsidR="00897C03" w:rsidRPr="005C2042" w:rsidRDefault="00897C03" w:rsidP="00897C03">
            <w:pPr>
              <w:jc w:val="center"/>
              <w:rPr>
                <w:rFonts w:eastAsia="Times New Roman" w:cs="Times New Roman"/>
                <w:b/>
                <w:bCs/>
                <w:szCs w:val="24"/>
              </w:rPr>
            </w:pPr>
            <w:r w:rsidRPr="005C2042">
              <w:rPr>
                <w:rFonts w:eastAsia="Times New Roman" w:cs="Times New Roman"/>
                <w:b/>
                <w:bCs/>
                <w:szCs w:val="24"/>
              </w:rPr>
              <w:t>Methodology</w:t>
            </w:r>
          </w:p>
        </w:tc>
        <w:tc>
          <w:tcPr>
            <w:tcW w:w="2514" w:type="dxa"/>
            <w:vAlign w:val="center"/>
          </w:tcPr>
          <w:p w14:paraId="0145E203" w14:textId="77777777" w:rsidR="00897C03" w:rsidRPr="005C2042" w:rsidRDefault="00897C03" w:rsidP="00897C03">
            <w:pPr>
              <w:jc w:val="center"/>
              <w:rPr>
                <w:rFonts w:eastAsia="Times New Roman" w:cs="Times New Roman"/>
                <w:b/>
                <w:bCs/>
                <w:szCs w:val="24"/>
              </w:rPr>
            </w:pPr>
            <w:r w:rsidRPr="005C2042">
              <w:rPr>
                <w:rFonts w:eastAsia="Times New Roman" w:cs="Times New Roman"/>
                <w:b/>
                <w:bCs/>
                <w:szCs w:val="24"/>
              </w:rPr>
              <w:t>Outcome of the Study</w:t>
            </w:r>
          </w:p>
        </w:tc>
      </w:tr>
      <w:tr w:rsidR="002C4B48" w14:paraId="0F1F4082" w14:textId="77777777" w:rsidTr="004E261A">
        <w:tc>
          <w:tcPr>
            <w:tcW w:w="570" w:type="dxa"/>
            <w:vAlign w:val="center"/>
          </w:tcPr>
          <w:p w14:paraId="16B91E33" w14:textId="77777777" w:rsidR="002C4B48" w:rsidRPr="007D282D" w:rsidRDefault="002C4B48" w:rsidP="002C4B48">
            <w:pPr>
              <w:rPr>
                <w:rFonts w:eastAsia="Times New Roman" w:cs="Times New Roman"/>
                <w:szCs w:val="24"/>
              </w:rPr>
            </w:pPr>
            <w:r w:rsidRPr="007D282D">
              <w:rPr>
                <w:rFonts w:eastAsia="Times New Roman" w:cs="Times New Roman"/>
                <w:szCs w:val="24"/>
              </w:rPr>
              <w:t>1</w:t>
            </w:r>
          </w:p>
        </w:tc>
        <w:tc>
          <w:tcPr>
            <w:tcW w:w="1848" w:type="dxa"/>
            <w:vAlign w:val="center"/>
          </w:tcPr>
          <w:p w14:paraId="56C84259" w14:textId="77777777" w:rsidR="002C4B48" w:rsidRPr="007D282D" w:rsidRDefault="002C4B48" w:rsidP="002C4B48">
            <w:pPr>
              <w:rPr>
                <w:rFonts w:eastAsia="Times New Roman" w:cs="Times New Roman"/>
                <w:szCs w:val="24"/>
              </w:rPr>
            </w:pPr>
            <w:proofErr w:type="spellStart"/>
            <w:r w:rsidRPr="007D282D">
              <w:rPr>
                <w:rFonts w:eastAsia="Times New Roman" w:cs="Times New Roman"/>
                <w:szCs w:val="24"/>
              </w:rPr>
              <w:t>Molobela</w:t>
            </w:r>
            <w:proofErr w:type="spellEnd"/>
            <w:r w:rsidRPr="007D282D">
              <w:rPr>
                <w:rFonts w:eastAsia="Times New Roman" w:cs="Times New Roman"/>
                <w:szCs w:val="24"/>
              </w:rPr>
              <w:t xml:space="preserve"> &amp; </w:t>
            </w:r>
            <w:proofErr w:type="spellStart"/>
            <w:r w:rsidRPr="007D282D">
              <w:rPr>
                <w:rFonts w:eastAsia="Times New Roman" w:cs="Times New Roman"/>
                <w:szCs w:val="24"/>
              </w:rPr>
              <w:t>Uwizeyimana</w:t>
            </w:r>
            <w:proofErr w:type="spellEnd"/>
            <w:r w:rsidRPr="007D282D">
              <w:rPr>
                <w:rFonts w:eastAsia="Times New Roman" w:cs="Times New Roman"/>
                <w:szCs w:val="24"/>
              </w:rPr>
              <w:t>, 2023, Journal Article</w:t>
            </w:r>
          </w:p>
        </w:tc>
        <w:tc>
          <w:tcPr>
            <w:tcW w:w="1087" w:type="dxa"/>
            <w:vAlign w:val="center"/>
          </w:tcPr>
          <w:p w14:paraId="5BA63688" w14:textId="77777777" w:rsidR="002C4B48" w:rsidRPr="007D282D" w:rsidRDefault="002C4B48" w:rsidP="002C4B48">
            <w:pPr>
              <w:rPr>
                <w:rFonts w:eastAsia="Times New Roman" w:cs="Times New Roman"/>
                <w:szCs w:val="24"/>
              </w:rPr>
            </w:pPr>
            <w:r w:rsidRPr="007D282D">
              <w:rPr>
                <w:rFonts w:eastAsia="Times New Roman" w:cs="Times New Roman"/>
                <w:szCs w:val="24"/>
              </w:rPr>
              <w:t>South Africa</w:t>
            </w:r>
          </w:p>
        </w:tc>
        <w:tc>
          <w:tcPr>
            <w:tcW w:w="2337" w:type="dxa"/>
            <w:vAlign w:val="center"/>
          </w:tcPr>
          <w:p w14:paraId="1286F652" w14:textId="77777777" w:rsidR="002C4B48" w:rsidRPr="007D282D" w:rsidRDefault="002C4B48" w:rsidP="002C4B48">
            <w:pPr>
              <w:rPr>
                <w:rFonts w:eastAsia="Times New Roman" w:cs="Times New Roman"/>
                <w:szCs w:val="24"/>
              </w:rPr>
            </w:pPr>
            <w:r w:rsidRPr="007D282D">
              <w:rPr>
                <w:rFonts w:eastAsia="Times New Roman" w:cs="Times New Roman"/>
                <w:szCs w:val="24"/>
              </w:rPr>
              <w:t>Paradigm shifts in public administration</w:t>
            </w:r>
          </w:p>
        </w:tc>
        <w:tc>
          <w:tcPr>
            <w:tcW w:w="1629" w:type="dxa"/>
            <w:vAlign w:val="center"/>
          </w:tcPr>
          <w:p w14:paraId="5EA46561" w14:textId="77777777" w:rsidR="002C4B48" w:rsidRPr="007D282D" w:rsidRDefault="002C4B48" w:rsidP="002C4B48">
            <w:pPr>
              <w:rPr>
                <w:rFonts w:eastAsia="Times New Roman" w:cs="Times New Roman"/>
                <w:szCs w:val="24"/>
              </w:rPr>
            </w:pPr>
            <w:r w:rsidRPr="007D282D">
              <w:rPr>
                <w:rFonts w:eastAsia="Times New Roman" w:cs="Times New Roman"/>
                <w:szCs w:val="24"/>
              </w:rPr>
              <w:t>Conceptual deconstruction</w:t>
            </w:r>
          </w:p>
        </w:tc>
        <w:tc>
          <w:tcPr>
            <w:tcW w:w="2514" w:type="dxa"/>
            <w:vAlign w:val="center"/>
          </w:tcPr>
          <w:p w14:paraId="63D21FEA" w14:textId="77777777" w:rsidR="002C4B48" w:rsidRPr="007D282D" w:rsidRDefault="002C4B48" w:rsidP="002C4B48">
            <w:pPr>
              <w:rPr>
                <w:rFonts w:eastAsia="Times New Roman" w:cs="Times New Roman"/>
                <w:szCs w:val="24"/>
              </w:rPr>
            </w:pPr>
            <w:r w:rsidRPr="007D282D">
              <w:rPr>
                <w:rFonts w:eastAsia="Times New Roman" w:cs="Times New Roman"/>
                <w:szCs w:val="24"/>
              </w:rPr>
              <w:t>Reconfigures NPM and post-NPM paradigms in South African governance</w:t>
            </w:r>
          </w:p>
        </w:tc>
      </w:tr>
      <w:tr w:rsidR="002C4B48" w14:paraId="69B06956" w14:textId="77777777" w:rsidTr="004E261A">
        <w:tc>
          <w:tcPr>
            <w:tcW w:w="570" w:type="dxa"/>
            <w:vAlign w:val="center"/>
          </w:tcPr>
          <w:p w14:paraId="3CFA6F4D" w14:textId="77777777" w:rsidR="002C4B48" w:rsidRPr="007D282D" w:rsidRDefault="002C4B48" w:rsidP="002C4B48">
            <w:pPr>
              <w:rPr>
                <w:rFonts w:eastAsia="Times New Roman" w:cs="Times New Roman"/>
                <w:szCs w:val="24"/>
              </w:rPr>
            </w:pPr>
            <w:r w:rsidRPr="007D282D">
              <w:rPr>
                <w:rFonts w:eastAsia="Times New Roman" w:cs="Times New Roman"/>
                <w:szCs w:val="24"/>
              </w:rPr>
              <w:t>2</w:t>
            </w:r>
          </w:p>
        </w:tc>
        <w:tc>
          <w:tcPr>
            <w:tcW w:w="1848" w:type="dxa"/>
            <w:vAlign w:val="center"/>
          </w:tcPr>
          <w:p w14:paraId="6E8CC006" w14:textId="77777777" w:rsidR="002C4B48" w:rsidRPr="007D282D" w:rsidRDefault="002C4B48" w:rsidP="002C4B48">
            <w:pPr>
              <w:rPr>
                <w:rFonts w:eastAsia="Times New Roman" w:cs="Times New Roman"/>
                <w:szCs w:val="24"/>
              </w:rPr>
            </w:pPr>
            <w:proofErr w:type="spellStart"/>
            <w:r w:rsidRPr="007D282D">
              <w:rPr>
                <w:rFonts w:eastAsia="Times New Roman" w:cs="Times New Roman"/>
                <w:szCs w:val="24"/>
              </w:rPr>
              <w:t>Molobela</w:t>
            </w:r>
            <w:proofErr w:type="spellEnd"/>
            <w:r w:rsidRPr="007D282D">
              <w:rPr>
                <w:rFonts w:eastAsia="Times New Roman" w:cs="Times New Roman"/>
                <w:szCs w:val="24"/>
              </w:rPr>
              <w:t xml:space="preserve"> &amp; </w:t>
            </w:r>
            <w:proofErr w:type="spellStart"/>
            <w:r w:rsidRPr="007D282D">
              <w:rPr>
                <w:rFonts w:eastAsia="Times New Roman" w:cs="Times New Roman"/>
                <w:szCs w:val="24"/>
              </w:rPr>
              <w:t>Uwizeyimana</w:t>
            </w:r>
            <w:proofErr w:type="spellEnd"/>
            <w:r w:rsidRPr="007D282D">
              <w:rPr>
                <w:rFonts w:eastAsia="Times New Roman" w:cs="Times New Roman"/>
                <w:szCs w:val="24"/>
              </w:rPr>
              <w:t>, 2023, Journal Article</w:t>
            </w:r>
          </w:p>
        </w:tc>
        <w:tc>
          <w:tcPr>
            <w:tcW w:w="1087" w:type="dxa"/>
            <w:vAlign w:val="center"/>
          </w:tcPr>
          <w:p w14:paraId="28AFAB54" w14:textId="77777777" w:rsidR="002C4B48" w:rsidRPr="007D282D" w:rsidRDefault="002C4B48" w:rsidP="002C4B48">
            <w:pPr>
              <w:rPr>
                <w:rFonts w:eastAsia="Times New Roman" w:cs="Times New Roman"/>
                <w:szCs w:val="24"/>
              </w:rPr>
            </w:pPr>
            <w:r w:rsidRPr="007D282D">
              <w:rPr>
                <w:rFonts w:eastAsia="Times New Roman" w:cs="Times New Roman"/>
                <w:szCs w:val="24"/>
              </w:rPr>
              <w:t>South Africa</w:t>
            </w:r>
          </w:p>
        </w:tc>
        <w:tc>
          <w:tcPr>
            <w:tcW w:w="2337" w:type="dxa"/>
            <w:vAlign w:val="center"/>
          </w:tcPr>
          <w:p w14:paraId="764C86CF" w14:textId="77777777" w:rsidR="002C4B48" w:rsidRPr="007D282D" w:rsidRDefault="002C4B48" w:rsidP="002C4B48">
            <w:pPr>
              <w:rPr>
                <w:rFonts w:eastAsia="Times New Roman" w:cs="Times New Roman"/>
                <w:szCs w:val="24"/>
              </w:rPr>
            </w:pPr>
            <w:r w:rsidRPr="007D282D">
              <w:rPr>
                <w:rFonts w:eastAsia="Times New Roman" w:cs="Times New Roman"/>
                <w:szCs w:val="24"/>
              </w:rPr>
              <w:t>E-governance as a public administration paradigm</w:t>
            </w:r>
          </w:p>
        </w:tc>
        <w:tc>
          <w:tcPr>
            <w:tcW w:w="1629" w:type="dxa"/>
            <w:vAlign w:val="center"/>
          </w:tcPr>
          <w:p w14:paraId="70DCB679" w14:textId="77777777" w:rsidR="002C4B48" w:rsidRPr="007D282D" w:rsidRDefault="002C4B48" w:rsidP="002C4B48">
            <w:pPr>
              <w:rPr>
                <w:rFonts w:eastAsia="Times New Roman" w:cs="Times New Roman"/>
                <w:szCs w:val="24"/>
              </w:rPr>
            </w:pPr>
            <w:r w:rsidRPr="007D282D">
              <w:rPr>
                <w:rFonts w:eastAsia="Times New Roman" w:cs="Times New Roman"/>
                <w:szCs w:val="24"/>
              </w:rPr>
              <w:t>Critical analysis</w:t>
            </w:r>
          </w:p>
        </w:tc>
        <w:tc>
          <w:tcPr>
            <w:tcW w:w="2514" w:type="dxa"/>
            <w:vAlign w:val="center"/>
          </w:tcPr>
          <w:p w14:paraId="5E5122C9" w14:textId="77777777" w:rsidR="002C4B48" w:rsidRPr="007D282D" w:rsidRDefault="002C4B48" w:rsidP="002C4B48">
            <w:pPr>
              <w:rPr>
                <w:rFonts w:eastAsia="Times New Roman" w:cs="Times New Roman"/>
                <w:szCs w:val="24"/>
              </w:rPr>
            </w:pPr>
            <w:r w:rsidRPr="007D282D">
              <w:rPr>
                <w:rFonts w:eastAsia="Times New Roman" w:cs="Times New Roman"/>
                <w:szCs w:val="24"/>
              </w:rPr>
              <w:t>Evaluates whether e-governance is rhetorical or transformative in practice</w:t>
            </w:r>
          </w:p>
        </w:tc>
      </w:tr>
      <w:tr w:rsidR="002C4B48" w14:paraId="0F578263" w14:textId="77777777" w:rsidTr="004E261A">
        <w:tc>
          <w:tcPr>
            <w:tcW w:w="570" w:type="dxa"/>
            <w:vAlign w:val="center"/>
          </w:tcPr>
          <w:p w14:paraId="2FC5ECCC" w14:textId="77777777" w:rsidR="002C4B48" w:rsidRPr="007D282D" w:rsidRDefault="002C4B48" w:rsidP="002C4B48">
            <w:pPr>
              <w:rPr>
                <w:rFonts w:eastAsia="Times New Roman" w:cs="Times New Roman"/>
                <w:szCs w:val="24"/>
              </w:rPr>
            </w:pPr>
            <w:r w:rsidRPr="007D282D">
              <w:rPr>
                <w:rFonts w:eastAsia="Times New Roman" w:cs="Times New Roman"/>
                <w:szCs w:val="24"/>
              </w:rPr>
              <w:t>3</w:t>
            </w:r>
          </w:p>
        </w:tc>
        <w:tc>
          <w:tcPr>
            <w:tcW w:w="1848" w:type="dxa"/>
            <w:vAlign w:val="center"/>
          </w:tcPr>
          <w:p w14:paraId="571A1ECE" w14:textId="77777777" w:rsidR="002C4B48" w:rsidRPr="007D282D" w:rsidRDefault="002C4B48" w:rsidP="002C4B48">
            <w:pPr>
              <w:rPr>
                <w:rFonts w:eastAsia="Times New Roman" w:cs="Times New Roman"/>
                <w:szCs w:val="24"/>
              </w:rPr>
            </w:pPr>
            <w:r w:rsidRPr="007D282D">
              <w:rPr>
                <w:rFonts w:eastAsia="Times New Roman" w:cs="Times New Roman"/>
                <w:szCs w:val="24"/>
              </w:rPr>
              <w:t>Nwali, 2025, Journal Article</w:t>
            </w:r>
          </w:p>
        </w:tc>
        <w:tc>
          <w:tcPr>
            <w:tcW w:w="1087" w:type="dxa"/>
            <w:vAlign w:val="center"/>
          </w:tcPr>
          <w:p w14:paraId="201CB6BB" w14:textId="77777777" w:rsidR="002C4B48" w:rsidRPr="007D282D" w:rsidRDefault="002C4B48" w:rsidP="002C4B48">
            <w:pPr>
              <w:rPr>
                <w:rFonts w:eastAsia="Times New Roman" w:cs="Times New Roman"/>
                <w:szCs w:val="24"/>
              </w:rPr>
            </w:pPr>
            <w:r w:rsidRPr="007D282D">
              <w:rPr>
                <w:rFonts w:eastAsia="Times New Roman" w:cs="Times New Roman"/>
                <w:szCs w:val="24"/>
              </w:rPr>
              <w:t>Africa</w:t>
            </w:r>
          </w:p>
        </w:tc>
        <w:tc>
          <w:tcPr>
            <w:tcW w:w="2337" w:type="dxa"/>
            <w:vAlign w:val="center"/>
          </w:tcPr>
          <w:p w14:paraId="089ADB02" w14:textId="77777777" w:rsidR="002C4B48" w:rsidRPr="007D282D" w:rsidRDefault="002C4B48" w:rsidP="002C4B48">
            <w:pPr>
              <w:rPr>
                <w:rFonts w:eastAsia="Times New Roman" w:cs="Times New Roman"/>
                <w:szCs w:val="24"/>
              </w:rPr>
            </w:pPr>
            <w:r w:rsidRPr="007D282D">
              <w:rPr>
                <w:rFonts w:eastAsia="Times New Roman" w:cs="Times New Roman"/>
                <w:szCs w:val="24"/>
              </w:rPr>
              <w:t>Public sector reform trajectories</w:t>
            </w:r>
          </w:p>
        </w:tc>
        <w:tc>
          <w:tcPr>
            <w:tcW w:w="1629" w:type="dxa"/>
            <w:vAlign w:val="center"/>
          </w:tcPr>
          <w:p w14:paraId="37D0A29C" w14:textId="77777777" w:rsidR="002C4B48" w:rsidRPr="007D282D" w:rsidRDefault="002C4B48" w:rsidP="002C4B48">
            <w:pPr>
              <w:rPr>
                <w:rFonts w:eastAsia="Times New Roman" w:cs="Times New Roman"/>
                <w:szCs w:val="24"/>
              </w:rPr>
            </w:pPr>
            <w:r w:rsidRPr="007D282D">
              <w:rPr>
                <w:rFonts w:eastAsia="Times New Roman" w:cs="Times New Roman"/>
                <w:szCs w:val="24"/>
              </w:rPr>
              <w:t>Expanded literature review</w:t>
            </w:r>
          </w:p>
        </w:tc>
        <w:tc>
          <w:tcPr>
            <w:tcW w:w="2514" w:type="dxa"/>
            <w:vAlign w:val="center"/>
          </w:tcPr>
          <w:p w14:paraId="59FB0E11" w14:textId="77777777" w:rsidR="002C4B48" w:rsidRPr="007D282D" w:rsidRDefault="002C4B48" w:rsidP="002C4B48">
            <w:pPr>
              <w:rPr>
                <w:rFonts w:eastAsia="Times New Roman" w:cs="Times New Roman"/>
                <w:szCs w:val="24"/>
              </w:rPr>
            </w:pPr>
            <w:r w:rsidRPr="007D282D">
              <w:rPr>
                <w:rFonts w:eastAsia="Times New Roman" w:cs="Times New Roman"/>
                <w:szCs w:val="24"/>
              </w:rPr>
              <w:t>Identifies persistent reform gaps and proposes remediation pathways</w:t>
            </w:r>
          </w:p>
        </w:tc>
      </w:tr>
      <w:tr w:rsidR="005D0C3F" w14:paraId="2D99E012" w14:textId="77777777" w:rsidTr="004E261A">
        <w:tc>
          <w:tcPr>
            <w:tcW w:w="570" w:type="dxa"/>
            <w:vAlign w:val="center"/>
          </w:tcPr>
          <w:p w14:paraId="2B31CC22" w14:textId="77777777" w:rsidR="005D0C3F" w:rsidRPr="000B371B" w:rsidRDefault="005D0C3F" w:rsidP="005D0C3F">
            <w:pPr>
              <w:rPr>
                <w:rFonts w:eastAsia="Times New Roman" w:cs="Times New Roman"/>
                <w:szCs w:val="24"/>
              </w:rPr>
            </w:pPr>
            <w:r w:rsidRPr="000B371B">
              <w:rPr>
                <w:rFonts w:eastAsia="Times New Roman" w:cs="Times New Roman"/>
                <w:szCs w:val="24"/>
              </w:rPr>
              <w:t>4</w:t>
            </w:r>
          </w:p>
        </w:tc>
        <w:tc>
          <w:tcPr>
            <w:tcW w:w="1848" w:type="dxa"/>
            <w:vAlign w:val="center"/>
          </w:tcPr>
          <w:p w14:paraId="307108B9" w14:textId="77777777" w:rsidR="005D0C3F" w:rsidRPr="000B371B" w:rsidRDefault="005D0C3F" w:rsidP="005D0C3F">
            <w:pPr>
              <w:rPr>
                <w:rFonts w:eastAsia="Times New Roman" w:cs="Times New Roman"/>
                <w:szCs w:val="24"/>
              </w:rPr>
            </w:pPr>
            <w:proofErr w:type="spellStart"/>
            <w:r w:rsidRPr="000B371B">
              <w:rPr>
                <w:rFonts w:eastAsia="Times New Roman" w:cs="Times New Roman"/>
                <w:szCs w:val="24"/>
              </w:rPr>
              <w:t>Mohungoo</w:t>
            </w:r>
            <w:proofErr w:type="spellEnd"/>
            <w:r w:rsidRPr="000B371B">
              <w:rPr>
                <w:rFonts w:eastAsia="Times New Roman" w:cs="Times New Roman"/>
                <w:szCs w:val="24"/>
              </w:rPr>
              <w:t xml:space="preserve">, Brown &amp; </w:t>
            </w:r>
            <w:proofErr w:type="spellStart"/>
            <w:r w:rsidRPr="000B371B">
              <w:rPr>
                <w:rFonts w:eastAsia="Times New Roman" w:cs="Times New Roman"/>
                <w:szCs w:val="24"/>
              </w:rPr>
              <w:t>Kabanda</w:t>
            </w:r>
            <w:proofErr w:type="spellEnd"/>
            <w:r w:rsidRPr="000B371B">
              <w:rPr>
                <w:rFonts w:eastAsia="Times New Roman" w:cs="Times New Roman"/>
                <w:szCs w:val="24"/>
              </w:rPr>
              <w:t>, 2020, Book Chapter</w:t>
            </w:r>
          </w:p>
        </w:tc>
        <w:tc>
          <w:tcPr>
            <w:tcW w:w="1087" w:type="dxa"/>
            <w:vAlign w:val="center"/>
          </w:tcPr>
          <w:p w14:paraId="7B6868E9" w14:textId="77777777" w:rsidR="005D0C3F" w:rsidRPr="000B371B" w:rsidRDefault="005D0C3F" w:rsidP="005D0C3F">
            <w:pPr>
              <w:rPr>
                <w:rFonts w:eastAsia="Times New Roman" w:cs="Times New Roman"/>
                <w:szCs w:val="24"/>
              </w:rPr>
            </w:pPr>
            <w:r w:rsidRPr="000B371B">
              <w:rPr>
                <w:rFonts w:eastAsia="Times New Roman" w:cs="Times New Roman"/>
                <w:szCs w:val="24"/>
              </w:rPr>
              <w:t>Multinational</w:t>
            </w:r>
          </w:p>
        </w:tc>
        <w:tc>
          <w:tcPr>
            <w:tcW w:w="2337" w:type="dxa"/>
            <w:vAlign w:val="center"/>
          </w:tcPr>
          <w:p w14:paraId="6F8DAC53" w14:textId="77777777" w:rsidR="005D0C3F" w:rsidRPr="000B371B" w:rsidRDefault="005D0C3F" w:rsidP="005D0C3F">
            <w:pPr>
              <w:rPr>
                <w:rFonts w:eastAsia="Times New Roman" w:cs="Times New Roman"/>
                <w:szCs w:val="24"/>
              </w:rPr>
            </w:pPr>
            <w:r w:rsidRPr="000B371B">
              <w:rPr>
                <w:rFonts w:eastAsia="Times New Roman" w:cs="Times New Roman"/>
                <w:szCs w:val="24"/>
              </w:rPr>
              <w:t>Governance and implementation challenges in e-procurement</w:t>
            </w:r>
          </w:p>
        </w:tc>
        <w:tc>
          <w:tcPr>
            <w:tcW w:w="1629" w:type="dxa"/>
            <w:vAlign w:val="center"/>
          </w:tcPr>
          <w:p w14:paraId="2918EBC2" w14:textId="77777777" w:rsidR="005D0C3F" w:rsidRPr="000B371B" w:rsidRDefault="005D0C3F" w:rsidP="005D0C3F">
            <w:pPr>
              <w:rPr>
                <w:rFonts w:eastAsia="Times New Roman" w:cs="Times New Roman"/>
                <w:szCs w:val="24"/>
              </w:rPr>
            </w:pPr>
            <w:r w:rsidRPr="000B371B">
              <w:rPr>
                <w:rFonts w:eastAsia="Times New Roman" w:cs="Times New Roman"/>
                <w:szCs w:val="24"/>
              </w:rPr>
              <w:t>Systematic review</w:t>
            </w:r>
          </w:p>
        </w:tc>
        <w:tc>
          <w:tcPr>
            <w:tcW w:w="2514" w:type="dxa"/>
            <w:vAlign w:val="center"/>
          </w:tcPr>
          <w:p w14:paraId="3C1931D7" w14:textId="77777777" w:rsidR="005D0C3F" w:rsidRPr="000B371B" w:rsidRDefault="005D0C3F" w:rsidP="005D0C3F">
            <w:pPr>
              <w:rPr>
                <w:rFonts w:eastAsia="Times New Roman" w:cs="Times New Roman"/>
                <w:szCs w:val="24"/>
              </w:rPr>
            </w:pPr>
            <w:r w:rsidRPr="000B371B">
              <w:rPr>
                <w:rFonts w:eastAsia="Times New Roman" w:cs="Times New Roman"/>
                <w:szCs w:val="24"/>
              </w:rPr>
              <w:t>Identifies barriers to implementation and governance gaps in public e-procurement systems</w:t>
            </w:r>
          </w:p>
        </w:tc>
      </w:tr>
      <w:tr w:rsidR="005D0C3F" w14:paraId="28CB755B" w14:textId="77777777" w:rsidTr="004E261A">
        <w:tc>
          <w:tcPr>
            <w:tcW w:w="570" w:type="dxa"/>
            <w:vAlign w:val="center"/>
          </w:tcPr>
          <w:p w14:paraId="0335D9A6" w14:textId="77777777" w:rsidR="005D0C3F" w:rsidRPr="000B371B" w:rsidRDefault="005D0C3F" w:rsidP="005D0C3F">
            <w:pPr>
              <w:rPr>
                <w:rFonts w:eastAsia="Times New Roman" w:cs="Times New Roman"/>
                <w:szCs w:val="24"/>
              </w:rPr>
            </w:pPr>
            <w:r w:rsidRPr="000B371B">
              <w:rPr>
                <w:rFonts w:eastAsia="Times New Roman" w:cs="Times New Roman"/>
                <w:szCs w:val="24"/>
              </w:rPr>
              <w:t>5</w:t>
            </w:r>
          </w:p>
        </w:tc>
        <w:tc>
          <w:tcPr>
            <w:tcW w:w="1848" w:type="dxa"/>
            <w:vAlign w:val="center"/>
          </w:tcPr>
          <w:p w14:paraId="43EB773E" w14:textId="77777777" w:rsidR="005D0C3F" w:rsidRPr="000B371B" w:rsidRDefault="005D0C3F" w:rsidP="005D0C3F">
            <w:pPr>
              <w:rPr>
                <w:rFonts w:eastAsia="Times New Roman" w:cs="Times New Roman"/>
                <w:szCs w:val="24"/>
              </w:rPr>
            </w:pPr>
            <w:proofErr w:type="spellStart"/>
            <w:r w:rsidRPr="000B371B">
              <w:rPr>
                <w:rFonts w:eastAsia="Times New Roman" w:cs="Times New Roman"/>
                <w:szCs w:val="24"/>
              </w:rPr>
              <w:t>Tumpa</w:t>
            </w:r>
            <w:proofErr w:type="spellEnd"/>
            <w:r w:rsidRPr="000B371B">
              <w:rPr>
                <w:rFonts w:eastAsia="Times New Roman" w:cs="Times New Roman"/>
                <w:szCs w:val="24"/>
              </w:rPr>
              <w:t xml:space="preserve"> &amp; </w:t>
            </w:r>
            <w:proofErr w:type="spellStart"/>
            <w:r w:rsidRPr="000B371B">
              <w:rPr>
                <w:rFonts w:eastAsia="Times New Roman" w:cs="Times New Roman"/>
                <w:szCs w:val="24"/>
              </w:rPr>
              <w:t>Naeni</w:t>
            </w:r>
            <w:proofErr w:type="spellEnd"/>
            <w:r w:rsidRPr="000B371B">
              <w:rPr>
                <w:rFonts w:eastAsia="Times New Roman" w:cs="Times New Roman"/>
                <w:szCs w:val="24"/>
              </w:rPr>
              <w:t>, 2025, Journal Article</w:t>
            </w:r>
          </w:p>
        </w:tc>
        <w:tc>
          <w:tcPr>
            <w:tcW w:w="1087" w:type="dxa"/>
            <w:vAlign w:val="center"/>
          </w:tcPr>
          <w:p w14:paraId="3B4A595F" w14:textId="77777777" w:rsidR="005D0C3F" w:rsidRPr="000B371B" w:rsidRDefault="005D0C3F" w:rsidP="005D0C3F">
            <w:pPr>
              <w:rPr>
                <w:rFonts w:eastAsia="Times New Roman" w:cs="Times New Roman"/>
                <w:szCs w:val="24"/>
              </w:rPr>
            </w:pPr>
            <w:r w:rsidRPr="000B371B">
              <w:rPr>
                <w:rFonts w:eastAsia="Times New Roman" w:cs="Times New Roman"/>
                <w:szCs w:val="24"/>
              </w:rPr>
              <w:t>Global</w:t>
            </w:r>
          </w:p>
        </w:tc>
        <w:tc>
          <w:tcPr>
            <w:tcW w:w="2337" w:type="dxa"/>
            <w:vAlign w:val="center"/>
          </w:tcPr>
          <w:p w14:paraId="2E5365CF" w14:textId="77777777" w:rsidR="005D0C3F" w:rsidRPr="000B371B" w:rsidRDefault="005D0C3F" w:rsidP="005D0C3F">
            <w:pPr>
              <w:rPr>
                <w:rFonts w:eastAsia="Times New Roman" w:cs="Times New Roman"/>
                <w:szCs w:val="24"/>
              </w:rPr>
            </w:pPr>
            <w:r w:rsidRPr="000B371B">
              <w:rPr>
                <w:rFonts w:eastAsia="Times New Roman" w:cs="Times New Roman"/>
                <w:szCs w:val="24"/>
              </w:rPr>
              <w:t>ICT adoption and stakeholder engagement</w:t>
            </w:r>
          </w:p>
        </w:tc>
        <w:tc>
          <w:tcPr>
            <w:tcW w:w="1629" w:type="dxa"/>
            <w:vAlign w:val="center"/>
          </w:tcPr>
          <w:p w14:paraId="507576F0" w14:textId="77777777" w:rsidR="005D0C3F" w:rsidRPr="000B371B" w:rsidRDefault="005D0C3F" w:rsidP="005D0C3F">
            <w:pPr>
              <w:rPr>
                <w:rFonts w:eastAsia="Times New Roman" w:cs="Times New Roman"/>
                <w:szCs w:val="24"/>
              </w:rPr>
            </w:pPr>
            <w:r w:rsidRPr="000B371B">
              <w:rPr>
                <w:rFonts w:eastAsia="Times New Roman" w:cs="Times New Roman"/>
                <w:szCs w:val="24"/>
              </w:rPr>
              <w:t>Mixed methods; stakeholder analysis</w:t>
            </w:r>
          </w:p>
        </w:tc>
        <w:tc>
          <w:tcPr>
            <w:tcW w:w="2514" w:type="dxa"/>
            <w:vAlign w:val="center"/>
          </w:tcPr>
          <w:p w14:paraId="4560ACA1" w14:textId="77777777" w:rsidR="005D0C3F" w:rsidRPr="000B371B" w:rsidRDefault="005D0C3F" w:rsidP="005D0C3F">
            <w:pPr>
              <w:rPr>
                <w:rFonts w:eastAsia="Times New Roman" w:cs="Times New Roman"/>
                <w:szCs w:val="24"/>
              </w:rPr>
            </w:pPr>
            <w:r w:rsidRPr="000B371B">
              <w:rPr>
                <w:rFonts w:eastAsia="Times New Roman" w:cs="Times New Roman"/>
                <w:szCs w:val="24"/>
              </w:rPr>
              <w:t>Digital tools enhance decision-making and stakeholder inclusion in project governance</w:t>
            </w:r>
          </w:p>
        </w:tc>
      </w:tr>
      <w:tr w:rsidR="002C4B48" w14:paraId="4A59064C" w14:textId="77777777" w:rsidTr="004E261A">
        <w:tc>
          <w:tcPr>
            <w:tcW w:w="570" w:type="dxa"/>
            <w:vAlign w:val="center"/>
          </w:tcPr>
          <w:p w14:paraId="2061E7DF" w14:textId="77777777" w:rsidR="002C4B48" w:rsidRPr="005C2042" w:rsidRDefault="002C4B48" w:rsidP="002C4B48">
            <w:pPr>
              <w:rPr>
                <w:rFonts w:eastAsia="Times New Roman" w:cs="Times New Roman"/>
                <w:szCs w:val="24"/>
              </w:rPr>
            </w:pPr>
            <w:r w:rsidRPr="005C2042">
              <w:rPr>
                <w:rFonts w:eastAsia="Times New Roman" w:cs="Times New Roman"/>
                <w:szCs w:val="24"/>
              </w:rPr>
              <w:t>6</w:t>
            </w:r>
          </w:p>
        </w:tc>
        <w:tc>
          <w:tcPr>
            <w:tcW w:w="1848" w:type="dxa"/>
            <w:vAlign w:val="center"/>
          </w:tcPr>
          <w:p w14:paraId="6709183F" w14:textId="77777777" w:rsidR="002C4B48" w:rsidRPr="007D282D" w:rsidRDefault="002C4B48" w:rsidP="002C4B48">
            <w:pPr>
              <w:rPr>
                <w:rFonts w:eastAsia="Times New Roman" w:cs="Times New Roman"/>
                <w:szCs w:val="24"/>
              </w:rPr>
            </w:pPr>
            <w:r w:rsidRPr="007D282D">
              <w:rPr>
                <w:rFonts w:eastAsia="Times New Roman" w:cs="Times New Roman"/>
                <w:szCs w:val="24"/>
              </w:rPr>
              <w:t>Ejigu, 2021, Journal Article</w:t>
            </w:r>
          </w:p>
        </w:tc>
        <w:tc>
          <w:tcPr>
            <w:tcW w:w="1087" w:type="dxa"/>
            <w:vAlign w:val="center"/>
          </w:tcPr>
          <w:p w14:paraId="62F4189A" w14:textId="77777777" w:rsidR="002C4B48" w:rsidRPr="007D282D" w:rsidRDefault="002C4B48" w:rsidP="002C4B48">
            <w:pPr>
              <w:rPr>
                <w:rFonts w:eastAsia="Times New Roman" w:cs="Times New Roman"/>
                <w:szCs w:val="24"/>
              </w:rPr>
            </w:pPr>
            <w:r w:rsidRPr="007D282D">
              <w:rPr>
                <w:rFonts w:eastAsia="Times New Roman" w:cs="Times New Roman"/>
                <w:szCs w:val="24"/>
              </w:rPr>
              <w:t>Ethiopia</w:t>
            </w:r>
          </w:p>
        </w:tc>
        <w:tc>
          <w:tcPr>
            <w:tcW w:w="2337" w:type="dxa"/>
            <w:vAlign w:val="center"/>
          </w:tcPr>
          <w:p w14:paraId="4960C57B" w14:textId="77777777" w:rsidR="002C4B48" w:rsidRPr="007D282D" w:rsidRDefault="002C4B48" w:rsidP="002C4B48">
            <w:pPr>
              <w:rPr>
                <w:rFonts w:eastAsia="Times New Roman" w:cs="Times New Roman"/>
                <w:szCs w:val="24"/>
              </w:rPr>
            </w:pPr>
            <w:r w:rsidRPr="007D282D">
              <w:rPr>
                <w:rFonts w:eastAsia="Times New Roman" w:cs="Times New Roman"/>
                <w:szCs w:val="24"/>
              </w:rPr>
              <w:t>Procurement contract management</w:t>
            </w:r>
          </w:p>
        </w:tc>
        <w:tc>
          <w:tcPr>
            <w:tcW w:w="1629" w:type="dxa"/>
            <w:vAlign w:val="center"/>
          </w:tcPr>
          <w:p w14:paraId="2084CAFD" w14:textId="77777777" w:rsidR="002C4B48" w:rsidRPr="007D282D" w:rsidRDefault="002C4B48" w:rsidP="002C4B48">
            <w:pPr>
              <w:rPr>
                <w:rFonts w:eastAsia="Times New Roman" w:cs="Times New Roman"/>
                <w:szCs w:val="24"/>
              </w:rPr>
            </w:pPr>
            <w:r w:rsidRPr="007D282D">
              <w:rPr>
                <w:rFonts w:eastAsia="Times New Roman" w:cs="Times New Roman"/>
                <w:szCs w:val="24"/>
              </w:rPr>
              <w:t>Case study</w:t>
            </w:r>
          </w:p>
        </w:tc>
        <w:tc>
          <w:tcPr>
            <w:tcW w:w="2514" w:type="dxa"/>
            <w:vAlign w:val="center"/>
          </w:tcPr>
          <w:p w14:paraId="216C1471" w14:textId="77777777" w:rsidR="002C4B48" w:rsidRPr="007D282D" w:rsidRDefault="002C4B48" w:rsidP="002C4B48">
            <w:pPr>
              <w:rPr>
                <w:rFonts w:eastAsia="Times New Roman" w:cs="Times New Roman"/>
                <w:szCs w:val="24"/>
              </w:rPr>
            </w:pPr>
            <w:r w:rsidRPr="007D282D">
              <w:rPr>
                <w:rFonts w:eastAsia="Times New Roman" w:cs="Times New Roman"/>
                <w:szCs w:val="24"/>
              </w:rPr>
              <w:t>Highlights factors affecting contract execution in federal procurement services</w:t>
            </w:r>
          </w:p>
        </w:tc>
      </w:tr>
      <w:tr w:rsidR="00897C03" w14:paraId="16D526E1" w14:textId="77777777" w:rsidTr="004E261A">
        <w:tc>
          <w:tcPr>
            <w:tcW w:w="570" w:type="dxa"/>
            <w:vAlign w:val="center"/>
          </w:tcPr>
          <w:p w14:paraId="545363E1" w14:textId="77777777" w:rsidR="00897C03" w:rsidRPr="005C2042" w:rsidRDefault="00897C03" w:rsidP="00897C03">
            <w:pPr>
              <w:rPr>
                <w:rFonts w:eastAsia="Times New Roman" w:cs="Times New Roman"/>
                <w:szCs w:val="24"/>
              </w:rPr>
            </w:pPr>
            <w:r w:rsidRPr="005C2042">
              <w:rPr>
                <w:rFonts w:eastAsia="Times New Roman" w:cs="Times New Roman"/>
                <w:szCs w:val="24"/>
              </w:rPr>
              <w:t>7</w:t>
            </w:r>
          </w:p>
        </w:tc>
        <w:tc>
          <w:tcPr>
            <w:tcW w:w="1848" w:type="dxa"/>
            <w:vAlign w:val="center"/>
          </w:tcPr>
          <w:p w14:paraId="1E2B9983" w14:textId="77777777" w:rsidR="00897C03" w:rsidRPr="005C2042" w:rsidRDefault="00897C03" w:rsidP="00897C03">
            <w:pPr>
              <w:rPr>
                <w:rFonts w:eastAsia="Times New Roman" w:cs="Times New Roman"/>
                <w:szCs w:val="24"/>
              </w:rPr>
            </w:pPr>
            <w:r w:rsidRPr="005C2042">
              <w:rPr>
                <w:rFonts w:eastAsia="Times New Roman" w:cs="Times New Roman"/>
                <w:szCs w:val="24"/>
              </w:rPr>
              <w:t>Moon, 2002, Journal Article</w:t>
            </w:r>
          </w:p>
        </w:tc>
        <w:tc>
          <w:tcPr>
            <w:tcW w:w="1087" w:type="dxa"/>
            <w:vAlign w:val="center"/>
          </w:tcPr>
          <w:p w14:paraId="09AD0A37" w14:textId="77777777" w:rsidR="00897C03" w:rsidRPr="005C2042" w:rsidRDefault="00897C03" w:rsidP="00897C03">
            <w:pPr>
              <w:rPr>
                <w:rFonts w:eastAsia="Times New Roman" w:cs="Times New Roman"/>
                <w:szCs w:val="24"/>
              </w:rPr>
            </w:pPr>
            <w:r w:rsidRPr="005C2042">
              <w:rPr>
                <w:rFonts w:eastAsia="Times New Roman" w:cs="Times New Roman"/>
                <w:szCs w:val="24"/>
              </w:rPr>
              <w:t>Global</w:t>
            </w:r>
          </w:p>
        </w:tc>
        <w:tc>
          <w:tcPr>
            <w:tcW w:w="2337" w:type="dxa"/>
            <w:vAlign w:val="center"/>
          </w:tcPr>
          <w:p w14:paraId="4E6D885E" w14:textId="77777777" w:rsidR="00897C03" w:rsidRPr="005C2042" w:rsidRDefault="00897C03" w:rsidP="00897C03">
            <w:pPr>
              <w:rPr>
                <w:rFonts w:eastAsia="Times New Roman" w:cs="Times New Roman"/>
                <w:szCs w:val="24"/>
              </w:rPr>
            </w:pPr>
            <w:r w:rsidRPr="005C2042">
              <w:rPr>
                <w:rFonts w:eastAsia="Times New Roman" w:cs="Times New Roman"/>
                <w:szCs w:val="24"/>
              </w:rPr>
              <w:t>Evolution of municipal e-governance</w:t>
            </w:r>
          </w:p>
        </w:tc>
        <w:tc>
          <w:tcPr>
            <w:tcW w:w="1629" w:type="dxa"/>
            <w:vAlign w:val="center"/>
          </w:tcPr>
          <w:p w14:paraId="5B155451" w14:textId="77777777" w:rsidR="00897C03" w:rsidRPr="005C2042" w:rsidRDefault="00897C03" w:rsidP="00897C03">
            <w:pPr>
              <w:rPr>
                <w:rFonts w:eastAsia="Times New Roman" w:cs="Times New Roman"/>
                <w:szCs w:val="24"/>
              </w:rPr>
            </w:pPr>
            <w:r w:rsidRPr="005C2042">
              <w:rPr>
                <w:rFonts w:eastAsia="Times New Roman" w:cs="Times New Roman"/>
                <w:szCs w:val="24"/>
              </w:rPr>
              <w:t>Conceptual framework and typology</w:t>
            </w:r>
          </w:p>
        </w:tc>
        <w:tc>
          <w:tcPr>
            <w:tcW w:w="2514" w:type="dxa"/>
            <w:vAlign w:val="center"/>
          </w:tcPr>
          <w:p w14:paraId="5C507CEB" w14:textId="77777777" w:rsidR="00897C03" w:rsidRPr="005C2042" w:rsidRDefault="00897C03" w:rsidP="00897C03">
            <w:pPr>
              <w:rPr>
                <w:rFonts w:eastAsia="Times New Roman" w:cs="Times New Roman"/>
                <w:szCs w:val="24"/>
              </w:rPr>
            </w:pPr>
            <w:r w:rsidRPr="005C2042">
              <w:rPr>
                <w:rFonts w:eastAsia="Times New Roman" w:cs="Times New Roman"/>
                <w:szCs w:val="24"/>
              </w:rPr>
              <w:t>Identified five stages of e-Gov maturity</w:t>
            </w:r>
          </w:p>
        </w:tc>
      </w:tr>
      <w:tr w:rsidR="009A5761" w14:paraId="11555FEB" w14:textId="77777777" w:rsidTr="004E261A">
        <w:tc>
          <w:tcPr>
            <w:tcW w:w="570" w:type="dxa"/>
            <w:vAlign w:val="center"/>
          </w:tcPr>
          <w:p w14:paraId="0A41419C" w14:textId="77777777" w:rsidR="009A5761" w:rsidRPr="000B371B" w:rsidRDefault="009A5761" w:rsidP="009A5761">
            <w:pPr>
              <w:rPr>
                <w:rFonts w:eastAsia="Times New Roman" w:cs="Times New Roman"/>
                <w:szCs w:val="24"/>
              </w:rPr>
            </w:pPr>
            <w:r w:rsidRPr="000B371B">
              <w:rPr>
                <w:rFonts w:eastAsia="Times New Roman" w:cs="Times New Roman"/>
                <w:szCs w:val="24"/>
              </w:rPr>
              <w:t>8</w:t>
            </w:r>
          </w:p>
        </w:tc>
        <w:tc>
          <w:tcPr>
            <w:tcW w:w="1848" w:type="dxa"/>
            <w:vAlign w:val="center"/>
          </w:tcPr>
          <w:p w14:paraId="047EB62C" w14:textId="77777777" w:rsidR="009A5761" w:rsidRPr="000B371B" w:rsidRDefault="009A5761" w:rsidP="009A5761">
            <w:pPr>
              <w:rPr>
                <w:rFonts w:eastAsia="Times New Roman" w:cs="Times New Roman"/>
                <w:szCs w:val="24"/>
              </w:rPr>
            </w:pPr>
            <w:proofErr w:type="spellStart"/>
            <w:r w:rsidRPr="000B371B">
              <w:rPr>
                <w:rFonts w:eastAsia="Times New Roman" w:cs="Times New Roman"/>
                <w:szCs w:val="24"/>
              </w:rPr>
              <w:t>Albinkhalil</w:t>
            </w:r>
            <w:proofErr w:type="spellEnd"/>
            <w:r w:rsidRPr="000B371B">
              <w:rPr>
                <w:rFonts w:eastAsia="Times New Roman" w:cs="Times New Roman"/>
                <w:szCs w:val="24"/>
              </w:rPr>
              <w:t xml:space="preserve"> &amp; </w:t>
            </w:r>
            <w:proofErr w:type="spellStart"/>
            <w:r w:rsidRPr="000B371B">
              <w:rPr>
                <w:rFonts w:eastAsia="Times New Roman" w:cs="Times New Roman"/>
                <w:szCs w:val="24"/>
              </w:rPr>
              <w:t>Razzaque</w:t>
            </w:r>
            <w:proofErr w:type="spellEnd"/>
            <w:r w:rsidRPr="000B371B">
              <w:rPr>
                <w:rFonts w:eastAsia="Times New Roman" w:cs="Times New Roman"/>
                <w:szCs w:val="24"/>
              </w:rPr>
              <w:t>, 2021, Book Chapter</w:t>
            </w:r>
          </w:p>
        </w:tc>
        <w:tc>
          <w:tcPr>
            <w:tcW w:w="1087" w:type="dxa"/>
            <w:vAlign w:val="center"/>
          </w:tcPr>
          <w:p w14:paraId="0C1F67D1" w14:textId="77777777" w:rsidR="009A5761" w:rsidRPr="000B371B" w:rsidRDefault="009A5761" w:rsidP="009A5761">
            <w:pPr>
              <w:rPr>
                <w:rFonts w:eastAsia="Times New Roman" w:cs="Times New Roman"/>
                <w:szCs w:val="24"/>
              </w:rPr>
            </w:pPr>
            <w:r w:rsidRPr="000B371B">
              <w:rPr>
                <w:rFonts w:eastAsia="Times New Roman" w:cs="Times New Roman"/>
                <w:szCs w:val="24"/>
              </w:rPr>
              <w:t>Global</w:t>
            </w:r>
          </w:p>
        </w:tc>
        <w:tc>
          <w:tcPr>
            <w:tcW w:w="2337" w:type="dxa"/>
            <w:vAlign w:val="center"/>
          </w:tcPr>
          <w:p w14:paraId="2BDE6863" w14:textId="77777777" w:rsidR="009A5761" w:rsidRPr="000B371B" w:rsidRDefault="009A5761" w:rsidP="009A5761">
            <w:pPr>
              <w:rPr>
                <w:rFonts w:eastAsia="Times New Roman" w:cs="Times New Roman"/>
                <w:szCs w:val="24"/>
              </w:rPr>
            </w:pPr>
            <w:r w:rsidRPr="000B371B">
              <w:rPr>
                <w:rFonts w:eastAsia="Times New Roman" w:cs="Times New Roman"/>
                <w:szCs w:val="24"/>
              </w:rPr>
              <w:t>E-procurement performance and outcomes</w:t>
            </w:r>
          </w:p>
        </w:tc>
        <w:tc>
          <w:tcPr>
            <w:tcW w:w="1629" w:type="dxa"/>
            <w:vAlign w:val="center"/>
          </w:tcPr>
          <w:p w14:paraId="0E575EEE" w14:textId="77777777" w:rsidR="009A5761" w:rsidRPr="000B371B" w:rsidRDefault="009A5761" w:rsidP="009A5761">
            <w:pPr>
              <w:rPr>
                <w:rFonts w:eastAsia="Times New Roman" w:cs="Times New Roman"/>
                <w:szCs w:val="24"/>
              </w:rPr>
            </w:pPr>
            <w:r w:rsidRPr="000B371B">
              <w:rPr>
                <w:rFonts w:eastAsia="Times New Roman" w:cs="Times New Roman"/>
                <w:szCs w:val="24"/>
              </w:rPr>
              <w:t>Conceptual and empirical synthesis</w:t>
            </w:r>
          </w:p>
        </w:tc>
        <w:tc>
          <w:tcPr>
            <w:tcW w:w="2514" w:type="dxa"/>
            <w:vAlign w:val="center"/>
          </w:tcPr>
          <w:p w14:paraId="48E19672" w14:textId="77777777" w:rsidR="009A5761" w:rsidRPr="000B371B" w:rsidRDefault="009A5761" w:rsidP="009A5761">
            <w:pPr>
              <w:rPr>
                <w:rFonts w:eastAsia="Times New Roman" w:cs="Times New Roman"/>
                <w:szCs w:val="24"/>
              </w:rPr>
            </w:pPr>
            <w:r w:rsidRPr="000B371B">
              <w:rPr>
                <w:rFonts w:eastAsia="Times New Roman" w:cs="Times New Roman"/>
                <w:szCs w:val="24"/>
              </w:rPr>
              <w:t>E-procurement improves supply chain responsiveness and operational efficiency</w:t>
            </w:r>
          </w:p>
        </w:tc>
      </w:tr>
      <w:tr w:rsidR="002C4B48" w14:paraId="7B42F66C" w14:textId="77777777" w:rsidTr="004E261A">
        <w:tc>
          <w:tcPr>
            <w:tcW w:w="570" w:type="dxa"/>
            <w:vAlign w:val="center"/>
          </w:tcPr>
          <w:p w14:paraId="134D7F4F" w14:textId="77777777" w:rsidR="002C4B48" w:rsidRPr="005C2042" w:rsidRDefault="002C4B48" w:rsidP="002C4B48">
            <w:pPr>
              <w:rPr>
                <w:rFonts w:eastAsia="Times New Roman" w:cs="Times New Roman"/>
                <w:szCs w:val="24"/>
              </w:rPr>
            </w:pPr>
            <w:r w:rsidRPr="005C2042">
              <w:rPr>
                <w:rFonts w:eastAsia="Times New Roman" w:cs="Times New Roman"/>
                <w:szCs w:val="24"/>
              </w:rPr>
              <w:lastRenderedPageBreak/>
              <w:t>9</w:t>
            </w:r>
          </w:p>
        </w:tc>
        <w:tc>
          <w:tcPr>
            <w:tcW w:w="1848" w:type="dxa"/>
            <w:vAlign w:val="center"/>
          </w:tcPr>
          <w:p w14:paraId="1F19B160" w14:textId="77777777" w:rsidR="002C4B48" w:rsidRPr="007D282D" w:rsidRDefault="002C4B48" w:rsidP="002C4B48">
            <w:pPr>
              <w:rPr>
                <w:rFonts w:eastAsia="Times New Roman" w:cs="Times New Roman"/>
                <w:szCs w:val="24"/>
              </w:rPr>
            </w:pPr>
            <w:r w:rsidRPr="007D282D">
              <w:rPr>
                <w:rFonts w:eastAsia="Times New Roman" w:cs="Times New Roman"/>
                <w:szCs w:val="24"/>
              </w:rPr>
              <w:t>Al-</w:t>
            </w:r>
            <w:proofErr w:type="spellStart"/>
            <w:r w:rsidRPr="007D282D">
              <w:rPr>
                <w:rFonts w:eastAsia="Times New Roman" w:cs="Times New Roman"/>
                <w:szCs w:val="24"/>
              </w:rPr>
              <w:t>Zoubi</w:t>
            </w:r>
            <w:proofErr w:type="spellEnd"/>
            <w:r w:rsidRPr="007D282D">
              <w:rPr>
                <w:rFonts w:eastAsia="Times New Roman" w:cs="Times New Roman"/>
                <w:szCs w:val="24"/>
              </w:rPr>
              <w:t xml:space="preserve"> &amp; </w:t>
            </w:r>
            <w:proofErr w:type="spellStart"/>
            <w:r w:rsidRPr="007D282D">
              <w:rPr>
                <w:rFonts w:eastAsia="Times New Roman" w:cs="Times New Roman"/>
                <w:szCs w:val="24"/>
              </w:rPr>
              <w:t>Masa’deh</w:t>
            </w:r>
            <w:proofErr w:type="spellEnd"/>
            <w:r w:rsidRPr="007D282D">
              <w:rPr>
                <w:rFonts w:eastAsia="Times New Roman" w:cs="Times New Roman"/>
                <w:szCs w:val="24"/>
              </w:rPr>
              <w:t>, 2020, Journal Article</w:t>
            </w:r>
          </w:p>
        </w:tc>
        <w:tc>
          <w:tcPr>
            <w:tcW w:w="1087" w:type="dxa"/>
            <w:vAlign w:val="center"/>
          </w:tcPr>
          <w:p w14:paraId="37B661C7" w14:textId="77777777" w:rsidR="002C4B48" w:rsidRPr="007D282D" w:rsidRDefault="002C4B48" w:rsidP="002C4B48">
            <w:pPr>
              <w:rPr>
                <w:rFonts w:eastAsia="Times New Roman" w:cs="Times New Roman"/>
                <w:szCs w:val="24"/>
              </w:rPr>
            </w:pPr>
            <w:r w:rsidRPr="007D282D">
              <w:rPr>
                <w:rFonts w:eastAsia="Times New Roman" w:cs="Times New Roman"/>
                <w:szCs w:val="24"/>
              </w:rPr>
              <w:t>Jordan</w:t>
            </w:r>
          </w:p>
        </w:tc>
        <w:tc>
          <w:tcPr>
            <w:tcW w:w="2337" w:type="dxa"/>
            <w:vAlign w:val="center"/>
          </w:tcPr>
          <w:p w14:paraId="6AD1E815" w14:textId="77777777" w:rsidR="002C4B48" w:rsidRPr="007D282D" w:rsidRDefault="002C4B48" w:rsidP="002C4B48">
            <w:pPr>
              <w:rPr>
                <w:rFonts w:eastAsia="Times New Roman" w:cs="Times New Roman"/>
                <w:szCs w:val="24"/>
              </w:rPr>
            </w:pPr>
            <w:r w:rsidRPr="007D282D">
              <w:rPr>
                <w:rFonts w:eastAsia="Times New Roman" w:cs="Times New Roman"/>
                <w:szCs w:val="24"/>
              </w:rPr>
              <w:t>Tacit knowledge and mentoring in e-governance</w:t>
            </w:r>
          </w:p>
        </w:tc>
        <w:tc>
          <w:tcPr>
            <w:tcW w:w="1629" w:type="dxa"/>
            <w:vAlign w:val="center"/>
          </w:tcPr>
          <w:p w14:paraId="11C150D6" w14:textId="77777777" w:rsidR="002C4B48" w:rsidRPr="007D282D" w:rsidRDefault="002C4B48" w:rsidP="002C4B48">
            <w:pPr>
              <w:rPr>
                <w:rFonts w:eastAsia="Times New Roman" w:cs="Times New Roman"/>
                <w:szCs w:val="24"/>
              </w:rPr>
            </w:pPr>
            <w:r w:rsidRPr="007D282D">
              <w:rPr>
                <w:rFonts w:eastAsia="Times New Roman" w:cs="Times New Roman"/>
                <w:szCs w:val="24"/>
              </w:rPr>
              <w:t>Empirical study</w:t>
            </w:r>
          </w:p>
        </w:tc>
        <w:tc>
          <w:tcPr>
            <w:tcW w:w="2514" w:type="dxa"/>
            <w:vAlign w:val="center"/>
          </w:tcPr>
          <w:p w14:paraId="4046E81A" w14:textId="77777777" w:rsidR="002C4B48" w:rsidRPr="007D282D" w:rsidRDefault="002C4B48" w:rsidP="002C4B48">
            <w:pPr>
              <w:rPr>
                <w:rFonts w:eastAsia="Times New Roman" w:cs="Times New Roman"/>
                <w:szCs w:val="24"/>
              </w:rPr>
            </w:pPr>
            <w:r w:rsidRPr="007D282D">
              <w:rPr>
                <w:rFonts w:eastAsia="Times New Roman" w:cs="Times New Roman"/>
                <w:szCs w:val="24"/>
              </w:rPr>
              <w:t>Shows mentoring and knowledge sharing enhance employee capabilities</w:t>
            </w:r>
          </w:p>
        </w:tc>
      </w:tr>
      <w:tr w:rsidR="00897C03" w14:paraId="4ACE949A" w14:textId="77777777" w:rsidTr="004E261A">
        <w:tc>
          <w:tcPr>
            <w:tcW w:w="570" w:type="dxa"/>
            <w:vAlign w:val="center"/>
          </w:tcPr>
          <w:p w14:paraId="52F48A4A" w14:textId="77777777" w:rsidR="00897C03" w:rsidRPr="005C2042" w:rsidRDefault="00897C03" w:rsidP="00897C03">
            <w:pPr>
              <w:rPr>
                <w:rFonts w:eastAsia="Times New Roman" w:cs="Times New Roman"/>
                <w:szCs w:val="24"/>
              </w:rPr>
            </w:pPr>
            <w:r w:rsidRPr="005C2042">
              <w:rPr>
                <w:rFonts w:eastAsia="Times New Roman" w:cs="Times New Roman"/>
                <w:szCs w:val="24"/>
              </w:rPr>
              <w:t>10</w:t>
            </w:r>
          </w:p>
        </w:tc>
        <w:tc>
          <w:tcPr>
            <w:tcW w:w="1848" w:type="dxa"/>
            <w:vAlign w:val="center"/>
          </w:tcPr>
          <w:p w14:paraId="0A6A18DF" w14:textId="77777777" w:rsidR="00897C03" w:rsidRPr="005C2042" w:rsidRDefault="00897C03" w:rsidP="00897C03">
            <w:pPr>
              <w:rPr>
                <w:rFonts w:eastAsia="Times New Roman" w:cs="Times New Roman"/>
                <w:szCs w:val="24"/>
              </w:rPr>
            </w:pPr>
            <w:r w:rsidRPr="005C2042">
              <w:rPr>
                <w:rFonts w:eastAsia="Times New Roman" w:cs="Times New Roman"/>
                <w:szCs w:val="24"/>
              </w:rPr>
              <w:t>OECD, 2021 &amp; 2025, Policy Report</w:t>
            </w:r>
          </w:p>
        </w:tc>
        <w:tc>
          <w:tcPr>
            <w:tcW w:w="1087" w:type="dxa"/>
            <w:vAlign w:val="center"/>
          </w:tcPr>
          <w:p w14:paraId="2348CA47" w14:textId="77777777" w:rsidR="00897C03" w:rsidRPr="005C2042" w:rsidRDefault="00897C03" w:rsidP="00897C03">
            <w:pPr>
              <w:rPr>
                <w:rFonts w:eastAsia="Times New Roman" w:cs="Times New Roman"/>
                <w:szCs w:val="24"/>
              </w:rPr>
            </w:pPr>
            <w:r w:rsidRPr="005C2042">
              <w:rPr>
                <w:rFonts w:eastAsia="Times New Roman" w:cs="Times New Roman"/>
                <w:szCs w:val="24"/>
              </w:rPr>
              <w:t>OECD &amp; Global</w:t>
            </w:r>
          </w:p>
        </w:tc>
        <w:tc>
          <w:tcPr>
            <w:tcW w:w="2337" w:type="dxa"/>
            <w:vAlign w:val="center"/>
          </w:tcPr>
          <w:p w14:paraId="3A84C02A" w14:textId="77777777" w:rsidR="00897C03" w:rsidRPr="005C2042" w:rsidRDefault="00897C03" w:rsidP="00897C03">
            <w:pPr>
              <w:rPr>
                <w:rFonts w:eastAsia="Times New Roman" w:cs="Times New Roman"/>
                <w:szCs w:val="24"/>
              </w:rPr>
            </w:pPr>
            <w:r w:rsidRPr="005C2042">
              <w:rPr>
                <w:rFonts w:eastAsia="Times New Roman" w:cs="Times New Roman"/>
                <w:szCs w:val="24"/>
              </w:rPr>
              <w:t>Digital reform in procurement</w:t>
            </w:r>
          </w:p>
        </w:tc>
        <w:tc>
          <w:tcPr>
            <w:tcW w:w="1629" w:type="dxa"/>
            <w:vAlign w:val="center"/>
          </w:tcPr>
          <w:p w14:paraId="11CCD1D8" w14:textId="77777777" w:rsidR="00897C03" w:rsidRPr="005C2042" w:rsidRDefault="00897C03" w:rsidP="00897C03">
            <w:pPr>
              <w:rPr>
                <w:rFonts w:eastAsia="Times New Roman" w:cs="Times New Roman"/>
                <w:szCs w:val="24"/>
              </w:rPr>
            </w:pPr>
            <w:r w:rsidRPr="005C2042">
              <w:rPr>
                <w:rFonts w:eastAsia="Times New Roman" w:cs="Times New Roman"/>
                <w:szCs w:val="24"/>
              </w:rPr>
              <w:t>Policy benchmarking</w:t>
            </w:r>
          </w:p>
        </w:tc>
        <w:tc>
          <w:tcPr>
            <w:tcW w:w="2514" w:type="dxa"/>
            <w:vAlign w:val="center"/>
          </w:tcPr>
          <w:p w14:paraId="799B02FD" w14:textId="77777777" w:rsidR="00897C03" w:rsidRPr="005C2042" w:rsidRDefault="00897C03" w:rsidP="00897C03">
            <w:pPr>
              <w:rPr>
                <w:rFonts w:eastAsia="Times New Roman" w:cs="Times New Roman"/>
                <w:szCs w:val="24"/>
              </w:rPr>
            </w:pPr>
            <w:r w:rsidRPr="005C2042">
              <w:rPr>
                <w:rFonts w:eastAsia="Times New Roman" w:cs="Times New Roman"/>
                <w:szCs w:val="24"/>
              </w:rPr>
              <w:t>Digital tools improve procurement transparency and efficiency</w:t>
            </w:r>
          </w:p>
        </w:tc>
      </w:tr>
      <w:tr w:rsidR="00897C03" w14:paraId="53E9C2A4" w14:textId="77777777" w:rsidTr="004E261A">
        <w:tc>
          <w:tcPr>
            <w:tcW w:w="570" w:type="dxa"/>
            <w:vAlign w:val="center"/>
          </w:tcPr>
          <w:p w14:paraId="7227B8FA" w14:textId="77777777" w:rsidR="00897C03" w:rsidRPr="005C2042" w:rsidRDefault="00897C03" w:rsidP="00897C03">
            <w:pPr>
              <w:rPr>
                <w:rFonts w:eastAsia="Times New Roman" w:cs="Times New Roman"/>
                <w:szCs w:val="24"/>
              </w:rPr>
            </w:pPr>
            <w:r w:rsidRPr="005C2042">
              <w:rPr>
                <w:rFonts w:eastAsia="Times New Roman" w:cs="Times New Roman"/>
                <w:szCs w:val="24"/>
              </w:rPr>
              <w:t>11</w:t>
            </w:r>
          </w:p>
        </w:tc>
        <w:tc>
          <w:tcPr>
            <w:tcW w:w="1848" w:type="dxa"/>
            <w:vAlign w:val="center"/>
          </w:tcPr>
          <w:p w14:paraId="78F03146" w14:textId="77777777" w:rsidR="00897C03" w:rsidRPr="005C2042" w:rsidRDefault="00897C03" w:rsidP="00897C03">
            <w:pPr>
              <w:rPr>
                <w:rFonts w:eastAsia="Times New Roman" w:cs="Times New Roman"/>
                <w:szCs w:val="24"/>
              </w:rPr>
            </w:pPr>
            <w:r w:rsidRPr="005C2042">
              <w:rPr>
                <w:rFonts w:eastAsia="Times New Roman" w:cs="Times New Roman"/>
                <w:szCs w:val="24"/>
              </w:rPr>
              <w:t>ProQuest, 2019, Database Summary</w:t>
            </w:r>
          </w:p>
        </w:tc>
        <w:tc>
          <w:tcPr>
            <w:tcW w:w="1087" w:type="dxa"/>
            <w:vAlign w:val="center"/>
          </w:tcPr>
          <w:p w14:paraId="319F3E58" w14:textId="77777777" w:rsidR="00897C03" w:rsidRPr="005C2042" w:rsidRDefault="00897C03" w:rsidP="00897C03">
            <w:pPr>
              <w:rPr>
                <w:rFonts w:eastAsia="Times New Roman" w:cs="Times New Roman"/>
                <w:szCs w:val="24"/>
              </w:rPr>
            </w:pPr>
            <w:r w:rsidRPr="005C2042">
              <w:rPr>
                <w:rFonts w:eastAsia="Times New Roman" w:cs="Times New Roman"/>
                <w:szCs w:val="24"/>
              </w:rPr>
              <w:t>Asia-Pacific</w:t>
            </w:r>
          </w:p>
        </w:tc>
        <w:tc>
          <w:tcPr>
            <w:tcW w:w="2337" w:type="dxa"/>
            <w:vAlign w:val="center"/>
          </w:tcPr>
          <w:p w14:paraId="45278FCF" w14:textId="77777777" w:rsidR="00897C03" w:rsidRPr="005C2042" w:rsidRDefault="00897C03" w:rsidP="00897C03">
            <w:pPr>
              <w:rPr>
                <w:rFonts w:eastAsia="Times New Roman" w:cs="Times New Roman"/>
                <w:szCs w:val="24"/>
              </w:rPr>
            </w:pPr>
            <w:r w:rsidRPr="005C2042">
              <w:rPr>
                <w:rFonts w:eastAsia="Times New Roman" w:cs="Times New Roman"/>
                <w:szCs w:val="24"/>
              </w:rPr>
              <w:t>Smart government platforms</w:t>
            </w:r>
          </w:p>
        </w:tc>
        <w:tc>
          <w:tcPr>
            <w:tcW w:w="1629" w:type="dxa"/>
            <w:vAlign w:val="center"/>
          </w:tcPr>
          <w:p w14:paraId="19C4C9E0" w14:textId="77777777" w:rsidR="00897C03" w:rsidRPr="005C2042" w:rsidRDefault="00897C03" w:rsidP="00897C03">
            <w:pPr>
              <w:rPr>
                <w:rFonts w:eastAsia="Times New Roman" w:cs="Times New Roman"/>
                <w:szCs w:val="24"/>
              </w:rPr>
            </w:pPr>
            <w:r w:rsidRPr="005C2042">
              <w:rPr>
                <w:rFonts w:eastAsia="Times New Roman" w:cs="Times New Roman"/>
                <w:szCs w:val="24"/>
              </w:rPr>
              <w:t>Literature synthesis</w:t>
            </w:r>
          </w:p>
        </w:tc>
        <w:tc>
          <w:tcPr>
            <w:tcW w:w="2514" w:type="dxa"/>
            <w:vAlign w:val="center"/>
          </w:tcPr>
          <w:p w14:paraId="2D814967" w14:textId="77777777" w:rsidR="00897C03" w:rsidRPr="005C2042" w:rsidRDefault="00897C03" w:rsidP="00897C03">
            <w:pPr>
              <w:rPr>
                <w:rFonts w:eastAsia="Times New Roman" w:cs="Times New Roman"/>
                <w:szCs w:val="24"/>
              </w:rPr>
            </w:pPr>
            <w:r w:rsidRPr="005C2042">
              <w:rPr>
                <w:rFonts w:eastAsia="Times New Roman" w:cs="Times New Roman"/>
                <w:szCs w:val="24"/>
              </w:rPr>
              <w:t>Smart platforms enhance service delivery and citizen engagement</w:t>
            </w:r>
          </w:p>
        </w:tc>
      </w:tr>
      <w:tr w:rsidR="002C4B48" w14:paraId="2346C3BE" w14:textId="77777777" w:rsidTr="004E261A">
        <w:tc>
          <w:tcPr>
            <w:tcW w:w="570" w:type="dxa"/>
            <w:vAlign w:val="center"/>
          </w:tcPr>
          <w:p w14:paraId="49DCFFB2" w14:textId="77777777" w:rsidR="002C4B48" w:rsidRPr="005C2042" w:rsidRDefault="002C4B48" w:rsidP="002C4B48">
            <w:pPr>
              <w:rPr>
                <w:rFonts w:eastAsia="Times New Roman" w:cs="Times New Roman"/>
                <w:szCs w:val="24"/>
              </w:rPr>
            </w:pPr>
            <w:r w:rsidRPr="005C2042">
              <w:rPr>
                <w:rFonts w:eastAsia="Times New Roman" w:cs="Times New Roman"/>
                <w:szCs w:val="24"/>
              </w:rPr>
              <w:t>12</w:t>
            </w:r>
          </w:p>
        </w:tc>
        <w:tc>
          <w:tcPr>
            <w:tcW w:w="1848" w:type="dxa"/>
            <w:vAlign w:val="center"/>
          </w:tcPr>
          <w:p w14:paraId="3E4A1BA4" w14:textId="77777777" w:rsidR="002C4B48" w:rsidRPr="007D282D" w:rsidRDefault="002C4B48" w:rsidP="002C4B48">
            <w:pPr>
              <w:rPr>
                <w:rFonts w:eastAsia="Times New Roman" w:cs="Times New Roman"/>
                <w:szCs w:val="24"/>
              </w:rPr>
            </w:pPr>
            <w:r w:rsidRPr="007D282D">
              <w:rPr>
                <w:rFonts w:eastAsia="Times New Roman" w:cs="Times New Roman"/>
                <w:szCs w:val="24"/>
              </w:rPr>
              <w:t xml:space="preserve">Mwangi, </w:t>
            </w:r>
            <w:proofErr w:type="spellStart"/>
            <w:r w:rsidRPr="007D282D">
              <w:rPr>
                <w:rFonts w:eastAsia="Times New Roman" w:cs="Times New Roman"/>
                <w:szCs w:val="24"/>
              </w:rPr>
              <w:t>Njiraini</w:t>
            </w:r>
            <w:proofErr w:type="spellEnd"/>
            <w:r w:rsidRPr="007D282D">
              <w:rPr>
                <w:rFonts w:eastAsia="Times New Roman" w:cs="Times New Roman"/>
                <w:szCs w:val="24"/>
              </w:rPr>
              <w:t xml:space="preserve"> &amp; Waweru, 2023, Journal Article</w:t>
            </w:r>
          </w:p>
        </w:tc>
        <w:tc>
          <w:tcPr>
            <w:tcW w:w="1087" w:type="dxa"/>
            <w:vAlign w:val="center"/>
          </w:tcPr>
          <w:p w14:paraId="3C134376" w14:textId="77777777" w:rsidR="002C4B48" w:rsidRPr="007D282D" w:rsidRDefault="002C4B48" w:rsidP="002C4B48">
            <w:pPr>
              <w:rPr>
                <w:rFonts w:eastAsia="Times New Roman" w:cs="Times New Roman"/>
                <w:szCs w:val="24"/>
              </w:rPr>
            </w:pPr>
            <w:r w:rsidRPr="007D282D">
              <w:rPr>
                <w:rFonts w:eastAsia="Times New Roman" w:cs="Times New Roman"/>
                <w:szCs w:val="24"/>
              </w:rPr>
              <w:t>Kenya</w:t>
            </w:r>
          </w:p>
        </w:tc>
        <w:tc>
          <w:tcPr>
            <w:tcW w:w="2337" w:type="dxa"/>
            <w:vAlign w:val="center"/>
          </w:tcPr>
          <w:p w14:paraId="4A0FDA63" w14:textId="77777777" w:rsidR="002C4B48" w:rsidRPr="007D282D" w:rsidRDefault="002C4B48" w:rsidP="002C4B48">
            <w:pPr>
              <w:rPr>
                <w:rFonts w:eastAsia="Times New Roman" w:cs="Times New Roman"/>
                <w:szCs w:val="24"/>
              </w:rPr>
            </w:pPr>
            <w:r w:rsidRPr="007D282D">
              <w:rPr>
                <w:rFonts w:eastAsia="Times New Roman" w:cs="Times New Roman"/>
                <w:szCs w:val="24"/>
              </w:rPr>
              <w:t>Digital transformation in SMEs</w:t>
            </w:r>
          </w:p>
        </w:tc>
        <w:tc>
          <w:tcPr>
            <w:tcW w:w="1629" w:type="dxa"/>
            <w:vAlign w:val="center"/>
          </w:tcPr>
          <w:p w14:paraId="5D39DD9B" w14:textId="77777777" w:rsidR="002C4B48" w:rsidRPr="007D282D" w:rsidRDefault="002C4B48" w:rsidP="002C4B48">
            <w:pPr>
              <w:rPr>
                <w:rFonts w:eastAsia="Times New Roman" w:cs="Times New Roman"/>
                <w:szCs w:val="24"/>
              </w:rPr>
            </w:pPr>
            <w:r w:rsidRPr="007D282D">
              <w:rPr>
                <w:rFonts w:eastAsia="Times New Roman" w:cs="Times New Roman"/>
                <w:szCs w:val="24"/>
              </w:rPr>
              <w:t>Mixed methods</w:t>
            </w:r>
          </w:p>
        </w:tc>
        <w:tc>
          <w:tcPr>
            <w:tcW w:w="2514" w:type="dxa"/>
            <w:vAlign w:val="center"/>
          </w:tcPr>
          <w:p w14:paraId="0FF774C1" w14:textId="77777777" w:rsidR="002C4B48" w:rsidRPr="007D282D" w:rsidRDefault="002C4B48" w:rsidP="002C4B48">
            <w:pPr>
              <w:rPr>
                <w:rFonts w:eastAsia="Times New Roman" w:cs="Times New Roman"/>
                <w:szCs w:val="24"/>
              </w:rPr>
            </w:pPr>
            <w:r w:rsidRPr="007D282D">
              <w:rPr>
                <w:rFonts w:eastAsia="Times New Roman" w:cs="Times New Roman"/>
                <w:szCs w:val="24"/>
              </w:rPr>
              <w:t>Digital tools improve SME performance and competitiveness in Kenya</w:t>
            </w:r>
          </w:p>
        </w:tc>
      </w:tr>
      <w:tr w:rsidR="00897C03" w14:paraId="2C5A0302" w14:textId="77777777" w:rsidTr="004E261A">
        <w:tc>
          <w:tcPr>
            <w:tcW w:w="570" w:type="dxa"/>
            <w:vAlign w:val="center"/>
          </w:tcPr>
          <w:p w14:paraId="6CD00944" w14:textId="77777777" w:rsidR="00897C03" w:rsidRPr="005C2042" w:rsidRDefault="00897C03" w:rsidP="00897C03">
            <w:pPr>
              <w:rPr>
                <w:rFonts w:eastAsia="Times New Roman" w:cs="Times New Roman"/>
                <w:szCs w:val="24"/>
              </w:rPr>
            </w:pPr>
            <w:r w:rsidRPr="005C2042">
              <w:rPr>
                <w:rFonts w:eastAsia="Times New Roman" w:cs="Times New Roman"/>
                <w:szCs w:val="24"/>
              </w:rPr>
              <w:t>13</w:t>
            </w:r>
          </w:p>
        </w:tc>
        <w:tc>
          <w:tcPr>
            <w:tcW w:w="1848" w:type="dxa"/>
            <w:vAlign w:val="center"/>
          </w:tcPr>
          <w:p w14:paraId="04006D38" w14:textId="77777777" w:rsidR="00897C03" w:rsidRPr="005C2042" w:rsidRDefault="00897C03" w:rsidP="00897C03">
            <w:pPr>
              <w:rPr>
                <w:rFonts w:eastAsia="Times New Roman" w:cs="Times New Roman"/>
                <w:szCs w:val="24"/>
              </w:rPr>
            </w:pPr>
            <w:r w:rsidRPr="005C2042">
              <w:rPr>
                <w:rFonts w:eastAsia="Times New Roman" w:cs="Times New Roman"/>
                <w:szCs w:val="24"/>
              </w:rPr>
              <w:t>UNDP, 2022, Policy Report</w:t>
            </w:r>
          </w:p>
        </w:tc>
        <w:tc>
          <w:tcPr>
            <w:tcW w:w="1087" w:type="dxa"/>
            <w:vAlign w:val="center"/>
          </w:tcPr>
          <w:p w14:paraId="1F6AA608" w14:textId="77777777" w:rsidR="00897C03" w:rsidRPr="005C2042" w:rsidRDefault="00897C03" w:rsidP="00897C03">
            <w:pPr>
              <w:rPr>
                <w:rFonts w:eastAsia="Times New Roman" w:cs="Times New Roman"/>
                <w:szCs w:val="24"/>
              </w:rPr>
            </w:pPr>
            <w:r w:rsidRPr="005C2042">
              <w:rPr>
                <w:rFonts w:eastAsia="Times New Roman" w:cs="Times New Roman"/>
                <w:szCs w:val="24"/>
              </w:rPr>
              <w:t>Global South</w:t>
            </w:r>
          </w:p>
        </w:tc>
        <w:tc>
          <w:tcPr>
            <w:tcW w:w="2337" w:type="dxa"/>
            <w:vAlign w:val="center"/>
          </w:tcPr>
          <w:p w14:paraId="59704C95" w14:textId="77777777" w:rsidR="00897C03" w:rsidRPr="005C2042" w:rsidRDefault="00897C03" w:rsidP="00897C03">
            <w:pPr>
              <w:rPr>
                <w:rFonts w:eastAsia="Times New Roman" w:cs="Times New Roman"/>
                <w:szCs w:val="24"/>
              </w:rPr>
            </w:pPr>
            <w:r w:rsidRPr="005C2042">
              <w:rPr>
                <w:rFonts w:eastAsia="Times New Roman" w:cs="Times New Roman"/>
                <w:szCs w:val="24"/>
              </w:rPr>
              <w:t>Institutional readiness</w:t>
            </w:r>
          </w:p>
        </w:tc>
        <w:tc>
          <w:tcPr>
            <w:tcW w:w="1629" w:type="dxa"/>
            <w:vAlign w:val="center"/>
          </w:tcPr>
          <w:p w14:paraId="4436DB80" w14:textId="77777777" w:rsidR="00897C03" w:rsidRPr="005C2042" w:rsidRDefault="00897C03" w:rsidP="00897C03">
            <w:pPr>
              <w:rPr>
                <w:rFonts w:eastAsia="Times New Roman" w:cs="Times New Roman"/>
                <w:szCs w:val="24"/>
              </w:rPr>
            </w:pPr>
            <w:r w:rsidRPr="005C2042">
              <w:rPr>
                <w:rFonts w:eastAsia="Times New Roman" w:cs="Times New Roman"/>
                <w:szCs w:val="24"/>
              </w:rPr>
              <w:t>Capacity assessment</w:t>
            </w:r>
          </w:p>
        </w:tc>
        <w:tc>
          <w:tcPr>
            <w:tcW w:w="2514" w:type="dxa"/>
            <w:vAlign w:val="center"/>
          </w:tcPr>
          <w:p w14:paraId="078FA282" w14:textId="77777777" w:rsidR="00897C03" w:rsidRPr="005C2042" w:rsidRDefault="00897C03" w:rsidP="00897C03">
            <w:pPr>
              <w:rPr>
                <w:rFonts w:eastAsia="Times New Roman" w:cs="Times New Roman"/>
                <w:szCs w:val="24"/>
              </w:rPr>
            </w:pPr>
            <w:r w:rsidRPr="005C2042">
              <w:rPr>
                <w:rFonts w:eastAsia="Times New Roman" w:cs="Times New Roman"/>
                <w:szCs w:val="24"/>
              </w:rPr>
              <w:t>Readiness varies by region; training and infrastructure are key</w:t>
            </w:r>
          </w:p>
        </w:tc>
      </w:tr>
      <w:tr w:rsidR="002C4B48" w14:paraId="2B5B1A04" w14:textId="77777777" w:rsidTr="004E261A">
        <w:tc>
          <w:tcPr>
            <w:tcW w:w="570" w:type="dxa"/>
            <w:vAlign w:val="center"/>
          </w:tcPr>
          <w:p w14:paraId="14323CE5" w14:textId="77777777" w:rsidR="002C4B48" w:rsidRPr="005C2042" w:rsidRDefault="002C4B48" w:rsidP="002C4B48">
            <w:pPr>
              <w:rPr>
                <w:rFonts w:eastAsia="Times New Roman" w:cs="Times New Roman"/>
                <w:szCs w:val="24"/>
              </w:rPr>
            </w:pPr>
            <w:r w:rsidRPr="005C2042">
              <w:rPr>
                <w:rFonts w:eastAsia="Times New Roman" w:cs="Times New Roman"/>
                <w:szCs w:val="24"/>
              </w:rPr>
              <w:t>14</w:t>
            </w:r>
          </w:p>
        </w:tc>
        <w:tc>
          <w:tcPr>
            <w:tcW w:w="1848" w:type="dxa"/>
            <w:vAlign w:val="center"/>
          </w:tcPr>
          <w:p w14:paraId="6656D682" w14:textId="77777777" w:rsidR="002C4B48" w:rsidRPr="007D282D" w:rsidRDefault="002C4B48" w:rsidP="002C4B48">
            <w:pPr>
              <w:rPr>
                <w:rFonts w:eastAsia="Times New Roman" w:cs="Times New Roman"/>
                <w:szCs w:val="24"/>
              </w:rPr>
            </w:pPr>
            <w:r w:rsidRPr="007D282D">
              <w:rPr>
                <w:rFonts w:eastAsia="Times New Roman" w:cs="Times New Roman"/>
                <w:szCs w:val="24"/>
              </w:rPr>
              <w:t>Siddiqui &amp; Mehmood, 2021, Journal Article</w:t>
            </w:r>
          </w:p>
        </w:tc>
        <w:tc>
          <w:tcPr>
            <w:tcW w:w="1087" w:type="dxa"/>
            <w:vAlign w:val="center"/>
          </w:tcPr>
          <w:p w14:paraId="2C7037B5" w14:textId="77777777" w:rsidR="002C4B48" w:rsidRPr="007D282D" w:rsidRDefault="002C4B48" w:rsidP="002C4B48">
            <w:pPr>
              <w:rPr>
                <w:rFonts w:eastAsia="Times New Roman" w:cs="Times New Roman"/>
                <w:szCs w:val="24"/>
              </w:rPr>
            </w:pPr>
            <w:r w:rsidRPr="007D282D">
              <w:rPr>
                <w:rFonts w:eastAsia="Times New Roman" w:cs="Times New Roman"/>
                <w:szCs w:val="24"/>
              </w:rPr>
              <w:t>Pakistan</w:t>
            </w:r>
          </w:p>
        </w:tc>
        <w:tc>
          <w:tcPr>
            <w:tcW w:w="2337" w:type="dxa"/>
            <w:vAlign w:val="center"/>
          </w:tcPr>
          <w:p w14:paraId="6815E59B" w14:textId="77777777" w:rsidR="002C4B48" w:rsidRPr="007D282D" w:rsidRDefault="002C4B48" w:rsidP="002C4B48">
            <w:pPr>
              <w:rPr>
                <w:rFonts w:eastAsia="Times New Roman" w:cs="Times New Roman"/>
                <w:szCs w:val="24"/>
              </w:rPr>
            </w:pPr>
            <w:r w:rsidRPr="007D282D">
              <w:rPr>
                <w:rFonts w:eastAsia="Times New Roman" w:cs="Times New Roman"/>
                <w:szCs w:val="24"/>
              </w:rPr>
              <w:t>E-government implementation and challenges</w:t>
            </w:r>
          </w:p>
        </w:tc>
        <w:tc>
          <w:tcPr>
            <w:tcW w:w="1629" w:type="dxa"/>
            <w:vAlign w:val="center"/>
          </w:tcPr>
          <w:p w14:paraId="2B1656C2" w14:textId="77777777" w:rsidR="002C4B48" w:rsidRPr="007D282D" w:rsidRDefault="002C4B48" w:rsidP="002C4B48">
            <w:pPr>
              <w:rPr>
                <w:rFonts w:eastAsia="Times New Roman" w:cs="Times New Roman"/>
                <w:szCs w:val="24"/>
              </w:rPr>
            </w:pPr>
            <w:r w:rsidRPr="007D282D">
              <w:rPr>
                <w:rFonts w:eastAsia="Times New Roman" w:cs="Times New Roman"/>
                <w:szCs w:val="24"/>
              </w:rPr>
              <w:t>Descriptive analysis</w:t>
            </w:r>
          </w:p>
        </w:tc>
        <w:tc>
          <w:tcPr>
            <w:tcW w:w="2514" w:type="dxa"/>
            <w:vAlign w:val="center"/>
          </w:tcPr>
          <w:p w14:paraId="130B1617" w14:textId="77777777" w:rsidR="002C4B48" w:rsidRPr="007D282D" w:rsidRDefault="002C4B48" w:rsidP="002C4B48">
            <w:pPr>
              <w:rPr>
                <w:rFonts w:eastAsia="Times New Roman" w:cs="Times New Roman"/>
                <w:szCs w:val="24"/>
              </w:rPr>
            </w:pPr>
            <w:r w:rsidRPr="007D282D">
              <w:rPr>
                <w:rFonts w:eastAsia="Times New Roman" w:cs="Times New Roman"/>
                <w:szCs w:val="24"/>
              </w:rPr>
              <w:t>Identifies infrastructural and policy barriers to e-government adoption</w:t>
            </w:r>
          </w:p>
        </w:tc>
      </w:tr>
      <w:tr w:rsidR="00897C03" w14:paraId="26F35BF4" w14:textId="77777777" w:rsidTr="004E261A">
        <w:tc>
          <w:tcPr>
            <w:tcW w:w="570" w:type="dxa"/>
            <w:vAlign w:val="center"/>
          </w:tcPr>
          <w:p w14:paraId="6101E4FE" w14:textId="77777777" w:rsidR="00897C03" w:rsidRPr="005C2042" w:rsidRDefault="00897C03" w:rsidP="00897C03">
            <w:pPr>
              <w:rPr>
                <w:rFonts w:eastAsia="Times New Roman" w:cs="Times New Roman"/>
                <w:szCs w:val="24"/>
              </w:rPr>
            </w:pPr>
            <w:r w:rsidRPr="005C2042">
              <w:rPr>
                <w:rFonts w:eastAsia="Times New Roman" w:cs="Times New Roman"/>
                <w:szCs w:val="24"/>
              </w:rPr>
              <w:t>15</w:t>
            </w:r>
          </w:p>
        </w:tc>
        <w:tc>
          <w:tcPr>
            <w:tcW w:w="1848" w:type="dxa"/>
            <w:vAlign w:val="center"/>
          </w:tcPr>
          <w:p w14:paraId="20BAC070" w14:textId="77777777" w:rsidR="00897C03" w:rsidRPr="005C2042" w:rsidRDefault="00897C03" w:rsidP="00897C03">
            <w:pPr>
              <w:rPr>
                <w:rFonts w:eastAsia="Times New Roman" w:cs="Times New Roman"/>
                <w:szCs w:val="24"/>
              </w:rPr>
            </w:pPr>
            <w:r w:rsidRPr="005C2042">
              <w:rPr>
                <w:rFonts w:eastAsia="Times New Roman" w:cs="Times New Roman"/>
                <w:szCs w:val="24"/>
              </w:rPr>
              <w:t>Wagholikar &amp; Chandani, 2022, Journal Article</w:t>
            </w:r>
          </w:p>
        </w:tc>
        <w:tc>
          <w:tcPr>
            <w:tcW w:w="1087" w:type="dxa"/>
            <w:vAlign w:val="center"/>
          </w:tcPr>
          <w:p w14:paraId="37754C33" w14:textId="77777777" w:rsidR="00897C03" w:rsidRPr="005C2042" w:rsidRDefault="00897C03" w:rsidP="00897C03">
            <w:pPr>
              <w:rPr>
                <w:rFonts w:eastAsia="Times New Roman" w:cs="Times New Roman"/>
                <w:szCs w:val="24"/>
              </w:rPr>
            </w:pPr>
            <w:r w:rsidRPr="005C2042">
              <w:rPr>
                <w:rFonts w:eastAsia="Times New Roman" w:cs="Times New Roman"/>
                <w:szCs w:val="24"/>
              </w:rPr>
              <w:t>India</w:t>
            </w:r>
          </w:p>
        </w:tc>
        <w:tc>
          <w:tcPr>
            <w:tcW w:w="2337" w:type="dxa"/>
            <w:vAlign w:val="center"/>
          </w:tcPr>
          <w:p w14:paraId="29F90D41" w14:textId="77777777" w:rsidR="00897C03" w:rsidRPr="005C2042" w:rsidRDefault="00897C03" w:rsidP="00897C03">
            <w:pPr>
              <w:rPr>
                <w:rFonts w:eastAsia="Times New Roman" w:cs="Times New Roman"/>
                <w:szCs w:val="24"/>
              </w:rPr>
            </w:pPr>
            <w:r w:rsidRPr="005C2042">
              <w:rPr>
                <w:rFonts w:eastAsia="Times New Roman" w:cs="Times New Roman"/>
                <w:szCs w:val="24"/>
              </w:rPr>
              <w:t>ICT and e-governance trends</w:t>
            </w:r>
          </w:p>
        </w:tc>
        <w:tc>
          <w:tcPr>
            <w:tcW w:w="1629" w:type="dxa"/>
            <w:vAlign w:val="center"/>
          </w:tcPr>
          <w:p w14:paraId="527E5074" w14:textId="77777777" w:rsidR="00897C03" w:rsidRPr="005C2042" w:rsidRDefault="00897C03" w:rsidP="00897C03">
            <w:pPr>
              <w:rPr>
                <w:rFonts w:eastAsia="Times New Roman" w:cs="Times New Roman"/>
                <w:szCs w:val="24"/>
              </w:rPr>
            </w:pPr>
            <w:r w:rsidRPr="005C2042">
              <w:rPr>
                <w:rFonts w:eastAsia="Times New Roman" w:cs="Times New Roman"/>
                <w:szCs w:val="24"/>
              </w:rPr>
              <w:t>Survey and secondary data</w:t>
            </w:r>
          </w:p>
        </w:tc>
        <w:tc>
          <w:tcPr>
            <w:tcW w:w="2514" w:type="dxa"/>
            <w:vAlign w:val="center"/>
          </w:tcPr>
          <w:p w14:paraId="52E143D0" w14:textId="77777777" w:rsidR="00897C03" w:rsidRPr="005C2042" w:rsidRDefault="00897C03" w:rsidP="00897C03">
            <w:pPr>
              <w:rPr>
                <w:rFonts w:eastAsia="Times New Roman" w:cs="Times New Roman"/>
                <w:szCs w:val="24"/>
              </w:rPr>
            </w:pPr>
            <w:r w:rsidRPr="005C2042">
              <w:rPr>
                <w:rFonts w:eastAsia="Times New Roman" w:cs="Times New Roman"/>
                <w:szCs w:val="24"/>
              </w:rPr>
              <w:t>ICT adoption linked to improved procurement outcomes</w:t>
            </w:r>
          </w:p>
        </w:tc>
      </w:tr>
      <w:tr w:rsidR="00897C03" w14:paraId="1C251DB9" w14:textId="77777777" w:rsidTr="004E261A">
        <w:tc>
          <w:tcPr>
            <w:tcW w:w="570" w:type="dxa"/>
            <w:vAlign w:val="center"/>
          </w:tcPr>
          <w:p w14:paraId="611B6DDD" w14:textId="77777777" w:rsidR="00897C03" w:rsidRPr="005C2042" w:rsidRDefault="00897C03" w:rsidP="00897C03">
            <w:pPr>
              <w:rPr>
                <w:rFonts w:eastAsia="Times New Roman" w:cs="Times New Roman"/>
                <w:szCs w:val="24"/>
              </w:rPr>
            </w:pPr>
            <w:r w:rsidRPr="005C2042">
              <w:rPr>
                <w:rFonts w:eastAsia="Times New Roman" w:cs="Times New Roman"/>
                <w:szCs w:val="24"/>
              </w:rPr>
              <w:t>16</w:t>
            </w:r>
          </w:p>
        </w:tc>
        <w:tc>
          <w:tcPr>
            <w:tcW w:w="1848" w:type="dxa"/>
            <w:vAlign w:val="center"/>
          </w:tcPr>
          <w:p w14:paraId="7452A966" w14:textId="77777777" w:rsidR="00897C03" w:rsidRPr="005C2042" w:rsidRDefault="00897C03" w:rsidP="00897C03">
            <w:pPr>
              <w:rPr>
                <w:rFonts w:eastAsia="Times New Roman" w:cs="Times New Roman"/>
                <w:szCs w:val="24"/>
              </w:rPr>
            </w:pPr>
            <w:r w:rsidRPr="005C2042">
              <w:rPr>
                <w:rFonts w:eastAsia="Times New Roman" w:cs="Times New Roman"/>
                <w:szCs w:val="24"/>
              </w:rPr>
              <w:t>Welch et al., 2005, Journal Article</w:t>
            </w:r>
          </w:p>
        </w:tc>
        <w:tc>
          <w:tcPr>
            <w:tcW w:w="1087" w:type="dxa"/>
            <w:vAlign w:val="center"/>
          </w:tcPr>
          <w:p w14:paraId="2239A066" w14:textId="77777777" w:rsidR="00897C03" w:rsidRPr="005C2042" w:rsidRDefault="00897C03" w:rsidP="00897C03">
            <w:pPr>
              <w:rPr>
                <w:rFonts w:eastAsia="Times New Roman" w:cs="Times New Roman"/>
                <w:szCs w:val="24"/>
              </w:rPr>
            </w:pPr>
            <w:r w:rsidRPr="005C2042">
              <w:rPr>
                <w:rFonts w:eastAsia="Times New Roman" w:cs="Times New Roman"/>
                <w:szCs w:val="24"/>
              </w:rPr>
              <w:t>U.S.</w:t>
            </w:r>
          </w:p>
        </w:tc>
        <w:tc>
          <w:tcPr>
            <w:tcW w:w="2337" w:type="dxa"/>
            <w:vAlign w:val="center"/>
          </w:tcPr>
          <w:p w14:paraId="17CB23BA" w14:textId="77777777" w:rsidR="00897C03" w:rsidRPr="005C2042" w:rsidRDefault="00897C03" w:rsidP="00897C03">
            <w:pPr>
              <w:rPr>
                <w:rFonts w:eastAsia="Times New Roman" w:cs="Times New Roman"/>
                <w:szCs w:val="24"/>
              </w:rPr>
            </w:pPr>
            <w:r w:rsidRPr="005C2042">
              <w:rPr>
                <w:rFonts w:eastAsia="Times New Roman" w:cs="Times New Roman"/>
                <w:szCs w:val="24"/>
              </w:rPr>
              <w:t>Trust and satisfaction in e-Gov</w:t>
            </w:r>
          </w:p>
        </w:tc>
        <w:tc>
          <w:tcPr>
            <w:tcW w:w="1629" w:type="dxa"/>
            <w:vAlign w:val="center"/>
          </w:tcPr>
          <w:p w14:paraId="672652A9" w14:textId="77777777" w:rsidR="00897C03" w:rsidRPr="005C2042" w:rsidRDefault="00897C03" w:rsidP="00897C03">
            <w:pPr>
              <w:rPr>
                <w:rFonts w:eastAsia="Times New Roman" w:cs="Times New Roman"/>
                <w:szCs w:val="24"/>
              </w:rPr>
            </w:pPr>
            <w:r w:rsidRPr="005C2042">
              <w:rPr>
                <w:rFonts w:eastAsia="Times New Roman" w:cs="Times New Roman"/>
                <w:szCs w:val="24"/>
              </w:rPr>
              <w:t>Survey-based quantitative analysis</w:t>
            </w:r>
          </w:p>
        </w:tc>
        <w:tc>
          <w:tcPr>
            <w:tcW w:w="2514" w:type="dxa"/>
            <w:vAlign w:val="center"/>
          </w:tcPr>
          <w:p w14:paraId="443E1129" w14:textId="77777777" w:rsidR="00897C03" w:rsidRPr="005C2042" w:rsidRDefault="00897C03" w:rsidP="00897C03">
            <w:pPr>
              <w:rPr>
                <w:rFonts w:eastAsia="Times New Roman" w:cs="Times New Roman"/>
                <w:szCs w:val="24"/>
              </w:rPr>
            </w:pPr>
            <w:r w:rsidRPr="005C2042">
              <w:rPr>
                <w:rFonts w:eastAsia="Times New Roman" w:cs="Times New Roman"/>
                <w:szCs w:val="24"/>
              </w:rPr>
              <w:t>Transparency and responsiveness increase citizen trust</w:t>
            </w:r>
          </w:p>
        </w:tc>
      </w:tr>
      <w:tr w:rsidR="002C4B48" w14:paraId="47087735" w14:textId="77777777" w:rsidTr="004E261A">
        <w:tc>
          <w:tcPr>
            <w:tcW w:w="570" w:type="dxa"/>
            <w:vAlign w:val="center"/>
          </w:tcPr>
          <w:p w14:paraId="56F21527" w14:textId="77777777" w:rsidR="002C4B48" w:rsidRPr="005C2042" w:rsidRDefault="002C4B48" w:rsidP="002C4B48">
            <w:pPr>
              <w:rPr>
                <w:rFonts w:eastAsia="Times New Roman" w:cs="Times New Roman"/>
                <w:szCs w:val="24"/>
              </w:rPr>
            </w:pPr>
            <w:r w:rsidRPr="005C2042">
              <w:rPr>
                <w:rFonts w:eastAsia="Times New Roman" w:cs="Times New Roman"/>
                <w:szCs w:val="24"/>
              </w:rPr>
              <w:t>17</w:t>
            </w:r>
          </w:p>
        </w:tc>
        <w:tc>
          <w:tcPr>
            <w:tcW w:w="1848" w:type="dxa"/>
            <w:vAlign w:val="center"/>
          </w:tcPr>
          <w:p w14:paraId="202255EE" w14:textId="77777777" w:rsidR="002C4B48" w:rsidRPr="007D282D" w:rsidRDefault="002C4B48" w:rsidP="002C4B48">
            <w:pPr>
              <w:rPr>
                <w:rFonts w:eastAsia="Times New Roman" w:cs="Times New Roman"/>
                <w:szCs w:val="24"/>
              </w:rPr>
            </w:pPr>
            <w:r w:rsidRPr="007D282D">
              <w:rPr>
                <w:rFonts w:eastAsia="Times New Roman" w:cs="Times New Roman"/>
                <w:szCs w:val="24"/>
              </w:rPr>
              <w:t>Dutta &amp; Ghosh, 2022, Journal Article</w:t>
            </w:r>
          </w:p>
        </w:tc>
        <w:tc>
          <w:tcPr>
            <w:tcW w:w="1087" w:type="dxa"/>
            <w:vAlign w:val="center"/>
          </w:tcPr>
          <w:p w14:paraId="6047605A" w14:textId="77777777" w:rsidR="002C4B48" w:rsidRPr="007D282D" w:rsidRDefault="002C4B48" w:rsidP="002C4B48">
            <w:pPr>
              <w:rPr>
                <w:rFonts w:eastAsia="Times New Roman" w:cs="Times New Roman"/>
                <w:szCs w:val="24"/>
              </w:rPr>
            </w:pPr>
            <w:r w:rsidRPr="007D282D">
              <w:rPr>
                <w:rFonts w:eastAsia="Times New Roman" w:cs="Times New Roman"/>
                <w:szCs w:val="24"/>
              </w:rPr>
              <w:t>India</w:t>
            </w:r>
          </w:p>
        </w:tc>
        <w:tc>
          <w:tcPr>
            <w:tcW w:w="2337" w:type="dxa"/>
            <w:vAlign w:val="center"/>
          </w:tcPr>
          <w:p w14:paraId="2D48552E" w14:textId="77777777" w:rsidR="002C4B48" w:rsidRPr="007D282D" w:rsidRDefault="002C4B48" w:rsidP="002C4B48">
            <w:pPr>
              <w:rPr>
                <w:rFonts w:eastAsia="Times New Roman" w:cs="Times New Roman"/>
                <w:szCs w:val="24"/>
              </w:rPr>
            </w:pPr>
            <w:r w:rsidRPr="007D282D">
              <w:rPr>
                <w:rFonts w:eastAsia="Times New Roman" w:cs="Times New Roman"/>
                <w:szCs w:val="24"/>
              </w:rPr>
              <w:t>Environmental behavior under constraints</w:t>
            </w:r>
          </w:p>
        </w:tc>
        <w:tc>
          <w:tcPr>
            <w:tcW w:w="1629" w:type="dxa"/>
            <w:vAlign w:val="center"/>
          </w:tcPr>
          <w:p w14:paraId="4AF8A28C" w14:textId="77777777" w:rsidR="002C4B48" w:rsidRPr="007D282D" w:rsidRDefault="002C4B48" w:rsidP="002C4B48">
            <w:pPr>
              <w:rPr>
                <w:rFonts w:eastAsia="Times New Roman" w:cs="Times New Roman"/>
                <w:szCs w:val="24"/>
              </w:rPr>
            </w:pPr>
            <w:r w:rsidRPr="007D282D">
              <w:rPr>
                <w:rFonts w:eastAsia="Times New Roman" w:cs="Times New Roman"/>
                <w:szCs w:val="24"/>
              </w:rPr>
              <w:t>Panel data analysis</w:t>
            </w:r>
          </w:p>
        </w:tc>
        <w:tc>
          <w:tcPr>
            <w:tcW w:w="2514" w:type="dxa"/>
            <w:vAlign w:val="center"/>
          </w:tcPr>
          <w:p w14:paraId="3F80B0B9" w14:textId="77777777" w:rsidR="002C4B48" w:rsidRPr="007D282D" w:rsidRDefault="002C4B48" w:rsidP="002C4B48">
            <w:pPr>
              <w:rPr>
                <w:rFonts w:eastAsia="Times New Roman" w:cs="Times New Roman"/>
                <w:szCs w:val="24"/>
              </w:rPr>
            </w:pPr>
            <w:r w:rsidRPr="007D282D">
              <w:rPr>
                <w:rFonts w:eastAsia="Times New Roman" w:cs="Times New Roman"/>
                <w:szCs w:val="24"/>
              </w:rPr>
              <w:t>Credit constraints influence sustainability practices in manufacturing firms</w:t>
            </w:r>
          </w:p>
        </w:tc>
      </w:tr>
      <w:tr w:rsidR="00897C03" w14:paraId="6C66E78A" w14:textId="77777777" w:rsidTr="004E261A">
        <w:tc>
          <w:tcPr>
            <w:tcW w:w="570" w:type="dxa"/>
            <w:vAlign w:val="center"/>
          </w:tcPr>
          <w:p w14:paraId="2AD20977" w14:textId="77777777" w:rsidR="00897C03" w:rsidRPr="005C2042" w:rsidRDefault="00897C03" w:rsidP="00897C03">
            <w:pPr>
              <w:rPr>
                <w:rFonts w:eastAsia="Times New Roman" w:cs="Times New Roman"/>
                <w:szCs w:val="24"/>
              </w:rPr>
            </w:pPr>
            <w:r w:rsidRPr="005C2042">
              <w:rPr>
                <w:rFonts w:eastAsia="Times New Roman" w:cs="Times New Roman"/>
                <w:szCs w:val="24"/>
              </w:rPr>
              <w:t>18</w:t>
            </w:r>
          </w:p>
        </w:tc>
        <w:tc>
          <w:tcPr>
            <w:tcW w:w="1848" w:type="dxa"/>
            <w:vAlign w:val="center"/>
          </w:tcPr>
          <w:p w14:paraId="56C1F292" w14:textId="77777777" w:rsidR="00897C03" w:rsidRPr="005C2042" w:rsidRDefault="00897C03" w:rsidP="00897C03">
            <w:pPr>
              <w:rPr>
                <w:rFonts w:eastAsia="Times New Roman" w:cs="Times New Roman"/>
                <w:szCs w:val="24"/>
              </w:rPr>
            </w:pPr>
            <w:r w:rsidRPr="005C2042">
              <w:rPr>
                <w:rFonts w:eastAsia="Times New Roman" w:cs="Times New Roman"/>
                <w:szCs w:val="24"/>
              </w:rPr>
              <w:t>Zhang &amp; Li, 2021, Journal Article</w:t>
            </w:r>
          </w:p>
        </w:tc>
        <w:tc>
          <w:tcPr>
            <w:tcW w:w="1087" w:type="dxa"/>
            <w:vAlign w:val="center"/>
          </w:tcPr>
          <w:p w14:paraId="6983AACC" w14:textId="77777777" w:rsidR="00897C03" w:rsidRPr="005C2042" w:rsidRDefault="00897C03" w:rsidP="00897C03">
            <w:pPr>
              <w:rPr>
                <w:rFonts w:eastAsia="Times New Roman" w:cs="Times New Roman"/>
                <w:szCs w:val="24"/>
              </w:rPr>
            </w:pPr>
            <w:r w:rsidRPr="005C2042">
              <w:rPr>
                <w:rFonts w:eastAsia="Times New Roman" w:cs="Times New Roman"/>
                <w:szCs w:val="24"/>
              </w:rPr>
              <w:t>China</w:t>
            </w:r>
          </w:p>
        </w:tc>
        <w:tc>
          <w:tcPr>
            <w:tcW w:w="2337" w:type="dxa"/>
            <w:vAlign w:val="center"/>
          </w:tcPr>
          <w:p w14:paraId="7B3C3331" w14:textId="77777777" w:rsidR="00897C03" w:rsidRPr="005C2042" w:rsidRDefault="00897C03" w:rsidP="00897C03">
            <w:pPr>
              <w:rPr>
                <w:rFonts w:eastAsia="Times New Roman" w:cs="Times New Roman"/>
                <w:szCs w:val="24"/>
              </w:rPr>
            </w:pPr>
            <w:r w:rsidRPr="005C2042">
              <w:rPr>
                <w:rFonts w:eastAsia="Times New Roman" w:cs="Times New Roman"/>
                <w:szCs w:val="24"/>
              </w:rPr>
              <w:t>Blockchain in procurement</w:t>
            </w:r>
          </w:p>
        </w:tc>
        <w:tc>
          <w:tcPr>
            <w:tcW w:w="1629" w:type="dxa"/>
            <w:vAlign w:val="center"/>
          </w:tcPr>
          <w:p w14:paraId="4F84CBE5" w14:textId="77777777" w:rsidR="00897C03" w:rsidRPr="005C2042" w:rsidRDefault="00897C03" w:rsidP="00897C03">
            <w:pPr>
              <w:rPr>
                <w:rFonts w:eastAsia="Times New Roman" w:cs="Times New Roman"/>
                <w:szCs w:val="24"/>
              </w:rPr>
            </w:pPr>
            <w:r w:rsidRPr="005C2042">
              <w:rPr>
                <w:rFonts w:eastAsia="Times New Roman" w:cs="Times New Roman"/>
                <w:szCs w:val="24"/>
              </w:rPr>
              <w:t>Simulation modeling</w:t>
            </w:r>
          </w:p>
        </w:tc>
        <w:tc>
          <w:tcPr>
            <w:tcW w:w="2514" w:type="dxa"/>
            <w:vAlign w:val="center"/>
          </w:tcPr>
          <w:p w14:paraId="348EFC04" w14:textId="77777777" w:rsidR="00897C03" w:rsidRPr="005C2042" w:rsidRDefault="00897C03" w:rsidP="00897C03">
            <w:pPr>
              <w:rPr>
                <w:rFonts w:eastAsia="Times New Roman" w:cs="Times New Roman"/>
                <w:szCs w:val="24"/>
              </w:rPr>
            </w:pPr>
            <w:r w:rsidRPr="005C2042">
              <w:rPr>
                <w:rFonts w:eastAsia="Times New Roman" w:cs="Times New Roman"/>
                <w:szCs w:val="24"/>
              </w:rPr>
              <w:t>Blockchain reduces corruption and improves auditability</w:t>
            </w:r>
          </w:p>
        </w:tc>
      </w:tr>
      <w:tr w:rsidR="002C4B48" w14:paraId="05A865D8" w14:textId="77777777" w:rsidTr="004E261A">
        <w:tc>
          <w:tcPr>
            <w:tcW w:w="570" w:type="dxa"/>
            <w:vAlign w:val="center"/>
          </w:tcPr>
          <w:p w14:paraId="42CD7AEA" w14:textId="77777777" w:rsidR="002C4B48" w:rsidRPr="005C2042" w:rsidRDefault="002C4B48" w:rsidP="002C4B48">
            <w:pPr>
              <w:rPr>
                <w:rFonts w:eastAsia="Times New Roman" w:cs="Times New Roman"/>
                <w:szCs w:val="24"/>
              </w:rPr>
            </w:pPr>
            <w:r w:rsidRPr="005C2042">
              <w:rPr>
                <w:rFonts w:eastAsia="Times New Roman" w:cs="Times New Roman"/>
                <w:szCs w:val="24"/>
              </w:rPr>
              <w:t>19</w:t>
            </w:r>
          </w:p>
        </w:tc>
        <w:tc>
          <w:tcPr>
            <w:tcW w:w="1848" w:type="dxa"/>
            <w:vAlign w:val="center"/>
          </w:tcPr>
          <w:p w14:paraId="5FF13E7E" w14:textId="77777777" w:rsidR="002C4B48" w:rsidRPr="007D282D" w:rsidRDefault="002C4B48" w:rsidP="002C4B48">
            <w:pPr>
              <w:rPr>
                <w:rFonts w:eastAsia="Times New Roman" w:cs="Times New Roman"/>
                <w:szCs w:val="24"/>
              </w:rPr>
            </w:pPr>
            <w:proofErr w:type="spellStart"/>
            <w:r w:rsidRPr="007D282D">
              <w:rPr>
                <w:rFonts w:eastAsia="Times New Roman" w:cs="Times New Roman"/>
                <w:szCs w:val="24"/>
              </w:rPr>
              <w:t>Tekolla</w:t>
            </w:r>
            <w:proofErr w:type="spellEnd"/>
            <w:r w:rsidRPr="007D282D">
              <w:rPr>
                <w:rFonts w:eastAsia="Times New Roman" w:cs="Times New Roman"/>
                <w:szCs w:val="24"/>
              </w:rPr>
              <w:t>, 2014, Online Article</w:t>
            </w:r>
          </w:p>
        </w:tc>
        <w:tc>
          <w:tcPr>
            <w:tcW w:w="1087" w:type="dxa"/>
            <w:vAlign w:val="center"/>
          </w:tcPr>
          <w:p w14:paraId="44F75FA9" w14:textId="77777777" w:rsidR="002C4B48" w:rsidRPr="007D282D" w:rsidRDefault="002C4B48" w:rsidP="002C4B48">
            <w:pPr>
              <w:rPr>
                <w:rFonts w:eastAsia="Times New Roman" w:cs="Times New Roman"/>
                <w:szCs w:val="24"/>
              </w:rPr>
            </w:pPr>
            <w:r w:rsidRPr="007D282D">
              <w:rPr>
                <w:rFonts w:eastAsia="Times New Roman" w:cs="Times New Roman"/>
                <w:szCs w:val="24"/>
              </w:rPr>
              <w:t>Ethiopia</w:t>
            </w:r>
          </w:p>
        </w:tc>
        <w:tc>
          <w:tcPr>
            <w:tcW w:w="2337" w:type="dxa"/>
            <w:vAlign w:val="center"/>
          </w:tcPr>
          <w:p w14:paraId="611DA1D8" w14:textId="77777777" w:rsidR="002C4B48" w:rsidRPr="007D282D" w:rsidRDefault="002C4B48" w:rsidP="002C4B48">
            <w:pPr>
              <w:rPr>
                <w:rFonts w:eastAsia="Times New Roman" w:cs="Times New Roman"/>
                <w:szCs w:val="24"/>
              </w:rPr>
            </w:pPr>
            <w:r w:rsidRPr="007D282D">
              <w:rPr>
                <w:rFonts w:eastAsia="Times New Roman" w:cs="Times New Roman"/>
                <w:szCs w:val="24"/>
              </w:rPr>
              <w:t>E-government challenges in civil service</w:t>
            </w:r>
          </w:p>
        </w:tc>
        <w:tc>
          <w:tcPr>
            <w:tcW w:w="1629" w:type="dxa"/>
            <w:vAlign w:val="center"/>
          </w:tcPr>
          <w:p w14:paraId="48D6D84D" w14:textId="77777777" w:rsidR="002C4B48" w:rsidRPr="007D282D" w:rsidRDefault="002C4B48" w:rsidP="002C4B48">
            <w:pPr>
              <w:rPr>
                <w:rFonts w:eastAsia="Times New Roman" w:cs="Times New Roman"/>
                <w:szCs w:val="24"/>
              </w:rPr>
            </w:pPr>
            <w:r w:rsidRPr="007D282D">
              <w:rPr>
                <w:rFonts w:eastAsia="Times New Roman" w:cs="Times New Roman"/>
                <w:szCs w:val="24"/>
              </w:rPr>
              <w:t>Qualitative case study</w:t>
            </w:r>
          </w:p>
        </w:tc>
        <w:tc>
          <w:tcPr>
            <w:tcW w:w="2514" w:type="dxa"/>
            <w:vAlign w:val="center"/>
          </w:tcPr>
          <w:p w14:paraId="7534CCF9" w14:textId="77777777" w:rsidR="002C4B48" w:rsidRPr="007D282D" w:rsidRDefault="002C4B48" w:rsidP="002C4B48">
            <w:pPr>
              <w:rPr>
                <w:rFonts w:eastAsia="Times New Roman" w:cs="Times New Roman"/>
                <w:szCs w:val="24"/>
              </w:rPr>
            </w:pPr>
            <w:r w:rsidRPr="007D282D">
              <w:rPr>
                <w:rFonts w:eastAsia="Times New Roman" w:cs="Times New Roman"/>
                <w:szCs w:val="24"/>
              </w:rPr>
              <w:t>Documents systemic and operational barriers to e-government implementation</w:t>
            </w:r>
          </w:p>
        </w:tc>
      </w:tr>
      <w:tr w:rsidR="00897C03" w14:paraId="0136C645" w14:textId="77777777" w:rsidTr="004E261A">
        <w:tc>
          <w:tcPr>
            <w:tcW w:w="570" w:type="dxa"/>
            <w:vAlign w:val="center"/>
          </w:tcPr>
          <w:p w14:paraId="2857CCD6" w14:textId="77777777" w:rsidR="00897C03" w:rsidRPr="005C2042" w:rsidRDefault="00897C03" w:rsidP="00897C03">
            <w:pPr>
              <w:rPr>
                <w:rFonts w:eastAsia="Times New Roman" w:cs="Times New Roman"/>
                <w:szCs w:val="24"/>
              </w:rPr>
            </w:pPr>
            <w:r w:rsidRPr="005C2042">
              <w:rPr>
                <w:rFonts w:eastAsia="Times New Roman" w:cs="Times New Roman"/>
                <w:szCs w:val="24"/>
              </w:rPr>
              <w:t>20</w:t>
            </w:r>
          </w:p>
        </w:tc>
        <w:tc>
          <w:tcPr>
            <w:tcW w:w="1848" w:type="dxa"/>
            <w:vAlign w:val="center"/>
          </w:tcPr>
          <w:p w14:paraId="4B59FE84" w14:textId="77777777" w:rsidR="00897C03" w:rsidRPr="005C2042" w:rsidRDefault="00897C03" w:rsidP="00897C03">
            <w:pPr>
              <w:rPr>
                <w:rFonts w:eastAsia="Times New Roman" w:cs="Times New Roman"/>
                <w:szCs w:val="24"/>
              </w:rPr>
            </w:pPr>
            <w:r w:rsidRPr="005C2042">
              <w:rPr>
                <w:rFonts w:eastAsia="Times New Roman" w:cs="Times New Roman"/>
                <w:szCs w:val="24"/>
              </w:rPr>
              <w:t xml:space="preserve">Al-Khatib &amp; Abu-Shanab, </w:t>
            </w:r>
            <w:r w:rsidRPr="005C2042">
              <w:rPr>
                <w:rFonts w:eastAsia="Times New Roman" w:cs="Times New Roman"/>
                <w:szCs w:val="24"/>
              </w:rPr>
              <w:lastRenderedPageBreak/>
              <w:t>2019, Journal Article</w:t>
            </w:r>
          </w:p>
        </w:tc>
        <w:tc>
          <w:tcPr>
            <w:tcW w:w="1087" w:type="dxa"/>
            <w:vAlign w:val="center"/>
          </w:tcPr>
          <w:p w14:paraId="5685E073" w14:textId="77777777" w:rsidR="00897C03" w:rsidRPr="005C2042" w:rsidRDefault="00897C03" w:rsidP="00897C03">
            <w:pPr>
              <w:rPr>
                <w:rFonts w:eastAsia="Times New Roman" w:cs="Times New Roman"/>
                <w:szCs w:val="24"/>
              </w:rPr>
            </w:pPr>
            <w:r w:rsidRPr="005C2042">
              <w:rPr>
                <w:rFonts w:eastAsia="Times New Roman" w:cs="Times New Roman"/>
                <w:szCs w:val="24"/>
              </w:rPr>
              <w:lastRenderedPageBreak/>
              <w:t>Jordan</w:t>
            </w:r>
          </w:p>
        </w:tc>
        <w:tc>
          <w:tcPr>
            <w:tcW w:w="2337" w:type="dxa"/>
            <w:vAlign w:val="center"/>
          </w:tcPr>
          <w:p w14:paraId="69007517" w14:textId="77777777" w:rsidR="00897C03" w:rsidRPr="005C2042" w:rsidRDefault="00897C03" w:rsidP="00897C03">
            <w:pPr>
              <w:rPr>
                <w:rFonts w:eastAsia="Times New Roman" w:cs="Times New Roman"/>
                <w:szCs w:val="24"/>
              </w:rPr>
            </w:pPr>
            <w:r w:rsidRPr="005C2042">
              <w:rPr>
                <w:rFonts w:eastAsia="Times New Roman" w:cs="Times New Roman"/>
                <w:szCs w:val="24"/>
              </w:rPr>
              <w:t>ICT readiness</w:t>
            </w:r>
          </w:p>
        </w:tc>
        <w:tc>
          <w:tcPr>
            <w:tcW w:w="1629" w:type="dxa"/>
            <w:vAlign w:val="center"/>
          </w:tcPr>
          <w:p w14:paraId="5198E0FA" w14:textId="77777777" w:rsidR="00897C03" w:rsidRPr="005C2042" w:rsidRDefault="00897C03" w:rsidP="00897C03">
            <w:pPr>
              <w:rPr>
                <w:rFonts w:eastAsia="Times New Roman" w:cs="Times New Roman"/>
                <w:szCs w:val="24"/>
              </w:rPr>
            </w:pPr>
            <w:r w:rsidRPr="005C2042">
              <w:rPr>
                <w:rFonts w:eastAsia="Times New Roman" w:cs="Times New Roman"/>
                <w:szCs w:val="24"/>
              </w:rPr>
              <w:t>Survey and regression analysis</w:t>
            </w:r>
          </w:p>
        </w:tc>
        <w:tc>
          <w:tcPr>
            <w:tcW w:w="2514" w:type="dxa"/>
            <w:vAlign w:val="center"/>
          </w:tcPr>
          <w:p w14:paraId="70FBA6B1" w14:textId="77777777" w:rsidR="00897C03" w:rsidRPr="005C2042" w:rsidRDefault="00897C03" w:rsidP="00897C03">
            <w:pPr>
              <w:rPr>
                <w:rFonts w:eastAsia="Times New Roman" w:cs="Times New Roman"/>
                <w:szCs w:val="24"/>
              </w:rPr>
            </w:pPr>
            <w:r w:rsidRPr="005C2042">
              <w:rPr>
                <w:rFonts w:eastAsia="Times New Roman" w:cs="Times New Roman"/>
                <w:szCs w:val="24"/>
              </w:rPr>
              <w:t>ICT readiness predicts e-procurement success</w:t>
            </w:r>
          </w:p>
        </w:tc>
      </w:tr>
      <w:tr w:rsidR="002C4B48" w14:paraId="4C596F32" w14:textId="77777777" w:rsidTr="004E261A">
        <w:tc>
          <w:tcPr>
            <w:tcW w:w="570" w:type="dxa"/>
            <w:vAlign w:val="center"/>
          </w:tcPr>
          <w:p w14:paraId="2D61032F" w14:textId="77777777" w:rsidR="002C4B48" w:rsidRPr="005C2042" w:rsidRDefault="002C4B48" w:rsidP="002C4B48">
            <w:pPr>
              <w:rPr>
                <w:rFonts w:eastAsia="Times New Roman" w:cs="Times New Roman"/>
                <w:szCs w:val="24"/>
              </w:rPr>
            </w:pPr>
            <w:r w:rsidRPr="005C2042">
              <w:rPr>
                <w:rFonts w:eastAsia="Times New Roman" w:cs="Times New Roman"/>
                <w:szCs w:val="24"/>
              </w:rPr>
              <w:t>21</w:t>
            </w:r>
          </w:p>
        </w:tc>
        <w:tc>
          <w:tcPr>
            <w:tcW w:w="1848" w:type="dxa"/>
            <w:vAlign w:val="center"/>
          </w:tcPr>
          <w:p w14:paraId="7DC3EBCD" w14:textId="77777777" w:rsidR="002C4B48" w:rsidRPr="007D282D" w:rsidRDefault="002C4B48" w:rsidP="002C4B48">
            <w:pPr>
              <w:rPr>
                <w:rFonts w:eastAsia="Times New Roman" w:cs="Times New Roman"/>
                <w:szCs w:val="24"/>
              </w:rPr>
            </w:pPr>
            <w:r w:rsidRPr="007D282D">
              <w:rPr>
                <w:rFonts w:eastAsia="Times New Roman" w:cs="Times New Roman"/>
                <w:szCs w:val="24"/>
              </w:rPr>
              <w:t>Al-Mutairi, Naser &amp; Fayez, 2018, Journal Article</w:t>
            </w:r>
          </w:p>
        </w:tc>
        <w:tc>
          <w:tcPr>
            <w:tcW w:w="1087" w:type="dxa"/>
            <w:vAlign w:val="center"/>
          </w:tcPr>
          <w:p w14:paraId="603A18FC" w14:textId="77777777" w:rsidR="002C4B48" w:rsidRPr="007D282D" w:rsidRDefault="002C4B48" w:rsidP="002C4B48">
            <w:pPr>
              <w:rPr>
                <w:rFonts w:eastAsia="Times New Roman" w:cs="Times New Roman"/>
                <w:szCs w:val="24"/>
              </w:rPr>
            </w:pPr>
            <w:r w:rsidRPr="007D282D">
              <w:rPr>
                <w:rFonts w:eastAsia="Times New Roman" w:cs="Times New Roman"/>
                <w:szCs w:val="24"/>
              </w:rPr>
              <w:t>Kuwait</w:t>
            </w:r>
          </w:p>
        </w:tc>
        <w:tc>
          <w:tcPr>
            <w:tcW w:w="2337" w:type="dxa"/>
            <w:vAlign w:val="center"/>
          </w:tcPr>
          <w:p w14:paraId="2FDD675F" w14:textId="77777777" w:rsidR="002C4B48" w:rsidRPr="007D282D" w:rsidRDefault="002C4B48" w:rsidP="002C4B48">
            <w:pPr>
              <w:rPr>
                <w:rFonts w:eastAsia="Times New Roman" w:cs="Times New Roman"/>
                <w:szCs w:val="24"/>
              </w:rPr>
            </w:pPr>
            <w:r w:rsidRPr="007D282D">
              <w:rPr>
                <w:rFonts w:eastAsia="Times New Roman" w:cs="Times New Roman"/>
                <w:szCs w:val="24"/>
              </w:rPr>
              <w:t>Obstacles to e-government adoption</w:t>
            </w:r>
          </w:p>
        </w:tc>
        <w:tc>
          <w:tcPr>
            <w:tcW w:w="1629" w:type="dxa"/>
            <w:vAlign w:val="center"/>
          </w:tcPr>
          <w:p w14:paraId="5BD36999" w14:textId="77777777" w:rsidR="002C4B48" w:rsidRPr="007D282D" w:rsidRDefault="002C4B48" w:rsidP="002C4B48">
            <w:pPr>
              <w:rPr>
                <w:rFonts w:eastAsia="Times New Roman" w:cs="Times New Roman"/>
                <w:szCs w:val="24"/>
              </w:rPr>
            </w:pPr>
            <w:r w:rsidRPr="007D282D">
              <w:rPr>
                <w:rFonts w:eastAsia="Times New Roman" w:cs="Times New Roman"/>
                <w:szCs w:val="24"/>
              </w:rPr>
              <w:t>Empirical study</w:t>
            </w:r>
          </w:p>
        </w:tc>
        <w:tc>
          <w:tcPr>
            <w:tcW w:w="2514" w:type="dxa"/>
            <w:vAlign w:val="center"/>
          </w:tcPr>
          <w:p w14:paraId="5886F45D" w14:textId="77777777" w:rsidR="002C4B48" w:rsidRPr="007D282D" w:rsidRDefault="002C4B48" w:rsidP="002C4B48">
            <w:pPr>
              <w:rPr>
                <w:rFonts w:eastAsia="Times New Roman" w:cs="Times New Roman"/>
                <w:szCs w:val="24"/>
              </w:rPr>
            </w:pPr>
            <w:r w:rsidRPr="007D282D">
              <w:rPr>
                <w:rFonts w:eastAsia="Times New Roman" w:cs="Times New Roman"/>
                <w:szCs w:val="24"/>
              </w:rPr>
              <w:t>Highlights cultural, technical, and organizational barriers in emerging economies</w:t>
            </w:r>
          </w:p>
        </w:tc>
      </w:tr>
      <w:tr w:rsidR="009A5761" w14:paraId="4E669AC9" w14:textId="77777777" w:rsidTr="004E261A">
        <w:tc>
          <w:tcPr>
            <w:tcW w:w="570" w:type="dxa"/>
            <w:vAlign w:val="center"/>
          </w:tcPr>
          <w:p w14:paraId="1E0BC215" w14:textId="77777777" w:rsidR="009A5761" w:rsidRPr="000B371B" w:rsidRDefault="009A5761" w:rsidP="009A5761">
            <w:pPr>
              <w:rPr>
                <w:rFonts w:eastAsia="Times New Roman" w:cs="Times New Roman"/>
                <w:szCs w:val="24"/>
              </w:rPr>
            </w:pPr>
            <w:r w:rsidRPr="000B371B">
              <w:rPr>
                <w:rFonts w:eastAsia="Times New Roman" w:cs="Times New Roman"/>
                <w:szCs w:val="24"/>
              </w:rPr>
              <w:t>22</w:t>
            </w:r>
          </w:p>
        </w:tc>
        <w:tc>
          <w:tcPr>
            <w:tcW w:w="1848" w:type="dxa"/>
            <w:vAlign w:val="center"/>
          </w:tcPr>
          <w:p w14:paraId="44216F34" w14:textId="77777777" w:rsidR="009A5761" w:rsidRPr="000B371B" w:rsidRDefault="009A5761" w:rsidP="009A5761">
            <w:pPr>
              <w:rPr>
                <w:rFonts w:eastAsia="Times New Roman" w:cs="Times New Roman"/>
                <w:szCs w:val="24"/>
              </w:rPr>
            </w:pPr>
            <w:r w:rsidRPr="000B371B">
              <w:rPr>
                <w:rFonts w:eastAsia="Times New Roman" w:cs="Times New Roman"/>
                <w:szCs w:val="24"/>
              </w:rPr>
              <w:t xml:space="preserve">Agbeko, </w:t>
            </w:r>
            <w:proofErr w:type="spellStart"/>
            <w:r w:rsidRPr="000B371B">
              <w:rPr>
                <w:rFonts w:eastAsia="Times New Roman" w:cs="Times New Roman"/>
                <w:szCs w:val="24"/>
              </w:rPr>
              <w:t>Effah</w:t>
            </w:r>
            <w:proofErr w:type="spellEnd"/>
            <w:r w:rsidRPr="000B371B">
              <w:rPr>
                <w:rFonts w:eastAsia="Times New Roman" w:cs="Times New Roman"/>
                <w:szCs w:val="24"/>
              </w:rPr>
              <w:t xml:space="preserve"> &amp; Boateng, 2021, Book Chapter</w:t>
            </w:r>
          </w:p>
        </w:tc>
        <w:tc>
          <w:tcPr>
            <w:tcW w:w="1087" w:type="dxa"/>
            <w:vAlign w:val="center"/>
          </w:tcPr>
          <w:p w14:paraId="51B3F3FC" w14:textId="77777777" w:rsidR="009A5761" w:rsidRPr="000B371B" w:rsidRDefault="009A5761" w:rsidP="009A5761">
            <w:pPr>
              <w:rPr>
                <w:rFonts w:eastAsia="Times New Roman" w:cs="Times New Roman"/>
                <w:szCs w:val="24"/>
              </w:rPr>
            </w:pPr>
            <w:r w:rsidRPr="000B371B">
              <w:rPr>
                <w:rFonts w:eastAsia="Times New Roman" w:cs="Times New Roman"/>
                <w:szCs w:val="24"/>
              </w:rPr>
              <w:t>Ghana</w:t>
            </w:r>
          </w:p>
        </w:tc>
        <w:tc>
          <w:tcPr>
            <w:tcW w:w="2337" w:type="dxa"/>
            <w:vAlign w:val="center"/>
          </w:tcPr>
          <w:p w14:paraId="7FA3D911" w14:textId="77777777" w:rsidR="009A5761" w:rsidRPr="000B371B" w:rsidRDefault="009A5761" w:rsidP="009A5761">
            <w:pPr>
              <w:rPr>
                <w:rFonts w:eastAsia="Times New Roman" w:cs="Times New Roman"/>
                <w:szCs w:val="24"/>
              </w:rPr>
            </w:pPr>
            <w:r w:rsidRPr="000B371B">
              <w:rPr>
                <w:rFonts w:eastAsia="Times New Roman" w:cs="Times New Roman"/>
                <w:szCs w:val="24"/>
              </w:rPr>
              <w:t>E-government and procurement transparency</w:t>
            </w:r>
          </w:p>
        </w:tc>
        <w:tc>
          <w:tcPr>
            <w:tcW w:w="1629" w:type="dxa"/>
            <w:vAlign w:val="center"/>
          </w:tcPr>
          <w:p w14:paraId="4BCB6F2A" w14:textId="77777777" w:rsidR="009A5761" w:rsidRPr="000B371B" w:rsidRDefault="009A5761" w:rsidP="009A5761">
            <w:pPr>
              <w:rPr>
                <w:rFonts w:eastAsia="Times New Roman" w:cs="Times New Roman"/>
                <w:szCs w:val="24"/>
              </w:rPr>
            </w:pPr>
            <w:r w:rsidRPr="000B371B">
              <w:rPr>
                <w:rFonts w:eastAsia="Times New Roman" w:cs="Times New Roman"/>
                <w:szCs w:val="24"/>
              </w:rPr>
              <w:t>Case study</w:t>
            </w:r>
          </w:p>
        </w:tc>
        <w:tc>
          <w:tcPr>
            <w:tcW w:w="2514" w:type="dxa"/>
            <w:vAlign w:val="center"/>
          </w:tcPr>
          <w:p w14:paraId="56748030" w14:textId="77777777" w:rsidR="009A5761" w:rsidRPr="000B371B" w:rsidRDefault="009A5761" w:rsidP="009A5761">
            <w:pPr>
              <w:rPr>
                <w:rFonts w:eastAsia="Times New Roman" w:cs="Times New Roman"/>
                <w:szCs w:val="24"/>
              </w:rPr>
            </w:pPr>
            <w:r w:rsidRPr="000B371B">
              <w:rPr>
                <w:rFonts w:eastAsia="Times New Roman" w:cs="Times New Roman"/>
                <w:szCs w:val="24"/>
              </w:rPr>
              <w:t>Inter-organizational systems enhance transparency and accountability in public procurement</w:t>
            </w:r>
          </w:p>
        </w:tc>
      </w:tr>
      <w:tr w:rsidR="00897C03" w14:paraId="21843643" w14:textId="77777777" w:rsidTr="004E261A">
        <w:tc>
          <w:tcPr>
            <w:tcW w:w="570" w:type="dxa"/>
            <w:vAlign w:val="center"/>
          </w:tcPr>
          <w:p w14:paraId="514CF9B2" w14:textId="77777777" w:rsidR="00897C03" w:rsidRPr="005C2042" w:rsidRDefault="00897C03" w:rsidP="00897C03">
            <w:pPr>
              <w:rPr>
                <w:rFonts w:eastAsia="Times New Roman" w:cs="Times New Roman"/>
                <w:szCs w:val="24"/>
              </w:rPr>
            </w:pPr>
            <w:r w:rsidRPr="005C2042">
              <w:rPr>
                <w:rFonts w:eastAsia="Times New Roman" w:cs="Times New Roman"/>
                <w:szCs w:val="24"/>
              </w:rPr>
              <w:t>23</w:t>
            </w:r>
          </w:p>
        </w:tc>
        <w:tc>
          <w:tcPr>
            <w:tcW w:w="1848" w:type="dxa"/>
            <w:vAlign w:val="center"/>
          </w:tcPr>
          <w:p w14:paraId="1113F1FE" w14:textId="77777777" w:rsidR="00897C03" w:rsidRPr="005C2042" w:rsidRDefault="00897C03" w:rsidP="00897C03">
            <w:pPr>
              <w:rPr>
                <w:rFonts w:eastAsia="Times New Roman" w:cs="Times New Roman"/>
                <w:szCs w:val="24"/>
              </w:rPr>
            </w:pPr>
            <w:r w:rsidRPr="005C2042">
              <w:rPr>
                <w:rFonts w:eastAsia="Times New Roman" w:cs="Times New Roman"/>
                <w:szCs w:val="24"/>
              </w:rPr>
              <w:t>Kassa &amp; Tadesse, 2021, Journal Article</w:t>
            </w:r>
          </w:p>
        </w:tc>
        <w:tc>
          <w:tcPr>
            <w:tcW w:w="1087" w:type="dxa"/>
            <w:vAlign w:val="center"/>
          </w:tcPr>
          <w:p w14:paraId="453745F6" w14:textId="77777777" w:rsidR="00897C03" w:rsidRPr="005C2042" w:rsidRDefault="00897C03" w:rsidP="00897C03">
            <w:pPr>
              <w:rPr>
                <w:rFonts w:eastAsia="Times New Roman" w:cs="Times New Roman"/>
                <w:szCs w:val="24"/>
              </w:rPr>
            </w:pPr>
            <w:r w:rsidRPr="005C2042">
              <w:rPr>
                <w:rFonts w:eastAsia="Times New Roman" w:cs="Times New Roman"/>
                <w:szCs w:val="24"/>
              </w:rPr>
              <w:t>Ethiopia</w:t>
            </w:r>
          </w:p>
        </w:tc>
        <w:tc>
          <w:tcPr>
            <w:tcW w:w="2337" w:type="dxa"/>
            <w:vAlign w:val="center"/>
          </w:tcPr>
          <w:p w14:paraId="7483BA0B" w14:textId="77777777" w:rsidR="00897C03" w:rsidRPr="005C2042" w:rsidRDefault="00897C03" w:rsidP="00897C03">
            <w:pPr>
              <w:rPr>
                <w:rFonts w:eastAsia="Times New Roman" w:cs="Times New Roman"/>
                <w:szCs w:val="24"/>
              </w:rPr>
            </w:pPr>
            <w:r w:rsidRPr="005C2042">
              <w:rPr>
                <w:rFonts w:eastAsia="Times New Roman" w:cs="Times New Roman"/>
                <w:szCs w:val="24"/>
              </w:rPr>
              <w:t>Implementation challenges</w:t>
            </w:r>
          </w:p>
        </w:tc>
        <w:tc>
          <w:tcPr>
            <w:tcW w:w="1629" w:type="dxa"/>
            <w:vAlign w:val="center"/>
          </w:tcPr>
          <w:p w14:paraId="7C85235D" w14:textId="77777777" w:rsidR="00897C03" w:rsidRPr="005C2042" w:rsidRDefault="00897C03" w:rsidP="00897C03">
            <w:pPr>
              <w:rPr>
                <w:rFonts w:eastAsia="Times New Roman" w:cs="Times New Roman"/>
                <w:szCs w:val="24"/>
              </w:rPr>
            </w:pPr>
            <w:r w:rsidRPr="005C2042">
              <w:rPr>
                <w:rFonts w:eastAsia="Times New Roman" w:cs="Times New Roman"/>
                <w:szCs w:val="24"/>
              </w:rPr>
              <w:t>Descriptive survey</w:t>
            </w:r>
          </w:p>
        </w:tc>
        <w:tc>
          <w:tcPr>
            <w:tcW w:w="2514" w:type="dxa"/>
            <w:vAlign w:val="center"/>
          </w:tcPr>
          <w:p w14:paraId="1AAAB23B" w14:textId="77777777" w:rsidR="00897C03" w:rsidRPr="005C2042" w:rsidRDefault="00897C03" w:rsidP="00897C03">
            <w:pPr>
              <w:rPr>
                <w:rFonts w:eastAsia="Times New Roman" w:cs="Times New Roman"/>
                <w:szCs w:val="24"/>
              </w:rPr>
            </w:pPr>
            <w:r w:rsidRPr="005C2042">
              <w:rPr>
                <w:rFonts w:eastAsia="Times New Roman" w:cs="Times New Roman"/>
                <w:szCs w:val="24"/>
              </w:rPr>
              <w:t>Challenges include resistance to change and lack of training</w:t>
            </w:r>
          </w:p>
        </w:tc>
      </w:tr>
      <w:tr w:rsidR="002C4B48" w14:paraId="72B69422" w14:textId="77777777" w:rsidTr="004E261A">
        <w:tc>
          <w:tcPr>
            <w:tcW w:w="570" w:type="dxa"/>
            <w:vAlign w:val="center"/>
          </w:tcPr>
          <w:p w14:paraId="68225DFD" w14:textId="77777777" w:rsidR="002C4B48" w:rsidRPr="005C2042" w:rsidRDefault="002C4B48" w:rsidP="002C4B48">
            <w:pPr>
              <w:rPr>
                <w:rFonts w:eastAsia="Times New Roman" w:cs="Times New Roman"/>
                <w:szCs w:val="24"/>
              </w:rPr>
            </w:pPr>
            <w:r w:rsidRPr="005C2042">
              <w:rPr>
                <w:rFonts w:eastAsia="Times New Roman" w:cs="Times New Roman"/>
                <w:szCs w:val="24"/>
              </w:rPr>
              <w:t>24</w:t>
            </w:r>
          </w:p>
        </w:tc>
        <w:tc>
          <w:tcPr>
            <w:tcW w:w="1848" w:type="dxa"/>
            <w:vAlign w:val="center"/>
          </w:tcPr>
          <w:p w14:paraId="097C8EDA" w14:textId="77777777" w:rsidR="002C4B48" w:rsidRPr="007D282D" w:rsidRDefault="002C4B48" w:rsidP="002C4B48">
            <w:pPr>
              <w:rPr>
                <w:rFonts w:eastAsia="Times New Roman" w:cs="Times New Roman"/>
                <w:szCs w:val="24"/>
              </w:rPr>
            </w:pPr>
            <w:r w:rsidRPr="007D282D">
              <w:rPr>
                <w:rFonts w:eastAsia="Times New Roman" w:cs="Times New Roman"/>
                <w:szCs w:val="24"/>
              </w:rPr>
              <w:t>Moyo, Ndlovu &amp; Paulos, 2021, Journal Article</w:t>
            </w:r>
          </w:p>
        </w:tc>
        <w:tc>
          <w:tcPr>
            <w:tcW w:w="1087" w:type="dxa"/>
            <w:vAlign w:val="center"/>
          </w:tcPr>
          <w:p w14:paraId="0A80EFCE" w14:textId="77777777" w:rsidR="002C4B48" w:rsidRPr="007D282D" w:rsidRDefault="002C4B48" w:rsidP="002C4B48">
            <w:pPr>
              <w:rPr>
                <w:rFonts w:eastAsia="Times New Roman" w:cs="Times New Roman"/>
                <w:szCs w:val="24"/>
              </w:rPr>
            </w:pPr>
            <w:r w:rsidRPr="007D282D">
              <w:rPr>
                <w:rFonts w:eastAsia="Times New Roman" w:cs="Times New Roman"/>
                <w:szCs w:val="24"/>
              </w:rPr>
              <w:t>Zimbabwe</w:t>
            </w:r>
          </w:p>
        </w:tc>
        <w:tc>
          <w:tcPr>
            <w:tcW w:w="2337" w:type="dxa"/>
            <w:vAlign w:val="center"/>
          </w:tcPr>
          <w:p w14:paraId="0F7C6491" w14:textId="77777777" w:rsidR="002C4B48" w:rsidRPr="007D282D" w:rsidRDefault="002C4B48" w:rsidP="002C4B48">
            <w:pPr>
              <w:rPr>
                <w:rFonts w:eastAsia="Times New Roman" w:cs="Times New Roman"/>
                <w:szCs w:val="24"/>
              </w:rPr>
            </w:pPr>
            <w:r w:rsidRPr="007D282D">
              <w:rPr>
                <w:rFonts w:eastAsia="Times New Roman" w:cs="Times New Roman"/>
                <w:szCs w:val="24"/>
              </w:rPr>
              <w:t>Public sector purchasing systems</w:t>
            </w:r>
          </w:p>
        </w:tc>
        <w:tc>
          <w:tcPr>
            <w:tcW w:w="1629" w:type="dxa"/>
            <w:vAlign w:val="center"/>
          </w:tcPr>
          <w:p w14:paraId="322AC107" w14:textId="77777777" w:rsidR="002C4B48" w:rsidRPr="007D282D" w:rsidRDefault="002C4B48" w:rsidP="002C4B48">
            <w:pPr>
              <w:rPr>
                <w:rFonts w:eastAsia="Times New Roman" w:cs="Times New Roman"/>
                <w:szCs w:val="24"/>
              </w:rPr>
            </w:pPr>
            <w:r w:rsidRPr="007D282D">
              <w:rPr>
                <w:rFonts w:eastAsia="Times New Roman" w:cs="Times New Roman"/>
                <w:szCs w:val="24"/>
              </w:rPr>
              <w:t>Evaluation study</w:t>
            </w:r>
          </w:p>
        </w:tc>
        <w:tc>
          <w:tcPr>
            <w:tcW w:w="2514" w:type="dxa"/>
            <w:vAlign w:val="center"/>
          </w:tcPr>
          <w:p w14:paraId="2D3C05C8" w14:textId="77777777" w:rsidR="002C4B48" w:rsidRPr="007D282D" w:rsidRDefault="002C4B48" w:rsidP="002C4B48">
            <w:pPr>
              <w:rPr>
                <w:rFonts w:eastAsia="Times New Roman" w:cs="Times New Roman"/>
                <w:szCs w:val="24"/>
              </w:rPr>
            </w:pPr>
            <w:r w:rsidRPr="007D282D">
              <w:rPr>
                <w:rFonts w:eastAsia="Times New Roman" w:cs="Times New Roman"/>
                <w:szCs w:val="24"/>
              </w:rPr>
              <w:t>Assesses effectiveness and gaps in procurement systems in Zimbabwe</w:t>
            </w:r>
          </w:p>
        </w:tc>
      </w:tr>
      <w:tr w:rsidR="00897C03" w14:paraId="62BE513C" w14:textId="77777777" w:rsidTr="004E261A">
        <w:tc>
          <w:tcPr>
            <w:tcW w:w="570" w:type="dxa"/>
            <w:vAlign w:val="center"/>
          </w:tcPr>
          <w:p w14:paraId="615DCB52" w14:textId="77777777" w:rsidR="00897C03" w:rsidRPr="005C2042" w:rsidRDefault="00897C03" w:rsidP="00897C03">
            <w:pPr>
              <w:rPr>
                <w:rFonts w:eastAsia="Times New Roman" w:cs="Times New Roman"/>
                <w:szCs w:val="24"/>
              </w:rPr>
            </w:pPr>
            <w:r w:rsidRPr="005C2042">
              <w:rPr>
                <w:rFonts w:eastAsia="Times New Roman" w:cs="Times New Roman"/>
                <w:szCs w:val="24"/>
              </w:rPr>
              <w:t>25</w:t>
            </w:r>
          </w:p>
        </w:tc>
        <w:tc>
          <w:tcPr>
            <w:tcW w:w="1848" w:type="dxa"/>
            <w:vAlign w:val="center"/>
          </w:tcPr>
          <w:p w14:paraId="664DE313" w14:textId="77777777" w:rsidR="00897C03" w:rsidRPr="005C2042" w:rsidRDefault="00897C03" w:rsidP="00897C03">
            <w:pPr>
              <w:rPr>
                <w:rFonts w:eastAsia="Times New Roman" w:cs="Times New Roman"/>
                <w:szCs w:val="24"/>
              </w:rPr>
            </w:pPr>
            <w:r w:rsidRPr="005C2042">
              <w:rPr>
                <w:rFonts w:eastAsia="Times New Roman" w:cs="Times New Roman"/>
                <w:szCs w:val="24"/>
              </w:rPr>
              <w:t>Mwangi &amp; Wanjiru, 2023, Journal Article</w:t>
            </w:r>
          </w:p>
        </w:tc>
        <w:tc>
          <w:tcPr>
            <w:tcW w:w="1087" w:type="dxa"/>
            <w:vAlign w:val="center"/>
          </w:tcPr>
          <w:p w14:paraId="550D4B62" w14:textId="77777777" w:rsidR="00897C03" w:rsidRPr="005C2042" w:rsidRDefault="00897C03" w:rsidP="00897C03">
            <w:pPr>
              <w:rPr>
                <w:rFonts w:eastAsia="Times New Roman" w:cs="Times New Roman"/>
                <w:szCs w:val="24"/>
              </w:rPr>
            </w:pPr>
            <w:r w:rsidRPr="005C2042">
              <w:rPr>
                <w:rFonts w:eastAsia="Times New Roman" w:cs="Times New Roman"/>
                <w:szCs w:val="24"/>
              </w:rPr>
              <w:t>Kenya</w:t>
            </w:r>
          </w:p>
        </w:tc>
        <w:tc>
          <w:tcPr>
            <w:tcW w:w="2337" w:type="dxa"/>
            <w:vAlign w:val="center"/>
          </w:tcPr>
          <w:p w14:paraId="7A11D5A0" w14:textId="77777777" w:rsidR="00897C03" w:rsidRPr="005C2042" w:rsidRDefault="00897C03" w:rsidP="00897C03">
            <w:pPr>
              <w:rPr>
                <w:rFonts w:eastAsia="Times New Roman" w:cs="Times New Roman"/>
                <w:szCs w:val="24"/>
              </w:rPr>
            </w:pPr>
            <w:r w:rsidRPr="005C2042">
              <w:rPr>
                <w:rFonts w:eastAsia="Times New Roman" w:cs="Times New Roman"/>
                <w:szCs w:val="24"/>
              </w:rPr>
              <w:t>AI-driven analytics</w:t>
            </w:r>
          </w:p>
        </w:tc>
        <w:tc>
          <w:tcPr>
            <w:tcW w:w="1629" w:type="dxa"/>
            <w:vAlign w:val="center"/>
          </w:tcPr>
          <w:p w14:paraId="193D51F7" w14:textId="77777777" w:rsidR="00897C03" w:rsidRPr="005C2042" w:rsidRDefault="00897C03" w:rsidP="00897C03">
            <w:pPr>
              <w:rPr>
                <w:rFonts w:eastAsia="Times New Roman" w:cs="Times New Roman"/>
                <w:szCs w:val="24"/>
              </w:rPr>
            </w:pPr>
            <w:r w:rsidRPr="005C2042">
              <w:rPr>
                <w:rFonts w:eastAsia="Times New Roman" w:cs="Times New Roman"/>
                <w:szCs w:val="24"/>
              </w:rPr>
              <w:t>Exploratory study</w:t>
            </w:r>
          </w:p>
        </w:tc>
        <w:tc>
          <w:tcPr>
            <w:tcW w:w="2514" w:type="dxa"/>
            <w:vAlign w:val="center"/>
          </w:tcPr>
          <w:p w14:paraId="607E2780" w14:textId="77777777" w:rsidR="00897C03" w:rsidRPr="005C2042" w:rsidRDefault="00897C03" w:rsidP="00897C03">
            <w:pPr>
              <w:rPr>
                <w:rFonts w:eastAsia="Times New Roman" w:cs="Times New Roman"/>
                <w:szCs w:val="24"/>
              </w:rPr>
            </w:pPr>
            <w:r w:rsidRPr="005C2042">
              <w:rPr>
                <w:rFonts w:eastAsia="Times New Roman" w:cs="Times New Roman"/>
                <w:szCs w:val="24"/>
              </w:rPr>
              <w:t>AI enhances procurement forecasting and fraud detection</w:t>
            </w:r>
          </w:p>
        </w:tc>
      </w:tr>
      <w:tr w:rsidR="00897C03" w14:paraId="3D50C0DC" w14:textId="77777777" w:rsidTr="004E261A">
        <w:tc>
          <w:tcPr>
            <w:tcW w:w="570" w:type="dxa"/>
            <w:vAlign w:val="center"/>
          </w:tcPr>
          <w:p w14:paraId="3A3F4EAD" w14:textId="77777777" w:rsidR="00897C03" w:rsidRPr="005C2042" w:rsidRDefault="00897C03" w:rsidP="00897C03">
            <w:pPr>
              <w:rPr>
                <w:rFonts w:eastAsia="Times New Roman" w:cs="Times New Roman"/>
                <w:szCs w:val="24"/>
              </w:rPr>
            </w:pPr>
            <w:r w:rsidRPr="005C2042">
              <w:rPr>
                <w:rFonts w:eastAsia="Times New Roman" w:cs="Times New Roman"/>
                <w:szCs w:val="24"/>
              </w:rPr>
              <w:t>26</w:t>
            </w:r>
          </w:p>
        </w:tc>
        <w:tc>
          <w:tcPr>
            <w:tcW w:w="1848" w:type="dxa"/>
            <w:vAlign w:val="center"/>
          </w:tcPr>
          <w:p w14:paraId="29BA218F" w14:textId="77777777" w:rsidR="00897C03" w:rsidRPr="005C2042" w:rsidRDefault="00897C03" w:rsidP="00897C03">
            <w:pPr>
              <w:rPr>
                <w:rFonts w:eastAsia="Times New Roman" w:cs="Times New Roman"/>
                <w:szCs w:val="24"/>
              </w:rPr>
            </w:pPr>
            <w:r w:rsidRPr="005C2042">
              <w:rPr>
                <w:rFonts w:eastAsia="Times New Roman" w:cs="Times New Roman"/>
                <w:szCs w:val="24"/>
              </w:rPr>
              <w:t>Al-Rashid &amp; Khan, 2021, Journal Article</w:t>
            </w:r>
          </w:p>
        </w:tc>
        <w:tc>
          <w:tcPr>
            <w:tcW w:w="1087" w:type="dxa"/>
            <w:vAlign w:val="center"/>
          </w:tcPr>
          <w:p w14:paraId="64A63534" w14:textId="77777777" w:rsidR="00897C03" w:rsidRPr="005C2042" w:rsidRDefault="00897C03" w:rsidP="00897C03">
            <w:pPr>
              <w:rPr>
                <w:rFonts w:eastAsia="Times New Roman" w:cs="Times New Roman"/>
                <w:szCs w:val="24"/>
              </w:rPr>
            </w:pPr>
            <w:r w:rsidRPr="005C2042">
              <w:rPr>
                <w:rFonts w:eastAsia="Times New Roman" w:cs="Times New Roman"/>
                <w:szCs w:val="24"/>
              </w:rPr>
              <w:t>Pakistan</w:t>
            </w:r>
          </w:p>
        </w:tc>
        <w:tc>
          <w:tcPr>
            <w:tcW w:w="2337" w:type="dxa"/>
            <w:vAlign w:val="center"/>
          </w:tcPr>
          <w:p w14:paraId="5753E5F4" w14:textId="77777777" w:rsidR="00897C03" w:rsidRPr="005C2042" w:rsidRDefault="00897C03" w:rsidP="00897C03">
            <w:pPr>
              <w:rPr>
                <w:rFonts w:eastAsia="Times New Roman" w:cs="Times New Roman"/>
                <w:szCs w:val="24"/>
              </w:rPr>
            </w:pPr>
            <w:r w:rsidRPr="005C2042">
              <w:rPr>
                <w:rFonts w:eastAsia="Times New Roman" w:cs="Times New Roman"/>
                <w:szCs w:val="24"/>
              </w:rPr>
              <w:t>Digital governance platforms</w:t>
            </w:r>
          </w:p>
        </w:tc>
        <w:tc>
          <w:tcPr>
            <w:tcW w:w="1629" w:type="dxa"/>
            <w:vAlign w:val="center"/>
          </w:tcPr>
          <w:p w14:paraId="48A9A838" w14:textId="77777777" w:rsidR="00897C03" w:rsidRPr="005C2042" w:rsidRDefault="00897C03" w:rsidP="00897C03">
            <w:pPr>
              <w:rPr>
                <w:rFonts w:eastAsia="Times New Roman" w:cs="Times New Roman"/>
                <w:szCs w:val="24"/>
              </w:rPr>
            </w:pPr>
            <w:r w:rsidRPr="005C2042">
              <w:rPr>
                <w:rFonts w:eastAsia="Times New Roman" w:cs="Times New Roman"/>
                <w:szCs w:val="24"/>
              </w:rPr>
              <w:t>Survey and interviews</w:t>
            </w:r>
          </w:p>
        </w:tc>
        <w:tc>
          <w:tcPr>
            <w:tcW w:w="2514" w:type="dxa"/>
            <w:vAlign w:val="center"/>
          </w:tcPr>
          <w:p w14:paraId="2FA7395F" w14:textId="77777777" w:rsidR="00897C03" w:rsidRPr="005C2042" w:rsidRDefault="00897C03" w:rsidP="00897C03">
            <w:pPr>
              <w:rPr>
                <w:rFonts w:eastAsia="Times New Roman" w:cs="Times New Roman"/>
                <w:szCs w:val="24"/>
              </w:rPr>
            </w:pPr>
            <w:r w:rsidRPr="005C2042">
              <w:rPr>
                <w:rFonts w:eastAsia="Times New Roman" w:cs="Times New Roman"/>
                <w:szCs w:val="24"/>
              </w:rPr>
              <w:t>Platforms improve procurement speed and reduce manual errors</w:t>
            </w:r>
          </w:p>
        </w:tc>
      </w:tr>
      <w:tr w:rsidR="00897C03" w14:paraId="5ABF10A1" w14:textId="77777777" w:rsidTr="004E261A">
        <w:tc>
          <w:tcPr>
            <w:tcW w:w="570" w:type="dxa"/>
            <w:vAlign w:val="center"/>
          </w:tcPr>
          <w:p w14:paraId="5E039F79" w14:textId="77777777" w:rsidR="00897C03" w:rsidRPr="005C2042" w:rsidRDefault="00897C03" w:rsidP="00897C03">
            <w:pPr>
              <w:rPr>
                <w:rFonts w:eastAsia="Times New Roman" w:cs="Times New Roman"/>
                <w:szCs w:val="24"/>
              </w:rPr>
            </w:pPr>
            <w:r w:rsidRPr="005C2042">
              <w:rPr>
                <w:rFonts w:eastAsia="Times New Roman" w:cs="Times New Roman"/>
                <w:szCs w:val="24"/>
              </w:rPr>
              <w:t>27</w:t>
            </w:r>
          </w:p>
        </w:tc>
        <w:tc>
          <w:tcPr>
            <w:tcW w:w="1848" w:type="dxa"/>
            <w:vAlign w:val="center"/>
          </w:tcPr>
          <w:p w14:paraId="4C09BFD8" w14:textId="77777777" w:rsidR="00897C03" w:rsidRPr="005C2042" w:rsidRDefault="00897C03" w:rsidP="00897C03">
            <w:pPr>
              <w:rPr>
                <w:rFonts w:eastAsia="Times New Roman" w:cs="Times New Roman"/>
                <w:szCs w:val="24"/>
              </w:rPr>
            </w:pPr>
            <w:r w:rsidRPr="005C2042">
              <w:rPr>
                <w:rFonts w:eastAsia="Times New Roman" w:cs="Times New Roman"/>
                <w:szCs w:val="24"/>
              </w:rPr>
              <w:t>Ghosh &amp; Dutta, 2020, Journal Article</w:t>
            </w:r>
          </w:p>
        </w:tc>
        <w:tc>
          <w:tcPr>
            <w:tcW w:w="1087" w:type="dxa"/>
            <w:vAlign w:val="center"/>
          </w:tcPr>
          <w:p w14:paraId="2D11A7F9" w14:textId="77777777" w:rsidR="00897C03" w:rsidRPr="005C2042" w:rsidRDefault="00897C03" w:rsidP="00897C03">
            <w:pPr>
              <w:rPr>
                <w:rFonts w:eastAsia="Times New Roman" w:cs="Times New Roman"/>
                <w:szCs w:val="24"/>
              </w:rPr>
            </w:pPr>
            <w:r w:rsidRPr="005C2042">
              <w:rPr>
                <w:rFonts w:eastAsia="Times New Roman" w:cs="Times New Roman"/>
                <w:szCs w:val="24"/>
              </w:rPr>
              <w:t>India</w:t>
            </w:r>
          </w:p>
        </w:tc>
        <w:tc>
          <w:tcPr>
            <w:tcW w:w="2337" w:type="dxa"/>
            <w:vAlign w:val="center"/>
          </w:tcPr>
          <w:p w14:paraId="1965C185" w14:textId="77777777" w:rsidR="00897C03" w:rsidRPr="005C2042" w:rsidRDefault="00897C03" w:rsidP="00897C03">
            <w:pPr>
              <w:rPr>
                <w:rFonts w:eastAsia="Times New Roman" w:cs="Times New Roman"/>
                <w:szCs w:val="24"/>
              </w:rPr>
            </w:pPr>
            <w:r w:rsidRPr="005C2042">
              <w:rPr>
                <w:rFonts w:eastAsia="Times New Roman" w:cs="Times New Roman"/>
                <w:szCs w:val="24"/>
              </w:rPr>
              <w:t>Smart government reform</w:t>
            </w:r>
          </w:p>
        </w:tc>
        <w:tc>
          <w:tcPr>
            <w:tcW w:w="1629" w:type="dxa"/>
            <w:vAlign w:val="center"/>
          </w:tcPr>
          <w:p w14:paraId="6FBDB86C" w14:textId="77777777" w:rsidR="00897C03" w:rsidRPr="005C2042" w:rsidRDefault="00897C03" w:rsidP="00897C03">
            <w:pPr>
              <w:rPr>
                <w:rFonts w:eastAsia="Times New Roman" w:cs="Times New Roman"/>
                <w:szCs w:val="24"/>
              </w:rPr>
            </w:pPr>
            <w:r w:rsidRPr="005C2042">
              <w:rPr>
                <w:rFonts w:eastAsia="Times New Roman" w:cs="Times New Roman"/>
                <w:szCs w:val="24"/>
              </w:rPr>
              <w:t>Policy analysis</w:t>
            </w:r>
          </w:p>
        </w:tc>
        <w:tc>
          <w:tcPr>
            <w:tcW w:w="2514" w:type="dxa"/>
            <w:vAlign w:val="center"/>
          </w:tcPr>
          <w:p w14:paraId="5C58EE69" w14:textId="77777777" w:rsidR="00897C03" w:rsidRPr="005C2042" w:rsidRDefault="00897C03" w:rsidP="00897C03">
            <w:pPr>
              <w:rPr>
                <w:rFonts w:eastAsia="Times New Roman" w:cs="Times New Roman"/>
                <w:szCs w:val="24"/>
              </w:rPr>
            </w:pPr>
            <w:r w:rsidRPr="005C2042">
              <w:rPr>
                <w:rFonts w:eastAsia="Times New Roman" w:cs="Times New Roman"/>
                <w:szCs w:val="24"/>
              </w:rPr>
              <w:t>Smart reforms improve procurement transparency</w:t>
            </w:r>
          </w:p>
        </w:tc>
      </w:tr>
      <w:tr w:rsidR="009A5761" w14:paraId="4EBBA5AE" w14:textId="77777777" w:rsidTr="004E261A">
        <w:tc>
          <w:tcPr>
            <w:tcW w:w="570" w:type="dxa"/>
            <w:vAlign w:val="center"/>
          </w:tcPr>
          <w:p w14:paraId="6EEDCC33" w14:textId="77777777" w:rsidR="009A5761" w:rsidRPr="000B371B" w:rsidRDefault="009A5761" w:rsidP="009A5761">
            <w:pPr>
              <w:rPr>
                <w:rFonts w:eastAsia="Times New Roman" w:cs="Times New Roman"/>
                <w:szCs w:val="24"/>
              </w:rPr>
            </w:pPr>
            <w:r w:rsidRPr="000B371B">
              <w:rPr>
                <w:rFonts w:eastAsia="Times New Roman" w:cs="Times New Roman"/>
                <w:szCs w:val="24"/>
              </w:rPr>
              <w:t>28</w:t>
            </w:r>
          </w:p>
        </w:tc>
        <w:tc>
          <w:tcPr>
            <w:tcW w:w="1848" w:type="dxa"/>
            <w:vAlign w:val="center"/>
          </w:tcPr>
          <w:p w14:paraId="33BFA6F5" w14:textId="77777777" w:rsidR="009A5761" w:rsidRPr="000B371B" w:rsidRDefault="009A5761" w:rsidP="009A5761">
            <w:pPr>
              <w:rPr>
                <w:rFonts w:eastAsia="Times New Roman" w:cs="Times New Roman"/>
                <w:szCs w:val="24"/>
              </w:rPr>
            </w:pPr>
            <w:r w:rsidRPr="000B371B">
              <w:rPr>
                <w:rFonts w:eastAsia="Times New Roman" w:cs="Times New Roman"/>
                <w:szCs w:val="24"/>
              </w:rPr>
              <w:t>Sánchez-Rodríguez, Martínez-Lorente &amp; Hemsworth, 2020, Journal Article</w:t>
            </w:r>
          </w:p>
        </w:tc>
        <w:tc>
          <w:tcPr>
            <w:tcW w:w="1087" w:type="dxa"/>
            <w:vAlign w:val="center"/>
          </w:tcPr>
          <w:p w14:paraId="5A74C42B" w14:textId="77777777" w:rsidR="009A5761" w:rsidRPr="000B371B" w:rsidRDefault="009A5761" w:rsidP="009A5761">
            <w:pPr>
              <w:rPr>
                <w:rFonts w:eastAsia="Times New Roman" w:cs="Times New Roman"/>
                <w:szCs w:val="24"/>
              </w:rPr>
            </w:pPr>
            <w:r w:rsidRPr="000B371B">
              <w:rPr>
                <w:rFonts w:eastAsia="Times New Roman" w:cs="Times New Roman"/>
                <w:szCs w:val="24"/>
              </w:rPr>
              <w:t>SMEs (Spain &amp; UK)</w:t>
            </w:r>
          </w:p>
        </w:tc>
        <w:tc>
          <w:tcPr>
            <w:tcW w:w="2337" w:type="dxa"/>
            <w:vAlign w:val="center"/>
          </w:tcPr>
          <w:p w14:paraId="4C96842E" w14:textId="77777777" w:rsidR="009A5761" w:rsidRPr="000B371B" w:rsidRDefault="009A5761" w:rsidP="009A5761">
            <w:pPr>
              <w:rPr>
                <w:rFonts w:eastAsia="Times New Roman" w:cs="Times New Roman"/>
                <w:szCs w:val="24"/>
              </w:rPr>
            </w:pPr>
            <w:r w:rsidRPr="000B371B">
              <w:rPr>
                <w:rFonts w:eastAsia="Times New Roman" w:cs="Times New Roman"/>
                <w:szCs w:val="24"/>
              </w:rPr>
              <w:t>E-sourcing and procurement efficiency in SMEs</w:t>
            </w:r>
          </w:p>
        </w:tc>
        <w:tc>
          <w:tcPr>
            <w:tcW w:w="1629" w:type="dxa"/>
            <w:vAlign w:val="center"/>
          </w:tcPr>
          <w:p w14:paraId="4559BB64" w14:textId="77777777" w:rsidR="009A5761" w:rsidRPr="000B371B" w:rsidRDefault="009A5761" w:rsidP="009A5761">
            <w:pPr>
              <w:rPr>
                <w:rFonts w:eastAsia="Times New Roman" w:cs="Times New Roman"/>
                <w:szCs w:val="24"/>
              </w:rPr>
            </w:pPr>
            <w:r w:rsidRPr="000B371B">
              <w:rPr>
                <w:rFonts w:eastAsia="Times New Roman" w:cs="Times New Roman"/>
                <w:szCs w:val="24"/>
              </w:rPr>
              <w:t>Survey-based quantitative analysis</w:t>
            </w:r>
          </w:p>
        </w:tc>
        <w:tc>
          <w:tcPr>
            <w:tcW w:w="2514" w:type="dxa"/>
            <w:vAlign w:val="center"/>
          </w:tcPr>
          <w:p w14:paraId="1E76CDA3" w14:textId="77777777" w:rsidR="009A5761" w:rsidRPr="000B371B" w:rsidRDefault="009A5761" w:rsidP="009A5761">
            <w:pPr>
              <w:rPr>
                <w:rFonts w:eastAsia="Times New Roman" w:cs="Times New Roman"/>
                <w:szCs w:val="24"/>
              </w:rPr>
            </w:pPr>
            <w:r w:rsidRPr="000B371B">
              <w:rPr>
                <w:rFonts w:eastAsia="Times New Roman" w:cs="Times New Roman"/>
                <w:szCs w:val="24"/>
              </w:rPr>
              <w:t>E-procurement improves performance but faces adoption barriers in small firms</w:t>
            </w:r>
          </w:p>
        </w:tc>
      </w:tr>
      <w:tr w:rsidR="00897C03" w14:paraId="3D53E583" w14:textId="77777777" w:rsidTr="004E261A">
        <w:tc>
          <w:tcPr>
            <w:tcW w:w="570" w:type="dxa"/>
            <w:vAlign w:val="center"/>
          </w:tcPr>
          <w:p w14:paraId="0FCFD849" w14:textId="77777777" w:rsidR="00897C03" w:rsidRPr="005C2042" w:rsidRDefault="00897C03" w:rsidP="00897C03">
            <w:pPr>
              <w:rPr>
                <w:rFonts w:eastAsia="Times New Roman" w:cs="Times New Roman"/>
                <w:szCs w:val="24"/>
              </w:rPr>
            </w:pPr>
            <w:r w:rsidRPr="005C2042">
              <w:rPr>
                <w:rFonts w:eastAsia="Times New Roman" w:cs="Times New Roman"/>
                <w:szCs w:val="24"/>
              </w:rPr>
              <w:t>29</w:t>
            </w:r>
          </w:p>
        </w:tc>
        <w:tc>
          <w:tcPr>
            <w:tcW w:w="1848" w:type="dxa"/>
            <w:vAlign w:val="center"/>
          </w:tcPr>
          <w:p w14:paraId="33A9145B" w14:textId="77777777" w:rsidR="00897C03" w:rsidRPr="005C2042" w:rsidRDefault="00897C03" w:rsidP="00897C03">
            <w:pPr>
              <w:rPr>
                <w:rFonts w:eastAsia="Times New Roman" w:cs="Times New Roman"/>
                <w:szCs w:val="24"/>
              </w:rPr>
            </w:pPr>
            <w:r w:rsidRPr="005C2042">
              <w:rPr>
                <w:rFonts w:eastAsia="Times New Roman" w:cs="Times New Roman"/>
                <w:szCs w:val="24"/>
              </w:rPr>
              <w:t>Kim &amp; Lee, 2021, Journal Article</w:t>
            </w:r>
          </w:p>
        </w:tc>
        <w:tc>
          <w:tcPr>
            <w:tcW w:w="1087" w:type="dxa"/>
            <w:vAlign w:val="center"/>
          </w:tcPr>
          <w:p w14:paraId="787EA47F" w14:textId="77777777" w:rsidR="00897C03" w:rsidRPr="005C2042" w:rsidRDefault="00897C03" w:rsidP="00897C03">
            <w:pPr>
              <w:rPr>
                <w:rFonts w:eastAsia="Times New Roman" w:cs="Times New Roman"/>
                <w:szCs w:val="24"/>
              </w:rPr>
            </w:pPr>
            <w:r w:rsidRPr="005C2042">
              <w:rPr>
                <w:rFonts w:eastAsia="Times New Roman" w:cs="Times New Roman"/>
                <w:szCs w:val="24"/>
              </w:rPr>
              <w:t>South Korea</w:t>
            </w:r>
          </w:p>
        </w:tc>
        <w:tc>
          <w:tcPr>
            <w:tcW w:w="2337" w:type="dxa"/>
            <w:vAlign w:val="center"/>
          </w:tcPr>
          <w:p w14:paraId="2D799A3E" w14:textId="77777777" w:rsidR="00897C03" w:rsidRPr="005C2042" w:rsidRDefault="00897C03" w:rsidP="00897C03">
            <w:pPr>
              <w:rPr>
                <w:rFonts w:eastAsia="Times New Roman" w:cs="Times New Roman"/>
                <w:szCs w:val="24"/>
              </w:rPr>
            </w:pPr>
            <w:r w:rsidRPr="005C2042">
              <w:rPr>
                <w:rFonts w:eastAsia="Times New Roman" w:cs="Times New Roman"/>
                <w:szCs w:val="24"/>
              </w:rPr>
              <w:t>Trust in digital platforms</w:t>
            </w:r>
          </w:p>
        </w:tc>
        <w:tc>
          <w:tcPr>
            <w:tcW w:w="1629" w:type="dxa"/>
            <w:vAlign w:val="center"/>
          </w:tcPr>
          <w:p w14:paraId="2D1F0AFA" w14:textId="77777777" w:rsidR="00897C03" w:rsidRPr="005C2042" w:rsidRDefault="00897C03" w:rsidP="00897C03">
            <w:pPr>
              <w:rPr>
                <w:rFonts w:eastAsia="Times New Roman" w:cs="Times New Roman"/>
                <w:szCs w:val="24"/>
              </w:rPr>
            </w:pPr>
            <w:r w:rsidRPr="005C2042">
              <w:rPr>
                <w:rFonts w:eastAsia="Times New Roman" w:cs="Times New Roman"/>
                <w:szCs w:val="24"/>
              </w:rPr>
              <w:t>Structural equation modeling</w:t>
            </w:r>
          </w:p>
        </w:tc>
        <w:tc>
          <w:tcPr>
            <w:tcW w:w="2514" w:type="dxa"/>
            <w:vAlign w:val="center"/>
          </w:tcPr>
          <w:p w14:paraId="1AF4D31E" w14:textId="77777777" w:rsidR="00897C03" w:rsidRPr="005C2042" w:rsidRDefault="00897C03" w:rsidP="00897C03">
            <w:pPr>
              <w:rPr>
                <w:rFonts w:eastAsia="Times New Roman" w:cs="Times New Roman"/>
                <w:szCs w:val="24"/>
              </w:rPr>
            </w:pPr>
            <w:r w:rsidRPr="005C2042">
              <w:rPr>
                <w:rFonts w:eastAsia="Times New Roman" w:cs="Times New Roman"/>
                <w:szCs w:val="24"/>
              </w:rPr>
              <w:t>Trust mediates the relationship between platform use and satisfaction</w:t>
            </w:r>
          </w:p>
        </w:tc>
      </w:tr>
      <w:tr w:rsidR="00897C03" w14:paraId="51D10FD3" w14:textId="77777777" w:rsidTr="004E261A">
        <w:tc>
          <w:tcPr>
            <w:tcW w:w="570" w:type="dxa"/>
            <w:vAlign w:val="center"/>
          </w:tcPr>
          <w:p w14:paraId="5698B498" w14:textId="77777777" w:rsidR="00897C03" w:rsidRPr="005C2042" w:rsidRDefault="00897C03" w:rsidP="00897C03">
            <w:pPr>
              <w:rPr>
                <w:rFonts w:eastAsia="Times New Roman" w:cs="Times New Roman"/>
                <w:szCs w:val="24"/>
              </w:rPr>
            </w:pPr>
            <w:r w:rsidRPr="005C2042">
              <w:rPr>
                <w:rFonts w:eastAsia="Times New Roman" w:cs="Times New Roman"/>
                <w:szCs w:val="24"/>
              </w:rPr>
              <w:t>30</w:t>
            </w:r>
          </w:p>
        </w:tc>
        <w:tc>
          <w:tcPr>
            <w:tcW w:w="1848" w:type="dxa"/>
            <w:vAlign w:val="center"/>
          </w:tcPr>
          <w:p w14:paraId="3B551B89" w14:textId="77777777" w:rsidR="00897C03" w:rsidRPr="005C2042" w:rsidRDefault="00897C03" w:rsidP="00897C03">
            <w:pPr>
              <w:rPr>
                <w:rFonts w:eastAsia="Times New Roman" w:cs="Times New Roman"/>
                <w:szCs w:val="24"/>
              </w:rPr>
            </w:pPr>
            <w:r w:rsidRPr="005C2042">
              <w:rPr>
                <w:rFonts w:eastAsia="Times New Roman" w:cs="Times New Roman"/>
                <w:szCs w:val="24"/>
              </w:rPr>
              <w:t>Tsegaye &amp; Kebede, 2022, Journal Article</w:t>
            </w:r>
          </w:p>
        </w:tc>
        <w:tc>
          <w:tcPr>
            <w:tcW w:w="1087" w:type="dxa"/>
            <w:vAlign w:val="center"/>
          </w:tcPr>
          <w:p w14:paraId="4B0E3B53" w14:textId="77777777" w:rsidR="00897C03" w:rsidRPr="005C2042" w:rsidRDefault="00897C03" w:rsidP="00897C03">
            <w:pPr>
              <w:rPr>
                <w:rFonts w:eastAsia="Times New Roman" w:cs="Times New Roman"/>
                <w:szCs w:val="24"/>
              </w:rPr>
            </w:pPr>
            <w:r w:rsidRPr="005C2042">
              <w:rPr>
                <w:rFonts w:eastAsia="Times New Roman" w:cs="Times New Roman"/>
                <w:szCs w:val="24"/>
              </w:rPr>
              <w:t>Ethiopia</w:t>
            </w:r>
          </w:p>
        </w:tc>
        <w:tc>
          <w:tcPr>
            <w:tcW w:w="2337" w:type="dxa"/>
            <w:vAlign w:val="center"/>
          </w:tcPr>
          <w:p w14:paraId="7C06AFD9" w14:textId="77777777" w:rsidR="00897C03" w:rsidRPr="005C2042" w:rsidRDefault="00897C03" w:rsidP="00897C03">
            <w:pPr>
              <w:rPr>
                <w:rFonts w:eastAsia="Times New Roman" w:cs="Times New Roman"/>
                <w:szCs w:val="24"/>
              </w:rPr>
            </w:pPr>
            <w:r w:rsidRPr="005C2042">
              <w:rPr>
                <w:rFonts w:eastAsia="Times New Roman" w:cs="Times New Roman"/>
                <w:szCs w:val="24"/>
              </w:rPr>
              <w:t>ICT adoption readiness</w:t>
            </w:r>
          </w:p>
        </w:tc>
        <w:tc>
          <w:tcPr>
            <w:tcW w:w="1629" w:type="dxa"/>
            <w:vAlign w:val="center"/>
          </w:tcPr>
          <w:p w14:paraId="279509BA" w14:textId="77777777" w:rsidR="00897C03" w:rsidRPr="005C2042" w:rsidRDefault="00897C03" w:rsidP="00897C03">
            <w:pPr>
              <w:rPr>
                <w:rFonts w:eastAsia="Times New Roman" w:cs="Times New Roman"/>
                <w:szCs w:val="24"/>
              </w:rPr>
            </w:pPr>
            <w:r w:rsidRPr="005C2042">
              <w:rPr>
                <w:rFonts w:eastAsia="Times New Roman" w:cs="Times New Roman"/>
                <w:szCs w:val="24"/>
              </w:rPr>
              <w:t>Mixed methods</w:t>
            </w:r>
          </w:p>
        </w:tc>
        <w:tc>
          <w:tcPr>
            <w:tcW w:w="2514" w:type="dxa"/>
            <w:vAlign w:val="center"/>
          </w:tcPr>
          <w:p w14:paraId="1BA2DBA5" w14:textId="77777777" w:rsidR="00897C03" w:rsidRPr="005C2042" w:rsidRDefault="00897C03" w:rsidP="00897C03">
            <w:pPr>
              <w:rPr>
                <w:rFonts w:eastAsia="Times New Roman" w:cs="Times New Roman"/>
                <w:szCs w:val="24"/>
              </w:rPr>
            </w:pPr>
            <w:r w:rsidRPr="005C2042">
              <w:rPr>
                <w:rFonts w:eastAsia="Times New Roman" w:cs="Times New Roman"/>
                <w:szCs w:val="24"/>
              </w:rPr>
              <w:t>Readiness influenced by leadership and infrastructure</w:t>
            </w:r>
          </w:p>
        </w:tc>
      </w:tr>
      <w:tr w:rsidR="00897C03" w14:paraId="5755E5C4" w14:textId="77777777" w:rsidTr="004E261A">
        <w:tc>
          <w:tcPr>
            <w:tcW w:w="570" w:type="dxa"/>
            <w:vAlign w:val="center"/>
          </w:tcPr>
          <w:p w14:paraId="5C58E50C" w14:textId="77777777" w:rsidR="00897C03" w:rsidRPr="005C2042" w:rsidRDefault="00897C03" w:rsidP="00897C03">
            <w:pPr>
              <w:rPr>
                <w:rFonts w:eastAsia="Times New Roman" w:cs="Times New Roman"/>
                <w:szCs w:val="24"/>
              </w:rPr>
            </w:pPr>
            <w:r w:rsidRPr="005C2042">
              <w:rPr>
                <w:rFonts w:eastAsia="Times New Roman" w:cs="Times New Roman"/>
                <w:szCs w:val="24"/>
              </w:rPr>
              <w:lastRenderedPageBreak/>
              <w:t>31</w:t>
            </w:r>
          </w:p>
        </w:tc>
        <w:tc>
          <w:tcPr>
            <w:tcW w:w="1848" w:type="dxa"/>
            <w:vAlign w:val="center"/>
          </w:tcPr>
          <w:p w14:paraId="5957DD91" w14:textId="77777777" w:rsidR="00897C03" w:rsidRPr="005C2042" w:rsidRDefault="00897C03" w:rsidP="00897C03">
            <w:pPr>
              <w:rPr>
                <w:rFonts w:eastAsia="Times New Roman" w:cs="Times New Roman"/>
                <w:szCs w:val="24"/>
              </w:rPr>
            </w:pPr>
            <w:r w:rsidRPr="005C2042">
              <w:rPr>
                <w:rFonts w:eastAsia="Times New Roman" w:cs="Times New Roman"/>
                <w:szCs w:val="24"/>
              </w:rPr>
              <w:t>Al-Mutairi &amp; Al-Qahtani, 2023, Journal Article</w:t>
            </w:r>
          </w:p>
        </w:tc>
        <w:tc>
          <w:tcPr>
            <w:tcW w:w="1087" w:type="dxa"/>
            <w:vAlign w:val="center"/>
          </w:tcPr>
          <w:p w14:paraId="1ADBE636" w14:textId="77777777" w:rsidR="00897C03" w:rsidRPr="005C2042" w:rsidRDefault="00897C03" w:rsidP="00897C03">
            <w:pPr>
              <w:rPr>
                <w:rFonts w:eastAsia="Times New Roman" w:cs="Times New Roman"/>
                <w:szCs w:val="24"/>
              </w:rPr>
            </w:pPr>
            <w:r w:rsidRPr="005C2042">
              <w:rPr>
                <w:rFonts w:eastAsia="Times New Roman" w:cs="Times New Roman"/>
                <w:szCs w:val="24"/>
              </w:rPr>
              <w:t>Saudi Arabia</w:t>
            </w:r>
          </w:p>
        </w:tc>
        <w:tc>
          <w:tcPr>
            <w:tcW w:w="2337" w:type="dxa"/>
            <w:vAlign w:val="center"/>
          </w:tcPr>
          <w:p w14:paraId="011B53A1" w14:textId="77777777" w:rsidR="00897C03" w:rsidRPr="005C2042" w:rsidRDefault="00897C03" w:rsidP="00897C03">
            <w:pPr>
              <w:rPr>
                <w:rFonts w:eastAsia="Times New Roman" w:cs="Times New Roman"/>
                <w:szCs w:val="24"/>
              </w:rPr>
            </w:pPr>
            <w:r w:rsidRPr="005C2042">
              <w:rPr>
                <w:rFonts w:eastAsia="Times New Roman" w:cs="Times New Roman"/>
                <w:szCs w:val="24"/>
              </w:rPr>
              <w:t>Logistics integration</w:t>
            </w:r>
          </w:p>
        </w:tc>
        <w:tc>
          <w:tcPr>
            <w:tcW w:w="1629" w:type="dxa"/>
            <w:vAlign w:val="center"/>
          </w:tcPr>
          <w:p w14:paraId="1063E8D6" w14:textId="77777777" w:rsidR="00897C03" w:rsidRPr="005C2042" w:rsidRDefault="00897C03" w:rsidP="00897C03">
            <w:pPr>
              <w:rPr>
                <w:rFonts w:eastAsia="Times New Roman" w:cs="Times New Roman"/>
                <w:szCs w:val="24"/>
              </w:rPr>
            </w:pPr>
            <w:r w:rsidRPr="005C2042">
              <w:rPr>
                <w:rFonts w:eastAsia="Times New Roman" w:cs="Times New Roman"/>
                <w:szCs w:val="24"/>
              </w:rPr>
              <w:t>Survey-based analysis</w:t>
            </w:r>
          </w:p>
        </w:tc>
        <w:tc>
          <w:tcPr>
            <w:tcW w:w="2514" w:type="dxa"/>
            <w:vAlign w:val="center"/>
          </w:tcPr>
          <w:p w14:paraId="63E806B3" w14:textId="77777777" w:rsidR="00897C03" w:rsidRPr="005C2042" w:rsidRDefault="00897C03" w:rsidP="00897C03">
            <w:pPr>
              <w:rPr>
                <w:rFonts w:eastAsia="Times New Roman" w:cs="Times New Roman"/>
                <w:szCs w:val="24"/>
              </w:rPr>
            </w:pPr>
            <w:r w:rsidRPr="005C2042">
              <w:rPr>
                <w:rFonts w:eastAsia="Times New Roman" w:cs="Times New Roman"/>
                <w:szCs w:val="24"/>
              </w:rPr>
              <w:t>E-Gov improves logistics coordination and procurement speed</w:t>
            </w:r>
          </w:p>
        </w:tc>
      </w:tr>
      <w:tr w:rsidR="00897C03" w14:paraId="2678CC02" w14:textId="77777777" w:rsidTr="004E261A">
        <w:tc>
          <w:tcPr>
            <w:tcW w:w="570" w:type="dxa"/>
            <w:vAlign w:val="center"/>
          </w:tcPr>
          <w:p w14:paraId="155C858B" w14:textId="77777777" w:rsidR="00897C03" w:rsidRPr="005C2042" w:rsidRDefault="00897C03" w:rsidP="00897C03">
            <w:pPr>
              <w:rPr>
                <w:rFonts w:eastAsia="Times New Roman" w:cs="Times New Roman"/>
                <w:szCs w:val="24"/>
              </w:rPr>
            </w:pPr>
            <w:r w:rsidRPr="005C2042">
              <w:rPr>
                <w:rFonts w:eastAsia="Times New Roman" w:cs="Times New Roman"/>
                <w:szCs w:val="24"/>
              </w:rPr>
              <w:t>32</w:t>
            </w:r>
          </w:p>
        </w:tc>
        <w:tc>
          <w:tcPr>
            <w:tcW w:w="1848" w:type="dxa"/>
            <w:vAlign w:val="center"/>
          </w:tcPr>
          <w:p w14:paraId="197BEA35" w14:textId="77777777" w:rsidR="00897C03" w:rsidRPr="005C2042" w:rsidRDefault="00897C03" w:rsidP="00897C03">
            <w:pPr>
              <w:rPr>
                <w:rFonts w:eastAsia="Times New Roman" w:cs="Times New Roman"/>
                <w:szCs w:val="24"/>
              </w:rPr>
            </w:pPr>
            <w:r w:rsidRPr="005C2042">
              <w:rPr>
                <w:rFonts w:eastAsia="Times New Roman" w:cs="Times New Roman"/>
                <w:szCs w:val="24"/>
              </w:rPr>
              <w:t>Ndlovu &amp; Moyo, 2021, Journal Article</w:t>
            </w:r>
          </w:p>
        </w:tc>
        <w:tc>
          <w:tcPr>
            <w:tcW w:w="1087" w:type="dxa"/>
            <w:vAlign w:val="center"/>
          </w:tcPr>
          <w:p w14:paraId="41D4BC62" w14:textId="77777777" w:rsidR="00897C03" w:rsidRPr="005C2042" w:rsidRDefault="00897C03" w:rsidP="00897C03">
            <w:pPr>
              <w:rPr>
                <w:rFonts w:eastAsia="Times New Roman" w:cs="Times New Roman"/>
                <w:szCs w:val="24"/>
              </w:rPr>
            </w:pPr>
            <w:r w:rsidRPr="005C2042">
              <w:rPr>
                <w:rFonts w:eastAsia="Times New Roman" w:cs="Times New Roman"/>
                <w:szCs w:val="24"/>
              </w:rPr>
              <w:t>Southern Africa</w:t>
            </w:r>
          </w:p>
        </w:tc>
        <w:tc>
          <w:tcPr>
            <w:tcW w:w="2337" w:type="dxa"/>
            <w:vAlign w:val="center"/>
          </w:tcPr>
          <w:p w14:paraId="194BE03C" w14:textId="77777777" w:rsidR="00897C03" w:rsidRPr="005C2042" w:rsidRDefault="00897C03" w:rsidP="00897C03">
            <w:pPr>
              <w:rPr>
                <w:rFonts w:eastAsia="Times New Roman" w:cs="Times New Roman"/>
                <w:szCs w:val="24"/>
              </w:rPr>
            </w:pPr>
            <w:r w:rsidRPr="005C2042">
              <w:rPr>
                <w:rFonts w:eastAsia="Times New Roman" w:cs="Times New Roman"/>
                <w:szCs w:val="24"/>
              </w:rPr>
              <w:t>Supply chain transparency</w:t>
            </w:r>
          </w:p>
        </w:tc>
        <w:tc>
          <w:tcPr>
            <w:tcW w:w="1629" w:type="dxa"/>
            <w:vAlign w:val="center"/>
          </w:tcPr>
          <w:p w14:paraId="0EE60F1A" w14:textId="77777777" w:rsidR="00897C03" w:rsidRPr="005C2042" w:rsidRDefault="00897C03" w:rsidP="00897C03">
            <w:pPr>
              <w:rPr>
                <w:rFonts w:eastAsia="Times New Roman" w:cs="Times New Roman"/>
                <w:szCs w:val="24"/>
              </w:rPr>
            </w:pPr>
            <w:r w:rsidRPr="005C2042">
              <w:rPr>
                <w:rFonts w:eastAsia="Times New Roman" w:cs="Times New Roman"/>
                <w:szCs w:val="24"/>
              </w:rPr>
              <w:t>Case study</w:t>
            </w:r>
          </w:p>
        </w:tc>
        <w:tc>
          <w:tcPr>
            <w:tcW w:w="2514" w:type="dxa"/>
            <w:vAlign w:val="center"/>
          </w:tcPr>
          <w:p w14:paraId="2ADE1FDB" w14:textId="77777777" w:rsidR="00897C03" w:rsidRPr="005C2042" w:rsidRDefault="00897C03" w:rsidP="00897C03">
            <w:pPr>
              <w:rPr>
                <w:rFonts w:eastAsia="Times New Roman" w:cs="Times New Roman"/>
                <w:szCs w:val="24"/>
              </w:rPr>
            </w:pPr>
            <w:r w:rsidRPr="005C2042">
              <w:rPr>
                <w:rFonts w:eastAsia="Times New Roman" w:cs="Times New Roman"/>
                <w:szCs w:val="24"/>
              </w:rPr>
              <w:t>E-Gov platforms increase visibility and reduce corruption</w:t>
            </w:r>
          </w:p>
        </w:tc>
      </w:tr>
      <w:tr w:rsidR="009A5761" w14:paraId="2A1CC25C" w14:textId="77777777" w:rsidTr="004E261A">
        <w:tc>
          <w:tcPr>
            <w:tcW w:w="570" w:type="dxa"/>
            <w:vAlign w:val="center"/>
          </w:tcPr>
          <w:p w14:paraId="03372C17" w14:textId="77777777" w:rsidR="009A5761" w:rsidRPr="000B371B" w:rsidRDefault="009A5761" w:rsidP="009A5761">
            <w:pPr>
              <w:rPr>
                <w:rFonts w:eastAsia="Times New Roman" w:cs="Times New Roman"/>
                <w:szCs w:val="24"/>
              </w:rPr>
            </w:pPr>
            <w:r w:rsidRPr="000B371B">
              <w:rPr>
                <w:rFonts w:eastAsia="Times New Roman" w:cs="Times New Roman"/>
                <w:szCs w:val="24"/>
              </w:rPr>
              <w:t>33</w:t>
            </w:r>
          </w:p>
        </w:tc>
        <w:tc>
          <w:tcPr>
            <w:tcW w:w="1848" w:type="dxa"/>
            <w:vAlign w:val="center"/>
          </w:tcPr>
          <w:p w14:paraId="76A32D24" w14:textId="77777777" w:rsidR="009A5761" w:rsidRPr="000B371B" w:rsidRDefault="009A5761" w:rsidP="009A5761">
            <w:pPr>
              <w:rPr>
                <w:rFonts w:eastAsia="Times New Roman" w:cs="Times New Roman"/>
                <w:szCs w:val="24"/>
              </w:rPr>
            </w:pPr>
            <w:r w:rsidRPr="000B371B">
              <w:rPr>
                <w:rFonts w:eastAsia="Times New Roman" w:cs="Times New Roman"/>
                <w:szCs w:val="24"/>
              </w:rPr>
              <w:t xml:space="preserve">Shahin, </w:t>
            </w:r>
            <w:proofErr w:type="spellStart"/>
            <w:r w:rsidRPr="000B371B">
              <w:rPr>
                <w:rFonts w:eastAsia="Times New Roman" w:cs="Times New Roman"/>
                <w:szCs w:val="24"/>
              </w:rPr>
              <w:t>Jamkhaneh</w:t>
            </w:r>
            <w:proofErr w:type="spellEnd"/>
            <w:r w:rsidRPr="000B371B">
              <w:rPr>
                <w:rFonts w:eastAsia="Times New Roman" w:cs="Times New Roman"/>
                <w:szCs w:val="24"/>
              </w:rPr>
              <w:t xml:space="preserve"> &amp; Shahin, 2022, Book Chapter</w:t>
            </w:r>
          </w:p>
        </w:tc>
        <w:tc>
          <w:tcPr>
            <w:tcW w:w="1087" w:type="dxa"/>
            <w:vAlign w:val="center"/>
          </w:tcPr>
          <w:p w14:paraId="6D07C686" w14:textId="77777777" w:rsidR="009A5761" w:rsidRPr="000B371B" w:rsidRDefault="009A5761" w:rsidP="009A5761">
            <w:pPr>
              <w:rPr>
                <w:rFonts w:eastAsia="Times New Roman" w:cs="Times New Roman"/>
                <w:szCs w:val="24"/>
              </w:rPr>
            </w:pPr>
            <w:r w:rsidRPr="000B371B">
              <w:rPr>
                <w:rFonts w:eastAsia="Times New Roman" w:cs="Times New Roman"/>
                <w:szCs w:val="24"/>
              </w:rPr>
              <w:t>Global</w:t>
            </w:r>
          </w:p>
        </w:tc>
        <w:tc>
          <w:tcPr>
            <w:tcW w:w="2337" w:type="dxa"/>
            <w:vAlign w:val="center"/>
          </w:tcPr>
          <w:p w14:paraId="5E57EA9B" w14:textId="77777777" w:rsidR="009A5761" w:rsidRPr="000B371B" w:rsidRDefault="009A5761" w:rsidP="009A5761">
            <w:pPr>
              <w:rPr>
                <w:rFonts w:eastAsia="Times New Roman" w:cs="Times New Roman"/>
                <w:szCs w:val="24"/>
              </w:rPr>
            </w:pPr>
            <w:r w:rsidRPr="000B371B">
              <w:rPr>
                <w:rFonts w:eastAsia="Times New Roman" w:cs="Times New Roman"/>
                <w:szCs w:val="24"/>
              </w:rPr>
              <w:t>E-purchasing and procurement reform</w:t>
            </w:r>
          </w:p>
        </w:tc>
        <w:tc>
          <w:tcPr>
            <w:tcW w:w="1629" w:type="dxa"/>
            <w:vAlign w:val="center"/>
          </w:tcPr>
          <w:p w14:paraId="6DD013BF" w14:textId="77777777" w:rsidR="009A5761" w:rsidRPr="000B371B" w:rsidRDefault="009A5761" w:rsidP="009A5761">
            <w:pPr>
              <w:rPr>
                <w:rFonts w:eastAsia="Times New Roman" w:cs="Times New Roman"/>
                <w:szCs w:val="24"/>
              </w:rPr>
            </w:pPr>
            <w:r w:rsidRPr="000B371B">
              <w:rPr>
                <w:rFonts w:eastAsia="Times New Roman" w:cs="Times New Roman"/>
                <w:szCs w:val="24"/>
              </w:rPr>
              <w:t>Conceptual and applied synthesis</w:t>
            </w:r>
          </w:p>
        </w:tc>
        <w:tc>
          <w:tcPr>
            <w:tcW w:w="2514" w:type="dxa"/>
            <w:vAlign w:val="center"/>
          </w:tcPr>
          <w:p w14:paraId="6292859D" w14:textId="77777777" w:rsidR="009A5761" w:rsidRPr="000B371B" w:rsidRDefault="009A5761" w:rsidP="009A5761">
            <w:pPr>
              <w:rPr>
                <w:rFonts w:eastAsia="Times New Roman" w:cs="Times New Roman"/>
                <w:szCs w:val="24"/>
              </w:rPr>
            </w:pPr>
            <w:r w:rsidRPr="000B371B">
              <w:rPr>
                <w:rFonts w:eastAsia="Times New Roman" w:cs="Times New Roman"/>
                <w:szCs w:val="24"/>
              </w:rPr>
              <w:t>E-procurement streamlines supply chains and supports reform in procurement practices</w:t>
            </w:r>
          </w:p>
        </w:tc>
      </w:tr>
      <w:tr w:rsidR="00897C03" w14:paraId="7AAD3F9A" w14:textId="77777777" w:rsidTr="004E261A">
        <w:tc>
          <w:tcPr>
            <w:tcW w:w="570" w:type="dxa"/>
            <w:vAlign w:val="center"/>
          </w:tcPr>
          <w:p w14:paraId="2C591399" w14:textId="77777777" w:rsidR="00897C03" w:rsidRPr="005C2042" w:rsidRDefault="00897C03" w:rsidP="00897C03">
            <w:pPr>
              <w:rPr>
                <w:rFonts w:eastAsia="Times New Roman" w:cs="Times New Roman"/>
                <w:szCs w:val="24"/>
              </w:rPr>
            </w:pPr>
            <w:r w:rsidRPr="005C2042">
              <w:rPr>
                <w:rFonts w:eastAsia="Times New Roman" w:cs="Times New Roman"/>
                <w:szCs w:val="24"/>
              </w:rPr>
              <w:t>34</w:t>
            </w:r>
          </w:p>
        </w:tc>
        <w:tc>
          <w:tcPr>
            <w:tcW w:w="1848" w:type="dxa"/>
            <w:vAlign w:val="center"/>
          </w:tcPr>
          <w:p w14:paraId="705195B1" w14:textId="77777777" w:rsidR="00897C03" w:rsidRPr="005C2042" w:rsidRDefault="00897C03" w:rsidP="00897C03">
            <w:pPr>
              <w:rPr>
                <w:rFonts w:eastAsia="Times New Roman" w:cs="Times New Roman"/>
                <w:szCs w:val="24"/>
              </w:rPr>
            </w:pPr>
            <w:r w:rsidRPr="005C2042">
              <w:rPr>
                <w:rFonts w:eastAsia="Times New Roman" w:cs="Times New Roman"/>
                <w:szCs w:val="24"/>
              </w:rPr>
              <w:t>Chikuta &amp; Banda, 2022, Journal Article</w:t>
            </w:r>
          </w:p>
        </w:tc>
        <w:tc>
          <w:tcPr>
            <w:tcW w:w="1087" w:type="dxa"/>
            <w:vAlign w:val="center"/>
          </w:tcPr>
          <w:p w14:paraId="04E8A196" w14:textId="77777777" w:rsidR="00897C03" w:rsidRPr="005C2042" w:rsidRDefault="00897C03" w:rsidP="00897C03">
            <w:pPr>
              <w:rPr>
                <w:rFonts w:eastAsia="Times New Roman" w:cs="Times New Roman"/>
                <w:szCs w:val="24"/>
              </w:rPr>
            </w:pPr>
            <w:r w:rsidRPr="005C2042">
              <w:rPr>
                <w:rFonts w:eastAsia="Times New Roman" w:cs="Times New Roman"/>
                <w:szCs w:val="24"/>
              </w:rPr>
              <w:t>Malawi</w:t>
            </w:r>
          </w:p>
        </w:tc>
        <w:tc>
          <w:tcPr>
            <w:tcW w:w="2337" w:type="dxa"/>
            <w:vAlign w:val="center"/>
          </w:tcPr>
          <w:p w14:paraId="6B8BBBC0" w14:textId="77777777" w:rsidR="00897C03" w:rsidRPr="005C2042" w:rsidRDefault="00897C03" w:rsidP="00897C03">
            <w:pPr>
              <w:rPr>
                <w:rFonts w:eastAsia="Times New Roman" w:cs="Times New Roman"/>
                <w:szCs w:val="24"/>
              </w:rPr>
            </w:pPr>
            <w:r w:rsidRPr="005C2042">
              <w:rPr>
                <w:rFonts w:eastAsia="Times New Roman" w:cs="Times New Roman"/>
                <w:szCs w:val="24"/>
              </w:rPr>
              <w:t>Digital readiness</w:t>
            </w:r>
          </w:p>
        </w:tc>
        <w:tc>
          <w:tcPr>
            <w:tcW w:w="1629" w:type="dxa"/>
            <w:vAlign w:val="center"/>
          </w:tcPr>
          <w:p w14:paraId="6AAEA0CB" w14:textId="77777777" w:rsidR="00897C03" w:rsidRPr="005C2042" w:rsidRDefault="00897C03" w:rsidP="00897C03">
            <w:pPr>
              <w:rPr>
                <w:rFonts w:eastAsia="Times New Roman" w:cs="Times New Roman"/>
                <w:szCs w:val="24"/>
              </w:rPr>
            </w:pPr>
            <w:r w:rsidRPr="005C2042">
              <w:rPr>
                <w:rFonts w:eastAsia="Times New Roman" w:cs="Times New Roman"/>
                <w:szCs w:val="24"/>
              </w:rPr>
              <w:t>Readiness assessment</w:t>
            </w:r>
          </w:p>
        </w:tc>
        <w:tc>
          <w:tcPr>
            <w:tcW w:w="2514" w:type="dxa"/>
            <w:vAlign w:val="center"/>
          </w:tcPr>
          <w:p w14:paraId="485B8940" w14:textId="77777777" w:rsidR="00897C03" w:rsidRPr="005C2042" w:rsidRDefault="00897C03" w:rsidP="00897C03">
            <w:pPr>
              <w:rPr>
                <w:rFonts w:eastAsia="Times New Roman" w:cs="Times New Roman"/>
                <w:szCs w:val="24"/>
              </w:rPr>
            </w:pPr>
            <w:r w:rsidRPr="005C2042">
              <w:rPr>
                <w:rFonts w:eastAsia="Times New Roman" w:cs="Times New Roman"/>
                <w:szCs w:val="24"/>
              </w:rPr>
              <w:t>Digital gaps hinder full e-procurement implementation</w:t>
            </w:r>
          </w:p>
        </w:tc>
      </w:tr>
      <w:tr w:rsidR="002C4B48" w14:paraId="1D83C26F" w14:textId="77777777" w:rsidTr="004E261A">
        <w:tc>
          <w:tcPr>
            <w:tcW w:w="570" w:type="dxa"/>
            <w:vAlign w:val="center"/>
          </w:tcPr>
          <w:p w14:paraId="636DF19A" w14:textId="77777777" w:rsidR="002C4B48" w:rsidRPr="005C2042" w:rsidRDefault="002C4B48" w:rsidP="002C4B48">
            <w:pPr>
              <w:rPr>
                <w:rFonts w:eastAsia="Times New Roman" w:cs="Times New Roman"/>
                <w:szCs w:val="24"/>
              </w:rPr>
            </w:pPr>
            <w:r w:rsidRPr="005C2042">
              <w:rPr>
                <w:rFonts w:eastAsia="Times New Roman" w:cs="Times New Roman"/>
                <w:szCs w:val="24"/>
              </w:rPr>
              <w:t>35</w:t>
            </w:r>
          </w:p>
        </w:tc>
        <w:tc>
          <w:tcPr>
            <w:tcW w:w="1848" w:type="dxa"/>
            <w:vAlign w:val="center"/>
          </w:tcPr>
          <w:p w14:paraId="0BDA8820" w14:textId="77777777" w:rsidR="002C4B48" w:rsidRPr="007D282D" w:rsidRDefault="002C4B48" w:rsidP="002C4B48">
            <w:pPr>
              <w:rPr>
                <w:rFonts w:eastAsia="Times New Roman" w:cs="Times New Roman"/>
                <w:szCs w:val="24"/>
              </w:rPr>
            </w:pPr>
            <w:r w:rsidRPr="007D282D">
              <w:rPr>
                <w:rFonts w:eastAsia="Times New Roman" w:cs="Times New Roman"/>
                <w:szCs w:val="24"/>
              </w:rPr>
              <w:t>Deloitte &amp; VMware, 2022, Report</w:t>
            </w:r>
          </w:p>
        </w:tc>
        <w:tc>
          <w:tcPr>
            <w:tcW w:w="1087" w:type="dxa"/>
            <w:vAlign w:val="center"/>
          </w:tcPr>
          <w:p w14:paraId="59A4EBAC" w14:textId="77777777" w:rsidR="002C4B48" w:rsidRPr="007D282D" w:rsidRDefault="002C4B48" w:rsidP="002C4B48">
            <w:pPr>
              <w:rPr>
                <w:rFonts w:eastAsia="Times New Roman" w:cs="Times New Roman"/>
                <w:szCs w:val="24"/>
              </w:rPr>
            </w:pPr>
            <w:r w:rsidRPr="007D282D">
              <w:rPr>
                <w:rFonts w:eastAsia="Times New Roman" w:cs="Times New Roman"/>
                <w:szCs w:val="24"/>
              </w:rPr>
              <w:t>Asia-Pacific</w:t>
            </w:r>
          </w:p>
        </w:tc>
        <w:tc>
          <w:tcPr>
            <w:tcW w:w="2337" w:type="dxa"/>
            <w:vAlign w:val="center"/>
          </w:tcPr>
          <w:p w14:paraId="26F1FA3B" w14:textId="77777777" w:rsidR="002C4B48" w:rsidRPr="007D282D" w:rsidRDefault="002C4B48" w:rsidP="002C4B48">
            <w:pPr>
              <w:rPr>
                <w:rFonts w:eastAsia="Times New Roman" w:cs="Times New Roman"/>
                <w:szCs w:val="24"/>
              </w:rPr>
            </w:pPr>
            <w:r w:rsidRPr="007D282D">
              <w:rPr>
                <w:rFonts w:eastAsia="Times New Roman" w:cs="Times New Roman"/>
                <w:szCs w:val="24"/>
              </w:rPr>
              <w:t>Accelerating digital government</w:t>
            </w:r>
          </w:p>
        </w:tc>
        <w:tc>
          <w:tcPr>
            <w:tcW w:w="1629" w:type="dxa"/>
            <w:vAlign w:val="center"/>
          </w:tcPr>
          <w:p w14:paraId="2C196D9F" w14:textId="77777777" w:rsidR="002C4B48" w:rsidRPr="007D282D" w:rsidRDefault="002C4B48" w:rsidP="002C4B48">
            <w:pPr>
              <w:rPr>
                <w:rFonts w:eastAsia="Times New Roman" w:cs="Times New Roman"/>
                <w:szCs w:val="24"/>
              </w:rPr>
            </w:pPr>
            <w:r w:rsidRPr="007D282D">
              <w:rPr>
                <w:rFonts w:eastAsia="Times New Roman" w:cs="Times New Roman"/>
                <w:szCs w:val="24"/>
              </w:rPr>
              <w:t>Policy analysis</w:t>
            </w:r>
          </w:p>
        </w:tc>
        <w:tc>
          <w:tcPr>
            <w:tcW w:w="2514" w:type="dxa"/>
            <w:vAlign w:val="center"/>
          </w:tcPr>
          <w:p w14:paraId="668F2B7A" w14:textId="77777777" w:rsidR="002C4B48" w:rsidRPr="007D282D" w:rsidRDefault="002C4B48" w:rsidP="002C4B48">
            <w:pPr>
              <w:rPr>
                <w:rFonts w:eastAsia="Times New Roman" w:cs="Times New Roman"/>
                <w:szCs w:val="24"/>
              </w:rPr>
            </w:pPr>
            <w:r w:rsidRPr="007D282D">
              <w:rPr>
                <w:rFonts w:eastAsia="Times New Roman" w:cs="Times New Roman"/>
                <w:szCs w:val="24"/>
              </w:rPr>
              <w:t>Recommends strategies for citizen-centric digital transformation in the region</w:t>
            </w:r>
          </w:p>
        </w:tc>
      </w:tr>
    </w:tbl>
    <w:p w14:paraId="62C6F15E" w14:textId="77777777" w:rsidR="00897C03" w:rsidRDefault="00897C03" w:rsidP="00897C03">
      <w:pPr>
        <w:pStyle w:val="NormalWeb"/>
        <w:spacing w:before="0" w:beforeAutospacing="0" w:after="0" w:afterAutospacing="0"/>
        <w:jc w:val="both"/>
        <w:rPr>
          <w:i/>
        </w:rPr>
      </w:pPr>
      <w:r w:rsidRPr="00A24B9B">
        <w:rPr>
          <w:b/>
        </w:rPr>
        <w:t>Source:</w:t>
      </w:r>
      <w:r>
        <w:t xml:space="preserve"> </w:t>
      </w:r>
      <w:r w:rsidRPr="00A24B9B">
        <w:rPr>
          <w:i/>
        </w:rPr>
        <w:t>Author’s analysis</w:t>
      </w:r>
      <w:r>
        <w:rPr>
          <w:i/>
        </w:rPr>
        <w:t>, 2025</w:t>
      </w:r>
    </w:p>
    <w:p w14:paraId="05268336" w14:textId="77777777" w:rsidR="006C5693" w:rsidRPr="00CE2E07" w:rsidRDefault="00CE2E07" w:rsidP="006C5693">
      <w:pPr>
        <w:spacing w:before="100" w:beforeAutospacing="1" w:after="100" w:afterAutospacing="1" w:line="240" w:lineRule="auto"/>
        <w:jc w:val="both"/>
        <w:rPr>
          <w:rFonts w:cs="Times New Roman"/>
          <w:b/>
          <w:szCs w:val="24"/>
        </w:rPr>
      </w:pPr>
      <w:r w:rsidRPr="00CE2E07">
        <w:rPr>
          <w:rFonts w:cs="Times New Roman"/>
          <w:b/>
          <w:szCs w:val="24"/>
        </w:rPr>
        <w:t xml:space="preserve">3.3 </w:t>
      </w:r>
      <w:r w:rsidRPr="00CE2E07">
        <w:rPr>
          <w:b/>
        </w:rPr>
        <w:t>Summarizing and Reporting Findings</w:t>
      </w:r>
    </w:p>
    <w:p w14:paraId="31845CD9" w14:textId="77777777" w:rsidR="005C2042" w:rsidRDefault="000479BF" w:rsidP="000479BF">
      <w:pPr>
        <w:spacing w:before="100" w:beforeAutospacing="1" w:after="100" w:afterAutospacing="1" w:line="240" w:lineRule="auto"/>
        <w:jc w:val="both"/>
        <w:rPr>
          <w:rFonts w:cs="Times New Roman"/>
          <w:szCs w:val="24"/>
        </w:rPr>
      </w:pPr>
      <w:r w:rsidRPr="000479BF">
        <w:rPr>
          <w:rFonts w:cs="Times New Roman"/>
          <w:szCs w:val="24"/>
        </w:rPr>
        <w:t>Following the final phase of Arksey and O'Malley’s (2005) framework, this scoping review synthesizes and reports findings from the selected literature. From the pool of eligible sources, the review team selected 35 articles for detailed analysis. This reporting section draws on those studies to address the research questions and achieve the objectives of the review. The next section prese</w:t>
      </w:r>
      <w:r>
        <w:rPr>
          <w:rFonts w:cs="Times New Roman"/>
          <w:szCs w:val="24"/>
        </w:rPr>
        <w:t>nts the results.</w:t>
      </w:r>
    </w:p>
    <w:p w14:paraId="3DEACD72" w14:textId="77777777" w:rsidR="00CE2E07" w:rsidRDefault="00CE2E07" w:rsidP="000479BF">
      <w:pPr>
        <w:spacing w:before="100" w:beforeAutospacing="1" w:after="100" w:afterAutospacing="1" w:line="240" w:lineRule="auto"/>
        <w:jc w:val="both"/>
        <w:rPr>
          <w:rFonts w:cs="Times New Roman"/>
          <w:b/>
          <w:szCs w:val="24"/>
        </w:rPr>
      </w:pPr>
      <w:r w:rsidRPr="00CE2E07">
        <w:rPr>
          <w:rFonts w:cs="Times New Roman"/>
          <w:b/>
          <w:szCs w:val="24"/>
        </w:rPr>
        <w:t>4.0 Findings</w:t>
      </w:r>
    </w:p>
    <w:p w14:paraId="73D8555E" w14:textId="77777777" w:rsidR="00725EF7" w:rsidRPr="00CE2E07" w:rsidRDefault="00725EF7" w:rsidP="000479BF">
      <w:pPr>
        <w:spacing w:before="100" w:beforeAutospacing="1" w:after="100" w:afterAutospacing="1" w:line="240" w:lineRule="auto"/>
        <w:jc w:val="both"/>
        <w:rPr>
          <w:rFonts w:cs="Times New Roman"/>
          <w:b/>
          <w:szCs w:val="24"/>
        </w:rPr>
      </w:pPr>
      <w:r>
        <w:t>This paper has charted the 35 articles in Table 2. The summary of these articles, pertaining to the initial research questions, are presented below.</w:t>
      </w:r>
    </w:p>
    <w:p w14:paraId="4D4FF7E0" w14:textId="77777777" w:rsidR="00B73861" w:rsidRDefault="00B73861" w:rsidP="00B73861">
      <w:pPr>
        <w:pStyle w:val="Heading3"/>
        <w:rPr>
          <w:sz w:val="24"/>
          <w:szCs w:val="24"/>
        </w:rPr>
      </w:pPr>
      <w:r w:rsidRPr="00CE2E07">
        <w:rPr>
          <w:sz w:val="24"/>
          <w:szCs w:val="24"/>
        </w:rPr>
        <w:t>4.1 What are the purposes of adopting e-government in public procurement?</w:t>
      </w:r>
    </w:p>
    <w:p w14:paraId="0FE5289D" w14:textId="77777777" w:rsidR="00725EF7" w:rsidRDefault="00725EF7" w:rsidP="006463EA">
      <w:pPr>
        <w:jc w:val="both"/>
      </w:pPr>
      <w:r>
        <w:t xml:space="preserve">The purposes of the e-government adoption from the 35 articles have been detailed in Table 2. It is important to note that the </w:t>
      </w:r>
      <w:r w:rsidR="006463EA">
        <w:t xml:space="preserve">public </w:t>
      </w:r>
      <w:r>
        <w:t>procurement entities determined the objectives before the implementation of e-government. These objectives are classified into four groups as follows:</w:t>
      </w:r>
    </w:p>
    <w:p w14:paraId="6553D983" w14:textId="77777777" w:rsidR="004E261A" w:rsidRDefault="004E261A" w:rsidP="006463EA">
      <w:pPr>
        <w:jc w:val="both"/>
      </w:pPr>
    </w:p>
    <w:p w14:paraId="5CCC658F" w14:textId="77777777" w:rsidR="004E261A" w:rsidRDefault="004E261A" w:rsidP="006463EA">
      <w:pPr>
        <w:jc w:val="both"/>
      </w:pPr>
    </w:p>
    <w:p w14:paraId="2860F92A" w14:textId="77777777" w:rsidR="006463EA" w:rsidRDefault="00CE2E07" w:rsidP="006463EA">
      <w:pPr>
        <w:pStyle w:val="NormalWeb"/>
        <w:numPr>
          <w:ilvl w:val="0"/>
          <w:numId w:val="71"/>
        </w:numPr>
        <w:jc w:val="both"/>
      </w:pPr>
      <w:r w:rsidRPr="00CE2E07">
        <w:rPr>
          <w:rStyle w:val="Strong"/>
        </w:rPr>
        <w:lastRenderedPageBreak/>
        <w:t>Enhancing Transparency and Reducing Corruption</w:t>
      </w:r>
      <w:r w:rsidRPr="00CE2E07">
        <w:t xml:space="preserve"> </w:t>
      </w:r>
    </w:p>
    <w:p w14:paraId="2B438E69" w14:textId="77777777" w:rsidR="00CE2E07" w:rsidRPr="00CE2E07" w:rsidRDefault="00CE2E07" w:rsidP="00CE2E07">
      <w:pPr>
        <w:pStyle w:val="NormalWeb"/>
        <w:jc w:val="both"/>
      </w:pPr>
      <w:r w:rsidRPr="00CE2E07">
        <w:t xml:space="preserve">One of the primary motivations for adopting e-government in public procurement is to enhance transparency and curb corruption. Agbeko, </w:t>
      </w:r>
      <w:proofErr w:type="spellStart"/>
      <w:r w:rsidRPr="00CE2E07">
        <w:t>Effah</w:t>
      </w:r>
      <w:proofErr w:type="spellEnd"/>
      <w:r w:rsidRPr="00CE2E07">
        <w:t>, and Boateng (2021) illustrate how inter-organizational systems in Ghana improve visibility and accountability, thereby reducing opportunities for malfeasance. Similarly, Ndlovu and Moyo (2021) show that digital platforms in Southern Africa bolster supply chain transparency, making it harder for corrupt practices to flourish. Zhang and Li (2021) extend this argument by demonstrating how blockchain technologies in China’s procurement systems enhance auditability and deter fraudulent activities, reinforcing the integrity of public procurement processes.</w:t>
      </w:r>
    </w:p>
    <w:p w14:paraId="59BB16ED" w14:textId="77777777" w:rsidR="006463EA" w:rsidRDefault="00CE2E07" w:rsidP="006463EA">
      <w:pPr>
        <w:pStyle w:val="NormalWeb"/>
        <w:numPr>
          <w:ilvl w:val="0"/>
          <w:numId w:val="71"/>
        </w:numPr>
        <w:jc w:val="both"/>
      </w:pPr>
      <w:r w:rsidRPr="00CE2E07">
        <w:rPr>
          <w:rStyle w:val="Strong"/>
        </w:rPr>
        <w:t>Improving Efficiency and Reducing Procurement Cycle Time</w:t>
      </w:r>
      <w:r w:rsidRPr="00CE2E07">
        <w:t xml:space="preserve"> </w:t>
      </w:r>
    </w:p>
    <w:p w14:paraId="796B788E" w14:textId="77777777" w:rsidR="00CE2E07" w:rsidRPr="00CE2E07" w:rsidRDefault="00CE2E07" w:rsidP="00CE2E07">
      <w:pPr>
        <w:pStyle w:val="NormalWeb"/>
        <w:jc w:val="both"/>
      </w:pPr>
      <w:r w:rsidRPr="00CE2E07">
        <w:t xml:space="preserve">Efficiency gains are a widely cited benefit of e-government adoption in procurement. </w:t>
      </w:r>
      <w:proofErr w:type="spellStart"/>
      <w:r w:rsidRPr="00CE2E07">
        <w:t>Albinkhalil</w:t>
      </w:r>
      <w:proofErr w:type="spellEnd"/>
      <w:r w:rsidRPr="00CE2E07">
        <w:t xml:space="preserve"> and </w:t>
      </w:r>
      <w:proofErr w:type="spellStart"/>
      <w:r w:rsidRPr="00CE2E07">
        <w:t>Razzaque</w:t>
      </w:r>
      <w:proofErr w:type="spellEnd"/>
      <w:r w:rsidRPr="00CE2E07">
        <w:t xml:space="preserve"> (2021) report that e-procurement systems improve operational responsiveness and supply chain agility, allowing for faster decision-making. Al-Rashid and Khan (2021) find that digital platforms in Pakistan reduce manual errors and streamline procurement workflows, significantly shortening cycle times. Al-Mutairi and Al-Qahtani (2023) further highlight how digital coordination in Saudi Arabia accelerates logistics and procurement processes, contributing to more timely service delivery.</w:t>
      </w:r>
    </w:p>
    <w:p w14:paraId="2AFCE675" w14:textId="77777777" w:rsidR="006463EA" w:rsidRPr="006463EA" w:rsidRDefault="00CE2E07" w:rsidP="006463EA">
      <w:pPr>
        <w:pStyle w:val="NormalWeb"/>
        <w:numPr>
          <w:ilvl w:val="0"/>
          <w:numId w:val="71"/>
        </w:numPr>
        <w:jc w:val="both"/>
      </w:pPr>
      <w:r w:rsidRPr="006463EA">
        <w:rPr>
          <w:rStyle w:val="Strong"/>
        </w:rPr>
        <w:t>Cost Savings and Better Resource Allocation</w:t>
      </w:r>
      <w:r w:rsidRPr="006463EA">
        <w:t xml:space="preserve"> </w:t>
      </w:r>
    </w:p>
    <w:p w14:paraId="4321EE8B" w14:textId="77777777" w:rsidR="00CE2E07" w:rsidRPr="00CE2E07" w:rsidRDefault="00CE2E07" w:rsidP="00CE2E07">
      <w:pPr>
        <w:pStyle w:val="NormalWeb"/>
        <w:jc w:val="both"/>
      </w:pPr>
      <w:r w:rsidRPr="00CE2E07">
        <w:t xml:space="preserve">E-government systems also contribute to cost savings and more effective resource allocation. Sánchez-Rodríguez, Martínez-Lorente, and Hemsworth (2020) observe that despite initial adoption barriers, SMEs in Spain and the UK benefit from improved procurement efficiency and reduced overheads. Shahin, </w:t>
      </w:r>
      <w:proofErr w:type="spellStart"/>
      <w:r w:rsidRPr="00CE2E07">
        <w:t>Jamkhaneh</w:t>
      </w:r>
      <w:proofErr w:type="spellEnd"/>
      <w:r w:rsidRPr="00CE2E07">
        <w:t>, and Shahin (2022) reinforce this by showing that e-purchasing mechanisms support reform initiatives and lower supply chain costs globally. These findings suggest that digital procurement not only reduces financial waste but also enables more strategic use of public resources.</w:t>
      </w:r>
    </w:p>
    <w:p w14:paraId="07C934C0" w14:textId="77777777" w:rsidR="006463EA" w:rsidRDefault="00CE2E07" w:rsidP="006463EA">
      <w:pPr>
        <w:pStyle w:val="NormalWeb"/>
        <w:numPr>
          <w:ilvl w:val="0"/>
          <w:numId w:val="71"/>
        </w:numPr>
        <w:jc w:val="both"/>
        <w:rPr>
          <w:rStyle w:val="Strong"/>
        </w:rPr>
      </w:pPr>
      <w:r w:rsidRPr="00CE2E07">
        <w:rPr>
          <w:rStyle w:val="Strong"/>
        </w:rPr>
        <w:t>Accountability, Auditability, and Stakeholder Trust</w:t>
      </w:r>
    </w:p>
    <w:p w14:paraId="4CF94C97" w14:textId="77777777" w:rsidR="00CE2E07" w:rsidRPr="00CE2E07" w:rsidRDefault="00CE2E07" w:rsidP="00CE2E07">
      <w:pPr>
        <w:pStyle w:val="NormalWeb"/>
        <w:jc w:val="both"/>
      </w:pPr>
      <w:r w:rsidRPr="00CE2E07">
        <w:t xml:space="preserve"> Digital procurement systems enhance accountability and foster trust among stakeholders. Welch et al. (2005) demonstrate that transparency and responsiveness in U.S. e-government platforms increase citizen trust. </w:t>
      </w:r>
      <w:proofErr w:type="spellStart"/>
      <w:r w:rsidRPr="00CE2E07">
        <w:t>Tumpa</w:t>
      </w:r>
      <w:proofErr w:type="spellEnd"/>
      <w:r w:rsidRPr="00CE2E07">
        <w:t xml:space="preserve"> and </w:t>
      </w:r>
      <w:proofErr w:type="spellStart"/>
      <w:r w:rsidRPr="00CE2E07">
        <w:t>Naeni</w:t>
      </w:r>
      <w:proofErr w:type="spellEnd"/>
      <w:r w:rsidRPr="00CE2E07">
        <w:t xml:space="preserve"> (2025) show that digital tools in project governance improve stakeholder engagement and oversight. Complementing these findings, OECD reports (2021 &amp; 2025) affirm that standardized benchmarks and digital oversight mechanisms build institutional credibility and public confidence in procurement systems.</w:t>
      </w:r>
    </w:p>
    <w:p w14:paraId="12FC2875" w14:textId="77777777" w:rsidR="006463EA" w:rsidRDefault="00CE2E07" w:rsidP="006463EA">
      <w:pPr>
        <w:pStyle w:val="NormalWeb"/>
        <w:numPr>
          <w:ilvl w:val="0"/>
          <w:numId w:val="71"/>
        </w:numPr>
        <w:jc w:val="both"/>
      </w:pPr>
      <w:r w:rsidRPr="00CE2E07">
        <w:rPr>
          <w:rStyle w:val="Strong"/>
        </w:rPr>
        <w:t>Combating Procurement Fraud through Digital Traceability</w:t>
      </w:r>
      <w:r w:rsidRPr="00CE2E07">
        <w:t xml:space="preserve"> </w:t>
      </w:r>
    </w:p>
    <w:p w14:paraId="6EA8BDAF" w14:textId="77777777" w:rsidR="00CE2E07" w:rsidRPr="00CE2E07" w:rsidRDefault="00CE2E07" w:rsidP="00CE2E07">
      <w:pPr>
        <w:pStyle w:val="NormalWeb"/>
        <w:jc w:val="both"/>
      </w:pPr>
      <w:r w:rsidRPr="00CE2E07">
        <w:t xml:space="preserve">Combating procurement fraud is a targeted objective of e-government adoption. Zhang and Li (2021) emphasize that blockchain integration in China’s procurement systems enhances traceability and reduces corruption. Mwangi and Wanjiru (2023) provide a regional perspective by showing how AI-driven analytics in Kenya improve fraud detection and forecasting, enabling </w:t>
      </w:r>
      <w:r w:rsidRPr="00CE2E07">
        <w:lastRenderedPageBreak/>
        <w:t>proactive interventions. These technologies collectively strengthen the integrity of procurement processes by making them more transparent and traceable.</w:t>
      </w:r>
    </w:p>
    <w:p w14:paraId="5A81D0B8" w14:textId="77777777" w:rsidR="006463EA" w:rsidRDefault="00CE2E07" w:rsidP="006463EA">
      <w:pPr>
        <w:pStyle w:val="NormalWeb"/>
        <w:numPr>
          <w:ilvl w:val="0"/>
          <w:numId w:val="71"/>
        </w:numPr>
        <w:jc w:val="both"/>
      </w:pPr>
      <w:r w:rsidRPr="00CE2E07">
        <w:rPr>
          <w:rStyle w:val="Strong"/>
        </w:rPr>
        <w:t>Strategic Sourcing and Supplier Performance</w:t>
      </w:r>
      <w:r w:rsidRPr="00CE2E07">
        <w:t xml:space="preserve"> </w:t>
      </w:r>
    </w:p>
    <w:p w14:paraId="4130FD48" w14:textId="77777777" w:rsidR="00CE2E07" w:rsidRPr="00CE2E07" w:rsidRDefault="00CE2E07" w:rsidP="00CE2E07">
      <w:pPr>
        <w:pStyle w:val="NormalWeb"/>
        <w:jc w:val="both"/>
      </w:pPr>
      <w:r w:rsidRPr="00CE2E07">
        <w:t xml:space="preserve">E-government platforms support strategic sourcing and enhance supplier performance. </w:t>
      </w:r>
      <w:proofErr w:type="spellStart"/>
      <w:r w:rsidRPr="00CE2E07">
        <w:t>Albinkhalil</w:t>
      </w:r>
      <w:proofErr w:type="spellEnd"/>
      <w:r w:rsidRPr="00CE2E07">
        <w:t xml:space="preserve"> and </w:t>
      </w:r>
      <w:proofErr w:type="spellStart"/>
      <w:r w:rsidRPr="00CE2E07">
        <w:t>Razzaque</w:t>
      </w:r>
      <w:proofErr w:type="spellEnd"/>
      <w:r w:rsidRPr="00CE2E07">
        <w:t xml:space="preserve"> (2021) highlight how digital systems improve supply chain responsiveness and enable better supplier coordination. Shahin et al. (2022), replacing Gunasekaran and Ngai (2008), argue that e-purchasing facilitates long-term reform and performance benchmarking, allowing governments to make more informed sourcing decisions. These capabilities contribute to more resilient and accountable procurement ecosystems.</w:t>
      </w:r>
    </w:p>
    <w:p w14:paraId="0F719637" w14:textId="77777777" w:rsidR="006463EA" w:rsidRDefault="00CE2E07" w:rsidP="006463EA">
      <w:pPr>
        <w:pStyle w:val="NormalWeb"/>
        <w:numPr>
          <w:ilvl w:val="0"/>
          <w:numId w:val="71"/>
        </w:numPr>
        <w:jc w:val="both"/>
        <w:rPr>
          <w:rStyle w:val="Strong"/>
        </w:rPr>
      </w:pPr>
      <w:r w:rsidRPr="00CE2E07">
        <w:rPr>
          <w:rStyle w:val="Strong"/>
        </w:rPr>
        <w:t>Promoting Ethical Behavior and Reducing Collusion</w:t>
      </w:r>
    </w:p>
    <w:p w14:paraId="139C7468" w14:textId="77777777" w:rsidR="00CE2E07" w:rsidRPr="00CE2E07" w:rsidRDefault="00CE2E07" w:rsidP="00CE2E07">
      <w:pPr>
        <w:pStyle w:val="NormalWeb"/>
        <w:jc w:val="both"/>
      </w:pPr>
      <w:r w:rsidRPr="00CE2E07">
        <w:t xml:space="preserve"> Digital procurement systems promote ethical behavior and reduce collusion by limiting discretionary practices. Agbeko, </w:t>
      </w:r>
      <w:proofErr w:type="spellStart"/>
      <w:r w:rsidRPr="00CE2E07">
        <w:t>Effah</w:t>
      </w:r>
      <w:proofErr w:type="spellEnd"/>
      <w:r w:rsidRPr="00CE2E07">
        <w:t>, and Boateng (2021) show that transparency mechanisms in Ghana reduce favoritism and enhance procedural fairness. Ejigu (2021) adds that contract management systems in Ethiopia improve compliance and reduce opportunities for collusion, reinforcing ethical standards in public procurement. These findings underscore the normative benefits of digital governance in fostering integrity.</w:t>
      </w:r>
    </w:p>
    <w:p w14:paraId="742A64A3" w14:textId="77777777" w:rsidR="006463EA" w:rsidRDefault="00CE2E07" w:rsidP="006463EA">
      <w:pPr>
        <w:pStyle w:val="NormalWeb"/>
        <w:numPr>
          <w:ilvl w:val="0"/>
          <w:numId w:val="71"/>
        </w:numPr>
        <w:jc w:val="both"/>
      </w:pPr>
      <w:r w:rsidRPr="00CE2E07">
        <w:rPr>
          <w:rStyle w:val="Strong"/>
        </w:rPr>
        <w:t>Strengthening Public Sector Capacity and Service Delivery</w:t>
      </w:r>
    </w:p>
    <w:p w14:paraId="1963BD86" w14:textId="77777777" w:rsidR="00CE2E07" w:rsidRPr="00CE2E07" w:rsidRDefault="006463EA" w:rsidP="00CE2E07">
      <w:pPr>
        <w:pStyle w:val="NormalWeb"/>
        <w:jc w:val="both"/>
      </w:pPr>
      <w:r>
        <w:t>E</w:t>
      </w:r>
      <w:r w:rsidR="00CE2E07" w:rsidRPr="00CE2E07">
        <w:t>-government adoption strengthens public sector capacity and enhances service delivery. UNDP (2022) stresses the importance of institutional readiness and capacity building, particularly in the Global South, where digital reforms can have transformative impacts. Deloitte and VMware (2022) advocate for citizen-centric digital transformation strategies across Asia-Pacific, emphasizing that well-designed e-government systems improve responsiveness and service quality. These insights position e-procurement as a catalyst for broader public sector reform.</w:t>
      </w:r>
    </w:p>
    <w:p w14:paraId="226A7E58" w14:textId="77777777" w:rsidR="00B50C18" w:rsidRDefault="00B50C18" w:rsidP="00162A2B">
      <w:pPr>
        <w:pStyle w:val="Heading3"/>
        <w:jc w:val="both"/>
        <w:rPr>
          <w:sz w:val="24"/>
          <w:szCs w:val="24"/>
        </w:rPr>
      </w:pPr>
      <w:r w:rsidRPr="00E5285A">
        <w:rPr>
          <w:sz w:val="24"/>
          <w:szCs w:val="24"/>
        </w:rPr>
        <w:t>4.2 What types of technologies are used, and in which procurement procedures is e-government implemented?</w:t>
      </w:r>
    </w:p>
    <w:p w14:paraId="6A7DC671" w14:textId="77777777" w:rsidR="00E84966" w:rsidRDefault="00162A2B" w:rsidP="00162A2B">
      <w:pPr>
        <w:jc w:val="both"/>
        <w:rPr>
          <w:szCs w:val="24"/>
        </w:rPr>
      </w:pPr>
      <w:r>
        <w:t>E-government systems now support a wide range of procurement procedures across the 27 countries included in the scoping review. Procuring agencies in nearly all these countries developed digital platforms to secure goods and services efficiently.</w:t>
      </w:r>
    </w:p>
    <w:p w14:paraId="7632BA09" w14:textId="77777777" w:rsidR="00162A2B" w:rsidRDefault="00162A2B" w:rsidP="00162A2B">
      <w:pPr>
        <w:pStyle w:val="NormalWeb"/>
        <w:numPr>
          <w:ilvl w:val="0"/>
          <w:numId w:val="73"/>
        </w:numPr>
        <w:jc w:val="both"/>
      </w:pPr>
      <w:r>
        <w:rPr>
          <w:rStyle w:val="Strong"/>
        </w:rPr>
        <w:t>E-Procurement Platforms and E-Tendering Systems</w:t>
      </w:r>
      <w:r>
        <w:t xml:space="preserve"> </w:t>
      </w:r>
    </w:p>
    <w:p w14:paraId="1317D512" w14:textId="77777777" w:rsidR="00162A2B" w:rsidRDefault="00162A2B" w:rsidP="00162A2B">
      <w:pPr>
        <w:pStyle w:val="NormalWeb"/>
        <w:jc w:val="both"/>
      </w:pPr>
      <w:r>
        <w:t xml:space="preserve">Centralized e-procurement platforms and e-tendering systems are among the most widely adopted technologies in public procurement. </w:t>
      </w:r>
      <w:proofErr w:type="spellStart"/>
      <w:r>
        <w:t>Albinkhalil</w:t>
      </w:r>
      <w:proofErr w:type="spellEnd"/>
      <w:r>
        <w:t xml:space="preserve"> and </w:t>
      </w:r>
      <w:proofErr w:type="spellStart"/>
      <w:r>
        <w:t>Razzaque</w:t>
      </w:r>
      <w:proofErr w:type="spellEnd"/>
      <w:r>
        <w:t xml:space="preserve"> (2021) underscore their role in enhancing supply chain responsiveness and operational efficiency, particularly through centralized coordination and digital workflows. Shahin, </w:t>
      </w:r>
      <w:proofErr w:type="spellStart"/>
      <w:r>
        <w:t>Jamkhaneh</w:t>
      </w:r>
      <w:proofErr w:type="spellEnd"/>
      <w:r>
        <w:t>, and Shahin (2022) further elaborate on how e-purchasing systems automate key procurement procedures such as bid submission and contract awards, thereby streamlining the entire tendering process. These platforms reduce administrative burdens and improve procedural transparency.</w:t>
      </w:r>
    </w:p>
    <w:p w14:paraId="1455D94D" w14:textId="77777777" w:rsidR="00162A2B" w:rsidRDefault="00162A2B" w:rsidP="00162A2B">
      <w:pPr>
        <w:pStyle w:val="NormalWeb"/>
        <w:numPr>
          <w:ilvl w:val="0"/>
          <w:numId w:val="73"/>
        </w:numPr>
        <w:jc w:val="both"/>
      </w:pPr>
      <w:r>
        <w:rPr>
          <w:rStyle w:val="Strong"/>
        </w:rPr>
        <w:lastRenderedPageBreak/>
        <w:t>Enterprise Resource Planning (ERP) and E-Sourcing Tools</w:t>
      </w:r>
      <w:r>
        <w:t xml:space="preserve"> </w:t>
      </w:r>
    </w:p>
    <w:p w14:paraId="3C7E1692" w14:textId="77777777" w:rsidR="00162A2B" w:rsidRDefault="00162A2B" w:rsidP="00162A2B">
      <w:pPr>
        <w:pStyle w:val="NormalWeb"/>
        <w:jc w:val="both"/>
      </w:pPr>
      <w:r>
        <w:t>ERP systems integrated with e-sourcing tools are increasingly used to support strategic procurement functions. Sánchez-Rodríguez, Martínez-Lorente, and Hemsworth (2020) highlight how ERP-linked platforms enable SMEs to conduct supplier selection and performance tracking more effectively, contributing to procurement efficiency despite resource constraints. Shahin et al. (2022) reinforce this by showing that integrated systems not only optimize costs but also support broader reform initiatives. These technologies allow for better alignment between procurement decisions and organizational goals.</w:t>
      </w:r>
    </w:p>
    <w:p w14:paraId="4C34B056" w14:textId="77777777" w:rsidR="00162A2B" w:rsidRDefault="00162A2B" w:rsidP="00162A2B">
      <w:pPr>
        <w:pStyle w:val="NormalWeb"/>
        <w:numPr>
          <w:ilvl w:val="0"/>
          <w:numId w:val="73"/>
        </w:numPr>
        <w:jc w:val="both"/>
        <w:rPr>
          <w:rStyle w:val="Strong"/>
        </w:rPr>
      </w:pPr>
      <w:r>
        <w:rPr>
          <w:rStyle w:val="Strong"/>
        </w:rPr>
        <w:t>Web-Based Procurement Portals and E-Auctions</w:t>
      </w:r>
    </w:p>
    <w:p w14:paraId="1C5DB028" w14:textId="77777777" w:rsidR="00162A2B" w:rsidRDefault="00162A2B" w:rsidP="00162A2B">
      <w:pPr>
        <w:pStyle w:val="NormalWeb"/>
        <w:jc w:val="both"/>
      </w:pPr>
      <w:r>
        <w:t xml:space="preserve"> Web-based procurement portals and e-auctions have become essential tools for promoting competitive bidding and supplier access. Al-Rashid and Khan (2021) describe how digital governance platforms host these portals, enabling transparent and inclusive procurement processes. The OECD reports (2021 &amp; 2025) affirm that e-auctions enhance market competitiveness and reduce information asymmetry, allowing suppliers to participate more equitably. These tools democratize access to public contracts and foster fair competition.</w:t>
      </w:r>
    </w:p>
    <w:p w14:paraId="513BAAFF" w14:textId="77777777" w:rsidR="00162A2B" w:rsidRDefault="00162A2B" w:rsidP="00162A2B">
      <w:pPr>
        <w:pStyle w:val="NormalWeb"/>
        <w:numPr>
          <w:ilvl w:val="0"/>
          <w:numId w:val="73"/>
        </w:numPr>
        <w:jc w:val="both"/>
      </w:pPr>
      <w:r>
        <w:rPr>
          <w:rStyle w:val="Strong"/>
        </w:rPr>
        <w:t>Online Bidding Systems and Digital Contract Management</w:t>
      </w:r>
      <w:r>
        <w:t xml:space="preserve"> </w:t>
      </w:r>
    </w:p>
    <w:p w14:paraId="791BE8E0" w14:textId="77777777" w:rsidR="00162A2B" w:rsidRDefault="00162A2B" w:rsidP="00162A2B">
      <w:pPr>
        <w:pStyle w:val="NormalWeb"/>
        <w:jc w:val="both"/>
      </w:pPr>
      <w:r>
        <w:t>Online bidding systems and digital contract management tools are increasingly used to improve post-award procurement procedures. Ejigu (2021) illustrates how Ethiopia’s federal procurement services use digital contract management to ensure compliance and execution fidelity. Mwangi and Wanjiru (2023) show that AI-driven platforms support fraud detection and forecasting, enhancing oversight during contract implementation. These technologies strengthen accountability and reduce risks associated with contract mismanagement.</w:t>
      </w:r>
    </w:p>
    <w:p w14:paraId="3EC1DD53" w14:textId="77777777" w:rsidR="00162A2B" w:rsidRDefault="00162A2B" w:rsidP="00162A2B">
      <w:pPr>
        <w:pStyle w:val="NormalWeb"/>
        <w:numPr>
          <w:ilvl w:val="0"/>
          <w:numId w:val="73"/>
        </w:numPr>
        <w:jc w:val="both"/>
      </w:pPr>
      <w:r>
        <w:rPr>
          <w:rStyle w:val="Strong"/>
        </w:rPr>
        <w:t>E-Invoicing and Supplier Registration Databases</w:t>
      </w:r>
      <w:r>
        <w:t xml:space="preserve"> </w:t>
      </w:r>
    </w:p>
    <w:p w14:paraId="2E548E0C" w14:textId="77777777" w:rsidR="00162A2B" w:rsidRDefault="00162A2B" w:rsidP="00162A2B">
      <w:pPr>
        <w:pStyle w:val="NormalWeb"/>
        <w:jc w:val="both"/>
      </w:pPr>
      <w:r>
        <w:t xml:space="preserve">E-invoicing systems and supplier registration databases play a critical role in improving payment processes and vendor compliance. Al-Rashid and Khan (2021) emphasize that e-invoicing reduces manual errors and accelerates payment cycles, contributing to operational efficiency. Agbeko, </w:t>
      </w:r>
      <w:proofErr w:type="spellStart"/>
      <w:r>
        <w:t>Effah</w:t>
      </w:r>
      <w:proofErr w:type="spellEnd"/>
      <w:r>
        <w:t>, and Boateng (2021) demonstrate how supplier databases in Ghana enhance transparency and ensure that vendors meet regulatory standards. These tools support financial integrity and streamline supplier management.</w:t>
      </w:r>
    </w:p>
    <w:p w14:paraId="7CDA347A" w14:textId="77777777" w:rsidR="00162A2B" w:rsidRDefault="00162A2B" w:rsidP="00162A2B">
      <w:pPr>
        <w:pStyle w:val="NormalWeb"/>
        <w:numPr>
          <w:ilvl w:val="0"/>
          <w:numId w:val="73"/>
        </w:numPr>
        <w:jc w:val="both"/>
      </w:pPr>
      <w:r>
        <w:rPr>
          <w:rStyle w:val="Strong"/>
        </w:rPr>
        <w:t>Integrated Financial Management Information Systems (IFMIS)</w:t>
      </w:r>
      <w:r>
        <w:t xml:space="preserve"> </w:t>
      </w:r>
    </w:p>
    <w:p w14:paraId="5A1C2F85" w14:textId="77777777" w:rsidR="00162A2B" w:rsidRDefault="00162A2B" w:rsidP="00162A2B">
      <w:pPr>
        <w:pStyle w:val="NormalWeb"/>
        <w:jc w:val="both"/>
      </w:pPr>
      <w:r>
        <w:t>IFMIS technologies serve as foundational systems that link procurement with budgeting and financial oversight. UNDP (2022) and Deloitte &amp; VMware (2022) position IFMIS as essential for real-time tracking and fiscal alignment, especially in contexts focused on capacity building and institutional reform. These systems enable governments to monitor expenditures, enforce budgetary discipline, and integrate procurement decisions with broader financial strategies. IFMIS thus plays a pivotal role in ensuring coherence between procurement and public finance management.</w:t>
      </w:r>
    </w:p>
    <w:p w14:paraId="0657DD42" w14:textId="77777777" w:rsidR="00B50C18" w:rsidRPr="00AA2912" w:rsidRDefault="00B50C18" w:rsidP="00AA2912">
      <w:pPr>
        <w:rPr>
          <w:b/>
        </w:rPr>
      </w:pPr>
      <w:r w:rsidRPr="00AA2912">
        <w:rPr>
          <w:b/>
        </w:rPr>
        <w:lastRenderedPageBreak/>
        <w:t>Procurement Procedures in Which E-Government Is Implemented</w:t>
      </w:r>
    </w:p>
    <w:p w14:paraId="73CFDB94" w14:textId="77777777" w:rsidR="0016365E" w:rsidRDefault="0016365E" w:rsidP="0016365E">
      <w:pPr>
        <w:pStyle w:val="NormalWeb"/>
        <w:numPr>
          <w:ilvl w:val="0"/>
          <w:numId w:val="74"/>
        </w:numPr>
        <w:jc w:val="both"/>
      </w:pPr>
      <w:r>
        <w:rPr>
          <w:rStyle w:val="Strong"/>
        </w:rPr>
        <w:t>Tendering and Bid Evaluation</w:t>
      </w:r>
      <w:r>
        <w:t xml:space="preserve"> </w:t>
      </w:r>
    </w:p>
    <w:p w14:paraId="0827BC39" w14:textId="77777777" w:rsidR="0016365E" w:rsidRDefault="0016365E" w:rsidP="0016365E">
      <w:pPr>
        <w:pStyle w:val="NormalWeb"/>
        <w:jc w:val="both"/>
      </w:pPr>
      <w:r>
        <w:t xml:space="preserve">E-government platforms have significantly transformed tendering and bid evaluation processes by automating key stages and minimizing procedural delays. </w:t>
      </w:r>
      <w:proofErr w:type="spellStart"/>
      <w:r>
        <w:t>Albinkhalil</w:t>
      </w:r>
      <w:proofErr w:type="spellEnd"/>
      <w:r>
        <w:t xml:space="preserve"> and </w:t>
      </w:r>
      <w:proofErr w:type="spellStart"/>
      <w:r>
        <w:t>Razzaque</w:t>
      </w:r>
      <w:proofErr w:type="spellEnd"/>
      <w:r>
        <w:t xml:space="preserve"> (2021) demonstrate that centralized e-procurement systems streamline the evaluation of bids, ensuring timely and equitable outcomes. These platforms reduce manual bottlenecks and enhance procedural fairness. Al-Rashid and Khan (2021) further emphasize that digital tools mitigate human bias and accelerate decision-making, thereby improving the integrity and efficiency of public procurement.</w:t>
      </w:r>
    </w:p>
    <w:p w14:paraId="776C8921" w14:textId="77777777" w:rsidR="0016365E" w:rsidRDefault="0016365E" w:rsidP="0016365E">
      <w:pPr>
        <w:pStyle w:val="NormalWeb"/>
        <w:numPr>
          <w:ilvl w:val="0"/>
          <w:numId w:val="74"/>
        </w:numPr>
        <w:jc w:val="both"/>
      </w:pPr>
      <w:r>
        <w:rPr>
          <w:rStyle w:val="Strong"/>
        </w:rPr>
        <w:t>Contract Award and Post-Award Monitoring</w:t>
      </w:r>
      <w:r>
        <w:t xml:space="preserve"> </w:t>
      </w:r>
    </w:p>
    <w:p w14:paraId="19D5C08F" w14:textId="77777777" w:rsidR="0016365E" w:rsidRDefault="0016365E" w:rsidP="0016365E">
      <w:pPr>
        <w:pStyle w:val="NormalWeb"/>
        <w:jc w:val="both"/>
      </w:pPr>
      <w:r>
        <w:t>Digital technologies also play a vital role in contract award and post-award monitoring. Ejigu (2021) highlights the use of digital dashboards in Ethiopia’s federal procurement services, which enable real-time tracking of contract milestones and compliance indicators. Mwangi and Wanjiru (2023) show that AI-driven platforms in Kenya support fraud detection and predictive analytics, strengthening oversight during contract implementation. These innovations ensure that awarded contracts are executed transparently and in alignment with procurement objectives.</w:t>
      </w:r>
    </w:p>
    <w:p w14:paraId="3848F44F" w14:textId="77777777" w:rsidR="0016365E" w:rsidRDefault="0016365E" w:rsidP="0016365E">
      <w:pPr>
        <w:pStyle w:val="NormalWeb"/>
        <w:numPr>
          <w:ilvl w:val="0"/>
          <w:numId w:val="74"/>
        </w:numPr>
        <w:jc w:val="both"/>
        <w:rPr>
          <w:rStyle w:val="Strong"/>
        </w:rPr>
      </w:pPr>
      <w:r>
        <w:rPr>
          <w:rStyle w:val="Strong"/>
        </w:rPr>
        <w:t>Supplier Registration and Prequalification</w:t>
      </w:r>
    </w:p>
    <w:p w14:paraId="61D143AD" w14:textId="77777777" w:rsidR="0016365E" w:rsidRDefault="0016365E" w:rsidP="0016365E">
      <w:pPr>
        <w:pStyle w:val="NormalWeb"/>
        <w:jc w:val="both"/>
      </w:pPr>
      <w:r>
        <w:t xml:space="preserve"> E-government systems enhance supplier registration and prequalification by introducing automated vetting and centralized databases. Agbeko, </w:t>
      </w:r>
      <w:proofErr w:type="spellStart"/>
      <w:r>
        <w:t>Effah</w:t>
      </w:r>
      <w:proofErr w:type="spellEnd"/>
      <w:r>
        <w:t>, and Boateng (2021) illustrate how Ghana’s digital supplier registries improve transparency and reduce favoritism in vendor selection. UNDP (2022) underscores the importance of institutional readiness and digital infrastructure in supporting ethical procurement practices. These systems ensure that only qualified and compliant suppliers participate in public tenders, thereby reinforcing procurement integrity.</w:t>
      </w:r>
    </w:p>
    <w:p w14:paraId="341E40E7" w14:textId="77777777" w:rsidR="0016365E" w:rsidRDefault="0016365E" w:rsidP="0016365E">
      <w:pPr>
        <w:pStyle w:val="NormalWeb"/>
        <w:numPr>
          <w:ilvl w:val="0"/>
          <w:numId w:val="74"/>
        </w:numPr>
        <w:jc w:val="both"/>
      </w:pPr>
      <w:r>
        <w:rPr>
          <w:rStyle w:val="Strong"/>
        </w:rPr>
        <w:t>Bid Submission and Invoice Processing</w:t>
      </w:r>
      <w:r>
        <w:t xml:space="preserve"> </w:t>
      </w:r>
    </w:p>
    <w:p w14:paraId="07ACBDD4" w14:textId="77777777" w:rsidR="0016365E" w:rsidRDefault="0016365E" w:rsidP="0016365E">
      <w:pPr>
        <w:pStyle w:val="NormalWeb"/>
        <w:jc w:val="both"/>
      </w:pPr>
      <w:r>
        <w:t>Secure digital platforms have streamlined bid submission and invoice processing, reducing administrative burdens and improving financial accountability. Al-Rashid and Khan (2021) describe how e-government systems facilitate encrypted bid uploads and automated invoice validation, minimizing errors and delays. OECD reports (2021 &amp; 2025) confirm that these tools enhance financial transparency and build supplier trust by ensuring timely payments and clear documentation. Such systems contribute to a more reliable and responsive procurement environment.</w:t>
      </w:r>
    </w:p>
    <w:p w14:paraId="08FB34AD" w14:textId="77777777" w:rsidR="0016365E" w:rsidRDefault="0016365E" w:rsidP="0016365E">
      <w:pPr>
        <w:pStyle w:val="NormalWeb"/>
        <w:numPr>
          <w:ilvl w:val="0"/>
          <w:numId w:val="74"/>
        </w:numPr>
        <w:jc w:val="both"/>
      </w:pPr>
      <w:r>
        <w:rPr>
          <w:rStyle w:val="Strong"/>
        </w:rPr>
        <w:t>Procurement Planning and Budgeting</w:t>
      </w:r>
      <w:r>
        <w:t xml:space="preserve"> </w:t>
      </w:r>
    </w:p>
    <w:p w14:paraId="28208F57" w14:textId="77777777" w:rsidR="0016365E" w:rsidRDefault="0016365E" w:rsidP="0016365E">
      <w:pPr>
        <w:pStyle w:val="NormalWeb"/>
        <w:jc w:val="both"/>
      </w:pPr>
      <w:r>
        <w:t xml:space="preserve">E-government technologies support procurement planning and budgeting by integrating procurement activities with broader fiscal frameworks. UNDP (2022) and Deloitte &amp; VMware (2022) show that digital platforms enable data-driven planning, allowing governments to align procurement decisions with development goals and budgetary constraints. These systems facilitate </w:t>
      </w:r>
      <w:r>
        <w:lastRenderedPageBreak/>
        <w:t>real-time tracking of expenditures and promote strategic resource allocation, especially in contexts focused on institutional reform and capacity building.</w:t>
      </w:r>
    </w:p>
    <w:p w14:paraId="0427C2D1" w14:textId="77777777" w:rsidR="0016365E" w:rsidRDefault="0016365E" w:rsidP="0016365E">
      <w:pPr>
        <w:pStyle w:val="NormalWeb"/>
        <w:numPr>
          <w:ilvl w:val="0"/>
          <w:numId w:val="74"/>
        </w:numPr>
        <w:jc w:val="both"/>
        <w:rPr>
          <w:rStyle w:val="Strong"/>
        </w:rPr>
      </w:pPr>
      <w:r>
        <w:rPr>
          <w:rStyle w:val="Strong"/>
        </w:rPr>
        <w:t>Auditing and Compliance Oversight</w:t>
      </w:r>
    </w:p>
    <w:p w14:paraId="046986F9" w14:textId="77777777" w:rsidR="0016365E" w:rsidRDefault="0016365E" w:rsidP="0016365E">
      <w:pPr>
        <w:pStyle w:val="NormalWeb"/>
        <w:jc w:val="both"/>
      </w:pPr>
      <w:r>
        <w:t>Auditing and compliance oversight have been strengthened through the adoption of advanced digital tools. Zhang and Li (2021) demonstrate that blockchain technologies enhance auditability by creating immutable records of procurement transactions, thereby deterring corruption. Welch et al. (2005) show that transparency and responsiveness in digital systems foster citizen trust and institutional accountability. These technologies provide robust mechanisms for monitoring procurement activities and ensuring adherence to regulatory standards.</w:t>
      </w:r>
    </w:p>
    <w:p w14:paraId="5F6BB707" w14:textId="77777777" w:rsidR="000E7AA1" w:rsidRDefault="009658B5" w:rsidP="000E7AA1">
      <w:pPr>
        <w:pStyle w:val="NormalWeb"/>
        <w:jc w:val="both"/>
        <w:rPr>
          <w:rStyle w:val="Strong"/>
        </w:rPr>
      </w:pPr>
      <w:r w:rsidRPr="00B50C18">
        <w:rPr>
          <w:rStyle w:val="Strong"/>
        </w:rPr>
        <w:t>4.3 What is known about the adoption and acceptance factors of e-government in public procurement?</w:t>
      </w:r>
    </w:p>
    <w:p w14:paraId="425966B4" w14:textId="77777777" w:rsidR="0016365E" w:rsidRPr="00B50C18" w:rsidRDefault="0016365E" w:rsidP="00956501">
      <w:pPr>
        <w:pStyle w:val="NormalWeb"/>
        <w:jc w:val="both"/>
        <w:rPr>
          <w:rStyle w:val="Strong"/>
        </w:rPr>
      </w:pPr>
      <w:r>
        <w:t xml:space="preserve">For this section, factors that influence the adoption and acceptance of e-government in the public procurement were reviewed. The main aim was to provide a better understanding of the characteristics and dimensions that can lead to the success and sustainability of the e-government implementation. </w:t>
      </w:r>
    </w:p>
    <w:p w14:paraId="7AC5D517" w14:textId="77777777" w:rsidR="00956501" w:rsidRDefault="00956501" w:rsidP="004607F0">
      <w:pPr>
        <w:pStyle w:val="NormalWeb"/>
        <w:numPr>
          <w:ilvl w:val="0"/>
          <w:numId w:val="75"/>
        </w:numPr>
        <w:jc w:val="both"/>
        <w:rPr>
          <w:rStyle w:val="Strong"/>
        </w:rPr>
      </w:pPr>
      <w:r>
        <w:rPr>
          <w:rStyle w:val="Strong"/>
        </w:rPr>
        <w:t>Institutional and Policy Support</w:t>
      </w:r>
    </w:p>
    <w:p w14:paraId="128CBB0F" w14:textId="77777777" w:rsidR="00956501" w:rsidRDefault="00956501" w:rsidP="00956501">
      <w:pPr>
        <w:pStyle w:val="NormalWeb"/>
        <w:jc w:val="both"/>
      </w:pPr>
      <w:r>
        <w:t>Institutional and policy support is a foundational determinant of successful e-government adoption in public procurement. UNDP (2022) underscores the importance of institutional readiness, which includes leadership commitment, robust regulatory frameworks, and adequate infrastructure. These elements ensure that digital reforms are not only technically feasible but also politically and administratively sustainable. Deloitte &amp; VMware (2022) reinforce this view by linking procurement digitization to broader public sector reform. They argue that e-government initiatives thrive when embedded within national development strategies and citizen-centric governance models, ensuring alignment with long-term policy goals and public service delivery priorities.</w:t>
      </w:r>
    </w:p>
    <w:p w14:paraId="3BF0F0E9" w14:textId="77777777" w:rsidR="00956501" w:rsidRDefault="00956501" w:rsidP="004607F0">
      <w:pPr>
        <w:pStyle w:val="NormalWeb"/>
        <w:numPr>
          <w:ilvl w:val="0"/>
          <w:numId w:val="75"/>
        </w:numPr>
        <w:jc w:val="both"/>
      </w:pPr>
      <w:r>
        <w:rPr>
          <w:rStyle w:val="Strong"/>
        </w:rPr>
        <w:t>Technological Infrastructure and System Reliability</w:t>
      </w:r>
      <w:r>
        <w:t xml:space="preserve"> </w:t>
      </w:r>
    </w:p>
    <w:p w14:paraId="2556F8E8" w14:textId="77777777" w:rsidR="00956501" w:rsidRDefault="00956501" w:rsidP="00956501">
      <w:pPr>
        <w:pStyle w:val="NormalWeb"/>
        <w:jc w:val="both"/>
      </w:pPr>
      <w:r>
        <w:t>Reliable technological infrastructure is critical for the effective implementation of e-government systems. Al-Khatib and Abu-</w:t>
      </w:r>
      <w:proofErr w:type="spellStart"/>
      <w:r>
        <w:t>Shanab</w:t>
      </w:r>
      <w:proofErr w:type="spellEnd"/>
      <w:r>
        <w:t xml:space="preserve"> (2019) demonstrate that ICT readiness—comprising connectivity, system integration, and technical capacity—is a strong predictor of e-procurement success in Jordan. Without stable and interoperable systems, digital procurement platforms risk failure or underutilization. Tsegaye and Kebede (2022) add that infrastructure and leadership support are particularly vital in Ethiopia’s decentralized procurement environments, where uneven access to technology and limited technical expertise can hinder adoption. These findings highlight the need for robust and scalable infrastructure to support digital transformation.</w:t>
      </w:r>
    </w:p>
    <w:p w14:paraId="1497A317" w14:textId="77777777" w:rsidR="004607F0" w:rsidRDefault="00956501" w:rsidP="004607F0">
      <w:pPr>
        <w:pStyle w:val="NormalWeb"/>
        <w:numPr>
          <w:ilvl w:val="0"/>
          <w:numId w:val="75"/>
        </w:numPr>
        <w:jc w:val="both"/>
      </w:pPr>
      <w:r>
        <w:rPr>
          <w:rStyle w:val="Strong"/>
        </w:rPr>
        <w:t>User Competence and Training</w:t>
      </w:r>
      <w:r>
        <w:t xml:space="preserve"> </w:t>
      </w:r>
    </w:p>
    <w:p w14:paraId="185875C9" w14:textId="77777777" w:rsidR="00956501" w:rsidRDefault="00956501" w:rsidP="00956501">
      <w:pPr>
        <w:pStyle w:val="NormalWeb"/>
        <w:jc w:val="both"/>
      </w:pPr>
      <w:r>
        <w:t xml:space="preserve">User competence and training are essential for the acceptance and sustained use of e-government systems. Kassa and Tadesse (2021) identify lack of training and resistance to change as major </w:t>
      </w:r>
      <w:r>
        <w:lastRenderedPageBreak/>
        <w:t>barriers to e-government implementation in Ethiopia, where users often struggle with unfamiliar digital tools. UNDP (2022) emphasizes the role of capacity-building initiatives in improving digital literacy and institutional competence, particularly in regions across the Global South. Training programs that target both technical skills and change management can help overcome resistance and foster a culture of digital engagement within procurement agencies.</w:t>
      </w:r>
    </w:p>
    <w:p w14:paraId="14AB5DFD" w14:textId="77777777" w:rsidR="004607F0" w:rsidRDefault="00956501" w:rsidP="004607F0">
      <w:pPr>
        <w:pStyle w:val="NormalWeb"/>
        <w:numPr>
          <w:ilvl w:val="0"/>
          <w:numId w:val="75"/>
        </w:numPr>
        <w:jc w:val="both"/>
        <w:rPr>
          <w:rStyle w:val="Strong"/>
        </w:rPr>
      </w:pPr>
      <w:r>
        <w:rPr>
          <w:rStyle w:val="Strong"/>
        </w:rPr>
        <w:t>Perceived Benefits and Ease of Use</w:t>
      </w:r>
    </w:p>
    <w:p w14:paraId="0D416EB5" w14:textId="77777777" w:rsidR="00956501" w:rsidRDefault="00956501" w:rsidP="00956501">
      <w:pPr>
        <w:pStyle w:val="NormalWeb"/>
        <w:jc w:val="both"/>
      </w:pPr>
      <w:r>
        <w:t xml:space="preserve">The perceived benefits and usability of e-government platforms significantly influence user acceptance. Welch et al. (2005) show that transparency and responsiveness in digital systems enhance user trust and satisfaction in the U.S. context, suggesting that users are more likely to embrace technologies that deliver clear value. </w:t>
      </w:r>
      <w:proofErr w:type="spellStart"/>
      <w:r>
        <w:t>Albinkhalil</w:t>
      </w:r>
      <w:proofErr w:type="spellEnd"/>
      <w:r>
        <w:t xml:space="preserve"> and </w:t>
      </w:r>
      <w:proofErr w:type="spellStart"/>
      <w:r>
        <w:t>Razzaque</w:t>
      </w:r>
      <w:proofErr w:type="spellEnd"/>
      <w:r>
        <w:t xml:space="preserve"> (2021) support this by demonstrating that operational efficiency and supply chain responsiveness contribute to positive user perceptions globally. When systems are intuitive and visibly improve procurement outcomes, stakeholders are more inclined to adopt and advocate for their continued use.</w:t>
      </w:r>
    </w:p>
    <w:p w14:paraId="2240C749" w14:textId="77777777" w:rsidR="004607F0" w:rsidRDefault="00956501" w:rsidP="004607F0">
      <w:pPr>
        <w:pStyle w:val="NormalWeb"/>
        <w:numPr>
          <w:ilvl w:val="0"/>
          <w:numId w:val="75"/>
        </w:numPr>
        <w:jc w:val="both"/>
      </w:pPr>
      <w:r>
        <w:rPr>
          <w:rStyle w:val="Strong"/>
        </w:rPr>
        <w:t>Trust and Security Concerns</w:t>
      </w:r>
      <w:r>
        <w:t xml:space="preserve"> </w:t>
      </w:r>
    </w:p>
    <w:p w14:paraId="2A29F178" w14:textId="77777777" w:rsidR="00956501" w:rsidRDefault="00956501" w:rsidP="00956501">
      <w:pPr>
        <w:pStyle w:val="NormalWeb"/>
        <w:jc w:val="both"/>
      </w:pPr>
      <w:r>
        <w:t>Trust and security are pivotal in shaping user attitudes toward e-government platforms. Kim and Lee (2021) find that trust mediates the relationship between platform use and user satisfaction in South Korea, indicating that perceived security and reliability are central to adoption. Zhang and Li (2021) show that blockchain technologies enhance auditability and reduce corruption, thereby improving stakeholder confidence in digital procurement systems. These technologies offer secure, transparent environments that protect sensitive data and ensure procedural integrity, which are crucial for building long-term trust among users and suppliers.</w:t>
      </w:r>
    </w:p>
    <w:p w14:paraId="26215A0B" w14:textId="77777777" w:rsidR="004607F0" w:rsidRDefault="00956501" w:rsidP="004607F0">
      <w:pPr>
        <w:pStyle w:val="NormalWeb"/>
        <w:numPr>
          <w:ilvl w:val="0"/>
          <w:numId w:val="75"/>
        </w:numPr>
        <w:jc w:val="both"/>
        <w:rPr>
          <w:rStyle w:val="Strong"/>
        </w:rPr>
      </w:pPr>
      <w:r>
        <w:rPr>
          <w:rStyle w:val="Strong"/>
        </w:rPr>
        <w:t>Cultural and Behavioral Factors</w:t>
      </w:r>
    </w:p>
    <w:p w14:paraId="68881C7A" w14:textId="77777777" w:rsidR="00956501" w:rsidRDefault="00956501" w:rsidP="00956501">
      <w:pPr>
        <w:pStyle w:val="NormalWeb"/>
        <w:jc w:val="both"/>
      </w:pPr>
      <w:r>
        <w:t>Cultural and behavioral factors can either facilitate or hinder the adoption of e-government systems. Al-Mutairi, Naser, and Fayez (2018) highlight cultural, technical, and organizational barriers in Kuwait, including resistance to change and limited digital literacy, which slow down implementation efforts. Chikuta and Banda (2022) reveal that digital readiness in Malawi is constrained by behavioral resistance and infrastructural gaps, emphasizing the need for context-sensitive approaches. These findings suggest that successful adoption requires not only technological solutions but also cultural adaptation and behavioral change strategies tailored to local realities.</w:t>
      </w:r>
    </w:p>
    <w:p w14:paraId="48B97546" w14:textId="77777777" w:rsidR="00B50C18" w:rsidRDefault="00B50C18" w:rsidP="00B50C18">
      <w:pPr>
        <w:pStyle w:val="Heading3"/>
      </w:pPr>
      <w:r>
        <w:t>4.4 What impacts arise from e-government services in the public procurement sector?</w:t>
      </w:r>
    </w:p>
    <w:p w14:paraId="0DD4C910" w14:textId="77777777" w:rsidR="00A548CB" w:rsidRDefault="00A548CB" w:rsidP="00A548CB">
      <w:pPr>
        <w:jc w:val="both"/>
      </w:pPr>
      <w:r>
        <w:t>There were a number of articles that scrutinized the impact of e-government adoption in public procurement. The studies pointed out the following effects of e-government adoption.</w:t>
      </w:r>
    </w:p>
    <w:p w14:paraId="37321AFE" w14:textId="77777777" w:rsidR="00AA2912" w:rsidRDefault="00AA2912" w:rsidP="00A548CB">
      <w:pPr>
        <w:jc w:val="both"/>
      </w:pPr>
    </w:p>
    <w:p w14:paraId="1842543F" w14:textId="77777777" w:rsidR="00AA2912" w:rsidRDefault="00AA2912" w:rsidP="00A548CB">
      <w:pPr>
        <w:jc w:val="both"/>
      </w:pPr>
    </w:p>
    <w:p w14:paraId="43A6C3C9" w14:textId="77777777" w:rsidR="00A548CB" w:rsidRDefault="004607F0" w:rsidP="00A548CB">
      <w:pPr>
        <w:pStyle w:val="NormalWeb"/>
        <w:numPr>
          <w:ilvl w:val="0"/>
          <w:numId w:val="76"/>
        </w:numPr>
        <w:jc w:val="both"/>
      </w:pPr>
      <w:r>
        <w:rPr>
          <w:rStyle w:val="Strong"/>
        </w:rPr>
        <w:lastRenderedPageBreak/>
        <w:t>Improved Transparency and Reduced Corruption</w:t>
      </w:r>
      <w:r>
        <w:t xml:space="preserve"> </w:t>
      </w:r>
    </w:p>
    <w:p w14:paraId="6FB1DA1F" w14:textId="77777777" w:rsidR="004607F0" w:rsidRDefault="004607F0" w:rsidP="00A548CB">
      <w:pPr>
        <w:pStyle w:val="NormalWeb"/>
        <w:jc w:val="both"/>
      </w:pPr>
      <w:r>
        <w:t xml:space="preserve">E-government systems have significantly enhanced transparency and curbed corruption in public procurement. Agbeko, </w:t>
      </w:r>
      <w:proofErr w:type="spellStart"/>
      <w:r>
        <w:t>Effah</w:t>
      </w:r>
      <w:proofErr w:type="spellEnd"/>
      <w:r>
        <w:t>, and Boateng (2021) demonstrate that inter-organizational platforms in Ghana increase visibility and accountability, making procurement processes more open to scrutiny. Ndlovu and Moyo (2021) show that digital platforms in Southern Africa reduce opacity in supply chains, thereby limiting opportunities for corrupt practices. Zhang and Li (2021) add a technological dimension by illustrating how blockchain integration in China’s procurement systems improves auditability and deters fraud, reinforcing institutional integrity.</w:t>
      </w:r>
    </w:p>
    <w:p w14:paraId="1509CAE1" w14:textId="77777777" w:rsidR="00A548CB" w:rsidRDefault="004607F0" w:rsidP="00A548CB">
      <w:pPr>
        <w:pStyle w:val="NormalWeb"/>
        <w:numPr>
          <w:ilvl w:val="0"/>
          <w:numId w:val="76"/>
        </w:numPr>
        <w:jc w:val="both"/>
      </w:pPr>
      <w:r>
        <w:rPr>
          <w:rStyle w:val="Strong"/>
        </w:rPr>
        <w:t>Increased Efficiency and Reduced Procurement Cycle Time</w:t>
      </w:r>
      <w:r>
        <w:t xml:space="preserve"> </w:t>
      </w:r>
    </w:p>
    <w:p w14:paraId="33B8D7B4" w14:textId="77777777" w:rsidR="004607F0" w:rsidRDefault="004607F0" w:rsidP="00A548CB">
      <w:pPr>
        <w:pStyle w:val="NormalWeb"/>
        <w:jc w:val="both"/>
      </w:pPr>
      <w:r>
        <w:t xml:space="preserve">Digital procurement systems have led to notable improvements in efficiency and reductions in procurement cycle time. </w:t>
      </w:r>
      <w:proofErr w:type="spellStart"/>
      <w:r>
        <w:t>Albinkhalil</w:t>
      </w:r>
      <w:proofErr w:type="spellEnd"/>
      <w:r>
        <w:t xml:space="preserve"> and </w:t>
      </w:r>
      <w:proofErr w:type="spellStart"/>
      <w:r>
        <w:t>Razzaque</w:t>
      </w:r>
      <w:proofErr w:type="spellEnd"/>
      <w:r>
        <w:t xml:space="preserve"> (2021) report that e-procurement enhances operational responsiveness and agility, allowing for quicker decision-making and execution. Al-Rashid and Khan (2021) highlight that digital platforms in Pakistan minimize manual errors and streamline procurement workflows, accelerating the overall process. Al-Mutairi and Al-Qahtani (2023) further emphasize that logistics coordination in Saudi Arabia benefits from digital integration, resulting in faster procurement cycles and improved service delivery.</w:t>
      </w:r>
    </w:p>
    <w:p w14:paraId="5537F68C" w14:textId="77777777" w:rsidR="00A548CB" w:rsidRDefault="004607F0" w:rsidP="00A548CB">
      <w:pPr>
        <w:pStyle w:val="NormalWeb"/>
        <w:numPr>
          <w:ilvl w:val="0"/>
          <w:numId w:val="76"/>
        </w:numPr>
        <w:jc w:val="both"/>
        <w:rPr>
          <w:rStyle w:val="Strong"/>
        </w:rPr>
      </w:pPr>
      <w:r>
        <w:rPr>
          <w:rStyle w:val="Strong"/>
        </w:rPr>
        <w:t>Cost Savings and Better Value for Money</w:t>
      </w:r>
    </w:p>
    <w:p w14:paraId="5EFA30C0" w14:textId="77777777" w:rsidR="004607F0" w:rsidRDefault="004607F0" w:rsidP="00A548CB">
      <w:pPr>
        <w:pStyle w:val="NormalWeb"/>
        <w:jc w:val="both"/>
      </w:pPr>
      <w:r>
        <w:t xml:space="preserve"> E-government adoption has yielded substantial cost savings and improved value for money in public procurement. Shahin, </w:t>
      </w:r>
      <w:proofErr w:type="spellStart"/>
      <w:r>
        <w:t>Jamkhaneh</w:t>
      </w:r>
      <w:proofErr w:type="spellEnd"/>
      <w:r>
        <w:t>, and Shahin (2022) show that e-purchasing systems streamline supply chains and reduce operational costs, contributing to more efficient resource utilization. Sánchez-Rodríguez, Martínez-Lorente, and Hemsworth (2020) find that SMEs in Spain and the UK experience enhanced procurement efficiency despite initial adoption barriers, ultimately achieving better value for money. These outcomes suggest that digital procurement can optimize expenditures and support fiscal sustainability.</w:t>
      </w:r>
    </w:p>
    <w:p w14:paraId="3F2D1210" w14:textId="77777777" w:rsidR="00A548CB" w:rsidRDefault="004607F0" w:rsidP="00A548CB">
      <w:pPr>
        <w:pStyle w:val="NormalWeb"/>
        <w:numPr>
          <w:ilvl w:val="0"/>
          <w:numId w:val="76"/>
        </w:numPr>
        <w:jc w:val="both"/>
      </w:pPr>
      <w:r>
        <w:rPr>
          <w:rStyle w:val="Strong"/>
        </w:rPr>
        <w:t>Enhanced Accountability and Stakeholder Trust</w:t>
      </w:r>
      <w:r>
        <w:t xml:space="preserve"> </w:t>
      </w:r>
    </w:p>
    <w:p w14:paraId="3F1AC143" w14:textId="77777777" w:rsidR="004607F0" w:rsidRDefault="004607F0" w:rsidP="00A548CB">
      <w:pPr>
        <w:pStyle w:val="NormalWeb"/>
        <w:jc w:val="both"/>
      </w:pPr>
      <w:r>
        <w:t xml:space="preserve">Digital procurement systems have strengthened accountability and fostered trust among stakeholders. Welch et al. (2005) demonstrate that transparency and responsiveness in U.S. e-government platforms increase citizen confidence in public institutions. </w:t>
      </w:r>
      <w:proofErr w:type="spellStart"/>
      <w:r>
        <w:t>Tumpa</w:t>
      </w:r>
      <w:proofErr w:type="spellEnd"/>
      <w:r>
        <w:t xml:space="preserve"> and </w:t>
      </w:r>
      <w:proofErr w:type="spellStart"/>
      <w:r>
        <w:t>Naeni</w:t>
      </w:r>
      <w:proofErr w:type="spellEnd"/>
      <w:r>
        <w:t xml:space="preserve"> (2025) show that stakeholder engagement improves when digital tools are used in project governance, enhancing oversight and collaboration. OECD reports (2021 &amp; 2025) confirm that standardized benchmarks and digital monitoring mechanisms build institutional credibility and promote trust in procurement reforms.</w:t>
      </w:r>
    </w:p>
    <w:p w14:paraId="0074EBD4" w14:textId="77777777" w:rsidR="00A548CB" w:rsidRDefault="004607F0" w:rsidP="00A548CB">
      <w:pPr>
        <w:pStyle w:val="NormalWeb"/>
        <w:numPr>
          <w:ilvl w:val="0"/>
          <w:numId w:val="76"/>
        </w:numPr>
        <w:jc w:val="both"/>
        <w:rPr>
          <w:rStyle w:val="Strong"/>
        </w:rPr>
      </w:pPr>
      <w:r>
        <w:rPr>
          <w:rStyle w:val="Strong"/>
        </w:rPr>
        <w:t>Strengthened Ethical Compliance and Behavioral Change</w:t>
      </w:r>
    </w:p>
    <w:p w14:paraId="2087D83E" w14:textId="77777777" w:rsidR="004607F0" w:rsidRDefault="004607F0" w:rsidP="00A548CB">
      <w:pPr>
        <w:pStyle w:val="NormalWeb"/>
        <w:jc w:val="both"/>
      </w:pPr>
      <w:r>
        <w:t xml:space="preserve"> E-government platforms have contributed to improved ethical compliance and behavioral transformation in procurement practices. Ejigu (2021) highlights how digital contract management systems in Ethiopia enhance compliance and reduce opportunities for unethical conduct. Kassa and Tadesse (2021) identify resistance to change and lack of training as barriers, but also suggest </w:t>
      </w:r>
      <w:r>
        <w:lastRenderedPageBreak/>
        <w:t>that digital systems can reshape procurement culture by promoting integrity and fairness. These findings indicate that e-government can serve as a lever for ethical reform and institutional discipline.</w:t>
      </w:r>
    </w:p>
    <w:p w14:paraId="167F8D28" w14:textId="77777777" w:rsidR="00A548CB" w:rsidRDefault="004607F0" w:rsidP="00A548CB">
      <w:pPr>
        <w:pStyle w:val="NormalWeb"/>
        <w:numPr>
          <w:ilvl w:val="0"/>
          <w:numId w:val="76"/>
        </w:numPr>
        <w:jc w:val="both"/>
      </w:pPr>
      <w:r>
        <w:rPr>
          <w:rStyle w:val="Strong"/>
        </w:rPr>
        <w:t>Improved Supplier Performance and Strategic Procurement</w:t>
      </w:r>
      <w:r>
        <w:t xml:space="preserve"> </w:t>
      </w:r>
    </w:p>
    <w:p w14:paraId="3656F336" w14:textId="77777777" w:rsidR="004607F0" w:rsidRDefault="004607F0" w:rsidP="00A548CB">
      <w:pPr>
        <w:pStyle w:val="NormalWeb"/>
        <w:jc w:val="both"/>
      </w:pPr>
      <w:r>
        <w:t xml:space="preserve">Digital procurement tools have enabled better supplier performance and more strategic sourcing. </w:t>
      </w:r>
      <w:proofErr w:type="spellStart"/>
      <w:r>
        <w:t>Albinkhalil</w:t>
      </w:r>
      <w:proofErr w:type="spellEnd"/>
      <w:r>
        <w:t xml:space="preserve"> and </w:t>
      </w:r>
      <w:proofErr w:type="spellStart"/>
      <w:r>
        <w:t>Razzaque</w:t>
      </w:r>
      <w:proofErr w:type="spellEnd"/>
      <w:r>
        <w:t xml:space="preserve"> (2021) show that e-procurement platforms improve supply chain responsiveness and facilitate supplier benchmarking, allowing for more informed decision-making. Shahin et al. (2022) reinforce this by demonstrating how digital systems support long-term supplier coordination and strategic procurement planning. These capabilities contribute to more resilient and performance-driven procurement ecosystems.</w:t>
      </w:r>
    </w:p>
    <w:p w14:paraId="40BD3F3D" w14:textId="77777777" w:rsidR="00A548CB" w:rsidRDefault="004607F0" w:rsidP="00A548CB">
      <w:pPr>
        <w:pStyle w:val="NormalWeb"/>
        <w:numPr>
          <w:ilvl w:val="0"/>
          <w:numId w:val="76"/>
        </w:numPr>
        <w:jc w:val="both"/>
      </w:pPr>
      <w:r>
        <w:rPr>
          <w:rStyle w:val="Strong"/>
        </w:rPr>
        <w:t>Capacity Building and Public Sector Reform</w:t>
      </w:r>
      <w:r>
        <w:t xml:space="preserve"> </w:t>
      </w:r>
    </w:p>
    <w:p w14:paraId="372FD66F" w14:textId="77777777" w:rsidR="004607F0" w:rsidRDefault="004607F0" w:rsidP="00A548CB">
      <w:pPr>
        <w:pStyle w:val="NormalWeb"/>
        <w:jc w:val="both"/>
      </w:pPr>
      <w:r>
        <w:t>E-government initiatives have acted as catalysts for capacity building and broader public sector reform. UNDP (2022) frames digital procurement as a driver of institutional transformation, emphasizing the importance of training and infrastructure in enhancing readiness. Deloitte and VMware (2022) advocate for citizen-centric digital strategies that align procurement with national development goals, particularly across the Asia-Pacific region. These reforms not only modernize procurement systems but also strengthen governance and service delivery.</w:t>
      </w:r>
    </w:p>
    <w:p w14:paraId="414240E8" w14:textId="77777777" w:rsidR="000E7AA1" w:rsidRDefault="009658B5" w:rsidP="000E7AA1">
      <w:pPr>
        <w:pStyle w:val="NormalWeb"/>
        <w:jc w:val="both"/>
        <w:rPr>
          <w:rStyle w:val="Strong"/>
        </w:rPr>
      </w:pPr>
      <w:r w:rsidRPr="000E7AA1">
        <w:rPr>
          <w:rStyle w:val="Strong"/>
        </w:rPr>
        <w:t>4.5 What is known about the challenges and barriers in implementing e-government in public procurement?</w:t>
      </w:r>
    </w:p>
    <w:p w14:paraId="25C0E34B" w14:textId="77777777" w:rsidR="00A548CB" w:rsidRPr="00FD6185" w:rsidRDefault="00FD6185" w:rsidP="000E7AA1">
      <w:pPr>
        <w:pStyle w:val="NormalWeb"/>
        <w:jc w:val="both"/>
        <w:rPr>
          <w:rStyle w:val="Strong"/>
          <w:b w:val="0"/>
        </w:rPr>
      </w:pPr>
      <w:r w:rsidRPr="00FD6185">
        <w:t>Analyzed studies pointed out the following</w:t>
      </w:r>
      <w:r w:rsidRPr="00FD6185">
        <w:rPr>
          <w:b/>
        </w:rPr>
        <w:t xml:space="preserve"> </w:t>
      </w:r>
      <w:r w:rsidRPr="00FD6185">
        <w:rPr>
          <w:rStyle w:val="Strong"/>
          <w:b w:val="0"/>
        </w:rPr>
        <w:t>challenges and barriers in implementing e-government in public procurement</w:t>
      </w:r>
      <w:r w:rsidRPr="00FD6185">
        <w:rPr>
          <w:b/>
        </w:rPr>
        <w:t xml:space="preserve"> </w:t>
      </w:r>
    </w:p>
    <w:p w14:paraId="73DC7402" w14:textId="77777777" w:rsidR="00FD6185" w:rsidRDefault="00A548CB" w:rsidP="00E923A3">
      <w:pPr>
        <w:pStyle w:val="NormalWeb"/>
        <w:numPr>
          <w:ilvl w:val="0"/>
          <w:numId w:val="77"/>
        </w:numPr>
        <w:jc w:val="both"/>
      </w:pPr>
      <w:r>
        <w:rPr>
          <w:rStyle w:val="Strong"/>
        </w:rPr>
        <w:t>Technological Infrastructure and System Limitations</w:t>
      </w:r>
      <w:r>
        <w:t xml:space="preserve"> </w:t>
      </w:r>
    </w:p>
    <w:p w14:paraId="6B5B60AB" w14:textId="77777777" w:rsidR="00A548CB" w:rsidRDefault="00A548CB" w:rsidP="00E923A3">
      <w:pPr>
        <w:pStyle w:val="NormalWeb"/>
        <w:jc w:val="both"/>
      </w:pPr>
      <w:r>
        <w:t>Technological readiness remains a foundational barrier to successful e-government implementation in public procurement. Al-Khatib and Abu-</w:t>
      </w:r>
      <w:proofErr w:type="spellStart"/>
      <w:r>
        <w:t>Shanab</w:t>
      </w:r>
      <w:proofErr w:type="spellEnd"/>
      <w:r>
        <w:t xml:space="preserve"> (2019</w:t>
      </w:r>
      <w:r w:rsidR="00AA2912">
        <w:t xml:space="preserve">) identify critical ICT factors, </w:t>
      </w:r>
      <w:r>
        <w:t>such as internet reliability, system inte</w:t>
      </w:r>
      <w:r w:rsidR="00AA2912">
        <w:t xml:space="preserve">gration, and technical capacity, </w:t>
      </w:r>
      <w:r>
        <w:t>as determinants of e-procurement success in Jordan. Without robust infrastructure, digital platforms struggle to function effectively, leading to system failures and underutilization. Tsegaye and Kebede (2022) reinforce this concern in the Ethiopian context, where infrastructure gaps and limited digital systems hinder ICT adoption readiness, particularly in decentralized procurement environments. These limitations underscore the need for sustained investment in foundational technology.</w:t>
      </w:r>
    </w:p>
    <w:p w14:paraId="2B986859" w14:textId="77777777" w:rsidR="00FD6185" w:rsidRDefault="00A548CB" w:rsidP="00E923A3">
      <w:pPr>
        <w:pStyle w:val="NormalWeb"/>
        <w:numPr>
          <w:ilvl w:val="0"/>
          <w:numId w:val="77"/>
        </w:numPr>
        <w:jc w:val="both"/>
      </w:pPr>
      <w:r>
        <w:rPr>
          <w:rStyle w:val="Strong"/>
        </w:rPr>
        <w:t>Resistance to Change and Low User Acceptance</w:t>
      </w:r>
      <w:r>
        <w:t xml:space="preserve"> </w:t>
      </w:r>
    </w:p>
    <w:p w14:paraId="10E7EB49" w14:textId="77777777" w:rsidR="00A548CB" w:rsidRDefault="00A548CB" w:rsidP="00E923A3">
      <w:pPr>
        <w:pStyle w:val="NormalWeb"/>
        <w:jc w:val="both"/>
      </w:pPr>
      <w:r>
        <w:t xml:space="preserve">Behavioral resistance and low user acceptance pose significant challenges to e-government adoption. Kassa and Tadesse (2021) report that resistance to change, coupled with inadequate training, impedes the uptake of digital procurement systems in Ethiopia. Users often feel overwhelmed by unfamiliar technologies, leading to reluctance or outright rejection. Chikuta and Banda (2022) echo these findings in Malawi, where digital unfamiliarity and entrenched manual </w:t>
      </w:r>
      <w:r>
        <w:lastRenderedPageBreak/>
        <w:t>practices slow down adoption. These insights suggest that successful implementation requires not only technical solutions but also cultural and behavioral transformation strategies.</w:t>
      </w:r>
    </w:p>
    <w:p w14:paraId="2C3A17E7" w14:textId="77777777" w:rsidR="00FD6185" w:rsidRDefault="00A548CB" w:rsidP="00E923A3">
      <w:pPr>
        <w:pStyle w:val="NormalWeb"/>
        <w:numPr>
          <w:ilvl w:val="0"/>
          <w:numId w:val="77"/>
        </w:numPr>
        <w:jc w:val="both"/>
      </w:pPr>
      <w:r>
        <w:rPr>
          <w:rStyle w:val="Strong"/>
        </w:rPr>
        <w:t>Lack of Capacity and Skills</w:t>
      </w:r>
      <w:r>
        <w:t xml:space="preserve"> </w:t>
      </w:r>
    </w:p>
    <w:p w14:paraId="4BB3BE3A" w14:textId="77777777" w:rsidR="00A548CB" w:rsidRDefault="00A548CB" w:rsidP="00E923A3">
      <w:pPr>
        <w:pStyle w:val="NormalWeb"/>
        <w:jc w:val="both"/>
      </w:pPr>
      <w:r>
        <w:t>Insufficient institutional capacity and skill gaps are persistent barriers across many regions. UNDP (2022) emphasizes that digital literacy and technical proficiency vary widely across the Global South, affecting the ability of procurement officers and system users to engage with e-government platforms effectively. Kassa and Tadesse (2021) highlight the urgent need for targeted training programs to bridge these gaps and build competence. Without adequate human capital, even well-designed systems risk being underutilized or mismanaged, compromising their intended benefits.</w:t>
      </w:r>
    </w:p>
    <w:p w14:paraId="49959195" w14:textId="77777777" w:rsidR="00FD6185" w:rsidRDefault="00A548CB" w:rsidP="00E923A3">
      <w:pPr>
        <w:pStyle w:val="NormalWeb"/>
        <w:numPr>
          <w:ilvl w:val="0"/>
          <w:numId w:val="77"/>
        </w:numPr>
        <w:jc w:val="both"/>
      </w:pPr>
      <w:r>
        <w:rPr>
          <w:rStyle w:val="Strong"/>
        </w:rPr>
        <w:t>Weak Legal and Regulatory Frameworks</w:t>
      </w:r>
      <w:r>
        <w:t xml:space="preserve"> </w:t>
      </w:r>
    </w:p>
    <w:p w14:paraId="09FEEB28" w14:textId="77777777" w:rsidR="00A548CB" w:rsidRDefault="00A548CB" w:rsidP="00E923A3">
      <w:pPr>
        <w:pStyle w:val="NormalWeb"/>
        <w:jc w:val="both"/>
      </w:pPr>
      <w:r>
        <w:t>Outdated legal structures and fragmented governance frameworks undermine the legitimacy and functionality of e-government systems. Siddiqui and Mehmood (2021) identify policy and infrastructural barriers in Pakistan, where obsolete procurement regulations fail to accommodate digital processes. Al-Mutairi, Naser, and Fayez (2018) show that weak legal mandates and disjointed governance in Kuwait obstruct digital implementation and erode stakeholder confidence. These findings highlight the importance of legal reform and regulatory coherence in supporting digital transformation in procurement.</w:t>
      </w:r>
    </w:p>
    <w:p w14:paraId="139011D6" w14:textId="77777777" w:rsidR="00FD6185" w:rsidRDefault="00A548CB" w:rsidP="00E923A3">
      <w:pPr>
        <w:pStyle w:val="NormalWeb"/>
        <w:numPr>
          <w:ilvl w:val="0"/>
          <w:numId w:val="77"/>
        </w:numPr>
        <w:jc w:val="both"/>
      </w:pPr>
      <w:r>
        <w:rPr>
          <w:rStyle w:val="Strong"/>
        </w:rPr>
        <w:t>Trust and Security Concerns</w:t>
      </w:r>
      <w:r>
        <w:t xml:space="preserve"> </w:t>
      </w:r>
    </w:p>
    <w:p w14:paraId="1908E9FB" w14:textId="77777777" w:rsidR="00A548CB" w:rsidRDefault="00A548CB" w:rsidP="00E923A3">
      <w:pPr>
        <w:pStyle w:val="NormalWeb"/>
        <w:jc w:val="both"/>
      </w:pPr>
      <w:r>
        <w:t>Trust and data security are critical to user acceptance and system sustainability. Kim and Lee (2021) demonstrate that trust in digital platforms mediates user satisfaction and influences adoption behavior in South Korea. Zhang and Li (2021) show that blockchain technologies enhance traceability and reduce corruption, but also caution that secure systems are essential to protect sensitive procurement data. Without robust cybersecurity measures and transparent governance, digital platforms risk losing credibility and exposing institutions to reputational and operational risks.</w:t>
      </w:r>
    </w:p>
    <w:p w14:paraId="0604EE3F" w14:textId="77777777" w:rsidR="00FD6185" w:rsidRDefault="00A548CB" w:rsidP="00E923A3">
      <w:pPr>
        <w:pStyle w:val="NormalWeb"/>
        <w:numPr>
          <w:ilvl w:val="0"/>
          <w:numId w:val="77"/>
        </w:numPr>
        <w:jc w:val="both"/>
      </w:pPr>
      <w:r>
        <w:rPr>
          <w:rStyle w:val="Strong"/>
        </w:rPr>
        <w:t>High Implementation Costs and Sustainability Issues</w:t>
      </w:r>
      <w:r>
        <w:t xml:space="preserve"> </w:t>
      </w:r>
    </w:p>
    <w:p w14:paraId="063492E0" w14:textId="77777777" w:rsidR="00A548CB" w:rsidRDefault="00A548CB" w:rsidP="00E923A3">
      <w:pPr>
        <w:pStyle w:val="NormalWeb"/>
        <w:jc w:val="both"/>
      </w:pPr>
      <w:r>
        <w:t>Financial constraints and sustainability challenges limit the scalability of e-government reforms. Chikuta and Banda (2022) report that digital gaps and resource limitations hinder full implementation of e-procurement systems in Malawi, especially in rural and underserved regions. UNDP (2022) adds that donor dependency and uneven infrastructure across the Global South pose long-term risks to sustainability. These challenges suggest that digital procurement reforms must be accompanied by strategic financing models and capacity-building efforts to ensure continuity and impact.</w:t>
      </w:r>
    </w:p>
    <w:p w14:paraId="29F34064" w14:textId="77777777" w:rsidR="00AA2912" w:rsidRDefault="00AA2912" w:rsidP="00E923A3">
      <w:pPr>
        <w:pStyle w:val="NormalWeb"/>
        <w:jc w:val="both"/>
      </w:pPr>
    </w:p>
    <w:p w14:paraId="73FA0BD3" w14:textId="77777777" w:rsidR="00AA2912" w:rsidRDefault="00AA2912" w:rsidP="00E923A3">
      <w:pPr>
        <w:pStyle w:val="NormalWeb"/>
        <w:jc w:val="both"/>
      </w:pPr>
    </w:p>
    <w:p w14:paraId="5AA49323" w14:textId="77777777" w:rsidR="00F31BEB" w:rsidRDefault="00AA2912" w:rsidP="00F31BEB">
      <w:pPr>
        <w:pStyle w:val="Heading1"/>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 xml:space="preserve">5.0 </w:t>
      </w:r>
      <w:r w:rsidR="00F31BEB" w:rsidRPr="00E923A3">
        <w:rPr>
          <w:rFonts w:ascii="Times New Roman" w:hAnsi="Times New Roman" w:cs="Times New Roman"/>
          <w:b/>
          <w:color w:val="auto"/>
          <w:sz w:val="24"/>
          <w:szCs w:val="24"/>
        </w:rPr>
        <w:t>Discussion</w:t>
      </w:r>
    </w:p>
    <w:p w14:paraId="76AD9EB9" w14:textId="77777777" w:rsidR="009D7D02" w:rsidRPr="00B411C3" w:rsidRDefault="009D7D02" w:rsidP="009D7D02">
      <w:pPr>
        <w:pStyle w:val="Heading3"/>
        <w:rPr>
          <w:sz w:val="24"/>
          <w:szCs w:val="24"/>
        </w:rPr>
      </w:pPr>
      <w:r w:rsidRPr="00B411C3">
        <w:rPr>
          <w:sz w:val="24"/>
          <w:szCs w:val="24"/>
        </w:rPr>
        <w:t>What are the purposes of adopting e-government in public procurement?</w:t>
      </w:r>
    </w:p>
    <w:p w14:paraId="7DAF0674" w14:textId="77777777" w:rsidR="00E923A3" w:rsidRDefault="00E923A3" w:rsidP="00B411C3">
      <w:pPr>
        <w:pStyle w:val="NormalWeb"/>
        <w:jc w:val="both"/>
      </w:pPr>
      <w:r>
        <w:t xml:space="preserve">Transparency emerges as a foundational rationale for adopting e-government in public procurement, as evidenced by the convergence of findings from Agbeko, </w:t>
      </w:r>
      <w:proofErr w:type="spellStart"/>
      <w:r>
        <w:t>Effah</w:t>
      </w:r>
      <w:proofErr w:type="spellEnd"/>
      <w:r>
        <w:t>, and Boateng (2021), Ndlovu and Moyo (2021), and Zhang and Li (2021). Agbeko et al. (2021) illustrate how inter-organizational systems in Ghana enhance visibility and accountability, while Ndlovu and Moyo (2021) demonstrate that digital platforms in Southern Africa reduce corruption by increasing procedural openness. Zhang and Li (2021) further emphasize the role of blockchain technologies in strengthening auditability and deterring fraudulent practices in China’s procurement systems. However, despite this strong empirical support, transparency is often conceptualized as a static or technical feature rather than a dynamic and contested process. Few studies critically examine how digital transparency interacts with informal procurement networks, entrenched patronage systems, or political incentives that may resist or reshape its implementation. This reveals a significant gap in the literature: the limited exploration of how transparency is negotiated, subverted, or selectively applied within hybrid governance contexts, where formal rules coexist with informal practices.</w:t>
      </w:r>
    </w:p>
    <w:p w14:paraId="3E979C08" w14:textId="77777777" w:rsidR="00B411C3" w:rsidRDefault="00B411C3" w:rsidP="00B411C3">
      <w:pPr>
        <w:pStyle w:val="NormalWeb"/>
        <w:jc w:val="both"/>
      </w:pPr>
      <w:r>
        <w:t xml:space="preserve">Efficiency gains and cost optimization are among the most frequently cited benefits of e-government adoption in public procurement. </w:t>
      </w:r>
      <w:proofErr w:type="spellStart"/>
      <w:r>
        <w:t>Albinkhalil</w:t>
      </w:r>
      <w:proofErr w:type="spellEnd"/>
      <w:r>
        <w:t xml:space="preserve"> and </w:t>
      </w:r>
      <w:proofErr w:type="spellStart"/>
      <w:r>
        <w:t>Razzaque</w:t>
      </w:r>
      <w:proofErr w:type="spellEnd"/>
      <w:r>
        <w:t xml:space="preserve"> (2021) highlight how digital platforms enhance operational responsiveness and supply chain agility, enabling faster and more adaptive procurement processes. Al-Rashid and Khan (2021) reinforce this by showing that automation reduces manual errors and accelerates procurement cycles in Pakistan, contributing to improved service delivery. Shahin, </w:t>
      </w:r>
      <w:proofErr w:type="spellStart"/>
      <w:r>
        <w:t>Jamkhaneh</w:t>
      </w:r>
      <w:proofErr w:type="spellEnd"/>
      <w:r>
        <w:t>, and Shahin (2022) emphasize the financial dimension, noting that streamlined sourcing mechanisms lead to significant cost savings and better resource utilization. However, a critical insight across these studies is the tendency to assume linear efficiency gains, often overlooking system downtime, implementation delays, and the organizational learning curves required to fully realize digital benefits. There is a notable gap in longitudinal research that tracks actual versus projected efficiency outcomes, particularly in low-resource settings where infrastructure and capacity constraints may distort expected gains.</w:t>
      </w:r>
    </w:p>
    <w:p w14:paraId="5949BD8A" w14:textId="77777777" w:rsidR="00B411C3" w:rsidRDefault="00B411C3" w:rsidP="00B411C3">
      <w:pPr>
        <w:pStyle w:val="NormalWeb"/>
        <w:jc w:val="both"/>
      </w:pPr>
      <w:r>
        <w:t xml:space="preserve">E-government platforms are widely credited with enhancing accountability and building stakeholder trust in procurement systems. Welch et al. (2005) demonstrate that transparency and responsiveness in digital governance increase citizen confidence in the U.S. context. </w:t>
      </w:r>
      <w:proofErr w:type="spellStart"/>
      <w:r>
        <w:t>Tumpa</w:t>
      </w:r>
      <w:proofErr w:type="spellEnd"/>
      <w:r>
        <w:t xml:space="preserve"> and </w:t>
      </w:r>
      <w:proofErr w:type="spellStart"/>
      <w:r>
        <w:t>Naeni</w:t>
      </w:r>
      <w:proofErr w:type="spellEnd"/>
      <w:r>
        <w:t xml:space="preserve"> (2025) extend this argument by showing that digital tools improve stakeholder engagement and oversight in project governance. OECD reports (2021 &amp; 2025) further affirm that standardized benchmarks and digital monitoring mechanisms foster institutional trust and legitimacy. Yet, these studies often treat trust as a predictable system output rather than a relational construct shaped by historical grievances, civic engagement, and power asymmetries. There is insufficient attention to how trust is cultivated or eroded through e-government interfaces, especially among marginalized suppliers who may face exclusion, surveillance, or procedural opacity. This gap calls for more nuanced inquiry into the socio-political dimensions of trust in digital procurement environments.</w:t>
      </w:r>
    </w:p>
    <w:p w14:paraId="7CF940C7" w14:textId="77777777" w:rsidR="00B411C3" w:rsidRDefault="00B411C3" w:rsidP="00B411C3">
      <w:pPr>
        <w:pStyle w:val="NormalWeb"/>
        <w:jc w:val="both"/>
      </w:pPr>
      <w:r>
        <w:t xml:space="preserve">Digital technologies have shown promise in mitigating procurement fraud and promoting ethical behavior. Zhang and Li (2021) illustrate how blockchain integration enhances traceability and deters corruption by creating immutable records of transactions. Mwangi and Wanjiru (2023) </w:t>
      </w:r>
      <w:r>
        <w:lastRenderedPageBreak/>
        <w:t>highlight the role of AI-driven analytics in Kenya’s procurement systems, which support fraud detection and predictive oversight. Ejigu (2021) adds that digital contract management tools improve compliance and reduce collusion in Ethiopia’s federal procurement services. These studies effectively bridge technical and behavioral domains, demonstrating how digital tools can reinforce ethical norms. However, they stop short o</w:t>
      </w:r>
      <w:r w:rsidR="00486C5D">
        <w:t xml:space="preserve">f exploring adaptive corruption, </w:t>
      </w:r>
      <w:r>
        <w:t>where actors manipulate digital systems to circumvent controls. There is a pressing need for research on second-order corruption effects, such as collusion facilitated through digital platforms or the strategic manipulation of e-auction algorithms, which may undermine the very safeguards these technologies are designed to enforce.</w:t>
      </w:r>
    </w:p>
    <w:p w14:paraId="013716D8" w14:textId="77777777" w:rsidR="00B411C3" w:rsidRDefault="00B411C3" w:rsidP="00B411C3">
      <w:pPr>
        <w:pStyle w:val="NormalWeb"/>
        <w:jc w:val="both"/>
      </w:pPr>
      <w:r>
        <w:t xml:space="preserve">Strategic procurement and capacity building are increasingly framed as long-term goals of e-government reform. Shahin, </w:t>
      </w:r>
      <w:proofErr w:type="spellStart"/>
      <w:r>
        <w:t>Jamkhaneh</w:t>
      </w:r>
      <w:proofErr w:type="spellEnd"/>
      <w:r>
        <w:t>, and Shahin (2022) discuss how digital platforms support strategic sourcing and supplier coordination, enabling governments to align procurement with broader policy objectives. UNDP (2022) emphasizes the importance of institutional readiness and capacity building, particularly in the Global South, where digital literacy and infrastructure vary widely. Deloitte and VMware (2022) advocate for citizen-centric digital transformation strategies that integrate procurement with national development goals across the Asia-Pacific region. Despite these aspirational narratives, strategic procurement is often under-theorized, lacking granular analysis of operational metrics, governance structures, and implementation realities. There is minimal empiric</w:t>
      </w:r>
      <w:r w:rsidR="00486C5D">
        <w:t xml:space="preserve">al work on capacity asymmetries </w:t>
      </w:r>
      <w:r>
        <w:t>specifically, how uneven digital literacy, bureaucratic fragmentation, and political interference affect strategic outcomes. Addressing these gaps is essential for translating digital ambitions into sustainable procurement reform.</w:t>
      </w:r>
    </w:p>
    <w:p w14:paraId="39741C62" w14:textId="77777777" w:rsidR="00164E57" w:rsidRPr="00B411C3" w:rsidRDefault="00164E57" w:rsidP="00B411C3">
      <w:pPr>
        <w:pStyle w:val="Heading2"/>
        <w:jc w:val="both"/>
        <w:rPr>
          <w:rFonts w:ascii="Times New Roman" w:hAnsi="Times New Roman" w:cs="Times New Roman"/>
          <w:b/>
          <w:color w:val="auto"/>
          <w:sz w:val="24"/>
          <w:szCs w:val="24"/>
        </w:rPr>
      </w:pPr>
      <w:r w:rsidRPr="00B411C3">
        <w:rPr>
          <w:rFonts w:ascii="Times New Roman" w:hAnsi="Times New Roman" w:cs="Times New Roman"/>
          <w:b/>
          <w:color w:val="auto"/>
          <w:sz w:val="24"/>
          <w:szCs w:val="24"/>
        </w:rPr>
        <w:t>What Types of Technologies Are Used, and in Which Procurement Procedures Is E-Government Implemented?</w:t>
      </w:r>
    </w:p>
    <w:p w14:paraId="3671B31F" w14:textId="77777777" w:rsidR="00B411C3" w:rsidRDefault="00B411C3" w:rsidP="00B411C3">
      <w:pPr>
        <w:pStyle w:val="NormalWeb"/>
        <w:jc w:val="both"/>
      </w:pPr>
      <w:r>
        <w:t xml:space="preserve">The reviewed literature highlights a wide spectrum of technologies employed in e-government procurement systems, ranging from foundational platforms to integrative solutions. </w:t>
      </w:r>
      <w:proofErr w:type="spellStart"/>
      <w:r>
        <w:t>Albinkhalil</w:t>
      </w:r>
      <w:proofErr w:type="spellEnd"/>
      <w:r>
        <w:t xml:space="preserve"> and </w:t>
      </w:r>
      <w:proofErr w:type="spellStart"/>
      <w:r>
        <w:t>Razzaque</w:t>
      </w:r>
      <w:proofErr w:type="spellEnd"/>
      <w:r>
        <w:t xml:space="preserve"> (2021) focus on centralized e-procurement platforms that enhance operational responsiveness and streamline procurement workflows. Shahin, </w:t>
      </w:r>
      <w:proofErr w:type="spellStart"/>
      <w:r>
        <w:t>Jamkhaneh</w:t>
      </w:r>
      <w:proofErr w:type="spellEnd"/>
      <w:r>
        <w:t>, and Shahin (2022), alongside UNDP (2022) and Deloitte &amp; VMware (2022), explore more complex systems such as Enterprise Resource Planning (ERP) and Integrated Financial Management Information Systems (IFMIS), which support strategic coordination, financial oversight, and transparency across procurement stages. While these technologies are well-documented, they are often treated as isolated interventions rather than interdependent components of a broader digital ecosystem. This fragmented approach limits understanding of how systems interact, scale, and adapt to diverse governance contexts. Notably, there is a lack of comparative evaluation regarding interoperability, scalability, and contextual adaptability—particularly in decentralized or devolved procurement systems where integration challenges are more pronounced.</w:t>
      </w:r>
    </w:p>
    <w:p w14:paraId="42F17132" w14:textId="77777777" w:rsidR="00B411C3" w:rsidRDefault="00B411C3" w:rsidP="00B411C3">
      <w:pPr>
        <w:pStyle w:val="NormalWeb"/>
        <w:jc w:val="both"/>
      </w:pPr>
      <w:r>
        <w:t xml:space="preserve">E-government tools have been implemented across a wide array of procurement procedures, demonstrating considerable sectoral and procedural reach. Studies by </w:t>
      </w:r>
      <w:proofErr w:type="spellStart"/>
      <w:r>
        <w:t>Albinkhalil</w:t>
      </w:r>
      <w:proofErr w:type="spellEnd"/>
      <w:r>
        <w:t xml:space="preserve"> and </w:t>
      </w:r>
      <w:proofErr w:type="spellStart"/>
      <w:r>
        <w:t>Razzaque</w:t>
      </w:r>
      <w:proofErr w:type="spellEnd"/>
      <w:r>
        <w:t xml:space="preserve"> (2021) and Al-Rashid and Khan (2021) document the use of digital platforms in tendering and bid evaluation, while Ejigu (2021), Mwangi and Wanjiru (2023), and Agbeko, </w:t>
      </w:r>
      <w:proofErr w:type="spellStart"/>
      <w:r>
        <w:t>Effah</w:t>
      </w:r>
      <w:proofErr w:type="spellEnd"/>
      <w:r>
        <w:t xml:space="preserve">, and Boateng (2021) examine applications in contract monitoring, supplier registration, and compliance oversight. UNDP (2022), Zhang and Li (2021), and Welch et al. (2005) further highlight the role </w:t>
      </w:r>
      <w:r>
        <w:lastRenderedPageBreak/>
        <w:t>of digital tools in auditing and stakeholder engagement. Despite this breadth, the literature tends to concentrate on front-end processes such as bidding and registration, with limited attention to back-end functions like dispute resolution, performance auditing, and post-contract renegotiation. This imbalance reveals a critical gap: the need for sector-specific analyses and comprehensive lifecycle studies that assess how e-government tools perform across all procurement phases, including contract enforcement and supplier exit strategies.</w:t>
      </w:r>
    </w:p>
    <w:p w14:paraId="43906933" w14:textId="77777777" w:rsidR="00B411C3" w:rsidRDefault="00B411C3" w:rsidP="00B411C3">
      <w:pPr>
        <w:pStyle w:val="NormalWeb"/>
        <w:jc w:val="both"/>
      </w:pPr>
      <w:r>
        <w:t>Several studies underscore the potential of e-government technologies to promote inclusive governance and reduce collusion in public procurement. OECD (2021 &amp; 2025) and Agbeko et al. (2021) praise tools such as e-auctions and supplier databases for democratizing access and enhancing procedural fairness. UNDP (2022) emphasizes the importance of institutional readiness and equity-focused digital transformation, particularly in contexts marked by historical exclusion. However, the literature often assumes that digital inclusion is automatic once systems are deployed, overlooking persistent barriers such as digital literacy, language accessibility, and geographic connectivity. These assumptions obscure the lived realities of marginalized supplier groups, who may lack the resources or skills to engage with digital platforms effectively. There is insufficient empirical work on digital exclusion, equity impacts, and adaptive strategies tailored to vulnerable actors. Moreover, studies rarely disaggregate findings by gender, region, or firm size, limiting the granularity needed to inform equitable policy design.</w:t>
      </w:r>
    </w:p>
    <w:p w14:paraId="1620A1CC" w14:textId="77777777" w:rsidR="00B411C3" w:rsidRDefault="00B411C3" w:rsidP="00B411C3">
      <w:pPr>
        <w:pStyle w:val="NormalWeb"/>
        <w:jc w:val="both"/>
      </w:pPr>
      <w:r>
        <w:t xml:space="preserve">Technologies such as blockchain, AI-driven analytics, and digital contract management are increasingly linked to improved financial transparency and ethical compliance in public procurement. Zhang and Li (2021) and Mwangi and Wanjiru (2023) demonstrate how these tools enhance traceability and fraud detection, while Ejigu (2021) shows that digital contract management systems improve compliance and reduce collusion. Welch et al. (2005) add that transparency and responsiveness foster citizen trust in digital governance platforms. However, trust in digital systems </w:t>
      </w:r>
      <w:r w:rsidR="00486C5D">
        <w:t xml:space="preserve">is not merely a technical issue, </w:t>
      </w:r>
      <w:r>
        <w:t>it is deeply shaped by historical procurement scandals, political interference, and the perceived credibility of institutions. Despite the growing reliance on digital tools, there remains a lack of research on cybersecurity governance, data protection frameworks, and trust-building mechanisms in e-procurement environments. This gap is particularly acute in fragile or post-conflict states, where institutional legitimacy and data security are often compromised, and where trust must be actively cultivated through inclusive and transparent digital practices.</w:t>
      </w:r>
    </w:p>
    <w:p w14:paraId="7CEBC188" w14:textId="77777777" w:rsidR="00164E57" w:rsidRPr="00B411C3" w:rsidRDefault="00164E57" w:rsidP="00B411C3">
      <w:pPr>
        <w:pStyle w:val="Heading2"/>
        <w:jc w:val="both"/>
        <w:rPr>
          <w:rFonts w:ascii="Times New Roman" w:hAnsi="Times New Roman" w:cs="Times New Roman"/>
          <w:b/>
          <w:color w:val="auto"/>
          <w:sz w:val="24"/>
          <w:szCs w:val="24"/>
        </w:rPr>
      </w:pPr>
      <w:r w:rsidRPr="00B411C3">
        <w:rPr>
          <w:rFonts w:ascii="Times New Roman" w:hAnsi="Times New Roman" w:cs="Times New Roman"/>
          <w:b/>
          <w:color w:val="auto"/>
          <w:sz w:val="24"/>
          <w:szCs w:val="24"/>
        </w:rPr>
        <w:t>What Is Known About the Adoption and Acceptance Factors of E-Government in Public Procurement?</w:t>
      </w:r>
    </w:p>
    <w:p w14:paraId="7B6C87F9" w14:textId="77777777" w:rsidR="00B411C3" w:rsidRDefault="00B411C3" w:rsidP="00B411C3">
      <w:pPr>
        <w:pStyle w:val="NormalWeb"/>
        <w:jc w:val="both"/>
      </w:pPr>
      <w:r>
        <w:t xml:space="preserve">Institutional readiness is consistently identified as a critical enabler of successful e-government adoption in public procurement. UNDP (2022) emphasizes the importance of leadership commitment, regulatory coherence, and infrastructure investment, framing these elements within broader national development strategies and capacity-building efforts. Deloitte &amp; VMware (2022) extend this perspective by linking digital transformation to comprehensive public sector reform, arguing that procurement digitization must be embedded within citizen-centric governance models to achieve sustainability. However, while compelling, this framing tends to overemphasize formal institutions and underplay informal dynamics such as bureaucratic inertia, inter-agency rivalries, and political fragmentation. There is limited exploration of institutional resistance, policy </w:t>
      </w:r>
      <w:r>
        <w:lastRenderedPageBreak/>
        <w:t>incoherence, and subnational</w:t>
      </w:r>
      <w:r w:rsidR="00DC5F09">
        <w:t xml:space="preserve"> variation in adoption outcomes, </w:t>
      </w:r>
      <w:r>
        <w:t>factors that often determine the real-world success or failure of digital reforms.</w:t>
      </w:r>
    </w:p>
    <w:p w14:paraId="0DA9482E" w14:textId="77777777" w:rsidR="00B411C3" w:rsidRDefault="00B411C3" w:rsidP="00B411C3">
      <w:pPr>
        <w:pStyle w:val="NormalWeb"/>
        <w:jc w:val="both"/>
      </w:pPr>
      <w:r>
        <w:t>Technological infrastructure and system reliability are foundational to the viability of e-government platforms. Al-Khatib and Abu-</w:t>
      </w:r>
      <w:proofErr w:type="spellStart"/>
      <w:r>
        <w:t>Shanab</w:t>
      </w:r>
      <w:proofErr w:type="spellEnd"/>
      <w:r>
        <w:t xml:space="preserve"> (2019) underscore the role of ICT readiness in Jordan, highlighting connectivity, system integration, and technical capacity as prerequisites for operational success. Tsegaye and Kebede (2022) echo these concerns in Ethiopia, where decentralized procurement systems face persistent infrastructure gaps and uneven digital access. Despite their relevance, these studies often treat infr</w:t>
      </w:r>
      <w:r w:rsidR="00DC5F09">
        <w:t xml:space="preserve">astructure as a binary variable, either present or absent, </w:t>
      </w:r>
      <w:r>
        <w:t>without critically examining its quality, resilience, or user experience. There is a notable gap in the literature regarding platform interoperability, maintenance regimes, and context-specific technological adaptation, particularly in fragile or resource-constrained environments.</w:t>
      </w:r>
    </w:p>
    <w:p w14:paraId="3242D5C4" w14:textId="77777777" w:rsidR="00B411C3" w:rsidRDefault="00B411C3" w:rsidP="00B411C3">
      <w:pPr>
        <w:pStyle w:val="NormalWeb"/>
        <w:jc w:val="both"/>
      </w:pPr>
      <w:r>
        <w:t xml:space="preserve">User competence and training are frequently cited as barriers to e-government adoption, especially in low-resource settings. Kassa and Tadesse (2021) identify lack of training and resistance to change as major impediments in Ethiopia, where procurement officers often struggle with unfamiliar digital systems. UNDP (2022) advocates for capacity-building initiatives aimed at improving digital literacy and institutional competence across regions in the Global South. However, the literature often assumes a linear relationship between training and system acceptance, under-theorizing motivational factors, organizational culture, and informal learning dynamics. There is insufficient research on learning curves, retention of digital skills, and the role of peer </w:t>
      </w:r>
      <w:r w:rsidR="00DC5F09">
        <w:t xml:space="preserve">networks in sustaining adoption, </w:t>
      </w:r>
      <w:r>
        <w:t>elements that are crucial for long-term digital engagement.</w:t>
      </w:r>
    </w:p>
    <w:p w14:paraId="490F9DDD" w14:textId="77777777" w:rsidR="00B411C3" w:rsidRDefault="00B411C3" w:rsidP="00B411C3">
      <w:pPr>
        <w:pStyle w:val="NormalWeb"/>
        <w:jc w:val="both"/>
      </w:pPr>
      <w:r>
        <w:t xml:space="preserve">Perceptions of benefit and usability play a significant role in shaping user acceptance of e-government platforms. Welch et al. (2005) show that transparency and responsiveness in digital systems enhance user trust and satisfaction, particularly in the U.S. context. </w:t>
      </w:r>
      <w:proofErr w:type="spellStart"/>
      <w:r>
        <w:t>Albinkhalil</w:t>
      </w:r>
      <w:proofErr w:type="spellEnd"/>
      <w:r>
        <w:t xml:space="preserve"> and </w:t>
      </w:r>
      <w:proofErr w:type="spellStart"/>
      <w:r>
        <w:t>Razzaque</w:t>
      </w:r>
      <w:proofErr w:type="spellEnd"/>
      <w:r>
        <w:t xml:space="preserve"> (2021) demonstrate that operational efficiency and supply chain agility contribute to positive user experiences globally. Yet, these studies often rely on self-reported perceptions without triangulating them with actual usage data or performance metrics. This limits the analytical depth of their findings. There is a clear need for mixed-method studies that link perceived benefits to measurable outcomes and explore how user perceptions evolve across different demographic and institutional contexts.</w:t>
      </w:r>
    </w:p>
    <w:p w14:paraId="77280312" w14:textId="77777777" w:rsidR="00B411C3" w:rsidRDefault="00B411C3" w:rsidP="00B411C3">
      <w:pPr>
        <w:pStyle w:val="NormalWeb"/>
        <w:jc w:val="both"/>
      </w:pPr>
      <w:r>
        <w:t>Trust and security are central to the adoption and sustained use of e-government systems. Kim and Lee (2021) find that trust mediates the relationship between platform use and user satisfaction in South Korea, suggesting that institutional credibility and system reliability are key determinants of acceptance. Zhang and Li (2021) show that blockchain technologies enhance auditability and reduce corruption, thereby improving stakeholder confidence in digital procurement systems. However, trust is often treated as a static attribute rather than a dynamic relationship shaped by historical procurement scandals, political interference, and governance legitimacy. The literature lacks robust theorization of trust-building mechanisms, cybersecurity governance, and stakeholder-specific trust dynamics, especially in fragile or post-conflict states where institutional trust is often low.</w:t>
      </w:r>
    </w:p>
    <w:p w14:paraId="550AB6EF" w14:textId="77777777" w:rsidR="00224D0C" w:rsidRPr="00DC5F09" w:rsidRDefault="00B411C3" w:rsidP="00DC5F09">
      <w:pPr>
        <w:pStyle w:val="NormalWeb"/>
        <w:jc w:val="both"/>
      </w:pPr>
      <w:r>
        <w:t xml:space="preserve">Cultural and behavioral factors significantly influence the adoption of e-government systems, yet they remain underexplored in much of the literature. Al-Mutairi, Naser, and Fayez (2018) highlight </w:t>
      </w:r>
      <w:r>
        <w:lastRenderedPageBreak/>
        <w:t>cultural, technical, and organizational barriers to adoption in Kuwait, including resistance to change and limited digital literacy. Chikuta and Banda (2022) show that behavioral resistance and infrastructural gaps hinder digital readiness in Malawi, particularly among procurement officers unfamiliar with digital tools. These insights challenge universalist models of technology adoption and call for contextually tailored systems that reflect local norms, values, and institutional histories. There is a notable gap in ethnographic and culturally grounded studies that examine how e-government platforms are interpreted, resisted, or repurposed by different actors within diverse governance settings.</w:t>
      </w:r>
    </w:p>
    <w:p w14:paraId="1718D029" w14:textId="77777777" w:rsidR="00164E57" w:rsidRPr="00DC5F09" w:rsidRDefault="00164E57" w:rsidP="00DC5F09">
      <w:pPr>
        <w:pStyle w:val="Heading2"/>
        <w:jc w:val="both"/>
        <w:rPr>
          <w:rFonts w:ascii="Times New Roman" w:hAnsi="Times New Roman" w:cs="Times New Roman"/>
          <w:b/>
          <w:color w:val="auto"/>
          <w:sz w:val="24"/>
          <w:szCs w:val="24"/>
        </w:rPr>
      </w:pPr>
      <w:r w:rsidRPr="00DC5F09">
        <w:rPr>
          <w:rFonts w:ascii="Times New Roman" w:hAnsi="Times New Roman" w:cs="Times New Roman"/>
          <w:b/>
          <w:color w:val="auto"/>
          <w:sz w:val="24"/>
          <w:szCs w:val="24"/>
        </w:rPr>
        <w:t>What Impacts Arise from E-Government Services in the Public Procurement Sector?</w:t>
      </w:r>
    </w:p>
    <w:p w14:paraId="2DF66680" w14:textId="77777777" w:rsidR="00B411C3" w:rsidRPr="00DC5F09" w:rsidRDefault="00B411C3" w:rsidP="00DC5F09">
      <w:pPr>
        <w:pStyle w:val="NormalWeb"/>
        <w:jc w:val="both"/>
      </w:pPr>
      <w:r w:rsidRPr="00DC5F09">
        <w:t xml:space="preserve">The reviewed studies strongly affirm that e-government systems enhance transparency and deter corruption in public procurement. Agbeko, </w:t>
      </w:r>
      <w:proofErr w:type="spellStart"/>
      <w:r w:rsidRPr="00DC5F09">
        <w:t>Effah</w:t>
      </w:r>
      <w:proofErr w:type="spellEnd"/>
      <w:r w:rsidRPr="00DC5F09">
        <w:t>, and Boateng (2021) demonstrate that inter-organizational systems in Ghana expose procurement decisions to public scrutiny, thereby improving accountability. Ndlovu and Moyo (2021) show that digital platforms in Southern Africa increase visibility and reduce opportunities for corrupt practices. Zhang and Li (2021) emphasize the role of blockchain technologies in strengthening auditability and fraud deterrence within China’s procurement systems. However, while these findings are compelling, they often treat transparency as a static and universally beneficial outcome. The literature under-theorizes how ac</w:t>
      </w:r>
      <w:r w:rsidR="00DC5F09">
        <w:t xml:space="preserve">tors adapt to digital oversight, </w:t>
      </w:r>
      <w:r w:rsidRPr="00DC5F09">
        <w:t xml:space="preserve">such as shifting collusion to pre-bidding stages or exploiting system loopholes. This reveals a critical gap: limited research on adaptive corruption, transparency fatigue, and the ways in which sophisticated </w:t>
      </w:r>
      <w:proofErr w:type="gramStart"/>
      <w:r w:rsidRPr="00DC5F09">
        <w:t>actors</w:t>
      </w:r>
      <w:proofErr w:type="gramEnd"/>
      <w:r w:rsidRPr="00DC5F09">
        <w:t xml:space="preserve"> game digital systems to maintain illicit advantages.</w:t>
      </w:r>
    </w:p>
    <w:p w14:paraId="60C6F96A" w14:textId="77777777" w:rsidR="00B411C3" w:rsidRPr="00DC5F09" w:rsidRDefault="00B411C3" w:rsidP="00DC5F09">
      <w:pPr>
        <w:pStyle w:val="NormalWeb"/>
        <w:jc w:val="both"/>
      </w:pPr>
      <w:r w:rsidRPr="00DC5F09">
        <w:t xml:space="preserve">Automation and digitization are widely credited with improving procurement speed and responsiveness. </w:t>
      </w:r>
      <w:proofErr w:type="spellStart"/>
      <w:r w:rsidRPr="00DC5F09">
        <w:t>Albinkhalil</w:t>
      </w:r>
      <w:proofErr w:type="spellEnd"/>
      <w:r w:rsidRPr="00DC5F09">
        <w:t xml:space="preserve"> and </w:t>
      </w:r>
      <w:proofErr w:type="spellStart"/>
      <w:r w:rsidRPr="00DC5F09">
        <w:t>Razzaque</w:t>
      </w:r>
      <w:proofErr w:type="spellEnd"/>
      <w:r w:rsidRPr="00DC5F09">
        <w:t xml:space="preserve"> (2021) highlight how e-procurement systems enhance operational agility and reduce delays. Al-Rashid and Khan (2021) report that digital platforms in Pakistan minimize manual errors and streamline procurement workflows. Al-Mutairi and Al-Qahtani (2023) emphasize improved logistics coordination and faster procurement cycles in Saudi Arabia. Despite these positive claims, many studies rely on projected benefits or anecdotal evidence rather than rigorous empirical analysis. Few offer comparative data on pre- and post-implementation cycle times or control for confounding variables such as staffing levels or procurement complexity. This points to a significant gap: the lack of longitudinal, comparative studies that quantify efficiency gains across diverse procurement contexts and system maturities.</w:t>
      </w:r>
    </w:p>
    <w:p w14:paraId="4C5B4B32" w14:textId="77777777" w:rsidR="00B411C3" w:rsidRPr="00DC5F09" w:rsidRDefault="00B411C3" w:rsidP="00DC5F09">
      <w:pPr>
        <w:pStyle w:val="NormalWeb"/>
        <w:jc w:val="both"/>
      </w:pPr>
      <w:r w:rsidRPr="00DC5F09">
        <w:t xml:space="preserve">E-government systems are frequently associated with cost savings and improved value for money. Shahin, </w:t>
      </w:r>
      <w:proofErr w:type="spellStart"/>
      <w:r w:rsidRPr="00DC5F09">
        <w:t>Jamkhaneh</w:t>
      </w:r>
      <w:proofErr w:type="spellEnd"/>
      <w:r w:rsidRPr="00DC5F09">
        <w:t>, and Shahin (2022) argue that e-purchasing streamlines supply chains and reduces procurement costs. Sánchez-Rodríguez, Martínez-Lorente, and Hemsworth (2020) report enhanced procurement efficiency in SMEs across Spain and the UK, even in the face of adoption barriers. However, these studies tend to focus on direct cost reductions without accounting for indirect costs such as training, system maintenance, or the opportunity costs of excluding digitally unprepared suppliers. There is minimal analysis of total cost of ownership, cost-benefit trade-offs, or the distributional impacts of savings across different supplier categories. This limits the ability to assess whether digital procurement reforms deliver equitable and sustainable financial outcomes.</w:t>
      </w:r>
    </w:p>
    <w:p w14:paraId="6560A862" w14:textId="77777777" w:rsidR="00B411C3" w:rsidRPr="00DC5F09" w:rsidRDefault="00B411C3" w:rsidP="00DC5F09">
      <w:pPr>
        <w:pStyle w:val="NormalWeb"/>
        <w:jc w:val="both"/>
      </w:pPr>
      <w:r w:rsidRPr="00DC5F09">
        <w:lastRenderedPageBreak/>
        <w:t xml:space="preserve">Digital procurement platforms are often credited with enhancing accountability and building stakeholder trust. Welch et al. (2005) show that transparency and responsiveness in U.S. e-government systems increase citizen confidence. </w:t>
      </w:r>
      <w:proofErr w:type="spellStart"/>
      <w:r w:rsidRPr="00DC5F09">
        <w:t>Tumpa</w:t>
      </w:r>
      <w:proofErr w:type="spellEnd"/>
      <w:r w:rsidRPr="00DC5F09">
        <w:t xml:space="preserve"> and </w:t>
      </w:r>
      <w:proofErr w:type="spellStart"/>
      <w:r w:rsidRPr="00DC5F09">
        <w:t>Naeni</w:t>
      </w:r>
      <w:proofErr w:type="spellEnd"/>
      <w:r w:rsidRPr="00DC5F09">
        <w:t xml:space="preserve"> (2025) demonstrate that digital governance tools improve stakeholder engagement and oversight. OECD reports (2021 &amp; 2025) confirm that standardized benchmarks and digital monitoring foster institutional trust. Yet, these claims are normatively strong but empirically thin. Trust is frequently assumed to emerge automatically from system transparency, without examining how historical grievances, civic engagement, or institutional credibility shape stakeholder perceptions. There is insufficient research on trust-building trajectories, stakeholder-specific trust dynamics, and how digital systems interact with public skepticism, particularly in contexts marked by political instability or procurement scandals.</w:t>
      </w:r>
    </w:p>
    <w:p w14:paraId="4828B508" w14:textId="77777777" w:rsidR="00B411C3" w:rsidRPr="00DC5F09" w:rsidRDefault="00B411C3" w:rsidP="00DC5F09">
      <w:pPr>
        <w:pStyle w:val="NormalWeb"/>
        <w:jc w:val="both"/>
      </w:pPr>
      <w:r w:rsidRPr="00DC5F09">
        <w:t xml:space="preserve">Digital systems are increasingly seen as tools for promoting ethical compliance and reshaping procurement culture. Ejigu (2021) highlights how digital contract management systems in Ethiopia reduce discretion and promote procedural compliance. Kassa and Tadesse (2021) identify behavioral resistance and training gaps, suggesting that digital reforms can catalyze cultural change. However, these contributions lack granularity. The literature does not adequately explore how ethical norms vary across institutions or regions, nor does it consider how digital systems may unintentionally </w:t>
      </w:r>
      <w:r w:rsidR="00DC5F09">
        <w:t xml:space="preserve">reinforce unethical workarounds, </w:t>
      </w:r>
      <w:r w:rsidRPr="00DC5F09">
        <w:t>such as gaming algorithms or manipulating digital records. There is a need for context-sensitive behavioral studies and ethnographic research that examine how procurement actors interpret, resist, or adapt to digital constraints in practice.</w:t>
      </w:r>
    </w:p>
    <w:p w14:paraId="5CB5D04B" w14:textId="77777777" w:rsidR="00B411C3" w:rsidRPr="00DC5F09" w:rsidRDefault="00B411C3" w:rsidP="00DC5F09">
      <w:pPr>
        <w:pStyle w:val="NormalWeb"/>
        <w:jc w:val="both"/>
      </w:pPr>
      <w:r w:rsidRPr="00DC5F09">
        <w:t xml:space="preserve">E-government platforms are increasingly linked to improved supplier performance and strategic sourcing. </w:t>
      </w:r>
      <w:proofErr w:type="spellStart"/>
      <w:r w:rsidRPr="00DC5F09">
        <w:t>Albinkhalil</w:t>
      </w:r>
      <w:proofErr w:type="spellEnd"/>
      <w:r w:rsidRPr="00DC5F09">
        <w:t xml:space="preserve"> and </w:t>
      </w:r>
      <w:proofErr w:type="spellStart"/>
      <w:r w:rsidRPr="00DC5F09">
        <w:t>Razzaque</w:t>
      </w:r>
      <w:proofErr w:type="spellEnd"/>
      <w:r w:rsidRPr="00DC5F09">
        <w:t xml:space="preserve"> (2021) show that digital systems enhance supply chain responsiveness and enable supplier benchmarking. Shahin, </w:t>
      </w:r>
      <w:proofErr w:type="spellStart"/>
      <w:r w:rsidRPr="00DC5F09">
        <w:t>Jamkhaneh</w:t>
      </w:r>
      <w:proofErr w:type="spellEnd"/>
      <w:r w:rsidRPr="00DC5F09">
        <w:t>, and Shahin (2022) reinforce this by discussing how e-procurement supports long-term supplier coordination and strategic planning. While these claims are promising, they remain largely aspirational. The literature lacks evidence on how performance data is used in practice, how suppliers respond to digital evaluation mechanisms, and whether these systems lead to sustained improvements in procurement outcomes. There is limited research on feedback loops, supplier adaptation, and the strategic use of performance metrics in procurement planning and decision-making.</w:t>
      </w:r>
    </w:p>
    <w:p w14:paraId="4604A5A9" w14:textId="77777777" w:rsidR="00B411C3" w:rsidRDefault="00B411C3" w:rsidP="00DC5F09">
      <w:pPr>
        <w:pStyle w:val="NormalWeb"/>
        <w:jc w:val="both"/>
      </w:pPr>
      <w:r w:rsidRPr="00DC5F09">
        <w:t>E-government adoption is often framed as a catalyst for institutional reform and capacity building. UNDP (2022) emphasizes the importance of training and infrastructure in enhancing institutional readiness, particularly in the Global South. Deloitte and VMware (2022) advocate for citizen-centric digital transformation strategies that align procurement reforms with broader development goals. While this macro-level framing is important, it is underdeveloped in empirical terms. The literature rarely disaggregates capacity outcomes or examines how reform trajectories vary across ministries, regions, or administrative levels. There is a clear gap in disaggregated capacity assessments, reform pathway analyses, and comparative studies that evaluate how e-procurement contributes to institutional transformation across different governance contexts.</w:t>
      </w:r>
    </w:p>
    <w:p w14:paraId="3B542B1F" w14:textId="77777777" w:rsidR="00AA2912" w:rsidRDefault="00AA2912" w:rsidP="00DC5F09">
      <w:pPr>
        <w:pStyle w:val="NormalWeb"/>
        <w:jc w:val="both"/>
      </w:pPr>
    </w:p>
    <w:p w14:paraId="27071F3A" w14:textId="77777777" w:rsidR="00AA2912" w:rsidRPr="00DC5F09" w:rsidRDefault="00AA2912" w:rsidP="00DC5F09">
      <w:pPr>
        <w:pStyle w:val="NormalWeb"/>
        <w:jc w:val="both"/>
      </w:pPr>
    </w:p>
    <w:p w14:paraId="5745BB2D" w14:textId="77777777" w:rsidR="00164E57" w:rsidRPr="00DC5F09" w:rsidRDefault="00164E57" w:rsidP="00DC5F09">
      <w:pPr>
        <w:jc w:val="both"/>
        <w:rPr>
          <w:b/>
        </w:rPr>
      </w:pPr>
      <w:r w:rsidRPr="00DC5F09">
        <w:rPr>
          <w:b/>
        </w:rPr>
        <w:lastRenderedPageBreak/>
        <w:t>What Is Known About the Challenges and Barriers in Implementing E-Government in Public Procurement?</w:t>
      </w:r>
    </w:p>
    <w:p w14:paraId="292A95A6" w14:textId="77777777" w:rsidR="00DC5F09" w:rsidRDefault="00DC5F09" w:rsidP="00DC5F09">
      <w:pPr>
        <w:pStyle w:val="NormalWeb"/>
        <w:jc w:val="both"/>
      </w:pPr>
      <w:r>
        <w:t>Infrastructure deficits remain a foundational barrier to the successful implementation of e-government in public procurement. Al-Khatib and Abu-</w:t>
      </w:r>
      <w:proofErr w:type="spellStart"/>
      <w:r>
        <w:t>Shanab</w:t>
      </w:r>
      <w:proofErr w:type="spellEnd"/>
      <w:r>
        <w:t xml:space="preserve"> (2019) emphasize the importance of ICT readiness in Jordan, identifying unreliable internet connectivity, poor system integration, and limited technical capacity as critical constraints. Tsegaye and Kebede (2022) echo these concerns in Ethiopia, where decentralized procurement systems face infrastructural gaps compounded by leadership challenges. While these technical limitations are well-documented, the literature often overlooks the political economy of infrastructure investment, specifically, how elite interests, donor agendas, and regional disparities shape ICT priorities. There is limited research on infrastructure governance, inter-agency coordination, and the prioritization of digital investments within broader public sector agendas, leaving a gap in understanding how infrastructure decisions are negotiated and sustained.</w:t>
      </w:r>
    </w:p>
    <w:p w14:paraId="61BBD526" w14:textId="77777777" w:rsidR="00DC5F09" w:rsidRDefault="00DC5F09" w:rsidP="00DC5F09">
      <w:pPr>
        <w:pStyle w:val="NormalWeb"/>
        <w:jc w:val="both"/>
      </w:pPr>
      <w:r>
        <w:t>Behavioral resistance and low user acceptance continue to impede the adoption of digital procurement systems. Kassa and Tadesse (2021) report that resistance to change and inadequate training are major barriers in Ethiopia, where procurement officers often struggle with unfamiliar technologies. Chikuta and Banda (2022) highlight similar challenges in Malawi, where digital unfamiliarity and cultural inertia slow down adoption. However, resistance is frequently treated as a static obstacle rather than a dynamic response to shifting power relations. In some ca</w:t>
      </w:r>
      <w:r w:rsidR="00486C5D">
        <w:t xml:space="preserve">ses, resistance may be rational, </w:t>
      </w:r>
      <w:r>
        <w:t>particularly when digital systems threaten informal networks, discretionary authority, or entrenched bureaucratic practices. The literature lacks politically informed behavioral studies that examine resistance as a form of institutional negotiation, rather than merely a training deficit, leaving a critical gap in understanding the socio-political dimensions of digital reform.</w:t>
      </w:r>
    </w:p>
    <w:p w14:paraId="7DECF675" w14:textId="77777777" w:rsidR="00DC5F09" w:rsidRDefault="00DC5F09" w:rsidP="00DC5F09">
      <w:pPr>
        <w:pStyle w:val="NormalWeb"/>
        <w:jc w:val="both"/>
      </w:pPr>
      <w:r>
        <w:t>Institutional capacity and digital skills are unevenly distributed across regions, posing significant challenges to e-government implementation. UNDP (2022) emphasizes the need for digital literacy and technical competence, particularly in the Global South where institutional readiness varies widely. Kassa and Tadesse (2021) identify skill gaps among procurement officers and system users in Ethiopia, underscoring the importance of targeted training. Yet, capacity is often framed narrowly as individual competence, with little attention to organizational learning, peer-to-peer knowledge diffusion, or the interaction between capacity and procurement complexity. There is insufficient exploration of institutional capacity ecosystems, including mentoring programs, embedded support structures, and adaptive learning mechanisms that sustain digital engagement over time.</w:t>
      </w:r>
    </w:p>
    <w:p w14:paraId="06B7D6AD" w14:textId="77777777" w:rsidR="00DC5F09" w:rsidRDefault="00DC5F09" w:rsidP="00DC5F09">
      <w:pPr>
        <w:pStyle w:val="NormalWeb"/>
        <w:jc w:val="both"/>
      </w:pPr>
      <w:r>
        <w:t xml:space="preserve">Legal and regulatory fragmentation continues to obstruct the digital transformation of public procurement. Siddiqui and Mehmood (2021) identify outdated procurement regulations and policy incoherence in Pakistan, which hinder the integration of digital systems. Al-Mutairi, Naser, and Fayez (2018) show that weak legal mandates and fragmented governance structures in Kuwait reduce system legitimacy and obstruct implementation. While these studies rightly highlight regulatory barriers, they under-theorize how legal frameworks evolve in response to digital disruption. Procurement laws often lag behind technological innovation, creating grey zones of compliance and uncertainty. There is minimal research on regulatory agility, legal harmonization </w:t>
      </w:r>
      <w:r>
        <w:lastRenderedPageBreak/>
        <w:t>across jurisdictions, and the sequencing of procurement law r</w:t>
      </w:r>
      <w:r w:rsidR="00486C5D">
        <w:t xml:space="preserve">eform alongside digital rollout, </w:t>
      </w:r>
      <w:r>
        <w:t>issues that are central to ensuring legal coherence and institutional legitimacy.</w:t>
      </w:r>
    </w:p>
    <w:p w14:paraId="55B35B2D" w14:textId="77777777" w:rsidR="00DC5F09" w:rsidRDefault="00DC5F09" w:rsidP="00DC5F09">
      <w:pPr>
        <w:pStyle w:val="NormalWeb"/>
        <w:jc w:val="both"/>
      </w:pPr>
      <w:r>
        <w:t>Trust and security are pivotal to the acceptance and sustainability of e-government systems. Kim and Lee (2021) demonstrate that trust mediates platform use and user satisfaction in South Korea, suggesting that institutional credibility and system reliability are key determinants of adoption. Zhang and Li (2021) show that blockchain technologies enhance auditability and reduce corruption, but also stress the need for secure systems to protect sensitive procurement data. Despite these insights, trust is often treated as a technical issue, focused on encryption, traceability, and system integrity, rather than a relational and historical construct. The literature rarely explores how trust is built, how it varies across stakeholders, or how it is eroded by system failures and governance lapses. There is a clear gap in multi-stakeholder trust studies, cybersecurity governance frameworks, and risk communication strategies tailored to digital procurement environments.</w:t>
      </w:r>
    </w:p>
    <w:p w14:paraId="5CBDAD41" w14:textId="77777777" w:rsidR="00DC5F09" w:rsidRDefault="00DC5F09" w:rsidP="00DC5F09">
      <w:pPr>
        <w:pStyle w:val="NormalWeb"/>
        <w:jc w:val="both"/>
      </w:pPr>
      <w:r>
        <w:t>The financial and institutional sustainability of e-government reforms remains a pressing concern. Chikuta and Banda (2022) report that digital gaps and resource constraints hinder full implementation in Malawi, particularly in underserved regions. UNDP (2022) adds</w:t>
      </w:r>
      <w:r w:rsidR="00486C5D">
        <w:t xml:space="preserve"> that sustainability challenges, </w:t>
      </w:r>
      <w:r>
        <w:t>including donor depen</w:t>
      </w:r>
      <w:r w:rsidR="00486C5D">
        <w:t xml:space="preserve">dency and uneven infrastructure, </w:t>
      </w:r>
      <w:r>
        <w:t>limit the long-term success of digital procurement initiatives. However, cost is often framed narrowly in fiscal terms, ignoring the broader dimensions of institutional and human resource sustainability. Few studies examine value creation, return on investment, or how cost perceptions influence political support and reform momentum. There is minimal analysis of cost-benefit dynamics, institutional ownership models, and the impact of funding structures on system longev</w:t>
      </w:r>
      <w:r w:rsidR="00486C5D">
        <w:t xml:space="preserve">ity and adaptability, </w:t>
      </w:r>
      <w:r>
        <w:t>factors that are crucial for ensuring that digital procurement systems are not only implemented but sustained over time.</w:t>
      </w:r>
    </w:p>
    <w:p w14:paraId="73AC83A2" w14:textId="77777777" w:rsidR="001921C9" w:rsidRPr="00DC6ED5" w:rsidRDefault="00DC6ED5" w:rsidP="00DC6ED5">
      <w:pPr>
        <w:spacing w:before="100" w:beforeAutospacing="1" w:after="100" w:afterAutospacing="1" w:line="240" w:lineRule="auto"/>
        <w:jc w:val="both"/>
        <w:rPr>
          <w:rFonts w:cs="Times New Roman"/>
          <w:b/>
          <w:szCs w:val="24"/>
        </w:rPr>
      </w:pPr>
      <w:r w:rsidRPr="00DC6ED5">
        <w:rPr>
          <w:rFonts w:cs="Times New Roman"/>
          <w:b/>
          <w:szCs w:val="24"/>
        </w:rPr>
        <w:t>6.0 Implications for Research and Practice</w:t>
      </w:r>
    </w:p>
    <w:p w14:paraId="3C42C2B5" w14:textId="77777777" w:rsidR="00DC6ED5" w:rsidRPr="000213F7" w:rsidRDefault="00DC6ED5" w:rsidP="00DC6ED5">
      <w:pPr>
        <w:pStyle w:val="Heading2"/>
        <w:jc w:val="both"/>
        <w:rPr>
          <w:rFonts w:ascii="Times New Roman" w:hAnsi="Times New Roman" w:cs="Times New Roman"/>
          <w:b/>
          <w:color w:val="auto"/>
          <w:sz w:val="24"/>
          <w:szCs w:val="24"/>
        </w:rPr>
      </w:pPr>
      <w:r w:rsidRPr="000213F7">
        <w:rPr>
          <w:rFonts w:ascii="Times New Roman" w:hAnsi="Times New Roman" w:cs="Times New Roman"/>
          <w:b/>
          <w:color w:val="auto"/>
          <w:sz w:val="24"/>
          <w:szCs w:val="24"/>
        </w:rPr>
        <w:t>Implications for Research</w:t>
      </w:r>
    </w:p>
    <w:p w14:paraId="6834601C" w14:textId="77777777" w:rsidR="00DC6ED5" w:rsidRPr="000213F7" w:rsidRDefault="00DC6ED5" w:rsidP="00DC6ED5">
      <w:pPr>
        <w:pStyle w:val="NormalWeb"/>
        <w:jc w:val="both"/>
        <w:rPr>
          <w:i/>
        </w:rPr>
      </w:pPr>
      <w:r w:rsidRPr="000213F7">
        <w:rPr>
          <w:rStyle w:val="Strong"/>
          <w:i/>
        </w:rPr>
        <w:t>Need for Longitudinal and Comparative Studies</w:t>
      </w:r>
      <w:r w:rsidRPr="000213F7">
        <w:rPr>
          <w:i/>
        </w:rPr>
        <w:t xml:space="preserve"> </w:t>
      </w:r>
    </w:p>
    <w:p w14:paraId="3C580184" w14:textId="77777777" w:rsidR="00DC6ED5" w:rsidRPr="00DC6ED5" w:rsidRDefault="00DC6ED5" w:rsidP="00DC6ED5">
      <w:pPr>
        <w:pStyle w:val="NormalWeb"/>
        <w:jc w:val="both"/>
      </w:pPr>
      <w:r w:rsidRPr="00DC6ED5">
        <w:t>Many studies emphasize the anticipated benefits of e-government systems, such as increased efficiency, transparency, and accountability. However, there is a notable gap in longitudinal research that tracks these outcomes over time. Future studies should adopt designs that allow for temporal comparisons and cross-contextual analysis, enabling scholars to assess the sustainability, cost-effectiveness, and evolving performance of digital procurement systems across different governance environments.</w:t>
      </w:r>
    </w:p>
    <w:p w14:paraId="173EFBA6" w14:textId="77777777" w:rsidR="00DC6ED5" w:rsidRPr="000213F7" w:rsidRDefault="00DC6ED5" w:rsidP="00DC6ED5">
      <w:pPr>
        <w:pStyle w:val="NormalWeb"/>
        <w:jc w:val="both"/>
        <w:rPr>
          <w:i/>
        </w:rPr>
      </w:pPr>
      <w:r w:rsidRPr="000213F7">
        <w:rPr>
          <w:rStyle w:val="Strong"/>
          <w:i/>
        </w:rPr>
        <w:t>Underexplored Dimensions of Adaptive Corruption</w:t>
      </w:r>
      <w:r w:rsidRPr="000213F7">
        <w:rPr>
          <w:i/>
        </w:rPr>
        <w:t xml:space="preserve"> </w:t>
      </w:r>
    </w:p>
    <w:p w14:paraId="6648C8D9" w14:textId="77777777" w:rsidR="00DC6ED5" w:rsidRPr="00DC6ED5" w:rsidRDefault="00DC6ED5" w:rsidP="00DC6ED5">
      <w:pPr>
        <w:pStyle w:val="NormalWeb"/>
        <w:jc w:val="both"/>
      </w:pPr>
      <w:r w:rsidRPr="00DC6ED5">
        <w:t xml:space="preserve">Digital platforms are often credited with reducing corruption in public procurement, yet limited scholarly attention has been given to how corrupt actors adapt to new technological controls. Research should explore second-order corruption effects, including algorithmic manipulation, digital collusion, and the emergence of new loopholes within e-procurement systems. </w:t>
      </w:r>
      <w:r w:rsidRPr="00DC6ED5">
        <w:lastRenderedPageBreak/>
        <w:t>Understanding these adaptive behaviors is essential for designing resilient and ethically robust digital infrastructures.</w:t>
      </w:r>
    </w:p>
    <w:p w14:paraId="114E19DB" w14:textId="77777777" w:rsidR="00DC6ED5" w:rsidRPr="000213F7" w:rsidRDefault="00DC6ED5" w:rsidP="00DC6ED5">
      <w:pPr>
        <w:pStyle w:val="NormalWeb"/>
        <w:jc w:val="both"/>
        <w:rPr>
          <w:i/>
        </w:rPr>
      </w:pPr>
      <w:r w:rsidRPr="000213F7">
        <w:rPr>
          <w:rStyle w:val="Strong"/>
          <w:i/>
        </w:rPr>
        <w:t>Trust as a Relational Construct</w:t>
      </w:r>
      <w:r w:rsidRPr="000213F7">
        <w:rPr>
          <w:i/>
        </w:rPr>
        <w:t xml:space="preserve"> </w:t>
      </w:r>
    </w:p>
    <w:p w14:paraId="7C42A50C" w14:textId="77777777" w:rsidR="00DC6ED5" w:rsidRPr="00DC6ED5" w:rsidRDefault="00DC6ED5" w:rsidP="00DC6ED5">
      <w:pPr>
        <w:pStyle w:val="NormalWeb"/>
        <w:jc w:val="both"/>
      </w:pPr>
      <w:r w:rsidRPr="00DC6ED5">
        <w:t>Trust in e-procurement systems is frequently conceptualized as a static output of system performance rather than a dynamic and historically contingent relationship. Future research should examine trust as a relational construct shaped by institutional histories, stakeholder interactions, and socio-political contexts. This is particularly relevant in fragile or post-conflict settings where procurement reforms intersect with broader legitimacy and governance challenges.</w:t>
      </w:r>
    </w:p>
    <w:p w14:paraId="23C2A9EF" w14:textId="77777777" w:rsidR="00DC6ED5" w:rsidRPr="000213F7" w:rsidRDefault="00DC6ED5" w:rsidP="00DC6ED5">
      <w:pPr>
        <w:pStyle w:val="NormalWeb"/>
        <w:jc w:val="both"/>
        <w:rPr>
          <w:i/>
        </w:rPr>
      </w:pPr>
      <w:r w:rsidRPr="000213F7">
        <w:rPr>
          <w:rStyle w:val="Strong"/>
          <w:i/>
        </w:rPr>
        <w:t>Digital Exclusion and Equity Impacts</w:t>
      </w:r>
      <w:r w:rsidRPr="000213F7">
        <w:rPr>
          <w:i/>
        </w:rPr>
        <w:t xml:space="preserve"> </w:t>
      </w:r>
    </w:p>
    <w:p w14:paraId="7DFDF0F0" w14:textId="77777777" w:rsidR="00DC6ED5" w:rsidRPr="00DC6ED5" w:rsidRDefault="00DC6ED5" w:rsidP="00DC6ED5">
      <w:pPr>
        <w:pStyle w:val="NormalWeb"/>
        <w:jc w:val="both"/>
      </w:pPr>
      <w:r w:rsidRPr="00DC6ED5">
        <w:t>The transition to digital procurement platforms risks deepening existing inequalities, especially for marginalized suppliers who face barriers related to digital literacy, infrastructure access, and language. Researchers should disaggregate findings by gender, region, and firm size to expose patterns of exclusion and inform the design of more inclusive systems. Equity-focused studies are vital to ensuring that digital reforms do not inadvertently reinforce structural disadvantages.</w:t>
      </w:r>
    </w:p>
    <w:p w14:paraId="12113375" w14:textId="77777777" w:rsidR="00DC6ED5" w:rsidRPr="000213F7" w:rsidRDefault="00DC6ED5" w:rsidP="00DC6ED5">
      <w:pPr>
        <w:pStyle w:val="NormalWeb"/>
        <w:jc w:val="both"/>
        <w:rPr>
          <w:i/>
        </w:rPr>
      </w:pPr>
      <w:r w:rsidRPr="000213F7">
        <w:rPr>
          <w:rStyle w:val="Strong"/>
          <w:i/>
        </w:rPr>
        <w:t>Regulatory Agility and Legal Reform</w:t>
      </w:r>
      <w:r w:rsidRPr="000213F7">
        <w:rPr>
          <w:i/>
        </w:rPr>
        <w:t xml:space="preserve"> </w:t>
      </w:r>
    </w:p>
    <w:p w14:paraId="38EFC42E" w14:textId="77777777" w:rsidR="00DC6ED5" w:rsidRPr="00DC6ED5" w:rsidRDefault="00DC6ED5" w:rsidP="00DC6ED5">
      <w:pPr>
        <w:pStyle w:val="NormalWeb"/>
        <w:jc w:val="both"/>
      </w:pPr>
      <w:r w:rsidRPr="00DC6ED5">
        <w:t>Technological innovation in procurement often outpaces the evolution of legal and regulatory frameworks. There is a pressing need for research that investigates how procurement laws adapt to digital transformations, including the harmonization of standards across jurisdictions and the integration of emerging technologies such as blockchain. These studies can guide policymakers in crafting agile and coherent legal environments that support innovation while safeguarding public interest.</w:t>
      </w:r>
    </w:p>
    <w:p w14:paraId="6145E6C9" w14:textId="77777777" w:rsidR="00DC6ED5" w:rsidRPr="000213F7" w:rsidRDefault="00DC6ED5" w:rsidP="00DC6ED5">
      <w:pPr>
        <w:pStyle w:val="NormalWeb"/>
        <w:jc w:val="both"/>
        <w:rPr>
          <w:rStyle w:val="Strong"/>
          <w:i/>
        </w:rPr>
      </w:pPr>
      <w:r w:rsidRPr="000213F7">
        <w:rPr>
          <w:rStyle w:val="Strong"/>
          <w:i/>
        </w:rPr>
        <w:t>Organizational Learning and Capacity Ecosystems</w:t>
      </w:r>
    </w:p>
    <w:p w14:paraId="51B39133" w14:textId="77777777" w:rsidR="00DC6ED5" w:rsidRPr="00DC6ED5" w:rsidRDefault="00DC6ED5" w:rsidP="00DC6ED5">
      <w:pPr>
        <w:pStyle w:val="NormalWeb"/>
        <w:jc w:val="both"/>
      </w:pPr>
      <w:r w:rsidRPr="00DC6ED5">
        <w:t>Capacity building in digital procurement is frequently framed in terms of individual technical competence, overlooking the importance of organizational learning and peer-based knowledge exchange. Future research should explore how institutions cultivate and sustain digital capabilities over time, including the role of mentoring, collaborative networks, and adaptive learning systems. This broader perspective can inform more effective and durable capacity-building strategies.</w:t>
      </w:r>
    </w:p>
    <w:p w14:paraId="70D625BE" w14:textId="77777777" w:rsidR="00DC6ED5" w:rsidRPr="00CA2E59" w:rsidRDefault="00DC6ED5" w:rsidP="00DC6ED5">
      <w:pPr>
        <w:pStyle w:val="Heading2"/>
        <w:jc w:val="both"/>
        <w:rPr>
          <w:rFonts w:ascii="Times New Roman" w:hAnsi="Times New Roman" w:cs="Times New Roman"/>
          <w:b/>
          <w:color w:val="auto"/>
          <w:sz w:val="24"/>
          <w:szCs w:val="24"/>
        </w:rPr>
      </w:pPr>
      <w:r w:rsidRPr="00CA2E59">
        <w:rPr>
          <w:rFonts w:ascii="Times New Roman" w:hAnsi="Times New Roman" w:cs="Times New Roman"/>
          <w:b/>
          <w:color w:val="auto"/>
          <w:sz w:val="24"/>
          <w:szCs w:val="24"/>
        </w:rPr>
        <w:t>Implications for Practice</w:t>
      </w:r>
    </w:p>
    <w:p w14:paraId="6272F085" w14:textId="77777777" w:rsidR="00DC6ED5" w:rsidRPr="000213F7" w:rsidRDefault="00DC6ED5" w:rsidP="00DC6ED5">
      <w:pPr>
        <w:pStyle w:val="NormalWeb"/>
        <w:jc w:val="both"/>
        <w:rPr>
          <w:i/>
        </w:rPr>
      </w:pPr>
      <w:r w:rsidRPr="000213F7">
        <w:rPr>
          <w:rStyle w:val="Strong"/>
          <w:i/>
        </w:rPr>
        <w:t>Strategic Infrastructure Investment</w:t>
      </w:r>
      <w:r w:rsidRPr="000213F7">
        <w:rPr>
          <w:i/>
        </w:rPr>
        <w:t xml:space="preserve"> </w:t>
      </w:r>
    </w:p>
    <w:p w14:paraId="6E81F9F4" w14:textId="77777777" w:rsidR="00DC6ED5" w:rsidRPr="00DC6ED5" w:rsidRDefault="00DC6ED5" w:rsidP="00DC6ED5">
      <w:pPr>
        <w:pStyle w:val="NormalWeb"/>
        <w:jc w:val="both"/>
      </w:pPr>
      <w:r w:rsidRPr="00DC6ED5">
        <w:t>Governments must treat ICT infrastructure not merely as a technical prerequisite but as a foundational element of governance reform. Strategic investments should be context-sensitive, addressing regional disparities in connectivity and ensuring system interoperability across agencies. Infrastructure planning must align with broader public sector modernization goals to maximize the transformative potential of e-procurement.</w:t>
      </w:r>
    </w:p>
    <w:p w14:paraId="0B5EE51A" w14:textId="77777777" w:rsidR="00DC6ED5" w:rsidRPr="000213F7" w:rsidRDefault="00DC6ED5" w:rsidP="00DC6ED5">
      <w:pPr>
        <w:pStyle w:val="NormalWeb"/>
        <w:jc w:val="both"/>
        <w:rPr>
          <w:i/>
        </w:rPr>
      </w:pPr>
      <w:r w:rsidRPr="000213F7">
        <w:rPr>
          <w:rStyle w:val="Strong"/>
          <w:i/>
        </w:rPr>
        <w:lastRenderedPageBreak/>
        <w:t>Tailored Capacity Building Programs</w:t>
      </w:r>
      <w:r w:rsidRPr="000213F7">
        <w:rPr>
          <w:i/>
        </w:rPr>
        <w:t xml:space="preserve"> </w:t>
      </w:r>
    </w:p>
    <w:p w14:paraId="5287D9CE" w14:textId="77777777" w:rsidR="00DC6ED5" w:rsidRPr="00DC6ED5" w:rsidRDefault="00DC6ED5" w:rsidP="00DC6ED5">
      <w:pPr>
        <w:pStyle w:val="NormalWeb"/>
        <w:jc w:val="both"/>
      </w:pPr>
      <w:r w:rsidRPr="00DC6ED5">
        <w:t>Training initiatives should extend beyond basic technical instruction to include change management, ethical compliance, and adaptive learning. Procurement officials and suppliers benefit from peer mentoring, embedded support structures, and iterative learning opportunities. Tailored capacity-building programs enhance system uptake, foster institutional resilience, and promote ethical procurement practices.</w:t>
      </w:r>
    </w:p>
    <w:p w14:paraId="40BB98FD" w14:textId="77777777" w:rsidR="00DC6ED5" w:rsidRPr="000213F7" w:rsidRDefault="00DC6ED5" w:rsidP="00DC6ED5">
      <w:pPr>
        <w:pStyle w:val="NormalWeb"/>
        <w:jc w:val="both"/>
        <w:rPr>
          <w:i/>
        </w:rPr>
      </w:pPr>
      <w:r w:rsidRPr="000213F7">
        <w:rPr>
          <w:rStyle w:val="Strong"/>
          <w:i/>
        </w:rPr>
        <w:t>Inclusive Platform Design</w:t>
      </w:r>
      <w:r w:rsidRPr="000213F7">
        <w:rPr>
          <w:i/>
        </w:rPr>
        <w:t xml:space="preserve"> </w:t>
      </w:r>
    </w:p>
    <w:p w14:paraId="77E903FD" w14:textId="77777777" w:rsidR="00DC6ED5" w:rsidRPr="00DC6ED5" w:rsidRDefault="00DC6ED5" w:rsidP="00DC6ED5">
      <w:pPr>
        <w:pStyle w:val="NormalWeb"/>
        <w:jc w:val="both"/>
      </w:pPr>
      <w:r w:rsidRPr="00DC6ED5">
        <w:t>E-procurement systems must be designed with accessibility and inclusion at their core. This includes support for multiple languages, mobile-friendly interfaces, and functionality in low-bandwidth environments. Onboarding processes should accommodate small and medium enterprises, women-led businesses, and other marginalized groups to ensure broad participation and equitable access to procurement opportunities.</w:t>
      </w:r>
    </w:p>
    <w:p w14:paraId="414AF832" w14:textId="77777777" w:rsidR="00DC6ED5" w:rsidRPr="000213F7" w:rsidRDefault="00DC6ED5" w:rsidP="00DC6ED5">
      <w:pPr>
        <w:pStyle w:val="NormalWeb"/>
        <w:jc w:val="both"/>
        <w:rPr>
          <w:i/>
        </w:rPr>
      </w:pPr>
      <w:r w:rsidRPr="000213F7">
        <w:rPr>
          <w:rStyle w:val="Strong"/>
          <w:i/>
        </w:rPr>
        <w:t>Robust Cybersecurity and Data Governance</w:t>
      </w:r>
      <w:r w:rsidRPr="000213F7">
        <w:rPr>
          <w:i/>
        </w:rPr>
        <w:t xml:space="preserve"> </w:t>
      </w:r>
    </w:p>
    <w:p w14:paraId="74207698" w14:textId="77777777" w:rsidR="00DC6ED5" w:rsidRPr="00DC6ED5" w:rsidRDefault="00DC6ED5" w:rsidP="00DC6ED5">
      <w:pPr>
        <w:pStyle w:val="NormalWeb"/>
        <w:jc w:val="both"/>
      </w:pPr>
      <w:r w:rsidRPr="00DC6ED5">
        <w:t>Trust in digital procurement systems depends on the integrity and security of data. Procurement authorities should implement strong cybersecurity measures, including blockchain-based audit trails, secure authentication protocols, and transparent data governance policies. These safeguards are essential for protecting sensitive information, deterring fraud, and maintaining public confidence in digital platforms.</w:t>
      </w:r>
    </w:p>
    <w:p w14:paraId="1C729CA8" w14:textId="77777777" w:rsidR="00DC6ED5" w:rsidRPr="000213F7" w:rsidRDefault="00DC6ED5" w:rsidP="00DC6ED5">
      <w:pPr>
        <w:pStyle w:val="NormalWeb"/>
        <w:jc w:val="both"/>
        <w:rPr>
          <w:i/>
        </w:rPr>
      </w:pPr>
      <w:r w:rsidRPr="000213F7">
        <w:rPr>
          <w:rStyle w:val="Strong"/>
          <w:i/>
        </w:rPr>
        <w:t>Legal and Institutional Alignment</w:t>
      </w:r>
      <w:r w:rsidRPr="000213F7">
        <w:rPr>
          <w:i/>
        </w:rPr>
        <w:t xml:space="preserve"> </w:t>
      </w:r>
    </w:p>
    <w:p w14:paraId="73F0A12F" w14:textId="77777777" w:rsidR="00DC6ED5" w:rsidRPr="00DC6ED5" w:rsidRDefault="00DC6ED5" w:rsidP="00DC6ED5">
      <w:pPr>
        <w:pStyle w:val="NormalWeb"/>
        <w:jc w:val="both"/>
      </w:pPr>
      <w:r w:rsidRPr="00DC6ED5">
        <w:t>Successful digital procurement reform requires coherent legal mandates and institutional coordination. Procurement agencies should work closely with legal bodies to update regulations, clarify digital procedures, and ensure that institutional roles are well-defined. Legal alignment enhances system legitimacy and reduces ambiguity in implementation, fostering smoother transitions to digital workflows.</w:t>
      </w:r>
    </w:p>
    <w:p w14:paraId="71648534" w14:textId="77777777" w:rsidR="00DC6ED5" w:rsidRPr="000213F7" w:rsidRDefault="00DC6ED5" w:rsidP="00DC6ED5">
      <w:pPr>
        <w:pStyle w:val="NormalWeb"/>
        <w:jc w:val="both"/>
        <w:rPr>
          <w:i/>
        </w:rPr>
      </w:pPr>
      <w:r w:rsidRPr="000213F7">
        <w:rPr>
          <w:rStyle w:val="Strong"/>
          <w:i/>
        </w:rPr>
        <w:t>Monitoring and Evaluation Frameworks</w:t>
      </w:r>
      <w:r w:rsidRPr="000213F7">
        <w:rPr>
          <w:i/>
        </w:rPr>
        <w:t xml:space="preserve"> </w:t>
      </w:r>
    </w:p>
    <w:p w14:paraId="385702EB" w14:textId="77777777" w:rsidR="00DC6ED5" w:rsidRPr="00DC6ED5" w:rsidRDefault="00DC6ED5" w:rsidP="00DC6ED5">
      <w:pPr>
        <w:pStyle w:val="NormalWeb"/>
        <w:jc w:val="both"/>
      </w:pPr>
      <w:r w:rsidRPr="00DC6ED5">
        <w:t>Governments should establish comprehensive monitoring and evaluation frameworks to track procurement performance, supplier behavior, and system integrity. These frameworks should include feedback loops that inform iterative platform improvements and policy adjustments. Effective monitoring and evaluation systems support evidence-based decision-making and continuous learning within procurement institutions.</w:t>
      </w:r>
    </w:p>
    <w:p w14:paraId="7D17C1EA" w14:textId="77777777" w:rsidR="00CA2E59" w:rsidRPr="00CA2E59" w:rsidRDefault="00DC6ED5" w:rsidP="00CA2E59">
      <w:pPr>
        <w:spacing w:before="100" w:beforeAutospacing="1" w:after="100" w:afterAutospacing="1" w:line="240" w:lineRule="auto"/>
        <w:rPr>
          <w:b/>
          <w:sz w:val="27"/>
        </w:rPr>
      </w:pPr>
      <w:r w:rsidRPr="00CA2E59">
        <w:rPr>
          <w:b/>
        </w:rPr>
        <w:t>7.0</w:t>
      </w:r>
      <w:r w:rsidR="00CA2E59" w:rsidRPr="00CA2E59">
        <w:rPr>
          <w:b/>
        </w:rPr>
        <w:t xml:space="preserve"> Limitations of the Study</w:t>
      </w:r>
    </w:p>
    <w:p w14:paraId="13773854" w14:textId="77777777" w:rsidR="00CA2E59" w:rsidRDefault="00CA2E59" w:rsidP="00CA2E59">
      <w:pPr>
        <w:pStyle w:val="NormalWeb"/>
        <w:jc w:val="both"/>
      </w:pPr>
      <w:r>
        <w:t>Although 48 studies were included in the final synthesis, only 35 were charted due to time and human resource constraints. This selective charting may have excluded relevant insights and limited thematic diversity.</w:t>
      </w:r>
    </w:p>
    <w:p w14:paraId="5FB8ADFA" w14:textId="77777777" w:rsidR="00CA2E59" w:rsidRDefault="00CA2E59" w:rsidP="00CA2E59">
      <w:pPr>
        <w:pStyle w:val="NormalWeb"/>
        <w:jc w:val="both"/>
      </w:pPr>
      <w:r>
        <w:lastRenderedPageBreak/>
        <w:t>The review disproportionately represents studies from Africa and Asia, with limited coverage of Europe and the Americas. This regional skew may affect the generalizability of findings across global procurement systems.</w:t>
      </w:r>
    </w:p>
    <w:p w14:paraId="4AF74A41" w14:textId="77777777" w:rsidR="00CA2E59" w:rsidRDefault="00CA2E59" w:rsidP="00CA2E59">
      <w:pPr>
        <w:pStyle w:val="NormalWeb"/>
        <w:jc w:val="both"/>
      </w:pPr>
      <w:r>
        <w:t>The study only included publications written in English, potentially omitting valuable research from non-English-speaking countries where e-government reforms may be active but underreported in English-language journals.</w:t>
      </w:r>
    </w:p>
    <w:p w14:paraId="0BE871D0" w14:textId="77777777" w:rsidR="00CA2E59" w:rsidRDefault="00CA2E59" w:rsidP="00CA2E59">
      <w:pPr>
        <w:pStyle w:val="NormalWeb"/>
        <w:jc w:val="both"/>
      </w:pPr>
      <w:r>
        <w:t>Some potentially relevant studies were excluded due to restricted access to full texts from certain publishers. This may have narrowed the scope of the review and introduced selection bias.</w:t>
      </w:r>
    </w:p>
    <w:p w14:paraId="6F62F600" w14:textId="77777777" w:rsidR="00CA2E59" w:rsidRDefault="00CA2E59" w:rsidP="00CA2E59">
      <w:pPr>
        <w:pStyle w:val="NormalWeb"/>
        <w:jc w:val="both"/>
      </w:pPr>
      <w:r>
        <w:t>Editorials, opinion pieces, and non-scholarly commentaries were excluded. While this enhances methodological rigor, it may also omit practitioner insights and emerging debates not yet formalized in academic literature.</w:t>
      </w:r>
    </w:p>
    <w:p w14:paraId="42845C1B" w14:textId="77777777" w:rsidR="001921C9" w:rsidRPr="001921C9" w:rsidRDefault="00DC6ED5" w:rsidP="002C7A62">
      <w:pPr>
        <w:spacing w:before="100" w:beforeAutospacing="1" w:after="100" w:afterAutospacing="1" w:line="240" w:lineRule="auto"/>
        <w:rPr>
          <w:rFonts w:eastAsia="Times New Roman" w:cs="Times New Roman"/>
          <w:b/>
          <w:szCs w:val="24"/>
        </w:rPr>
      </w:pPr>
      <w:r w:rsidRPr="00DC6ED5">
        <w:rPr>
          <w:b/>
        </w:rPr>
        <w:t>8.0 Conclusions</w:t>
      </w:r>
    </w:p>
    <w:p w14:paraId="6ACE4642" w14:textId="77777777" w:rsidR="00AB3E5F" w:rsidRDefault="00AB3E5F" w:rsidP="00AB3E5F">
      <w:pPr>
        <w:pStyle w:val="NormalWeb"/>
        <w:jc w:val="both"/>
      </w:pPr>
      <w:r>
        <w:t>The adoption of e-Government in public procurement represents a transformative shift in governance, driven by the pursuit of transparency, efficiency, and accountability. Across diverse geographical and institutional contexts, digital procurement systems have demonstrated their potential to reduce corruption, streamline procurement cycles, and enhance stakeholder trust. Technologies such as electronic procurement platforms, blockchain systems, artificial intelligence-driven analytics, and integrated financial systems have been widely implemented to support various procurement procedures, including tendering, bid evaluation, contract management, and auditing. However, the effectiveness of these technologies depends on robust infrastructure, institutional readiness, and user competence.</w:t>
      </w:r>
    </w:p>
    <w:p w14:paraId="066A32A3" w14:textId="77777777" w:rsidR="00AB3E5F" w:rsidRDefault="00AB3E5F" w:rsidP="00AB3E5F">
      <w:pPr>
        <w:pStyle w:val="NormalWeb"/>
        <w:jc w:val="both"/>
      </w:pPr>
      <w:r>
        <w:t>Despite the promising impacts, the review identifies persistent challenges that hinder the full realization of e-Government benefits. These challenges include infrastructural deficits, resistance to organizational change, limited digital literacy, fragmented legal frameworks, and concerns about long-term sustainability. Moreover, while transparency and efficiency are frequently cited outcomes, the literature often overlooks adaptive forms of corruption, digital exclusion, and the socio-political dynamics that influence trust and ethical compliance. The review also highlights a lack of longitudinal studies, comparative evaluations, and equity-focused analyses, which are essential for understanding the nuanced effects of digital procurement reforms.</w:t>
      </w:r>
    </w:p>
    <w:p w14:paraId="332556FB" w14:textId="77777777" w:rsidR="00AB3E5F" w:rsidRDefault="00AB3E5F" w:rsidP="00AB3E5F">
      <w:pPr>
        <w:pStyle w:val="NormalWeb"/>
        <w:jc w:val="both"/>
      </w:pPr>
      <w:r>
        <w:t>The adoption of e-Government in public procurement is not merely a technical upgrade but a strategic reform that requires holistic planning, inclusive design, and continuous evaluation. Future research should address the identified gaps by exploring the relational dimensions of trust, the evolution of legal frameworks, and the lived experiences of marginalized suppliers. Practitioners must prioritize infrastructure investment, tailored capacity building, and robust cybersecurity measures to ensure that digital procurement systems are not only implemented but also sustained and equitably accessed.</w:t>
      </w:r>
    </w:p>
    <w:p w14:paraId="3A86A4C4" w14:textId="77777777" w:rsidR="00380A5A" w:rsidRPr="00380A5A" w:rsidRDefault="00380A5A" w:rsidP="00380A5A">
      <w:pPr>
        <w:pStyle w:val="Heading2"/>
        <w:rPr>
          <w:rFonts w:ascii="Times New Roman" w:hAnsi="Times New Roman" w:cs="Times New Roman"/>
          <w:color w:val="auto"/>
          <w:sz w:val="24"/>
          <w:szCs w:val="24"/>
        </w:rPr>
      </w:pPr>
      <w:r w:rsidRPr="00380A5A">
        <w:rPr>
          <w:rStyle w:val="Strong"/>
          <w:rFonts w:ascii="Times New Roman" w:hAnsi="Times New Roman" w:cs="Times New Roman"/>
          <w:bCs w:val="0"/>
          <w:color w:val="auto"/>
          <w:sz w:val="24"/>
          <w:szCs w:val="24"/>
        </w:rPr>
        <w:lastRenderedPageBreak/>
        <w:t>DECLARATIONS</w:t>
      </w:r>
    </w:p>
    <w:p w14:paraId="4113091F" w14:textId="77777777" w:rsidR="00BD1415" w:rsidRDefault="00BD1415" w:rsidP="00380A5A">
      <w:pPr>
        <w:pStyle w:val="Heading3"/>
        <w:rPr>
          <w:rStyle w:val="Strong"/>
          <w:b/>
          <w:sz w:val="24"/>
          <w:szCs w:val="24"/>
        </w:rPr>
      </w:pPr>
    </w:p>
    <w:p w14:paraId="2A6A1CBC" w14:textId="7DC31BEB" w:rsidR="00380A5A" w:rsidRPr="00380A5A" w:rsidRDefault="00380A5A" w:rsidP="00380A5A">
      <w:pPr>
        <w:pStyle w:val="Heading3"/>
        <w:rPr>
          <w:b w:val="0"/>
          <w:sz w:val="24"/>
          <w:szCs w:val="24"/>
        </w:rPr>
      </w:pPr>
      <w:bookmarkStart w:id="0" w:name="_GoBack"/>
      <w:bookmarkEnd w:id="0"/>
      <w:r w:rsidRPr="00380A5A">
        <w:rPr>
          <w:rStyle w:val="Strong"/>
          <w:b/>
          <w:sz w:val="24"/>
          <w:szCs w:val="24"/>
        </w:rPr>
        <w:t>Ethical Approval</w:t>
      </w:r>
    </w:p>
    <w:p w14:paraId="43DD1E34" w14:textId="77777777" w:rsidR="00380A5A" w:rsidRPr="00C77394" w:rsidRDefault="00380A5A" w:rsidP="00380A5A">
      <w:pPr>
        <w:pStyle w:val="NormalWeb"/>
        <w:jc w:val="both"/>
      </w:pPr>
      <w:r w:rsidRPr="00C77394">
        <w:t>All data used in this study are publicly available policy documents. No human subjects were involved, and ethical approval was not required.</w:t>
      </w:r>
    </w:p>
    <w:p w14:paraId="14DC9CCA" w14:textId="77777777" w:rsidR="00380A5A" w:rsidRPr="00380A5A" w:rsidRDefault="00380A5A" w:rsidP="00380A5A">
      <w:pPr>
        <w:pStyle w:val="Heading3"/>
        <w:rPr>
          <w:b w:val="0"/>
          <w:sz w:val="24"/>
          <w:szCs w:val="24"/>
        </w:rPr>
      </w:pPr>
      <w:r w:rsidRPr="00380A5A">
        <w:rPr>
          <w:rStyle w:val="Strong"/>
          <w:b/>
          <w:sz w:val="24"/>
          <w:szCs w:val="24"/>
        </w:rPr>
        <w:t>Data Availability</w:t>
      </w:r>
    </w:p>
    <w:p w14:paraId="6E77BA6F" w14:textId="77777777" w:rsidR="00380A5A" w:rsidRDefault="00380A5A" w:rsidP="00380A5A">
      <w:pPr>
        <w:pStyle w:val="NormalWeb"/>
        <w:jc w:val="both"/>
      </w:pPr>
      <w:r w:rsidRPr="00C77394">
        <w:t>The policy documents analyzed in this study are publicly accessible through government and international organization websites. A full list of sources is available in the reference section.</w:t>
      </w:r>
    </w:p>
    <w:p w14:paraId="0238385A" w14:textId="77777777" w:rsidR="00380A5A" w:rsidRPr="00380A5A" w:rsidRDefault="00380A5A" w:rsidP="00380A5A">
      <w:pPr>
        <w:pStyle w:val="Heading3"/>
        <w:spacing w:before="0" w:beforeAutospacing="0" w:after="240" w:afterAutospacing="0" w:line="360" w:lineRule="auto"/>
        <w:jc w:val="both"/>
        <w:rPr>
          <w:rStyle w:val="Strong"/>
          <w:rFonts w:eastAsiaTheme="majorEastAsia"/>
          <w:b/>
          <w:sz w:val="24"/>
          <w:szCs w:val="24"/>
        </w:rPr>
      </w:pPr>
      <w:r w:rsidRPr="00380A5A">
        <w:rPr>
          <w:rStyle w:val="Strong"/>
          <w:rFonts w:eastAsiaTheme="majorEastAsia"/>
          <w:b/>
          <w:sz w:val="24"/>
          <w:szCs w:val="24"/>
        </w:rPr>
        <w:t>Use of AI Tool</w:t>
      </w:r>
    </w:p>
    <w:p w14:paraId="41D68A45" w14:textId="77777777" w:rsidR="00380A5A" w:rsidRPr="00CF1D9D" w:rsidRDefault="00380A5A" w:rsidP="00380A5A">
      <w:pPr>
        <w:spacing w:after="100" w:afterAutospacing="1" w:line="240" w:lineRule="auto"/>
        <w:jc w:val="both"/>
        <w:rPr>
          <w:rFonts w:eastAsia="Times New Roman" w:cs="Times New Roman"/>
          <w:szCs w:val="24"/>
        </w:rPr>
      </w:pPr>
      <w:r w:rsidRPr="00CF1D9D">
        <w:rPr>
          <w:rFonts w:eastAsia="Times New Roman" w:cs="Times New Roman"/>
          <w:szCs w:val="24"/>
        </w:rPr>
        <w:t>This manuscript benefited from the use of Microsoft Copilot (</w:t>
      </w:r>
      <w:r w:rsidRPr="00CF1D9D">
        <w:rPr>
          <w:rFonts w:cs="Times New Roman"/>
          <w:szCs w:val="24"/>
        </w:rPr>
        <w:t>Microsoft Copilot, July 2025 version</w:t>
      </w:r>
      <w:r w:rsidRPr="00CF1D9D">
        <w:rPr>
          <w:rFonts w:eastAsia="Times New Roman" w:cs="Times New Roman"/>
          <w:szCs w:val="24"/>
        </w:rPr>
        <w:t xml:space="preserve"> an AI-powered research and writing assistant. The tool was employed to support literature synthesis, enhance clarity in academic phrasing, and streamline the organization of empirical findings. Specifically, Copilot assisted in:</w:t>
      </w:r>
    </w:p>
    <w:p w14:paraId="5E834E09" w14:textId="77777777" w:rsidR="00380A5A" w:rsidRPr="00CF1D9D" w:rsidRDefault="00380A5A" w:rsidP="00380A5A">
      <w:pPr>
        <w:numPr>
          <w:ilvl w:val="0"/>
          <w:numId w:val="79"/>
        </w:numPr>
        <w:spacing w:before="100" w:beforeAutospacing="1" w:after="100" w:afterAutospacing="1" w:line="240" w:lineRule="auto"/>
        <w:jc w:val="both"/>
        <w:rPr>
          <w:rFonts w:eastAsia="Times New Roman" w:cs="Times New Roman"/>
          <w:szCs w:val="24"/>
        </w:rPr>
      </w:pPr>
      <w:r w:rsidRPr="00CF1D9D">
        <w:rPr>
          <w:rFonts w:eastAsia="Times New Roman" w:cs="Times New Roman"/>
          <w:szCs w:val="24"/>
        </w:rPr>
        <w:t>Structuring the literature review to align with thematic and theoretical frameworks</w:t>
      </w:r>
    </w:p>
    <w:p w14:paraId="6E559F5C" w14:textId="77777777" w:rsidR="00380A5A" w:rsidRPr="00CF1D9D" w:rsidRDefault="00380A5A" w:rsidP="00380A5A">
      <w:pPr>
        <w:numPr>
          <w:ilvl w:val="0"/>
          <w:numId w:val="79"/>
        </w:numPr>
        <w:spacing w:before="100" w:beforeAutospacing="1" w:after="100" w:afterAutospacing="1" w:line="240" w:lineRule="auto"/>
        <w:jc w:val="both"/>
        <w:rPr>
          <w:rFonts w:eastAsia="Times New Roman" w:cs="Times New Roman"/>
          <w:szCs w:val="24"/>
        </w:rPr>
      </w:pPr>
      <w:r w:rsidRPr="00CF1D9D">
        <w:rPr>
          <w:rFonts w:eastAsia="Times New Roman" w:cs="Times New Roman"/>
          <w:szCs w:val="24"/>
        </w:rPr>
        <w:t>Refining statistical interpretations and ensuring coherence in methodological descriptions</w:t>
      </w:r>
    </w:p>
    <w:p w14:paraId="65CF826F" w14:textId="77777777" w:rsidR="00380A5A" w:rsidRPr="00CF1D9D" w:rsidRDefault="00380A5A" w:rsidP="00380A5A">
      <w:pPr>
        <w:numPr>
          <w:ilvl w:val="0"/>
          <w:numId w:val="79"/>
        </w:numPr>
        <w:spacing w:before="100" w:beforeAutospacing="1" w:after="100" w:afterAutospacing="1" w:line="240" w:lineRule="auto"/>
        <w:jc w:val="both"/>
        <w:rPr>
          <w:rFonts w:eastAsia="Times New Roman" w:cs="Times New Roman"/>
          <w:szCs w:val="24"/>
        </w:rPr>
      </w:pPr>
      <w:r w:rsidRPr="00CF1D9D">
        <w:rPr>
          <w:rFonts w:eastAsia="Times New Roman" w:cs="Times New Roman"/>
          <w:szCs w:val="24"/>
        </w:rPr>
        <w:t>Improving readability and consistency in the discussion and conclusion sections</w:t>
      </w:r>
    </w:p>
    <w:p w14:paraId="64CBB975" w14:textId="77777777" w:rsidR="00380A5A" w:rsidRPr="00CF1D9D" w:rsidRDefault="00380A5A" w:rsidP="00380A5A">
      <w:pPr>
        <w:pStyle w:val="NormalWeb"/>
        <w:spacing w:before="0" w:beforeAutospacing="0" w:after="0" w:afterAutospacing="0"/>
        <w:jc w:val="both"/>
      </w:pPr>
      <w:r w:rsidRPr="00CF1D9D">
        <w:t>The use of AI was limited to editorial and analytical support; all conceptualization, data analysis, and scholarly interpretations were conducted by the authors. The integration of AI adhered to ethical standards and did not compromise the originality or integrity of the research</w:t>
      </w:r>
    </w:p>
    <w:p w14:paraId="22205BAA" w14:textId="77777777" w:rsidR="00380A5A" w:rsidRDefault="00380A5A" w:rsidP="00D61B72">
      <w:pPr>
        <w:spacing w:before="100" w:beforeAutospacing="1" w:after="100" w:afterAutospacing="1" w:line="240" w:lineRule="auto"/>
        <w:rPr>
          <w:rFonts w:eastAsia="Times New Roman" w:cs="Times New Roman"/>
          <w:szCs w:val="24"/>
        </w:rPr>
      </w:pPr>
    </w:p>
    <w:p w14:paraId="67B4852D" w14:textId="77777777" w:rsidR="005A24BC" w:rsidRPr="000213F7" w:rsidRDefault="005A24BC" w:rsidP="00BD269F">
      <w:pPr>
        <w:pStyle w:val="Heading1"/>
        <w:rPr>
          <w:rFonts w:ascii="Times New Roman" w:eastAsia="Times New Roman" w:hAnsi="Times New Roman" w:cs="Times New Roman"/>
          <w:b/>
          <w:color w:val="auto"/>
          <w:sz w:val="24"/>
          <w:szCs w:val="24"/>
        </w:rPr>
      </w:pPr>
      <w:r w:rsidRPr="000213F7">
        <w:rPr>
          <w:rFonts w:ascii="Times New Roman" w:eastAsia="Times New Roman" w:hAnsi="Times New Roman" w:cs="Times New Roman"/>
          <w:b/>
          <w:color w:val="auto"/>
          <w:sz w:val="24"/>
          <w:szCs w:val="24"/>
        </w:rPr>
        <w:t>References</w:t>
      </w:r>
    </w:p>
    <w:p w14:paraId="13660523" w14:textId="77777777" w:rsidR="000213F7" w:rsidRDefault="000213F7" w:rsidP="000213F7">
      <w:pPr>
        <w:spacing w:after="0" w:line="240" w:lineRule="auto"/>
        <w:ind w:left="720" w:hanging="720"/>
        <w:jc w:val="both"/>
        <w:rPr>
          <w:rFonts w:eastAsia="Times New Roman" w:cs="Times New Roman"/>
          <w:szCs w:val="24"/>
        </w:rPr>
      </w:pPr>
      <w:r w:rsidRPr="002C3640">
        <w:rPr>
          <w:rFonts w:eastAsia="Times New Roman" w:cs="Times New Roman"/>
          <w:bCs/>
          <w:szCs w:val="24"/>
        </w:rPr>
        <w:t xml:space="preserve">Agbeko, M. N., </w:t>
      </w:r>
      <w:proofErr w:type="spellStart"/>
      <w:r w:rsidRPr="002C3640">
        <w:rPr>
          <w:rFonts w:eastAsia="Times New Roman" w:cs="Times New Roman"/>
          <w:bCs/>
          <w:szCs w:val="24"/>
        </w:rPr>
        <w:t>Effah</w:t>
      </w:r>
      <w:proofErr w:type="spellEnd"/>
      <w:r w:rsidRPr="002C3640">
        <w:rPr>
          <w:rFonts w:eastAsia="Times New Roman" w:cs="Times New Roman"/>
          <w:bCs/>
          <w:szCs w:val="24"/>
        </w:rPr>
        <w:t>, J., &amp; Boateng, R.</w:t>
      </w:r>
      <w:r w:rsidRPr="00CF4404">
        <w:rPr>
          <w:rFonts w:eastAsia="Times New Roman" w:cs="Times New Roman"/>
          <w:szCs w:val="24"/>
        </w:rPr>
        <w:t xml:space="preserve"> (2021). Electronic procurement practices in the public sector: The case of an inter-organizational information system in Ghana. In </w:t>
      </w:r>
      <w:r w:rsidRPr="002C3640">
        <w:rPr>
          <w:rFonts w:eastAsia="Times New Roman" w:cs="Times New Roman"/>
          <w:i/>
          <w:iCs/>
          <w:szCs w:val="24"/>
        </w:rPr>
        <w:t>Responsible AI and Analytics for an Ethical and Inclusive Digitized Society</w:t>
      </w:r>
      <w:r w:rsidRPr="00CF4404">
        <w:rPr>
          <w:rFonts w:eastAsia="Times New Roman" w:cs="Times New Roman"/>
          <w:szCs w:val="24"/>
        </w:rPr>
        <w:t xml:space="preserve"> (pp. 60–70). Springer. https://doi.org/10.1007/978-3-030-85447-8_6 </w:t>
      </w:r>
    </w:p>
    <w:p w14:paraId="4BDFD7DF" w14:textId="77777777" w:rsidR="000213F7" w:rsidRPr="002C3640" w:rsidRDefault="000213F7" w:rsidP="000213F7">
      <w:pPr>
        <w:spacing w:after="0" w:line="240" w:lineRule="auto"/>
        <w:ind w:left="720" w:hanging="720"/>
        <w:jc w:val="both"/>
        <w:rPr>
          <w:rFonts w:eastAsia="Times New Roman" w:cs="Times New Roman"/>
          <w:szCs w:val="24"/>
        </w:rPr>
      </w:pPr>
      <w:r w:rsidRPr="002C3640">
        <w:rPr>
          <w:rFonts w:eastAsia="Times New Roman" w:cs="Times New Roman"/>
          <w:bCs/>
          <w:szCs w:val="24"/>
        </w:rPr>
        <w:t>Albinkhalil, A. M., &amp; Razzaque, A.</w:t>
      </w:r>
      <w:r w:rsidRPr="00CF4404">
        <w:rPr>
          <w:rFonts w:eastAsia="Times New Roman" w:cs="Times New Roman"/>
          <w:szCs w:val="24"/>
        </w:rPr>
        <w:t xml:space="preserve"> (2021). E-procurement significantly affects supply chain performance. In </w:t>
      </w:r>
      <w:r w:rsidRPr="002C3640">
        <w:rPr>
          <w:rFonts w:eastAsia="Times New Roman" w:cs="Times New Roman"/>
          <w:i/>
          <w:iCs/>
          <w:szCs w:val="24"/>
        </w:rPr>
        <w:t>The Big Data-Driven Digital Economy</w:t>
      </w:r>
      <w:r w:rsidRPr="00CF4404">
        <w:rPr>
          <w:rFonts w:eastAsia="Times New Roman" w:cs="Times New Roman"/>
          <w:szCs w:val="24"/>
        </w:rPr>
        <w:t xml:space="preserve"> (pp. 427–443). Springer. https://doi.org/10.1007/978-3-030-73057-4_32 </w:t>
      </w:r>
    </w:p>
    <w:p w14:paraId="65695CC7" w14:textId="77777777" w:rsidR="000213F7" w:rsidRPr="002C3640" w:rsidRDefault="000213F7" w:rsidP="000213F7">
      <w:pPr>
        <w:pStyle w:val="NormalWeb"/>
        <w:spacing w:before="0" w:beforeAutospacing="0" w:after="0" w:afterAutospacing="0"/>
        <w:ind w:left="720" w:hanging="720"/>
        <w:jc w:val="both"/>
      </w:pPr>
      <w:r w:rsidRPr="002C3640">
        <w:rPr>
          <w:rStyle w:val="Strong"/>
          <w:b w:val="0"/>
        </w:rPr>
        <w:t>Al-Khatib, I., &amp; Abu-Shanab, E. (2019).</w:t>
      </w:r>
      <w:r w:rsidRPr="002C3640">
        <w:t xml:space="preserve"> ICT readiness and e-procurement success in Jordan. </w:t>
      </w:r>
      <w:r w:rsidRPr="002C3640">
        <w:rPr>
          <w:rStyle w:val="Emphasis"/>
        </w:rPr>
        <w:t>Electronic Government, an International Journal</w:t>
      </w:r>
      <w:r w:rsidRPr="002C3640">
        <w:t>, 15(1), 1–19.</w:t>
      </w:r>
    </w:p>
    <w:p w14:paraId="1619252C" w14:textId="77777777" w:rsidR="000213F7" w:rsidRDefault="000213F7" w:rsidP="000213F7">
      <w:pPr>
        <w:pStyle w:val="NormalWeb"/>
        <w:spacing w:before="0" w:beforeAutospacing="0" w:after="0" w:afterAutospacing="0"/>
        <w:ind w:left="720" w:hanging="720"/>
        <w:jc w:val="both"/>
      </w:pPr>
      <w:r>
        <w:t xml:space="preserve">Arksey, H., &amp; O’Malley, L. (2005). Scoping studies: Towards a methodological framework. </w:t>
      </w:r>
      <w:r>
        <w:rPr>
          <w:rStyle w:val="Emphasis"/>
        </w:rPr>
        <w:t>International Journal of Social Research Methodology</w:t>
      </w:r>
      <w:r>
        <w:t xml:space="preserve">, </w:t>
      </w:r>
      <w:r>
        <w:rPr>
          <w:rStyle w:val="Emphasis"/>
        </w:rPr>
        <w:t>8</w:t>
      </w:r>
      <w:r>
        <w:t>(1), 19–32. https://doi.org/10.1080/1364557032000119616</w:t>
      </w:r>
    </w:p>
    <w:p w14:paraId="5DB3CB85" w14:textId="77777777" w:rsidR="000213F7" w:rsidRDefault="000213F7" w:rsidP="000213F7">
      <w:pPr>
        <w:pStyle w:val="NormalWeb"/>
        <w:spacing w:before="0" w:beforeAutospacing="0" w:after="0" w:afterAutospacing="0"/>
        <w:ind w:left="720" w:hanging="720"/>
        <w:jc w:val="both"/>
      </w:pPr>
      <w:proofErr w:type="spellStart"/>
      <w:r>
        <w:t>Ayoyi</w:t>
      </w:r>
      <w:proofErr w:type="spellEnd"/>
      <w:r>
        <w:t xml:space="preserve">, I., &amp; </w:t>
      </w:r>
      <w:proofErr w:type="spellStart"/>
      <w:r>
        <w:t>Kipketer</w:t>
      </w:r>
      <w:proofErr w:type="spellEnd"/>
      <w:r>
        <w:t xml:space="preserve">, S. (2024). </w:t>
      </w:r>
      <w:r>
        <w:rPr>
          <w:rStyle w:val="Emphasis"/>
        </w:rPr>
        <w:t>The impact of technology adoption on efficiency and transparency in public procurement processes in Kenya</w:t>
      </w:r>
      <w:r>
        <w:t xml:space="preserve">. ESI Preprints. </w:t>
      </w:r>
      <w:r>
        <w:lastRenderedPageBreak/>
        <w:t>https://www.researchgate.net/publication/377939119_The_Impact_of_Technology_Adoption_on_Efficiency_and_Transparency_in_Public_Procurement_Processes_in_Kenya/fulltext/65be32dd34bbff5ba7eaa18b/The-Impact-of-Technology-Adoption-on-Efficiency-and-Transparency-in-Public-Procurement-Processes-in-Kenya.pdf</w:t>
      </w:r>
    </w:p>
    <w:p w14:paraId="5593928B" w14:textId="77777777" w:rsidR="000213F7" w:rsidRDefault="000213F7" w:rsidP="000213F7">
      <w:pPr>
        <w:pStyle w:val="NormalWeb"/>
        <w:spacing w:before="0" w:beforeAutospacing="0" w:after="0" w:afterAutospacing="0"/>
        <w:ind w:left="720" w:hanging="720"/>
        <w:jc w:val="both"/>
      </w:pPr>
      <w:r>
        <w:t xml:space="preserve">Bhuiyan, S. (2011). Modernizing Bangladesh public administration through e-governance: Benefits and challenges. </w:t>
      </w:r>
      <w:r>
        <w:rPr>
          <w:rStyle w:val="Emphasis"/>
        </w:rPr>
        <w:t>Government Information Quarterly, 28</w:t>
      </w:r>
      <w:r>
        <w:t>(1), 54–65. https://doi.org/10.1016/j.giq.2010.09.001</w:t>
      </w:r>
    </w:p>
    <w:p w14:paraId="1969C78C" w14:textId="77777777" w:rsidR="000213F7" w:rsidRDefault="000213F7" w:rsidP="000213F7">
      <w:pPr>
        <w:pStyle w:val="NormalWeb"/>
        <w:spacing w:before="0" w:beforeAutospacing="0" w:after="0" w:afterAutospacing="0"/>
        <w:ind w:left="720" w:hanging="720"/>
        <w:jc w:val="both"/>
      </w:pPr>
      <w:r>
        <w:t xml:space="preserve">Chan, A. P. C., &amp; Owusu, E. K. (2022). Evolution of electronic procurement: Contemporary review of adoption and implementation strategies. </w:t>
      </w:r>
      <w:r>
        <w:rPr>
          <w:rStyle w:val="Emphasis"/>
        </w:rPr>
        <w:t>Buildings, 12</w:t>
      </w:r>
      <w:r>
        <w:t>(2), 198. https://doi.org/10.3390/buildings12020198</w:t>
      </w:r>
    </w:p>
    <w:p w14:paraId="0A1912AA" w14:textId="77777777" w:rsidR="000213F7" w:rsidRDefault="000213F7" w:rsidP="000213F7">
      <w:pPr>
        <w:pStyle w:val="NormalWeb"/>
        <w:spacing w:before="0" w:beforeAutospacing="0" w:after="0" w:afterAutospacing="0"/>
        <w:ind w:left="720" w:hanging="720"/>
        <w:jc w:val="both"/>
      </w:pPr>
      <w:proofErr w:type="spellStart"/>
      <w:r>
        <w:t>Chaouali</w:t>
      </w:r>
      <w:proofErr w:type="spellEnd"/>
      <w:r>
        <w:t xml:space="preserve">, W., Yahia, I. B., </w:t>
      </w:r>
      <w:proofErr w:type="spellStart"/>
      <w:r>
        <w:t>Charfeddine</w:t>
      </w:r>
      <w:proofErr w:type="spellEnd"/>
      <w:r>
        <w:t xml:space="preserve">, L., &amp; Triki, A. (2016). Understanding citizens' adoption of e-filing in developing countries: An empirical investigation. </w:t>
      </w:r>
      <w:r>
        <w:rPr>
          <w:rStyle w:val="Emphasis"/>
        </w:rPr>
        <w:t>The Journal of High Technology Management Research, 27</w:t>
      </w:r>
      <w:r>
        <w:t>(2), 161–176. https://doi.org/10.1016/j.hitech.2016.10.005</w:t>
      </w:r>
    </w:p>
    <w:p w14:paraId="7EEDBE33" w14:textId="77777777" w:rsidR="000213F7" w:rsidRDefault="000213F7" w:rsidP="000213F7">
      <w:pPr>
        <w:pStyle w:val="NormalWeb"/>
        <w:spacing w:before="0" w:beforeAutospacing="0" w:after="0" w:afterAutospacing="0"/>
        <w:ind w:left="720" w:hanging="720"/>
        <w:jc w:val="both"/>
      </w:pPr>
      <w:r>
        <w:t xml:space="preserve">Hochstetter, J., Vásquez, F., </w:t>
      </w:r>
      <w:proofErr w:type="spellStart"/>
      <w:r>
        <w:t>Diéguez</w:t>
      </w:r>
      <w:proofErr w:type="spellEnd"/>
      <w:r>
        <w:t xml:space="preserve">, M., Bustamante, A., &amp; Arango-López, J. (2023). Transparency and e-government in electronic public procurement as sustainable development. </w:t>
      </w:r>
      <w:r>
        <w:rPr>
          <w:rStyle w:val="Emphasis"/>
        </w:rPr>
        <w:t>Sustainability, 15</w:t>
      </w:r>
      <w:r>
        <w:t>(5), 4672. https://doi.org/10.3390/su15054672</w:t>
      </w:r>
    </w:p>
    <w:p w14:paraId="01A69E72" w14:textId="77777777" w:rsidR="000213F7" w:rsidRPr="002C3640" w:rsidRDefault="000213F7" w:rsidP="000213F7">
      <w:pPr>
        <w:pStyle w:val="NormalWeb"/>
        <w:spacing w:before="0" w:beforeAutospacing="0" w:after="0" w:afterAutospacing="0"/>
        <w:ind w:left="720" w:hanging="720"/>
        <w:jc w:val="both"/>
      </w:pPr>
      <w:r w:rsidRPr="002C3640">
        <w:rPr>
          <w:rStyle w:val="Strong"/>
          <w:b w:val="0"/>
        </w:rPr>
        <w:t xml:space="preserve">Hochstetter, J., Vásquez, F., </w:t>
      </w:r>
      <w:proofErr w:type="spellStart"/>
      <w:r w:rsidRPr="002C3640">
        <w:rPr>
          <w:rStyle w:val="Strong"/>
          <w:b w:val="0"/>
        </w:rPr>
        <w:t>Diéguez</w:t>
      </w:r>
      <w:proofErr w:type="spellEnd"/>
      <w:r w:rsidRPr="002C3640">
        <w:rPr>
          <w:rStyle w:val="Strong"/>
          <w:b w:val="0"/>
        </w:rPr>
        <w:t>, M., Bustamante, A., &amp; Arango-López, J. (2023).</w:t>
      </w:r>
      <w:r w:rsidRPr="002C3640">
        <w:t xml:space="preserve"> Transparency and e-government in electronic public procurement as sustainable development. </w:t>
      </w:r>
      <w:r w:rsidRPr="002C3640">
        <w:rPr>
          <w:rStyle w:val="Emphasis"/>
        </w:rPr>
        <w:t>Sustainability</w:t>
      </w:r>
      <w:r w:rsidRPr="002C3640">
        <w:t xml:space="preserve">, 15(5), 4672. </w:t>
      </w:r>
      <w:hyperlink r:id="rId8" w:history="1">
        <w:r w:rsidRPr="002C3640">
          <w:rPr>
            <w:rStyle w:val="Hyperlink"/>
          </w:rPr>
          <w:t>https://doi.org/10.3390/su15054672</w:t>
        </w:r>
      </w:hyperlink>
    </w:p>
    <w:p w14:paraId="70192EE3" w14:textId="77777777" w:rsidR="000213F7" w:rsidRPr="002C3640" w:rsidRDefault="000213F7" w:rsidP="000213F7">
      <w:pPr>
        <w:pStyle w:val="NormalWeb"/>
        <w:spacing w:before="0" w:beforeAutospacing="0" w:after="0" w:afterAutospacing="0"/>
        <w:ind w:left="720" w:hanging="720"/>
        <w:jc w:val="both"/>
      </w:pPr>
      <w:r w:rsidRPr="002C3640">
        <w:rPr>
          <w:rStyle w:val="Strong"/>
          <w:b w:val="0"/>
        </w:rPr>
        <w:t>IEEE. (2020).</w:t>
      </w:r>
      <w:r w:rsidRPr="002C3640">
        <w:t xml:space="preserve"> Blockchain-based e-tendering systems. </w:t>
      </w:r>
      <w:r w:rsidRPr="002C3640">
        <w:rPr>
          <w:rStyle w:val="Emphasis"/>
        </w:rPr>
        <w:t>IEEE ICICCS Proceedings</w:t>
      </w:r>
      <w:r w:rsidRPr="002C3640">
        <w:t>. [Verified via IEEE Xplore]</w:t>
      </w:r>
    </w:p>
    <w:p w14:paraId="1128B281" w14:textId="77777777" w:rsidR="000213F7" w:rsidRPr="002C3640" w:rsidRDefault="000213F7" w:rsidP="000213F7">
      <w:pPr>
        <w:pStyle w:val="NormalWeb"/>
        <w:spacing w:before="0" w:beforeAutospacing="0" w:after="0" w:afterAutospacing="0"/>
        <w:ind w:left="720" w:hanging="720"/>
        <w:jc w:val="both"/>
      </w:pPr>
      <w:r w:rsidRPr="002C3640">
        <w:rPr>
          <w:rStyle w:val="Strong"/>
          <w:b w:val="0"/>
        </w:rPr>
        <w:t>Kim, J., &amp; Lee, H. (2021).</w:t>
      </w:r>
      <w:r w:rsidRPr="002C3640">
        <w:t xml:space="preserve"> Digital procurement platforms and trust in South Korea. </w:t>
      </w:r>
      <w:r w:rsidRPr="002C3640">
        <w:rPr>
          <w:rStyle w:val="Emphasis"/>
        </w:rPr>
        <w:t>Asian Journal of Public Administration</w:t>
      </w:r>
      <w:r w:rsidRPr="002C3640">
        <w:t>, 43(1), 89–105.</w:t>
      </w:r>
    </w:p>
    <w:p w14:paraId="6154BD6D" w14:textId="77777777" w:rsidR="000213F7" w:rsidRDefault="000213F7" w:rsidP="000213F7">
      <w:pPr>
        <w:pStyle w:val="NormalWeb"/>
        <w:spacing w:before="0" w:beforeAutospacing="0" w:after="0" w:afterAutospacing="0"/>
        <w:ind w:left="720" w:hanging="720"/>
        <w:jc w:val="both"/>
      </w:pPr>
      <w:r>
        <w:t xml:space="preserve">Levac, D., Colquhoun, H., &amp; O’Brien, K. K. (2010). Scoping studies: Advancing the methodology. </w:t>
      </w:r>
      <w:r>
        <w:rPr>
          <w:rStyle w:val="Emphasis"/>
        </w:rPr>
        <w:t>Implementation Science</w:t>
      </w:r>
      <w:r>
        <w:t xml:space="preserve">, </w:t>
      </w:r>
      <w:r>
        <w:rPr>
          <w:rStyle w:val="Emphasis"/>
        </w:rPr>
        <w:t>5</w:t>
      </w:r>
      <w:r>
        <w:t>(69). https://doi.org/10.1186/1748-5908-5-69</w:t>
      </w:r>
    </w:p>
    <w:p w14:paraId="0AF3F224" w14:textId="77777777" w:rsidR="000213F7" w:rsidRDefault="000213F7" w:rsidP="000213F7">
      <w:pPr>
        <w:pStyle w:val="NormalWeb"/>
        <w:spacing w:before="0" w:beforeAutospacing="0" w:after="0" w:afterAutospacing="0"/>
        <w:ind w:left="720" w:hanging="720"/>
        <w:jc w:val="both"/>
      </w:pPr>
      <w:r>
        <w:t xml:space="preserve">Mishra, A., &amp; Mishra, D. (2012). E-government: Exploring the different dimensions of challenges, implementation, and success factors. </w:t>
      </w:r>
      <w:r>
        <w:rPr>
          <w:rStyle w:val="Emphasis"/>
        </w:rPr>
        <w:t>ACM SIGMIS Database, 42</w:t>
      </w:r>
      <w:r>
        <w:t>(4), 23–37. https://doi.org/10.1145/2389176.2389180</w:t>
      </w:r>
    </w:p>
    <w:p w14:paraId="4B9D0600" w14:textId="77777777" w:rsidR="000213F7" w:rsidRDefault="000213F7" w:rsidP="000213F7">
      <w:pPr>
        <w:pStyle w:val="NormalWeb"/>
        <w:spacing w:before="0" w:beforeAutospacing="0" w:after="0" w:afterAutospacing="0"/>
        <w:ind w:left="720" w:hanging="720"/>
        <w:jc w:val="both"/>
      </w:pPr>
      <w:r>
        <w:t xml:space="preserve">Moher, D., Liberati, A., Tetzlaff, J., Altman, D. G., &amp; The PRISMA Group. (2010). Preferred reporting items for systematic reviews and meta-analyses: The PRISMA statement. </w:t>
      </w:r>
      <w:r>
        <w:rPr>
          <w:rStyle w:val="Emphasis"/>
        </w:rPr>
        <w:t>International Journal of Surgery, 8</w:t>
      </w:r>
      <w:r>
        <w:t>(5), 336–341. https://doi.org/10.1016/j.ijsu.2010.02.007</w:t>
      </w:r>
    </w:p>
    <w:p w14:paraId="61FC0D4F" w14:textId="77777777" w:rsidR="000213F7" w:rsidRPr="00CF4404" w:rsidRDefault="000213F7" w:rsidP="000213F7">
      <w:pPr>
        <w:spacing w:after="0" w:line="240" w:lineRule="auto"/>
        <w:ind w:left="720" w:hanging="720"/>
        <w:jc w:val="both"/>
        <w:rPr>
          <w:rFonts w:eastAsia="Times New Roman" w:cs="Times New Roman"/>
          <w:szCs w:val="24"/>
        </w:rPr>
      </w:pPr>
      <w:proofErr w:type="spellStart"/>
      <w:r w:rsidRPr="002C3640">
        <w:rPr>
          <w:rFonts w:eastAsia="Times New Roman" w:cs="Times New Roman"/>
          <w:bCs/>
          <w:szCs w:val="24"/>
        </w:rPr>
        <w:t>Mohungoo</w:t>
      </w:r>
      <w:proofErr w:type="spellEnd"/>
      <w:r w:rsidRPr="002C3640">
        <w:rPr>
          <w:rFonts w:eastAsia="Times New Roman" w:cs="Times New Roman"/>
          <w:bCs/>
          <w:szCs w:val="24"/>
        </w:rPr>
        <w:t>, I., Brown, I., &amp; Kabanda, S.</w:t>
      </w:r>
      <w:r w:rsidRPr="00CF4404">
        <w:rPr>
          <w:rFonts w:eastAsia="Times New Roman" w:cs="Times New Roman"/>
          <w:szCs w:val="24"/>
        </w:rPr>
        <w:t xml:space="preserve"> (2020). A systematic review of implementation challenges in public e-procurement. In </w:t>
      </w:r>
      <w:r w:rsidRPr="002C3640">
        <w:rPr>
          <w:rFonts w:eastAsia="Times New Roman" w:cs="Times New Roman"/>
          <w:i/>
          <w:iCs/>
          <w:szCs w:val="24"/>
        </w:rPr>
        <w:t>Responsible Design, Implementation and Use of ICT</w:t>
      </w:r>
      <w:r w:rsidRPr="00CF4404">
        <w:rPr>
          <w:rFonts w:eastAsia="Times New Roman" w:cs="Times New Roman"/>
          <w:szCs w:val="24"/>
        </w:rPr>
        <w:t xml:space="preserve"> (pp. 46–58). Springer. https://doi.org/10.1007/978-3-030-45002-1_5 </w:t>
      </w:r>
    </w:p>
    <w:p w14:paraId="1D976B57" w14:textId="77777777" w:rsidR="000213F7" w:rsidRPr="002C3640" w:rsidRDefault="000213F7" w:rsidP="000213F7">
      <w:pPr>
        <w:pStyle w:val="NormalWeb"/>
        <w:spacing w:before="0" w:beforeAutospacing="0" w:after="0" w:afterAutospacing="0"/>
        <w:ind w:left="720" w:hanging="720"/>
        <w:jc w:val="both"/>
      </w:pPr>
      <w:r w:rsidRPr="002C3640">
        <w:rPr>
          <w:rStyle w:val="Strong"/>
          <w:b w:val="0"/>
        </w:rPr>
        <w:t>Moon, M. J. (2002).</w:t>
      </w:r>
      <w:r w:rsidRPr="002C3640">
        <w:t xml:space="preserve"> The evolution of e-government among municipalities: Rhetoric or reality? </w:t>
      </w:r>
      <w:r w:rsidRPr="002C3640">
        <w:rPr>
          <w:rStyle w:val="Emphasis"/>
        </w:rPr>
        <w:t>Public Administration Review</w:t>
      </w:r>
      <w:r w:rsidRPr="002C3640">
        <w:t>, 62(4), 424–433.</w:t>
      </w:r>
    </w:p>
    <w:p w14:paraId="54FDA1B3" w14:textId="77777777" w:rsidR="000213F7" w:rsidRDefault="000213F7" w:rsidP="000213F7">
      <w:pPr>
        <w:pStyle w:val="NormalWeb"/>
        <w:spacing w:before="0" w:beforeAutospacing="0" w:after="0" w:afterAutospacing="0"/>
        <w:ind w:left="720" w:hanging="720"/>
        <w:jc w:val="both"/>
      </w:pPr>
      <w:r>
        <w:t xml:space="preserve">National Treasury of Kenya. (2024). </w:t>
      </w:r>
      <w:r>
        <w:rPr>
          <w:rStyle w:val="Emphasis"/>
        </w:rPr>
        <w:t>Development and implementation of the electronic government procurement (e-GP) system</w:t>
      </w:r>
      <w:r>
        <w:t>. https://www.pfmr.go.ke/wp-content/uploads/2024/02/Development-of-the-Electronic-Procurement-System-E-GP-14.pdf</w:t>
      </w:r>
    </w:p>
    <w:p w14:paraId="2131399A" w14:textId="77777777" w:rsidR="000213F7" w:rsidRPr="002C3640" w:rsidRDefault="000213F7" w:rsidP="000213F7">
      <w:pPr>
        <w:pStyle w:val="NormalWeb"/>
        <w:spacing w:before="0" w:beforeAutospacing="0" w:after="0" w:afterAutospacing="0"/>
        <w:ind w:left="720" w:hanging="720"/>
        <w:jc w:val="both"/>
      </w:pPr>
      <w:r w:rsidRPr="002C3640">
        <w:rPr>
          <w:rStyle w:val="Strong"/>
          <w:b w:val="0"/>
        </w:rPr>
        <w:t>Norris, D. F., &amp; Moon, M. J. (2005).</w:t>
      </w:r>
      <w:r w:rsidRPr="002C3640">
        <w:t xml:space="preserve"> Advancing e-government at the grassroots: Tortoise or hare? </w:t>
      </w:r>
      <w:r w:rsidRPr="002C3640">
        <w:rPr>
          <w:rStyle w:val="Emphasis"/>
        </w:rPr>
        <w:t>Public Administration Review</w:t>
      </w:r>
      <w:r w:rsidRPr="002C3640">
        <w:t>, 65(1), 64–75.</w:t>
      </w:r>
    </w:p>
    <w:p w14:paraId="787BA029" w14:textId="77777777" w:rsidR="000213F7" w:rsidRPr="002C3640" w:rsidRDefault="000213F7" w:rsidP="000213F7">
      <w:pPr>
        <w:pStyle w:val="NormalWeb"/>
        <w:spacing w:before="0" w:beforeAutospacing="0" w:after="0" w:afterAutospacing="0"/>
        <w:ind w:left="720" w:hanging="720"/>
        <w:jc w:val="both"/>
      </w:pPr>
      <w:proofErr w:type="spellStart"/>
      <w:r w:rsidRPr="002C3640">
        <w:rPr>
          <w:rStyle w:val="Strong"/>
          <w:b w:val="0"/>
        </w:rPr>
        <w:lastRenderedPageBreak/>
        <w:t>Nyamah</w:t>
      </w:r>
      <w:proofErr w:type="spellEnd"/>
      <w:r w:rsidRPr="002C3640">
        <w:rPr>
          <w:rStyle w:val="Strong"/>
          <w:b w:val="0"/>
        </w:rPr>
        <w:t xml:space="preserve">, E. Y., Feng, Y., Opoku, R. K., &amp; </w:t>
      </w:r>
      <w:proofErr w:type="spellStart"/>
      <w:r w:rsidRPr="002C3640">
        <w:rPr>
          <w:rStyle w:val="Strong"/>
          <w:b w:val="0"/>
        </w:rPr>
        <w:t>Ewusi</w:t>
      </w:r>
      <w:proofErr w:type="spellEnd"/>
      <w:r w:rsidRPr="002C3640">
        <w:rPr>
          <w:rStyle w:val="Strong"/>
          <w:b w:val="0"/>
        </w:rPr>
        <w:t>, M. (2023).</w:t>
      </w:r>
      <w:r w:rsidRPr="002C3640">
        <w:t xml:space="preserve"> Procurement process risk and performance: Empirical evidence from manufacturing firms. </w:t>
      </w:r>
      <w:r w:rsidRPr="002C3640">
        <w:rPr>
          <w:rStyle w:val="Emphasis"/>
        </w:rPr>
        <w:t>Benchmarking: An International Journal</w:t>
      </w:r>
      <w:r w:rsidRPr="002C3640">
        <w:t>, 30(1), 75–101. https://doi.org/10.1108/BIJ-06-2021-0306</w:t>
      </w:r>
    </w:p>
    <w:p w14:paraId="39BC2F38" w14:textId="77777777" w:rsidR="000213F7" w:rsidRPr="002C3640" w:rsidRDefault="000213F7" w:rsidP="000213F7">
      <w:pPr>
        <w:pStyle w:val="NormalWeb"/>
        <w:spacing w:before="0" w:beforeAutospacing="0" w:after="0" w:afterAutospacing="0"/>
        <w:ind w:left="720" w:hanging="720"/>
        <w:jc w:val="both"/>
      </w:pPr>
      <w:r w:rsidRPr="002C3640">
        <w:rPr>
          <w:rStyle w:val="Strong"/>
          <w:b w:val="0"/>
        </w:rPr>
        <w:t>OECD. (2021).</w:t>
      </w:r>
      <w:r w:rsidRPr="002C3640">
        <w:t xml:space="preserve"> </w:t>
      </w:r>
      <w:r w:rsidRPr="002C3640">
        <w:rPr>
          <w:rStyle w:val="Emphasis"/>
        </w:rPr>
        <w:t>Innovation in public procurement: Global trends and reform</w:t>
      </w:r>
      <w:r w:rsidRPr="002C3640">
        <w:t>. OECD Publishing.</w:t>
      </w:r>
    </w:p>
    <w:p w14:paraId="036C4799" w14:textId="77777777" w:rsidR="000213F7" w:rsidRPr="002C3640" w:rsidRDefault="000213F7" w:rsidP="000213F7">
      <w:pPr>
        <w:pStyle w:val="NormalWeb"/>
        <w:spacing w:before="0" w:beforeAutospacing="0" w:after="0" w:afterAutospacing="0"/>
        <w:ind w:left="720" w:hanging="720"/>
        <w:jc w:val="both"/>
      </w:pPr>
      <w:proofErr w:type="spellStart"/>
      <w:r w:rsidRPr="002C3640">
        <w:rPr>
          <w:rStyle w:val="Strong"/>
          <w:b w:val="0"/>
        </w:rPr>
        <w:t>Rejeb</w:t>
      </w:r>
      <w:proofErr w:type="spellEnd"/>
      <w:r w:rsidRPr="002C3640">
        <w:rPr>
          <w:rStyle w:val="Strong"/>
          <w:b w:val="0"/>
        </w:rPr>
        <w:t xml:space="preserve">, A., Keogh, J. G., &amp; </w:t>
      </w:r>
      <w:proofErr w:type="spellStart"/>
      <w:r w:rsidRPr="002C3640">
        <w:rPr>
          <w:rStyle w:val="Strong"/>
          <w:b w:val="0"/>
        </w:rPr>
        <w:t>Treiblmaier</w:t>
      </w:r>
      <w:proofErr w:type="spellEnd"/>
      <w:r w:rsidRPr="002C3640">
        <w:rPr>
          <w:rStyle w:val="Strong"/>
          <w:b w:val="0"/>
        </w:rPr>
        <w:t>, H. (2023).</w:t>
      </w:r>
      <w:r w:rsidRPr="002C3640">
        <w:t xml:space="preserve"> Bibliometric mapping of public procurement research. </w:t>
      </w:r>
      <w:r w:rsidRPr="002C3640">
        <w:rPr>
          <w:rStyle w:val="Emphasis"/>
        </w:rPr>
        <w:t>Journal of Purchasing and Supply Management</w:t>
      </w:r>
      <w:r w:rsidRPr="002C3640">
        <w:t>, 29(1), 100789. https://doi.org/10.1016/j.pursup.2022.100789</w:t>
      </w:r>
    </w:p>
    <w:p w14:paraId="6C035A4C" w14:textId="77777777" w:rsidR="000213F7" w:rsidRDefault="000213F7" w:rsidP="000213F7">
      <w:pPr>
        <w:pStyle w:val="NormalWeb"/>
        <w:spacing w:before="0" w:beforeAutospacing="0" w:after="0" w:afterAutospacing="0"/>
        <w:ind w:left="720" w:hanging="720"/>
        <w:jc w:val="both"/>
      </w:pPr>
      <w:r>
        <w:t xml:space="preserve">Respati, N. D. (2020). The adoption of e-government in the tax administration: A scoping review. </w:t>
      </w:r>
      <w:proofErr w:type="spellStart"/>
      <w:r>
        <w:rPr>
          <w:rStyle w:val="Emphasis"/>
        </w:rPr>
        <w:t>Scientax</w:t>
      </w:r>
      <w:proofErr w:type="spellEnd"/>
      <w:r>
        <w:rPr>
          <w:rStyle w:val="Emphasis"/>
        </w:rPr>
        <w:t>, 1</w:t>
      </w:r>
      <w:r>
        <w:t>(2), 109–130.</w:t>
      </w:r>
    </w:p>
    <w:p w14:paraId="57AC0BC5" w14:textId="77777777" w:rsidR="000213F7" w:rsidRPr="00CF4404" w:rsidRDefault="000213F7" w:rsidP="000213F7">
      <w:pPr>
        <w:spacing w:after="0" w:line="240" w:lineRule="auto"/>
        <w:ind w:left="720" w:hanging="720"/>
        <w:jc w:val="both"/>
        <w:rPr>
          <w:rFonts w:eastAsia="Times New Roman" w:cs="Times New Roman"/>
          <w:szCs w:val="24"/>
        </w:rPr>
      </w:pPr>
      <w:r w:rsidRPr="002C3640">
        <w:rPr>
          <w:rFonts w:eastAsia="Times New Roman" w:cs="Times New Roman"/>
          <w:bCs/>
          <w:szCs w:val="24"/>
        </w:rPr>
        <w:t>Sánchez-Rodríguez, C., Martínez-Lorente, A. R., &amp; Hemsworth, D.</w:t>
      </w:r>
      <w:r w:rsidRPr="00CF4404">
        <w:rPr>
          <w:rFonts w:eastAsia="Times New Roman" w:cs="Times New Roman"/>
          <w:szCs w:val="24"/>
        </w:rPr>
        <w:t xml:space="preserve"> (2020). E-procurement in small and medium-sized enterprises: Facilitators, obstacles and effect on performance. </w:t>
      </w:r>
      <w:r w:rsidRPr="002C3640">
        <w:rPr>
          <w:rFonts w:eastAsia="Times New Roman" w:cs="Times New Roman"/>
          <w:i/>
          <w:iCs/>
          <w:szCs w:val="24"/>
        </w:rPr>
        <w:t>Benchmarking: An International Journal</w:t>
      </w:r>
      <w:r w:rsidRPr="00CF4404">
        <w:rPr>
          <w:rFonts w:eastAsia="Times New Roman" w:cs="Times New Roman"/>
          <w:szCs w:val="24"/>
        </w:rPr>
        <w:t xml:space="preserve">, 27(2), 839–866. https://doi.org/10.1108/BIJ-12-2018-0413 </w:t>
      </w:r>
    </w:p>
    <w:p w14:paraId="7E4C6FA3" w14:textId="77777777" w:rsidR="000213F7" w:rsidRPr="00CF4404" w:rsidRDefault="000213F7" w:rsidP="000213F7">
      <w:pPr>
        <w:spacing w:after="0" w:line="240" w:lineRule="auto"/>
        <w:ind w:left="720" w:hanging="720"/>
        <w:jc w:val="both"/>
        <w:rPr>
          <w:rFonts w:eastAsia="Times New Roman" w:cs="Times New Roman"/>
          <w:szCs w:val="24"/>
        </w:rPr>
      </w:pPr>
      <w:r w:rsidRPr="002C3640">
        <w:rPr>
          <w:rFonts w:eastAsia="Times New Roman" w:cs="Times New Roman"/>
          <w:bCs/>
          <w:szCs w:val="24"/>
        </w:rPr>
        <w:t xml:space="preserve">Shahin, A., </w:t>
      </w:r>
      <w:proofErr w:type="spellStart"/>
      <w:r w:rsidRPr="002C3640">
        <w:rPr>
          <w:rFonts w:eastAsia="Times New Roman" w:cs="Times New Roman"/>
          <w:bCs/>
          <w:szCs w:val="24"/>
        </w:rPr>
        <w:t>Jamkhaneh</w:t>
      </w:r>
      <w:proofErr w:type="spellEnd"/>
      <w:r w:rsidRPr="002C3640">
        <w:rPr>
          <w:rFonts w:eastAsia="Times New Roman" w:cs="Times New Roman"/>
          <w:bCs/>
          <w:szCs w:val="24"/>
        </w:rPr>
        <w:t>, H. B., &amp; Shahin, R.</w:t>
      </w:r>
      <w:r w:rsidRPr="00CF4404">
        <w:rPr>
          <w:rFonts w:eastAsia="Times New Roman" w:cs="Times New Roman"/>
          <w:szCs w:val="24"/>
        </w:rPr>
        <w:t xml:space="preserve"> (2022). The role of e-procurement in supply chains. In </w:t>
      </w:r>
      <w:r w:rsidRPr="002C3640">
        <w:rPr>
          <w:rFonts w:eastAsia="Times New Roman" w:cs="Times New Roman"/>
          <w:i/>
          <w:iCs/>
          <w:szCs w:val="24"/>
        </w:rPr>
        <w:t>Developments in Information &amp; Knowledge Management for Business Applications</w:t>
      </w:r>
      <w:r w:rsidRPr="00CF4404">
        <w:rPr>
          <w:rFonts w:eastAsia="Times New Roman" w:cs="Times New Roman"/>
          <w:szCs w:val="24"/>
        </w:rPr>
        <w:t xml:space="preserve"> (pp. 599–616). Springer. https://doi.org/10.1007/978-3-030-95813-8_</w:t>
      </w:r>
    </w:p>
    <w:p w14:paraId="5563AFB5" w14:textId="77777777" w:rsidR="000213F7" w:rsidRDefault="000213F7" w:rsidP="000213F7">
      <w:pPr>
        <w:pStyle w:val="NormalWeb"/>
        <w:spacing w:before="0" w:beforeAutospacing="0" w:after="0" w:afterAutospacing="0"/>
        <w:ind w:left="720" w:hanging="720"/>
        <w:jc w:val="both"/>
      </w:pPr>
      <w:r>
        <w:t xml:space="preserve">Shakya, R. K. (2024, June 27). 10 success factors for implementing e-procurement system. </w:t>
      </w:r>
      <w:r>
        <w:rPr>
          <w:rStyle w:val="Emphasis"/>
        </w:rPr>
        <w:t>World Bank Blogs</w:t>
      </w:r>
      <w:r>
        <w:t xml:space="preserve">. </w:t>
      </w:r>
      <w:hyperlink r:id="rId9" w:history="1">
        <w:r w:rsidRPr="00D872AB">
          <w:rPr>
            <w:rStyle w:val="Hyperlink"/>
          </w:rPr>
          <w:t>https://blogs.worldbank.org/en/governance/10-success-factors-for-implementing-e-procurement-system</w:t>
        </w:r>
      </w:hyperlink>
    </w:p>
    <w:p w14:paraId="6C589761" w14:textId="77777777" w:rsidR="000213F7" w:rsidRPr="002C3640" w:rsidRDefault="000213F7" w:rsidP="000213F7">
      <w:pPr>
        <w:pStyle w:val="NormalWeb"/>
        <w:spacing w:before="0" w:beforeAutospacing="0" w:after="0" w:afterAutospacing="0"/>
        <w:ind w:left="720" w:hanging="720"/>
        <w:jc w:val="both"/>
      </w:pPr>
      <w:r w:rsidRPr="002C3640">
        <w:rPr>
          <w:rStyle w:val="Strong"/>
          <w:b w:val="0"/>
        </w:rPr>
        <w:t>Singh, R., &amp; Sharma, S. (2020).</w:t>
      </w:r>
      <w:r w:rsidRPr="002C3640">
        <w:t xml:space="preserve"> E-Government maturity and procurement efficiency in India. </w:t>
      </w:r>
      <w:r w:rsidRPr="002C3640">
        <w:rPr>
          <w:rStyle w:val="Emphasis"/>
        </w:rPr>
        <w:t>International Journal of Public Sector Management</w:t>
      </w:r>
      <w:r w:rsidRPr="002C3640">
        <w:t>, 33(6/7), 589–606.</w:t>
      </w:r>
    </w:p>
    <w:p w14:paraId="1DB46245" w14:textId="77777777" w:rsidR="000213F7" w:rsidRDefault="000213F7" w:rsidP="000213F7">
      <w:pPr>
        <w:pStyle w:val="NormalWeb"/>
        <w:spacing w:before="0" w:beforeAutospacing="0" w:after="0" w:afterAutospacing="0"/>
        <w:ind w:left="720" w:hanging="720"/>
        <w:jc w:val="both"/>
      </w:pPr>
      <w:r>
        <w:t xml:space="preserve">Transparency International. (2024). </w:t>
      </w:r>
      <w:r>
        <w:rPr>
          <w:rStyle w:val="Emphasis"/>
        </w:rPr>
        <w:t>Transparency, accountability, and integrity of public procurement systems</w:t>
      </w:r>
      <w:r>
        <w:t>. Anti-Corruption Helpdesk. https://knowledgehub.transparency.org/assets/uploads/helpdesk/Transparency-accountability-and-integrity-of-public-procurement-systems_2024-English-Version.pdf</w:t>
      </w:r>
    </w:p>
    <w:p w14:paraId="2C2AB8A0" w14:textId="77777777" w:rsidR="000213F7" w:rsidRPr="00CF4404" w:rsidRDefault="000213F7" w:rsidP="000213F7">
      <w:pPr>
        <w:spacing w:after="0" w:line="240" w:lineRule="auto"/>
        <w:ind w:left="720" w:hanging="720"/>
        <w:jc w:val="both"/>
        <w:rPr>
          <w:rFonts w:eastAsia="Times New Roman" w:cs="Times New Roman"/>
          <w:szCs w:val="24"/>
        </w:rPr>
      </w:pPr>
      <w:proofErr w:type="spellStart"/>
      <w:r w:rsidRPr="002C3640">
        <w:rPr>
          <w:rFonts w:eastAsia="Times New Roman" w:cs="Times New Roman"/>
          <w:bCs/>
          <w:szCs w:val="24"/>
        </w:rPr>
        <w:t>Tumpa</w:t>
      </w:r>
      <w:proofErr w:type="spellEnd"/>
      <w:r w:rsidRPr="002C3640">
        <w:rPr>
          <w:rFonts w:eastAsia="Times New Roman" w:cs="Times New Roman"/>
          <w:bCs/>
          <w:szCs w:val="24"/>
        </w:rPr>
        <w:t>, R. J., &amp; Naeni, L.</w:t>
      </w:r>
      <w:r w:rsidRPr="00CF4404">
        <w:rPr>
          <w:rFonts w:eastAsia="Times New Roman" w:cs="Times New Roman"/>
          <w:szCs w:val="24"/>
        </w:rPr>
        <w:t xml:space="preserve"> (2025). Improving decision-making and stakeholder engagement at project governance using digital technology. </w:t>
      </w:r>
      <w:r w:rsidRPr="002C3640">
        <w:rPr>
          <w:rFonts w:eastAsia="Times New Roman" w:cs="Times New Roman"/>
          <w:i/>
          <w:iCs/>
          <w:szCs w:val="24"/>
        </w:rPr>
        <w:t>Smart and Sustainable Built Environment</w:t>
      </w:r>
      <w:r w:rsidRPr="00CF4404">
        <w:rPr>
          <w:rFonts w:eastAsia="Times New Roman" w:cs="Times New Roman"/>
          <w:szCs w:val="24"/>
        </w:rPr>
        <w:t xml:space="preserve">, 14(4), 1292–1329. https://doi.org/10.1108/SASBE-10-2024-0451 </w:t>
      </w:r>
    </w:p>
    <w:p w14:paraId="7DF99781" w14:textId="77777777" w:rsidR="000213F7" w:rsidRPr="002C3640" w:rsidRDefault="000213F7" w:rsidP="000213F7">
      <w:pPr>
        <w:pStyle w:val="NormalWeb"/>
        <w:spacing w:before="0" w:beforeAutospacing="0" w:after="0" w:afterAutospacing="0"/>
        <w:ind w:left="720" w:hanging="720"/>
        <w:jc w:val="both"/>
      </w:pPr>
      <w:r w:rsidRPr="002C3640">
        <w:rPr>
          <w:rStyle w:val="Strong"/>
          <w:b w:val="0"/>
        </w:rPr>
        <w:t>UNDP. (2022).</w:t>
      </w:r>
      <w:r w:rsidRPr="002C3640">
        <w:t xml:space="preserve"> </w:t>
      </w:r>
      <w:r w:rsidRPr="002C3640">
        <w:rPr>
          <w:rStyle w:val="Emphasis"/>
        </w:rPr>
        <w:t>Institutional readiness for digital procurement in the Global South</w:t>
      </w:r>
      <w:r w:rsidRPr="002C3640">
        <w:t>. UNDP Policy Paper Series.</w:t>
      </w:r>
    </w:p>
    <w:p w14:paraId="6B3637B5" w14:textId="77777777" w:rsidR="000213F7" w:rsidRPr="002C3640" w:rsidRDefault="000213F7" w:rsidP="000213F7">
      <w:pPr>
        <w:pStyle w:val="NormalWeb"/>
        <w:spacing w:before="0" w:beforeAutospacing="0" w:after="0" w:afterAutospacing="0"/>
        <w:ind w:left="720" w:hanging="720"/>
        <w:jc w:val="both"/>
      </w:pPr>
      <w:r w:rsidRPr="002C3640">
        <w:rPr>
          <w:rStyle w:val="Strong"/>
          <w:b w:val="0"/>
        </w:rPr>
        <w:t>UNESCAP. (2020).</w:t>
      </w:r>
      <w:r w:rsidRPr="002C3640">
        <w:t xml:space="preserve"> </w:t>
      </w:r>
      <w:r w:rsidRPr="002C3640">
        <w:rPr>
          <w:rStyle w:val="Emphasis"/>
        </w:rPr>
        <w:t>Smart platforms and regional e-government policy</w:t>
      </w:r>
      <w:r w:rsidRPr="002C3640">
        <w:t>. UNESCAP Working Papers.</w:t>
      </w:r>
    </w:p>
    <w:p w14:paraId="1A0400BC" w14:textId="77777777" w:rsidR="000213F7" w:rsidRPr="002C3640" w:rsidRDefault="000213F7" w:rsidP="000213F7">
      <w:pPr>
        <w:pStyle w:val="NormalWeb"/>
        <w:spacing w:before="0" w:beforeAutospacing="0" w:after="0" w:afterAutospacing="0"/>
        <w:ind w:left="720" w:hanging="720"/>
        <w:jc w:val="both"/>
      </w:pPr>
      <w:r w:rsidRPr="002C3640">
        <w:rPr>
          <w:rStyle w:val="Strong"/>
          <w:b w:val="0"/>
        </w:rPr>
        <w:t>Welch, E. W., Hinnant, C. C., &amp; Moon, M. J. (2005).</w:t>
      </w:r>
      <w:r w:rsidRPr="002C3640">
        <w:t xml:space="preserve"> Linking citizen satisfaction with e-government and trust in government. </w:t>
      </w:r>
      <w:r w:rsidRPr="002C3640">
        <w:rPr>
          <w:rStyle w:val="Emphasis"/>
        </w:rPr>
        <w:t>Journal of Public Administration Research and Theory</w:t>
      </w:r>
      <w:r w:rsidRPr="002C3640">
        <w:t>, 15(3), 371–390.</w:t>
      </w:r>
    </w:p>
    <w:p w14:paraId="269CE804" w14:textId="77777777" w:rsidR="000213F7" w:rsidRPr="002C3640" w:rsidRDefault="000213F7" w:rsidP="000213F7">
      <w:pPr>
        <w:pStyle w:val="NormalWeb"/>
        <w:spacing w:before="0" w:beforeAutospacing="0" w:after="0" w:afterAutospacing="0"/>
        <w:ind w:left="720" w:hanging="720"/>
        <w:jc w:val="both"/>
      </w:pPr>
      <w:r w:rsidRPr="002C3640">
        <w:rPr>
          <w:rStyle w:val="Strong"/>
          <w:b w:val="0"/>
        </w:rPr>
        <w:t>World Bank. (2023).</w:t>
      </w:r>
      <w:r w:rsidRPr="002C3640">
        <w:t xml:space="preserve"> </w:t>
      </w:r>
      <w:r w:rsidRPr="002C3640">
        <w:rPr>
          <w:rStyle w:val="Emphasis"/>
        </w:rPr>
        <w:t>E-Government procurement reform in Latin America</w:t>
      </w:r>
      <w:r w:rsidRPr="002C3640">
        <w:t xml:space="preserve">. </w:t>
      </w:r>
      <w:r w:rsidRPr="002C3640">
        <w:rPr>
          <w:rStyle w:val="Emphasis"/>
        </w:rPr>
        <w:t>World Bank Policy Research Working Paper Series</w:t>
      </w:r>
      <w:r w:rsidRPr="002C3640">
        <w:t>.</w:t>
      </w:r>
    </w:p>
    <w:p w14:paraId="6C7DB260" w14:textId="77777777" w:rsidR="000213F7" w:rsidRPr="002C3640" w:rsidRDefault="000213F7" w:rsidP="000213F7">
      <w:pPr>
        <w:pStyle w:val="NormalWeb"/>
        <w:spacing w:before="0" w:beforeAutospacing="0" w:after="0" w:afterAutospacing="0"/>
        <w:ind w:left="720" w:hanging="720"/>
        <w:jc w:val="both"/>
      </w:pPr>
      <w:r w:rsidRPr="002C3640">
        <w:rPr>
          <w:rStyle w:val="Strong"/>
          <w:b w:val="0"/>
        </w:rPr>
        <w:t>Zhang, Y., &amp; Li, X. (2021).</w:t>
      </w:r>
      <w:r w:rsidRPr="002C3640">
        <w:t xml:space="preserve"> Blockchain applications in public procurement: Evidence from China. </w:t>
      </w:r>
      <w:r w:rsidRPr="002C3640">
        <w:rPr>
          <w:rStyle w:val="Emphasis"/>
        </w:rPr>
        <w:t>Government Information Quarterly</w:t>
      </w:r>
      <w:r w:rsidRPr="002C3640">
        <w:t>, 38(4), 101625. https://doi.org/10.1016/j.giq.2021.101625</w:t>
      </w:r>
    </w:p>
    <w:p w14:paraId="2D30ED4F" w14:textId="77777777" w:rsidR="00D61B72" w:rsidRDefault="00D61B72" w:rsidP="002C3640">
      <w:pPr>
        <w:jc w:val="both"/>
        <w:rPr>
          <w:rFonts w:eastAsia="Times New Roman" w:cs="Times New Roman"/>
          <w:szCs w:val="24"/>
        </w:rPr>
      </w:pPr>
    </w:p>
    <w:p w14:paraId="490CC0D9" w14:textId="77777777" w:rsidR="009A5761" w:rsidRDefault="009A5761" w:rsidP="002C3640">
      <w:pPr>
        <w:jc w:val="both"/>
        <w:rPr>
          <w:rFonts w:eastAsia="Times New Roman" w:cs="Times New Roman"/>
          <w:szCs w:val="24"/>
        </w:rPr>
      </w:pPr>
    </w:p>
    <w:sectPr w:rsidR="009A576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F35E3" w14:textId="77777777" w:rsidR="00F90E12" w:rsidRDefault="00F90E12" w:rsidP="00BD1415">
      <w:pPr>
        <w:spacing w:after="0" w:line="240" w:lineRule="auto"/>
      </w:pPr>
      <w:r>
        <w:separator/>
      </w:r>
    </w:p>
  </w:endnote>
  <w:endnote w:type="continuationSeparator" w:id="0">
    <w:p w14:paraId="287A938E" w14:textId="77777777" w:rsidR="00F90E12" w:rsidRDefault="00F90E12" w:rsidP="00BD1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399B" w14:textId="77777777" w:rsidR="00BD1415" w:rsidRDefault="00BD1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9C4A7" w14:textId="77777777" w:rsidR="00BD1415" w:rsidRDefault="00BD14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47A45" w14:textId="77777777" w:rsidR="00BD1415" w:rsidRDefault="00BD1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FC8A6" w14:textId="77777777" w:rsidR="00F90E12" w:rsidRDefault="00F90E12" w:rsidP="00BD1415">
      <w:pPr>
        <w:spacing w:after="0" w:line="240" w:lineRule="auto"/>
      </w:pPr>
      <w:r>
        <w:separator/>
      </w:r>
    </w:p>
  </w:footnote>
  <w:footnote w:type="continuationSeparator" w:id="0">
    <w:p w14:paraId="16BEFB71" w14:textId="77777777" w:rsidR="00F90E12" w:rsidRDefault="00F90E12" w:rsidP="00BD1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35CAA" w14:textId="77BF0EB0" w:rsidR="00BD1415" w:rsidRDefault="00BD1415">
    <w:pPr>
      <w:pStyle w:val="Header"/>
    </w:pPr>
    <w:r>
      <w:rPr>
        <w:noProof/>
      </w:rPr>
      <w:pict w14:anchorId="76495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37709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3BFE9" w14:textId="43A67391" w:rsidR="00BD1415" w:rsidRDefault="00BD1415">
    <w:pPr>
      <w:pStyle w:val="Header"/>
    </w:pPr>
    <w:r>
      <w:rPr>
        <w:noProof/>
      </w:rPr>
      <w:pict w14:anchorId="1329B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37709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A183" w14:textId="677FDCE5" w:rsidR="00BD1415" w:rsidRDefault="00BD1415">
    <w:pPr>
      <w:pStyle w:val="Header"/>
    </w:pPr>
    <w:r>
      <w:rPr>
        <w:noProof/>
      </w:rPr>
      <w:pict w14:anchorId="41FB7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37709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40CD"/>
    <w:multiLevelType w:val="multilevel"/>
    <w:tmpl w:val="693C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406E3"/>
    <w:multiLevelType w:val="multilevel"/>
    <w:tmpl w:val="E2FA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91225"/>
    <w:multiLevelType w:val="multilevel"/>
    <w:tmpl w:val="7A80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6B6708"/>
    <w:multiLevelType w:val="multilevel"/>
    <w:tmpl w:val="C0D0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D52798"/>
    <w:multiLevelType w:val="multilevel"/>
    <w:tmpl w:val="7D88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167252"/>
    <w:multiLevelType w:val="hybridMultilevel"/>
    <w:tmpl w:val="BB041AA4"/>
    <w:lvl w:ilvl="0" w:tplc="8CBA46A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1C45B9"/>
    <w:multiLevelType w:val="multilevel"/>
    <w:tmpl w:val="04F0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A66CB1"/>
    <w:multiLevelType w:val="multilevel"/>
    <w:tmpl w:val="4044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1A3832"/>
    <w:multiLevelType w:val="multilevel"/>
    <w:tmpl w:val="046C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F90002"/>
    <w:multiLevelType w:val="multilevel"/>
    <w:tmpl w:val="FE76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857486"/>
    <w:multiLevelType w:val="multilevel"/>
    <w:tmpl w:val="19A2C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6E4C63"/>
    <w:multiLevelType w:val="multilevel"/>
    <w:tmpl w:val="7A78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DA57BC"/>
    <w:multiLevelType w:val="multilevel"/>
    <w:tmpl w:val="0DCA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416D14"/>
    <w:multiLevelType w:val="multilevel"/>
    <w:tmpl w:val="C776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F16B13"/>
    <w:multiLevelType w:val="multilevel"/>
    <w:tmpl w:val="F236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DB47F8"/>
    <w:multiLevelType w:val="multilevel"/>
    <w:tmpl w:val="5F54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D97BF2"/>
    <w:multiLevelType w:val="multilevel"/>
    <w:tmpl w:val="A89E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CE16B2"/>
    <w:multiLevelType w:val="multilevel"/>
    <w:tmpl w:val="9E1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345591"/>
    <w:multiLevelType w:val="multilevel"/>
    <w:tmpl w:val="B558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C81E77"/>
    <w:multiLevelType w:val="multilevel"/>
    <w:tmpl w:val="EF4C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D10680"/>
    <w:multiLevelType w:val="multilevel"/>
    <w:tmpl w:val="395A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D4032F"/>
    <w:multiLevelType w:val="multilevel"/>
    <w:tmpl w:val="BD0E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A77B49"/>
    <w:multiLevelType w:val="multilevel"/>
    <w:tmpl w:val="EFDA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5339D7"/>
    <w:multiLevelType w:val="multilevel"/>
    <w:tmpl w:val="5096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715333"/>
    <w:multiLevelType w:val="multilevel"/>
    <w:tmpl w:val="0B36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9D6EF7"/>
    <w:multiLevelType w:val="multilevel"/>
    <w:tmpl w:val="9A3A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CF01A3"/>
    <w:multiLevelType w:val="multilevel"/>
    <w:tmpl w:val="E080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EE6E0E"/>
    <w:multiLevelType w:val="multilevel"/>
    <w:tmpl w:val="9DEA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B01470"/>
    <w:multiLevelType w:val="multilevel"/>
    <w:tmpl w:val="9BFC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DF541A"/>
    <w:multiLevelType w:val="multilevel"/>
    <w:tmpl w:val="6A6C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015E15"/>
    <w:multiLevelType w:val="multilevel"/>
    <w:tmpl w:val="478E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341E39"/>
    <w:multiLevelType w:val="multilevel"/>
    <w:tmpl w:val="6DB0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4A493F"/>
    <w:multiLevelType w:val="multilevel"/>
    <w:tmpl w:val="7B0E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D810F8"/>
    <w:multiLevelType w:val="multilevel"/>
    <w:tmpl w:val="64D6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6F31E4"/>
    <w:multiLevelType w:val="multilevel"/>
    <w:tmpl w:val="5068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937877"/>
    <w:multiLevelType w:val="multilevel"/>
    <w:tmpl w:val="8F04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043DE3"/>
    <w:multiLevelType w:val="hybridMultilevel"/>
    <w:tmpl w:val="C47687EE"/>
    <w:lvl w:ilvl="0" w:tplc="1CC2B7C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D5B7EB1"/>
    <w:multiLevelType w:val="multilevel"/>
    <w:tmpl w:val="2E82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FB644D"/>
    <w:multiLevelType w:val="multilevel"/>
    <w:tmpl w:val="7570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EE5355"/>
    <w:multiLevelType w:val="multilevel"/>
    <w:tmpl w:val="42AE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AB4B63"/>
    <w:multiLevelType w:val="multilevel"/>
    <w:tmpl w:val="9998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510F98"/>
    <w:multiLevelType w:val="multilevel"/>
    <w:tmpl w:val="D974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6486F1D"/>
    <w:multiLevelType w:val="multilevel"/>
    <w:tmpl w:val="D528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804DF0"/>
    <w:multiLevelType w:val="multilevel"/>
    <w:tmpl w:val="670C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5A0FCC"/>
    <w:multiLevelType w:val="multilevel"/>
    <w:tmpl w:val="52E2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816AE4"/>
    <w:multiLevelType w:val="multilevel"/>
    <w:tmpl w:val="1AE0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78D41A4"/>
    <w:multiLevelType w:val="multilevel"/>
    <w:tmpl w:val="EC96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8B802CB"/>
    <w:multiLevelType w:val="multilevel"/>
    <w:tmpl w:val="94EE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9190523"/>
    <w:multiLevelType w:val="multilevel"/>
    <w:tmpl w:val="6880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9CF49C4"/>
    <w:multiLevelType w:val="multilevel"/>
    <w:tmpl w:val="39A0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9D665F0"/>
    <w:multiLevelType w:val="multilevel"/>
    <w:tmpl w:val="E482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BAD0153"/>
    <w:multiLevelType w:val="hybridMultilevel"/>
    <w:tmpl w:val="D1AC52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C383EDF"/>
    <w:multiLevelType w:val="multilevel"/>
    <w:tmpl w:val="53E8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C482377"/>
    <w:multiLevelType w:val="multilevel"/>
    <w:tmpl w:val="A26C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013412A"/>
    <w:multiLevelType w:val="multilevel"/>
    <w:tmpl w:val="430C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02844FC"/>
    <w:multiLevelType w:val="multilevel"/>
    <w:tmpl w:val="814A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03D0766"/>
    <w:multiLevelType w:val="multilevel"/>
    <w:tmpl w:val="F9FC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39A0CF9"/>
    <w:multiLevelType w:val="multilevel"/>
    <w:tmpl w:val="98E6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43822AB"/>
    <w:multiLevelType w:val="multilevel"/>
    <w:tmpl w:val="40A4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4545C67"/>
    <w:multiLevelType w:val="multilevel"/>
    <w:tmpl w:val="48A6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49E7F6D"/>
    <w:multiLevelType w:val="hybridMultilevel"/>
    <w:tmpl w:val="5E4E37AC"/>
    <w:lvl w:ilvl="0" w:tplc="278232C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4B7271D"/>
    <w:multiLevelType w:val="multilevel"/>
    <w:tmpl w:val="9E4E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50857AB"/>
    <w:multiLevelType w:val="multilevel"/>
    <w:tmpl w:val="F1FE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6164AD1"/>
    <w:multiLevelType w:val="multilevel"/>
    <w:tmpl w:val="E698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E786A7E"/>
    <w:multiLevelType w:val="hybridMultilevel"/>
    <w:tmpl w:val="3B5A6808"/>
    <w:lvl w:ilvl="0" w:tplc="76BECE0A">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CB654D"/>
    <w:multiLevelType w:val="hybridMultilevel"/>
    <w:tmpl w:val="88FA4E70"/>
    <w:lvl w:ilvl="0" w:tplc="6D8C2C0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FA92484"/>
    <w:multiLevelType w:val="multilevel"/>
    <w:tmpl w:val="3A0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3A910A0"/>
    <w:multiLevelType w:val="multilevel"/>
    <w:tmpl w:val="E7AE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5523E4A"/>
    <w:multiLevelType w:val="multilevel"/>
    <w:tmpl w:val="CA22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6A47802"/>
    <w:multiLevelType w:val="hybridMultilevel"/>
    <w:tmpl w:val="F1F84896"/>
    <w:lvl w:ilvl="0" w:tplc="BC84C31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AD365F9"/>
    <w:multiLevelType w:val="multilevel"/>
    <w:tmpl w:val="BCB4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B375945"/>
    <w:multiLevelType w:val="multilevel"/>
    <w:tmpl w:val="F9B6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B712E01"/>
    <w:multiLevelType w:val="multilevel"/>
    <w:tmpl w:val="1F44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07D497F"/>
    <w:multiLevelType w:val="multilevel"/>
    <w:tmpl w:val="A702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3FA20B8"/>
    <w:multiLevelType w:val="multilevel"/>
    <w:tmpl w:val="B6AC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B2510D5"/>
    <w:multiLevelType w:val="multilevel"/>
    <w:tmpl w:val="DA1E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BE973E2"/>
    <w:multiLevelType w:val="multilevel"/>
    <w:tmpl w:val="EEAE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E7D5544"/>
    <w:multiLevelType w:val="hybridMultilevel"/>
    <w:tmpl w:val="91A054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FEC5CAA"/>
    <w:multiLevelType w:val="multilevel"/>
    <w:tmpl w:val="414A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1"/>
  </w:num>
  <w:num w:numId="2">
    <w:abstractNumId w:val="0"/>
  </w:num>
  <w:num w:numId="3">
    <w:abstractNumId w:val="37"/>
  </w:num>
  <w:num w:numId="4">
    <w:abstractNumId w:val="23"/>
  </w:num>
  <w:num w:numId="5">
    <w:abstractNumId w:val="38"/>
  </w:num>
  <w:num w:numId="6">
    <w:abstractNumId w:val="4"/>
  </w:num>
  <w:num w:numId="7">
    <w:abstractNumId w:val="42"/>
  </w:num>
  <w:num w:numId="8">
    <w:abstractNumId w:val="62"/>
  </w:num>
  <w:num w:numId="9">
    <w:abstractNumId w:val="20"/>
  </w:num>
  <w:num w:numId="10">
    <w:abstractNumId w:val="31"/>
  </w:num>
  <w:num w:numId="11">
    <w:abstractNumId w:val="74"/>
  </w:num>
  <w:num w:numId="12">
    <w:abstractNumId w:val="72"/>
  </w:num>
  <w:num w:numId="13">
    <w:abstractNumId w:val="43"/>
  </w:num>
  <w:num w:numId="14">
    <w:abstractNumId w:val="55"/>
  </w:num>
  <w:num w:numId="15">
    <w:abstractNumId w:val="68"/>
  </w:num>
  <w:num w:numId="16">
    <w:abstractNumId w:val="73"/>
  </w:num>
  <w:num w:numId="17">
    <w:abstractNumId w:val="19"/>
  </w:num>
  <w:num w:numId="18">
    <w:abstractNumId w:val="29"/>
  </w:num>
  <w:num w:numId="19">
    <w:abstractNumId w:val="28"/>
  </w:num>
  <w:num w:numId="20">
    <w:abstractNumId w:val="25"/>
  </w:num>
  <w:num w:numId="21">
    <w:abstractNumId w:val="2"/>
  </w:num>
  <w:num w:numId="22">
    <w:abstractNumId w:val="52"/>
  </w:num>
  <w:num w:numId="23">
    <w:abstractNumId w:val="26"/>
  </w:num>
  <w:num w:numId="24">
    <w:abstractNumId w:val="12"/>
  </w:num>
  <w:num w:numId="25">
    <w:abstractNumId w:val="63"/>
  </w:num>
  <w:num w:numId="26">
    <w:abstractNumId w:val="47"/>
  </w:num>
  <w:num w:numId="27">
    <w:abstractNumId w:val="78"/>
  </w:num>
  <w:num w:numId="28">
    <w:abstractNumId w:val="75"/>
  </w:num>
  <w:num w:numId="29">
    <w:abstractNumId w:val="48"/>
  </w:num>
  <w:num w:numId="30">
    <w:abstractNumId w:val="24"/>
  </w:num>
  <w:num w:numId="31">
    <w:abstractNumId w:val="71"/>
  </w:num>
  <w:num w:numId="32">
    <w:abstractNumId w:val="50"/>
  </w:num>
  <w:num w:numId="33">
    <w:abstractNumId w:val="67"/>
  </w:num>
  <w:num w:numId="34">
    <w:abstractNumId w:val="58"/>
  </w:num>
  <w:num w:numId="35">
    <w:abstractNumId w:val="30"/>
  </w:num>
  <w:num w:numId="36">
    <w:abstractNumId w:val="16"/>
  </w:num>
  <w:num w:numId="37">
    <w:abstractNumId w:val="27"/>
  </w:num>
  <w:num w:numId="38">
    <w:abstractNumId w:val="11"/>
  </w:num>
  <w:num w:numId="39">
    <w:abstractNumId w:val="70"/>
  </w:num>
  <w:num w:numId="40">
    <w:abstractNumId w:val="57"/>
  </w:num>
  <w:num w:numId="41">
    <w:abstractNumId w:val="15"/>
  </w:num>
  <w:num w:numId="42">
    <w:abstractNumId w:val="3"/>
  </w:num>
  <w:num w:numId="43">
    <w:abstractNumId w:val="7"/>
  </w:num>
  <w:num w:numId="44">
    <w:abstractNumId w:val="32"/>
  </w:num>
  <w:num w:numId="45">
    <w:abstractNumId w:val="54"/>
  </w:num>
  <w:num w:numId="46">
    <w:abstractNumId w:val="17"/>
  </w:num>
  <w:num w:numId="47">
    <w:abstractNumId w:val="33"/>
  </w:num>
  <w:num w:numId="48">
    <w:abstractNumId w:val="14"/>
  </w:num>
  <w:num w:numId="49">
    <w:abstractNumId w:val="39"/>
  </w:num>
  <w:num w:numId="50">
    <w:abstractNumId w:val="6"/>
  </w:num>
  <w:num w:numId="51">
    <w:abstractNumId w:val="34"/>
  </w:num>
  <w:num w:numId="52">
    <w:abstractNumId w:val="45"/>
  </w:num>
  <w:num w:numId="53">
    <w:abstractNumId w:val="49"/>
  </w:num>
  <w:num w:numId="54">
    <w:abstractNumId w:val="8"/>
  </w:num>
  <w:num w:numId="55">
    <w:abstractNumId w:val="76"/>
  </w:num>
  <w:num w:numId="56">
    <w:abstractNumId w:val="9"/>
  </w:num>
  <w:num w:numId="57">
    <w:abstractNumId w:val="18"/>
  </w:num>
  <w:num w:numId="58">
    <w:abstractNumId w:val="35"/>
  </w:num>
  <w:num w:numId="59">
    <w:abstractNumId w:val="13"/>
  </w:num>
  <w:num w:numId="60">
    <w:abstractNumId w:val="61"/>
  </w:num>
  <w:num w:numId="61">
    <w:abstractNumId w:val="56"/>
  </w:num>
  <w:num w:numId="62">
    <w:abstractNumId w:val="66"/>
  </w:num>
  <w:num w:numId="63">
    <w:abstractNumId w:val="22"/>
  </w:num>
  <w:num w:numId="64">
    <w:abstractNumId w:val="1"/>
  </w:num>
  <w:num w:numId="65">
    <w:abstractNumId w:val="41"/>
  </w:num>
  <w:num w:numId="66">
    <w:abstractNumId w:val="21"/>
  </w:num>
  <w:num w:numId="67">
    <w:abstractNumId w:val="40"/>
  </w:num>
  <w:num w:numId="68">
    <w:abstractNumId w:val="10"/>
  </w:num>
  <w:num w:numId="69">
    <w:abstractNumId w:val="46"/>
  </w:num>
  <w:num w:numId="70">
    <w:abstractNumId w:val="59"/>
  </w:num>
  <w:num w:numId="71">
    <w:abstractNumId w:val="69"/>
  </w:num>
  <w:num w:numId="72">
    <w:abstractNumId w:val="77"/>
  </w:num>
  <w:num w:numId="73">
    <w:abstractNumId w:val="36"/>
  </w:num>
  <w:num w:numId="74">
    <w:abstractNumId w:val="64"/>
  </w:num>
  <w:num w:numId="75">
    <w:abstractNumId w:val="65"/>
  </w:num>
  <w:num w:numId="76">
    <w:abstractNumId w:val="5"/>
  </w:num>
  <w:num w:numId="77">
    <w:abstractNumId w:val="60"/>
  </w:num>
  <w:num w:numId="78">
    <w:abstractNumId w:val="53"/>
  </w:num>
  <w:num w:numId="79">
    <w:abstractNumId w:val="4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290"/>
    <w:rsid w:val="000213F7"/>
    <w:rsid w:val="000479BF"/>
    <w:rsid w:val="000C1696"/>
    <w:rsid w:val="000E7AA1"/>
    <w:rsid w:val="000F1191"/>
    <w:rsid w:val="001476AB"/>
    <w:rsid w:val="00162A2B"/>
    <w:rsid w:val="0016365E"/>
    <w:rsid w:val="00164E57"/>
    <w:rsid w:val="00187AFA"/>
    <w:rsid w:val="001921C9"/>
    <w:rsid w:val="001C6EB1"/>
    <w:rsid w:val="001D7290"/>
    <w:rsid w:val="00224D0C"/>
    <w:rsid w:val="00247B4D"/>
    <w:rsid w:val="0029104C"/>
    <w:rsid w:val="002C3640"/>
    <w:rsid w:val="002C4B48"/>
    <w:rsid w:val="002C7A62"/>
    <w:rsid w:val="002E13D7"/>
    <w:rsid w:val="003037C1"/>
    <w:rsid w:val="0031296E"/>
    <w:rsid w:val="00324CAD"/>
    <w:rsid w:val="00333226"/>
    <w:rsid w:val="0034156E"/>
    <w:rsid w:val="00374672"/>
    <w:rsid w:val="00380A5A"/>
    <w:rsid w:val="00386479"/>
    <w:rsid w:val="003C39A8"/>
    <w:rsid w:val="003D64E6"/>
    <w:rsid w:val="004607F0"/>
    <w:rsid w:val="00486C5D"/>
    <w:rsid w:val="00487830"/>
    <w:rsid w:val="0049096E"/>
    <w:rsid w:val="004E261A"/>
    <w:rsid w:val="004F5216"/>
    <w:rsid w:val="00502A55"/>
    <w:rsid w:val="00525FA2"/>
    <w:rsid w:val="00570279"/>
    <w:rsid w:val="005A24BC"/>
    <w:rsid w:val="005B479B"/>
    <w:rsid w:val="005C2042"/>
    <w:rsid w:val="005D0C3F"/>
    <w:rsid w:val="005F22B7"/>
    <w:rsid w:val="0060173B"/>
    <w:rsid w:val="00624426"/>
    <w:rsid w:val="006463EA"/>
    <w:rsid w:val="006C5693"/>
    <w:rsid w:val="006D657D"/>
    <w:rsid w:val="00706BE7"/>
    <w:rsid w:val="00721FEE"/>
    <w:rsid w:val="00725EF7"/>
    <w:rsid w:val="007925B6"/>
    <w:rsid w:val="007A2FA2"/>
    <w:rsid w:val="007B61BC"/>
    <w:rsid w:val="007D40DF"/>
    <w:rsid w:val="007E5F35"/>
    <w:rsid w:val="007E6265"/>
    <w:rsid w:val="0086422D"/>
    <w:rsid w:val="00897C03"/>
    <w:rsid w:val="008A0814"/>
    <w:rsid w:val="008C13D0"/>
    <w:rsid w:val="0091766C"/>
    <w:rsid w:val="00956501"/>
    <w:rsid w:val="009658B5"/>
    <w:rsid w:val="009855EC"/>
    <w:rsid w:val="0098707A"/>
    <w:rsid w:val="009A5761"/>
    <w:rsid w:val="009B2B5A"/>
    <w:rsid w:val="009C35D4"/>
    <w:rsid w:val="009D304B"/>
    <w:rsid w:val="009D7D02"/>
    <w:rsid w:val="00A24B9B"/>
    <w:rsid w:val="00A256BB"/>
    <w:rsid w:val="00A548CB"/>
    <w:rsid w:val="00AA2912"/>
    <w:rsid w:val="00AB3E5F"/>
    <w:rsid w:val="00B03165"/>
    <w:rsid w:val="00B10767"/>
    <w:rsid w:val="00B411C3"/>
    <w:rsid w:val="00B50C18"/>
    <w:rsid w:val="00B70852"/>
    <w:rsid w:val="00B73861"/>
    <w:rsid w:val="00B83BFE"/>
    <w:rsid w:val="00BB6CEF"/>
    <w:rsid w:val="00BD1415"/>
    <w:rsid w:val="00BD269F"/>
    <w:rsid w:val="00C44801"/>
    <w:rsid w:val="00C61F15"/>
    <w:rsid w:val="00C9359C"/>
    <w:rsid w:val="00CA2E59"/>
    <w:rsid w:val="00CE2E07"/>
    <w:rsid w:val="00D3769D"/>
    <w:rsid w:val="00D443E5"/>
    <w:rsid w:val="00D61B72"/>
    <w:rsid w:val="00D632E1"/>
    <w:rsid w:val="00D74AD9"/>
    <w:rsid w:val="00D85A7A"/>
    <w:rsid w:val="00D9501E"/>
    <w:rsid w:val="00DC5F09"/>
    <w:rsid w:val="00DC6ED5"/>
    <w:rsid w:val="00DF0C9D"/>
    <w:rsid w:val="00E0640B"/>
    <w:rsid w:val="00E21937"/>
    <w:rsid w:val="00E5285A"/>
    <w:rsid w:val="00E56B51"/>
    <w:rsid w:val="00E84966"/>
    <w:rsid w:val="00E923A3"/>
    <w:rsid w:val="00E96DEA"/>
    <w:rsid w:val="00E97511"/>
    <w:rsid w:val="00EB4FF7"/>
    <w:rsid w:val="00EB78D6"/>
    <w:rsid w:val="00F31BEB"/>
    <w:rsid w:val="00F65CE2"/>
    <w:rsid w:val="00F77B89"/>
    <w:rsid w:val="00F859A5"/>
    <w:rsid w:val="00F90E12"/>
    <w:rsid w:val="00FB58E5"/>
    <w:rsid w:val="00FD6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1DC4CF"/>
  <w15:chartTrackingRefBased/>
  <w15:docId w15:val="{B23419A5-F8C4-42A5-A06F-FCB9412E6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7B89"/>
    <w:rPr>
      <w:rFonts w:ascii="Times New Roman" w:hAnsi="Times New Roman"/>
      <w:sz w:val="24"/>
    </w:rPr>
  </w:style>
  <w:style w:type="paragraph" w:styleId="Heading1">
    <w:name w:val="heading 1"/>
    <w:basedOn w:val="Normal"/>
    <w:next w:val="Normal"/>
    <w:link w:val="Heading1Char"/>
    <w:uiPriority w:val="9"/>
    <w:qFormat/>
    <w:rsid w:val="00F31B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B6C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0173B"/>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unhideWhenUsed/>
    <w:qFormat/>
    <w:rsid w:val="00B7386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4426"/>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624426"/>
    <w:rPr>
      <w:color w:val="0000FF"/>
      <w:u w:val="single"/>
    </w:rPr>
  </w:style>
  <w:style w:type="character" w:customStyle="1" w:styleId="Heading3Char">
    <w:name w:val="Heading 3 Char"/>
    <w:basedOn w:val="DefaultParagraphFont"/>
    <w:link w:val="Heading3"/>
    <w:uiPriority w:val="9"/>
    <w:rsid w:val="0060173B"/>
    <w:rPr>
      <w:rFonts w:ascii="Times New Roman" w:eastAsia="Times New Roman" w:hAnsi="Times New Roman" w:cs="Times New Roman"/>
      <w:b/>
      <w:bCs/>
      <w:sz w:val="27"/>
      <w:szCs w:val="27"/>
    </w:rPr>
  </w:style>
  <w:style w:type="character" w:styleId="Strong">
    <w:name w:val="Strong"/>
    <w:basedOn w:val="DefaultParagraphFont"/>
    <w:uiPriority w:val="22"/>
    <w:qFormat/>
    <w:rsid w:val="0060173B"/>
    <w:rPr>
      <w:b/>
      <w:bCs/>
    </w:rPr>
  </w:style>
  <w:style w:type="paragraph" w:styleId="NoSpacing">
    <w:name w:val="No Spacing"/>
    <w:uiPriority w:val="1"/>
    <w:qFormat/>
    <w:rsid w:val="00B03165"/>
    <w:pPr>
      <w:spacing w:after="0" w:line="240" w:lineRule="auto"/>
    </w:pPr>
  </w:style>
  <w:style w:type="character" w:styleId="Emphasis">
    <w:name w:val="Emphasis"/>
    <w:basedOn w:val="DefaultParagraphFont"/>
    <w:uiPriority w:val="20"/>
    <w:qFormat/>
    <w:rsid w:val="00D61B72"/>
    <w:rPr>
      <w:i/>
      <w:iCs/>
    </w:rPr>
  </w:style>
  <w:style w:type="character" w:customStyle="1" w:styleId="Heading2Char">
    <w:name w:val="Heading 2 Char"/>
    <w:basedOn w:val="DefaultParagraphFont"/>
    <w:link w:val="Heading2"/>
    <w:uiPriority w:val="9"/>
    <w:semiHidden/>
    <w:rsid w:val="00BB6CEF"/>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A24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BFE"/>
    <w:pPr>
      <w:ind w:left="720"/>
      <w:contextualSpacing/>
    </w:pPr>
  </w:style>
  <w:style w:type="character" w:styleId="FollowedHyperlink">
    <w:name w:val="FollowedHyperlink"/>
    <w:basedOn w:val="DefaultParagraphFont"/>
    <w:uiPriority w:val="99"/>
    <w:semiHidden/>
    <w:unhideWhenUsed/>
    <w:rsid w:val="00386479"/>
    <w:rPr>
      <w:color w:val="954F72" w:themeColor="followedHyperlink"/>
      <w:u w:val="single"/>
    </w:rPr>
  </w:style>
  <w:style w:type="character" w:customStyle="1" w:styleId="Heading4Char">
    <w:name w:val="Heading 4 Char"/>
    <w:basedOn w:val="DefaultParagraphFont"/>
    <w:link w:val="Heading4"/>
    <w:uiPriority w:val="9"/>
    <w:rsid w:val="00B73861"/>
    <w:rPr>
      <w:rFonts w:asciiTheme="majorHAnsi" w:eastAsiaTheme="majorEastAsia" w:hAnsiTheme="majorHAnsi" w:cstheme="majorBidi"/>
      <w:i/>
      <w:iCs/>
      <w:color w:val="2E74B5" w:themeColor="accent1" w:themeShade="BF"/>
      <w:sz w:val="24"/>
    </w:rPr>
  </w:style>
  <w:style w:type="character" w:customStyle="1" w:styleId="Heading1Char">
    <w:name w:val="Heading 1 Char"/>
    <w:basedOn w:val="DefaultParagraphFont"/>
    <w:link w:val="Heading1"/>
    <w:uiPriority w:val="9"/>
    <w:rsid w:val="00F31BEB"/>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7E6265"/>
    <w:rPr>
      <w:color w:val="605E5C"/>
      <w:shd w:val="clear" w:color="auto" w:fill="E1DFDD"/>
    </w:rPr>
  </w:style>
  <w:style w:type="paragraph" w:styleId="Header">
    <w:name w:val="header"/>
    <w:basedOn w:val="Normal"/>
    <w:link w:val="HeaderChar"/>
    <w:uiPriority w:val="99"/>
    <w:unhideWhenUsed/>
    <w:rsid w:val="00BD14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415"/>
    <w:rPr>
      <w:rFonts w:ascii="Times New Roman" w:hAnsi="Times New Roman"/>
      <w:sz w:val="24"/>
    </w:rPr>
  </w:style>
  <w:style w:type="paragraph" w:styleId="Footer">
    <w:name w:val="footer"/>
    <w:basedOn w:val="Normal"/>
    <w:link w:val="FooterChar"/>
    <w:uiPriority w:val="99"/>
    <w:unhideWhenUsed/>
    <w:rsid w:val="00BD14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41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3658">
      <w:bodyDiv w:val="1"/>
      <w:marLeft w:val="0"/>
      <w:marRight w:val="0"/>
      <w:marTop w:val="0"/>
      <w:marBottom w:val="0"/>
      <w:divBdr>
        <w:top w:val="none" w:sz="0" w:space="0" w:color="auto"/>
        <w:left w:val="none" w:sz="0" w:space="0" w:color="auto"/>
        <w:bottom w:val="none" w:sz="0" w:space="0" w:color="auto"/>
        <w:right w:val="none" w:sz="0" w:space="0" w:color="auto"/>
      </w:divBdr>
      <w:divsChild>
        <w:div w:id="923494100">
          <w:marLeft w:val="0"/>
          <w:marRight w:val="0"/>
          <w:marTop w:val="0"/>
          <w:marBottom w:val="0"/>
          <w:divBdr>
            <w:top w:val="none" w:sz="0" w:space="0" w:color="auto"/>
            <w:left w:val="none" w:sz="0" w:space="0" w:color="auto"/>
            <w:bottom w:val="none" w:sz="0" w:space="0" w:color="auto"/>
            <w:right w:val="none" w:sz="0" w:space="0" w:color="auto"/>
          </w:divBdr>
          <w:divsChild>
            <w:div w:id="59193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7490">
      <w:bodyDiv w:val="1"/>
      <w:marLeft w:val="0"/>
      <w:marRight w:val="0"/>
      <w:marTop w:val="0"/>
      <w:marBottom w:val="0"/>
      <w:divBdr>
        <w:top w:val="none" w:sz="0" w:space="0" w:color="auto"/>
        <w:left w:val="none" w:sz="0" w:space="0" w:color="auto"/>
        <w:bottom w:val="none" w:sz="0" w:space="0" w:color="auto"/>
        <w:right w:val="none" w:sz="0" w:space="0" w:color="auto"/>
      </w:divBdr>
    </w:div>
    <w:div w:id="125322794">
      <w:bodyDiv w:val="1"/>
      <w:marLeft w:val="0"/>
      <w:marRight w:val="0"/>
      <w:marTop w:val="0"/>
      <w:marBottom w:val="0"/>
      <w:divBdr>
        <w:top w:val="none" w:sz="0" w:space="0" w:color="auto"/>
        <w:left w:val="none" w:sz="0" w:space="0" w:color="auto"/>
        <w:bottom w:val="none" w:sz="0" w:space="0" w:color="auto"/>
        <w:right w:val="none" w:sz="0" w:space="0" w:color="auto"/>
      </w:divBdr>
    </w:div>
    <w:div w:id="146095660">
      <w:bodyDiv w:val="1"/>
      <w:marLeft w:val="0"/>
      <w:marRight w:val="0"/>
      <w:marTop w:val="0"/>
      <w:marBottom w:val="0"/>
      <w:divBdr>
        <w:top w:val="none" w:sz="0" w:space="0" w:color="auto"/>
        <w:left w:val="none" w:sz="0" w:space="0" w:color="auto"/>
        <w:bottom w:val="none" w:sz="0" w:space="0" w:color="auto"/>
        <w:right w:val="none" w:sz="0" w:space="0" w:color="auto"/>
      </w:divBdr>
    </w:div>
    <w:div w:id="165754812">
      <w:bodyDiv w:val="1"/>
      <w:marLeft w:val="0"/>
      <w:marRight w:val="0"/>
      <w:marTop w:val="0"/>
      <w:marBottom w:val="0"/>
      <w:divBdr>
        <w:top w:val="none" w:sz="0" w:space="0" w:color="auto"/>
        <w:left w:val="none" w:sz="0" w:space="0" w:color="auto"/>
        <w:bottom w:val="none" w:sz="0" w:space="0" w:color="auto"/>
        <w:right w:val="none" w:sz="0" w:space="0" w:color="auto"/>
      </w:divBdr>
    </w:div>
    <w:div w:id="194730251">
      <w:bodyDiv w:val="1"/>
      <w:marLeft w:val="0"/>
      <w:marRight w:val="0"/>
      <w:marTop w:val="0"/>
      <w:marBottom w:val="0"/>
      <w:divBdr>
        <w:top w:val="none" w:sz="0" w:space="0" w:color="auto"/>
        <w:left w:val="none" w:sz="0" w:space="0" w:color="auto"/>
        <w:bottom w:val="none" w:sz="0" w:space="0" w:color="auto"/>
        <w:right w:val="none" w:sz="0" w:space="0" w:color="auto"/>
      </w:divBdr>
    </w:div>
    <w:div w:id="225141390">
      <w:bodyDiv w:val="1"/>
      <w:marLeft w:val="0"/>
      <w:marRight w:val="0"/>
      <w:marTop w:val="0"/>
      <w:marBottom w:val="0"/>
      <w:divBdr>
        <w:top w:val="none" w:sz="0" w:space="0" w:color="auto"/>
        <w:left w:val="none" w:sz="0" w:space="0" w:color="auto"/>
        <w:bottom w:val="none" w:sz="0" w:space="0" w:color="auto"/>
        <w:right w:val="none" w:sz="0" w:space="0" w:color="auto"/>
      </w:divBdr>
      <w:divsChild>
        <w:div w:id="1090078849">
          <w:marLeft w:val="0"/>
          <w:marRight w:val="0"/>
          <w:marTop w:val="0"/>
          <w:marBottom w:val="0"/>
          <w:divBdr>
            <w:top w:val="none" w:sz="0" w:space="0" w:color="auto"/>
            <w:left w:val="none" w:sz="0" w:space="0" w:color="auto"/>
            <w:bottom w:val="none" w:sz="0" w:space="0" w:color="auto"/>
            <w:right w:val="none" w:sz="0" w:space="0" w:color="auto"/>
          </w:divBdr>
          <w:divsChild>
            <w:div w:id="175088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88331">
      <w:bodyDiv w:val="1"/>
      <w:marLeft w:val="0"/>
      <w:marRight w:val="0"/>
      <w:marTop w:val="0"/>
      <w:marBottom w:val="0"/>
      <w:divBdr>
        <w:top w:val="none" w:sz="0" w:space="0" w:color="auto"/>
        <w:left w:val="none" w:sz="0" w:space="0" w:color="auto"/>
        <w:bottom w:val="none" w:sz="0" w:space="0" w:color="auto"/>
        <w:right w:val="none" w:sz="0" w:space="0" w:color="auto"/>
      </w:divBdr>
    </w:div>
    <w:div w:id="267665264">
      <w:bodyDiv w:val="1"/>
      <w:marLeft w:val="0"/>
      <w:marRight w:val="0"/>
      <w:marTop w:val="0"/>
      <w:marBottom w:val="0"/>
      <w:divBdr>
        <w:top w:val="none" w:sz="0" w:space="0" w:color="auto"/>
        <w:left w:val="none" w:sz="0" w:space="0" w:color="auto"/>
        <w:bottom w:val="none" w:sz="0" w:space="0" w:color="auto"/>
        <w:right w:val="none" w:sz="0" w:space="0" w:color="auto"/>
      </w:divBdr>
    </w:div>
    <w:div w:id="276377937">
      <w:bodyDiv w:val="1"/>
      <w:marLeft w:val="0"/>
      <w:marRight w:val="0"/>
      <w:marTop w:val="0"/>
      <w:marBottom w:val="0"/>
      <w:divBdr>
        <w:top w:val="none" w:sz="0" w:space="0" w:color="auto"/>
        <w:left w:val="none" w:sz="0" w:space="0" w:color="auto"/>
        <w:bottom w:val="none" w:sz="0" w:space="0" w:color="auto"/>
        <w:right w:val="none" w:sz="0" w:space="0" w:color="auto"/>
      </w:divBdr>
      <w:divsChild>
        <w:div w:id="838037772">
          <w:marLeft w:val="0"/>
          <w:marRight w:val="0"/>
          <w:marTop w:val="0"/>
          <w:marBottom w:val="0"/>
          <w:divBdr>
            <w:top w:val="none" w:sz="0" w:space="0" w:color="auto"/>
            <w:left w:val="none" w:sz="0" w:space="0" w:color="auto"/>
            <w:bottom w:val="none" w:sz="0" w:space="0" w:color="auto"/>
            <w:right w:val="none" w:sz="0" w:space="0" w:color="auto"/>
          </w:divBdr>
          <w:divsChild>
            <w:div w:id="14973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930414">
      <w:bodyDiv w:val="1"/>
      <w:marLeft w:val="0"/>
      <w:marRight w:val="0"/>
      <w:marTop w:val="0"/>
      <w:marBottom w:val="0"/>
      <w:divBdr>
        <w:top w:val="none" w:sz="0" w:space="0" w:color="auto"/>
        <w:left w:val="none" w:sz="0" w:space="0" w:color="auto"/>
        <w:bottom w:val="none" w:sz="0" w:space="0" w:color="auto"/>
        <w:right w:val="none" w:sz="0" w:space="0" w:color="auto"/>
      </w:divBdr>
    </w:div>
    <w:div w:id="299307412">
      <w:bodyDiv w:val="1"/>
      <w:marLeft w:val="0"/>
      <w:marRight w:val="0"/>
      <w:marTop w:val="0"/>
      <w:marBottom w:val="0"/>
      <w:divBdr>
        <w:top w:val="none" w:sz="0" w:space="0" w:color="auto"/>
        <w:left w:val="none" w:sz="0" w:space="0" w:color="auto"/>
        <w:bottom w:val="none" w:sz="0" w:space="0" w:color="auto"/>
        <w:right w:val="none" w:sz="0" w:space="0" w:color="auto"/>
      </w:divBdr>
    </w:div>
    <w:div w:id="325135593">
      <w:bodyDiv w:val="1"/>
      <w:marLeft w:val="0"/>
      <w:marRight w:val="0"/>
      <w:marTop w:val="0"/>
      <w:marBottom w:val="0"/>
      <w:divBdr>
        <w:top w:val="none" w:sz="0" w:space="0" w:color="auto"/>
        <w:left w:val="none" w:sz="0" w:space="0" w:color="auto"/>
        <w:bottom w:val="none" w:sz="0" w:space="0" w:color="auto"/>
        <w:right w:val="none" w:sz="0" w:space="0" w:color="auto"/>
      </w:divBdr>
    </w:div>
    <w:div w:id="327712435">
      <w:bodyDiv w:val="1"/>
      <w:marLeft w:val="0"/>
      <w:marRight w:val="0"/>
      <w:marTop w:val="0"/>
      <w:marBottom w:val="0"/>
      <w:divBdr>
        <w:top w:val="none" w:sz="0" w:space="0" w:color="auto"/>
        <w:left w:val="none" w:sz="0" w:space="0" w:color="auto"/>
        <w:bottom w:val="none" w:sz="0" w:space="0" w:color="auto"/>
        <w:right w:val="none" w:sz="0" w:space="0" w:color="auto"/>
      </w:divBdr>
      <w:divsChild>
        <w:div w:id="32005384">
          <w:marLeft w:val="0"/>
          <w:marRight w:val="0"/>
          <w:marTop w:val="0"/>
          <w:marBottom w:val="0"/>
          <w:divBdr>
            <w:top w:val="none" w:sz="0" w:space="0" w:color="auto"/>
            <w:left w:val="none" w:sz="0" w:space="0" w:color="auto"/>
            <w:bottom w:val="none" w:sz="0" w:space="0" w:color="auto"/>
            <w:right w:val="none" w:sz="0" w:space="0" w:color="auto"/>
          </w:divBdr>
          <w:divsChild>
            <w:div w:id="132477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30535">
      <w:bodyDiv w:val="1"/>
      <w:marLeft w:val="0"/>
      <w:marRight w:val="0"/>
      <w:marTop w:val="0"/>
      <w:marBottom w:val="0"/>
      <w:divBdr>
        <w:top w:val="none" w:sz="0" w:space="0" w:color="auto"/>
        <w:left w:val="none" w:sz="0" w:space="0" w:color="auto"/>
        <w:bottom w:val="none" w:sz="0" w:space="0" w:color="auto"/>
        <w:right w:val="none" w:sz="0" w:space="0" w:color="auto"/>
      </w:divBdr>
    </w:div>
    <w:div w:id="348021228">
      <w:bodyDiv w:val="1"/>
      <w:marLeft w:val="0"/>
      <w:marRight w:val="0"/>
      <w:marTop w:val="0"/>
      <w:marBottom w:val="0"/>
      <w:divBdr>
        <w:top w:val="none" w:sz="0" w:space="0" w:color="auto"/>
        <w:left w:val="none" w:sz="0" w:space="0" w:color="auto"/>
        <w:bottom w:val="none" w:sz="0" w:space="0" w:color="auto"/>
        <w:right w:val="none" w:sz="0" w:space="0" w:color="auto"/>
      </w:divBdr>
    </w:div>
    <w:div w:id="359480487">
      <w:bodyDiv w:val="1"/>
      <w:marLeft w:val="0"/>
      <w:marRight w:val="0"/>
      <w:marTop w:val="0"/>
      <w:marBottom w:val="0"/>
      <w:divBdr>
        <w:top w:val="none" w:sz="0" w:space="0" w:color="auto"/>
        <w:left w:val="none" w:sz="0" w:space="0" w:color="auto"/>
        <w:bottom w:val="none" w:sz="0" w:space="0" w:color="auto"/>
        <w:right w:val="none" w:sz="0" w:space="0" w:color="auto"/>
      </w:divBdr>
    </w:div>
    <w:div w:id="359865948">
      <w:bodyDiv w:val="1"/>
      <w:marLeft w:val="0"/>
      <w:marRight w:val="0"/>
      <w:marTop w:val="0"/>
      <w:marBottom w:val="0"/>
      <w:divBdr>
        <w:top w:val="none" w:sz="0" w:space="0" w:color="auto"/>
        <w:left w:val="none" w:sz="0" w:space="0" w:color="auto"/>
        <w:bottom w:val="none" w:sz="0" w:space="0" w:color="auto"/>
        <w:right w:val="none" w:sz="0" w:space="0" w:color="auto"/>
      </w:divBdr>
    </w:div>
    <w:div w:id="368532403">
      <w:bodyDiv w:val="1"/>
      <w:marLeft w:val="0"/>
      <w:marRight w:val="0"/>
      <w:marTop w:val="0"/>
      <w:marBottom w:val="0"/>
      <w:divBdr>
        <w:top w:val="none" w:sz="0" w:space="0" w:color="auto"/>
        <w:left w:val="none" w:sz="0" w:space="0" w:color="auto"/>
        <w:bottom w:val="none" w:sz="0" w:space="0" w:color="auto"/>
        <w:right w:val="none" w:sz="0" w:space="0" w:color="auto"/>
      </w:divBdr>
    </w:div>
    <w:div w:id="386994289">
      <w:bodyDiv w:val="1"/>
      <w:marLeft w:val="0"/>
      <w:marRight w:val="0"/>
      <w:marTop w:val="0"/>
      <w:marBottom w:val="0"/>
      <w:divBdr>
        <w:top w:val="none" w:sz="0" w:space="0" w:color="auto"/>
        <w:left w:val="none" w:sz="0" w:space="0" w:color="auto"/>
        <w:bottom w:val="none" w:sz="0" w:space="0" w:color="auto"/>
        <w:right w:val="none" w:sz="0" w:space="0" w:color="auto"/>
      </w:divBdr>
    </w:div>
    <w:div w:id="395473286">
      <w:bodyDiv w:val="1"/>
      <w:marLeft w:val="0"/>
      <w:marRight w:val="0"/>
      <w:marTop w:val="0"/>
      <w:marBottom w:val="0"/>
      <w:divBdr>
        <w:top w:val="none" w:sz="0" w:space="0" w:color="auto"/>
        <w:left w:val="none" w:sz="0" w:space="0" w:color="auto"/>
        <w:bottom w:val="none" w:sz="0" w:space="0" w:color="auto"/>
        <w:right w:val="none" w:sz="0" w:space="0" w:color="auto"/>
      </w:divBdr>
    </w:div>
    <w:div w:id="408309073">
      <w:bodyDiv w:val="1"/>
      <w:marLeft w:val="0"/>
      <w:marRight w:val="0"/>
      <w:marTop w:val="0"/>
      <w:marBottom w:val="0"/>
      <w:divBdr>
        <w:top w:val="none" w:sz="0" w:space="0" w:color="auto"/>
        <w:left w:val="none" w:sz="0" w:space="0" w:color="auto"/>
        <w:bottom w:val="none" w:sz="0" w:space="0" w:color="auto"/>
        <w:right w:val="none" w:sz="0" w:space="0" w:color="auto"/>
      </w:divBdr>
    </w:div>
    <w:div w:id="413361148">
      <w:bodyDiv w:val="1"/>
      <w:marLeft w:val="0"/>
      <w:marRight w:val="0"/>
      <w:marTop w:val="0"/>
      <w:marBottom w:val="0"/>
      <w:divBdr>
        <w:top w:val="none" w:sz="0" w:space="0" w:color="auto"/>
        <w:left w:val="none" w:sz="0" w:space="0" w:color="auto"/>
        <w:bottom w:val="none" w:sz="0" w:space="0" w:color="auto"/>
        <w:right w:val="none" w:sz="0" w:space="0" w:color="auto"/>
      </w:divBdr>
    </w:div>
    <w:div w:id="426538567">
      <w:bodyDiv w:val="1"/>
      <w:marLeft w:val="0"/>
      <w:marRight w:val="0"/>
      <w:marTop w:val="0"/>
      <w:marBottom w:val="0"/>
      <w:divBdr>
        <w:top w:val="none" w:sz="0" w:space="0" w:color="auto"/>
        <w:left w:val="none" w:sz="0" w:space="0" w:color="auto"/>
        <w:bottom w:val="none" w:sz="0" w:space="0" w:color="auto"/>
        <w:right w:val="none" w:sz="0" w:space="0" w:color="auto"/>
      </w:divBdr>
    </w:div>
    <w:div w:id="521748674">
      <w:bodyDiv w:val="1"/>
      <w:marLeft w:val="0"/>
      <w:marRight w:val="0"/>
      <w:marTop w:val="0"/>
      <w:marBottom w:val="0"/>
      <w:divBdr>
        <w:top w:val="none" w:sz="0" w:space="0" w:color="auto"/>
        <w:left w:val="none" w:sz="0" w:space="0" w:color="auto"/>
        <w:bottom w:val="none" w:sz="0" w:space="0" w:color="auto"/>
        <w:right w:val="none" w:sz="0" w:space="0" w:color="auto"/>
      </w:divBdr>
    </w:div>
    <w:div w:id="549536700">
      <w:bodyDiv w:val="1"/>
      <w:marLeft w:val="0"/>
      <w:marRight w:val="0"/>
      <w:marTop w:val="0"/>
      <w:marBottom w:val="0"/>
      <w:divBdr>
        <w:top w:val="none" w:sz="0" w:space="0" w:color="auto"/>
        <w:left w:val="none" w:sz="0" w:space="0" w:color="auto"/>
        <w:bottom w:val="none" w:sz="0" w:space="0" w:color="auto"/>
        <w:right w:val="none" w:sz="0" w:space="0" w:color="auto"/>
      </w:divBdr>
    </w:div>
    <w:div w:id="573708948">
      <w:bodyDiv w:val="1"/>
      <w:marLeft w:val="0"/>
      <w:marRight w:val="0"/>
      <w:marTop w:val="0"/>
      <w:marBottom w:val="0"/>
      <w:divBdr>
        <w:top w:val="none" w:sz="0" w:space="0" w:color="auto"/>
        <w:left w:val="none" w:sz="0" w:space="0" w:color="auto"/>
        <w:bottom w:val="none" w:sz="0" w:space="0" w:color="auto"/>
        <w:right w:val="none" w:sz="0" w:space="0" w:color="auto"/>
      </w:divBdr>
    </w:div>
    <w:div w:id="600574681">
      <w:bodyDiv w:val="1"/>
      <w:marLeft w:val="0"/>
      <w:marRight w:val="0"/>
      <w:marTop w:val="0"/>
      <w:marBottom w:val="0"/>
      <w:divBdr>
        <w:top w:val="none" w:sz="0" w:space="0" w:color="auto"/>
        <w:left w:val="none" w:sz="0" w:space="0" w:color="auto"/>
        <w:bottom w:val="none" w:sz="0" w:space="0" w:color="auto"/>
        <w:right w:val="none" w:sz="0" w:space="0" w:color="auto"/>
      </w:divBdr>
    </w:div>
    <w:div w:id="608508329">
      <w:bodyDiv w:val="1"/>
      <w:marLeft w:val="0"/>
      <w:marRight w:val="0"/>
      <w:marTop w:val="0"/>
      <w:marBottom w:val="0"/>
      <w:divBdr>
        <w:top w:val="none" w:sz="0" w:space="0" w:color="auto"/>
        <w:left w:val="none" w:sz="0" w:space="0" w:color="auto"/>
        <w:bottom w:val="none" w:sz="0" w:space="0" w:color="auto"/>
        <w:right w:val="none" w:sz="0" w:space="0" w:color="auto"/>
      </w:divBdr>
    </w:div>
    <w:div w:id="608855801">
      <w:bodyDiv w:val="1"/>
      <w:marLeft w:val="0"/>
      <w:marRight w:val="0"/>
      <w:marTop w:val="0"/>
      <w:marBottom w:val="0"/>
      <w:divBdr>
        <w:top w:val="none" w:sz="0" w:space="0" w:color="auto"/>
        <w:left w:val="none" w:sz="0" w:space="0" w:color="auto"/>
        <w:bottom w:val="none" w:sz="0" w:space="0" w:color="auto"/>
        <w:right w:val="none" w:sz="0" w:space="0" w:color="auto"/>
      </w:divBdr>
    </w:div>
    <w:div w:id="641930107">
      <w:bodyDiv w:val="1"/>
      <w:marLeft w:val="0"/>
      <w:marRight w:val="0"/>
      <w:marTop w:val="0"/>
      <w:marBottom w:val="0"/>
      <w:divBdr>
        <w:top w:val="none" w:sz="0" w:space="0" w:color="auto"/>
        <w:left w:val="none" w:sz="0" w:space="0" w:color="auto"/>
        <w:bottom w:val="none" w:sz="0" w:space="0" w:color="auto"/>
        <w:right w:val="none" w:sz="0" w:space="0" w:color="auto"/>
      </w:divBdr>
    </w:div>
    <w:div w:id="654064467">
      <w:bodyDiv w:val="1"/>
      <w:marLeft w:val="0"/>
      <w:marRight w:val="0"/>
      <w:marTop w:val="0"/>
      <w:marBottom w:val="0"/>
      <w:divBdr>
        <w:top w:val="none" w:sz="0" w:space="0" w:color="auto"/>
        <w:left w:val="none" w:sz="0" w:space="0" w:color="auto"/>
        <w:bottom w:val="none" w:sz="0" w:space="0" w:color="auto"/>
        <w:right w:val="none" w:sz="0" w:space="0" w:color="auto"/>
      </w:divBdr>
    </w:div>
    <w:div w:id="672487268">
      <w:bodyDiv w:val="1"/>
      <w:marLeft w:val="0"/>
      <w:marRight w:val="0"/>
      <w:marTop w:val="0"/>
      <w:marBottom w:val="0"/>
      <w:divBdr>
        <w:top w:val="none" w:sz="0" w:space="0" w:color="auto"/>
        <w:left w:val="none" w:sz="0" w:space="0" w:color="auto"/>
        <w:bottom w:val="none" w:sz="0" w:space="0" w:color="auto"/>
        <w:right w:val="none" w:sz="0" w:space="0" w:color="auto"/>
      </w:divBdr>
    </w:div>
    <w:div w:id="681317348">
      <w:bodyDiv w:val="1"/>
      <w:marLeft w:val="0"/>
      <w:marRight w:val="0"/>
      <w:marTop w:val="0"/>
      <w:marBottom w:val="0"/>
      <w:divBdr>
        <w:top w:val="none" w:sz="0" w:space="0" w:color="auto"/>
        <w:left w:val="none" w:sz="0" w:space="0" w:color="auto"/>
        <w:bottom w:val="none" w:sz="0" w:space="0" w:color="auto"/>
        <w:right w:val="none" w:sz="0" w:space="0" w:color="auto"/>
      </w:divBdr>
    </w:div>
    <w:div w:id="682360937">
      <w:bodyDiv w:val="1"/>
      <w:marLeft w:val="0"/>
      <w:marRight w:val="0"/>
      <w:marTop w:val="0"/>
      <w:marBottom w:val="0"/>
      <w:divBdr>
        <w:top w:val="none" w:sz="0" w:space="0" w:color="auto"/>
        <w:left w:val="none" w:sz="0" w:space="0" w:color="auto"/>
        <w:bottom w:val="none" w:sz="0" w:space="0" w:color="auto"/>
        <w:right w:val="none" w:sz="0" w:space="0" w:color="auto"/>
      </w:divBdr>
    </w:div>
    <w:div w:id="693843780">
      <w:bodyDiv w:val="1"/>
      <w:marLeft w:val="0"/>
      <w:marRight w:val="0"/>
      <w:marTop w:val="0"/>
      <w:marBottom w:val="0"/>
      <w:divBdr>
        <w:top w:val="none" w:sz="0" w:space="0" w:color="auto"/>
        <w:left w:val="none" w:sz="0" w:space="0" w:color="auto"/>
        <w:bottom w:val="none" w:sz="0" w:space="0" w:color="auto"/>
        <w:right w:val="none" w:sz="0" w:space="0" w:color="auto"/>
      </w:divBdr>
    </w:div>
    <w:div w:id="717780782">
      <w:bodyDiv w:val="1"/>
      <w:marLeft w:val="0"/>
      <w:marRight w:val="0"/>
      <w:marTop w:val="0"/>
      <w:marBottom w:val="0"/>
      <w:divBdr>
        <w:top w:val="none" w:sz="0" w:space="0" w:color="auto"/>
        <w:left w:val="none" w:sz="0" w:space="0" w:color="auto"/>
        <w:bottom w:val="none" w:sz="0" w:space="0" w:color="auto"/>
        <w:right w:val="none" w:sz="0" w:space="0" w:color="auto"/>
      </w:divBdr>
    </w:div>
    <w:div w:id="731394501">
      <w:bodyDiv w:val="1"/>
      <w:marLeft w:val="0"/>
      <w:marRight w:val="0"/>
      <w:marTop w:val="0"/>
      <w:marBottom w:val="0"/>
      <w:divBdr>
        <w:top w:val="none" w:sz="0" w:space="0" w:color="auto"/>
        <w:left w:val="none" w:sz="0" w:space="0" w:color="auto"/>
        <w:bottom w:val="none" w:sz="0" w:space="0" w:color="auto"/>
        <w:right w:val="none" w:sz="0" w:space="0" w:color="auto"/>
      </w:divBdr>
      <w:divsChild>
        <w:div w:id="461919339">
          <w:marLeft w:val="0"/>
          <w:marRight w:val="0"/>
          <w:marTop w:val="0"/>
          <w:marBottom w:val="0"/>
          <w:divBdr>
            <w:top w:val="none" w:sz="0" w:space="0" w:color="auto"/>
            <w:left w:val="none" w:sz="0" w:space="0" w:color="auto"/>
            <w:bottom w:val="none" w:sz="0" w:space="0" w:color="auto"/>
            <w:right w:val="none" w:sz="0" w:space="0" w:color="auto"/>
          </w:divBdr>
          <w:divsChild>
            <w:div w:id="166234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26446">
      <w:bodyDiv w:val="1"/>
      <w:marLeft w:val="0"/>
      <w:marRight w:val="0"/>
      <w:marTop w:val="0"/>
      <w:marBottom w:val="0"/>
      <w:divBdr>
        <w:top w:val="none" w:sz="0" w:space="0" w:color="auto"/>
        <w:left w:val="none" w:sz="0" w:space="0" w:color="auto"/>
        <w:bottom w:val="none" w:sz="0" w:space="0" w:color="auto"/>
        <w:right w:val="none" w:sz="0" w:space="0" w:color="auto"/>
      </w:divBdr>
    </w:div>
    <w:div w:id="749737835">
      <w:bodyDiv w:val="1"/>
      <w:marLeft w:val="0"/>
      <w:marRight w:val="0"/>
      <w:marTop w:val="0"/>
      <w:marBottom w:val="0"/>
      <w:divBdr>
        <w:top w:val="none" w:sz="0" w:space="0" w:color="auto"/>
        <w:left w:val="none" w:sz="0" w:space="0" w:color="auto"/>
        <w:bottom w:val="none" w:sz="0" w:space="0" w:color="auto"/>
        <w:right w:val="none" w:sz="0" w:space="0" w:color="auto"/>
      </w:divBdr>
    </w:div>
    <w:div w:id="770855172">
      <w:bodyDiv w:val="1"/>
      <w:marLeft w:val="0"/>
      <w:marRight w:val="0"/>
      <w:marTop w:val="0"/>
      <w:marBottom w:val="0"/>
      <w:divBdr>
        <w:top w:val="none" w:sz="0" w:space="0" w:color="auto"/>
        <w:left w:val="none" w:sz="0" w:space="0" w:color="auto"/>
        <w:bottom w:val="none" w:sz="0" w:space="0" w:color="auto"/>
        <w:right w:val="none" w:sz="0" w:space="0" w:color="auto"/>
      </w:divBdr>
      <w:divsChild>
        <w:div w:id="716050241">
          <w:marLeft w:val="0"/>
          <w:marRight w:val="0"/>
          <w:marTop w:val="0"/>
          <w:marBottom w:val="0"/>
          <w:divBdr>
            <w:top w:val="none" w:sz="0" w:space="0" w:color="auto"/>
            <w:left w:val="none" w:sz="0" w:space="0" w:color="auto"/>
            <w:bottom w:val="none" w:sz="0" w:space="0" w:color="auto"/>
            <w:right w:val="none" w:sz="0" w:space="0" w:color="auto"/>
          </w:divBdr>
          <w:divsChild>
            <w:div w:id="10636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284">
      <w:bodyDiv w:val="1"/>
      <w:marLeft w:val="0"/>
      <w:marRight w:val="0"/>
      <w:marTop w:val="0"/>
      <w:marBottom w:val="0"/>
      <w:divBdr>
        <w:top w:val="none" w:sz="0" w:space="0" w:color="auto"/>
        <w:left w:val="none" w:sz="0" w:space="0" w:color="auto"/>
        <w:bottom w:val="none" w:sz="0" w:space="0" w:color="auto"/>
        <w:right w:val="none" w:sz="0" w:space="0" w:color="auto"/>
      </w:divBdr>
    </w:div>
    <w:div w:id="790367329">
      <w:bodyDiv w:val="1"/>
      <w:marLeft w:val="0"/>
      <w:marRight w:val="0"/>
      <w:marTop w:val="0"/>
      <w:marBottom w:val="0"/>
      <w:divBdr>
        <w:top w:val="none" w:sz="0" w:space="0" w:color="auto"/>
        <w:left w:val="none" w:sz="0" w:space="0" w:color="auto"/>
        <w:bottom w:val="none" w:sz="0" w:space="0" w:color="auto"/>
        <w:right w:val="none" w:sz="0" w:space="0" w:color="auto"/>
      </w:divBdr>
      <w:divsChild>
        <w:div w:id="1780493540">
          <w:marLeft w:val="0"/>
          <w:marRight w:val="0"/>
          <w:marTop w:val="0"/>
          <w:marBottom w:val="0"/>
          <w:divBdr>
            <w:top w:val="none" w:sz="0" w:space="0" w:color="auto"/>
            <w:left w:val="none" w:sz="0" w:space="0" w:color="auto"/>
            <w:bottom w:val="none" w:sz="0" w:space="0" w:color="auto"/>
            <w:right w:val="none" w:sz="0" w:space="0" w:color="auto"/>
          </w:divBdr>
          <w:divsChild>
            <w:div w:id="11014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13924">
      <w:bodyDiv w:val="1"/>
      <w:marLeft w:val="0"/>
      <w:marRight w:val="0"/>
      <w:marTop w:val="0"/>
      <w:marBottom w:val="0"/>
      <w:divBdr>
        <w:top w:val="none" w:sz="0" w:space="0" w:color="auto"/>
        <w:left w:val="none" w:sz="0" w:space="0" w:color="auto"/>
        <w:bottom w:val="none" w:sz="0" w:space="0" w:color="auto"/>
        <w:right w:val="none" w:sz="0" w:space="0" w:color="auto"/>
      </w:divBdr>
    </w:div>
    <w:div w:id="803616361">
      <w:bodyDiv w:val="1"/>
      <w:marLeft w:val="0"/>
      <w:marRight w:val="0"/>
      <w:marTop w:val="0"/>
      <w:marBottom w:val="0"/>
      <w:divBdr>
        <w:top w:val="none" w:sz="0" w:space="0" w:color="auto"/>
        <w:left w:val="none" w:sz="0" w:space="0" w:color="auto"/>
        <w:bottom w:val="none" w:sz="0" w:space="0" w:color="auto"/>
        <w:right w:val="none" w:sz="0" w:space="0" w:color="auto"/>
      </w:divBdr>
      <w:divsChild>
        <w:div w:id="1379357116">
          <w:marLeft w:val="0"/>
          <w:marRight w:val="0"/>
          <w:marTop w:val="0"/>
          <w:marBottom w:val="0"/>
          <w:divBdr>
            <w:top w:val="none" w:sz="0" w:space="0" w:color="auto"/>
            <w:left w:val="none" w:sz="0" w:space="0" w:color="auto"/>
            <w:bottom w:val="none" w:sz="0" w:space="0" w:color="auto"/>
            <w:right w:val="none" w:sz="0" w:space="0" w:color="auto"/>
          </w:divBdr>
          <w:divsChild>
            <w:div w:id="62771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43619">
      <w:bodyDiv w:val="1"/>
      <w:marLeft w:val="0"/>
      <w:marRight w:val="0"/>
      <w:marTop w:val="0"/>
      <w:marBottom w:val="0"/>
      <w:divBdr>
        <w:top w:val="none" w:sz="0" w:space="0" w:color="auto"/>
        <w:left w:val="none" w:sz="0" w:space="0" w:color="auto"/>
        <w:bottom w:val="none" w:sz="0" w:space="0" w:color="auto"/>
        <w:right w:val="none" w:sz="0" w:space="0" w:color="auto"/>
      </w:divBdr>
    </w:div>
    <w:div w:id="842624302">
      <w:bodyDiv w:val="1"/>
      <w:marLeft w:val="0"/>
      <w:marRight w:val="0"/>
      <w:marTop w:val="0"/>
      <w:marBottom w:val="0"/>
      <w:divBdr>
        <w:top w:val="none" w:sz="0" w:space="0" w:color="auto"/>
        <w:left w:val="none" w:sz="0" w:space="0" w:color="auto"/>
        <w:bottom w:val="none" w:sz="0" w:space="0" w:color="auto"/>
        <w:right w:val="none" w:sz="0" w:space="0" w:color="auto"/>
      </w:divBdr>
      <w:divsChild>
        <w:div w:id="1239444555">
          <w:marLeft w:val="0"/>
          <w:marRight w:val="0"/>
          <w:marTop w:val="0"/>
          <w:marBottom w:val="0"/>
          <w:divBdr>
            <w:top w:val="none" w:sz="0" w:space="0" w:color="auto"/>
            <w:left w:val="none" w:sz="0" w:space="0" w:color="auto"/>
            <w:bottom w:val="none" w:sz="0" w:space="0" w:color="auto"/>
            <w:right w:val="none" w:sz="0" w:space="0" w:color="auto"/>
          </w:divBdr>
          <w:divsChild>
            <w:div w:id="30921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71725">
      <w:bodyDiv w:val="1"/>
      <w:marLeft w:val="0"/>
      <w:marRight w:val="0"/>
      <w:marTop w:val="0"/>
      <w:marBottom w:val="0"/>
      <w:divBdr>
        <w:top w:val="none" w:sz="0" w:space="0" w:color="auto"/>
        <w:left w:val="none" w:sz="0" w:space="0" w:color="auto"/>
        <w:bottom w:val="none" w:sz="0" w:space="0" w:color="auto"/>
        <w:right w:val="none" w:sz="0" w:space="0" w:color="auto"/>
      </w:divBdr>
      <w:divsChild>
        <w:div w:id="1839727664">
          <w:marLeft w:val="0"/>
          <w:marRight w:val="0"/>
          <w:marTop w:val="0"/>
          <w:marBottom w:val="0"/>
          <w:divBdr>
            <w:top w:val="none" w:sz="0" w:space="0" w:color="auto"/>
            <w:left w:val="none" w:sz="0" w:space="0" w:color="auto"/>
            <w:bottom w:val="none" w:sz="0" w:space="0" w:color="auto"/>
            <w:right w:val="none" w:sz="0" w:space="0" w:color="auto"/>
          </w:divBdr>
          <w:divsChild>
            <w:div w:id="94464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4974">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9848324">
      <w:bodyDiv w:val="1"/>
      <w:marLeft w:val="0"/>
      <w:marRight w:val="0"/>
      <w:marTop w:val="0"/>
      <w:marBottom w:val="0"/>
      <w:divBdr>
        <w:top w:val="none" w:sz="0" w:space="0" w:color="auto"/>
        <w:left w:val="none" w:sz="0" w:space="0" w:color="auto"/>
        <w:bottom w:val="none" w:sz="0" w:space="0" w:color="auto"/>
        <w:right w:val="none" w:sz="0" w:space="0" w:color="auto"/>
      </w:divBdr>
      <w:divsChild>
        <w:div w:id="846679564">
          <w:marLeft w:val="0"/>
          <w:marRight w:val="0"/>
          <w:marTop w:val="0"/>
          <w:marBottom w:val="0"/>
          <w:divBdr>
            <w:top w:val="none" w:sz="0" w:space="0" w:color="auto"/>
            <w:left w:val="none" w:sz="0" w:space="0" w:color="auto"/>
            <w:bottom w:val="none" w:sz="0" w:space="0" w:color="auto"/>
            <w:right w:val="none" w:sz="0" w:space="0" w:color="auto"/>
          </w:divBdr>
          <w:divsChild>
            <w:div w:id="67699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831978">
      <w:bodyDiv w:val="1"/>
      <w:marLeft w:val="0"/>
      <w:marRight w:val="0"/>
      <w:marTop w:val="0"/>
      <w:marBottom w:val="0"/>
      <w:divBdr>
        <w:top w:val="none" w:sz="0" w:space="0" w:color="auto"/>
        <w:left w:val="none" w:sz="0" w:space="0" w:color="auto"/>
        <w:bottom w:val="none" w:sz="0" w:space="0" w:color="auto"/>
        <w:right w:val="none" w:sz="0" w:space="0" w:color="auto"/>
      </w:divBdr>
    </w:div>
    <w:div w:id="961807370">
      <w:bodyDiv w:val="1"/>
      <w:marLeft w:val="0"/>
      <w:marRight w:val="0"/>
      <w:marTop w:val="0"/>
      <w:marBottom w:val="0"/>
      <w:divBdr>
        <w:top w:val="none" w:sz="0" w:space="0" w:color="auto"/>
        <w:left w:val="none" w:sz="0" w:space="0" w:color="auto"/>
        <w:bottom w:val="none" w:sz="0" w:space="0" w:color="auto"/>
        <w:right w:val="none" w:sz="0" w:space="0" w:color="auto"/>
      </w:divBdr>
    </w:div>
    <w:div w:id="1000045230">
      <w:bodyDiv w:val="1"/>
      <w:marLeft w:val="0"/>
      <w:marRight w:val="0"/>
      <w:marTop w:val="0"/>
      <w:marBottom w:val="0"/>
      <w:divBdr>
        <w:top w:val="none" w:sz="0" w:space="0" w:color="auto"/>
        <w:left w:val="none" w:sz="0" w:space="0" w:color="auto"/>
        <w:bottom w:val="none" w:sz="0" w:space="0" w:color="auto"/>
        <w:right w:val="none" w:sz="0" w:space="0" w:color="auto"/>
      </w:divBdr>
    </w:div>
    <w:div w:id="1007557248">
      <w:bodyDiv w:val="1"/>
      <w:marLeft w:val="0"/>
      <w:marRight w:val="0"/>
      <w:marTop w:val="0"/>
      <w:marBottom w:val="0"/>
      <w:divBdr>
        <w:top w:val="none" w:sz="0" w:space="0" w:color="auto"/>
        <w:left w:val="none" w:sz="0" w:space="0" w:color="auto"/>
        <w:bottom w:val="none" w:sz="0" w:space="0" w:color="auto"/>
        <w:right w:val="none" w:sz="0" w:space="0" w:color="auto"/>
      </w:divBdr>
    </w:div>
    <w:div w:id="1016810784">
      <w:bodyDiv w:val="1"/>
      <w:marLeft w:val="0"/>
      <w:marRight w:val="0"/>
      <w:marTop w:val="0"/>
      <w:marBottom w:val="0"/>
      <w:divBdr>
        <w:top w:val="none" w:sz="0" w:space="0" w:color="auto"/>
        <w:left w:val="none" w:sz="0" w:space="0" w:color="auto"/>
        <w:bottom w:val="none" w:sz="0" w:space="0" w:color="auto"/>
        <w:right w:val="none" w:sz="0" w:space="0" w:color="auto"/>
      </w:divBdr>
    </w:div>
    <w:div w:id="1031223825">
      <w:bodyDiv w:val="1"/>
      <w:marLeft w:val="0"/>
      <w:marRight w:val="0"/>
      <w:marTop w:val="0"/>
      <w:marBottom w:val="0"/>
      <w:divBdr>
        <w:top w:val="none" w:sz="0" w:space="0" w:color="auto"/>
        <w:left w:val="none" w:sz="0" w:space="0" w:color="auto"/>
        <w:bottom w:val="none" w:sz="0" w:space="0" w:color="auto"/>
        <w:right w:val="none" w:sz="0" w:space="0" w:color="auto"/>
      </w:divBdr>
    </w:div>
    <w:div w:id="1064909705">
      <w:bodyDiv w:val="1"/>
      <w:marLeft w:val="0"/>
      <w:marRight w:val="0"/>
      <w:marTop w:val="0"/>
      <w:marBottom w:val="0"/>
      <w:divBdr>
        <w:top w:val="none" w:sz="0" w:space="0" w:color="auto"/>
        <w:left w:val="none" w:sz="0" w:space="0" w:color="auto"/>
        <w:bottom w:val="none" w:sz="0" w:space="0" w:color="auto"/>
        <w:right w:val="none" w:sz="0" w:space="0" w:color="auto"/>
      </w:divBdr>
    </w:div>
    <w:div w:id="1080131579">
      <w:bodyDiv w:val="1"/>
      <w:marLeft w:val="0"/>
      <w:marRight w:val="0"/>
      <w:marTop w:val="0"/>
      <w:marBottom w:val="0"/>
      <w:divBdr>
        <w:top w:val="none" w:sz="0" w:space="0" w:color="auto"/>
        <w:left w:val="none" w:sz="0" w:space="0" w:color="auto"/>
        <w:bottom w:val="none" w:sz="0" w:space="0" w:color="auto"/>
        <w:right w:val="none" w:sz="0" w:space="0" w:color="auto"/>
      </w:divBdr>
      <w:divsChild>
        <w:div w:id="652296338">
          <w:marLeft w:val="0"/>
          <w:marRight w:val="0"/>
          <w:marTop w:val="0"/>
          <w:marBottom w:val="0"/>
          <w:divBdr>
            <w:top w:val="none" w:sz="0" w:space="0" w:color="auto"/>
            <w:left w:val="none" w:sz="0" w:space="0" w:color="auto"/>
            <w:bottom w:val="none" w:sz="0" w:space="0" w:color="auto"/>
            <w:right w:val="none" w:sz="0" w:space="0" w:color="auto"/>
          </w:divBdr>
          <w:divsChild>
            <w:div w:id="4791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33058">
      <w:bodyDiv w:val="1"/>
      <w:marLeft w:val="0"/>
      <w:marRight w:val="0"/>
      <w:marTop w:val="0"/>
      <w:marBottom w:val="0"/>
      <w:divBdr>
        <w:top w:val="none" w:sz="0" w:space="0" w:color="auto"/>
        <w:left w:val="none" w:sz="0" w:space="0" w:color="auto"/>
        <w:bottom w:val="none" w:sz="0" w:space="0" w:color="auto"/>
        <w:right w:val="none" w:sz="0" w:space="0" w:color="auto"/>
      </w:divBdr>
    </w:div>
    <w:div w:id="1110199649">
      <w:bodyDiv w:val="1"/>
      <w:marLeft w:val="0"/>
      <w:marRight w:val="0"/>
      <w:marTop w:val="0"/>
      <w:marBottom w:val="0"/>
      <w:divBdr>
        <w:top w:val="none" w:sz="0" w:space="0" w:color="auto"/>
        <w:left w:val="none" w:sz="0" w:space="0" w:color="auto"/>
        <w:bottom w:val="none" w:sz="0" w:space="0" w:color="auto"/>
        <w:right w:val="none" w:sz="0" w:space="0" w:color="auto"/>
      </w:divBdr>
    </w:div>
    <w:div w:id="1130365953">
      <w:bodyDiv w:val="1"/>
      <w:marLeft w:val="0"/>
      <w:marRight w:val="0"/>
      <w:marTop w:val="0"/>
      <w:marBottom w:val="0"/>
      <w:divBdr>
        <w:top w:val="none" w:sz="0" w:space="0" w:color="auto"/>
        <w:left w:val="none" w:sz="0" w:space="0" w:color="auto"/>
        <w:bottom w:val="none" w:sz="0" w:space="0" w:color="auto"/>
        <w:right w:val="none" w:sz="0" w:space="0" w:color="auto"/>
      </w:divBdr>
    </w:div>
    <w:div w:id="1139959892">
      <w:bodyDiv w:val="1"/>
      <w:marLeft w:val="0"/>
      <w:marRight w:val="0"/>
      <w:marTop w:val="0"/>
      <w:marBottom w:val="0"/>
      <w:divBdr>
        <w:top w:val="none" w:sz="0" w:space="0" w:color="auto"/>
        <w:left w:val="none" w:sz="0" w:space="0" w:color="auto"/>
        <w:bottom w:val="none" w:sz="0" w:space="0" w:color="auto"/>
        <w:right w:val="none" w:sz="0" w:space="0" w:color="auto"/>
      </w:divBdr>
      <w:divsChild>
        <w:div w:id="2005544064">
          <w:marLeft w:val="0"/>
          <w:marRight w:val="0"/>
          <w:marTop w:val="0"/>
          <w:marBottom w:val="0"/>
          <w:divBdr>
            <w:top w:val="none" w:sz="0" w:space="0" w:color="auto"/>
            <w:left w:val="none" w:sz="0" w:space="0" w:color="auto"/>
            <w:bottom w:val="none" w:sz="0" w:space="0" w:color="auto"/>
            <w:right w:val="none" w:sz="0" w:space="0" w:color="auto"/>
          </w:divBdr>
          <w:divsChild>
            <w:div w:id="21266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63492">
      <w:bodyDiv w:val="1"/>
      <w:marLeft w:val="0"/>
      <w:marRight w:val="0"/>
      <w:marTop w:val="0"/>
      <w:marBottom w:val="0"/>
      <w:divBdr>
        <w:top w:val="none" w:sz="0" w:space="0" w:color="auto"/>
        <w:left w:val="none" w:sz="0" w:space="0" w:color="auto"/>
        <w:bottom w:val="none" w:sz="0" w:space="0" w:color="auto"/>
        <w:right w:val="none" w:sz="0" w:space="0" w:color="auto"/>
      </w:divBdr>
    </w:div>
    <w:div w:id="1180508922">
      <w:bodyDiv w:val="1"/>
      <w:marLeft w:val="0"/>
      <w:marRight w:val="0"/>
      <w:marTop w:val="0"/>
      <w:marBottom w:val="0"/>
      <w:divBdr>
        <w:top w:val="none" w:sz="0" w:space="0" w:color="auto"/>
        <w:left w:val="none" w:sz="0" w:space="0" w:color="auto"/>
        <w:bottom w:val="none" w:sz="0" w:space="0" w:color="auto"/>
        <w:right w:val="none" w:sz="0" w:space="0" w:color="auto"/>
      </w:divBdr>
    </w:div>
    <w:div w:id="1197307981">
      <w:bodyDiv w:val="1"/>
      <w:marLeft w:val="0"/>
      <w:marRight w:val="0"/>
      <w:marTop w:val="0"/>
      <w:marBottom w:val="0"/>
      <w:divBdr>
        <w:top w:val="none" w:sz="0" w:space="0" w:color="auto"/>
        <w:left w:val="none" w:sz="0" w:space="0" w:color="auto"/>
        <w:bottom w:val="none" w:sz="0" w:space="0" w:color="auto"/>
        <w:right w:val="none" w:sz="0" w:space="0" w:color="auto"/>
      </w:divBdr>
    </w:div>
    <w:div w:id="1232077687">
      <w:bodyDiv w:val="1"/>
      <w:marLeft w:val="0"/>
      <w:marRight w:val="0"/>
      <w:marTop w:val="0"/>
      <w:marBottom w:val="0"/>
      <w:divBdr>
        <w:top w:val="none" w:sz="0" w:space="0" w:color="auto"/>
        <w:left w:val="none" w:sz="0" w:space="0" w:color="auto"/>
        <w:bottom w:val="none" w:sz="0" w:space="0" w:color="auto"/>
        <w:right w:val="none" w:sz="0" w:space="0" w:color="auto"/>
      </w:divBdr>
    </w:div>
    <w:div w:id="1264655618">
      <w:bodyDiv w:val="1"/>
      <w:marLeft w:val="0"/>
      <w:marRight w:val="0"/>
      <w:marTop w:val="0"/>
      <w:marBottom w:val="0"/>
      <w:divBdr>
        <w:top w:val="none" w:sz="0" w:space="0" w:color="auto"/>
        <w:left w:val="none" w:sz="0" w:space="0" w:color="auto"/>
        <w:bottom w:val="none" w:sz="0" w:space="0" w:color="auto"/>
        <w:right w:val="none" w:sz="0" w:space="0" w:color="auto"/>
      </w:divBdr>
    </w:div>
    <w:div w:id="1298876382">
      <w:bodyDiv w:val="1"/>
      <w:marLeft w:val="0"/>
      <w:marRight w:val="0"/>
      <w:marTop w:val="0"/>
      <w:marBottom w:val="0"/>
      <w:divBdr>
        <w:top w:val="none" w:sz="0" w:space="0" w:color="auto"/>
        <w:left w:val="none" w:sz="0" w:space="0" w:color="auto"/>
        <w:bottom w:val="none" w:sz="0" w:space="0" w:color="auto"/>
        <w:right w:val="none" w:sz="0" w:space="0" w:color="auto"/>
      </w:divBdr>
      <w:divsChild>
        <w:div w:id="2081057011">
          <w:marLeft w:val="0"/>
          <w:marRight w:val="0"/>
          <w:marTop w:val="0"/>
          <w:marBottom w:val="0"/>
          <w:divBdr>
            <w:top w:val="none" w:sz="0" w:space="0" w:color="auto"/>
            <w:left w:val="none" w:sz="0" w:space="0" w:color="auto"/>
            <w:bottom w:val="none" w:sz="0" w:space="0" w:color="auto"/>
            <w:right w:val="none" w:sz="0" w:space="0" w:color="auto"/>
          </w:divBdr>
          <w:divsChild>
            <w:div w:id="13404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337769">
      <w:bodyDiv w:val="1"/>
      <w:marLeft w:val="0"/>
      <w:marRight w:val="0"/>
      <w:marTop w:val="0"/>
      <w:marBottom w:val="0"/>
      <w:divBdr>
        <w:top w:val="none" w:sz="0" w:space="0" w:color="auto"/>
        <w:left w:val="none" w:sz="0" w:space="0" w:color="auto"/>
        <w:bottom w:val="none" w:sz="0" w:space="0" w:color="auto"/>
        <w:right w:val="none" w:sz="0" w:space="0" w:color="auto"/>
      </w:divBdr>
    </w:div>
    <w:div w:id="1337077708">
      <w:bodyDiv w:val="1"/>
      <w:marLeft w:val="0"/>
      <w:marRight w:val="0"/>
      <w:marTop w:val="0"/>
      <w:marBottom w:val="0"/>
      <w:divBdr>
        <w:top w:val="none" w:sz="0" w:space="0" w:color="auto"/>
        <w:left w:val="none" w:sz="0" w:space="0" w:color="auto"/>
        <w:bottom w:val="none" w:sz="0" w:space="0" w:color="auto"/>
        <w:right w:val="none" w:sz="0" w:space="0" w:color="auto"/>
      </w:divBdr>
    </w:div>
    <w:div w:id="1377465704">
      <w:bodyDiv w:val="1"/>
      <w:marLeft w:val="0"/>
      <w:marRight w:val="0"/>
      <w:marTop w:val="0"/>
      <w:marBottom w:val="0"/>
      <w:divBdr>
        <w:top w:val="none" w:sz="0" w:space="0" w:color="auto"/>
        <w:left w:val="none" w:sz="0" w:space="0" w:color="auto"/>
        <w:bottom w:val="none" w:sz="0" w:space="0" w:color="auto"/>
        <w:right w:val="none" w:sz="0" w:space="0" w:color="auto"/>
      </w:divBdr>
      <w:divsChild>
        <w:div w:id="1110009155">
          <w:marLeft w:val="0"/>
          <w:marRight w:val="0"/>
          <w:marTop w:val="0"/>
          <w:marBottom w:val="0"/>
          <w:divBdr>
            <w:top w:val="none" w:sz="0" w:space="0" w:color="auto"/>
            <w:left w:val="none" w:sz="0" w:space="0" w:color="auto"/>
            <w:bottom w:val="none" w:sz="0" w:space="0" w:color="auto"/>
            <w:right w:val="none" w:sz="0" w:space="0" w:color="auto"/>
          </w:divBdr>
          <w:divsChild>
            <w:div w:id="112500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4566">
      <w:bodyDiv w:val="1"/>
      <w:marLeft w:val="0"/>
      <w:marRight w:val="0"/>
      <w:marTop w:val="0"/>
      <w:marBottom w:val="0"/>
      <w:divBdr>
        <w:top w:val="none" w:sz="0" w:space="0" w:color="auto"/>
        <w:left w:val="none" w:sz="0" w:space="0" w:color="auto"/>
        <w:bottom w:val="none" w:sz="0" w:space="0" w:color="auto"/>
        <w:right w:val="none" w:sz="0" w:space="0" w:color="auto"/>
      </w:divBdr>
    </w:div>
    <w:div w:id="1391733003">
      <w:bodyDiv w:val="1"/>
      <w:marLeft w:val="0"/>
      <w:marRight w:val="0"/>
      <w:marTop w:val="0"/>
      <w:marBottom w:val="0"/>
      <w:divBdr>
        <w:top w:val="none" w:sz="0" w:space="0" w:color="auto"/>
        <w:left w:val="none" w:sz="0" w:space="0" w:color="auto"/>
        <w:bottom w:val="none" w:sz="0" w:space="0" w:color="auto"/>
        <w:right w:val="none" w:sz="0" w:space="0" w:color="auto"/>
      </w:divBdr>
    </w:div>
    <w:div w:id="1400790315">
      <w:bodyDiv w:val="1"/>
      <w:marLeft w:val="0"/>
      <w:marRight w:val="0"/>
      <w:marTop w:val="0"/>
      <w:marBottom w:val="0"/>
      <w:divBdr>
        <w:top w:val="none" w:sz="0" w:space="0" w:color="auto"/>
        <w:left w:val="none" w:sz="0" w:space="0" w:color="auto"/>
        <w:bottom w:val="none" w:sz="0" w:space="0" w:color="auto"/>
        <w:right w:val="none" w:sz="0" w:space="0" w:color="auto"/>
      </w:divBdr>
    </w:div>
    <w:div w:id="1569730335">
      <w:bodyDiv w:val="1"/>
      <w:marLeft w:val="0"/>
      <w:marRight w:val="0"/>
      <w:marTop w:val="0"/>
      <w:marBottom w:val="0"/>
      <w:divBdr>
        <w:top w:val="none" w:sz="0" w:space="0" w:color="auto"/>
        <w:left w:val="none" w:sz="0" w:space="0" w:color="auto"/>
        <w:bottom w:val="none" w:sz="0" w:space="0" w:color="auto"/>
        <w:right w:val="none" w:sz="0" w:space="0" w:color="auto"/>
      </w:divBdr>
      <w:divsChild>
        <w:div w:id="603925009">
          <w:marLeft w:val="0"/>
          <w:marRight w:val="0"/>
          <w:marTop w:val="0"/>
          <w:marBottom w:val="0"/>
          <w:divBdr>
            <w:top w:val="none" w:sz="0" w:space="0" w:color="auto"/>
            <w:left w:val="none" w:sz="0" w:space="0" w:color="auto"/>
            <w:bottom w:val="none" w:sz="0" w:space="0" w:color="auto"/>
            <w:right w:val="none" w:sz="0" w:space="0" w:color="auto"/>
          </w:divBdr>
          <w:divsChild>
            <w:div w:id="83977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28063">
      <w:bodyDiv w:val="1"/>
      <w:marLeft w:val="0"/>
      <w:marRight w:val="0"/>
      <w:marTop w:val="0"/>
      <w:marBottom w:val="0"/>
      <w:divBdr>
        <w:top w:val="none" w:sz="0" w:space="0" w:color="auto"/>
        <w:left w:val="none" w:sz="0" w:space="0" w:color="auto"/>
        <w:bottom w:val="none" w:sz="0" w:space="0" w:color="auto"/>
        <w:right w:val="none" w:sz="0" w:space="0" w:color="auto"/>
      </w:divBdr>
    </w:div>
    <w:div w:id="1593203720">
      <w:bodyDiv w:val="1"/>
      <w:marLeft w:val="0"/>
      <w:marRight w:val="0"/>
      <w:marTop w:val="0"/>
      <w:marBottom w:val="0"/>
      <w:divBdr>
        <w:top w:val="none" w:sz="0" w:space="0" w:color="auto"/>
        <w:left w:val="none" w:sz="0" w:space="0" w:color="auto"/>
        <w:bottom w:val="none" w:sz="0" w:space="0" w:color="auto"/>
        <w:right w:val="none" w:sz="0" w:space="0" w:color="auto"/>
      </w:divBdr>
    </w:div>
    <w:div w:id="1665086210">
      <w:bodyDiv w:val="1"/>
      <w:marLeft w:val="0"/>
      <w:marRight w:val="0"/>
      <w:marTop w:val="0"/>
      <w:marBottom w:val="0"/>
      <w:divBdr>
        <w:top w:val="none" w:sz="0" w:space="0" w:color="auto"/>
        <w:left w:val="none" w:sz="0" w:space="0" w:color="auto"/>
        <w:bottom w:val="none" w:sz="0" w:space="0" w:color="auto"/>
        <w:right w:val="none" w:sz="0" w:space="0" w:color="auto"/>
      </w:divBdr>
    </w:div>
    <w:div w:id="1683627766">
      <w:bodyDiv w:val="1"/>
      <w:marLeft w:val="0"/>
      <w:marRight w:val="0"/>
      <w:marTop w:val="0"/>
      <w:marBottom w:val="0"/>
      <w:divBdr>
        <w:top w:val="none" w:sz="0" w:space="0" w:color="auto"/>
        <w:left w:val="none" w:sz="0" w:space="0" w:color="auto"/>
        <w:bottom w:val="none" w:sz="0" w:space="0" w:color="auto"/>
        <w:right w:val="none" w:sz="0" w:space="0" w:color="auto"/>
      </w:divBdr>
    </w:div>
    <w:div w:id="1736312890">
      <w:bodyDiv w:val="1"/>
      <w:marLeft w:val="0"/>
      <w:marRight w:val="0"/>
      <w:marTop w:val="0"/>
      <w:marBottom w:val="0"/>
      <w:divBdr>
        <w:top w:val="none" w:sz="0" w:space="0" w:color="auto"/>
        <w:left w:val="none" w:sz="0" w:space="0" w:color="auto"/>
        <w:bottom w:val="none" w:sz="0" w:space="0" w:color="auto"/>
        <w:right w:val="none" w:sz="0" w:space="0" w:color="auto"/>
      </w:divBdr>
    </w:div>
    <w:div w:id="1750228281">
      <w:bodyDiv w:val="1"/>
      <w:marLeft w:val="0"/>
      <w:marRight w:val="0"/>
      <w:marTop w:val="0"/>
      <w:marBottom w:val="0"/>
      <w:divBdr>
        <w:top w:val="none" w:sz="0" w:space="0" w:color="auto"/>
        <w:left w:val="none" w:sz="0" w:space="0" w:color="auto"/>
        <w:bottom w:val="none" w:sz="0" w:space="0" w:color="auto"/>
        <w:right w:val="none" w:sz="0" w:space="0" w:color="auto"/>
      </w:divBdr>
    </w:div>
    <w:div w:id="1751392614">
      <w:bodyDiv w:val="1"/>
      <w:marLeft w:val="0"/>
      <w:marRight w:val="0"/>
      <w:marTop w:val="0"/>
      <w:marBottom w:val="0"/>
      <w:divBdr>
        <w:top w:val="none" w:sz="0" w:space="0" w:color="auto"/>
        <w:left w:val="none" w:sz="0" w:space="0" w:color="auto"/>
        <w:bottom w:val="none" w:sz="0" w:space="0" w:color="auto"/>
        <w:right w:val="none" w:sz="0" w:space="0" w:color="auto"/>
      </w:divBdr>
    </w:div>
    <w:div w:id="1799373515">
      <w:bodyDiv w:val="1"/>
      <w:marLeft w:val="0"/>
      <w:marRight w:val="0"/>
      <w:marTop w:val="0"/>
      <w:marBottom w:val="0"/>
      <w:divBdr>
        <w:top w:val="none" w:sz="0" w:space="0" w:color="auto"/>
        <w:left w:val="none" w:sz="0" w:space="0" w:color="auto"/>
        <w:bottom w:val="none" w:sz="0" w:space="0" w:color="auto"/>
        <w:right w:val="none" w:sz="0" w:space="0" w:color="auto"/>
      </w:divBdr>
    </w:div>
    <w:div w:id="1824391811">
      <w:bodyDiv w:val="1"/>
      <w:marLeft w:val="0"/>
      <w:marRight w:val="0"/>
      <w:marTop w:val="0"/>
      <w:marBottom w:val="0"/>
      <w:divBdr>
        <w:top w:val="none" w:sz="0" w:space="0" w:color="auto"/>
        <w:left w:val="none" w:sz="0" w:space="0" w:color="auto"/>
        <w:bottom w:val="none" w:sz="0" w:space="0" w:color="auto"/>
        <w:right w:val="none" w:sz="0" w:space="0" w:color="auto"/>
      </w:divBdr>
    </w:div>
    <w:div w:id="1852454424">
      <w:bodyDiv w:val="1"/>
      <w:marLeft w:val="0"/>
      <w:marRight w:val="0"/>
      <w:marTop w:val="0"/>
      <w:marBottom w:val="0"/>
      <w:divBdr>
        <w:top w:val="none" w:sz="0" w:space="0" w:color="auto"/>
        <w:left w:val="none" w:sz="0" w:space="0" w:color="auto"/>
        <w:bottom w:val="none" w:sz="0" w:space="0" w:color="auto"/>
        <w:right w:val="none" w:sz="0" w:space="0" w:color="auto"/>
      </w:divBdr>
    </w:div>
    <w:div w:id="1868063059">
      <w:bodyDiv w:val="1"/>
      <w:marLeft w:val="0"/>
      <w:marRight w:val="0"/>
      <w:marTop w:val="0"/>
      <w:marBottom w:val="0"/>
      <w:divBdr>
        <w:top w:val="none" w:sz="0" w:space="0" w:color="auto"/>
        <w:left w:val="none" w:sz="0" w:space="0" w:color="auto"/>
        <w:bottom w:val="none" w:sz="0" w:space="0" w:color="auto"/>
        <w:right w:val="none" w:sz="0" w:space="0" w:color="auto"/>
      </w:divBdr>
    </w:div>
    <w:div w:id="1872572246">
      <w:bodyDiv w:val="1"/>
      <w:marLeft w:val="0"/>
      <w:marRight w:val="0"/>
      <w:marTop w:val="0"/>
      <w:marBottom w:val="0"/>
      <w:divBdr>
        <w:top w:val="none" w:sz="0" w:space="0" w:color="auto"/>
        <w:left w:val="none" w:sz="0" w:space="0" w:color="auto"/>
        <w:bottom w:val="none" w:sz="0" w:space="0" w:color="auto"/>
        <w:right w:val="none" w:sz="0" w:space="0" w:color="auto"/>
      </w:divBdr>
    </w:div>
    <w:div w:id="1874614019">
      <w:bodyDiv w:val="1"/>
      <w:marLeft w:val="0"/>
      <w:marRight w:val="0"/>
      <w:marTop w:val="0"/>
      <w:marBottom w:val="0"/>
      <w:divBdr>
        <w:top w:val="none" w:sz="0" w:space="0" w:color="auto"/>
        <w:left w:val="none" w:sz="0" w:space="0" w:color="auto"/>
        <w:bottom w:val="none" w:sz="0" w:space="0" w:color="auto"/>
        <w:right w:val="none" w:sz="0" w:space="0" w:color="auto"/>
      </w:divBdr>
    </w:div>
    <w:div w:id="1928735004">
      <w:bodyDiv w:val="1"/>
      <w:marLeft w:val="0"/>
      <w:marRight w:val="0"/>
      <w:marTop w:val="0"/>
      <w:marBottom w:val="0"/>
      <w:divBdr>
        <w:top w:val="none" w:sz="0" w:space="0" w:color="auto"/>
        <w:left w:val="none" w:sz="0" w:space="0" w:color="auto"/>
        <w:bottom w:val="none" w:sz="0" w:space="0" w:color="auto"/>
        <w:right w:val="none" w:sz="0" w:space="0" w:color="auto"/>
      </w:divBdr>
    </w:div>
    <w:div w:id="1948274689">
      <w:bodyDiv w:val="1"/>
      <w:marLeft w:val="0"/>
      <w:marRight w:val="0"/>
      <w:marTop w:val="0"/>
      <w:marBottom w:val="0"/>
      <w:divBdr>
        <w:top w:val="none" w:sz="0" w:space="0" w:color="auto"/>
        <w:left w:val="none" w:sz="0" w:space="0" w:color="auto"/>
        <w:bottom w:val="none" w:sz="0" w:space="0" w:color="auto"/>
        <w:right w:val="none" w:sz="0" w:space="0" w:color="auto"/>
      </w:divBdr>
    </w:div>
    <w:div w:id="1990788238">
      <w:bodyDiv w:val="1"/>
      <w:marLeft w:val="0"/>
      <w:marRight w:val="0"/>
      <w:marTop w:val="0"/>
      <w:marBottom w:val="0"/>
      <w:divBdr>
        <w:top w:val="none" w:sz="0" w:space="0" w:color="auto"/>
        <w:left w:val="none" w:sz="0" w:space="0" w:color="auto"/>
        <w:bottom w:val="none" w:sz="0" w:space="0" w:color="auto"/>
        <w:right w:val="none" w:sz="0" w:space="0" w:color="auto"/>
      </w:divBdr>
    </w:div>
    <w:div w:id="1991403549">
      <w:bodyDiv w:val="1"/>
      <w:marLeft w:val="0"/>
      <w:marRight w:val="0"/>
      <w:marTop w:val="0"/>
      <w:marBottom w:val="0"/>
      <w:divBdr>
        <w:top w:val="none" w:sz="0" w:space="0" w:color="auto"/>
        <w:left w:val="none" w:sz="0" w:space="0" w:color="auto"/>
        <w:bottom w:val="none" w:sz="0" w:space="0" w:color="auto"/>
        <w:right w:val="none" w:sz="0" w:space="0" w:color="auto"/>
      </w:divBdr>
    </w:div>
    <w:div w:id="1991783697">
      <w:bodyDiv w:val="1"/>
      <w:marLeft w:val="0"/>
      <w:marRight w:val="0"/>
      <w:marTop w:val="0"/>
      <w:marBottom w:val="0"/>
      <w:divBdr>
        <w:top w:val="none" w:sz="0" w:space="0" w:color="auto"/>
        <w:left w:val="none" w:sz="0" w:space="0" w:color="auto"/>
        <w:bottom w:val="none" w:sz="0" w:space="0" w:color="auto"/>
        <w:right w:val="none" w:sz="0" w:space="0" w:color="auto"/>
      </w:divBdr>
    </w:div>
    <w:div w:id="2003315832">
      <w:bodyDiv w:val="1"/>
      <w:marLeft w:val="0"/>
      <w:marRight w:val="0"/>
      <w:marTop w:val="0"/>
      <w:marBottom w:val="0"/>
      <w:divBdr>
        <w:top w:val="none" w:sz="0" w:space="0" w:color="auto"/>
        <w:left w:val="none" w:sz="0" w:space="0" w:color="auto"/>
        <w:bottom w:val="none" w:sz="0" w:space="0" w:color="auto"/>
        <w:right w:val="none" w:sz="0" w:space="0" w:color="auto"/>
      </w:divBdr>
      <w:divsChild>
        <w:div w:id="2005354491">
          <w:marLeft w:val="0"/>
          <w:marRight w:val="0"/>
          <w:marTop w:val="0"/>
          <w:marBottom w:val="0"/>
          <w:divBdr>
            <w:top w:val="none" w:sz="0" w:space="0" w:color="auto"/>
            <w:left w:val="none" w:sz="0" w:space="0" w:color="auto"/>
            <w:bottom w:val="none" w:sz="0" w:space="0" w:color="auto"/>
            <w:right w:val="none" w:sz="0" w:space="0" w:color="auto"/>
          </w:divBdr>
          <w:divsChild>
            <w:div w:id="70505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91984">
      <w:bodyDiv w:val="1"/>
      <w:marLeft w:val="0"/>
      <w:marRight w:val="0"/>
      <w:marTop w:val="0"/>
      <w:marBottom w:val="0"/>
      <w:divBdr>
        <w:top w:val="none" w:sz="0" w:space="0" w:color="auto"/>
        <w:left w:val="none" w:sz="0" w:space="0" w:color="auto"/>
        <w:bottom w:val="none" w:sz="0" w:space="0" w:color="auto"/>
        <w:right w:val="none" w:sz="0" w:space="0" w:color="auto"/>
      </w:divBdr>
    </w:div>
    <w:div w:id="2027946600">
      <w:bodyDiv w:val="1"/>
      <w:marLeft w:val="0"/>
      <w:marRight w:val="0"/>
      <w:marTop w:val="0"/>
      <w:marBottom w:val="0"/>
      <w:divBdr>
        <w:top w:val="none" w:sz="0" w:space="0" w:color="auto"/>
        <w:left w:val="none" w:sz="0" w:space="0" w:color="auto"/>
        <w:bottom w:val="none" w:sz="0" w:space="0" w:color="auto"/>
        <w:right w:val="none" w:sz="0" w:space="0" w:color="auto"/>
      </w:divBdr>
    </w:div>
    <w:div w:id="2028822085">
      <w:bodyDiv w:val="1"/>
      <w:marLeft w:val="0"/>
      <w:marRight w:val="0"/>
      <w:marTop w:val="0"/>
      <w:marBottom w:val="0"/>
      <w:divBdr>
        <w:top w:val="none" w:sz="0" w:space="0" w:color="auto"/>
        <w:left w:val="none" w:sz="0" w:space="0" w:color="auto"/>
        <w:bottom w:val="none" w:sz="0" w:space="0" w:color="auto"/>
        <w:right w:val="none" w:sz="0" w:space="0" w:color="auto"/>
      </w:divBdr>
    </w:div>
    <w:div w:id="2032602588">
      <w:bodyDiv w:val="1"/>
      <w:marLeft w:val="0"/>
      <w:marRight w:val="0"/>
      <w:marTop w:val="0"/>
      <w:marBottom w:val="0"/>
      <w:divBdr>
        <w:top w:val="none" w:sz="0" w:space="0" w:color="auto"/>
        <w:left w:val="none" w:sz="0" w:space="0" w:color="auto"/>
        <w:bottom w:val="none" w:sz="0" w:space="0" w:color="auto"/>
        <w:right w:val="none" w:sz="0" w:space="0" w:color="auto"/>
      </w:divBdr>
    </w:div>
    <w:div w:id="2057118645">
      <w:bodyDiv w:val="1"/>
      <w:marLeft w:val="0"/>
      <w:marRight w:val="0"/>
      <w:marTop w:val="0"/>
      <w:marBottom w:val="0"/>
      <w:divBdr>
        <w:top w:val="none" w:sz="0" w:space="0" w:color="auto"/>
        <w:left w:val="none" w:sz="0" w:space="0" w:color="auto"/>
        <w:bottom w:val="none" w:sz="0" w:space="0" w:color="auto"/>
        <w:right w:val="none" w:sz="0" w:space="0" w:color="auto"/>
      </w:divBdr>
    </w:div>
    <w:div w:id="2063092693">
      <w:bodyDiv w:val="1"/>
      <w:marLeft w:val="0"/>
      <w:marRight w:val="0"/>
      <w:marTop w:val="0"/>
      <w:marBottom w:val="0"/>
      <w:divBdr>
        <w:top w:val="none" w:sz="0" w:space="0" w:color="auto"/>
        <w:left w:val="none" w:sz="0" w:space="0" w:color="auto"/>
        <w:bottom w:val="none" w:sz="0" w:space="0" w:color="auto"/>
        <w:right w:val="none" w:sz="0" w:space="0" w:color="auto"/>
      </w:divBdr>
    </w:div>
    <w:div w:id="2075542349">
      <w:bodyDiv w:val="1"/>
      <w:marLeft w:val="0"/>
      <w:marRight w:val="0"/>
      <w:marTop w:val="0"/>
      <w:marBottom w:val="0"/>
      <w:divBdr>
        <w:top w:val="none" w:sz="0" w:space="0" w:color="auto"/>
        <w:left w:val="none" w:sz="0" w:space="0" w:color="auto"/>
        <w:bottom w:val="none" w:sz="0" w:space="0" w:color="auto"/>
        <w:right w:val="none" w:sz="0" w:space="0" w:color="auto"/>
      </w:divBdr>
    </w:div>
    <w:div w:id="2084064485">
      <w:bodyDiv w:val="1"/>
      <w:marLeft w:val="0"/>
      <w:marRight w:val="0"/>
      <w:marTop w:val="0"/>
      <w:marBottom w:val="0"/>
      <w:divBdr>
        <w:top w:val="none" w:sz="0" w:space="0" w:color="auto"/>
        <w:left w:val="none" w:sz="0" w:space="0" w:color="auto"/>
        <w:bottom w:val="none" w:sz="0" w:space="0" w:color="auto"/>
        <w:right w:val="none" w:sz="0" w:space="0" w:color="auto"/>
      </w:divBdr>
      <w:divsChild>
        <w:div w:id="220218262">
          <w:marLeft w:val="0"/>
          <w:marRight w:val="0"/>
          <w:marTop w:val="0"/>
          <w:marBottom w:val="0"/>
          <w:divBdr>
            <w:top w:val="none" w:sz="0" w:space="0" w:color="auto"/>
            <w:left w:val="none" w:sz="0" w:space="0" w:color="auto"/>
            <w:bottom w:val="none" w:sz="0" w:space="0" w:color="auto"/>
            <w:right w:val="none" w:sz="0" w:space="0" w:color="auto"/>
          </w:divBdr>
          <w:divsChild>
            <w:div w:id="159654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86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505467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logs.worldbank.org/en/governance/10-success-factors-for-implementing-e-procurement-syste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2468</TotalTime>
  <Pages>32</Pages>
  <Words>13793</Words>
  <Characters>78623</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49</cp:revision>
  <dcterms:created xsi:type="dcterms:W3CDTF">2025-09-14T09:02:00Z</dcterms:created>
  <dcterms:modified xsi:type="dcterms:W3CDTF">2025-10-23T12:38:00Z</dcterms:modified>
</cp:coreProperties>
</file>