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EBC64" w14:textId="77777777" w:rsidR="000C4DE8" w:rsidRDefault="000C4DE8" w:rsidP="000C4DE8">
      <w:pPr>
        <w:spacing w:after="0" w:line="360" w:lineRule="auto"/>
        <w:jc w:val="center"/>
        <w:rPr>
          <w:rFonts w:ascii="Times New Roman" w:hAnsi="Times New Roman" w:cs="Times New Roman"/>
          <w:b/>
          <w:bCs/>
          <w:caps/>
          <w:sz w:val="24"/>
          <w:szCs w:val="24"/>
        </w:rPr>
      </w:pPr>
      <w:r w:rsidRPr="000C4DE8">
        <w:rPr>
          <w:rFonts w:ascii="Times New Roman" w:hAnsi="Times New Roman" w:cs="Times New Roman"/>
          <w:b/>
          <w:bCs/>
          <w:caps/>
          <w:sz w:val="24"/>
          <w:szCs w:val="24"/>
        </w:rPr>
        <w:t>Fiscal Restructuring and Economic Growth of Nigeria (1986-2024)</w:t>
      </w:r>
    </w:p>
    <w:p w14:paraId="1C9140CA" w14:textId="77777777" w:rsidR="00CB2D09" w:rsidRPr="000C4DE8" w:rsidRDefault="00CB2D09" w:rsidP="000C4DE8">
      <w:pPr>
        <w:spacing w:after="0" w:line="360" w:lineRule="auto"/>
        <w:jc w:val="center"/>
        <w:rPr>
          <w:rFonts w:ascii="Times New Roman" w:hAnsi="Times New Roman" w:cs="Times New Roman"/>
          <w:b/>
          <w:bCs/>
          <w:caps/>
          <w:sz w:val="24"/>
          <w:szCs w:val="24"/>
        </w:rPr>
      </w:pPr>
    </w:p>
    <w:p w14:paraId="094908E4" w14:textId="77777777" w:rsidR="00853049" w:rsidRDefault="00853049" w:rsidP="00E41D23">
      <w:pPr>
        <w:spacing w:before="100" w:beforeAutospacing="1" w:after="100" w:afterAutospacing="1" w:line="240" w:lineRule="auto"/>
        <w:jc w:val="both"/>
        <w:rPr>
          <w:rFonts w:ascii="Times New Roman" w:eastAsia="Times New Roman" w:hAnsi="Times New Roman" w:cs="Times New Roman"/>
          <w:b/>
          <w:bCs/>
          <w:sz w:val="24"/>
          <w:szCs w:val="24"/>
        </w:rPr>
      </w:pPr>
    </w:p>
    <w:p w14:paraId="54DC6460" w14:textId="1576CAA6" w:rsidR="00E41D23" w:rsidRPr="009F29AA" w:rsidRDefault="00E41D23" w:rsidP="00E41D23">
      <w:pPr>
        <w:spacing w:before="100" w:beforeAutospacing="1" w:after="100" w:afterAutospacing="1" w:line="240" w:lineRule="auto"/>
        <w:jc w:val="both"/>
        <w:rPr>
          <w:rFonts w:ascii="Times New Roman" w:eastAsia="Times New Roman" w:hAnsi="Times New Roman" w:cs="Times New Roman"/>
          <w:i/>
          <w:sz w:val="24"/>
          <w:szCs w:val="24"/>
        </w:rPr>
      </w:pPr>
      <w:bookmarkStart w:id="0" w:name="_GoBack"/>
      <w:bookmarkEnd w:id="0"/>
      <w:r w:rsidRPr="009F29AA">
        <w:rPr>
          <w:rFonts w:ascii="Times New Roman" w:eastAsia="Times New Roman" w:hAnsi="Times New Roman" w:cs="Times New Roman"/>
          <w:b/>
          <w:bCs/>
          <w:sz w:val="24"/>
          <w:szCs w:val="24"/>
        </w:rPr>
        <w:t>Abstract</w:t>
      </w:r>
      <w:r w:rsidRPr="00E41D23">
        <w:rPr>
          <w:rFonts w:ascii="Times New Roman" w:eastAsia="Times New Roman" w:hAnsi="Times New Roman" w:cs="Times New Roman"/>
          <w:sz w:val="24"/>
          <w:szCs w:val="24"/>
        </w:rPr>
        <w:br/>
      </w:r>
      <w:r w:rsidRPr="00E41D23">
        <w:rPr>
          <w:rFonts w:ascii="Times New Roman" w:eastAsia="Times New Roman" w:hAnsi="Times New Roman" w:cs="Times New Roman"/>
          <w:i/>
          <w:sz w:val="24"/>
          <w:szCs w:val="24"/>
        </w:rPr>
        <w:t>This study investigates the relationship between fiscal restructuring and economic growth in Nigeria over the period 1986–2024. Real Gross Domestic Product (GDP) serves as the dependent variable, while the independent variables include the tax-to-GDP ratio, total debt as a percentage of government revenue, and fiscal balance (revenue minus expenditure). Data were sourced from the Central Bank of Nigeria Statistical Bulletin and analyzed using the Error Correction Model (ECM). The findings indicate that the tax-to-GDP ratio exerts a statistically significant negative impact on economic growth. While total debt relative to government revenue exhibits a positive relationship with growth, the effect is not statistically significant. Fiscal balance, conversely, has a significant negative effect on economic growth. These results suggest persistent fiscal imbalances, underscoring the limited effectiveness of Nigeria’s fiscal restructuring efforts in fostering sustainable growth. The study recommends enhancing revenue mobilization through tax base expansion, aligning debt management with fiscal capacity, and implementing prudent expenditure policies to achieve macroeconomic stability and promote long-term economic growth.</w:t>
      </w:r>
    </w:p>
    <w:p w14:paraId="260394E9" w14:textId="77777777" w:rsidR="00E41D23" w:rsidRPr="00C96933" w:rsidRDefault="00C96933" w:rsidP="00E41D23">
      <w:pPr>
        <w:spacing w:before="100" w:beforeAutospacing="1" w:after="100" w:afterAutospacing="1" w:line="240" w:lineRule="auto"/>
        <w:jc w:val="both"/>
        <w:rPr>
          <w:rFonts w:ascii="Times New Roman" w:eastAsia="Times New Roman" w:hAnsi="Times New Roman" w:cs="Times New Roman"/>
          <w:sz w:val="24"/>
          <w:szCs w:val="24"/>
        </w:rPr>
      </w:pPr>
      <w:r w:rsidRPr="00C96933">
        <w:rPr>
          <w:rStyle w:val="Strong"/>
          <w:rFonts w:ascii="Times New Roman" w:hAnsi="Times New Roman" w:cs="Times New Roman"/>
          <w:sz w:val="24"/>
          <w:szCs w:val="24"/>
        </w:rPr>
        <w:t>Keywords</w:t>
      </w:r>
      <w:r w:rsidRPr="00C96933">
        <w:rPr>
          <w:rFonts w:ascii="Times New Roman" w:hAnsi="Times New Roman" w:cs="Times New Roman"/>
          <w:sz w:val="24"/>
          <w:szCs w:val="24"/>
        </w:rPr>
        <w:t>:</w:t>
      </w:r>
      <w:r>
        <w:rPr>
          <w:rFonts w:ascii="Times New Roman" w:hAnsi="Times New Roman" w:cs="Times New Roman"/>
          <w:sz w:val="24"/>
          <w:szCs w:val="24"/>
        </w:rPr>
        <w:t xml:space="preserve"> </w:t>
      </w:r>
      <w:r w:rsidRPr="00C96933">
        <w:rPr>
          <w:rFonts w:ascii="Times New Roman" w:hAnsi="Times New Roman" w:cs="Times New Roman"/>
          <w:sz w:val="24"/>
          <w:szCs w:val="24"/>
        </w:rPr>
        <w:t>Fiscal restructuring, Economic growth, Tax-to-GDP ratio, Public debt, Fiscal balance</w:t>
      </w:r>
      <w:r>
        <w:rPr>
          <w:rFonts w:ascii="Times New Roman" w:hAnsi="Times New Roman" w:cs="Times New Roman"/>
          <w:sz w:val="24"/>
          <w:szCs w:val="24"/>
        </w:rPr>
        <w:t>, Error Correction Model (ECM).</w:t>
      </w:r>
    </w:p>
    <w:p w14:paraId="727486E8" w14:textId="77777777" w:rsidR="00E41D23" w:rsidRPr="0068518A" w:rsidRDefault="0068518A" w:rsidP="008512AD">
      <w:pPr>
        <w:pStyle w:val="ListParagraph"/>
        <w:numPr>
          <w:ilvl w:val="0"/>
          <w:numId w:val="12"/>
        </w:num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7B68716E"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Nigeria, Africa’s most populous country and largest economy, has long grappled with the challenges of achieving sustainable economic development, largely shaped by its dependence on crude oil. The period from 1986 to 2023 represents a transformative era in the nation’s economic history, marked by repeated attempts at fiscal restructuring. These efforts aimed to improve tax administration, enhance fiscal transparency, strengthen financial governance, and ultimately foster poverty reduction, macroeconomic stability, and inclusive growth. Despite these reforms, the anticipated economic gains have frequently failed to materialize, raising critical questions regarding the effectiveness of fiscal restructuring in driving long-term economic performance (</w:t>
      </w:r>
      <w:proofErr w:type="spellStart"/>
      <w:r w:rsidRPr="00E41D23">
        <w:rPr>
          <w:rFonts w:ascii="Times New Roman" w:eastAsia="Times New Roman" w:hAnsi="Times New Roman" w:cs="Times New Roman"/>
          <w:sz w:val="24"/>
          <w:szCs w:val="24"/>
        </w:rPr>
        <w:t>Ijirshar</w:t>
      </w:r>
      <w:proofErr w:type="spellEnd"/>
      <w:r w:rsidRPr="00E41D23">
        <w:rPr>
          <w:rFonts w:ascii="Times New Roman" w:eastAsia="Times New Roman" w:hAnsi="Times New Roman" w:cs="Times New Roman"/>
          <w:sz w:val="24"/>
          <w:szCs w:val="24"/>
        </w:rPr>
        <w:t xml:space="preserve"> et al., 2023).</w:t>
      </w:r>
    </w:p>
    <w:p w14:paraId="70D4929A"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 xml:space="preserve">Before 1986, Nigeria’s economy was </w:t>
      </w:r>
      <w:r w:rsidR="00C96933">
        <w:rPr>
          <w:rFonts w:ascii="Times New Roman" w:eastAsia="Times New Roman" w:hAnsi="Times New Roman" w:cs="Times New Roman"/>
          <w:sz w:val="24"/>
          <w:szCs w:val="24"/>
        </w:rPr>
        <w:t xml:space="preserve">heavily reliant on oil revenues, </w:t>
      </w:r>
      <w:r w:rsidRPr="00E41D23">
        <w:rPr>
          <w:rFonts w:ascii="Times New Roman" w:eastAsia="Times New Roman" w:hAnsi="Times New Roman" w:cs="Times New Roman"/>
          <w:sz w:val="24"/>
          <w:szCs w:val="24"/>
        </w:rPr>
        <w:t xml:space="preserve">a condition often described as the "Dutch Disease." The oil boom of the 1970s led to the neglect of the agricultural sector, which had traditionally underpinned the economy (IMF, 2025). This overdependence on a single commodity rendered the economy particularly vulnerable to external shocks, as evidenced by the sharp decline in global oil prices during the early to mid-1980s (World Bank, 2024). The resulting </w:t>
      </w:r>
      <w:r w:rsidRPr="00E41D23">
        <w:rPr>
          <w:rFonts w:ascii="Times New Roman" w:eastAsia="Times New Roman" w:hAnsi="Times New Roman" w:cs="Times New Roman"/>
          <w:sz w:val="24"/>
          <w:szCs w:val="24"/>
        </w:rPr>
        <w:lastRenderedPageBreak/>
        <w:t xml:space="preserve">economic crisis was characterized by negative GDP growth, declining per capita income, a worsening balance of payments position, dwindling external reserves, rising external debt, high inflation, and unemployment. These macroeconomic imbalances were further exacerbated by persistent budget deficits, an overvalued exchange rate, an import-dependent production and consumption pattern, and a bloated and inefficient public sector (Business Day Nigeria, 2025; IMF </w:t>
      </w:r>
      <w:proofErr w:type="spellStart"/>
      <w:r w:rsidRPr="00E41D23">
        <w:rPr>
          <w:rFonts w:ascii="Times New Roman" w:eastAsia="Times New Roman" w:hAnsi="Times New Roman" w:cs="Times New Roman"/>
          <w:sz w:val="24"/>
          <w:szCs w:val="24"/>
        </w:rPr>
        <w:t>eLibrary</w:t>
      </w:r>
      <w:proofErr w:type="spellEnd"/>
      <w:r w:rsidRPr="00E41D23">
        <w:rPr>
          <w:rFonts w:ascii="Times New Roman" w:eastAsia="Times New Roman" w:hAnsi="Times New Roman" w:cs="Times New Roman"/>
          <w:sz w:val="24"/>
          <w:szCs w:val="24"/>
        </w:rPr>
        <w:t>, 2024).</w:t>
      </w:r>
    </w:p>
    <w:p w14:paraId="260911B6"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 xml:space="preserve">In response to the deepening crisis, the Nigerian government, under General Ibrahim Babangida, adopted the Structural Adjustment </w:t>
      </w:r>
      <w:proofErr w:type="spellStart"/>
      <w:r w:rsidRPr="00E41D23">
        <w:rPr>
          <w:rFonts w:ascii="Times New Roman" w:eastAsia="Times New Roman" w:hAnsi="Times New Roman" w:cs="Times New Roman"/>
          <w:sz w:val="24"/>
          <w:szCs w:val="24"/>
        </w:rPr>
        <w:t>Programme</w:t>
      </w:r>
      <w:proofErr w:type="spellEnd"/>
      <w:r w:rsidRPr="00E41D23">
        <w:rPr>
          <w:rFonts w:ascii="Times New Roman" w:eastAsia="Times New Roman" w:hAnsi="Times New Roman" w:cs="Times New Roman"/>
          <w:sz w:val="24"/>
          <w:szCs w:val="24"/>
        </w:rPr>
        <w:t xml:space="preserve"> (SAP) in 1986. Designed in collaboration with the International Monetary Fund (IMF) and the World Bank, SAP sought to restructure the economy by altering its consumption and production patterns and reducing dependence on oil exports and imported goods (IMF, 2025). Core fiscal measures under SAP included exchange rate liberalization and currency devaluation, trade liberalization through the removal of import and export restrictions, the elimination </w:t>
      </w:r>
      <w:r w:rsidR="00C96933">
        <w:rPr>
          <w:rFonts w:ascii="Times New Roman" w:eastAsia="Times New Roman" w:hAnsi="Times New Roman" w:cs="Times New Roman"/>
          <w:sz w:val="24"/>
          <w:szCs w:val="24"/>
        </w:rPr>
        <w:t xml:space="preserve">of price controls and subsidies, </w:t>
      </w:r>
      <w:r w:rsidRPr="00E41D23">
        <w:rPr>
          <w:rFonts w:ascii="Times New Roman" w:eastAsia="Times New Roman" w:hAnsi="Times New Roman" w:cs="Times New Roman"/>
          <w:sz w:val="24"/>
          <w:szCs w:val="24"/>
        </w:rPr>
        <w:t>par</w:t>
      </w:r>
      <w:r w:rsidR="00C96933">
        <w:rPr>
          <w:rFonts w:ascii="Times New Roman" w:eastAsia="Times New Roman" w:hAnsi="Times New Roman" w:cs="Times New Roman"/>
          <w:sz w:val="24"/>
          <w:szCs w:val="24"/>
        </w:rPr>
        <w:t xml:space="preserve">ticularly on petroleum products, </w:t>
      </w:r>
      <w:r w:rsidRPr="00E41D23">
        <w:rPr>
          <w:rFonts w:ascii="Times New Roman" w:eastAsia="Times New Roman" w:hAnsi="Times New Roman" w:cs="Times New Roman"/>
          <w:sz w:val="24"/>
          <w:szCs w:val="24"/>
        </w:rPr>
        <w:t>privatization and commercialization of state-owned enterprises, and the promotion of fiscal discipline through budget balancing and expenditure rationalization (Business Day Nigeria, 2025).</w:t>
      </w:r>
    </w:p>
    <w:p w14:paraId="44F93F05"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The outcomes of SAP were mixed. On one hand, the program led to improved foreign exchange availability and initial gains in agricultural and industrial output. On the other hand, it also triggered adverse effects, including heightened inflation, increased poverty, rising external debt, and significant de-industrialization and job losses (Research</w:t>
      </w:r>
      <w:r w:rsidR="00B95DD6">
        <w:rPr>
          <w:rFonts w:ascii="Times New Roman" w:eastAsia="Times New Roman" w:hAnsi="Times New Roman" w:cs="Times New Roman"/>
          <w:sz w:val="24"/>
          <w:szCs w:val="24"/>
        </w:rPr>
        <w:t xml:space="preserve"> </w:t>
      </w:r>
      <w:r w:rsidRPr="00E41D23">
        <w:rPr>
          <w:rFonts w:ascii="Times New Roman" w:eastAsia="Times New Roman" w:hAnsi="Times New Roman" w:cs="Times New Roman"/>
          <w:sz w:val="24"/>
          <w:szCs w:val="24"/>
        </w:rPr>
        <w:t>Gate, 2017). Nonetheless, SAP laid a foundational framework for subsequent reform efforts by underscoring the need for fiscal prudence and economic diversification.</w:t>
      </w:r>
    </w:p>
    <w:p w14:paraId="28F37CBB"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t>Post-SAP, successive Nigerian administrations continued to face persistent fiscal challenges. Various restructuring initiatives were introduced, such as reforms in public expenditure management aimed at enhancing allocative efficiency, redirecting spending toward critical infrastructure and human capital development, and stimulating productive sectors. However, these measures often involved increased domestic borrowing, which in some cases crowded out private sector investment (Ugwuoke, Ogu &amp; Ugwuoke, 2022). Moreover, structural issues such as corruption, institutional weaknesses, and continued exposure to global oil price volatility undermined the effectiveness of fiscal policies and constrained progress toward economic diversification and poverty alleviation (IMF, 2003).</w:t>
      </w:r>
    </w:p>
    <w:p w14:paraId="2004EA93" w14:textId="77777777" w:rsidR="00E41D23" w:rsidRPr="00E41D23" w:rsidRDefault="00E41D23" w:rsidP="008512AD">
      <w:pPr>
        <w:spacing w:after="0" w:line="360" w:lineRule="auto"/>
        <w:jc w:val="both"/>
        <w:rPr>
          <w:rFonts w:ascii="Times New Roman" w:eastAsia="Times New Roman" w:hAnsi="Times New Roman" w:cs="Times New Roman"/>
          <w:sz w:val="24"/>
          <w:szCs w:val="24"/>
        </w:rPr>
      </w:pPr>
      <w:r w:rsidRPr="00E41D23">
        <w:rPr>
          <w:rFonts w:ascii="Times New Roman" w:eastAsia="Times New Roman" w:hAnsi="Times New Roman" w:cs="Times New Roman"/>
          <w:sz w:val="24"/>
          <w:szCs w:val="24"/>
        </w:rPr>
        <w:lastRenderedPageBreak/>
        <w:t>Given the recurring nature of these fiscal challenges, it becomes imperative to critically evaluate the long-term impact of fiscal restructuring on Nigeria’s economic growth. This study aims to investigate the extent to which fiscal reforms have influenced real GDP, identify key fiscal variables affecting economic performance, and assess the sustainability and effectiveness of fiscal restructuring policies implemented over the past 37 years.</w:t>
      </w:r>
    </w:p>
    <w:p w14:paraId="77A7DEAB" w14:textId="77777777" w:rsidR="00E41D23" w:rsidRPr="009F29AA" w:rsidRDefault="00E41D23" w:rsidP="008512AD">
      <w:pPr>
        <w:pStyle w:val="Heading3"/>
        <w:spacing w:before="0" w:beforeAutospacing="0" w:after="0" w:afterAutospacing="0" w:line="360" w:lineRule="auto"/>
        <w:rPr>
          <w:sz w:val="24"/>
          <w:szCs w:val="24"/>
        </w:rPr>
      </w:pPr>
      <w:r w:rsidRPr="009F29AA">
        <w:rPr>
          <w:sz w:val="24"/>
          <w:szCs w:val="24"/>
        </w:rPr>
        <w:t>1.2 Statement of the Problem</w:t>
      </w:r>
    </w:p>
    <w:p w14:paraId="7E163B15" w14:textId="77777777" w:rsidR="00E41D23" w:rsidRPr="009F29AA" w:rsidRDefault="00E41D23" w:rsidP="008512AD">
      <w:pPr>
        <w:pStyle w:val="NormalWeb"/>
        <w:spacing w:before="0" w:beforeAutospacing="0" w:after="0" w:afterAutospacing="0" w:line="360" w:lineRule="auto"/>
        <w:jc w:val="both"/>
      </w:pPr>
      <w:r w:rsidRPr="009F29AA">
        <w:t>Despite decades of fiscal reforms aimed at enhancing revenue generation, controlling public expenditure, and ensuring debt sustainability, Nigeria’s economy continues to underperform. Persistent issues such as revenue shortfalls, rising public debt, corruption, and inefficient fiscal management raise concerns about the effectiveness of these restructuring efforts (Onifade et al., 2020). Recent fiscal reforms under the Tinubu administration, including subsidy removal, exchange rate liberalization, and tax reform, have yet to yield substantial growth dividends. Public debt has surged, debt servicing now absorbs a significant portion of government revenue, and inflation has reached multi-decade highs, further eroding fiscal stability.</w:t>
      </w:r>
    </w:p>
    <w:p w14:paraId="35E5834D" w14:textId="77777777" w:rsidR="00E41D23" w:rsidRDefault="00E41D23" w:rsidP="008512AD">
      <w:pPr>
        <w:pStyle w:val="NormalWeb"/>
        <w:spacing w:before="0" w:beforeAutospacing="0" w:after="0" w:afterAutospacing="0" w:line="360" w:lineRule="auto"/>
        <w:jc w:val="both"/>
      </w:pPr>
      <w:r w:rsidRPr="009F29AA">
        <w:t>Although capital spending has reportedly increased, the pressure from recurrent expenditure and social obligations continues to constrain developmental investment. Moreover, fiscal redistribution mechanisms remain weak, as evidenced by the limited impact of social intervention programs. These realities underscore the need for a comprehensive evaluation of the long-term impact of fiscal restructuring on economic growth in Nigeria. This study, therefore, seeks to assess whether fiscal reforms implemented between 1986 and 2024 have meaningfully contributed to macroeconomic stability and sustainable growth.</w:t>
      </w:r>
    </w:p>
    <w:p w14:paraId="40EADF63" w14:textId="77777777" w:rsidR="00E41D23" w:rsidRPr="009F29AA" w:rsidRDefault="00E41D23" w:rsidP="008512AD">
      <w:pPr>
        <w:pStyle w:val="Heading3"/>
        <w:spacing w:before="0" w:beforeAutospacing="0" w:after="0" w:afterAutospacing="0" w:line="360" w:lineRule="auto"/>
        <w:rPr>
          <w:sz w:val="24"/>
          <w:szCs w:val="24"/>
        </w:rPr>
      </w:pPr>
      <w:r w:rsidRPr="009F29AA">
        <w:rPr>
          <w:sz w:val="24"/>
          <w:szCs w:val="24"/>
        </w:rPr>
        <w:t>1.3 Research Objectives</w:t>
      </w:r>
    </w:p>
    <w:p w14:paraId="0D88BE92" w14:textId="77777777" w:rsidR="00E41D23" w:rsidRPr="009F29AA" w:rsidRDefault="00E41D23" w:rsidP="008512AD">
      <w:pPr>
        <w:pStyle w:val="NormalWeb"/>
        <w:spacing w:before="0" w:beforeAutospacing="0" w:after="0" w:afterAutospacing="0" w:line="360" w:lineRule="auto"/>
      </w:pPr>
      <w:r w:rsidRPr="009F29AA">
        <w:t>This study aims to critically examine the impact of fiscal restructuring on Nigeria’s economic growth over the period 1986 to 2023. Specifically, the study seeks to:</w:t>
      </w:r>
    </w:p>
    <w:p w14:paraId="5203A634" w14:textId="77777777" w:rsidR="00E41D23" w:rsidRPr="009F29AA" w:rsidRDefault="00E41D23" w:rsidP="008512AD">
      <w:pPr>
        <w:pStyle w:val="NormalWeb"/>
        <w:numPr>
          <w:ilvl w:val="0"/>
          <w:numId w:val="1"/>
        </w:numPr>
        <w:spacing w:before="0" w:beforeAutospacing="0" w:after="0" w:afterAutospacing="0" w:line="360" w:lineRule="auto"/>
      </w:pPr>
      <w:r w:rsidRPr="009F29AA">
        <w:t>Assess the relationship between the tax-to-GDP ratio and economic growth in Nigeria;</w:t>
      </w:r>
    </w:p>
    <w:p w14:paraId="710BF773" w14:textId="77777777" w:rsidR="00E41D23" w:rsidRPr="009F29AA" w:rsidRDefault="00E41D23" w:rsidP="008512AD">
      <w:pPr>
        <w:pStyle w:val="NormalWeb"/>
        <w:numPr>
          <w:ilvl w:val="0"/>
          <w:numId w:val="1"/>
        </w:numPr>
        <w:spacing w:before="0" w:beforeAutospacing="0" w:after="0" w:afterAutospacing="0" w:line="360" w:lineRule="auto"/>
      </w:pPr>
      <w:r w:rsidRPr="009F29AA">
        <w:t>Analyze the impact of total debt, as a percentage of government revenue, on economic growth;</w:t>
      </w:r>
    </w:p>
    <w:p w14:paraId="7320D975" w14:textId="77777777" w:rsidR="00E41D23" w:rsidRPr="009F29AA" w:rsidRDefault="00E41D23" w:rsidP="008512AD">
      <w:pPr>
        <w:pStyle w:val="NormalWeb"/>
        <w:numPr>
          <w:ilvl w:val="0"/>
          <w:numId w:val="1"/>
        </w:numPr>
        <w:spacing w:before="0" w:beforeAutospacing="0" w:after="0" w:afterAutospacing="0" w:line="360" w:lineRule="auto"/>
      </w:pPr>
      <w:r w:rsidRPr="009F29AA">
        <w:t>Investigate the effect of fiscal balance (revenue minus expenditure) on Nigeria’s economic growth.</w:t>
      </w:r>
    </w:p>
    <w:p w14:paraId="4E433FE2" w14:textId="77777777" w:rsidR="00E41D23" w:rsidRPr="009F29AA" w:rsidRDefault="00E41D23" w:rsidP="008512AD">
      <w:pPr>
        <w:pStyle w:val="Heading3"/>
        <w:spacing w:before="0" w:beforeAutospacing="0" w:after="0" w:afterAutospacing="0" w:line="360" w:lineRule="auto"/>
        <w:rPr>
          <w:sz w:val="24"/>
          <w:szCs w:val="24"/>
        </w:rPr>
      </w:pPr>
      <w:r w:rsidRPr="009F29AA">
        <w:rPr>
          <w:sz w:val="24"/>
          <w:szCs w:val="24"/>
        </w:rPr>
        <w:t>1.4 Research Questions</w:t>
      </w:r>
    </w:p>
    <w:p w14:paraId="04F6ADFA" w14:textId="77777777" w:rsidR="00E41D23" w:rsidRPr="009F29AA" w:rsidRDefault="00E41D23" w:rsidP="008512AD">
      <w:pPr>
        <w:pStyle w:val="NormalWeb"/>
        <w:spacing w:before="0" w:beforeAutospacing="0" w:after="0" w:afterAutospacing="0" w:line="360" w:lineRule="auto"/>
      </w:pPr>
      <w:r w:rsidRPr="009F29AA">
        <w:t>To guide the investigation, the study addresses the following questions:</w:t>
      </w:r>
    </w:p>
    <w:p w14:paraId="067D0061" w14:textId="77777777" w:rsidR="00E41D23" w:rsidRPr="009F29AA" w:rsidRDefault="00E41D23" w:rsidP="008512AD">
      <w:pPr>
        <w:pStyle w:val="NormalWeb"/>
        <w:numPr>
          <w:ilvl w:val="0"/>
          <w:numId w:val="2"/>
        </w:numPr>
        <w:spacing w:before="0" w:beforeAutospacing="0" w:after="0" w:afterAutospacing="0" w:line="360" w:lineRule="auto"/>
      </w:pPr>
      <w:r w:rsidRPr="009F29AA">
        <w:lastRenderedPageBreak/>
        <w:t>What is the nature of the relationship between tax-to-GDP ratio and Nigeria’s economic growth?</w:t>
      </w:r>
    </w:p>
    <w:p w14:paraId="04843154" w14:textId="77777777" w:rsidR="00E41D23" w:rsidRPr="009F29AA" w:rsidRDefault="00E41D23" w:rsidP="008512AD">
      <w:pPr>
        <w:pStyle w:val="NormalWeb"/>
        <w:numPr>
          <w:ilvl w:val="0"/>
          <w:numId w:val="2"/>
        </w:numPr>
        <w:spacing w:before="0" w:beforeAutospacing="0" w:after="0" w:afterAutospacing="0" w:line="360" w:lineRule="auto"/>
      </w:pPr>
      <w:r w:rsidRPr="009F29AA">
        <w:t>To what extent has total debt as a percentage of government revenue influenced economic growth in Nigeria?</w:t>
      </w:r>
    </w:p>
    <w:p w14:paraId="5E651DCF" w14:textId="77777777" w:rsidR="00E41D23" w:rsidRPr="009F29AA" w:rsidRDefault="00E41D23" w:rsidP="008512AD">
      <w:pPr>
        <w:pStyle w:val="NormalWeb"/>
        <w:numPr>
          <w:ilvl w:val="0"/>
          <w:numId w:val="2"/>
        </w:numPr>
        <w:spacing w:before="0" w:beforeAutospacing="0" w:after="0" w:afterAutospacing="0" w:line="360" w:lineRule="auto"/>
      </w:pPr>
      <w:r w:rsidRPr="009F29AA">
        <w:t>How has fiscal balance affected the country’s economic growth over the study period?</w:t>
      </w:r>
    </w:p>
    <w:p w14:paraId="6835742D" w14:textId="77777777" w:rsidR="00E41D23" w:rsidRPr="009F29AA" w:rsidRDefault="00A43AF6" w:rsidP="008512AD">
      <w:pPr>
        <w:pStyle w:val="Heading3"/>
        <w:spacing w:before="0" w:beforeAutospacing="0" w:after="0" w:afterAutospacing="0" w:line="360" w:lineRule="auto"/>
        <w:rPr>
          <w:sz w:val="24"/>
          <w:szCs w:val="24"/>
        </w:rPr>
      </w:pPr>
      <w:r>
        <w:rPr>
          <w:sz w:val="24"/>
          <w:szCs w:val="24"/>
        </w:rPr>
        <w:t>1.5</w:t>
      </w:r>
      <w:r w:rsidR="00E41D23" w:rsidRPr="009F29AA">
        <w:rPr>
          <w:sz w:val="24"/>
          <w:szCs w:val="24"/>
        </w:rPr>
        <w:t xml:space="preserve"> Significance of the Study</w:t>
      </w:r>
    </w:p>
    <w:p w14:paraId="65B6C45A" w14:textId="77777777" w:rsidR="00E41D23" w:rsidRDefault="00E41D23" w:rsidP="008512AD">
      <w:pPr>
        <w:pStyle w:val="NormalWeb"/>
        <w:spacing w:before="0" w:beforeAutospacing="0" w:after="0" w:afterAutospacing="0" w:line="360" w:lineRule="auto"/>
        <w:jc w:val="both"/>
      </w:pPr>
      <w:r w:rsidRPr="009F29AA">
        <w:t>This study contributes to the growing literature on fiscal policy and macroeconomic management by empirically assessing the impact of fiscal restructuring on economic growth in Nigeria. The findings offer valuable insights for policymakers by highlighting the effectiveness and limitations of past fiscal strategies, thereby guiding the formulation of more robust and sustainable fiscal policies. Additionally, the study serves as a useful resource for scholars, economists, and development practitioners interested in the fiscal-growth nexus within developing economies. Importantly, it provides evidence-based recommendations to enhance fiscal transparency, improve resource allocation, and strengthen public financial management for inclusive and stable economic growth.</w:t>
      </w:r>
    </w:p>
    <w:p w14:paraId="2F97A104" w14:textId="77777777" w:rsidR="00E41D23" w:rsidRPr="009F29AA" w:rsidRDefault="00A43AF6" w:rsidP="008512AD">
      <w:pPr>
        <w:pStyle w:val="Heading3"/>
        <w:spacing w:before="0" w:beforeAutospacing="0" w:after="0" w:afterAutospacing="0" w:line="360" w:lineRule="auto"/>
        <w:rPr>
          <w:sz w:val="24"/>
          <w:szCs w:val="24"/>
        </w:rPr>
      </w:pPr>
      <w:r>
        <w:rPr>
          <w:sz w:val="24"/>
          <w:szCs w:val="24"/>
        </w:rPr>
        <w:t>1.6</w:t>
      </w:r>
      <w:r w:rsidR="00E41D23" w:rsidRPr="009F29AA">
        <w:rPr>
          <w:sz w:val="24"/>
          <w:szCs w:val="24"/>
        </w:rPr>
        <w:t xml:space="preserve"> Scope of the Study</w:t>
      </w:r>
    </w:p>
    <w:p w14:paraId="6708D4A4" w14:textId="77777777" w:rsidR="00E41D23" w:rsidRDefault="00E41D23" w:rsidP="008512AD">
      <w:pPr>
        <w:pStyle w:val="NormalWeb"/>
        <w:spacing w:before="0" w:beforeAutospacing="0" w:after="0" w:afterAutospacing="0" w:line="360" w:lineRule="auto"/>
        <w:jc w:val="both"/>
      </w:pPr>
      <w:r w:rsidRPr="009F29AA">
        <w:t>The study focuses on Nigeria and cove</w:t>
      </w:r>
      <w:r w:rsidR="00C96933">
        <w:t xml:space="preserve">rs the period from 1986 to 2024, </w:t>
      </w:r>
      <w:r w:rsidRPr="009F29AA">
        <w:t xml:space="preserve">a timeframe that encompasses key fiscal policy shifts, including the Structural Adjustment </w:t>
      </w:r>
      <w:proofErr w:type="spellStart"/>
      <w:r w:rsidRPr="009F29AA">
        <w:t>Programme</w:t>
      </w:r>
      <w:proofErr w:type="spellEnd"/>
      <w:r w:rsidRPr="009F29AA">
        <w:t xml:space="preserve"> (SAP), debt relief initiatives, subsidy reforms, and recent restructuring under the Tinubu administration. It specifically examines the influence</w:t>
      </w:r>
      <w:r w:rsidR="00C96933">
        <w:t xml:space="preserve"> of three key fiscal indicators </w:t>
      </w:r>
      <w:r w:rsidRPr="009F29AA">
        <w:t>tax-to-GDP ratio, debt-to-re</w:t>
      </w:r>
      <w:r w:rsidR="00C96933">
        <w:t xml:space="preserve">venue ratio, and fiscal balance </w:t>
      </w:r>
      <w:r w:rsidRPr="009F29AA">
        <w:t>on real GDP, providing a comprehensive evaluation of fiscal restructuring over nearly four decades.</w:t>
      </w:r>
    </w:p>
    <w:p w14:paraId="58D28EA3" w14:textId="77777777" w:rsidR="008512AD" w:rsidRDefault="008512AD" w:rsidP="009F29AA">
      <w:pPr>
        <w:rPr>
          <w:rFonts w:ascii="Times New Roman" w:hAnsi="Times New Roman" w:cs="Times New Roman"/>
          <w:b/>
          <w:sz w:val="24"/>
          <w:szCs w:val="24"/>
        </w:rPr>
      </w:pPr>
    </w:p>
    <w:p w14:paraId="20B6F51C" w14:textId="77777777" w:rsidR="00694A99" w:rsidRDefault="00B95DD6" w:rsidP="00694A99">
      <w:pPr>
        <w:spacing w:after="0" w:line="360" w:lineRule="auto"/>
        <w:jc w:val="both"/>
        <w:rPr>
          <w:rFonts w:ascii="Times New Roman" w:hAnsi="Times New Roman" w:cs="Times New Roman"/>
          <w:b/>
          <w:sz w:val="24"/>
          <w:szCs w:val="24"/>
        </w:rPr>
      </w:pPr>
      <w:r w:rsidRPr="009F29AA">
        <w:rPr>
          <w:rFonts w:ascii="Times New Roman" w:hAnsi="Times New Roman" w:cs="Times New Roman"/>
          <w:b/>
          <w:sz w:val="24"/>
          <w:szCs w:val="24"/>
        </w:rPr>
        <w:t>2. LITERATURE REVIEW</w:t>
      </w:r>
    </w:p>
    <w:p w14:paraId="25E5EA3F" w14:textId="77777777" w:rsidR="00694A99" w:rsidRDefault="009F29AA" w:rsidP="00694A99">
      <w:pPr>
        <w:spacing w:after="0" w:line="360" w:lineRule="auto"/>
        <w:jc w:val="both"/>
        <w:rPr>
          <w:rFonts w:ascii="Times New Roman" w:hAnsi="Times New Roman" w:cs="Times New Roman"/>
          <w:b/>
          <w:sz w:val="24"/>
          <w:szCs w:val="24"/>
        </w:rPr>
      </w:pPr>
      <w:r w:rsidRPr="00694A99">
        <w:rPr>
          <w:rFonts w:ascii="Times New Roman" w:hAnsi="Times New Roman" w:cs="Times New Roman"/>
          <w:b/>
          <w:sz w:val="24"/>
          <w:szCs w:val="24"/>
        </w:rPr>
        <w:t>2.1 Conceptual Framework</w:t>
      </w:r>
    </w:p>
    <w:p w14:paraId="005839C6" w14:textId="77777777" w:rsidR="00694A99" w:rsidRDefault="009F29AA" w:rsidP="00694A99">
      <w:pPr>
        <w:spacing w:after="0" w:line="360" w:lineRule="auto"/>
        <w:jc w:val="both"/>
        <w:rPr>
          <w:rFonts w:ascii="Times New Roman" w:hAnsi="Times New Roman" w:cs="Times New Roman"/>
          <w:sz w:val="24"/>
          <w:szCs w:val="24"/>
        </w:rPr>
      </w:pPr>
      <w:r w:rsidRPr="00694A99">
        <w:rPr>
          <w:rFonts w:ascii="Times New Roman" w:hAnsi="Times New Roman" w:cs="Times New Roman"/>
          <w:sz w:val="24"/>
          <w:szCs w:val="24"/>
        </w:rPr>
        <w:t>Fiscal policy refers to government decisions on taxation, expenditure, and borrowing aimed at influencing macroeconomic outcomes such as growth, inflation, employment, and poverty reduction. In Nigeria, fiscal policy has played a central role in addressing economic imbalances, particularly due to the country’s structural reliance on oil revenue, narrow tax base, and inefficiencies in public spending (</w:t>
      </w:r>
      <w:proofErr w:type="spellStart"/>
      <w:r w:rsidRPr="00694A99">
        <w:rPr>
          <w:rFonts w:ascii="Times New Roman" w:hAnsi="Times New Roman" w:cs="Times New Roman"/>
          <w:sz w:val="24"/>
          <w:szCs w:val="24"/>
        </w:rPr>
        <w:t>Ukangwa</w:t>
      </w:r>
      <w:proofErr w:type="spellEnd"/>
      <w:r w:rsidRPr="00694A99">
        <w:rPr>
          <w:rFonts w:ascii="Times New Roman" w:hAnsi="Times New Roman" w:cs="Times New Roman"/>
          <w:sz w:val="24"/>
          <w:szCs w:val="24"/>
        </w:rPr>
        <w:t xml:space="preserve"> et al., 2023).</w:t>
      </w:r>
    </w:p>
    <w:p w14:paraId="53AD0DF6" w14:textId="77777777" w:rsidR="009F29AA" w:rsidRPr="00694A99" w:rsidRDefault="009F29AA" w:rsidP="00694A99">
      <w:pPr>
        <w:spacing w:after="0" w:line="360" w:lineRule="auto"/>
        <w:jc w:val="both"/>
        <w:rPr>
          <w:rFonts w:ascii="Times New Roman" w:hAnsi="Times New Roman" w:cs="Times New Roman"/>
          <w:b/>
          <w:sz w:val="24"/>
          <w:szCs w:val="24"/>
        </w:rPr>
      </w:pPr>
      <w:r w:rsidRPr="00873065">
        <w:rPr>
          <w:rStyle w:val="Strong"/>
          <w:rFonts w:ascii="Times New Roman" w:hAnsi="Times New Roman" w:cs="Times New Roman"/>
          <w:b w:val="0"/>
          <w:sz w:val="24"/>
          <w:szCs w:val="24"/>
        </w:rPr>
        <w:lastRenderedPageBreak/>
        <w:t>Fiscal restructuring</w:t>
      </w:r>
      <w:r w:rsidRPr="00694A99">
        <w:rPr>
          <w:rFonts w:ascii="Times New Roman" w:hAnsi="Times New Roman" w:cs="Times New Roman"/>
          <w:sz w:val="24"/>
          <w:szCs w:val="24"/>
        </w:rPr>
        <w:t xml:space="preserve"> encompasses reforms in taxation, public expenditure management, and debt sustainability, often pursued to enhance macroeconomic stability and stimulate long-term growth. Since 1986, Nigeria has undergone multiple waves of fiscal restructuring, beginning with the Structural Adjustment </w:t>
      </w:r>
      <w:proofErr w:type="spellStart"/>
      <w:r w:rsidRPr="00694A99">
        <w:rPr>
          <w:rFonts w:ascii="Times New Roman" w:hAnsi="Times New Roman" w:cs="Times New Roman"/>
          <w:sz w:val="24"/>
          <w:szCs w:val="24"/>
        </w:rPr>
        <w:t>Programme</w:t>
      </w:r>
      <w:proofErr w:type="spellEnd"/>
      <w:r w:rsidRPr="00694A99">
        <w:rPr>
          <w:rFonts w:ascii="Times New Roman" w:hAnsi="Times New Roman" w:cs="Times New Roman"/>
          <w:sz w:val="24"/>
          <w:szCs w:val="24"/>
        </w:rPr>
        <w:t xml:space="preserve"> (SAP), followed by debt relief initiatives, fiscal responsibility frameworks, and recent reforms under the Tinubu administration, including subsidy removal, exchange rate unification, and renewed domestic revenue mobilization efforts.</w:t>
      </w:r>
    </w:p>
    <w:p w14:paraId="30FD7694" w14:textId="77777777" w:rsidR="009F29AA" w:rsidRPr="009F29AA" w:rsidRDefault="009F29AA" w:rsidP="00694A99">
      <w:pPr>
        <w:pStyle w:val="NormalWeb"/>
        <w:spacing w:after="0" w:afterAutospacing="0" w:line="360" w:lineRule="auto"/>
        <w:jc w:val="both"/>
      </w:pPr>
      <w:r w:rsidRPr="009F29AA">
        <w:t>Key components of fiscal restructuring include:</w:t>
      </w:r>
    </w:p>
    <w:p w14:paraId="06BAD653" w14:textId="77777777" w:rsidR="009F29AA" w:rsidRPr="009F29AA" w:rsidRDefault="009F29AA" w:rsidP="00694A99">
      <w:pPr>
        <w:pStyle w:val="NormalWeb"/>
        <w:numPr>
          <w:ilvl w:val="0"/>
          <w:numId w:val="3"/>
        </w:numPr>
        <w:spacing w:after="0" w:afterAutospacing="0" w:line="360" w:lineRule="auto"/>
        <w:jc w:val="both"/>
      </w:pPr>
      <w:r w:rsidRPr="009F29AA">
        <w:rPr>
          <w:rStyle w:val="Strong"/>
        </w:rPr>
        <w:t>Tax reforms</w:t>
      </w:r>
      <w:r w:rsidRPr="009F29AA">
        <w:t xml:space="preserve"> to expand the tax base and improve collection efficiency;</w:t>
      </w:r>
    </w:p>
    <w:p w14:paraId="48BCD75D" w14:textId="77777777" w:rsidR="009F29AA" w:rsidRPr="009F29AA" w:rsidRDefault="009F29AA" w:rsidP="00694A99">
      <w:pPr>
        <w:pStyle w:val="NormalWeb"/>
        <w:numPr>
          <w:ilvl w:val="0"/>
          <w:numId w:val="3"/>
        </w:numPr>
        <w:spacing w:after="0" w:afterAutospacing="0" w:line="360" w:lineRule="auto"/>
        <w:jc w:val="both"/>
      </w:pPr>
      <w:r w:rsidRPr="009F29AA">
        <w:rPr>
          <w:rStyle w:val="Strong"/>
        </w:rPr>
        <w:t>Expenditure rationalization</w:t>
      </w:r>
      <w:r w:rsidRPr="009F29AA">
        <w:t xml:space="preserve"> to prioritize capital investments;</w:t>
      </w:r>
    </w:p>
    <w:p w14:paraId="0F9EE0E2" w14:textId="77777777" w:rsidR="009F29AA" w:rsidRPr="009F29AA" w:rsidRDefault="009F29AA" w:rsidP="00694A99">
      <w:pPr>
        <w:pStyle w:val="NormalWeb"/>
        <w:numPr>
          <w:ilvl w:val="0"/>
          <w:numId w:val="3"/>
        </w:numPr>
        <w:spacing w:after="0" w:afterAutospacing="0" w:line="360" w:lineRule="auto"/>
        <w:jc w:val="both"/>
      </w:pPr>
      <w:r w:rsidRPr="009F29AA">
        <w:rPr>
          <w:rStyle w:val="Strong"/>
        </w:rPr>
        <w:t>Debt restructuring</w:t>
      </w:r>
      <w:r w:rsidRPr="009F29AA">
        <w:t xml:space="preserve"> to manage sustainability and reduce service burdens;</w:t>
      </w:r>
    </w:p>
    <w:p w14:paraId="5D25E643" w14:textId="77777777" w:rsidR="009F29AA" w:rsidRPr="009F29AA" w:rsidRDefault="009F29AA" w:rsidP="00694A99">
      <w:pPr>
        <w:pStyle w:val="NormalWeb"/>
        <w:numPr>
          <w:ilvl w:val="0"/>
          <w:numId w:val="3"/>
        </w:numPr>
        <w:spacing w:after="0" w:afterAutospacing="0" w:line="360" w:lineRule="auto"/>
        <w:jc w:val="both"/>
      </w:pPr>
      <w:r w:rsidRPr="009F29AA">
        <w:rPr>
          <w:rStyle w:val="Strong"/>
        </w:rPr>
        <w:t>Real GDP</w:t>
      </w:r>
      <w:r w:rsidRPr="009F29AA">
        <w:t xml:space="preserve"> as the central indicator of macroeconomic performance, reflecting the growth impact of fiscal policy interventions.</w:t>
      </w:r>
    </w:p>
    <w:p w14:paraId="11FF7FF8" w14:textId="77777777" w:rsidR="009F29AA" w:rsidRPr="009F29AA" w:rsidRDefault="009F29AA" w:rsidP="00694A99">
      <w:pPr>
        <w:pStyle w:val="NormalWeb"/>
        <w:spacing w:after="0" w:afterAutospacing="0" w:line="360" w:lineRule="auto"/>
        <w:jc w:val="both"/>
      </w:pPr>
      <w:r w:rsidRPr="009F29AA">
        <w:t>Despite repeated reform efforts, Nigeria continues to face challenges such as high debt servicing, weak revenue generation, inflationary pressures, and inefficiencies in public financial management.</w:t>
      </w:r>
    </w:p>
    <w:p w14:paraId="11DD0897" w14:textId="77777777" w:rsidR="009F29AA" w:rsidRPr="009F29AA" w:rsidRDefault="009F29AA" w:rsidP="00873065">
      <w:pPr>
        <w:pStyle w:val="Heading3"/>
        <w:spacing w:before="0" w:beforeAutospacing="0" w:after="0" w:afterAutospacing="0" w:line="360" w:lineRule="auto"/>
        <w:jc w:val="both"/>
        <w:rPr>
          <w:sz w:val="24"/>
          <w:szCs w:val="24"/>
        </w:rPr>
      </w:pPr>
      <w:r w:rsidRPr="009F29AA">
        <w:rPr>
          <w:sz w:val="24"/>
          <w:szCs w:val="24"/>
        </w:rPr>
        <w:t>2.2 Theoretical Framework</w:t>
      </w:r>
    </w:p>
    <w:p w14:paraId="679F44DF" w14:textId="77777777" w:rsidR="009F29AA" w:rsidRPr="009F29AA" w:rsidRDefault="009F29AA" w:rsidP="00873065">
      <w:pPr>
        <w:pStyle w:val="NormalWeb"/>
        <w:spacing w:before="0" w:beforeAutospacing="0" w:after="0" w:afterAutospacing="0" w:line="360" w:lineRule="auto"/>
        <w:jc w:val="both"/>
      </w:pPr>
      <w:r w:rsidRPr="009F29AA">
        <w:t>The study is anchored on two key theoretical perspectives:</w:t>
      </w:r>
    </w:p>
    <w:p w14:paraId="64220BCE" w14:textId="77777777" w:rsidR="009F29AA" w:rsidRPr="009F29AA" w:rsidRDefault="009F29AA" w:rsidP="00873065">
      <w:pPr>
        <w:pStyle w:val="NormalWeb"/>
        <w:numPr>
          <w:ilvl w:val="0"/>
          <w:numId w:val="4"/>
        </w:numPr>
        <w:spacing w:before="0" w:beforeAutospacing="0" w:after="0" w:afterAutospacing="0" w:line="360" w:lineRule="auto"/>
        <w:jc w:val="both"/>
      </w:pPr>
      <w:r w:rsidRPr="009F29AA">
        <w:rPr>
          <w:rStyle w:val="Strong"/>
        </w:rPr>
        <w:t>Keynesian Theory of Fiscal Policy</w:t>
      </w:r>
      <w:r w:rsidRPr="009F29AA">
        <w:t xml:space="preserve"> advocates for active government intervention during economic downturns through increased public spending and deficit financing to boost aggregate demand. In Nigeria, this theory supports expansionary fiscal policies such as capital investment and targeted subsidies, although the impact has often been limited by leakages, weak institutions, and rising debt burdens (IMF, 2024; Brito &amp; Vasconcelos, 2024).</w:t>
      </w:r>
    </w:p>
    <w:p w14:paraId="092BD427" w14:textId="77777777" w:rsidR="009F29AA" w:rsidRPr="009F29AA" w:rsidRDefault="009F29AA" w:rsidP="00873065">
      <w:pPr>
        <w:pStyle w:val="NormalWeb"/>
        <w:numPr>
          <w:ilvl w:val="0"/>
          <w:numId w:val="4"/>
        </w:numPr>
        <w:spacing w:before="0" w:beforeAutospacing="0" w:after="0" w:afterAutospacing="0" w:line="360" w:lineRule="auto"/>
        <w:jc w:val="both"/>
      </w:pPr>
      <w:r w:rsidRPr="009F29AA">
        <w:rPr>
          <w:rStyle w:val="Strong"/>
        </w:rPr>
        <w:t>Wagner’s Law of Increasing State Activity</w:t>
      </w:r>
      <w:r w:rsidRPr="009F29AA">
        <w:t xml:space="preserve"> posits that public expenditure naturally expands as economies grow. In Nigeria, however, expenditure has often outpaced revenue growth, leading to persistent</w:t>
      </w:r>
      <w:r w:rsidR="00C96933">
        <w:t xml:space="preserve"> deficits and debt accumulation </w:t>
      </w:r>
      <w:r w:rsidRPr="009F29AA">
        <w:t>highlighting the need for improved fiscal discipline and governance (Murthy, 2022).</w:t>
      </w:r>
    </w:p>
    <w:p w14:paraId="7176885F" w14:textId="77777777" w:rsidR="009F29AA" w:rsidRPr="009F29AA" w:rsidRDefault="009F29AA" w:rsidP="00873065">
      <w:pPr>
        <w:pStyle w:val="NormalWeb"/>
        <w:spacing w:before="0" w:beforeAutospacing="0" w:after="0" w:afterAutospacing="0" w:line="360" w:lineRule="auto"/>
        <w:jc w:val="both"/>
      </w:pPr>
      <w:r w:rsidRPr="009F29AA">
        <w:t>These theories underscore the importance of both cyclical and structural dimensions of fiscal policy in shaping economic performance.</w:t>
      </w:r>
    </w:p>
    <w:p w14:paraId="6B5AAB28" w14:textId="77777777" w:rsidR="009F29AA" w:rsidRPr="009F29AA" w:rsidRDefault="009F29AA" w:rsidP="00873065">
      <w:pPr>
        <w:pStyle w:val="Heading3"/>
        <w:spacing w:before="0" w:beforeAutospacing="0" w:after="0" w:afterAutospacing="0" w:line="360" w:lineRule="auto"/>
        <w:jc w:val="both"/>
        <w:rPr>
          <w:sz w:val="24"/>
          <w:szCs w:val="24"/>
        </w:rPr>
      </w:pPr>
      <w:r w:rsidRPr="009F29AA">
        <w:rPr>
          <w:sz w:val="24"/>
          <w:szCs w:val="24"/>
        </w:rPr>
        <w:lastRenderedPageBreak/>
        <w:t>2.3 Empirical Literature</w:t>
      </w:r>
    </w:p>
    <w:p w14:paraId="1065071C" w14:textId="77777777" w:rsidR="009F29AA" w:rsidRPr="009F29AA" w:rsidRDefault="009F29AA" w:rsidP="00873065">
      <w:pPr>
        <w:pStyle w:val="NormalWeb"/>
        <w:spacing w:before="0" w:beforeAutospacing="0" w:after="0" w:afterAutospacing="0" w:line="360" w:lineRule="auto"/>
        <w:jc w:val="both"/>
      </w:pPr>
      <w:r w:rsidRPr="009F29AA">
        <w:t>Empirical studies offer mixed evidence on the impact of fiscal restructuring on economic growth in Nigeria and other developing economies:</w:t>
      </w:r>
    </w:p>
    <w:p w14:paraId="0ECE6E1A" w14:textId="77777777" w:rsidR="009F29AA" w:rsidRPr="009F29AA" w:rsidRDefault="009F29AA" w:rsidP="00873065">
      <w:pPr>
        <w:pStyle w:val="NormalWeb"/>
        <w:numPr>
          <w:ilvl w:val="0"/>
          <w:numId w:val="5"/>
        </w:numPr>
        <w:spacing w:before="0" w:beforeAutospacing="0" w:after="0" w:afterAutospacing="0" w:line="360" w:lineRule="auto"/>
        <w:jc w:val="both"/>
      </w:pPr>
      <w:proofErr w:type="spellStart"/>
      <w:r w:rsidRPr="009F29AA">
        <w:rPr>
          <w:rStyle w:val="Strong"/>
        </w:rPr>
        <w:t>Ukangwa</w:t>
      </w:r>
      <w:proofErr w:type="spellEnd"/>
      <w:r w:rsidRPr="009F29AA">
        <w:rPr>
          <w:rStyle w:val="Strong"/>
        </w:rPr>
        <w:t xml:space="preserve"> et al. (2023)</w:t>
      </w:r>
      <w:r w:rsidRPr="009F29AA">
        <w:t xml:space="preserve"> found a negative relationship between public debt, tax revenue, and GDP, while government expenditure had a positive impact.</w:t>
      </w:r>
    </w:p>
    <w:p w14:paraId="2062A660" w14:textId="77777777" w:rsidR="009F29AA" w:rsidRPr="009F29AA" w:rsidRDefault="009F29AA" w:rsidP="00873065">
      <w:pPr>
        <w:pStyle w:val="NormalWeb"/>
        <w:numPr>
          <w:ilvl w:val="0"/>
          <w:numId w:val="5"/>
        </w:numPr>
        <w:spacing w:before="0" w:beforeAutospacing="0" w:after="0" w:afterAutospacing="0" w:line="360" w:lineRule="auto"/>
        <w:jc w:val="both"/>
      </w:pPr>
      <w:proofErr w:type="spellStart"/>
      <w:r w:rsidRPr="009F29AA">
        <w:rPr>
          <w:rStyle w:val="Strong"/>
        </w:rPr>
        <w:t>Ijirshar</w:t>
      </w:r>
      <w:proofErr w:type="spellEnd"/>
      <w:r w:rsidRPr="009F29AA">
        <w:rPr>
          <w:rStyle w:val="Strong"/>
        </w:rPr>
        <w:t xml:space="preserve"> et al. (2023)</w:t>
      </w:r>
      <w:r w:rsidRPr="009F29AA">
        <w:t xml:space="preserve"> highlighted that government expenditure significantly influences growth, moderated by oil and non-oil revenue.</w:t>
      </w:r>
    </w:p>
    <w:p w14:paraId="03957CEE"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Ugwuoke et al. (2022)</w:t>
      </w:r>
      <w:r w:rsidRPr="009F29AA">
        <w:t xml:space="preserve"> reported that total government revenue and external debt positively affected growth, whereas domestic debt and fixed capital formation had negative effects.</w:t>
      </w:r>
    </w:p>
    <w:p w14:paraId="18E677F3"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Udo et al. (2022)</w:t>
      </w:r>
      <w:r w:rsidRPr="009F29AA">
        <w:t xml:space="preserve"> observed that recurrent expenditure positively influenced GDP, while fiscal deficits lacked significant long-term impact.</w:t>
      </w:r>
    </w:p>
    <w:p w14:paraId="5C9475AD" w14:textId="77777777" w:rsidR="009F29AA" w:rsidRPr="009F29AA" w:rsidRDefault="009F29AA" w:rsidP="00873065">
      <w:pPr>
        <w:pStyle w:val="NormalWeb"/>
        <w:numPr>
          <w:ilvl w:val="0"/>
          <w:numId w:val="5"/>
        </w:numPr>
        <w:spacing w:before="0" w:beforeAutospacing="0" w:after="0" w:afterAutospacing="0" w:line="360" w:lineRule="auto"/>
        <w:jc w:val="both"/>
      </w:pPr>
      <w:r w:rsidRPr="009F29AA">
        <w:rPr>
          <w:rStyle w:val="Strong"/>
        </w:rPr>
        <w:t>Onifade et al. (2020)</w:t>
      </w:r>
      <w:r w:rsidRPr="009F29AA">
        <w:t xml:space="preserve"> and </w:t>
      </w:r>
      <w:proofErr w:type="spellStart"/>
      <w:r w:rsidRPr="009F29AA">
        <w:rPr>
          <w:rStyle w:val="Strong"/>
        </w:rPr>
        <w:t>Adegboyo</w:t>
      </w:r>
      <w:proofErr w:type="spellEnd"/>
      <w:r w:rsidRPr="009F29AA">
        <w:rPr>
          <w:rStyle w:val="Strong"/>
        </w:rPr>
        <w:t xml:space="preserve"> et al. (2021)</w:t>
      </w:r>
      <w:r w:rsidRPr="009F29AA">
        <w:t xml:space="preserve"> found inconsistent short-run and long-run effects of fiscal policy, suggesting that capital expenditure can enhance growth, but recurrent spending often hinders it.</w:t>
      </w:r>
    </w:p>
    <w:p w14:paraId="467343DE" w14:textId="77777777" w:rsidR="009F29AA" w:rsidRPr="009F29AA" w:rsidRDefault="009F29AA" w:rsidP="00873065">
      <w:pPr>
        <w:pStyle w:val="NormalWeb"/>
        <w:spacing w:before="0" w:beforeAutospacing="0" w:after="0" w:afterAutospacing="0" w:line="360" w:lineRule="auto"/>
        <w:jc w:val="both"/>
      </w:pPr>
      <w:r w:rsidRPr="009F29AA">
        <w:t xml:space="preserve">Studies from other contexts, such as </w:t>
      </w:r>
      <w:r w:rsidRPr="009F29AA">
        <w:rPr>
          <w:rStyle w:val="Strong"/>
        </w:rPr>
        <w:t>Pamba (2022)</w:t>
      </w:r>
      <w:r w:rsidRPr="009F29AA">
        <w:t xml:space="preserve"> in South Africa, similarly report that government expenditure and deficits can negatively affect long-run growth, underscoring the universal challenge of aligning fiscal policy with developmental outcomes.</w:t>
      </w:r>
    </w:p>
    <w:p w14:paraId="4EFF6334" w14:textId="77777777" w:rsidR="009F29AA" w:rsidRDefault="009F29AA" w:rsidP="00873065">
      <w:pPr>
        <w:pStyle w:val="NormalWeb"/>
        <w:spacing w:before="0" w:beforeAutospacing="0" w:after="0" w:afterAutospacing="0" w:line="360" w:lineRule="auto"/>
        <w:jc w:val="both"/>
      </w:pPr>
      <w:r w:rsidRPr="009F29AA">
        <w:t xml:space="preserve">In summary, while fiscal restructuring is theoretically and empirically linked to economic performance, its effectiveness in Nigeria has been constrained by structural inefficiencies, governance issues, and external shocks. This study seeks to contribute to the debate by empirically evaluating the impact </w:t>
      </w:r>
      <w:r w:rsidR="00C96933">
        <w:t xml:space="preserve">of key fiscal indicators </w:t>
      </w:r>
      <w:r w:rsidRPr="009F29AA">
        <w:t>tax-to-GDP ratio, debt-to-re</w:t>
      </w:r>
      <w:r w:rsidR="00C96933">
        <w:t xml:space="preserve">venue ratio, and fiscal balance </w:t>
      </w:r>
      <w:r w:rsidRPr="009F29AA">
        <w:t>on Nigeria’s real GDP over the 1986–2024 period.</w:t>
      </w:r>
    </w:p>
    <w:p w14:paraId="368DADA3" w14:textId="77777777" w:rsidR="00873065" w:rsidRDefault="00873065" w:rsidP="00873065">
      <w:pPr>
        <w:spacing w:after="0"/>
        <w:rPr>
          <w:rFonts w:ascii="Times New Roman" w:hAnsi="Times New Roman" w:cs="Times New Roman"/>
          <w:b/>
          <w:sz w:val="28"/>
          <w:szCs w:val="28"/>
        </w:rPr>
      </w:pPr>
    </w:p>
    <w:p w14:paraId="744B27B2" w14:textId="77777777" w:rsidR="00873065" w:rsidRDefault="00354394" w:rsidP="00873065">
      <w:pPr>
        <w:spacing w:after="0" w:line="360" w:lineRule="auto"/>
        <w:rPr>
          <w:rFonts w:ascii="Times New Roman" w:hAnsi="Times New Roman" w:cs="Times New Roman"/>
          <w:b/>
          <w:sz w:val="28"/>
          <w:szCs w:val="28"/>
        </w:rPr>
      </w:pPr>
      <w:r w:rsidRPr="00E858A5">
        <w:rPr>
          <w:rFonts w:ascii="Times New Roman" w:hAnsi="Times New Roman" w:cs="Times New Roman"/>
          <w:b/>
          <w:sz w:val="28"/>
          <w:szCs w:val="28"/>
        </w:rPr>
        <w:t xml:space="preserve">3. </w:t>
      </w:r>
      <w:r w:rsidR="00B95DD6" w:rsidRPr="00E858A5">
        <w:rPr>
          <w:rFonts w:ascii="Times New Roman" w:hAnsi="Times New Roman" w:cs="Times New Roman"/>
          <w:b/>
          <w:sz w:val="28"/>
          <w:szCs w:val="28"/>
        </w:rPr>
        <w:t>RESEARCH METHODOLOGY</w:t>
      </w:r>
    </w:p>
    <w:p w14:paraId="023EBD92" w14:textId="77777777" w:rsidR="00873065" w:rsidRPr="00873065" w:rsidRDefault="00354394" w:rsidP="00873065">
      <w:pPr>
        <w:spacing w:after="0" w:line="360" w:lineRule="auto"/>
        <w:rPr>
          <w:rFonts w:ascii="Times New Roman" w:hAnsi="Times New Roman" w:cs="Times New Roman"/>
          <w:b/>
          <w:sz w:val="24"/>
          <w:szCs w:val="24"/>
        </w:rPr>
      </w:pPr>
      <w:r w:rsidRPr="00873065">
        <w:rPr>
          <w:rFonts w:ascii="Times New Roman" w:hAnsi="Times New Roman" w:cs="Times New Roman"/>
          <w:b/>
          <w:sz w:val="24"/>
          <w:szCs w:val="24"/>
        </w:rPr>
        <w:t>3.1 Research Design</w:t>
      </w:r>
    </w:p>
    <w:p w14:paraId="3BFB3EB7" w14:textId="77777777" w:rsidR="00354394" w:rsidRPr="00873065" w:rsidRDefault="00354394" w:rsidP="00873065">
      <w:pPr>
        <w:spacing w:after="0" w:line="360" w:lineRule="auto"/>
        <w:jc w:val="both"/>
        <w:rPr>
          <w:rFonts w:ascii="Times New Roman" w:hAnsi="Times New Roman" w:cs="Times New Roman"/>
          <w:b/>
          <w:sz w:val="24"/>
          <w:szCs w:val="24"/>
        </w:rPr>
      </w:pPr>
      <w:r w:rsidRPr="00873065">
        <w:rPr>
          <w:rFonts w:ascii="Times New Roman" w:hAnsi="Times New Roman" w:cs="Times New Roman"/>
          <w:sz w:val="24"/>
          <w:szCs w:val="24"/>
        </w:rPr>
        <w:t xml:space="preserve">This study adopts a </w:t>
      </w:r>
      <w:r w:rsidRPr="00873065">
        <w:rPr>
          <w:rStyle w:val="Strong"/>
          <w:rFonts w:ascii="Times New Roman" w:hAnsi="Times New Roman" w:cs="Times New Roman"/>
          <w:b w:val="0"/>
          <w:sz w:val="24"/>
          <w:szCs w:val="24"/>
        </w:rPr>
        <w:t>quasi-experimental research design</w:t>
      </w:r>
      <w:r w:rsidRPr="00873065">
        <w:rPr>
          <w:rFonts w:ascii="Times New Roman" w:hAnsi="Times New Roman" w:cs="Times New Roman"/>
          <w:sz w:val="24"/>
          <w:szCs w:val="24"/>
        </w:rPr>
        <w:t>, utilizing secondary time-series data to analyze the causal relationship between fiscal restructuring variables and economic growth in Nigeria from 1986 to 2023. The design is appropriate given the non-manipulative nature of the data and the focus on historical trends and policy impacts.</w:t>
      </w:r>
    </w:p>
    <w:p w14:paraId="30A1C08F" w14:textId="77777777" w:rsidR="00354394" w:rsidRDefault="00354394" w:rsidP="00873065">
      <w:pPr>
        <w:pStyle w:val="Heading3"/>
        <w:spacing w:before="0" w:beforeAutospacing="0" w:after="0" w:afterAutospacing="0" w:line="360" w:lineRule="auto"/>
      </w:pPr>
      <w:r>
        <w:t>3.2 Model Specification</w:t>
      </w:r>
    </w:p>
    <w:p w14:paraId="486502C5" w14:textId="77777777" w:rsidR="00354394" w:rsidRDefault="00354394" w:rsidP="00873065">
      <w:pPr>
        <w:pStyle w:val="NormalWeb"/>
        <w:spacing w:before="0" w:beforeAutospacing="0" w:after="0" w:afterAutospacing="0" w:line="360" w:lineRule="auto"/>
      </w:pPr>
      <w:r>
        <w:lastRenderedPageBreak/>
        <w:t>To empirically examine the relationship between fiscal restructuring and economic growth, the study specifies the following functional model:</w:t>
      </w:r>
    </w:p>
    <w:p w14:paraId="66280AB8" w14:textId="77777777" w:rsidR="00B16CFA" w:rsidRDefault="00B16CFA" w:rsidP="00B16CFA">
      <w:pPr>
        <w:spacing w:before="240" w:after="0" w:line="360" w:lineRule="auto"/>
        <w:ind w:firstLine="720"/>
        <w:jc w:val="both"/>
        <w:rPr>
          <w:rFonts w:ascii="Times New Roman" w:hAnsi="Times New Roman" w:cs="Times New Roman"/>
        </w:rPr>
      </w:pPr>
      <w:r>
        <w:rPr>
          <w:rFonts w:ascii="Times New Roman" w:hAnsi="Times New Roman" w:cs="Times New Roman"/>
        </w:rPr>
        <w:t xml:space="preserve">RGDP = </w:t>
      </w:r>
      <w:r w:rsidR="00B95DD6">
        <w:rPr>
          <w:rFonts w:ascii="Times New Roman" w:hAnsi="Times New Roman" w:cs="Times New Roman"/>
          <w:i/>
        </w:rPr>
        <w:t>f</w:t>
      </w:r>
      <w:r w:rsidR="00B95DD6">
        <w:rPr>
          <w:rFonts w:ascii="Times New Roman" w:hAnsi="Times New Roman" w:cs="Times New Roman"/>
        </w:rPr>
        <w:t xml:space="preserve"> (</w:t>
      </w:r>
      <w:r>
        <w:rPr>
          <w:rFonts w:ascii="Times New Roman" w:hAnsi="Times New Roman" w:cs="Times New Roman"/>
        </w:rPr>
        <w:t xml:space="preserve">TAX-GDP, DBT-REV, FISCB)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293015CD" w14:textId="77777777" w:rsidR="00354394" w:rsidRDefault="00354394" w:rsidP="00354394">
      <w:pPr>
        <w:pStyle w:val="NormalWeb"/>
      </w:pPr>
      <w:r>
        <w:t>The corresponding log-linear multiple regression equation is formulated as:</w:t>
      </w:r>
    </w:p>
    <w:p w14:paraId="34C134F6" w14:textId="77777777" w:rsidR="000812DD" w:rsidRDefault="00B95DD6" w:rsidP="000812DD">
      <w:pPr>
        <w:pStyle w:val="NormalWeb"/>
        <w:ind w:firstLine="720"/>
      </w:pPr>
      <w:r w:rsidRPr="00EB2449">
        <w:rPr>
          <w:position w:val="-12"/>
        </w:rPr>
        <w:object w:dxaOrig="6460" w:dyaOrig="360" w14:anchorId="32933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35pt;height:18pt" o:ole="">
            <v:imagedata r:id="rId7" o:title=""/>
          </v:shape>
          <o:OLEObject Type="Embed" ProgID="Equation.DSMT4" ShapeID="_x0000_i1025" DrawAspect="Content" ObjectID="_1817029974" r:id="rId8"/>
        </w:object>
      </w:r>
      <w:r w:rsidR="00B16CFA">
        <w:tab/>
      </w:r>
      <w:r w:rsidR="00B16CFA">
        <w:tab/>
      </w:r>
      <w:r w:rsidR="00B16CFA">
        <w:tab/>
        <w:t>(3.2)</w:t>
      </w:r>
    </w:p>
    <w:p w14:paraId="731992E3" w14:textId="77777777" w:rsidR="00354394" w:rsidRDefault="00354394" w:rsidP="00873065">
      <w:pPr>
        <w:pStyle w:val="NormalWeb"/>
        <w:spacing w:before="0" w:beforeAutospacing="0" w:after="0" w:afterAutospacing="0" w:line="360" w:lineRule="auto"/>
      </w:pPr>
      <w:r>
        <w:t>Where:</w:t>
      </w:r>
    </w:p>
    <w:p w14:paraId="37250048" w14:textId="77777777" w:rsidR="00354394" w:rsidRDefault="00354394" w:rsidP="00873065">
      <w:pPr>
        <w:pStyle w:val="NormalWeb"/>
        <w:numPr>
          <w:ilvl w:val="0"/>
          <w:numId w:val="6"/>
        </w:numPr>
        <w:spacing w:before="0" w:beforeAutospacing="0" w:after="0" w:afterAutospacing="0" w:line="360" w:lineRule="auto"/>
      </w:pPr>
      <w:r>
        <w:rPr>
          <w:rStyle w:val="Strong"/>
        </w:rPr>
        <w:t>RGDP</w:t>
      </w:r>
      <w:r>
        <w:t xml:space="preserve"> = Real Gross Domestic Product (proxy for economic growth)</w:t>
      </w:r>
    </w:p>
    <w:p w14:paraId="2188A0B3" w14:textId="77777777" w:rsidR="00354394" w:rsidRDefault="00354394" w:rsidP="00873065">
      <w:pPr>
        <w:pStyle w:val="NormalWeb"/>
        <w:numPr>
          <w:ilvl w:val="0"/>
          <w:numId w:val="6"/>
        </w:numPr>
        <w:spacing w:before="0" w:beforeAutospacing="0" w:after="0" w:afterAutospacing="0" w:line="360" w:lineRule="auto"/>
      </w:pPr>
      <w:r>
        <w:rPr>
          <w:rStyle w:val="Strong"/>
        </w:rPr>
        <w:t>TAX_GDP</w:t>
      </w:r>
      <w:r>
        <w:t xml:space="preserve"> = Tax revenue as a percentage of GDP</w:t>
      </w:r>
    </w:p>
    <w:p w14:paraId="1189C501" w14:textId="77777777" w:rsidR="00354394" w:rsidRDefault="00354394" w:rsidP="00873065">
      <w:pPr>
        <w:pStyle w:val="NormalWeb"/>
        <w:numPr>
          <w:ilvl w:val="0"/>
          <w:numId w:val="6"/>
        </w:numPr>
        <w:spacing w:before="0" w:beforeAutospacing="0" w:after="0" w:afterAutospacing="0" w:line="360" w:lineRule="auto"/>
      </w:pPr>
      <w:r>
        <w:rPr>
          <w:rStyle w:val="Strong"/>
        </w:rPr>
        <w:t>DBT_REV</w:t>
      </w:r>
      <w:r>
        <w:t xml:space="preserve"> = Total debt as a percentage of government revenue</w:t>
      </w:r>
    </w:p>
    <w:p w14:paraId="6D575FE6" w14:textId="77777777" w:rsidR="00354394" w:rsidRDefault="00354394" w:rsidP="00873065">
      <w:pPr>
        <w:pStyle w:val="NormalWeb"/>
        <w:numPr>
          <w:ilvl w:val="0"/>
          <w:numId w:val="6"/>
        </w:numPr>
        <w:spacing w:before="0" w:beforeAutospacing="0" w:after="0" w:afterAutospacing="0" w:line="360" w:lineRule="auto"/>
      </w:pPr>
      <w:r>
        <w:rPr>
          <w:rStyle w:val="Strong"/>
        </w:rPr>
        <w:t>FISCB</w:t>
      </w:r>
      <w:r>
        <w:t xml:space="preserve"> = Fiscal balance (total revenue minus total expenditure)</w:t>
      </w:r>
    </w:p>
    <w:p w14:paraId="4C06DEA9" w14:textId="77777777" w:rsidR="00354394" w:rsidRDefault="00354394" w:rsidP="00873065">
      <w:pPr>
        <w:pStyle w:val="NormalWeb"/>
        <w:numPr>
          <w:ilvl w:val="0"/>
          <w:numId w:val="6"/>
        </w:numPr>
        <w:spacing w:before="0" w:beforeAutospacing="0" w:after="0" w:afterAutospacing="0" w:line="360" w:lineRule="auto"/>
      </w:pPr>
      <w:r>
        <w:rPr>
          <w:rStyle w:val="Strong"/>
        </w:rPr>
        <w:t>β₀</w:t>
      </w:r>
      <w:r>
        <w:t xml:space="preserve"> = Constant term</w:t>
      </w:r>
    </w:p>
    <w:p w14:paraId="3E98C6A5" w14:textId="77777777" w:rsidR="00354394" w:rsidRDefault="00354394" w:rsidP="00873065">
      <w:pPr>
        <w:pStyle w:val="NormalWeb"/>
        <w:numPr>
          <w:ilvl w:val="0"/>
          <w:numId w:val="6"/>
        </w:numPr>
        <w:spacing w:before="0" w:beforeAutospacing="0" w:after="0" w:afterAutospacing="0" w:line="360" w:lineRule="auto"/>
      </w:pPr>
      <w:r>
        <w:rPr>
          <w:rStyle w:val="Strong"/>
        </w:rPr>
        <w:t>β₁, β₂, β₃</w:t>
      </w:r>
      <w:r>
        <w:t xml:space="preserve"> = Coefficients of the independent variables</w:t>
      </w:r>
    </w:p>
    <w:p w14:paraId="06098C33" w14:textId="77777777" w:rsidR="00354394" w:rsidRDefault="00354394" w:rsidP="00873065">
      <w:pPr>
        <w:pStyle w:val="NormalWeb"/>
        <w:numPr>
          <w:ilvl w:val="0"/>
          <w:numId w:val="6"/>
        </w:numPr>
        <w:spacing w:before="0" w:beforeAutospacing="0" w:after="0" w:afterAutospacing="0" w:line="360" w:lineRule="auto"/>
      </w:pPr>
      <w:r>
        <w:rPr>
          <w:rStyle w:val="Strong"/>
        </w:rPr>
        <w:t>μₜ</w:t>
      </w:r>
      <w:r>
        <w:t xml:space="preserve"> = Stochastic error term</w:t>
      </w:r>
    </w:p>
    <w:p w14:paraId="3754355A" w14:textId="77777777" w:rsidR="00354394" w:rsidRDefault="00354394" w:rsidP="00873065">
      <w:pPr>
        <w:pStyle w:val="NormalWeb"/>
        <w:numPr>
          <w:ilvl w:val="0"/>
          <w:numId w:val="6"/>
        </w:numPr>
        <w:spacing w:before="0" w:beforeAutospacing="0" w:after="0" w:afterAutospacing="0" w:line="360" w:lineRule="auto"/>
      </w:pPr>
      <w:r>
        <w:rPr>
          <w:rStyle w:val="Strong"/>
        </w:rPr>
        <w:t>t</w:t>
      </w:r>
      <w:r w:rsidR="00AD1D36">
        <w:t xml:space="preserve"> = Time period (1986–2024</w:t>
      </w:r>
      <w:r>
        <w:t>)</w:t>
      </w:r>
    </w:p>
    <w:p w14:paraId="348F99B5" w14:textId="77777777" w:rsidR="00354394" w:rsidRDefault="00354394" w:rsidP="00873065">
      <w:pPr>
        <w:pStyle w:val="Heading3"/>
        <w:spacing w:before="0" w:beforeAutospacing="0" w:after="0" w:afterAutospacing="0" w:line="360" w:lineRule="auto"/>
      </w:pPr>
      <w:r>
        <w:t>3.3 A Priori Expectations</w:t>
      </w:r>
    </w:p>
    <w:p w14:paraId="040890B2" w14:textId="77777777" w:rsidR="00354394" w:rsidRDefault="00354394" w:rsidP="00873065">
      <w:pPr>
        <w:pStyle w:val="NormalWeb"/>
        <w:spacing w:before="0" w:beforeAutospacing="0" w:after="0" w:afterAutospacing="0" w:line="360" w:lineRule="auto"/>
      </w:pPr>
      <w:r>
        <w:t>Based on economic theory, the coefficients are expected to exhibit the following signs:</w:t>
      </w:r>
    </w:p>
    <w:p w14:paraId="57A3AB45" w14:textId="77777777" w:rsidR="00B16CFA" w:rsidRDefault="00B16CFA" w:rsidP="00873065">
      <w:pPr>
        <w:spacing w:after="0" w:line="360" w:lineRule="auto"/>
      </w:pPr>
      <w:r w:rsidRPr="00EB2449">
        <w:rPr>
          <w:position w:val="-12"/>
        </w:rPr>
        <w:object w:dxaOrig="1300" w:dyaOrig="360" w14:anchorId="551D2944">
          <v:shape id="_x0000_i1026" type="#_x0000_t75" style="width:65.35pt;height:18pt" o:ole="">
            <v:imagedata r:id="rId9" o:title=""/>
          </v:shape>
          <o:OLEObject Type="Embed" ProgID="Equation.DSMT4" ShapeID="_x0000_i1026" DrawAspect="Content" ObjectID="_1817029975" r:id="rId10"/>
        </w:object>
      </w:r>
    </w:p>
    <w:p w14:paraId="3CEE4F28" w14:textId="77777777" w:rsidR="00354394" w:rsidRPr="00B16CFA" w:rsidRDefault="00354394" w:rsidP="00873065">
      <w:pPr>
        <w:spacing w:after="0" w:line="360" w:lineRule="auto"/>
        <w:rPr>
          <w:rFonts w:ascii="Times New Roman" w:hAnsi="Times New Roman" w:cs="Times New Roman"/>
          <w:sz w:val="24"/>
          <w:szCs w:val="24"/>
        </w:rPr>
      </w:pPr>
      <w:r w:rsidRPr="00B16CFA">
        <w:rPr>
          <w:rFonts w:ascii="Times New Roman" w:hAnsi="Times New Roman" w:cs="Times New Roman"/>
          <w:sz w:val="24"/>
          <w:szCs w:val="24"/>
        </w:rPr>
        <w:t>That is, improvements in tax performance, debt sustainability, and fiscal balance are expected to positively influence real GDP.</w:t>
      </w:r>
    </w:p>
    <w:p w14:paraId="1D5F8A40" w14:textId="77777777" w:rsidR="00354394" w:rsidRDefault="00354394" w:rsidP="00873065">
      <w:pPr>
        <w:pStyle w:val="Heading3"/>
        <w:spacing w:before="0" w:beforeAutospacing="0" w:after="0" w:afterAutospacing="0" w:line="360" w:lineRule="auto"/>
        <w:jc w:val="both"/>
      </w:pPr>
      <w:r>
        <w:t>3.4 Data Sources</w:t>
      </w:r>
    </w:p>
    <w:p w14:paraId="75476F1F" w14:textId="77777777" w:rsidR="00354394" w:rsidRDefault="00354394" w:rsidP="00873065">
      <w:pPr>
        <w:pStyle w:val="NormalWeb"/>
        <w:spacing w:before="0" w:beforeAutospacing="0" w:after="0" w:afterAutospacing="0" w:line="360" w:lineRule="auto"/>
        <w:jc w:val="both"/>
      </w:pPr>
      <w:r>
        <w:t xml:space="preserve">The study utilizes annual time-series data obtained from the </w:t>
      </w:r>
      <w:r w:rsidRPr="00873065">
        <w:rPr>
          <w:rStyle w:val="Strong"/>
          <w:b w:val="0"/>
        </w:rPr>
        <w:t>Central Bank of Nigeria (CBN)</w:t>
      </w:r>
      <w:r>
        <w:rPr>
          <w:rStyle w:val="Strong"/>
        </w:rPr>
        <w:t xml:space="preserve"> </w:t>
      </w:r>
      <w:r w:rsidRPr="00873065">
        <w:rPr>
          <w:rStyle w:val="Strong"/>
          <w:b w:val="0"/>
        </w:rPr>
        <w:t>Statistical Bulletin, 2024 edition</w:t>
      </w:r>
      <w:r w:rsidRPr="00873065">
        <w:rPr>
          <w:b/>
        </w:rPr>
        <w:t>.</w:t>
      </w:r>
      <w:r>
        <w:t xml:space="preserve"> Fiscal indicators, including tax-to-GDP ratio, debt-to-revenue ratio, and fiscal balance, were computed by the researcher using raw data extracted from official CBN records.</w:t>
      </w:r>
    </w:p>
    <w:p w14:paraId="507EE91A" w14:textId="77777777" w:rsidR="00354394" w:rsidRDefault="00354394" w:rsidP="00873065">
      <w:pPr>
        <w:pStyle w:val="Heading3"/>
        <w:spacing w:before="0" w:beforeAutospacing="0" w:after="0" w:afterAutospacing="0" w:line="360" w:lineRule="auto"/>
        <w:jc w:val="both"/>
      </w:pPr>
      <w:r>
        <w:t>3.5 Method of Data Analysis</w:t>
      </w:r>
    </w:p>
    <w:p w14:paraId="2FC17991" w14:textId="77777777" w:rsidR="00354394" w:rsidRDefault="00354394" w:rsidP="00873065">
      <w:pPr>
        <w:pStyle w:val="NormalWeb"/>
        <w:spacing w:before="0" w:beforeAutospacing="0" w:after="0" w:afterAutospacing="0" w:line="360" w:lineRule="auto"/>
        <w:jc w:val="both"/>
      </w:pPr>
      <w:r>
        <w:t xml:space="preserve">The study employs an </w:t>
      </w:r>
      <w:r w:rsidRPr="00873065">
        <w:rPr>
          <w:rStyle w:val="Strong"/>
          <w:b w:val="0"/>
        </w:rPr>
        <w:t>Error Correction Model (ECM</w:t>
      </w:r>
      <w:r>
        <w:rPr>
          <w:rStyle w:val="Strong"/>
        </w:rPr>
        <w:t>)</w:t>
      </w:r>
      <w:r>
        <w:t xml:space="preserve"> to estimate both short-run dynamics and long-run relationships among the variables. The ECM approach is appropriate as it accounts for potential non-stationarity and cointegration among the series (</w:t>
      </w:r>
      <w:proofErr w:type="spellStart"/>
      <w:r>
        <w:t>Egbulonu</w:t>
      </w:r>
      <w:proofErr w:type="spellEnd"/>
      <w:r>
        <w:t>, 2019). The analysis proceeded through the following econometric steps:</w:t>
      </w:r>
    </w:p>
    <w:p w14:paraId="2C617177" w14:textId="77777777" w:rsidR="00354394" w:rsidRDefault="00354394" w:rsidP="00873065">
      <w:pPr>
        <w:pStyle w:val="NormalWeb"/>
        <w:numPr>
          <w:ilvl w:val="0"/>
          <w:numId w:val="7"/>
        </w:numPr>
        <w:spacing w:line="360" w:lineRule="auto"/>
        <w:jc w:val="both"/>
      </w:pPr>
      <w:r>
        <w:rPr>
          <w:rStyle w:val="Strong"/>
        </w:rPr>
        <w:lastRenderedPageBreak/>
        <w:t>Unit Root Test</w:t>
      </w:r>
      <w:r>
        <w:t>: Conducted to determine the stationarity properties of the variab</w:t>
      </w:r>
      <w:r w:rsidR="00A32F9F">
        <w:t>les using standard tests (</w:t>
      </w:r>
      <w:r>
        <w:t>Augmented Dickey-Fuller).</w:t>
      </w:r>
    </w:p>
    <w:p w14:paraId="314AA824" w14:textId="77777777" w:rsidR="00354394" w:rsidRDefault="00354394" w:rsidP="00873065">
      <w:pPr>
        <w:pStyle w:val="NormalWeb"/>
        <w:numPr>
          <w:ilvl w:val="0"/>
          <w:numId w:val="7"/>
        </w:numPr>
        <w:spacing w:line="360" w:lineRule="auto"/>
        <w:jc w:val="both"/>
      </w:pPr>
      <w:r>
        <w:rPr>
          <w:rStyle w:val="Strong"/>
        </w:rPr>
        <w:t>Johansen Cointegration Test</w:t>
      </w:r>
      <w:r>
        <w:t>: Applied to verify the existence of a long-run equilibrium relationship among the variables, based on Trace and Maximum Eigenvalue statistics.</w:t>
      </w:r>
    </w:p>
    <w:p w14:paraId="1821329D" w14:textId="77777777" w:rsidR="00354394" w:rsidRDefault="00354394" w:rsidP="00873065">
      <w:pPr>
        <w:pStyle w:val="NormalWeb"/>
        <w:numPr>
          <w:ilvl w:val="0"/>
          <w:numId w:val="7"/>
        </w:numPr>
        <w:spacing w:line="360" w:lineRule="auto"/>
        <w:jc w:val="both"/>
      </w:pPr>
      <w:r>
        <w:rPr>
          <w:rStyle w:val="Strong"/>
        </w:rPr>
        <w:t>Error Correction Estimation</w:t>
      </w:r>
      <w:r>
        <w:t>: Estimated to capture the short-run adjustment dynamics toward long-run equilibrium.</w:t>
      </w:r>
    </w:p>
    <w:p w14:paraId="4C9F7A17" w14:textId="77777777" w:rsidR="00354394" w:rsidRDefault="00354394" w:rsidP="00873065">
      <w:pPr>
        <w:pStyle w:val="Heading3"/>
        <w:spacing w:before="0" w:beforeAutospacing="0" w:after="0" w:afterAutospacing="0" w:line="360" w:lineRule="auto"/>
        <w:jc w:val="both"/>
      </w:pPr>
      <w:r>
        <w:t>3.6 Hypothesis Testing</w:t>
      </w:r>
    </w:p>
    <w:p w14:paraId="1D1BA205" w14:textId="77777777" w:rsidR="00354394" w:rsidRDefault="00354394" w:rsidP="00873065">
      <w:pPr>
        <w:pStyle w:val="NormalWeb"/>
        <w:spacing w:before="0" w:beforeAutospacing="0" w:after="0" w:afterAutospacing="0" w:line="360" w:lineRule="auto"/>
        <w:jc w:val="both"/>
      </w:pPr>
      <w:r>
        <w:t>The study tests the following null hypotheses:</w:t>
      </w:r>
    </w:p>
    <w:p w14:paraId="48234F3D" w14:textId="77777777" w:rsidR="00354394" w:rsidRDefault="00354394" w:rsidP="00873065">
      <w:pPr>
        <w:pStyle w:val="NormalWeb"/>
        <w:numPr>
          <w:ilvl w:val="0"/>
          <w:numId w:val="8"/>
        </w:numPr>
        <w:spacing w:before="0" w:beforeAutospacing="0" w:after="0" w:afterAutospacing="0" w:line="360" w:lineRule="auto"/>
        <w:jc w:val="both"/>
      </w:pPr>
      <w:r>
        <w:rPr>
          <w:rStyle w:val="Strong"/>
        </w:rPr>
        <w:t>H₀₁</w:t>
      </w:r>
      <w:r>
        <w:t>: Tax-to-GDP ratio has no significant effect on economic growth.</w:t>
      </w:r>
    </w:p>
    <w:p w14:paraId="0DA3C48F" w14:textId="77777777" w:rsidR="00354394" w:rsidRDefault="00354394" w:rsidP="00873065">
      <w:pPr>
        <w:pStyle w:val="NormalWeb"/>
        <w:numPr>
          <w:ilvl w:val="0"/>
          <w:numId w:val="8"/>
        </w:numPr>
        <w:spacing w:before="0" w:beforeAutospacing="0" w:after="0" w:afterAutospacing="0" w:line="360" w:lineRule="auto"/>
        <w:jc w:val="both"/>
      </w:pPr>
      <w:r>
        <w:rPr>
          <w:rStyle w:val="Strong"/>
        </w:rPr>
        <w:t>H₀₂</w:t>
      </w:r>
      <w:r>
        <w:t>: Debt-to-revenue ratio has no significant effect on economic growth.</w:t>
      </w:r>
    </w:p>
    <w:p w14:paraId="5EB85CEB" w14:textId="77777777" w:rsidR="00354394" w:rsidRDefault="00354394" w:rsidP="00873065">
      <w:pPr>
        <w:pStyle w:val="NormalWeb"/>
        <w:numPr>
          <w:ilvl w:val="0"/>
          <w:numId w:val="8"/>
        </w:numPr>
        <w:spacing w:before="0" w:beforeAutospacing="0" w:after="0" w:afterAutospacing="0" w:line="360" w:lineRule="auto"/>
        <w:jc w:val="both"/>
      </w:pPr>
      <w:r>
        <w:rPr>
          <w:rStyle w:val="Strong"/>
        </w:rPr>
        <w:t>H₀₃</w:t>
      </w:r>
      <w:r>
        <w:t>: Fiscal balance has no significant effect on economic growth.</w:t>
      </w:r>
    </w:p>
    <w:p w14:paraId="61D17B56" w14:textId="77777777" w:rsidR="00354394" w:rsidRDefault="00354394" w:rsidP="00873065">
      <w:pPr>
        <w:pStyle w:val="NormalWeb"/>
        <w:spacing w:line="360" w:lineRule="auto"/>
        <w:jc w:val="both"/>
      </w:pPr>
      <w:r>
        <w:t xml:space="preserve">Both </w:t>
      </w:r>
      <w:r w:rsidRPr="00873065">
        <w:rPr>
          <w:rStyle w:val="Strong"/>
          <w:b w:val="0"/>
        </w:rPr>
        <w:t>t-tests</w:t>
      </w:r>
      <w:r>
        <w:t xml:space="preserve"> (for individual parameter significance) and the </w:t>
      </w:r>
      <w:r w:rsidRPr="00873065">
        <w:rPr>
          <w:rStyle w:val="Strong"/>
          <w:b w:val="0"/>
        </w:rPr>
        <w:t>F-test</w:t>
      </w:r>
      <w:r>
        <w:t xml:space="preserve"> (for joint significance) are employed. Statistical significance is assessed at the 5% level; thus, a p-value &lt; 0.05 leads to rejection of the null hypothesis.</w:t>
      </w:r>
    </w:p>
    <w:p w14:paraId="3C757586" w14:textId="77777777" w:rsidR="00A32F9F" w:rsidRPr="00FD110A" w:rsidRDefault="00A32F9F" w:rsidP="00A32F9F">
      <w:pPr>
        <w:rPr>
          <w:rFonts w:ascii="Times New Roman" w:hAnsi="Times New Roman" w:cs="Times New Roman"/>
          <w:sz w:val="28"/>
          <w:szCs w:val="28"/>
        </w:rPr>
      </w:pPr>
      <w:r w:rsidRPr="00FD110A">
        <w:rPr>
          <w:rStyle w:val="Strong"/>
          <w:rFonts w:ascii="Times New Roman" w:hAnsi="Times New Roman" w:cs="Times New Roman"/>
          <w:sz w:val="28"/>
          <w:szCs w:val="28"/>
        </w:rPr>
        <w:t>4. RESULTS AND FINDINGS</w:t>
      </w:r>
    </w:p>
    <w:p w14:paraId="012A6303" w14:textId="77777777" w:rsidR="00354394" w:rsidRPr="00310F02" w:rsidRDefault="00A32F9F" w:rsidP="00E858A5">
      <w:pPr>
        <w:tabs>
          <w:tab w:val="left" w:pos="720"/>
          <w:tab w:val="left" w:pos="1440"/>
          <w:tab w:val="left" w:pos="2160"/>
          <w:tab w:val="left" w:pos="3972"/>
        </w:tabs>
        <w:spacing w:before="120" w:after="0" w:line="360" w:lineRule="auto"/>
        <w:jc w:val="both"/>
        <w:rPr>
          <w:rFonts w:ascii="Times New Roman" w:hAnsi="Times New Roman"/>
          <w:b/>
        </w:rPr>
      </w:pPr>
      <w:r>
        <w:rPr>
          <w:rFonts w:ascii="Times New Roman" w:hAnsi="Times New Roman"/>
          <w:b/>
        </w:rPr>
        <w:t>4.1</w:t>
      </w:r>
      <w:r w:rsidR="00354394">
        <w:rPr>
          <w:rFonts w:ascii="Times New Roman" w:hAnsi="Times New Roman"/>
          <w:b/>
        </w:rPr>
        <w:t xml:space="preserve"> </w:t>
      </w:r>
      <w:r w:rsidR="00354394">
        <w:rPr>
          <w:rFonts w:ascii="Times New Roman" w:hAnsi="Times New Roman"/>
          <w:b/>
        </w:rPr>
        <w:tab/>
        <w:t xml:space="preserve">Data </w:t>
      </w:r>
      <w:r w:rsidR="00354394" w:rsidRPr="00310F02">
        <w:rPr>
          <w:rFonts w:ascii="Times New Roman" w:hAnsi="Times New Roman"/>
          <w:b/>
        </w:rPr>
        <w:t>Analysis</w:t>
      </w:r>
      <w:r w:rsidR="00354394" w:rsidRPr="00310F02">
        <w:rPr>
          <w:rFonts w:ascii="Times New Roman" w:hAnsi="Times New Roman"/>
          <w:b/>
        </w:rPr>
        <w:tab/>
      </w:r>
      <w:r w:rsidR="00354394" w:rsidRPr="00310F02">
        <w:rPr>
          <w:rFonts w:ascii="Times New Roman" w:hAnsi="Times New Roman"/>
          <w:b/>
        </w:rPr>
        <w:tab/>
      </w:r>
    </w:p>
    <w:p w14:paraId="52250896" w14:textId="137B7195" w:rsidR="00354394" w:rsidRPr="00310F02" w:rsidRDefault="00354394" w:rsidP="00E858A5">
      <w:pPr>
        <w:shd w:val="clear" w:color="auto" w:fill="FFFFFF"/>
        <w:autoSpaceDE w:val="0"/>
        <w:autoSpaceDN w:val="0"/>
        <w:adjustRightInd w:val="0"/>
        <w:spacing w:after="0" w:line="360" w:lineRule="auto"/>
        <w:jc w:val="both"/>
        <w:rPr>
          <w:rFonts w:ascii="Times New Roman" w:hAnsi="Times New Roman"/>
          <w:color w:val="000000"/>
        </w:rPr>
      </w:pPr>
      <w:r w:rsidRPr="00310F02">
        <w:rPr>
          <w:rFonts w:ascii="Times New Roman" w:hAnsi="Times New Roman"/>
          <w:color w:val="000000"/>
        </w:rPr>
        <w:t>Table 1 repor</w:t>
      </w:r>
      <w:r>
        <w:rPr>
          <w:rFonts w:ascii="Times New Roman" w:hAnsi="Times New Roman"/>
          <w:color w:val="000000"/>
        </w:rPr>
        <w:t>ts the results of the unit test</w:t>
      </w:r>
      <w:r w:rsidRPr="00310F02">
        <w:rPr>
          <w:rFonts w:ascii="Times New Roman" w:hAnsi="Times New Roman"/>
          <w:color w:val="000000"/>
        </w:rPr>
        <w:t xml:space="preserve"> using the Augmented Dickey Fuller (ADF) unit root test. The test is summarized as follows:</w:t>
      </w:r>
    </w:p>
    <w:p w14:paraId="71C7398F" w14:textId="77777777" w:rsidR="00354394" w:rsidRPr="00310F02" w:rsidRDefault="00354394" w:rsidP="00354394">
      <w:pPr>
        <w:shd w:val="clear" w:color="auto" w:fill="FFFFFF"/>
        <w:autoSpaceDE w:val="0"/>
        <w:autoSpaceDN w:val="0"/>
        <w:adjustRightInd w:val="0"/>
        <w:spacing w:after="0" w:line="360" w:lineRule="auto"/>
        <w:jc w:val="both"/>
        <w:rPr>
          <w:rFonts w:ascii="Times New Roman" w:hAnsi="Times New Roman"/>
          <w:b/>
          <w:bCs/>
          <w:color w:val="000000"/>
        </w:rPr>
      </w:pPr>
      <w:r w:rsidRPr="00310F02">
        <w:rPr>
          <w:rFonts w:ascii="Times New Roman" w:hAnsi="Times New Roman"/>
          <w:b/>
          <w:bCs/>
          <w:color w:val="000000"/>
        </w:rPr>
        <w:t>4.</w:t>
      </w:r>
      <w:r>
        <w:rPr>
          <w:rFonts w:ascii="Times New Roman" w:hAnsi="Times New Roman"/>
          <w:b/>
          <w:bCs/>
          <w:color w:val="000000"/>
        </w:rPr>
        <w:t>2</w:t>
      </w:r>
      <w:r w:rsidRPr="00310F02">
        <w:rPr>
          <w:rFonts w:ascii="Times New Roman" w:hAnsi="Times New Roman"/>
          <w:b/>
          <w:bCs/>
          <w:color w:val="000000"/>
        </w:rPr>
        <w:t>.1</w:t>
      </w:r>
      <w:r w:rsidRPr="00310F02">
        <w:rPr>
          <w:rFonts w:ascii="Times New Roman" w:hAnsi="Times New Roman"/>
          <w:b/>
          <w:bCs/>
          <w:color w:val="000000"/>
        </w:rPr>
        <w:tab/>
        <w:t>Unit Root Test</w:t>
      </w:r>
    </w:p>
    <w:p w14:paraId="02F80ACE" w14:textId="6779CD64" w:rsidR="00354394" w:rsidRPr="00310F02" w:rsidRDefault="00354394" w:rsidP="00354394">
      <w:pPr>
        <w:shd w:val="clear" w:color="auto" w:fill="FFFFFF"/>
        <w:autoSpaceDE w:val="0"/>
        <w:autoSpaceDN w:val="0"/>
        <w:adjustRightInd w:val="0"/>
        <w:spacing w:after="0" w:line="360" w:lineRule="auto"/>
        <w:jc w:val="both"/>
        <w:rPr>
          <w:rFonts w:ascii="Times New Roman" w:hAnsi="Times New Roman"/>
          <w:b/>
          <w:bCs/>
          <w:color w:val="000000"/>
        </w:rPr>
      </w:pPr>
      <w:r w:rsidRPr="00310F02">
        <w:rPr>
          <w:rFonts w:ascii="Times New Roman" w:hAnsi="Times New Roman"/>
          <w:b/>
          <w:bCs/>
          <w:color w:val="000000"/>
        </w:rPr>
        <w:t xml:space="preserve">Table </w:t>
      </w:r>
      <w:r>
        <w:rPr>
          <w:rFonts w:ascii="Times New Roman" w:hAnsi="Times New Roman"/>
          <w:b/>
          <w:bCs/>
          <w:color w:val="000000"/>
        </w:rPr>
        <w:t>2</w:t>
      </w:r>
      <w:r w:rsidRPr="00310F02">
        <w:rPr>
          <w:rFonts w:ascii="Times New Roman" w:hAnsi="Times New Roman"/>
          <w:b/>
          <w:bCs/>
          <w:color w:val="000000"/>
        </w:rPr>
        <w:t>: Summary of Unit Root Test Result</w:t>
      </w:r>
    </w:p>
    <w:tbl>
      <w:tblPr>
        <w:tblStyle w:val="TableGrid2"/>
        <w:tblW w:w="9083" w:type="dxa"/>
        <w:tblInd w:w="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1316"/>
        <w:gridCol w:w="1698"/>
        <w:gridCol w:w="2836"/>
        <w:gridCol w:w="1530"/>
      </w:tblGrid>
      <w:tr w:rsidR="00354394" w:rsidRPr="00485BC6" w14:paraId="234726D9" w14:textId="77777777" w:rsidTr="00B95DD6">
        <w:trPr>
          <w:trHeight w:val="109"/>
        </w:trPr>
        <w:tc>
          <w:tcPr>
            <w:tcW w:w="1703" w:type="dxa"/>
            <w:tcBorders>
              <w:bottom w:val="nil"/>
            </w:tcBorders>
          </w:tcPr>
          <w:p w14:paraId="00C32B06" w14:textId="77777777" w:rsidR="00354394" w:rsidRPr="00485BC6" w:rsidRDefault="00354394" w:rsidP="00B95DD6">
            <w:pPr>
              <w:autoSpaceDE w:val="0"/>
              <w:autoSpaceDN w:val="0"/>
              <w:adjustRightInd w:val="0"/>
              <w:jc w:val="both"/>
              <w:rPr>
                <w:rFonts w:ascii="Times New Roman" w:hAnsi="Times New Roman"/>
                <w:b/>
              </w:rPr>
            </w:pPr>
          </w:p>
        </w:tc>
        <w:tc>
          <w:tcPr>
            <w:tcW w:w="3014" w:type="dxa"/>
            <w:gridSpan w:val="2"/>
            <w:tcBorders>
              <w:bottom w:val="nil"/>
            </w:tcBorders>
          </w:tcPr>
          <w:p w14:paraId="5A5642C6"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ADF Test statistics</w:t>
            </w:r>
          </w:p>
        </w:tc>
        <w:tc>
          <w:tcPr>
            <w:tcW w:w="4366" w:type="dxa"/>
            <w:gridSpan w:val="2"/>
            <w:tcBorders>
              <w:bottom w:val="nil"/>
            </w:tcBorders>
          </w:tcPr>
          <w:p w14:paraId="3A4C7C3E" w14:textId="77777777" w:rsidR="00354394" w:rsidRPr="00485BC6" w:rsidRDefault="00354394" w:rsidP="00B95DD6">
            <w:pPr>
              <w:autoSpaceDE w:val="0"/>
              <w:autoSpaceDN w:val="0"/>
              <w:adjustRightInd w:val="0"/>
              <w:jc w:val="both"/>
              <w:rPr>
                <w:rFonts w:ascii="Times New Roman" w:hAnsi="Times New Roman"/>
                <w:b/>
              </w:rPr>
            </w:pPr>
          </w:p>
        </w:tc>
      </w:tr>
      <w:tr w:rsidR="00354394" w:rsidRPr="00485BC6" w14:paraId="28B09E1E" w14:textId="77777777" w:rsidTr="00B95DD6">
        <w:tc>
          <w:tcPr>
            <w:tcW w:w="1703" w:type="dxa"/>
            <w:tcBorders>
              <w:top w:val="nil"/>
              <w:bottom w:val="single" w:sz="4" w:space="0" w:color="auto"/>
            </w:tcBorders>
          </w:tcPr>
          <w:p w14:paraId="7BAA21E1"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Variable</w:t>
            </w:r>
          </w:p>
        </w:tc>
        <w:tc>
          <w:tcPr>
            <w:tcW w:w="1316" w:type="dxa"/>
            <w:tcBorders>
              <w:top w:val="nil"/>
              <w:bottom w:val="single" w:sz="4" w:space="0" w:color="auto"/>
            </w:tcBorders>
          </w:tcPr>
          <w:p w14:paraId="48E2A6C7"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At Level</w:t>
            </w:r>
          </w:p>
        </w:tc>
        <w:tc>
          <w:tcPr>
            <w:tcW w:w="1698" w:type="dxa"/>
            <w:tcBorders>
              <w:top w:val="nil"/>
              <w:bottom w:val="single" w:sz="4" w:space="0" w:color="auto"/>
            </w:tcBorders>
          </w:tcPr>
          <w:p w14:paraId="3A250BD1"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1</w:t>
            </w:r>
            <w:r w:rsidRPr="00485BC6">
              <w:rPr>
                <w:rFonts w:ascii="Times New Roman" w:hAnsi="Times New Roman"/>
                <w:b/>
                <w:vertAlign w:val="superscript"/>
              </w:rPr>
              <w:t>st</w:t>
            </w:r>
            <w:r w:rsidRPr="00485BC6">
              <w:rPr>
                <w:rFonts w:ascii="Times New Roman" w:hAnsi="Times New Roman"/>
                <w:b/>
              </w:rPr>
              <w:t xml:space="preserve"> Difference</w:t>
            </w:r>
          </w:p>
        </w:tc>
        <w:tc>
          <w:tcPr>
            <w:tcW w:w="2836" w:type="dxa"/>
            <w:tcBorders>
              <w:top w:val="nil"/>
              <w:bottom w:val="single" w:sz="4" w:space="0" w:color="auto"/>
            </w:tcBorders>
          </w:tcPr>
          <w:p w14:paraId="3A431D81"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Decision</w:t>
            </w:r>
          </w:p>
        </w:tc>
        <w:tc>
          <w:tcPr>
            <w:tcW w:w="1530" w:type="dxa"/>
            <w:tcBorders>
              <w:top w:val="nil"/>
              <w:bottom w:val="single" w:sz="4" w:space="0" w:color="auto"/>
            </w:tcBorders>
          </w:tcPr>
          <w:p w14:paraId="3BCFA9C4" w14:textId="77777777" w:rsidR="00354394" w:rsidRPr="00485BC6" w:rsidRDefault="00354394" w:rsidP="00B95DD6">
            <w:pPr>
              <w:autoSpaceDE w:val="0"/>
              <w:autoSpaceDN w:val="0"/>
              <w:adjustRightInd w:val="0"/>
              <w:jc w:val="both"/>
              <w:rPr>
                <w:rFonts w:ascii="Times New Roman" w:hAnsi="Times New Roman"/>
                <w:b/>
              </w:rPr>
            </w:pPr>
            <w:r w:rsidRPr="00485BC6">
              <w:rPr>
                <w:rFonts w:ascii="Times New Roman" w:hAnsi="Times New Roman"/>
                <w:b/>
              </w:rPr>
              <w:t>Order of Integration</w:t>
            </w:r>
          </w:p>
        </w:tc>
      </w:tr>
      <w:tr w:rsidR="00354394" w:rsidRPr="00485BC6" w14:paraId="0047277A" w14:textId="77777777" w:rsidTr="00B95DD6">
        <w:tc>
          <w:tcPr>
            <w:tcW w:w="1703" w:type="dxa"/>
            <w:tcBorders>
              <w:top w:val="single" w:sz="4" w:space="0" w:color="auto"/>
            </w:tcBorders>
          </w:tcPr>
          <w:p w14:paraId="1AAEBD8B"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RGDP</w:t>
            </w:r>
          </w:p>
        </w:tc>
        <w:tc>
          <w:tcPr>
            <w:tcW w:w="1316" w:type="dxa"/>
            <w:tcBorders>
              <w:top w:val="single" w:sz="4" w:space="0" w:color="auto"/>
            </w:tcBorders>
          </w:tcPr>
          <w:p w14:paraId="3CAA2C67"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-1.</w:t>
            </w:r>
            <w:r>
              <w:rPr>
                <w:rFonts w:ascii="Times New Roman" w:hAnsi="Times New Roman"/>
              </w:rPr>
              <w:t>567851</w:t>
            </w:r>
          </w:p>
        </w:tc>
        <w:tc>
          <w:tcPr>
            <w:tcW w:w="1698" w:type="dxa"/>
            <w:tcBorders>
              <w:top w:val="single" w:sz="4" w:space="0" w:color="auto"/>
            </w:tcBorders>
          </w:tcPr>
          <w:p w14:paraId="67763A04"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-3.</w:t>
            </w:r>
            <w:r>
              <w:rPr>
                <w:rFonts w:ascii="Times New Roman" w:hAnsi="Times New Roman"/>
              </w:rPr>
              <w:t>456743</w:t>
            </w:r>
          </w:p>
        </w:tc>
        <w:tc>
          <w:tcPr>
            <w:tcW w:w="2836" w:type="dxa"/>
            <w:tcBorders>
              <w:top w:val="single" w:sz="4" w:space="0" w:color="auto"/>
            </w:tcBorders>
          </w:tcPr>
          <w:p w14:paraId="3D9C9A0C"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Borders>
              <w:top w:val="single" w:sz="4" w:space="0" w:color="auto"/>
            </w:tcBorders>
          </w:tcPr>
          <w:p w14:paraId="3BCE9C18"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7FC5AD85" w14:textId="77777777" w:rsidTr="00B95DD6">
        <w:tc>
          <w:tcPr>
            <w:tcW w:w="1703" w:type="dxa"/>
          </w:tcPr>
          <w:p w14:paraId="44C2363B"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TAX-GDP</w:t>
            </w:r>
          </w:p>
        </w:tc>
        <w:tc>
          <w:tcPr>
            <w:tcW w:w="1316" w:type="dxa"/>
          </w:tcPr>
          <w:p w14:paraId="69A75724"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0.</w:t>
            </w:r>
            <w:r>
              <w:rPr>
                <w:rFonts w:ascii="Times New Roman" w:hAnsi="Times New Roman"/>
              </w:rPr>
              <w:t>567896</w:t>
            </w:r>
          </w:p>
        </w:tc>
        <w:tc>
          <w:tcPr>
            <w:tcW w:w="1698" w:type="dxa"/>
          </w:tcPr>
          <w:p w14:paraId="53C6E2E8"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w:t>
            </w:r>
            <w:r>
              <w:rPr>
                <w:rFonts w:ascii="Times New Roman" w:hAnsi="Times New Roman"/>
              </w:rPr>
              <w:t>5</w:t>
            </w:r>
            <w:r w:rsidRPr="00485BC6">
              <w:rPr>
                <w:rFonts w:ascii="Times New Roman" w:hAnsi="Times New Roman"/>
              </w:rPr>
              <w:t>.</w:t>
            </w:r>
            <w:r>
              <w:rPr>
                <w:rFonts w:ascii="Times New Roman" w:hAnsi="Times New Roman"/>
              </w:rPr>
              <w:t>344678</w:t>
            </w:r>
          </w:p>
        </w:tc>
        <w:tc>
          <w:tcPr>
            <w:tcW w:w="2836" w:type="dxa"/>
          </w:tcPr>
          <w:p w14:paraId="0FFBCE87"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Pr>
          <w:p w14:paraId="4A2EC844"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1D9BF4D8" w14:textId="77777777" w:rsidTr="00B95DD6">
        <w:tc>
          <w:tcPr>
            <w:tcW w:w="1703" w:type="dxa"/>
            <w:tcBorders>
              <w:bottom w:val="nil"/>
            </w:tcBorders>
          </w:tcPr>
          <w:p w14:paraId="5D9EB8D5"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DBT-REV</w:t>
            </w:r>
          </w:p>
        </w:tc>
        <w:tc>
          <w:tcPr>
            <w:tcW w:w="1316" w:type="dxa"/>
            <w:tcBorders>
              <w:bottom w:val="nil"/>
            </w:tcBorders>
          </w:tcPr>
          <w:p w14:paraId="2D25A46A"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w:t>
            </w:r>
            <w:r>
              <w:rPr>
                <w:rFonts w:ascii="Times New Roman" w:hAnsi="Times New Roman"/>
              </w:rPr>
              <w:t>0</w:t>
            </w:r>
            <w:r w:rsidRPr="00485BC6">
              <w:rPr>
                <w:rFonts w:ascii="Times New Roman" w:hAnsi="Times New Roman"/>
              </w:rPr>
              <w:t>.</w:t>
            </w:r>
            <w:r>
              <w:rPr>
                <w:rFonts w:ascii="Times New Roman" w:hAnsi="Times New Roman"/>
              </w:rPr>
              <w:t>657966</w:t>
            </w:r>
          </w:p>
        </w:tc>
        <w:tc>
          <w:tcPr>
            <w:tcW w:w="1698" w:type="dxa"/>
            <w:tcBorders>
              <w:bottom w:val="nil"/>
            </w:tcBorders>
          </w:tcPr>
          <w:p w14:paraId="1821329A"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-6.829805</w:t>
            </w:r>
          </w:p>
        </w:tc>
        <w:tc>
          <w:tcPr>
            <w:tcW w:w="2836" w:type="dxa"/>
            <w:tcBorders>
              <w:bottom w:val="nil"/>
            </w:tcBorders>
          </w:tcPr>
          <w:p w14:paraId="4C9F0B59"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Borders>
              <w:bottom w:val="nil"/>
            </w:tcBorders>
          </w:tcPr>
          <w:p w14:paraId="0C83212A"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683F4BD4" w14:textId="77777777" w:rsidTr="00B95DD6">
        <w:tc>
          <w:tcPr>
            <w:tcW w:w="1703" w:type="dxa"/>
            <w:tcBorders>
              <w:top w:val="nil"/>
              <w:bottom w:val="single" w:sz="4" w:space="0" w:color="auto"/>
            </w:tcBorders>
          </w:tcPr>
          <w:p w14:paraId="030CB8DF"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rPr>
              <w:t>FISCB</w:t>
            </w:r>
          </w:p>
        </w:tc>
        <w:tc>
          <w:tcPr>
            <w:tcW w:w="1316" w:type="dxa"/>
            <w:tcBorders>
              <w:top w:val="nil"/>
              <w:bottom w:val="single" w:sz="4" w:space="0" w:color="auto"/>
            </w:tcBorders>
          </w:tcPr>
          <w:p w14:paraId="1A1CF18B"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-1.366728</w:t>
            </w:r>
          </w:p>
        </w:tc>
        <w:tc>
          <w:tcPr>
            <w:tcW w:w="1698" w:type="dxa"/>
            <w:tcBorders>
              <w:top w:val="nil"/>
              <w:bottom w:val="single" w:sz="4" w:space="0" w:color="auto"/>
            </w:tcBorders>
          </w:tcPr>
          <w:p w14:paraId="636B339E"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-7.</w:t>
            </w:r>
            <w:r>
              <w:rPr>
                <w:rFonts w:ascii="Times New Roman" w:hAnsi="Times New Roman"/>
              </w:rPr>
              <w:t>345678</w:t>
            </w:r>
          </w:p>
        </w:tc>
        <w:tc>
          <w:tcPr>
            <w:tcW w:w="2836" w:type="dxa"/>
            <w:tcBorders>
              <w:top w:val="nil"/>
              <w:bottom w:val="single" w:sz="4" w:space="0" w:color="auto"/>
            </w:tcBorders>
          </w:tcPr>
          <w:p w14:paraId="22A8283D"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Stationary at 1</w:t>
            </w:r>
            <w:r w:rsidRPr="00485BC6">
              <w:rPr>
                <w:rFonts w:ascii="Times New Roman" w:hAnsi="Times New Roman"/>
                <w:vertAlign w:val="superscript"/>
              </w:rPr>
              <w:t>st</w:t>
            </w:r>
            <w:r w:rsidRPr="00485BC6">
              <w:rPr>
                <w:rFonts w:ascii="Times New Roman" w:hAnsi="Times New Roman"/>
              </w:rPr>
              <w:t xml:space="preserve"> difference</w:t>
            </w:r>
          </w:p>
        </w:tc>
        <w:tc>
          <w:tcPr>
            <w:tcW w:w="1530" w:type="dxa"/>
            <w:tcBorders>
              <w:top w:val="nil"/>
              <w:bottom w:val="single" w:sz="4" w:space="0" w:color="auto"/>
            </w:tcBorders>
          </w:tcPr>
          <w:p w14:paraId="281C7EF5" w14:textId="77777777" w:rsidR="00354394" w:rsidRPr="00485BC6" w:rsidRDefault="00354394" w:rsidP="00B95DD6">
            <w:pPr>
              <w:autoSpaceDE w:val="0"/>
              <w:autoSpaceDN w:val="0"/>
              <w:adjustRightInd w:val="0"/>
              <w:jc w:val="both"/>
              <w:rPr>
                <w:rFonts w:ascii="Times New Roman" w:hAnsi="Times New Roman"/>
              </w:rPr>
            </w:pPr>
            <w:r w:rsidRPr="00485BC6">
              <w:rPr>
                <w:rFonts w:ascii="Times New Roman" w:hAnsi="Times New Roman"/>
              </w:rPr>
              <w:t>I(1)</w:t>
            </w:r>
          </w:p>
        </w:tc>
      </w:tr>
      <w:tr w:rsidR="00354394" w:rsidRPr="00485BC6" w14:paraId="2366668B" w14:textId="77777777" w:rsidTr="00B95DD6">
        <w:trPr>
          <w:trHeight w:val="152"/>
        </w:trPr>
        <w:tc>
          <w:tcPr>
            <w:tcW w:w="9083" w:type="dxa"/>
            <w:gridSpan w:val="5"/>
            <w:tcBorders>
              <w:top w:val="single" w:sz="4" w:space="0" w:color="auto"/>
            </w:tcBorders>
          </w:tcPr>
          <w:p w14:paraId="5F4CE126" w14:textId="77777777" w:rsidR="00354394" w:rsidRPr="00485BC6" w:rsidRDefault="00354394" w:rsidP="00B95DD6">
            <w:pPr>
              <w:autoSpaceDE w:val="0"/>
              <w:autoSpaceDN w:val="0"/>
              <w:adjustRightInd w:val="0"/>
              <w:jc w:val="both"/>
              <w:rPr>
                <w:rFonts w:ascii="Times New Roman" w:hAnsi="Times New Roman"/>
              </w:rPr>
            </w:pPr>
            <w:r>
              <w:rPr>
                <w:rFonts w:ascii="Times New Roman" w:hAnsi="Times New Roman"/>
                <w:i/>
              </w:rPr>
              <w:t xml:space="preserve">Critical value at 5% level = </w:t>
            </w:r>
            <w:r w:rsidRPr="00485BC6">
              <w:rPr>
                <w:rFonts w:ascii="Times New Roman" w:hAnsi="Times New Roman"/>
                <w:i/>
              </w:rPr>
              <w:t>-2.945842</w:t>
            </w:r>
          </w:p>
        </w:tc>
      </w:tr>
    </w:tbl>
    <w:p w14:paraId="2A78A004" w14:textId="77777777" w:rsidR="00354394" w:rsidRPr="00FE7A20" w:rsidRDefault="00354394" w:rsidP="00354394">
      <w:pPr>
        <w:shd w:val="clear" w:color="auto" w:fill="FFFFFF"/>
        <w:autoSpaceDE w:val="0"/>
        <w:autoSpaceDN w:val="0"/>
        <w:adjustRightInd w:val="0"/>
        <w:spacing w:after="0" w:line="240" w:lineRule="auto"/>
        <w:jc w:val="both"/>
        <w:rPr>
          <w:rFonts w:ascii="Times New Roman" w:hAnsi="Times New Roman"/>
        </w:rPr>
      </w:pPr>
      <w:r w:rsidRPr="00FE7A20">
        <w:rPr>
          <w:rFonts w:ascii="Times New Roman" w:hAnsi="Times New Roman"/>
          <w:b/>
          <w:color w:val="000000"/>
        </w:rPr>
        <w:t>Source:</w:t>
      </w:r>
      <w:r w:rsidRPr="00FE7A20">
        <w:rPr>
          <w:rFonts w:ascii="Times New Roman" w:hAnsi="Times New Roman"/>
          <w:color w:val="000000"/>
        </w:rPr>
        <w:t xml:space="preserve"> Researchers’ Computation using E-Views 9.0</w:t>
      </w:r>
    </w:p>
    <w:p w14:paraId="709F71CC" w14:textId="77777777" w:rsidR="00E858A5" w:rsidRPr="00E858A5" w:rsidRDefault="00E858A5" w:rsidP="00354394">
      <w:pPr>
        <w:shd w:val="clear" w:color="auto" w:fill="FFFFFF"/>
        <w:autoSpaceDE w:val="0"/>
        <w:autoSpaceDN w:val="0"/>
        <w:adjustRightInd w:val="0"/>
        <w:spacing w:before="120" w:after="0" w:line="360" w:lineRule="auto"/>
        <w:jc w:val="both"/>
        <w:rPr>
          <w:rFonts w:ascii="Times New Roman" w:hAnsi="Times New Roman" w:cs="Times New Roman"/>
          <w:sz w:val="24"/>
          <w:szCs w:val="24"/>
        </w:rPr>
      </w:pPr>
      <w:r w:rsidRPr="00E858A5">
        <w:rPr>
          <w:rFonts w:ascii="Times New Roman" w:hAnsi="Times New Roman" w:cs="Times New Roman"/>
          <w:sz w:val="24"/>
          <w:szCs w:val="24"/>
        </w:rPr>
        <w:t xml:space="preserve">The unit root test results indicate that all variables become stationary after first differencing, suggesting they are integrated of order one, </w:t>
      </w:r>
      <w:proofErr w:type="gramStart"/>
      <w:r w:rsidRPr="00E858A5">
        <w:rPr>
          <w:rFonts w:ascii="Times New Roman" w:hAnsi="Times New Roman" w:cs="Times New Roman"/>
          <w:sz w:val="24"/>
          <w:szCs w:val="24"/>
        </w:rPr>
        <w:t>I(</w:t>
      </w:r>
      <w:proofErr w:type="gramEnd"/>
      <w:r w:rsidRPr="00E858A5">
        <w:rPr>
          <w:rFonts w:ascii="Times New Roman" w:hAnsi="Times New Roman" w:cs="Times New Roman"/>
          <w:sz w:val="24"/>
          <w:szCs w:val="24"/>
        </w:rPr>
        <w:t>1). Given this outcome, it is appropriate to proceed with testing for the existence of a long-run equilibrium relationship among the variables.</w:t>
      </w:r>
    </w:p>
    <w:p w14:paraId="2FDD8FBA" w14:textId="77777777" w:rsidR="00354394" w:rsidRPr="00FE7A20" w:rsidRDefault="00354394" w:rsidP="00354394">
      <w:pPr>
        <w:shd w:val="clear" w:color="auto" w:fill="FFFFFF"/>
        <w:autoSpaceDE w:val="0"/>
        <w:autoSpaceDN w:val="0"/>
        <w:adjustRightInd w:val="0"/>
        <w:spacing w:before="120" w:after="0" w:line="360" w:lineRule="auto"/>
        <w:jc w:val="both"/>
        <w:rPr>
          <w:rFonts w:ascii="Times New Roman" w:hAnsi="Times New Roman"/>
          <w:b/>
          <w:bCs/>
          <w:color w:val="000000"/>
        </w:rPr>
      </w:pPr>
      <w:r w:rsidRPr="00FE7A20">
        <w:rPr>
          <w:rFonts w:ascii="Times New Roman" w:hAnsi="Times New Roman"/>
          <w:b/>
          <w:bCs/>
          <w:color w:val="000000"/>
        </w:rPr>
        <w:lastRenderedPageBreak/>
        <w:t>4.</w:t>
      </w:r>
      <w:r>
        <w:rPr>
          <w:rFonts w:ascii="Times New Roman" w:hAnsi="Times New Roman"/>
          <w:b/>
          <w:bCs/>
          <w:color w:val="000000"/>
        </w:rPr>
        <w:t>2</w:t>
      </w:r>
      <w:r w:rsidRPr="00FE7A20">
        <w:rPr>
          <w:rFonts w:ascii="Times New Roman" w:hAnsi="Times New Roman"/>
          <w:b/>
          <w:bCs/>
          <w:color w:val="000000"/>
        </w:rPr>
        <w:t>.2</w:t>
      </w:r>
      <w:r w:rsidRPr="00FE7A20">
        <w:rPr>
          <w:rFonts w:ascii="Times New Roman" w:hAnsi="Times New Roman"/>
          <w:b/>
          <w:bCs/>
          <w:color w:val="000000"/>
        </w:rPr>
        <w:tab/>
        <w:t>Johansen Cointegration Test</w:t>
      </w:r>
    </w:p>
    <w:p w14:paraId="61DFACB5" w14:textId="38C315B0" w:rsidR="00354394" w:rsidRPr="00FE7A20"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rPr>
      </w:pPr>
      <w:r w:rsidRPr="00FE7A20">
        <w:rPr>
          <w:rFonts w:ascii="Times New Roman" w:hAnsi="Times New Roman"/>
          <w:b/>
          <w:bCs/>
          <w:color w:val="000000"/>
        </w:rPr>
        <w:t xml:space="preserve">Table </w:t>
      </w:r>
      <w:r>
        <w:rPr>
          <w:rFonts w:ascii="Times New Roman" w:hAnsi="Times New Roman"/>
          <w:b/>
          <w:bCs/>
          <w:color w:val="000000"/>
        </w:rPr>
        <w:t>3</w:t>
      </w:r>
      <w:r w:rsidRPr="00FE7A20">
        <w:rPr>
          <w:rFonts w:ascii="Times New Roman" w:hAnsi="Times New Roman"/>
          <w:b/>
          <w:bCs/>
          <w:color w:val="000000"/>
        </w:rPr>
        <w:t>: Johansen Cointegration Test Results</w:t>
      </w:r>
    </w:p>
    <w:tbl>
      <w:tblPr>
        <w:tblStyle w:val="TableGrid2"/>
        <w:tblW w:w="9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350"/>
        <w:gridCol w:w="1316"/>
        <w:gridCol w:w="1316"/>
        <w:gridCol w:w="935"/>
        <w:gridCol w:w="1260"/>
        <w:gridCol w:w="1170"/>
        <w:gridCol w:w="935"/>
      </w:tblGrid>
      <w:tr w:rsidR="00354394" w:rsidRPr="001738CB" w14:paraId="11F9E277" w14:textId="77777777" w:rsidTr="00B95DD6">
        <w:trPr>
          <w:trHeight w:val="283"/>
        </w:trPr>
        <w:tc>
          <w:tcPr>
            <w:tcW w:w="6465" w:type="dxa"/>
            <w:gridSpan w:val="5"/>
            <w:tcBorders>
              <w:bottom w:val="nil"/>
            </w:tcBorders>
          </w:tcPr>
          <w:p w14:paraId="5CF1894C" w14:textId="77777777" w:rsidR="00354394" w:rsidRPr="001738CB" w:rsidRDefault="00354394" w:rsidP="00B95DD6">
            <w:pPr>
              <w:autoSpaceDE w:val="0"/>
              <w:autoSpaceDN w:val="0"/>
              <w:adjustRightInd w:val="0"/>
              <w:jc w:val="center"/>
              <w:rPr>
                <w:rFonts w:ascii="Times New Roman" w:hAnsi="Times New Roman"/>
                <w:b/>
              </w:rPr>
            </w:pPr>
            <w:r w:rsidRPr="001738CB">
              <w:rPr>
                <w:rFonts w:ascii="Times New Roman" w:hAnsi="Times New Roman"/>
                <w:b/>
              </w:rPr>
              <w:t>Trace Statistic</w:t>
            </w:r>
          </w:p>
        </w:tc>
        <w:tc>
          <w:tcPr>
            <w:tcW w:w="3365" w:type="dxa"/>
            <w:gridSpan w:val="3"/>
            <w:tcBorders>
              <w:bottom w:val="nil"/>
            </w:tcBorders>
          </w:tcPr>
          <w:p w14:paraId="392D17E1" w14:textId="77777777" w:rsidR="00354394" w:rsidRPr="001738CB" w:rsidRDefault="00354394" w:rsidP="00B95DD6">
            <w:pPr>
              <w:autoSpaceDE w:val="0"/>
              <w:autoSpaceDN w:val="0"/>
              <w:adjustRightInd w:val="0"/>
              <w:jc w:val="center"/>
              <w:rPr>
                <w:rFonts w:ascii="Times New Roman" w:hAnsi="Times New Roman"/>
                <w:b/>
              </w:rPr>
            </w:pPr>
            <w:r w:rsidRPr="001738CB">
              <w:rPr>
                <w:rFonts w:ascii="Times New Roman" w:hAnsi="Times New Roman"/>
                <w:b/>
              </w:rPr>
              <w:t>Max-Eigen Statistic</w:t>
            </w:r>
          </w:p>
        </w:tc>
      </w:tr>
      <w:tr w:rsidR="00354394" w:rsidRPr="001738CB" w14:paraId="7E14C4A1" w14:textId="77777777" w:rsidTr="00B95DD6">
        <w:trPr>
          <w:trHeight w:val="496"/>
        </w:trPr>
        <w:tc>
          <w:tcPr>
            <w:tcW w:w="1548" w:type="dxa"/>
            <w:tcBorders>
              <w:top w:val="nil"/>
              <w:bottom w:val="single" w:sz="4" w:space="0" w:color="auto"/>
            </w:tcBorders>
          </w:tcPr>
          <w:p w14:paraId="3A71ACE6"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Hypothesized No of CE (S)</w:t>
            </w:r>
          </w:p>
        </w:tc>
        <w:tc>
          <w:tcPr>
            <w:tcW w:w="1350" w:type="dxa"/>
            <w:tcBorders>
              <w:top w:val="nil"/>
              <w:bottom w:val="single" w:sz="4" w:space="0" w:color="auto"/>
            </w:tcBorders>
          </w:tcPr>
          <w:p w14:paraId="3602B9D7"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Eigen-Value</w:t>
            </w:r>
          </w:p>
        </w:tc>
        <w:tc>
          <w:tcPr>
            <w:tcW w:w="1316" w:type="dxa"/>
            <w:tcBorders>
              <w:top w:val="nil"/>
              <w:bottom w:val="single" w:sz="4" w:space="0" w:color="auto"/>
            </w:tcBorders>
          </w:tcPr>
          <w:p w14:paraId="21A02F1F"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Trace statistics</w:t>
            </w:r>
          </w:p>
        </w:tc>
        <w:tc>
          <w:tcPr>
            <w:tcW w:w="1316" w:type="dxa"/>
            <w:tcBorders>
              <w:top w:val="nil"/>
              <w:bottom w:val="single" w:sz="4" w:space="0" w:color="auto"/>
            </w:tcBorders>
          </w:tcPr>
          <w:p w14:paraId="193C6CB7"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5% Crit. Value</w:t>
            </w:r>
          </w:p>
        </w:tc>
        <w:tc>
          <w:tcPr>
            <w:tcW w:w="935" w:type="dxa"/>
            <w:tcBorders>
              <w:top w:val="nil"/>
              <w:bottom w:val="single" w:sz="4" w:space="0" w:color="auto"/>
            </w:tcBorders>
          </w:tcPr>
          <w:p w14:paraId="3E2361A7"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Prob**</w:t>
            </w:r>
          </w:p>
        </w:tc>
        <w:tc>
          <w:tcPr>
            <w:tcW w:w="1260" w:type="dxa"/>
            <w:tcBorders>
              <w:top w:val="nil"/>
              <w:bottom w:val="single" w:sz="4" w:space="0" w:color="auto"/>
            </w:tcBorders>
          </w:tcPr>
          <w:p w14:paraId="6E660DD8"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Max-Eigen statistics</w:t>
            </w:r>
          </w:p>
        </w:tc>
        <w:tc>
          <w:tcPr>
            <w:tcW w:w="1170" w:type="dxa"/>
            <w:tcBorders>
              <w:top w:val="nil"/>
              <w:bottom w:val="single" w:sz="4" w:space="0" w:color="auto"/>
            </w:tcBorders>
          </w:tcPr>
          <w:p w14:paraId="5C2E10ED"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5% Crit. value</w:t>
            </w:r>
          </w:p>
        </w:tc>
        <w:tc>
          <w:tcPr>
            <w:tcW w:w="935" w:type="dxa"/>
            <w:tcBorders>
              <w:top w:val="nil"/>
              <w:bottom w:val="single" w:sz="4" w:space="0" w:color="auto"/>
            </w:tcBorders>
          </w:tcPr>
          <w:p w14:paraId="6E4C3EDE" w14:textId="77777777" w:rsidR="00354394" w:rsidRPr="001738CB" w:rsidRDefault="00354394" w:rsidP="00B95DD6">
            <w:pPr>
              <w:autoSpaceDE w:val="0"/>
              <w:autoSpaceDN w:val="0"/>
              <w:adjustRightInd w:val="0"/>
              <w:jc w:val="both"/>
              <w:rPr>
                <w:rFonts w:ascii="Times New Roman" w:hAnsi="Times New Roman"/>
                <w:b/>
              </w:rPr>
            </w:pPr>
            <w:r w:rsidRPr="001738CB">
              <w:rPr>
                <w:rFonts w:ascii="Times New Roman" w:hAnsi="Times New Roman"/>
                <w:b/>
              </w:rPr>
              <w:t>Prob**</w:t>
            </w:r>
          </w:p>
        </w:tc>
      </w:tr>
      <w:tr w:rsidR="00354394" w:rsidRPr="001738CB" w14:paraId="24C24305" w14:textId="77777777" w:rsidTr="00B95DD6">
        <w:trPr>
          <w:trHeight w:val="341"/>
        </w:trPr>
        <w:tc>
          <w:tcPr>
            <w:tcW w:w="1548" w:type="dxa"/>
            <w:tcBorders>
              <w:top w:val="single" w:sz="4" w:space="0" w:color="auto"/>
            </w:tcBorders>
          </w:tcPr>
          <w:p w14:paraId="7DC84999"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None**</w:t>
            </w:r>
          </w:p>
        </w:tc>
        <w:tc>
          <w:tcPr>
            <w:tcW w:w="1350" w:type="dxa"/>
            <w:tcBorders>
              <w:top w:val="single" w:sz="4" w:space="0" w:color="auto"/>
            </w:tcBorders>
          </w:tcPr>
          <w:p w14:paraId="07BC6F31"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0.797909</w:t>
            </w:r>
          </w:p>
        </w:tc>
        <w:tc>
          <w:tcPr>
            <w:tcW w:w="1316" w:type="dxa"/>
            <w:tcBorders>
              <w:top w:val="single" w:sz="4" w:space="0" w:color="auto"/>
            </w:tcBorders>
          </w:tcPr>
          <w:p w14:paraId="630260F9"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129.3795</w:t>
            </w:r>
          </w:p>
        </w:tc>
        <w:tc>
          <w:tcPr>
            <w:tcW w:w="1316" w:type="dxa"/>
            <w:tcBorders>
              <w:top w:val="single" w:sz="4" w:space="0" w:color="auto"/>
            </w:tcBorders>
          </w:tcPr>
          <w:p w14:paraId="6D4F16CE"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95.75366</w:t>
            </w:r>
          </w:p>
        </w:tc>
        <w:tc>
          <w:tcPr>
            <w:tcW w:w="935" w:type="dxa"/>
            <w:tcBorders>
              <w:top w:val="single" w:sz="4" w:space="0" w:color="auto"/>
            </w:tcBorders>
          </w:tcPr>
          <w:p w14:paraId="0E2AE1B0"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0.0000</w:t>
            </w:r>
          </w:p>
        </w:tc>
        <w:tc>
          <w:tcPr>
            <w:tcW w:w="1260" w:type="dxa"/>
            <w:tcBorders>
              <w:top w:val="single" w:sz="4" w:space="0" w:color="auto"/>
            </w:tcBorders>
          </w:tcPr>
          <w:p w14:paraId="1E20D25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57.56533</w:t>
            </w:r>
          </w:p>
        </w:tc>
        <w:tc>
          <w:tcPr>
            <w:tcW w:w="1170" w:type="dxa"/>
            <w:tcBorders>
              <w:top w:val="single" w:sz="4" w:space="0" w:color="auto"/>
            </w:tcBorders>
          </w:tcPr>
          <w:p w14:paraId="6C3300D1"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40.07757</w:t>
            </w:r>
          </w:p>
        </w:tc>
        <w:tc>
          <w:tcPr>
            <w:tcW w:w="935" w:type="dxa"/>
            <w:tcBorders>
              <w:top w:val="single" w:sz="4" w:space="0" w:color="auto"/>
            </w:tcBorders>
          </w:tcPr>
          <w:p w14:paraId="7BB33341"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0.0002</w:t>
            </w:r>
          </w:p>
        </w:tc>
      </w:tr>
      <w:tr w:rsidR="00354394" w:rsidRPr="001738CB" w14:paraId="5052C11D" w14:textId="77777777" w:rsidTr="00B95DD6">
        <w:trPr>
          <w:trHeight w:val="359"/>
        </w:trPr>
        <w:tc>
          <w:tcPr>
            <w:tcW w:w="1548" w:type="dxa"/>
          </w:tcPr>
          <w:p w14:paraId="4B91DAC7"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At Most 1**</w:t>
            </w:r>
          </w:p>
        </w:tc>
        <w:tc>
          <w:tcPr>
            <w:tcW w:w="1350" w:type="dxa"/>
          </w:tcPr>
          <w:p w14:paraId="3582D478"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0.619562</w:t>
            </w:r>
          </w:p>
        </w:tc>
        <w:tc>
          <w:tcPr>
            <w:tcW w:w="1316" w:type="dxa"/>
          </w:tcPr>
          <w:p w14:paraId="771DC0B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71.81418</w:t>
            </w:r>
          </w:p>
        </w:tc>
        <w:tc>
          <w:tcPr>
            <w:tcW w:w="1316" w:type="dxa"/>
          </w:tcPr>
          <w:p w14:paraId="4B76B3AC"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69.81889</w:t>
            </w:r>
          </w:p>
        </w:tc>
        <w:tc>
          <w:tcPr>
            <w:tcW w:w="935" w:type="dxa"/>
          </w:tcPr>
          <w:p w14:paraId="23D7B81C"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0.0344</w:t>
            </w:r>
          </w:p>
        </w:tc>
        <w:tc>
          <w:tcPr>
            <w:tcW w:w="1260" w:type="dxa"/>
          </w:tcPr>
          <w:p w14:paraId="25BECFDB"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34.79157</w:t>
            </w:r>
          </w:p>
        </w:tc>
        <w:tc>
          <w:tcPr>
            <w:tcW w:w="1170" w:type="dxa"/>
          </w:tcPr>
          <w:p w14:paraId="2438DB8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33.87687</w:t>
            </w:r>
          </w:p>
        </w:tc>
        <w:tc>
          <w:tcPr>
            <w:tcW w:w="935" w:type="dxa"/>
          </w:tcPr>
          <w:p w14:paraId="344B85A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0.0388</w:t>
            </w:r>
          </w:p>
        </w:tc>
      </w:tr>
      <w:tr w:rsidR="00354394" w:rsidRPr="001738CB" w14:paraId="6E43BF9B" w14:textId="77777777" w:rsidTr="00B95DD6">
        <w:trPr>
          <w:trHeight w:val="350"/>
        </w:trPr>
        <w:tc>
          <w:tcPr>
            <w:tcW w:w="1548" w:type="dxa"/>
          </w:tcPr>
          <w:p w14:paraId="11C75BE4"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At Most 2</w:t>
            </w:r>
          </w:p>
        </w:tc>
        <w:tc>
          <w:tcPr>
            <w:tcW w:w="1350" w:type="dxa"/>
          </w:tcPr>
          <w:p w14:paraId="281CF1F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0.421064</w:t>
            </w:r>
          </w:p>
        </w:tc>
        <w:tc>
          <w:tcPr>
            <w:tcW w:w="1316" w:type="dxa"/>
          </w:tcPr>
          <w:p w14:paraId="797AD2F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37.02262</w:t>
            </w:r>
          </w:p>
        </w:tc>
        <w:tc>
          <w:tcPr>
            <w:tcW w:w="1316" w:type="dxa"/>
          </w:tcPr>
          <w:p w14:paraId="77FD1A56"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47.85613</w:t>
            </w:r>
          </w:p>
        </w:tc>
        <w:tc>
          <w:tcPr>
            <w:tcW w:w="935" w:type="dxa"/>
          </w:tcPr>
          <w:p w14:paraId="43E83AC5"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0.3465</w:t>
            </w:r>
          </w:p>
        </w:tc>
        <w:tc>
          <w:tcPr>
            <w:tcW w:w="1260" w:type="dxa"/>
          </w:tcPr>
          <w:p w14:paraId="3F237634"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19.67628</w:t>
            </w:r>
          </w:p>
        </w:tc>
        <w:tc>
          <w:tcPr>
            <w:tcW w:w="1170" w:type="dxa"/>
          </w:tcPr>
          <w:p w14:paraId="4E7A6C2D"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27.58434</w:t>
            </w:r>
          </w:p>
        </w:tc>
        <w:tc>
          <w:tcPr>
            <w:tcW w:w="935" w:type="dxa"/>
          </w:tcPr>
          <w:p w14:paraId="4994D888"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0.3639</w:t>
            </w:r>
          </w:p>
        </w:tc>
      </w:tr>
      <w:tr w:rsidR="00354394" w:rsidRPr="001738CB" w14:paraId="5A163F9D" w14:textId="77777777" w:rsidTr="00B95DD6">
        <w:trPr>
          <w:trHeight w:val="350"/>
        </w:trPr>
        <w:tc>
          <w:tcPr>
            <w:tcW w:w="1548" w:type="dxa"/>
          </w:tcPr>
          <w:p w14:paraId="381A9438" w14:textId="77777777" w:rsidR="00354394" w:rsidRPr="001738CB" w:rsidRDefault="00354394" w:rsidP="00B95DD6">
            <w:pPr>
              <w:autoSpaceDE w:val="0"/>
              <w:autoSpaceDN w:val="0"/>
              <w:adjustRightInd w:val="0"/>
              <w:rPr>
                <w:rFonts w:ascii="Times New Roman" w:hAnsi="Times New Roman"/>
              </w:rPr>
            </w:pPr>
            <w:r w:rsidRPr="001738CB">
              <w:rPr>
                <w:rFonts w:ascii="Times New Roman" w:hAnsi="Times New Roman"/>
              </w:rPr>
              <w:t>At Most 3</w:t>
            </w:r>
          </w:p>
        </w:tc>
        <w:tc>
          <w:tcPr>
            <w:tcW w:w="1350" w:type="dxa"/>
          </w:tcPr>
          <w:p w14:paraId="6EB50C5F"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0.240809</w:t>
            </w:r>
          </w:p>
        </w:tc>
        <w:tc>
          <w:tcPr>
            <w:tcW w:w="1316" w:type="dxa"/>
          </w:tcPr>
          <w:p w14:paraId="32A88529"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17.34633</w:t>
            </w:r>
          </w:p>
        </w:tc>
        <w:tc>
          <w:tcPr>
            <w:tcW w:w="1316" w:type="dxa"/>
          </w:tcPr>
          <w:p w14:paraId="0609380F"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29.79707</w:t>
            </w:r>
          </w:p>
        </w:tc>
        <w:tc>
          <w:tcPr>
            <w:tcW w:w="935" w:type="dxa"/>
          </w:tcPr>
          <w:p w14:paraId="2AB859D6"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0.6144</w:t>
            </w:r>
          </w:p>
        </w:tc>
        <w:tc>
          <w:tcPr>
            <w:tcW w:w="1260" w:type="dxa"/>
          </w:tcPr>
          <w:p w14:paraId="7D5B3E08"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9.918070</w:t>
            </w:r>
          </w:p>
        </w:tc>
        <w:tc>
          <w:tcPr>
            <w:tcW w:w="1170" w:type="dxa"/>
          </w:tcPr>
          <w:p w14:paraId="3067AA33"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21.13162</w:t>
            </w:r>
          </w:p>
        </w:tc>
        <w:tc>
          <w:tcPr>
            <w:tcW w:w="935" w:type="dxa"/>
          </w:tcPr>
          <w:p w14:paraId="13F93295" w14:textId="77777777" w:rsidR="00354394" w:rsidRPr="001738CB" w:rsidRDefault="00354394" w:rsidP="00B95DD6">
            <w:pPr>
              <w:autoSpaceDE w:val="0"/>
              <w:autoSpaceDN w:val="0"/>
              <w:adjustRightInd w:val="0"/>
              <w:rPr>
                <w:rFonts w:ascii="Times New Roman" w:hAnsi="Times New Roman"/>
                <w:color w:val="000000"/>
              </w:rPr>
            </w:pPr>
            <w:r w:rsidRPr="001738CB">
              <w:rPr>
                <w:rFonts w:ascii="Times New Roman" w:hAnsi="Times New Roman"/>
                <w:color w:val="000000"/>
              </w:rPr>
              <w:t> 0.7523</w:t>
            </w:r>
          </w:p>
        </w:tc>
      </w:tr>
    </w:tbl>
    <w:p w14:paraId="229360CC" w14:textId="77777777" w:rsidR="00354394" w:rsidRDefault="00354394" w:rsidP="00354394">
      <w:pPr>
        <w:shd w:val="clear" w:color="auto" w:fill="FFFFFF"/>
        <w:autoSpaceDE w:val="0"/>
        <w:autoSpaceDN w:val="0"/>
        <w:adjustRightInd w:val="0"/>
        <w:spacing w:after="0" w:line="360" w:lineRule="auto"/>
        <w:jc w:val="both"/>
        <w:rPr>
          <w:rFonts w:ascii="Times New Roman" w:hAnsi="Times New Roman"/>
          <w:color w:val="000000"/>
        </w:rPr>
      </w:pPr>
      <w:r w:rsidRPr="00485BC6">
        <w:rPr>
          <w:rFonts w:ascii="Times New Roman" w:hAnsi="Times New Roman"/>
          <w:b/>
          <w:color w:val="000000"/>
        </w:rPr>
        <w:t>Source:</w:t>
      </w:r>
      <w:r w:rsidRPr="00EF04ED">
        <w:rPr>
          <w:rFonts w:ascii="Times New Roman" w:hAnsi="Times New Roman"/>
          <w:color w:val="000000"/>
        </w:rPr>
        <w:t xml:space="preserve"> Researchers’ Computation using E-view 9</w:t>
      </w:r>
    </w:p>
    <w:p w14:paraId="0AF54821" w14:textId="0B061311" w:rsidR="00E858A5" w:rsidRPr="00E858A5" w:rsidRDefault="00E858A5" w:rsidP="00E858A5">
      <w:pPr>
        <w:shd w:val="clear" w:color="auto" w:fill="FFFFFF"/>
        <w:autoSpaceDE w:val="0"/>
        <w:autoSpaceDN w:val="0"/>
        <w:adjustRightInd w:val="0"/>
        <w:spacing w:before="120" w:after="0" w:line="360" w:lineRule="auto"/>
        <w:jc w:val="both"/>
        <w:rPr>
          <w:rFonts w:ascii="Times New Roman" w:hAnsi="Times New Roman" w:cs="Times New Roman"/>
          <w:sz w:val="24"/>
          <w:szCs w:val="24"/>
        </w:rPr>
      </w:pPr>
      <w:r w:rsidRPr="00E858A5">
        <w:rPr>
          <w:rFonts w:ascii="Times New Roman" w:hAnsi="Times New Roman" w:cs="Times New Roman"/>
          <w:sz w:val="24"/>
          <w:szCs w:val="24"/>
        </w:rPr>
        <w:t>The Johansen cointegration test results, as shown in Table 3, reveal that both the Trace and Max-Eigen statistics confirm the presence of two (2) cointegrating equations at the 5% significance level. This indicates the existence of a long-run equilibrium relationship among the variables, suggesting that fiscal restructuring has long-term implications for Nigeria's economic growth.</w:t>
      </w:r>
    </w:p>
    <w:p w14:paraId="7EDCE18B" w14:textId="77777777" w:rsidR="00354394"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rPr>
      </w:pPr>
      <w:r>
        <w:rPr>
          <w:rFonts w:ascii="Times New Roman" w:hAnsi="Times New Roman"/>
          <w:b/>
          <w:color w:val="000000"/>
        </w:rPr>
        <w:t>4.2.3</w:t>
      </w:r>
      <w:r>
        <w:rPr>
          <w:rFonts w:ascii="Times New Roman" w:hAnsi="Times New Roman"/>
          <w:b/>
          <w:color w:val="000000"/>
        </w:rPr>
        <w:tab/>
        <w:t>Error Correction Model Estimation</w:t>
      </w:r>
    </w:p>
    <w:p w14:paraId="7AC57D3D" w14:textId="20E089A6" w:rsidR="00354394" w:rsidRDefault="00354394" w:rsidP="00354394">
      <w:pPr>
        <w:shd w:val="clear" w:color="auto" w:fill="FFFFFF"/>
        <w:autoSpaceDE w:val="0"/>
        <w:autoSpaceDN w:val="0"/>
        <w:adjustRightInd w:val="0"/>
        <w:spacing w:before="120" w:after="0" w:line="360" w:lineRule="auto"/>
        <w:jc w:val="both"/>
        <w:rPr>
          <w:rFonts w:ascii="Times New Roman" w:hAnsi="Times New Roman"/>
          <w:b/>
          <w:bCs/>
          <w:color w:val="000000"/>
        </w:rPr>
      </w:pPr>
      <w:r w:rsidRPr="00EF04ED">
        <w:rPr>
          <w:rFonts w:ascii="Times New Roman" w:hAnsi="Times New Roman"/>
          <w:b/>
          <w:color w:val="000000"/>
        </w:rPr>
        <w:t>Table</w:t>
      </w:r>
      <w:r w:rsidRPr="00EF04ED">
        <w:rPr>
          <w:rFonts w:ascii="Times New Roman" w:hAnsi="Times New Roman"/>
          <w:b/>
          <w:bCs/>
          <w:color w:val="000000"/>
        </w:rPr>
        <w:t xml:space="preserve"> </w:t>
      </w:r>
      <w:r>
        <w:rPr>
          <w:rFonts w:ascii="Times New Roman" w:hAnsi="Times New Roman"/>
          <w:b/>
          <w:bCs/>
          <w:color w:val="000000"/>
        </w:rPr>
        <w:t>4</w:t>
      </w:r>
      <w:r w:rsidRPr="00EF04ED">
        <w:rPr>
          <w:rFonts w:ascii="Times New Roman" w:hAnsi="Times New Roman"/>
          <w:b/>
          <w:bCs/>
          <w:color w:val="000000"/>
        </w:rPr>
        <w:t xml:space="preserve">: Error Correction Model </w:t>
      </w:r>
      <w:r>
        <w:rPr>
          <w:rFonts w:ascii="Times New Roman" w:hAnsi="Times New Roman"/>
          <w:b/>
          <w:bCs/>
          <w:color w:val="000000"/>
        </w:rPr>
        <w:t>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250"/>
        <w:gridCol w:w="1620"/>
        <w:gridCol w:w="1620"/>
        <w:gridCol w:w="1530"/>
      </w:tblGrid>
      <w:tr w:rsidR="00354394" w:rsidRPr="002201A9" w14:paraId="5BCB25BD" w14:textId="77777777" w:rsidTr="00B95DD6">
        <w:trPr>
          <w:trHeight w:val="225"/>
        </w:trPr>
        <w:tc>
          <w:tcPr>
            <w:tcW w:w="2017" w:type="dxa"/>
            <w:tcBorders>
              <w:top w:val="double" w:sz="6" w:space="0" w:color="auto"/>
              <w:left w:val="nil"/>
              <w:bottom w:val="single" w:sz="4" w:space="0" w:color="auto"/>
              <w:right w:val="nil"/>
            </w:tcBorders>
            <w:vAlign w:val="bottom"/>
          </w:tcPr>
          <w:p w14:paraId="05629529"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b/>
                <w:color w:val="000000"/>
              </w:rPr>
            </w:pPr>
            <w:r w:rsidRPr="002201A9">
              <w:rPr>
                <w:rFonts w:ascii="Times New Roman" w:hAnsi="Times New Roman" w:cs="Times New Roman"/>
                <w:b/>
                <w:color w:val="000000"/>
              </w:rPr>
              <w:t>Variable</w:t>
            </w:r>
          </w:p>
        </w:tc>
        <w:tc>
          <w:tcPr>
            <w:tcW w:w="1250" w:type="dxa"/>
            <w:tcBorders>
              <w:top w:val="double" w:sz="6" w:space="0" w:color="auto"/>
              <w:left w:val="nil"/>
              <w:bottom w:val="single" w:sz="4" w:space="0" w:color="auto"/>
              <w:right w:val="nil"/>
            </w:tcBorders>
            <w:vAlign w:val="bottom"/>
          </w:tcPr>
          <w:p w14:paraId="3200ED15"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Coefficient</w:t>
            </w:r>
          </w:p>
        </w:tc>
        <w:tc>
          <w:tcPr>
            <w:tcW w:w="1620" w:type="dxa"/>
            <w:tcBorders>
              <w:top w:val="double" w:sz="6" w:space="0" w:color="auto"/>
              <w:left w:val="nil"/>
              <w:bottom w:val="single" w:sz="4" w:space="0" w:color="auto"/>
              <w:right w:val="nil"/>
            </w:tcBorders>
            <w:vAlign w:val="bottom"/>
          </w:tcPr>
          <w:p w14:paraId="68941864"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Std. Error</w:t>
            </w:r>
          </w:p>
        </w:tc>
        <w:tc>
          <w:tcPr>
            <w:tcW w:w="1620" w:type="dxa"/>
            <w:tcBorders>
              <w:top w:val="double" w:sz="6" w:space="0" w:color="auto"/>
              <w:left w:val="nil"/>
              <w:bottom w:val="single" w:sz="4" w:space="0" w:color="auto"/>
              <w:right w:val="nil"/>
            </w:tcBorders>
            <w:vAlign w:val="bottom"/>
          </w:tcPr>
          <w:p w14:paraId="1478A56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t-Statistic</w:t>
            </w:r>
          </w:p>
        </w:tc>
        <w:tc>
          <w:tcPr>
            <w:tcW w:w="1530" w:type="dxa"/>
            <w:tcBorders>
              <w:top w:val="double" w:sz="6" w:space="0" w:color="auto"/>
              <w:left w:val="nil"/>
              <w:bottom w:val="single" w:sz="4" w:space="0" w:color="auto"/>
              <w:right w:val="nil"/>
            </w:tcBorders>
            <w:vAlign w:val="bottom"/>
          </w:tcPr>
          <w:p w14:paraId="736DF133"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b/>
                <w:color w:val="000000"/>
              </w:rPr>
            </w:pPr>
            <w:r w:rsidRPr="002201A9">
              <w:rPr>
                <w:rFonts w:ascii="Times New Roman" w:hAnsi="Times New Roman" w:cs="Times New Roman"/>
                <w:b/>
                <w:color w:val="000000"/>
              </w:rPr>
              <w:t>Prob.  </w:t>
            </w:r>
          </w:p>
        </w:tc>
      </w:tr>
      <w:tr w:rsidR="00354394" w:rsidRPr="002201A9" w14:paraId="70A7FDB3" w14:textId="77777777" w:rsidTr="00B95DD6">
        <w:trPr>
          <w:trHeight w:val="225"/>
        </w:trPr>
        <w:tc>
          <w:tcPr>
            <w:tcW w:w="2017" w:type="dxa"/>
            <w:tcBorders>
              <w:top w:val="single" w:sz="4" w:space="0" w:color="auto"/>
              <w:left w:val="nil"/>
              <w:bottom w:val="nil"/>
              <w:right w:val="nil"/>
            </w:tcBorders>
            <w:vAlign w:val="bottom"/>
          </w:tcPr>
          <w:p w14:paraId="1B73B960"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color w:val="000000"/>
              </w:rPr>
              <w:t>C</w:t>
            </w:r>
          </w:p>
        </w:tc>
        <w:tc>
          <w:tcPr>
            <w:tcW w:w="1250" w:type="dxa"/>
            <w:tcBorders>
              <w:top w:val="single" w:sz="4" w:space="0" w:color="auto"/>
              <w:left w:val="nil"/>
              <w:bottom w:val="nil"/>
              <w:right w:val="nil"/>
            </w:tcBorders>
            <w:vAlign w:val="bottom"/>
          </w:tcPr>
          <w:p w14:paraId="419B5910"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-4.031542</w:t>
            </w:r>
          </w:p>
        </w:tc>
        <w:tc>
          <w:tcPr>
            <w:tcW w:w="1620" w:type="dxa"/>
            <w:tcBorders>
              <w:top w:val="single" w:sz="4" w:space="0" w:color="auto"/>
              <w:left w:val="nil"/>
              <w:bottom w:val="nil"/>
              <w:right w:val="nil"/>
            </w:tcBorders>
            <w:vAlign w:val="bottom"/>
          </w:tcPr>
          <w:p w14:paraId="7FB495B2"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2.806441</w:t>
            </w:r>
          </w:p>
        </w:tc>
        <w:tc>
          <w:tcPr>
            <w:tcW w:w="1620" w:type="dxa"/>
            <w:tcBorders>
              <w:top w:val="single" w:sz="4" w:space="0" w:color="auto"/>
              <w:left w:val="nil"/>
              <w:bottom w:val="nil"/>
              <w:right w:val="nil"/>
            </w:tcBorders>
            <w:vAlign w:val="bottom"/>
          </w:tcPr>
          <w:p w14:paraId="4DDFDA87"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-1.436532</w:t>
            </w:r>
          </w:p>
        </w:tc>
        <w:tc>
          <w:tcPr>
            <w:tcW w:w="1530" w:type="dxa"/>
            <w:tcBorders>
              <w:top w:val="single" w:sz="4" w:space="0" w:color="auto"/>
              <w:left w:val="nil"/>
              <w:bottom w:val="nil"/>
              <w:right w:val="nil"/>
            </w:tcBorders>
            <w:vAlign w:val="bottom"/>
          </w:tcPr>
          <w:p w14:paraId="1FCF5977"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0.1764</w:t>
            </w:r>
          </w:p>
        </w:tc>
      </w:tr>
      <w:tr w:rsidR="00354394" w:rsidRPr="002201A9" w14:paraId="50ED6872" w14:textId="77777777" w:rsidTr="00B95DD6">
        <w:trPr>
          <w:trHeight w:val="225"/>
        </w:trPr>
        <w:tc>
          <w:tcPr>
            <w:tcW w:w="2017" w:type="dxa"/>
            <w:tcBorders>
              <w:top w:val="nil"/>
              <w:left w:val="nil"/>
              <w:bottom w:val="nil"/>
              <w:right w:val="nil"/>
            </w:tcBorders>
          </w:tcPr>
          <w:p w14:paraId="77BCA333"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rPr>
              <w:t>TAX-GDP</w:t>
            </w:r>
          </w:p>
        </w:tc>
        <w:tc>
          <w:tcPr>
            <w:tcW w:w="1250" w:type="dxa"/>
            <w:tcBorders>
              <w:top w:val="nil"/>
              <w:left w:val="nil"/>
              <w:bottom w:val="nil"/>
              <w:right w:val="nil"/>
            </w:tcBorders>
            <w:vAlign w:val="bottom"/>
          </w:tcPr>
          <w:p w14:paraId="1ACDE061"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w:t>
            </w:r>
            <w:r w:rsidRPr="002201A9">
              <w:rPr>
                <w:rFonts w:ascii="Times New Roman" w:hAnsi="Times New Roman" w:cs="Times New Roman"/>
                <w:color w:val="000000"/>
              </w:rPr>
              <w:t>2.114246</w:t>
            </w:r>
          </w:p>
        </w:tc>
        <w:tc>
          <w:tcPr>
            <w:tcW w:w="1620" w:type="dxa"/>
            <w:tcBorders>
              <w:top w:val="nil"/>
              <w:left w:val="nil"/>
              <w:bottom w:val="nil"/>
              <w:right w:val="nil"/>
            </w:tcBorders>
            <w:vAlign w:val="bottom"/>
          </w:tcPr>
          <w:p w14:paraId="67259EA9"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1</w:t>
            </w:r>
            <w:r w:rsidRPr="002201A9">
              <w:rPr>
                <w:rFonts w:ascii="Times New Roman" w:hAnsi="Times New Roman" w:cs="Times New Roman"/>
                <w:color w:val="000000"/>
              </w:rPr>
              <w:t>.004205</w:t>
            </w:r>
          </w:p>
        </w:tc>
        <w:tc>
          <w:tcPr>
            <w:tcW w:w="1620" w:type="dxa"/>
            <w:tcBorders>
              <w:top w:val="nil"/>
              <w:left w:val="nil"/>
              <w:bottom w:val="nil"/>
              <w:right w:val="nil"/>
            </w:tcBorders>
            <w:vAlign w:val="bottom"/>
          </w:tcPr>
          <w:p w14:paraId="2944A6CB"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-2</w:t>
            </w:r>
            <w:r w:rsidRPr="002201A9">
              <w:rPr>
                <w:rFonts w:ascii="Times New Roman" w:hAnsi="Times New Roman" w:cs="Times New Roman"/>
                <w:color w:val="000000"/>
              </w:rPr>
              <w:t>.</w:t>
            </w:r>
            <w:r>
              <w:rPr>
                <w:rFonts w:ascii="Times New Roman" w:hAnsi="Times New Roman" w:cs="Times New Roman"/>
                <w:color w:val="000000"/>
              </w:rPr>
              <w:t>105393</w:t>
            </w:r>
          </w:p>
        </w:tc>
        <w:tc>
          <w:tcPr>
            <w:tcW w:w="1530" w:type="dxa"/>
            <w:tcBorders>
              <w:top w:val="nil"/>
              <w:left w:val="nil"/>
              <w:bottom w:val="nil"/>
              <w:right w:val="nil"/>
            </w:tcBorders>
            <w:vAlign w:val="bottom"/>
          </w:tcPr>
          <w:p w14:paraId="49BF74B7"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Pr>
                <w:rFonts w:ascii="Times New Roman" w:hAnsi="Times New Roman" w:cs="Times New Roman"/>
                <w:color w:val="000000"/>
              </w:rPr>
              <w:t>0.04</w:t>
            </w:r>
            <w:r w:rsidRPr="002201A9">
              <w:rPr>
                <w:rFonts w:ascii="Times New Roman" w:hAnsi="Times New Roman" w:cs="Times New Roman"/>
                <w:color w:val="000000"/>
              </w:rPr>
              <w:t>50</w:t>
            </w:r>
          </w:p>
        </w:tc>
      </w:tr>
      <w:tr w:rsidR="00354394" w:rsidRPr="002201A9" w14:paraId="08F84665" w14:textId="77777777" w:rsidTr="00B95DD6">
        <w:trPr>
          <w:trHeight w:val="225"/>
        </w:trPr>
        <w:tc>
          <w:tcPr>
            <w:tcW w:w="2017" w:type="dxa"/>
            <w:tcBorders>
              <w:top w:val="nil"/>
              <w:left w:val="nil"/>
              <w:bottom w:val="nil"/>
              <w:right w:val="nil"/>
            </w:tcBorders>
          </w:tcPr>
          <w:p w14:paraId="3ECCC0B2"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rPr>
              <w:t>DBT-REV</w:t>
            </w:r>
          </w:p>
        </w:tc>
        <w:tc>
          <w:tcPr>
            <w:tcW w:w="1250" w:type="dxa"/>
            <w:tcBorders>
              <w:top w:val="nil"/>
              <w:left w:val="nil"/>
              <w:bottom w:val="nil"/>
              <w:right w:val="nil"/>
            </w:tcBorders>
            <w:vAlign w:val="bottom"/>
          </w:tcPr>
          <w:p w14:paraId="500939FD"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2.485860</w:t>
            </w:r>
          </w:p>
        </w:tc>
        <w:tc>
          <w:tcPr>
            <w:tcW w:w="1620" w:type="dxa"/>
            <w:tcBorders>
              <w:top w:val="nil"/>
              <w:left w:val="nil"/>
              <w:bottom w:val="nil"/>
              <w:right w:val="nil"/>
            </w:tcBorders>
            <w:vAlign w:val="bottom"/>
          </w:tcPr>
          <w:p w14:paraId="0D028A23"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2.737121</w:t>
            </w:r>
          </w:p>
        </w:tc>
        <w:tc>
          <w:tcPr>
            <w:tcW w:w="1620" w:type="dxa"/>
            <w:tcBorders>
              <w:top w:val="nil"/>
              <w:left w:val="nil"/>
              <w:bottom w:val="nil"/>
              <w:right w:val="nil"/>
            </w:tcBorders>
            <w:vAlign w:val="bottom"/>
          </w:tcPr>
          <w:p w14:paraId="357A116B"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0.908202</w:t>
            </w:r>
          </w:p>
        </w:tc>
        <w:tc>
          <w:tcPr>
            <w:tcW w:w="1530" w:type="dxa"/>
            <w:tcBorders>
              <w:top w:val="nil"/>
              <w:left w:val="nil"/>
              <w:bottom w:val="nil"/>
              <w:right w:val="nil"/>
            </w:tcBorders>
            <w:vAlign w:val="bottom"/>
          </w:tcPr>
          <w:p w14:paraId="26FB1242"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0.3816</w:t>
            </w:r>
          </w:p>
        </w:tc>
      </w:tr>
      <w:tr w:rsidR="00354394" w:rsidRPr="002201A9" w14:paraId="7F7698B8" w14:textId="77777777" w:rsidTr="00B95DD6">
        <w:trPr>
          <w:trHeight w:val="225"/>
        </w:trPr>
        <w:tc>
          <w:tcPr>
            <w:tcW w:w="2017" w:type="dxa"/>
            <w:tcBorders>
              <w:top w:val="nil"/>
              <w:left w:val="nil"/>
              <w:bottom w:val="nil"/>
              <w:right w:val="nil"/>
            </w:tcBorders>
          </w:tcPr>
          <w:p w14:paraId="37B1510E"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rPr>
              <w:t>FISCB</w:t>
            </w:r>
          </w:p>
        </w:tc>
        <w:tc>
          <w:tcPr>
            <w:tcW w:w="1250" w:type="dxa"/>
            <w:tcBorders>
              <w:top w:val="nil"/>
              <w:left w:val="nil"/>
              <w:bottom w:val="nil"/>
              <w:right w:val="nil"/>
            </w:tcBorders>
            <w:vAlign w:val="bottom"/>
          </w:tcPr>
          <w:p w14:paraId="287F610D"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-8.071523</w:t>
            </w:r>
          </w:p>
        </w:tc>
        <w:tc>
          <w:tcPr>
            <w:tcW w:w="1620" w:type="dxa"/>
            <w:tcBorders>
              <w:top w:val="nil"/>
              <w:left w:val="nil"/>
              <w:bottom w:val="nil"/>
              <w:right w:val="nil"/>
            </w:tcBorders>
            <w:vAlign w:val="bottom"/>
          </w:tcPr>
          <w:p w14:paraId="39BAF6D5"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2.244825</w:t>
            </w:r>
          </w:p>
        </w:tc>
        <w:tc>
          <w:tcPr>
            <w:tcW w:w="1620" w:type="dxa"/>
            <w:tcBorders>
              <w:top w:val="nil"/>
              <w:left w:val="nil"/>
              <w:bottom w:val="nil"/>
              <w:right w:val="nil"/>
            </w:tcBorders>
            <w:vAlign w:val="bottom"/>
          </w:tcPr>
          <w:p w14:paraId="549C0B51"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-3.595614</w:t>
            </w:r>
          </w:p>
        </w:tc>
        <w:tc>
          <w:tcPr>
            <w:tcW w:w="1530" w:type="dxa"/>
            <w:tcBorders>
              <w:top w:val="nil"/>
              <w:left w:val="nil"/>
              <w:bottom w:val="nil"/>
              <w:right w:val="nil"/>
            </w:tcBorders>
            <w:vAlign w:val="bottom"/>
          </w:tcPr>
          <w:p w14:paraId="016AF64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0.0037</w:t>
            </w:r>
          </w:p>
        </w:tc>
      </w:tr>
      <w:tr w:rsidR="00354394" w:rsidRPr="002201A9" w14:paraId="100C3755" w14:textId="77777777" w:rsidTr="00B95DD6">
        <w:trPr>
          <w:trHeight w:val="225"/>
        </w:trPr>
        <w:tc>
          <w:tcPr>
            <w:tcW w:w="2017" w:type="dxa"/>
            <w:tcBorders>
              <w:top w:val="nil"/>
              <w:left w:val="nil"/>
              <w:bottom w:val="single" w:sz="4" w:space="0" w:color="auto"/>
              <w:right w:val="nil"/>
            </w:tcBorders>
            <w:vAlign w:val="bottom"/>
          </w:tcPr>
          <w:p w14:paraId="03CDBB04" w14:textId="77777777" w:rsidR="00354394" w:rsidRPr="002201A9" w:rsidRDefault="00354394" w:rsidP="00B95DD6">
            <w:pPr>
              <w:autoSpaceDE w:val="0"/>
              <w:autoSpaceDN w:val="0"/>
              <w:adjustRightInd w:val="0"/>
              <w:spacing w:after="0" w:line="240" w:lineRule="auto"/>
              <w:jc w:val="center"/>
              <w:rPr>
                <w:rFonts w:ascii="Times New Roman" w:hAnsi="Times New Roman" w:cs="Times New Roman"/>
                <w:color w:val="000000"/>
              </w:rPr>
            </w:pPr>
            <w:r w:rsidRPr="002201A9">
              <w:rPr>
                <w:rFonts w:ascii="Times New Roman" w:hAnsi="Times New Roman" w:cs="Times New Roman"/>
                <w:color w:val="000000"/>
              </w:rPr>
              <w:t>ECM(-1)</w:t>
            </w:r>
          </w:p>
        </w:tc>
        <w:tc>
          <w:tcPr>
            <w:tcW w:w="1250" w:type="dxa"/>
            <w:tcBorders>
              <w:top w:val="nil"/>
              <w:left w:val="nil"/>
              <w:bottom w:val="single" w:sz="4" w:space="0" w:color="auto"/>
              <w:right w:val="nil"/>
            </w:tcBorders>
            <w:vAlign w:val="bottom"/>
          </w:tcPr>
          <w:p w14:paraId="068C4453"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-0.292965</w:t>
            </w:r>
          </w:p>
        </w:tc>
        <w:tc>
          <w:tcPr>
            <w:tcW w:w="1620" w:type="dxa"/>
            <w:tcBorders>
              <w:top w:val="nil"/>
              <w:left w:val="nil"/>
              <w:bottom w:val="single" w:sz="4" w:space="0" w:color="auto"/>
              <w:right w:val="nil"/>
            </w:tcBorders>
            <w:vAlign w:val="bottom"/>
          </w:tcPr>
          <w:p w14:paraId="4E25DCA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0.089430</w:t>
            </w:r>
          </w:p>
        </w:tc>
        <w:tc>
          <w:tcPr>
            <w:tcW w:w="1620" w:type="dxa"/>
            <w:tcBorders>
              <w:top w:val="nil"/>
              <w:left w:val="nil"/>
              <w:bottom w:val="single" w:sz="4" w:space="0" w:color="auto"/>
              <w:right w:val="nil"/>
            </w:tcBorders>
            <w:vAlign w:val="bottom"/>
          </w:tcPr>
          <w:p w14:paraId="1D8EA47F"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-3.275914</w:t>
            </w:r>
          </w:p>
        </w:tc>
        <w:tc>
          <w:tcPr>
            <w:tcW w:w="1530" w:type="dxa"/>
            <w:tcBorders>
              <w:top w:val="nil"/>
              <w:left w:val="nil"/>
              <w:bottom w:val="single" w:sz="4" w:space="0" w:color="auto"/>
              <w:right w:val="nil"/>
            </w:tcBorders>
            <w:vAlign w:val="bottom"/>
          </w:tcPr>
          <w:p w14:paraId="04496DF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0.0000</w:t>
            </w:r>
          </w:p>
        </w:tc>
      </w:tr>
      <w:tr w:rsidR="00354394" w:rsidRPr="002201A9" w14:paraId="58105D22" w14:textId="77777777" w:rsidTr="00B95DD6">
        <w:trPr>
          <w:trHeight w:val="225"/>
        </w:trPr>
        <w:tc>
          <w:tcPr>
            <w:tcW w:w="2017" w:type="dxa"/>
            <w:tcBorders>
              <w:top w:val="single" w:sz="4" w:space="0" w:color="auto"/>
              <w:left w:val="nil"/>
              <w:right w:val="nil"/>
            </w:tcBorders>
            <w:vAlign w:val="bottom"/>
          </w:tcPr>
          <w:p w14:paraId="3FB37DDD"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R-squared</w:t>
            </w:r>
          </w:p>
        </w:tc>
        <w:tc>
          <w:tcPr>
            <w:tcW w:w="1250" w:type="dxa"/>
            <w:tcBorders>
              <w:top w:val="single" w:sz="4" w:space="0" w:color="auto"/>
              <w:left w:val="nil"/>
              <w:right w:val="nil"/>
            </w:tcBorders>
            <w:vAlign w:val="bottom"/>
          </w:tcPr>
          <w:p w14:paraId="63F053C9"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0.911214</w:t>
            </w:r>
          </w:p>
        </w:tc>
        <w:tc>
          <w:tcPr>
            <w:tcW w:w="3240" w:type="dxa"/>
            <w:gridSpan w:val="2"/>
            <w:tcBorders>
              <w:top w:val="single" w:sz="4" w:space="0" w:color="auto"/>
              <w:left w:val="nil"/>
              <w:right w:val="nil"/>
            </w:tcBorders>
            <w:vAlign w:val="bottom"/>
          </w:tcPr>
          <w:p w14:paraId="15CB3152"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 xml:space="preserve">    </w:t>
            </w:r>
            <w:r>
              <w:rPr>
                <w:rFonts w:ascii="Times New Roman" w:hAnsi="Times New Roman" w:cs="Times New Roman"/>
                <w:color w:val="000000"/>
              </w:rPr>
              <w:t xml:space="preserve">       </w:t>
            </w:r>
            <w:r w:rsidRPr="002201A9">
              <w:rPr>
                <w:rFonts w:ascii="Times New Roman" w:hAnsi="Times New Roman" w:cs="Times New Roman"/>
                <w:color w:val="000000"/>
              </w:rPr>
              <w:t>F-statistic</w:t>
            </w:r>
          </w:p>
        </w:tc>
        <w:tc>
          <w:tcPr>
            <w:tcW w:w="1530" w:type="dxa"/>
            <w:tcBorders>
              <w:top w:val="single" w:sz="4" w:space="0" w:color="auto"/>
              <w:left w:val="nil"/>
              <w:right w:val="nil"/>
            </w:tcBorders>
            <w:vAlign w:val="bottom"/>
          </w:tcPr>
          <w:p w14:paraId="2F2FCE76"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21.07286</w:t>
            </w:r>
          </w:p>
        </w:tc>
      </w:tr>
      <w:tr w:rsidR="00354394" w:rsidRPr="002201A9" w14:paraId="4DB31189" w14:textId="77777777" w:rsidTr="00B95DD6">
        <w:trPr>
          <w:trHeight w:val="225"/>
        </w:trPr>
        <w:tc>
          <w:tcPr>
            <w:tcW w:w="2017" w:type="dxa"/>
            <w:tcBorders>
              <w:top w:val="nil"/>
              <w:left w:val="nil"/>
              <w:bottom w:val="nil"/>
              <w:right w:val="nil"/>
            </w:tcBorders>
            <w:vAlign w:val="bottom"/>
          </w:tcPr>
          <w:p w14:paraId="06D1BA25"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Adjusted R-squared</w:t>
            </w:r>
          </w:p>
        </w:tc>
        <w:tc>
          <w:tcPr>
            <w:tcW w:w="1250" w:type="dxa"/>
            <w:tcBorders>
              <w:top w:val="nil"/>
              <w:left w:val="nil"/>
              <w:bottom w:val="nil"/>
              <w:right w:val="nil"/>
            </w:tcBorders>
            <w:vAlign w:val="bottom"/>
          </w:tcPr>
          <w:p w14:paraId="36DEDA49"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0.900853</w:t>
            </w:r>
          </w:p>
        </w:tc>
        <w:tc>
          <w:tcPr>
            <w:tcW w:w="3240" w:type="dxa"/>
            <w:gridSpan w:val="2"/>
            <w:tcBorders>
              <w:top w:val="nil"/>
              <w:left w:val="nil"/>
              <w:bottom w:val="nil"/>
              <w:right w:val="nil"/>
            </w:tcBorders>
            <w:vAlign w:val="bottom"/>
          </w:tcPr>
          <w:p w14:paraId="1E68E8E1"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 xml:space="preserve">    </w:t>
            </w:r>
            <w:r>
              <w:rPr>
                <w:rFonts w:ascii="Times New Roman" w:hAnsi="Times New Roman" w:cs="Times New Roman"/>
                <w:color w:val="000000"/>
              </w:rPr>
              <w:t xml:space="preserve">       </w:t>
            </w:r>
            <w:r w:rsidRPr="002201A9">
              <w:rPr>
                <w:rFonts w:ascii="Times New Roman" w:hAnsi="Times New Roman" w:cs="Times New Roman"/>
                <w:color w:val="000000"/>
              </w:rPr>
              <w:t>Prob(F-statistic)</w:t>
            </w:r>
          </w:p>
        </w:tc>
        <w:tc>
          <w:tcPr>
            <w:tcW w:w="1530" w:type="dxa"/>
            <w:tcBorders>
              <w:top w:val="nil"/>
              <w:left w:val="nil"/>
              <w:bottom w:val="nil"/>
              <w:right w:val="nil"/>
            </w:tcBorders>
            <w:vAlign w:val="bottom"/>
          </w:tcPr>
          <w:p w14:paraId="39BAC8B8"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0.000000</w:t>
            </w:r>
          </w:p>
        </w:tc>
      </w:tr>
      <w:tr w:rsidR="00354394" w:rsidRPr="002201A9" w14:paraId="6C81A505" w14:textId="77777777" w:rsidTr="00B95DD6">
        <w:trPr>
          <w:trHeight w:val="225"/>
        </w:trPr>
        <w:tc>
          <w:tcPr>
            <w:tcW w:w="2017" w:type="dxa"/>
            <w:tcBorders>
              <w:top w:val="nil"/>
              <w:left w:val="nil"/>
              <w:bottom w:val="single" w:sz="4" w:space="0" w:color="auto"/>
              <w:right w:val="nil"/>
            </w:tcBorders>
            <w:vAlign w:val="bottom"/>
          </w:tcPr>
          <w:p w14:paraId="69B494AD" w14:textId="77777777" w:rsidR="00354394" w:rsidRPr="002201A9" w:rsidRDefault="00354394" w:rsidP="00B95DD6">
            <w:pPr>
              <w:autoSpaceDE w:val="0"/>
              <w:autoSpaceDN w:val="0"/>
              <w:adjustRightInd w:val="0"/>
              <w:spacing w:after="0" w:line="240" w:lineRule="auto"/>
              <w:rPr>
                <w:rFonts w:ascii="Times New Roman" w:hAnsi="Times New Roman" w:cs="Times New Roman"/>
                <w:color w:val="000000"/>
              </w:rPr>
            </w:pPr>
            <w:r w:rsidRPr="002201A9">
              <w:rPr>
                <w:rFonts w:ascii="Times New Roman" w:hAnsi="Times New Roman" w:cs="Times New Roman"/>
                <w:color w:val="000000"/>
              </w:rPr>
              <w:t>Durbin-Watson stat</w:t>
            </w:r>
          </w:p>
        </w:tc>
        <w:tc>
          <w:tcPr>
            <w:tcW w:w="1250" w:type="dxa"/>
            <w:tcBorders>
              <w:top w:val="nil"/>
              <w:left w:val="nil"/>
              <w:bottom w:val="single" w:sz="4" w:space="0" w:color="auto"/>
              <w:right w:val="nil"/>
            </w:tcBorders>
            <w:vAlign w:val="bottom"/>
          </w:tcPr>
          <w:p w14:paraId="4FB89DDE"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r w:rsidRPr="002201A9">
              <w:rPr>
                <w:rFonts w:ascii="Times New Roman" w:hAnsi="Times New Roman" w:cs="Times New Roman"/>
                <w:color w:val="000000"/>
              </w:rPr>
              <w:t>1.</w:t>
            </w:r>
            <w:r>
              <w:rPr>
                <w:rFonts w:ascii="Times New Roman" w:hAnsi="Times New Roman" w:cs="Times New Roman"/>
                <w:color w:val="000000"/>
              </w:rPr>
              <w:t>942133</w:t>
            </w:r>
          </w:p>
        </w:tc>
        <w:tc>
          <w:tcPr>
            <w:tcW w:w="3240" w:type="dxa"/>
            <w:gridSpan w:val="2"/>
            <w:tcBorders>
              <w:top w:val="nil"/>
              <w:left w:val="nil"/>
              <w:bottom w:val="single" w:sz="4" w:space="0" w:color="auto"/>
              <w:right w:val="nil"/>
            </w:tcBorders>
            <w:vAlign w:val="bottom"/>
          </w:tcPr>
          <w:p w14:paraId="788D3280" w14:textId="77777777" w:rsidR="00354394" w:rsidRPr="002201A9" w:rsidRDefault="00354394" w:rsidP="00B95DD6">
            <w:pPr>
              <w:autoSpaceDE w:val="0"/>
              <w:autoSpaceDN w:val="0"/>
              <w:adjustRightInd w:val="0"/>
              <w:spacing w:after="0" w:line="240" w:lineRule="auto"/>
              <w:ind w:right="10"/>
              <w:rPr>
                <w:rFonts w:ascii="Times New Roman" w:hAnsi="Times New Roman" w:cs="Times New Roman"/>
                <w:color w:val="000000"/>
              </w:rPr>
            </w:pPr>
          </w:p>
        </w:tc>
        <w:tc>
          <w:tcPr>
            <w:tcW w:w="1530" w:type="dxa"/>
            <w:tcBorders>
              <w:top w:val="nil"/>
              <w:left w:val="nil"/>
              <w:bottom w:val="single" w:sz="4" w:space="0" w:color="auto"/>
              <w:right w:val="nil"/>
            </w:tcBorders>
            <w:vAlign w:val="bottom"/>
          </w:tcPr>
          <w:p w14:paraId="5BD74512" w14:textId="77777777" w:rsidR="00354394" w:rsidRPr="002201A9" w:rsidRDefault="00354394" w:rsidP="00B95DD6">
            <w:pPr>
              <w:autoSpaceDE w:val="0"/>
              <w:autoSpaceDN w:val="0"/>
              <w:adjustRightInd w:val="0"/>
              <w:spacing w:after="0" w:line="240" w:lineRule="auto"/>
              <w:ind w:right="10"/>
              <w:jc w:val="right"/>
              <w:rPr>
                <w:rFonts w:ascii="Times New Roman" w:hAnsi="Times New Roman" w:cs="Times New Roman"/>
                <w:color w:val="000000"/>
              </w:rPr>
            </w:pPr>
          </w:p>
        </w:tc>
      </w:tr>
    </w:tbl>
    <w:p w14:paraId="44A496B8" w14:textId="77777777" w:rsidR="00354394" w:rsidRPr="00FF7769" w:rsidRDefault="00354394" w:rsidP="00354394">
      <w:pPr>
        <w:shd w:val="clear" w:color="auto" w:fill="FFFFFF"/>
        <w:autoSpaceDE w:val="0"/>
        <w:autoSpaceDN w:val="0"/>
        <w:adjustRightInd w:val="0"/>
        <w:spacing w:after="0" w:line="360" w:lineRule="auto"/>
        <w:jc w:val="both"/>
        <w:rPr>
          <w:rFonts w:ascii="Times New Roman" w:hAnsi="Times New Roman"/>
        </w:rPr>
      </w:pPr>
      <w:r w:rsidRPr="00B8450F">
        <w:rPr>
          <w:rFonts w:ascii="Times New Roman" w:hAnsi="Times New Roman"/>
          <w:b/>
          <w:color w:val="000000"/>
        </w:rPr>
        <w:t>Source:</w:t>
      </w:r>
      <w:r w:rsidRPr="00FF7769">
        <w:rPr>
          <w:rFonts w:ascii="Times New Roman" w:hAnsi="Times New Roman"/>
          <w:color w:val="000000"/>
        </w:rPr>
        <w:t xml:space="preserve"> Re</w:t>
      </w:r>
      <w:r>
        <w:rPr>
          <w:rFonts w:ascii="Times New Roman" w:hAnsi="Times New Roman"/>
          <w:color w:val="000000"/>
        </w:rPr>
        <w:t>searcher’s Computation using E-v</w:t>
      </w:r>
      <w:r w:rsidRPr="00FF7769">
        <w:rPr>
          <w:rFonts w:ascii="Times New Roman" w:hAnsi="Times New Roman"/>
          <w:color w:val="000000"/>
        </w:rPr>
        <w:t>iew</w:t>
      </w:r>
      <w:r>
        <w:rPr>
          <w:rFonts w:ascii="Times New Roman" w:hAnsi="Times New Roman"/>
          <w:color w:val="000000"/>
        </w:rPr>
        <w:t>s</w:t>
      </w:r>
      <w:r w:rsidRPr="00FF7769">
        <w:rPr>
          <w:rFonts w:ascii="Times New Roman" w:hAnsi="Times New Roman"/>
          <w:color w:val="000000"/>
        </w:rPr>
        <w:t>9</w:t>
      </w:r>
    </w:p>
    <w:p w14:paraId="7936EBE1"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bookmarkStart w:id="1" w:name="_Toc526230596"/>
      <w:r w:rsidRPr="00E858A5">
        <w:rPr>
          <w:rFonts w:ascii="Times New Roman" w:eastAsia="Times New Roman" w:hAnsi="Times New Roman" w:cs="Times New Roman"/>
          <w:sz w:val="24"/>
          <w:szCs w:val="24"/>
        </w:rPr>
        <w:t>The results from the Error Correction Model (ECM) indicate that the tax-to-GDP ratio has a statistically significant negative relationship with economic growth. Specifically, a one-unit increase in the tax-to-GDP ratio leads to a 2.114-unit decline in real GDP, holding other factors constant. This suggests that the current structure or efficiency of taxation in Nigeria may be inhibiting economic activity.</w:t>
      </w:r>
    </w:p>
    <w:p w14:paraId="4B040B2D"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r w:rsidRPr="00E858A5">
        <w:rPr>
          <w:rFonts w:ascii="Times New Roman" w:eastAsia="Times New Roman" w:hAnsi="Times New Roman" w:cs="Times New Roman"/>
          <w:sz w:val="24"/>
          <w:szCs w:val="24"/>
        </w:rPr>
        <w:t>Likewise, the fiscal balance variable also exhibits a negative coefficient, indicating that an increase in fiscal deficits (or a worsening fiscal balance) reduces economic growth by approximately 8.0715 units. This underscores the presence of fiscal imbalances in Nigeria, which have contributed to the erosion of real GDP over time.</w:t>
      </w:r>
    </w:p>
    <w:p w14:paraId="752DA1AC"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r w:rsidRPr="00E858A5">
        <w:rPr>
          <w:rFonts w:ascii="Times New Roman" w:eastAsia="Times New Roman" w:hAnsi="Times New Roman" w:cs="Times New Roman"/>
          <w:sz w:val="24"/>
          <w:szCs w:val="24"/>
        </w:rPr>
        <w:lastRenderedPageBreak/>
        <w:t>In contrast, the debt-to-revenue ratio shows a positive but statistically insignificant impact on economic growth. A unit increase in this variable is associated with a 2.486-unit rise in real GDP. Although this suggests a potential growth-enhancing role of debt when aligned with revenue, the lack of statistical significance implies the relationship is weak or inconsistent.</w:t>
      </w:r>
    </w:p>
    <w:p w14:paraId="72A04C00" w14:textId="77777777" w:rsidR="00E858A5" w:rsidRPr="00E858A5" w:rsidRDefault="00E858A5" w:rsidP="00873065">
      <w:pPr>
        <w:spacing w:after="0" w:line="360" w:lineRule="auto"/>
        <w:jc w:val="both"/>
        <w:rPr>
          <w:rFonts w:ascii="Times New Roman" w:eastAsia="Times New Roman" w:hAnsi="Times New Roman" w:cs="Times New Roman"/>
          <w:sz w:val="24"/>
          <w:szCs w:val="24"/>
        </w:rPr>
      </w:pPr>
      <w:r w:rsidRPr="00E858A5">
        <w:rPr>
          <w:rFonts w:ascii="Times New Roman" w:eastAsia="Times New Roman" w:hAnsi="Times New Roman" w:cs="Times New Roman"/>
          <w:sz w:val="24"/>
          <w:szCs w:val="24"/>
        </w:rPr>
        <w:t>The ECM coefficient is estimated at -0.293, indicating that approximately 29.3% of the deviation from long-run equilibrium is corrected each year. This means that fiscal restructuring variables adjust to restore equilibrium in economic growth at a moderate pace, reinforcing the existence of a stable long-term relationship among the variables.</w:t>
      </w:r>
    </w:p>
    <w:p w14:paraId="0A909A68" w14:textId="77777777" w:rsidR="00354394" w:rsidRDefault="00354394" w:rsidP="00354394">
      <w:pPr>
        <w:shd w:val="clear" w:color="auto" w:fill="FFFFFF"/>
        <w:autoSpaceDE w:val="0"/>
        <w:autoSpaceDN w:val="0"/>
        <w:adjustRightInd w:val="0"/>
        <w:spacing w:before="120" w:after="0" w:line="360" w:lineRule="auto"/>
        <w:jc w:val="both"/>
        <w:rPr>
          <w:rFonts w:ascii="Times New Roman" w:hAnsi="Times New Roman"/>
          <w:b/>
        </w:rPr>
      </w:pPr>
      <w:r w:rsidRPr="00EF04ED">
        <w:rPr>
          <w:rFonts w:ascii="Times New Roman" w:hAnsi="Times New Roman"/>
          <w:b/>
        </w:rPr>
        <w:t>4.</w:t>
      </w:r>
      <w:r>
        <w:rPr>
          <w:rFonts w:ascii="Times New Roman" w:hAnsi="Times New Roman"/>
          <w:b/>
        </w:rPr>
        <w:t>2</w:t>
      </w:r>
      <w:r w:rsidRPr="00EF04ED">
        <w:rPr>
          <w:rFonts w:ascii="Times New Roman" w:hAnsi="Times New Roman"/>
          <w:b/>
        </w:rPr>
        <w:tab/>
      </w:r>
      <w:r>
        <w:rPr>
          <w:rFonts w:ascii="Times New Roman" w:hAnsi="Times New Roman"/>
          <w:b/>
        </w:rPr>
        <w:t>Post-Estimation Test Results</w:t>
      </w:r>
    </w:p>
    <w:bookmarkEnd w:id="1"/>
    <w:p w14:paraId="68804BBD" w14:textId="5B247F05" w:rsidR="00354394" w:rsidRPr="00FC3662" w:rsidRDefault="00354394" w:rsidP="00354394">
      <w:pPr>
        <w:shd w:val="clear" w:color="auto" w:fill="FFFFFF"/>
        <w:autoSpaceDE w:val="0"/>
        <w:autoSpaceDN w:val="0"/>
        <w:adjustRightInd w:val="0"/>
        <w:spacing w:before="120" w:after="0" w:line="360" w:lineRule="auto"/>
        <w:rPr>
          <w:rFonts w:ascii="Times New Roman" w:hAnsi="Times New Roman"/>
          <w:b/>
          <w:color w:val="000000"/>
        </w:rPr>
      </w:pPr>
      <w:r>
        <w:rPr>
          <w:rFonts w:ascii="Times New Roman" w:hAnsi="Times New Roman"/>
          <w:b/>
          <w:color w:val="000000"/>
        </w:rPr>
        <w:t>Table 5</w:t>
      </w:r>
      <w:r w:rsidRPr="00FC3662">
        <w:rPr>
          <w:rFonts w:ascii="Times New Roman" w:hAnsi="Times New Roman"/>
          <w:b/>
          <w:color w:val="000000"/>
        </w:rPr>
        <w:t xml:space="preserve">: Diagnostic Tests </w:t>
      </w:r>
    </w:p>
    <w:tbl>
      <w:tblPr>
        <w:tblStyle w:val="TableGrid2"/>
        <w:tblW w:w="91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2634"/>
        <w:gridCol w:w="3684"/>
        <w:gridCol w:w="2222"/>
      </w:tblGrid>
      <w:tr w:rsidR="00354394" w:rsidRPr="00FD0C2E" w14:paraId="0854C887" w14:textId="77777777" w:rsidTr="00B95DD6">
        <w:trPr>
          <w:trHeight w:val="96"/>
        </w:trPr>
        <w:tc>
          <w:tcPr>
            <w:tcW w:w="624" w:type="dxa"/>
            <w:tcBorders>
              <w:top w:val="single" w:sz="4" w:space="0" w:color="auto"/>
              <w:bottom w:val="single" w:sz="4" w:space="0" w:color="auto"/>
            </w:tcBorders>
          </w:tcPr>
          <w:p w14:paraId="1CE68833" w14:textId="77777777" w:rsidR="00354394" w:rsidRPr="00FD0C2E" w:rsidRDefault="00354394" w:rsidP="00B95DD6">
            <w:pPr>
              <w:autoSpaceDE w:val="0"/>
              <w:autoSpaceDN w:val="0"/>
              <w:adjustRightInd w:val="0"/>
              <w:rPr>
                <w:rFonts w:ascii="Times New Roman" w:hAnsi="Times New Roman"/>
                <w:b/>
                <w:color w:val="000000"/>
              </w:rPr>
            </w:pPr>
            <w:r w:rsidRPr="00FD0C2E">
              <w:rPr>
                <w:rFonts w:ascii="Times New Roman" w:hAnsi="Times New Roman"/>
                <w:b/>
                <w:color w:val="000000"/>
              </w:rPr>
              <w:t>S/N</w:t>
            </w:r>
          </w:p>
        </w:tc>
        <w:tc>
          <w:tcPr>
            <w:tcW w:w="2634" w:type="dxa"/>
            <w:tcBorders>
              <w:top w:val="single" w:sz="4" w:space="0" w:color="auto"/>
              <w:bottom w:val="single" w:sz="4" w:space="0" w:color="auto"/>
            </w:tcBorders>
          </w:tcPr>
          <w:p w14:paraId="5303CDA4" w14:textId="77777777" w:rsidR="00354394" w:rsidRPr="00FD0C2E" w:rsidRDefault="00354394" w:rsidP="00B95DD6">
            <w:pPr>
              <w:autoSpaceDE w:val="0"/>
              <w:autoSpaceDN w:val="0"/>
              <w:adjustRightInd w:val="0"/>
              <w:rPr>
                <w:rFonts w:ascii="Times New Roman" w:hAnsi="Times New Roman"/>
                <w:b/>
                <w:color w:val="000000"/>
              </w:rPr>
            </w:pPr>
            <w:r w:rsidRPr="00FD0C2E">
              <w:rPr>
                <w:rFonts w:ascii="Times New Roman" w:hAnsi="Times New Roman"/>
                <w:b/>
                <w:color w:val="000000"/>
              </w:rPr>
              <w:t xml:space="preserve">Test </w:t>
            </w:r>
          </w:p>
        </w:tc>
        <w:tc>
          <w:tcPr>
            <w:tcW w:w="3684" w:type="dxa"/>
            <w:tcBorders>
              <w:top w:val="single" w:sz="4" w:space="0" w:color="auto"/>
              <w:bottom w:val="single" w:sz="4" w:space="0" w:color="auto"/>
            </w:tcBorders>
          </w:tcPr>
          <w:p w14:paraId="53F4E07F" w14:textId="77777777" w:rsidR="00354394" w:rsidRPr="00EE67CD" w:rsidRDefault="00354394" w:rsidP="00B95DD6">
            <w:pPr>
              <w:autoSpaceDE w:val="0"/>
              <w:autoSpaceDN w:val="0"/>
              <w:adjustRightInd w:val="0"/>
              <w:rPr>
                <w:rFonts w:ascii="Times New Roman" w:hAnsi="Times New Roman"/>
                <w:b/>
                <w:i/>
                <w:color w:val="000000"/>
              </w:rPr>
            </w:pPr>
            <w:r>
              <w:rPr>
                <w:rFonts w:ascii="Times New Roman" w:hAnsi="Times New Roman"/>
                <w:b/>
                <w:i/>
                <w:color w:val="000000"/>
              </w:rPr>
              <w:t>p-value</w:t>
            </w:r>
          </w:p>
        </w:tc>
        <w:tc>
          <w:tcPr>
            <w:tcW w:w="2222" w:type="dxa"/>
            <w:tcBorders>
              <w:top w:val="single" w:sz="4" w:space="0" w:color="auto"/>
              <w:bottom w:val="single" w:sz="4" w:space="0" w:color="auto"/>
            </w:tcBorders>
          </w:tcPr>
          <w:p w14:paraId="745552C2" w14:textId="77777777" w:rsidR="00354394" w:rsidRPr="00FD0C2E" w:rsidRDefault="00354394" w:rsidP="00B95DD6">
            <w:pPr>
              <w:autoSpaceDE w:val="0"/>
              <w:autoSpaceDN w:val="0"/>
              <w:adjustRightInd w:val="0"/>
              <w:rPr>
                <w:rFonts w:ascii="Times New Roman" w:hAnsi="Times New Roman"/>
                <w:b/>
                <w:color w:val="000000"/>
              </w:rPr>
            </w:pPr>
            <w:r w:rsidRPr="00FD0C2E">
              <w:rPr>
                <w:rFonts w:ascii="Times New Roman" w:hAnsi="Times New Roman"/>
                <w:b/>
                <w:color w:val="000000"/>
              </w:rPr>
              <w:t xml:space="preserve">Decision </w:t>
            </w:r>
          </w:p>
        </w:tc>
      </w:tr>
      <w:tr w:rsidR="00354394" w:rsidRPr="00FD0C2E" w14:paraId="0C0D6B00" w14:textId="77777777" w:rsidTr="00B95DD6">
        <w:tc>
          <w:tcPr>
            <w:tcW w:w="624" w:type="dxa"/>
            <w:tcBorders>
              <w:top w:val="single" w:sz="4" w:space="0" w:color="auto"/>
            </w:tcBorders>
          </w:tcPr>
          <w:p w14:paraId="379D93D2"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1.</w:t>
            </w:r>
          </w:p>
        </w:tc>
        <w:tc>
          <w:tcPr>
            <w:tcW w:w="2634" w:type="dxa"/>
            <w:tcBorders>
              <w:top w:val="single" w:sz="4" w:space="0" w:color="auto"/>
            </w:tcBorders>
          </w:tcPr>
          <w:p w14:paraId="333CC2A5"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Breusch-Godfrey serial correlation LM test</w:t>
            </w:r>
          </w:p>
        </w:tc>
        <w:tc>
          <w:tcPr>
            <w:tcW w:w="3684" w:type="dxa"/>
            <w:tcBorders>
              <w:top w:val="single" w:sz="4" w:space="0" w:color="auto"/>
            </w:tcBorders>
          </w:tcPr>
          <w:p w14:paraId="3D04083C"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0.</w:t>
            </w:r>
            <w:r>
              <w:rPr>
                <w:rFonts w:ascii="Times New Roman" w:hAnsi="Times New Roman"/>
                <w:color w:val="000000"/>
              </w:rPr>
              <w:t>2128</w:t>
            </w:r>
          </w:p>
        </w:tc>
        <w:tc>
          <w:tcPr>
            <w:tcW w:w="2222" w:type="dxa"/>
            <w:tcBorders>
              <w:top w:val="single" w:sz="4" w:space="0" w:color="auto"/>
            </w:tcBorders>
          </w:tcPr>
          <w:p w14:paraId="5EBCCCE6"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No serial correlation.</w:t>
            </w:r>
          </w:p>
        </w:tc>
      </w:tr>
      <w:tr w:rsidR="00354394" w:rsidRPr="00FD0C2E" w14:paraId="43447465" w14:textId="77777777" w:rsidTr="00B95DD6">
        <w:tc>
          <w:tcPr>
            <w:tcW w:w="624" w:type="dxa"/>
          </w:tcPr>
          <w:p w14:paraId="79CE9180"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2.</w:t>
            </w:r>
          </w:p>
        </w:tc>
        <w:tc>
          <w:tcPr>
            <w:tcW w:w="2634" w:type="dxa"/>
          </w:tcPr>
          <w:p w14:paraId="04B0C5AD"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Durbin Watson Statistic</w:t>
            </w:r>
          </w:p>
        </w:tc>
        <w:tc>
          <w:tcPr>
            <w:tcW w:w="3684" w:type="dxa"/>
          </w:tcPr>
          <w:p w14:paraId="0C9C402A"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1.</w:t>
            </w:r>
            <w:r>
              <w:rPr>
                <w:rFonts w:ascii="Times New Roman" w:hAnsi="Times New Roman"/>
                <w:color w:val="000000"/>
              </w:rPr>
              <w:t>9421</w:t>
            </w:r>
          </w:p>
        </w:tc>
        <w:tc>
          <w:tcPr>
            <w:tcW w:w="2222" w:type="dxa"/>
          </w:tcPr>
          <w:p w14:paraId="61563537"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No Autocorrelation</w:t>
            </w:r>
          </w:p>
        </w:tc>
      </w:tr>
      <w:tr w:rsidR="00354394" w:rsidRPr="00FD0C2E" w14:paraId="189894FE" w14:textId="77777777" w:rsidTr="00B95DD6">
        <w:tc>
          <w:tcPr>
            <w:tcW w:w="624" w:type="dxa"/>
          </w:tcPr>
          <w:p w14:paraId="3432125F"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3.</w:t>
            </w:r>
          </w:p>
        </w:tc>
        <w:tc>
          <w:tcPr>
            <w:tcW w:w="2634" w:type="dxa"/>
          </w:tcPr>
          <w:p w14:paraId="7FF78B84"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Breusch-Pagan-Godfrey Heteroscedasticity Test </w:t>
            </w:r>
          </w:p>
        </w:tc>
        <w:tc>
          <w:tcPr>
            <w:tcW w:w="3684" w:type="dxa"/>
          </w:tcPr>
          <w:p w14:paraId="56B05252"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0.</w:t>
            </w:r>
            <w:r>
              <w:rPr>
                <w:rFonts w:ascii="Times New Roman" w:hAnsi="Times New Roman"/>
                <w:color w:val="000000"/>
              </w:rPr>
              <w:t>9523</w:t>
            </w:r>
          </w:p>
        </w:tc>
        <w:tc>
          <w:tcPr>
            <w:tcW w:w="2222" w:type="dxa"/>
          </w:tcPr>
          <w:p w14:paraId="4552E7EF"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No Heteroscedasticity</w:t>
            </w:r>
          </w:p>
        </w:tc>
      </w:tr>
      <w:tr w:rsidR="00354394" w:rsidRPr="00FD0C2E" w14:paraId="087B013C" w14:textId="77777777" w:rsidTr="00B95DD6">
        <w:tc>
          <w:tcPr>
            <w:tcW w:w="624" w:type="dxa"/>
          </w:tcPr>
          <w:p w14:paraId="30988D98"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4.</w:t>
            </w:r>
          </w:p>
        </w:tc>
        <w:tc>
          <w:tcPr>
            <w:tcW w:w="2634" w:type="dxa"/>
          </w:tcPr>
          <w:p w14:paraId="677CD855"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CUSUM Test</w:t>
            </w:r>
          </w:p>
        </w:tc>
        <w:tc>
          <w:tcPr>
            <w:tcW w:w="3684" w:type="dxa"/>
          </w:tcPr>
          <w:p w14:paraId="3B842619"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Within bands of 5% significance level</w:t>
            </w:r>
          </w:p>
        </w:tc>
        <w:tc>
          <w:tcPr>
            <w:tcW w:w="2222" w:type="dxa"/>
          </w:tcPr>
          <w:p w14:paraId="57B6522A"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Stable</w:t>
            </w:r>
          </w:p>
        </w:tc>
      </w:tr>
      <w:tr w:rsidR="00354394" w:rsidRPr="00FD0C2E" w14:paraId="04C0D038" w14:textId="77777777" w:rsidTr="00B95DD6">
        <w:tc>
          <w:tcPr>
            <w:tcW w:w="624" w:type="dxa"/>
          </w:tcPr>
          <w:p w14:paraId="71EB0474"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5.</w:t>
            </w:r>
          </w:p>
        </w:tc>
        <w:tc>
          <w:tcPr>
            <w:tcW w:w="2634" w:type="dxa"/>
          </w:tcPr>
          <w:p w14:paraId="6016D60B"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Normality (Residual) Test </w:t>
            </w:r>
          </w:p>
        </w:tc>
        <w:tc>
          <w:tcPr>
            <w:tcW w:w="3684" w:type="dxa"/>
          </w:tcPr>
          <w:p w14:paraId="671E403B"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Skewness: </w:t>
            </w:r>
            <w:r>
              <w:rPr>
                <w:rFonts w:ascii="Times New Roman" w:hAnsi="Times New Roman"/>
                <w:color w:val="000000"/>
              </w:rPr>
              <w:t>-0</w:t>
            </w:r>
            <w:r w:rsidRPr="00FD0C2E">
              <w:rPr>
                <w:rFonts w:ascii="Times New Roman" w:hAnsi="Times New Roman"/>
                <w:color w:val="000000"/>
              </w:rPr>
              <w:t>.</w:t>
            </w:r>
            <w:r>
              <w:rPr>
                <w:rFonts w:ascii="Times New Roman" w:hAnsi="Times New Roman"/>
                <w:color w:val="000000"/>
              </w:rPr>
              <w:t>951574</w:t>
            </w:r>
            <w:r w:rsidRPr="00FD0C2E">
              <w:rPr>
                <w:rFonts w:ascii="Times New Roman" w:hAnsi="Times New Roman"/>
                <w:color w:val="000000"/>
              </w:rPr>
              <w:t xml:space="preserve"> </w:t>
            </w:r>
          </w:p>
          <w:p w14:paraId="0E930847"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Kurtosis: </w:t>
            </w:r>
            <w:r>
              <w:rPr>
                <w:rFonts w:ascii="Times New Roman" w:hAnsi="Times New Roman"/>
                <w:color w:val="000000"/>
              </w:rPr>
              <w:t>3</w:t>
            </w:r>
            <w:r w:rsidRPr="00FD0C2E">
              <w:rPr>
                <w:rFonts w:ascii="Times New Roman" w:hAnsi="Times New Roman"/>
                <w:color w:val="000000"/>
              </w:rPr>
              <w:t>.</w:t>
            </w:r>
            <w:r>
              <w:rPr>
                <w:rFonts w:ascii="Times New Roman" w:hAnsi="Times New Roman"/>
                <w:color w:val="000000"/>
              </w:rPr>
              <w:t>348892</w:t>
            </w:r>
          </w:p>
          <w:p w14:paraId="39B15466" w14:textId="77777777" w:rsidR="00354394" w:rsidRPr="00FD0C2E" w:rsidRDefault="00354394" w:rsidP="00B95DD6">
            <w:pPr>
              <w:autoSpaceDE w:val="0"/>
              <w:autoSpaceDN w:val="0"/>
              <w:adjustRightInd w:val="0"/>
              <w:rPr>
                <w:rFonts w:ascii="Times New Roman" w:hAnsi="Times New Roman"/>
                <w:color w:val="000000"/>
              </w:rPr>
            </w:pPr>
            <w:r>
              <w:rPr>
                <w:rFonts w:ascii="Times New Roman" w:hAnsi="Times New Roman"/>
                <w:color w:val="000000"/>
              </w:rPr>
              <w:t>Jarque-Bera: 5</w:t>
            </w:r>
            <w:r w:rsidRPr="00FD0C2E">
              <w:rPr>
                <w:rFonts w:ascii="Times New Roman" w:hAnsi="Times New Roman"/>
                <w:color w:val="000000"/>
              </w:rPr>
              <w:t>.</w:t>
            </w:r>
            <w:r>
              <w:rPr>
                <w:rFonts w:ascii="Times New Roman" w:hAnsi="Times New Roman"/>
                <w:color w:val="000000"/>
              </w:rPr>
              <w:t>459658</w:t>
            </w:r>
            <w:r w:rsidRPr="00FD0C2E">
              <w:rPr>
                <w:rFonts w:ascii="Times New Roman" w:hAnsi="Times New Roman"/>
                <w:color w:val="000000"/>
              </w:rPr>
              <w:t xml:space="preserve"> (p</w:t>
            </w:r>
            <w:r>
              <w:rPr>
                <w:rFonts w:ascii="Times New Roman" w:hAnsi="Times New Roman"/>
                <w:color w:val="000000"/>
              </w:rPr>
              <w:t>=</w:t>
            </w:r>
            <w:r w:rsidRPr="00FD0C2E">
              <w:rPr>
                <w:rFonts w:ascii="Times New Roman" w:hAnsi="Times New Roman"/>
                <w:color w:val="000000"/>
              </w:rPr>
              <w:t>0.0</w:t>
            </w:r>
            <w:r>
              <w:rPr>
                <w:rFonts w:ascii="Times New Roman" w:hAnsi="Times New Roman"/>
                <w:color w:val="000000"/>
              </w:rPr>
              <w:t>652</w:t>
            </w:r>
            <w:r w:rsidRPr="00FD0C2E">
              <w:rPr>
                <w:rFonts w:ascii="Times New Roman" w:hAnsi="Times New Roman"/>
                <w:color w:val="000000"/>
              </w:rPr>
              <w:t xml:space="preserve">) </w:t>
            </w:r>
          </w:p>
        </w:tc>
        <w:tc>
          <w:tcPr>
            <w:tcW w:w="2222" w:type="dxa"/>
          </w:tcPr>
          <w:p w14:paraId="62FFA744"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 xml:space="preserve">Series are </w:t>
            </w:r>
            <w:r>
              <w:rPr>
                <w:rFonts w:ascii="Times New Roman" w:hAnsi="Times New Roman"/>
                <w:color w:val="000000"/>
              </w:rPr>
              <w:t xml:space="preserve">not </w:t>
            </w:r>
            <w:r w:rsidRPr="00FD0C2E">
              <w:rPr>
                <w:rFonts w:ascii="Times New Roman" w:hAnsi="Times New Roman"/>
                <w:color w:val="000000"/>
              </w:rPr>
              <w:t xml:space="preserve">normally distributed. </w:t>
            </w:r>
          </w:p>
        </w:tc>
      </w:tr>
      <w:tr w:rsidR="00354394" w:rsidRPr="00FD0C2E" w14:paraId="150B8F46" w14:textId="77777777" w:rsidTr="00B95DD6">
        <w:tc>
          <w:tcPr>
            <w:tcW w:w="624" w:type="dxa"/>
          </w:tcPr>
          <w:p w14:paraId="7400B920"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6.</w:t>
            </w:r>
          </w:p>
        </w:tc>
        <w:tc>
          <w:tcPr>
            <w:tcW w:w="2634" w:type="dxa"/>
          </w:tcPr>
          <w:p w14:paraId="5ACAF716"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R-square</w:t>
            </w:r>
            <w:r>
              <w:rPr>
                <w:rFonts w:ascii="Times New Roman" w:hAnsi="Times New Roman"/>
                <w:color w:val="000000"/>
              </w:rPr>
              <w:t>d</w:t>
            </w:r>
          </w:p>
        </w:tc>
        <w:tc>
          <w:tcPr>
            <w:tcW w:w="3684" w:type="dxa"/>
          </w:tcPr>
          <w:p w14:paraId="3775E793" w14:textId="77777777" w:rsidR="00354394" w:rsidRPr="00FD0C2E" w:rsidRDefault="00354394" w:rsidP="00B95DD6">
            <w:pPr>
              <w:autoSpaceDE w:val="0"/>
              <w:autoSpaceDN w:val="0"/>
              <w:adjustRightInd w:val="0"/>
              <w:rPr>
                <w:rFonts w:ascii="Times New Roman" w:hAnsi="Times New Roman"/>
                <w:color w:val="000000"/>
              </w:rPr>
            </w:pPr>
            <w:r>
              <w:rPr>
                <w:rFonts w:ascii="Times New Roman" w:hAnsi="Times New Roman"/>
                <w:color w:val="000000"/>
              </w:rPr>
              <w:t>0.9112 (91.12%)</w:t>
            </w:r>
          </w:p>
        </w:tc>
        <w:tc>
          <w:tcPr>
            <w:tcW w:w="2222" w:type="dxa"/>
          </w:tcPr>
          <w:p w14:paraId="4141D169" w14:textId="77777777" w:rsidR="00354394" w:rsidRPr="00FD0C2E" w:rsidRDefault="00354394" w:rsidP="00B95DD6">
            <w:pPr>
              <w:autoSpaceDE w:val="0"/>
              <w:autoSpaceDN w:val="0"/>
              <w:adjustRightInd w:val="0"/>
              <w:rPr>
                <w:rFonts w:ascii="Times New Roman" w:hAnsi="Times New Roman"/>
                <w:color w:val="000000"/>
              </w:rPr>
            </w:pPr>
            <w:r w:rsidRPr="00FD0C2E">
              <w:rPr>
                <w:rFonts w:ascii="Times New Roman" w:hAnsi="Times New Roman"/>
                <w:color w:val="000000"/>
              </w:rPr>
              <w:t>High explanatory coefficient</w:t>
            </w:r>
          </w:p>
        </w:tc>
      </w:tr>
    </w:tbl>
    <w:p w14:paraId="77843A02" w14:textId="77777777" w:rsidR="00354394" w:rsidRDefault="00354394" w:rsidP="00354394">
      <w:pPr>
        <w:shd w:val="clear" w:color="auto" w:fill="FFFFFF"/>
        <w:autoSpaceDE w:val="0"/>
        <w:autoSpaceDN w:val="0"/>
        <w:adjustRightInd w:val="0"/>
        <w:spacing w:after="0" w:line="360" w:lineRule="auto"/>
        <w:rPr>
          <w:rFonts w:ascii="Times New Roman" w:hAnsi="Times New Roman"/>
          <w:color w:val="000000"/>
        </w:rPr>
      </w:pPr>
      <w:r w:rsidRPr="00FC3662">
        <w:rPr>
          <w:rFonts w:ascii="Times New Roman" w:hAnsi="Times New Roman"/>
          <w:b/>
          <w:color w:val="000000"/>
        </w:rPr>
        <w:t>Source:</w:t>
      </w:r>
      <w:r w:rsidRPr="00CE39A8">
        <w:rPr>
          <w:rFonts w:ascii="Times New Roman" w:hAnsi="Times New Roman"/>
          <w:color w:val="000000"/>
        </w:rPr>
        <w:t xml:space="preserve"> </w:t>
      </w:r>
      <w:r>
        <w:rPr>
          <w:rFonts w:ascii="Times New Roman" w:hAnsi="Times New Roman"/>
          <w:color w:val="000000"/>
        </w:rPr>
        <w:t>Extracted from E-Views 9.0 output (See Appendix)</w:t>
      </w:r>
    </w:p>
    <w:p w14:paraId="26B246CE" w14:textId="77777777" w:rsidR="00C373EF" w:rsidRPr="00CE39A8" w:rsidRDefault="00C373EF" w:rsidP="00354394">
      <w:pPr>
        <w:shd w:val="clear" w:color="auto" w:fill="FFFFFF"/>
        <w:autoSpaceDE w:val="0"/>
        <w:autoSpaceDN w:val="0"/>
        <w:adjustRightInd w:val="0"/>
        <w:spacing w:after="0" w:line="360" w:lineRule="auto"/>
        <w:rPr>
          <w:rFonts w:ascii="Times New Roman" w:hAnsi="Times New Roman"/>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373EF" w:rsidRPr="004F38E3" w14:paraId="20468EDA" w14:textId="77777777" w:rsidTr="00B95DD6">
        <w:trPr>
          <w:trHeight w:val="225"/>
        </w:trPr>
        <w:tc>
          <w:tcPr>
            <w:tcW w:w="5535" w:type="dxa"/>
            <w:gridSpan w:val="4"/>
            <w:tcBorders>
              <w:top w:val="nil"/>
              <w:left w:val="nil"/>
              <w:bottom w:val="nil"/>
              <w:right w:val="nil"/>
            </w:tcBorders>
            <w:vAlign w:val="bottom"/>
          </w:tcPr>
          <w:p w14:paraId="20530BDA" w14:textId="77777777" w:rsidR="00C373EF" w:rsidRPr="004F38E3" w:rsidRDefault="00C373EF" w:rsidP="00B95DD6">
            <w:pPr>
              <w:autoSpaceDE w:val="0"/>
              <w:autoSpaceDN w:val="0"/>
              <w:adjustRightInd w:val="0"/>
              <w:spacing w:after="0" w:line="240" w:lineRule="auto"/>
              <w:rPr>
                <w:rFonts w:ascii="Arial" w:hAnsi="Arial" w:cs="Arial"/>
                <w:color w:val="000000"/>
                <w:sz w:val="18"/>
                <w:szCs w:val="18"/>
              </w:rPr>
            </w:pPr>
            <w:r w:rsidRPr="004F38E3">
              <w:rPr>
                <w:rFonts w:ascii="Arial" w:hAnsi="Arial" w:cs="Arial"/>
                <w:color w:val="000000"/>
                <w:sz w:val="18"/>
                <w:szCs w:val="18"/>
              </w:rPr>
              <w:t>Breusch-Godfrey Serial Correlation LM Test:</w:t>
            </w:r>
          </w:p>
        </w:tc>
        <w:tc>
          <w:tcPr>
            <w:tcW w:w="997" w:type="dxa"/>
            <w:tcBorders>
              <w:top w:val="nil"/>
              <w:left w:val="nil"/>
              <w:bottom w:val="nil"/>
              <w:right w:val="nil"/>
            </w:tcBorders>
            <w:vAlign w:val="bottom"/>
          </w:tcPr>
          <w:p w14:paraId="2CFA7AD2"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3E33B39A" w14:textId="77777777" w:rsidTr="00B95DD6">
        <w:trPr>
          <w:trHeight w:hRule="exact" w:val="90"/>
        </w:trPr>
        <w:tc>
          <w:tcPr>
            <w:tcW w:w="2017" w:type="dxa"/>
            <w:tcBorders>
              <w:top w:val="nil"/>
              <w:left w:val="nil"/>
              <w:bottom w:val="double" w:sz="6" w:space="2" w:color="auto"/>
              <w:right w:val="nil"/>
            </w:tcBorders>
            <w:vAlign w:val="bottom"/>
          </w:tcPr>
          <w:p w14:paraId="4DE2FC6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7F94ED7"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2523EA9"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83AA7D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D45EA20"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6EE3ABE3" w14:textId="77777777" w:rsidTr="00B95DD6">
        <w:trPr>
          <w:trHeight w:hRule="exact" w:val="135"/>
        </w:trPr>
        <w:tc>
          <w:tcPr>
            <w:tcW w:w="2017" w:type="dxa"/>
            <w:tcBorders>
              <w:top w:val="nil"/>
              <w:left w:val="nil"/>
              <w:bottom w:val="nil"/>
              <w:right w:val="nil"/>
            </w:tcBorders>
            <w:vAlign w:val="bottom"/>
          </w:tcPr>
          <w:p w14:paraId="607DFCF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C5DE69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96439C6"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50931A1"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CC1B904"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3D75025A" w14:textId="77777777" w:rsidTr="00B95DD6">
        <w:trPr>
          <w:trHeight w:val="225"/>
        </w:trPr>
        <w:tc>
          <w:tcPr>
            <w:tcW w:w="2017" w:type="dxa"/>
            <w:tcBorders>
              <w:top w:val="nil"/>
              <w:left w:val="nil"/>
              <w:bottom w:val="nil"/>
              <w:right w:val="nil"/>
            </w:tcBorders>
            <w:vAlign w:val="bottom"/>
          </w:tcPr>
          <w:p w14:paraId="2F4610B6" w14:textId="77777777" w:rsidR="00C373EF" w:rsidRPr="004F38E3" w:rsidRDefault="00C373EF" w:rsidP="00B95DD6">
            <w:pPr>
              <w:autoSpaceDE w:val="0"/>
              <w:autoSpaceDN w:val="0"/>
              <w:adjustRightInd w:val="0"/>
              <w:spacing w:after="0" w:line="240" w:lineRule="auto"/>
              <w:rPr>
                <w:rFonts w:ascii="Arial" w:hAnsi="Arial" w:cs="Arial"/>
                <w:color w:val="000000"/>
                <w:sz w:val="18"/>
                <w:szCs w:val="18"/>
              </w:rPr>
            </w:pPr>
            <w:r w:rsidRPr="004F38E3">
              <w:rPr>
                <w:rFonts w:ascii="Arial" w:hAnsi="Arial" w:cs="Arial"/>
                <w:color w:val="000000"/>
                <w:sz w:val="18"/>
                <w:szCs w:val="18"/>
              </w:rPr>
              <w:t>F-statistic</w:t>
            </w:r>
          </w:p>
        </w:tc>
        <w:tc>
          <w:tcPr>
            <w:tcW w:w="1103" w:type="dxa"/>
            <w:tcBorders>
              <w:top w:val="nil"/>
              <w:left w:val="nil"/>
              <w:bottom w:val="nil"/>
              <w:right w:val="nil"/>
            </w:tcBorders>
            <w:vAlign w:val="bottom"/>
          </w:tcPr>
          <w:p w14:paraId="2DFBE9AA"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r w:rsidRPr="004F38E3">
              <w:rPr>
                <w:rFonts w:ascii="Arial" w:hAnsi="Arial" w:cs="Arial"/>
                <w:color w:val="000000"/>
                <w:sz w:val="18"/>
                <w:szCs w:val="18"/>
              </w:rPr>
              <w:t>.45329</w:t>
            </w:r>
            <w:r>
              <w:rPr>
                <w:rFonts w:ascii="Arial" w:hAnsi="Arial" w:cs="Arial"/>
                <w:color w:val="000000"/>
                <w:sz w:val="18"/>
                <w:szCs w:val="18"/>
              </w:rPr>
              <w:t>0</w:t>
            </w:r>
          </w:p>
        </w:tc>
        <w:tc>
          <w:tcPr>
            <w:tcW w:w="2415" w:type="dxa"/>
            <w:gridSpan w:val="2"/>
            <w:tcBorders>
              <w:top w:val="nil"/>
              <w:left w:val="nil"/>
              <w:bottom w:val="nil"/>
              <w:right w:val="nil"/>
            </w:tcBorders>
            <w:vAlign w:val="bottom"/>
          </w:tcPr>
          <w:p w14:paraId="343FE68A" w14:textId="77777777" w:rsidR="00C373EF" w:rsidRPr="004F38E3" w:rsidRDefault="00C373EF" w:rsidP="00B95DD6">
            <w:pPr>
              <w:autoSpaceDE w:val="0"/>
              <w:autoSpaceDN w:val="0"/>
              <w:adjustRightInd w:val="0"/>
              <w:spacing w:after="0" w:line="240" w:lineRule="auto"/>
              <w:ind w:right="10"/>
              <w:rPr>
                <w:rFonts w:ascii="Arial" w:hAnsi="Arial" w:cs="Arial"/>
                <w:color w:val="000000"/>
                <w:sz w:val="18"/>
                <w:szCs w:val="18"/>
              </w:rPr>
            </w:pPr>
            <w:r w:rsidRPr="004F38E3">
              <w:rPr>
                <w:rFonts w:ascii="Arial" w:hAnsi="Arial" w:cs="Arial"/>
                <w:color w:val="000000"/>
                <w:sz w:val="18"/>
                <w:szCs w:val="18"/>
              </w:rPr>
              <w:t>    Prob. F(2,26)</w:t>
            </w:r>
          </w:p>
        </w:tc>
        <w:tc>
          <w:tcPr>
            <w:tcW w:w="997" w:type="dxa"/>
            <w:tcBorders>
              <w:top w:val="nil"/>
              <w:left w:val="nil"/>
              <w:bottom w:val="nil"/>
              <w:right w:val="nil"/>
            </w:tcBorders>
            <w:vAlign w:val="bottom"/>
          </w:tcPr>
          <w:p w14:paraId="127C166D"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sidRPr="004F38E3">
              <w:rPr>
                <w:rFonts w:ascii="Arial" w:hAnsi="Arial" w:cs="Arial"/>
                <w:color w:val="000000"/>
                <w:sz w:val="18"/>
                <w:szCs w:val="18"/>
              </w:rPr>
              <w:t>0.</w:t>
            </w:r>
            <w:r>
              <w:rPr>
                <w:rFonts w:ascii="Arial" w:hAnsi="Arial" w:cs="Arial"/>
                <w:color w:val="000000"/>
                <w:sz w:val="18"/>
                <w:szCs w:val="18"/>
              </w:rPr>
              <w:t>2128</w:t>
            </w:r>
          </w:p>
        </w:tc>
      </w:tr>
      <w:tr w:rsidR="00C373EF" w:rsidRPr="004F38E3" w14:paraId="04A7DE5D" w14:textId="77777777" w:rsidTr="00B95DD6">
        <w:trPr>
          <w:trHeight w:val="225"/>
        </w:trPr>
        <w:tc>
          <w:tcPr>
            <w:tcW w:w="2017" w:type="dxa"/>
            <w:tcBorders>
              <w:top w:val="nil"/>
              <w:left w:val="nil"/>
              <w:bottom w:val="nil"/>
              <w:right w:val="nil"/>
            </w:tcBorders>
            <w:vAlign w:val="bottom"/>
          </w:tcPr>
          <w:p w14:paraId="4CE81DB9" w14:textId="77777777" w:rsidR="00C373EF" w:rsidRPr="004F38E3" w:rsidRDefault="00C373EF" w:rsidP="00B95DD6">
            <w:pPr>
              <w:autoSpaceDE w:val="0"/>
              <w:autoSpaceDN w:val="0"/>
              <w:adjustRightInd w:val="0"/>
              <w:spacing w:after="0" w:line="240" w:lineRule="auto"/>
              <w:rPr>
                <w:rFonts w:ascii="Arial" w:hAnsi="Arial" w:cs="Arial"/>
                <w:color w:val="000000"/>
                <w:sz w:val="18"/>
                <w:szCs w:val="18"/>
              </w:rPr>
            </w:pPr>
            <w:proofErr w:type="spellStart"/>
            <w:r w:rsidRPr="004F38E3">
              <w:rPr>
                <w:rFonts w:ascii="Arial" w:hAnsi="Arial" w:cs="Arial"/>
                <w:color w:val="000000"/>
                <w:sz w:val="18"/>
                <w:szCs w:val="18"/>
              </w:rPr>
              <w:t>Obs</w:t>
            </w:r>
            <w:proofErr w:type="spellEnd"/>
            <w:r w:rsidRPr="004F38E3">
              <w:rPr>
                <w:rFonts w:ascii="Arial" w:hAnsi="Arial" w:cs="Arial"/>
                <w:color w:val="000000"/>
                <w:sz w:val="18"/>
                <w:szCs w:val="18"/>
              </w:rPr>
              <w:t>*R-squared</w:t>
            </w:r>
          </w:p>
        </w:tc>
        <w:tc>
          <w:tcPr>
            <w:tcW w:w="1103" w:type="dxa"/>
            <w:tcBorders>
              <w:top w:val="nil"/>
              <w:left w:val="nil"/>
              <w:bottom w:val="nil"/>
              <w:right w:val="nil"/>
            </w:tcBorders>
            <w:vAlign w:val="bottom"/>
          </w:tcPr>
          <w:p w14:paraId="7FC912AD"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sidRPr="004F38E3">
              <w:rPr>
                <w:rFonts w:ascii="Arial" w:hAnsi="Arial" w:cs="Arial"/>
                <w:color w:val="000000"/>
                <w:sz w:val="18"/>
                <w:szCs w:val="18"/>
              </w:rPr>
              <w:t>2.</w:t>
            </w:r>
            <w:r>
              <w:rPr>
                <w:rFonts w:ascii="Arial" w:hAnsi="Arial" w:cs="Arial"/>
                <w:color w:val="000000"/>
                <w:sz w:val="18"/>
                <w:szCs w:val="18"/>
              </w:rPr>
              <w:t>0</w:t>
            </w:r>
            <w:r w:rsidRPr="004F38E3">
              <w:rPr>
                <w:rFonts w:ascii="Arial" w:hAnsi="Arial" w:cs="Arial"/>
                <w:color w:val="000000"/>
                <w:sz w:val="18"/>
                <w:szCs w:val="18"/>
              </w:rPr>
              <w:t>05909</w:t>
            </w:r>
          </w:p>
        </w:tc>
        <w:tc>
          <w:tcPr>
            <w:tcW w:w="2415" w:type="dxa"/>
            <w:gridSpan w:val="2"/>
            <w:tcBorders>
              <w:top w:val="nil"/>
              <w:left w:val="nil"/>
              <w:bottom w:val="nil"/>
              <w:right w:val="nil"/>
            </w:tcBorders>
            <w:vAlign w:val="bottom"/>
          </w:tcPr>
          <w:p w14:paraId="5FDE7A32" w14:textId="77777777" w:rsidR="00C373EF" w:rsidRPr="004F38E3" w:rsidRDefault="00C373EF" w:rsidP="00B95DD6">
            <w:pPr>
              <w:autoSpaceDE w:val="0"/>
              <w:autoSpaceDN w:val="0"/>
              <w:adjustRightInd w:val="0"/>
              <w:spacing w:after="0" w:line="240" w:lineRule="auto"/>
              <w:ind w:right="10"/>
              <w:rPr>
                <w:rFonts w:ascii="Arial" w:hAnsi="Arial" w:cs="Arial"/>
                <w:color w:val="000000"/>
                <w:sz w:val="18"/>
                <w:szCs w:val="18"/>
              </w:rPr>
            </w:pPr>
            <w:r w:rsidRPr="004F38E3">
              <w:rPr>
                <w:rFonts w:ascii="Arial" w:hAnsi="Arial" w:cs="Arial"/>
                <w:color w:val="000000"/>
                <w:sz w:val="18"/>
                <w:szCs w:val="18"/>
              </w:rPr>
              <w:t>    Prob. Chi-Square(2)</w:t>
            </w:r>
          </w:p>
        </w:tc>
        <w:tc>
          <w:tcPr>
            <w:tcW w:w="997" w:type="dxa"/>
            <w:tcBorders>
              <w:top w:val="nil"/>
              <w:left w:val="nil"/>
              <w:bottom w:val="nil"/>
              <w:right w:val="nil"/>
            </w:tcBorders>
            <w:vAlign w:val="bottom"/>
          </w:tcPr>
          <w:p w14:paraId="7502BA09" w14:textId="77777777" w:rsidR="00C373EF" w:rsidRPr="004F38E3" w:rsidRDefault="00C373EF" w:rsidP="00B95DD6">
            <w:pPr>
              <w:autoSpaceDE w:val="0"/>
              <w:autoSpaceDN w:val="0"/>
              <w:adjustRightInd w:val="0"/>
              <w:spacing w:after="0" w:line="240" w:lineRule="auto"/>
              <w:ind w:right="10"/>
              <w:jc w:val="right"/>
              <w:rPr>
                <w:rFonts w:ascii="Arial" w:hAnsi="Arial" w:cs="Arial"/>
                <w:color w:val="000000"/>
                <w:sz w:val="18"/>
                <w:szCs w:val="18"/>
              </w:rPr>
            </w:pPr>
            <w:r w:rsidRPr="004F38E3">
              <w:rPr>
                <w:rFonts w:ascii="Arial" w:hAnsi="Arial" w:cs="Arial"/>
                <w:color w:val="000000"/>
                <w:sz w:val="18"/>
                <w:szCs w:val="18"/>
              </w:rPr>
              <w:t>0.0</w:t>
            </w:r>
            <w:r>
              <w:rPr>
                <w:rFonts w:ascii="Arial" w:hAnsi="Arial" w:cs="Arial"/>
                <w:color w:val="000000"/>
                <w:sz w:val="18"/>
                <w:szCs w:val="18"/>
              </w:rPr>
              <w:t>7</w:t>
            </w:r>
            <w:r w:rsidRPr="004F38E3">
              <w:rPr>
                <w:rFonts w:ascii="Arial" w:hAnsi="Arial" w:cs="Arial"/>
                <w:color w:val="000000"/>
                <w:sz w:val="18"/>
                <w:szCs w:val="18"/>
              </w:rPr>
              <w:t>00</w:t>
            </w:r>
          </w:p>
        </w:tc>
      </w:tr>
      <w:tr w:rsidR="00C373EF" w:rsidRPr="004F38E3" w14:paraId="2E38FC1C" w14:textId="77777777" w:rsidTr="00B95DD6">
        <w:trPr>
          <w:trHeight w:hRule="exact" w:val="90"/>
        </w:trPr>
        <w:tc>
          <w:tcPr>
            <w:tcW w:w="2017" w:type="dxa"/>
            <w:tcBorders>
              <w:top w:val="nil"/>
              <w:left w:val="nil"/>
              <w:bottom w:val="double" w:sz="6" w:space="2" w:color="auto"/>
              <w:right w:val="nil"/>
            </w:tcBorders>
            <w:vAlign w:val="bottom"/>
          </w:tcPr>
          <w:p w14:paraId="370A494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0A96104"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CFB897B"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8D601E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5141366"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r w:rsidR="00C373EF" w:rsidRPr="004F38E3" w14:paraId="307DF331" w14:textId="77777777" w:rsidTr="00B95DD6">
        <w:trPr>
          <w:trHeight w:hRule="exact" w:val="135"/>
        </w:trPr>
        <w:tc>
          <w:tcPr>
            <w:tcW w:w="2017" w:type="dxa"/>
            <w:tcBorders>
              <w:top w:val="nil"/>
              <w:left w:val="nil"/>
              <w:bottom w:val="nil"/>
              <w:right w:val="nil"/>
            </w:tcBorders>
            <w:vAlign w:val="bottom"/>
          </w:tcPr>
          <w:p w14:paraId="5B2C7FA8"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2A46CB"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1EAAFC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365B9C3"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0943339" w14:textId="77777777" w:rsidR="00C373EF" w:rsidRPr="004F38E3" w:rsidRDefault="00C373EF" w:rsidP="00B95DD6">
            <w:pPr>
              <w:autoSpaceDE w:val="0"/>
              <w:autoSpaceDN w:val="0"/>
              <w:adjustRightInd w:val="0"/>
              <w:spacing w:after="0" w:line="240" w:lineRule="auto"/>
              <w:jc w:val="center"/>
              <w:rPr>
                <w:rFonts w:ascii="Arial" w:hAnsi="Arial" w:cs="Arial"/>
                <w:color w:val="000000"/>
                <w:sz w:val="18"/>
                <w:szCs w:val="18"/>
              </w:rPr>
            </w:pPr>
          </w:p>
        </w:tc>
      </w:tr>
    </w:tbl>
    <w:p w14:paraId="6AE75E56" w14:textId="77777777" w:rsidR="00B96254" w:rsidRPr="00B96254" w:rsidRDefault="00B96254" w:rsidP="00C373EF">
      <w:pPr>
        <w:rPr>
          <w:rFonts w:ascii="Times New Roman" w:hAnsi="Times New Roman" w:cs="Times New Roman"/>
          <w:b/>
          <w:sz w:val="24"/>
          <w:szCs w:val="24"/>
        </w:rPr>
      </w:pPr>
    </w:p>
    <w:p w14:paraId="491B0AA5" w14:textId="322F30D2" w:rsidR="00C373EF" w:rsidRDefault="00B96254" w:rsidP="00C373EF">
      <w:r>
        <w:rPr>
          <w:rFonts w:ascii="Times New Roman" w:hAnsi="Times New Roman" w:cs="Times New Roman"/>
          <w:b/>
          <w:sz w:val="24"/>
          <w:szCs w:val="24"/>
        </w:rPr>
        <w:lastRenderedPageBreak/>
        <w:t>Figure 1: The CUSUM Test</w:t>
      </w:r>
      <w:r w:rsidR="00C373EF" w:rsidRPr="004F38E3">
        <w:rPr>
          <w:rFonts w:ascii="Arial" w:hAnsi="Arial" w:cs="Arial"/>
          <w:sz w:val="18"/>
          <w:szCs w:val="18"/>
        </w:rPr>
        <w:br/>
      </w:r>
      <w:r w:rsidR="00C373EF">
        <w:object w:dxaOrig="7216" w:dyaOrig="5056" w14:anchorId="5AC50498">
          <v:shape id="_x0000_i1027" type="#_x0000_t75" style="width:225.35pt;height:157.35pt" o:ole="">
            <v:imagedata r:id="rId11" o:title=""/>
          </v:shape>
          <o:OLEObject Type="Embed" ProgID="EViews.Workfile.2" ShapeID="_x0000_i1027" DrawAspect="Content" ObjectID="_1817029976" r:id="rId12"/>
        </w:object>
      </w:r>
    </w:p>
    <w:p w14:paraId="2D742A18" w14:textId="3A05BEDD"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The post-estimation diagnostic tests presented in Table 5 </w:t>
      </w:r>
      <w:r w:rsidR="00A43AF6" w:rsidRPr="00A43AF6">
        <w:rPr>
          <w:rFonts w:ascii="Times New Roman" w:eastAsia="Times New Roman" w:hAnsi="Times New Roman" w:cs="Times New Roman"/>
          <w:sz w:val="24"/>
          <w:szCs w:val="24"/>
        </w:rPr>
        <w:t>and F</w:t>
      </w:r>
      <w:r w:rsidR="00B96254" w:rsidRPr="00A43AF6">
        <w:rPr>
          <w:rFonts w:ascii="Times New Roman" w:eastAsia="Times New Roman" w:hAnsi="Times New Roman" w:cs="Times New Roman"/>
          <w:sz w:val="24"/>
          <w:szCs w:val="24"/>
        </w:rPr>
        <w:t>igure 1</w:t>
      </w:r>
      <w:r w:rsidR="00A43AF6" w:rsidRPr="00A43AF6">
        <w:rPr>
          <w:rFonts w:ascii="Times New Roman" w:eastAsia="Times New Roman" w:hAnsi="Times New Roman" w:cs="Times New Roman"/>
          <w:sz w:val="24"/>
          <w:szCs w:val="24"/>
        </w:rPr>
        <w:t xml:space="preserve"> </w:t>
      </w:r>
      <w:r w:rsidRPr="00A43AF6">
        <w:rPr>
          <w:rFonts w:ascii="Times New Roman" w:eastAsia="Times New Roman" w:hAnsi="Times New Roman" w:cs="Times New Roman"/>
          <w:sz w:val="24"/>
          <w:szCs w:val="24"/>
        </w:rPr>
        <w:t>confirm the overall robustness of the model. The Breusch-Godfrey Serial Correlation LM test indicates the absence of serial correlation in the error terms, as evidenced by its p-value. Similarly, the Durbin-Watson (DW) statistic, which is closer to 2 than 0, further supports the lack of autocorrelation in the residuals.</w:t>
      </w:r>
    </w:p>
    <w:p w14:paraId="5C7F9F80"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 Breusch-Pagan-Godfrey test for heteroscedasticity suggests that the variance of the error terms remains constant throughout the sample period, confirming homoscedasticity based on the reported p-value. However, the Jarque-Bera test for normality reveals that the residuals deviate from the normality assumption, indicating non-normal distribution of errors.</w:t>
      </w:r>
    </w:p>
    <w:p w14:paraId="2716E7F7"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 Cumulative Sum (CUSUM) test supports the structural stability of the model over the sample period, as the CUSUM line remains within the 5% critical bounds, confirming that the model is stable and suitable for forecasting purposes.</w:t>
      </w:r>
    </w:p>
    <w:p w14:paraId="34CDA8E0"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Finally, the adjusted R-squared value of 0.9112 implies that approximately 91.12% of the variation in real GDP is explained by the fiscal restructuring variables included in the model, indicating a strong explanatory power and good model fit.</w:t>
      </w:r>
    </w:p>
    <w:p w14:paraId="50D4716A"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4.3</w:t>
      </w:r>
      <w:r w:rsidRPr="00A43AF6">
        <w:rPr>
          <w:rFonts w:ascii="Times New Roman" w:hAnsi="Times New Roman"/>
          <w:b/>
          <w:color w:val="000000"/>
          <w:sz w:val="24"/>
          <w:szCs w:val="24"/>
        </w:rPr>
        <w:tab/>
        <w:t>Test of Research Hypotheses</w:t>
      </w:r>
    </w:p>
    <w:p w14:paraId="010FD9C3"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sz w:val="24"/>
          <w:szCs w:val="24"/>
        </w:rPr>
      </w:pPr>
      <w:r w:rsidRPr="00A43AF6">
        <w:rPr>
          <w:rFonts w:ascii="Times New Roman" w:hAnsi="Times New Roman"/>
          <w:b/>
          <w:sz w:val="24"/>
          <w:szCs w:val="24"/>
        </w:rPr>
        <w:t>Test of Hypothesis One</w:t>
      </w:r>
    </w:p>
    <w:p w14:paraId="5821B0AE" w14:textId="77777777" w:rsidR="00354394" w:rsidRPr="00A43AF6" w:rsidRDefault="00354394" w:rsidP="00354394">
      <w:pPr>
        <w:spacing w:after="0" w:line="360" w:lineRule="auto"/>
        <w:ind w:left="720" w:hanging="720"/>
        <w:jc w:val="both"/>
        <w:rPr>
          <w:rFonts w:ascii="Times New Roman" w:hAnsi="Times New Roman" w:cs="Times New Roman"/>
          <w:sz w:val="24"/>
          <w:szCs w:val="24"/>
        </w:rPr>
      </w:pPr>
      <w:r w:rsidRPr="00A43AF6">
        <w:rPr>
          <w:rFonts w:ascii="Times New Roman" w:hAnsi="Times New Roman" w:cs="Times New Roman"/>
          <w:b/>
          <w:bCs/>
          <w:sz w:val="24"/>
          <w:szCs w:val="24"/>
        </w:rPr>
        <w:t>H₀₁</w:t>
      </w:r>
      <w:r w:rsidRPr="00A43AF6">
        <w:rPr>
          <w:rFonts w:ascii="Times New Roman" w:hAnsi="Times New Roman" w:cs="Times New Roman"/>
          <w:sz w:val="24"/>
          <w:szCs w:val="24"/>
        </w:rPr>
        <w:t xml:space="preserve">: </w:t>
      </w:r>
      <w:r w:rsidRPr="00A43AF6">
        <w:rPr>
          <w:rFonts w:ascii="Times New Roman" w:hAnsi="Times New Roman" w:cs="Times New Roman"/>
          <w:sz w:val="24"/>
          <w:szCs w:val="24"/>
        </w:rPr>
        <w:tab/>
        <w:t>Tax-to-GDP ratio has no significant effect on economic growth of Nigeria.</w:t>
      </w:r>
    </w:p>
    <w:p w14:paraId="1F83EED0"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t-statistic = -2.1054 (</w:t>
      </w:r>
      <w:r w:rsidRPr="00A43AF6">
        <w:rPr>
          <w:rFonts w:ascii="Times New Roman" w:hAnsi="Times New Roman"/>
          <w:i/>
          <w:color w:val="000000"/>
          <w:sz w:val="24"/>
          <w:szCs w:val="24"/>
        </w:rPr>
        <w:t>p-value = 0.0450</w:t>
      </w:r>
      <w:r w:rsidRPr="00A43AF6">
        <w:rPr>
          <w:rFonts w:ascii="Times New Roman" w:hAnsi="Times New Roman"/>
          <w:color w:val="000000"/>
          <w:sz w:val="24"/>
          <w:szCs w:val="24"/>
        </w:rPr>
        <w:t>)</w:t>
      </w:r>
    </w:p>
    <w:p w14:paraId="236D5A36"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t-table = t</w:t>
      </w:r>
      <w:r w:rsidRPr="00A43AF6">
        <w:rPr>
          <w:rFonts w:ascii="Times New Roman" w:hAnsi="Times New Roman"/>
          <w:color w:val="000000"/>
          <w:sz w:val="24"/>
          <w:szCs w:val="24"/>
          <w:vertAlign w:val="subscript"/>
        </w:rPr>
        <w:t>0.025,31</w:t>
      </w:r>
      <w:r w:rsidRPr="00A43AF6">
        <w:rPr>
          <w:rFonts w:ascii="Times New Roman" w:hAnsi="Times New Roman"/>
          <w:color w:val="000000"/>
          <w:sz w:val="24"/>
          <w:szCs w:val="24"/>
        </w:rPr>
        <w:t xml:space="preserve"> = 1.960</w:t>
      </w:r>
    </w:p>
    <w:p w14:paraId="352A8962"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b/>
          <w:color w:val="000000"/>
          <w:sz w:val="24"/>
          <w:szCs w:val="24"/>
        </w:rPr>
        <w:lastRenderedPageBreak/>
        <w:t>Decision Rule:</w:t>
      </w:r>
      <w:r w:rsidRPr="00A43AF6">
        <w:rPr>
          <w:rFonts w:ascii="Times New Roman" w:hAnsi="Times New Roman"/>
          <w:color w:val="000000"/>
          <w:sz w:val="24"/>
          <w:szCs w:val="24"/>
        </w:rPr>
        <w:t xml:space="preserve"> Since the t-statistic is greater than the t-table value at 5% level of significance, we reject the null hypothesis and conclude that </w:t>
      </w:r>
      <w:r w:rsidRPr="00A43AF6">
        <w:rPr>
          <w:rFonts w:ascii="Times New Roman" w:hAnsi="Times New Roman" w:cs="Times New Roman"/>
          <w:sz w:val="24"/>
          <w:szCs w:val="24"/>
        </w:rPr>
        <w:t>tax-to-GDP ratio has significant effect on economic growth of Nigeria</w:t>
      </w:r>
      <w:r w:rsidRPr="00A43AF6">
        <w:rPr>
          <w:rFonts w:ascii="Times New Roman" w:hAnsi="Times New Roman"/>
          <w:color w:val="000000"/>
          <w:sz w:val="24"/>
          <w:szCs w:val="24"/>
        </w:rPr>
        <w:t xml:space="preserve">. The negative coefficient means that </w:t>
      </w:r>
      <w:r w:rsidRPr="00A43AF6">
        <w:rPr>
          <w:rFonts w:ascii="Times New Roman" w:hAnsi="Times New Roman" w:cs="Times New Roman"/>
          <w:sz w:val="24"/>
          <w:szCs w:val="24"/>
        </w:rPr>
        <w:t xml:space="preserve">tax-to-GDP ratio </w:t>
      </w:r>
      <w:r w:rsidRPr="00A43AF6">
        <w:rPr>
          <w:rFonts w:ascii="Times New Roman" w:hAnsi="Times New Roman"/>
          <w:sz w:val="24"/>
          <w:szCs w:val="24"/>
        </w:rPr>
        <w:t>decreases economic growth of Nigeria significantly.</w:t>
      </w:r>
    </w:p>
    <w:p w14:paraId="3BE53E2F"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Test of Hypothesis Two</w:t>
      </w:r>
    </w:p>
    <w:p w14:paraId="648F52C9" w14:textId="77777777" w:rsidR="00354394" w:rsidRPr="00A43AF6" w:rsidRDefault="00354394" w:rsidP="00354394">
      <w:pPr>
        <w:spacing w:before="120" w:after="0" w:line="360" w:lineRule="auto"/>
        <w:ind w:left="720" w:hanging="720"/>
        <w:jc w:val="both"/>
        <w:rPr>
          <w:rFonts w:ascii="Times New Roman" w:hAnsi="Times New Roman"/>
          <w:sz w:val="24"/>
          <w:szCs w:val="24"/>
        </w:rPr>
      </w:pPr>
      <w:r w:rsidRPr="00A43AF6">
        <w:rPr>
          <w:rFonts w:ascii="Times New Roman" w:hAnsi="Times New Roman" w:cs="Times New Roman"/>
          <w:b/>
          <w:bCs/>
          <w:sz w:val="24"/>
          <w:szCs w:val="24"/>
        </w:rPr>
        <w:t>H₀₂</w:t>
      </w:r>
      <w:r w:rsidRPr="00A43AF6">
        <w:rPr>
          <w:rFonts w:ascii="Times New Roman" w:hAnsi="Times New Roman" w:cs="Times New Roman"/>
          <w:sz w:val="24"/>
          <w:szCs w:val="24"/>
        </w:rPr>
        <w:t xml:space="preserve">: </w:t>
      </w:r>
      <w:r w:rsidRPr="00A43AF6">
        <w:rPr>
          <w:rFonts w:ascii="Times New Roman" w:hAnsi="Times New Roman" w:cs="Times New Roman"/>
          <w:sz w:val="24"/>
          <w:szCs w:val="24"/>
        </w:rPr>
        <w:tab/>
        <w:t>Total debt as percentage of government revenue has no significant relationship with economic growth of Nigeria</w:t>
      </w:r>
      <w:r w:rsidRPr="00A43AF6">
        <w:rPr>
          <w:rFonts w:ascii="Times New Roman" w:hAnsi="Times New Roman"/>
          <w:sz w:val="24"/>
          <w:szCs w:val="24"/>
        </w:rPr>
        <w:t>.</w:t>
      </w:r>
    </w:p>
    <w:p w14:paraId="6967CE52"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t-statistic = 0.9082 (</w:t>
      </w:r>
      <w:r w:rsidRPr="00A43AF6">
        <w:rPr>
          <w:rFonts w:ascii="Times New Roman" w:hAnsi="Times New Roman"/>
          <w:i/>
          <w:color w:val="000000"/>
          <w:sz w:val="24"/>
          <w:szCs w:val="24"/>
        </w:rPr>
        <w:t>p-value = 0.3816</w:t>
      </w:r>
      <w:r w:rsidRPr="00A43AF6">
        <w:rPr>
          <w:rFonts w:ascii="Times New Roman" w:hAnsi="Times New Roman"/>
          <w:color w:val="000000"/>
          <w:sz w:val="24"/>
          <w:szCs w:val="24"/>
        </w:rPr>
        <w:t>)</w:t>
      </w:r>
    </w:p>
    <w:p w14:paraId="4E630FCE"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t-table = t</w:t>
      </w:r>
      <w:r w:rsidRPr="00A43AF6">
        <w:rPr>
          <w:rFonts w:ascii="Times New Roman" w:hAnsi="Times New Roman"/>
          <w:color w:val="000000"/>
          <w:sz w:val="24"/>
          <w:szCs w:val="24"/>
          <w:vertAlign w:val="subscript"/>
        </w:rPr>
        <w:t>0.025,31</w:t>
      </w:r>
      <w:r w:rsidRPr="00A43AF6">
        <w:rPr>
          <w:rFonts w:ascii="Times New Roman" w:hAnsi="Times New Roman"/>
          <w:color w:val="000000"/>
          <w:sz w:val="24"/>
          <w:szCs w:val="24"/>
        </w:rPr>
        <w:t xml:space="preserve"> = 1.960</w:t>
      </w:r>
    </w:p>
    <w:p w14:paraId="496240E1"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b/>
          <w:color w:val="000000"/>
          <w:sz w:val="24"/>
          <w:szCs w:val="24"/>
        </w:rPr>
        <w:t>Decision Rule:</w:t>
      </w:r>
      <w:r w:rsidRPr="00A43AF6">
        <w:rPr>
          <w:rFonts w:ascii="Times New Roman" w:hAnsi="Times New Roman"/>
          <w:color w:val="000000"/>
          <w:sz w:val="24"/>
          <w:szCs w:val="24"/>
        </w:rPr>
        <w:t xml:space="preserve"> The t-statistic is less than the t-table value at 5% level of significance; therefore, we accept the null hypothesis and conclude that </w:t>
      </w:r>
      <w:r w:rsidRPr="00A43AF6">
        <w:rPr>
          <w:rFonts w:ascii="Times New Roman" w:hAnsi="Times New Roman" w:cs="Times New Roman"/>
          <w:sz w:val="24"/>
          <w:szCs w:val="24"/>
        </w:rPr>
        <w:t>total debt as percentage of government revenue has no significant relationship with economic growth of Nigeria</w:t>
      </w:r>
      <w:r w:rsidRPr="00A43AF6">
        <w:rPr>
          <w:rFonts w:ascii="Times New Roman" w:hAnsi="Times New Roman"/>
          <w:color w:val="000000"/>
          <w:sz w:val="24"/>
          <w:szCs w:val="24"/>
        </w:rPr>
        <w:t xml:space="preserve">. The positive coefficient means that </w:t>
      </w:r>
      <w:r w:rsidRPr="00A43AF6">
        <w:rPr>
          <w:rFonts w:ascii="Times New Roman" w:hAnsi="Times New Roman" w:cs="Times New Roman"/>
          <w:sz w:val="24"/>
          <w:szCs w:val="24"/>
        </w:rPr>
        <w:t>total debt as percentage of government revenue</w:t>
      </w:r>
      <w:r w:rsidRPr="00A43AF6">
        <w:rPr>
          <w:rFonts w:ascii="Times New Roman" w:hAnsi="Times New Roman"/>
          <w:sz w:val="24"/>
          <w:szCs w:val="24"/>
        </w:rPr>
        <w:t xml:space="preserve"> increases economic growth but the increase is not statistically significant.</w:t>
      </w:r>
    </w:p>
    <w:p w14:paraId="595FD8EB"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Test of Hypothesis Three</w:t>
      </w:r>
    </w:p>
    <w:p w14:paraId="4D119FC3" w14:textId="77777777" w:rsidR="00354394" w:rsidRPr="00A43AF6" w:rsidRDefault="00354394" w:rsidP="00354394">
      <w:pPr>
        <w:spacing w:before="120" w:after="0" w:line="360" w:lineRule="auto"/>
        <w:ind w:left="720" w:hanging="720"/>
        <w:jc w:val="both"/>
        <w:rPr>
          <w:rFonts w:ascii="Times New Roman" w:hAnsi="Times New Roman"/>
          <w:sz w:val="24"/>
          <w:szCs w:val="24"/>
        </w:rPr>
      </w:pPr>
      <w:r w:rsidRPr="00A43AF6">
        <w:rPr>
          <w:rFonts w:ascii="Times New Roman" w:hAnsi="Times New Roman" w:cs="Times New Roman"/>
          <w:b/>
          <w:bCs/>
          <w:sz w:val="24"/>
          <w:szCs w:val="24"/>
        </w:rPr>
        <w:t>H₀₃</w:t>
      </w:r>
      <w:r w:rsidRPr="00A43AF6">
        <w:rPr>
          <w:rFonts w:ascii="Times New Roman" w:hAnsi="Times New Roman" w:cs="Times New Roman"/>
          <w:sz w:val="24"/>
          <w:szCs w:val="24"/>
        </w:rPr>
        <w:t xml:space="preserve">: </w:t>
      </w:r>
      <w:r w:rsidRPr="00A43AF6">
        <w:rPr>
          <w:rFonts w:ascii="Times New Roman" w:hAnsi="Times New Roman" w:cs="Times New Roman"/>
          <w:sz w:val="24"/>
          <w:szCs w:val="24"/>
        </w:rPr>
        <w:tab/>
        <w:t>There is no significant effect of fiscal balance (revenue less expenditure) on Nigeria’s economic growth</w:t>
      </w:r>
      <w:r w:rsidRPr="00A43AF6">
        <w:rPr>
          <w:rFonts w:ascii="Times New Roman" w:hAnsi="Times New Roman"/>
          <w:sz w:val="24"/>
          <w:szCs w:val="24"/>
        </w:rPr>
        <w:t>.</w:t>
      </w:r>
    </w:p>
    <w:p w14:paraId="382AE75D"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t-statistic = -3.5956 (</w:t>
      </w:r>
      <w:r w:rsidRPr="00A43AF6">
        <w:rPr>
          <w:rFonts w:ascii="Times New Roman" w:hAnsi="Times New Roman"/>
          <w:i/>
          <w:color w:val="000000"/>
          <w:sz w:val="24"/>
          <w:szCs w:val="24"/>
        </w:rPr>
        <w:t>p-value = 0.0037</w:t>
      </w:r>
      <w:r w:rsidRPr="00A43AF6">
        <w:rPr>
          <w:rFonts w:ascii="Times New Roman" w:hAnsi="Times New Roman"/>
          <w:color w:val="000000"/>
          <w:sz w:val="24"/>
          <w:szCs w:val="24"/>
        </w:rPr>
        <w:t>)</w:t>
      </w:r>
    </w:p>
    <w:p w14:paraId="60FAA75C" w14:textId="77777777" w:rsidR="00354394" w:rsidRPr="00A43AF6" w:rsidRDefault="00354394" w:rsidP="00354394">
      <w:pPr>
        <w:shd w:val="clear" w:color="auto" w:fill="FFFFFF"/>
        <w:autoSpaceDE w:val="0"/>
        <w:autoSpaceDN w:val="0"/>
        <w:adjustRightInd w:val="0"/>
        <w:spacing w:before="120" w:after="0" w:line="360" w:lineRule="auto"/>
        <w:jc w:val="both"/>
        <w:rPr>
          <w:rFonts w:ascii="Times New Roman" w:hAnsi="Times New Roman"/>
          <w:color w:val="000000"/>
          <w:sz w:val="24"/>
          <w:szCs w:val="24"/>
        </w:rPr>
      </w:pPr>
      <w:r w:rsidRPr="00A43AF6">
        <w:rPr>
          <w:rFonts w:ascii="Times New Roman" w:hAnsi="Times New Roman"/>
          <w:color w:val="000000"/>
          <w:sz w:val="24"/>
          <w:szCs w:val="24"/>
        </w:rPr>
        <w:t>t-table = t</w:t>
      </w:r>
      <w:r w:rsidRPr="00A43AF6">
        <w:rPr>
          <w:rFonts w:ascii="Times New Roman" w:hAnsi="Times New Roman"/>
          <w:color w:val="000000"/>
          <w:sz w:val="24"/>
          <w:szCs w:val="24"/>
          <w:vertAlign w:val="subscript"/>
        </w:rPr>
        <w:t>0.025,31</w:t>
      </w:r>
      <w:r w:rsidRPr="00A43AF6">
        <w:rPr>
          <w:rFonts w:ascii="Times New Roman" w:hAnsi="Times New Roman"/>
          <w:color w:val="000000"/>
          <w:sz w:val="24"/>
          <w:szCs w:val="24"/>
        </w:rPr>
        <w:t xml:space="preserve"> = 1.960</w:t>
      </w:r>
    </w:p>
    <w:p w14:paraId="0AF366B1" w14:textId="77777777" w:rsidR="00354394" w:rsidRPr="00A43AF6" w:rsidRDefault="00354394" w:rsidP="00354394">
      <w:pPr>
        <w:spacing w:before="120" w:after="0" w:line="360" w:lineRule="auto"/>
        <w:jc w:val="both"/>
        <w:rPr>
          <w:rFonts w:ascii="Times New Roman" w:hAnsi="Times New Roman"/>
          <w:sz w:val="24"/>
          <w:szCs w:val="24"/>
        </w:rPr>
      </w:pPr>
      <w:r w:rsidRPr="00A43AF6">
        <w:rPr>
          <w:rFonts w:ascii="Times New Roman" w:hAnsi="Times New Roman"/>
          <w:b/>
          <w:color w:val="000000"/>
          <w:sz w:val="24"/>
          <w:szCs w:val="24"/>
        </w:rPr>
        <w:t>Decision Rule:</w:t>
      </w:r>
      <w:r w:rsidRPr="00A43AF6">
        <w:rPr>
          <w:rFonts w:ascii="Times New Roman" w:hAnsi="Times New Roman"/>
          <w:color w:val="000000"/>
          <w:sz w:val="24"/>
          <w:szCs w:val="24"/>
        </w:rPr>
        <w:t xml:space="preserve"> Since the t-statistic is greater than the t-table value at 5% level of significance, the null hypothesis is rejected and the study concludes that </w:t>
      </w:r>
      <w:r w:rsidRPr="00A43AF6">
        <w:rPr>
          <w:rFonts w:ascii="Times New Roman" w:hAnsi="Times New Roman" w:cs="Times New Roman"/>
          <w:sz w:val="24"/>
          <w:szCs w:val="24"/>
        </w:rPr>
        <w:t>there is significant effect of fiscal balance (revenue less expenditure) on Nigeria’s economic growth</w:t>
      </w:r>
      <w:r w:rsidRPr="00A43AF6">
        <w:rPr>
          <w:rFonts w:ascii="Times New Roman" w:hAnsi="Times New Roman"/>
          <w:sz w:val="24"/>
          <w:szCs w:val="24"/>
        </w:rPr>
        <w:t>. The negative coefficient means that fiscal balance decreases economic growth significantly.</w:t>
      </w:r>
    </w:p>
    <w:p w14:paraId="36B747DA" w14:textId="77777777" w:rsidR="00354394" w:rsidRPr="00A43AF6" w:rsidRDefault="00354394" w:rsidP="00873065">
      <w:pPr>
        <w:shd w:val="clear" w:color="auto" w:fill="FFFFFF"/>
        <w:autoSpaceDE w:val="0"/>
        <w:autoSpaceDN w:val="0"/>
        <w:adjustRightInd w:val="0"/>
        <w:spacing w:after="0" w:line="360" w:lineRule="auto"/>
        <w:jc w:val="both"/>
        <w:rPr>
          <w:rFonts w:ascii="Times New Roman" w:hAnsi="Times New Roman"/>
          <w:b/>
          <w:color w:val="000000"/>
          <w:sz w:val="24"/>
          <w:szCs w:val="24"/>
        </w:rPr>
      </w:pPr>
      <w:r w:rsidRPr="00A43AF6">
        <w:rPr>
          <w:rFonts w:ascii="Times New Roman" w:hAnsi="Times New Roman"/>
          <w:b/>
          <w:color w:val="000000"/>
          <w:sz w:val="24"/>
          <w:szCs w:val="24"/>
        </w:rPr>
        <w:t>4.4</w:t>
      </w:r>
      <w:r w:rsidRPr="00A43AF6">
        <w:rPr>
          <w:rFonts w:ascii="Times New Roman" w:hAnsi="Times New Roman"/>
          <w:b/>
          <w:color w:val="000000"/>
          <w:sz w:val="24"/>
          <w:szCs w:val="24"/>
        </w:rPr>
        <w:tab/>
        <w:t>Discussion of Findings</w:t>
      </w:r>
    </w:p>
    <w:p w14:paraId="304C4ED6"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This study examined the relationship between fiscal restructuring and economic growth in Nigeria using the Error Correction Model (ECM) approach, covering the period from 1986 to 2024. The time series properties of the data were first assessed using the Augmented Dickey-Fuller (ADF) unit root test, which confirmed that all variables were integrated of order one, </w:t>
      </w:r>
      <w:proofErr w:type="gramStart"/>
      <w:r w:rsidRPr="00A43AF6">
        <w:rPr>
          <w:rFonts w:ascii="Times New Roman" w:eastAsia="Times New Roman" w:hAnsi="Times New Roman" w:cs="Times New Roman"/>
          <w:sz w:val="24"/>
          <w:szCs w:val="24"/>
        </w:rPr>
        <w:t>I(</w:t>
      </w:r>
      <w:proofErr w:type="gramEnd"/>
      <w:r w:rsidRPr="00A43AF6">
        <w:rPr>
          <w:rFonts w:ascii="Times New Roman" w:eastAsia="Times New Roman" w:hAnsi="Times New Roman" w:cs="Times New Roman"/>
          <w:sz w:val="24"/>
          <w:szCs w:val="24"/>
        </w:rPr>
        <w:t xml:space="preserve">1). This outcome </w:t>
      </w:r>
      <w:r w:rsidRPr="00A43AF6">
        <w:rPr>
          <w:rFonts w:ascii="Times New Roman" w:eastAsia="Times New Roman" w:hAnsi="Times New Roman" w:cs="Times New Roman"/>
          <w:sz w:val="24"/>
          <w:szCs w:val="24"/>
        </w:rPr>
        <w:lastRenderedPageBreak/>
        <w:t>necessitated the application of the Johansen cointegration test to determine the existence of a long-run equilibrium relationship among the variables. The results confirmed the presence of a long-run relationship between fiscal restructuring indicators and economic growth.</w:t>
      </w:r>
    </w:p>
    <w:p w14:paraId="7A793D02"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 ECM results revealed a speed of adjustment coefficient of -0.293, implying that approximately 29.3% of deviations from long-run equilibrium are corrected annually. The negative and significant coefficient affirms that the system adjusts back to equilibrium after short-term shocks.</w:t>
      </w:r>
    </w:p>
    <w:p w14:paraId="18266AB1"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In the short-run dynamics, the tax-to-GDP ratio was found to have a statistically significant and negative impact on economic growth. Specifically, a unit increase in the tax-to-GDP ratio leads to a </w:t>
      </w:r>
      <w:r w:rsidR="00610A9C" w:rsidRPr="00A43AF6">
        <w:rPr>
          <w:rFonts w:ascii="Times New Roman" w:eastAsia="Times New Roman" w:hAnsi="Times New Roman" w:cs="Times New Roman"/>
          <w:sz w:val="24"/>
          <w:szCs w:val="24"/>
        </w:rPr>
        <w:t>2.114-unit</w:t>
      </w:r>
      <w:r w:rsidRPr="00A43AF6">
        <w:rPr>
          <w:rFonts w:ascii="Times New Roman" w:eastAsia="Times New Roman" w:hAnsi="Times New Roman" w:cs="Times New Roman"/>
          <w:sz w:val="24"/>
          <w:szCs w:val="24"/>
        </w:rPr>
        <w:t xml:space="preserve"> decrease in real GDP. This suggests that Nigeria’s tax system may be inefficient or excessively burdensome, resulting in a drag on economic activity. These findings align with the conclusions of </w:t>
      </w:r>
      <w:proofErr w:type="spellStart"/>
      <w:r w:rsidRPr="00A43AF6">
        <w:rPr>
          <w:rFonts w:ascii="Times New Roman" w:eastAsia="Times New Roman" w:hAnsi="Times New Roman" w:cs="Times New Roman"/>
          <w:sz w:val="24"/>
          <w:szCs w:val="24"/>
        </w:rPr>
        <w:t>Ukangwa</w:t>
      </w:r>
      <w:proofErr w:type="spellEnd"/>
      <w:r w:rsidRPr="00A43AF6">
        <w:rPr>
          <w:rFonts w:ascii="Times New Roman" w:eastAsia="Times New Roman" w:hAnsi="Times New Roman" w:cs="Times New Roman"/>
          <w:sz w:val="24"/>
          <w:szCs w:val="24"/>
        </w:rPr>
        <w:t xml:space="preserve"> et al. (2023), who also observed a negative relationship between tax revenue and GDP. The result may reflect excessive tax exemptions, compliance challenges, or high costs associated with tax administration.</w:t>
      </w:r>
    </w:p>
    <w:p w14:paraId="14D7D09C"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Debt-to-revenue ratio exhibited a positive but statistically insignificant impact on economic growth, indicating that while borrowing may have supported economic activities during the study period, it was not a major driver of growth. This finding is consistent with the results of Ugwuoke et al. (2022) and Onifade et al. (2020), who observed that debt, when managed prudently in relation to revenue, can positively influence economic output.</w:t>
      </w:r>
    </w:p>
    <w:p w14:paraId="366AAF03" w14:textId="77777777" w:rsidR="00E858A5" w:rsidRPr="00A43AF6" w:rsidRDefault="00E858A5" w:rsidP="00873065">
      <w:pPr>
        <w:spacing w:after="100" w:afterAutospacing="1"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 xml:space="preserve">Fiscal balance (defined as total revenue minus total expenditure) showed a significant negative effect on economic growth, implying persistent fiscal deficits over the period. This suggests that government expenditure consistently exceeded revenue, contributing to macroeconomic instability and lower growth. This outcome supports the findings of Pamba (2022), Udo et al. (2022), and </w:t>
      </w:r>
      <w:proofErr w:type="spellStart"/>
      <w:r w:rsidRPr="00A43AF6">
        <w:rPr>
          <w:rFonts w:ascii="Times New Roman" w:eastAsia="Times New Roman" w:hAnsi="Times New Roman" w:cs="Times New Roman"/>
          <w:sz w:val="24"/>
          <w:szCs w:val="24"/>
        </w:rPr>
        <w:t>Adegboyo</w:t>
      </w:r>
      <w:proofErr w:type="spellEnd"/>
      <w:r w:rsidRPr="00A43AF6">
        <w:rPr>
          <w:rFonts w:ascii="Times New Roman" w:eastAsia="Times New Roman" w:hAnsi="Times New Roman" w:cs="Times New Roman"/>
          <w:sz w:val="24"/>
          <w:szCs w:val="24"/>
        </w:rPr>
        <w:t xml:space="preserve"> et al. (2021), who also highlighted the adverse implications of fiscal imbalances on growth. However, it contrast</w:t>
      </w:r>
      <w:r w:rsidR="00610A9C" w:rsidRPr="00A43AF6">
        <w:rPr>
          <w:rFonts w:ascii="Times New Roman" w:eastAsia="Times New Roman" w:hAnsi="Times New Roman" w:cs="Times New Roman"/>
          <w:sz w:val="24"/>
          <w:szCs w:val="24"/>
        </w:rPr>
        <w:t xml:space="preserve">s with Maku (2015), whose study based on older data </w:t>
      </w:r>
      <w:r w:rsidRPr="00A43AF6">
        <w:rPr>
          <w:rFonts w:ascii="Times New Roman" w:eastAsia="Times New Roman" w:hAnsi="Times New Roman" w:cs="Times New Roman"/>
          <w:sz w:val="24"/>
          <w:szCs w:val="24"/>
        </w:rPr>
        <w:t>found a positive relationship, possibly reflecting differences in the fiscal context across time periods.</w:t>
      </w:r>
    </w:p>
    <w:p w14:paraId="35C8E4BA" w14:textId="77777777" w:rsidR="00E858A5" w:rsidRPr="00A43AF6" w:rsidRDefault="00E858A5" w:rsidP="00873065">
      <w:pPr>
        <w:spacing w:after="0" w:line="360" w:lineRule="auto"/>
        <w:jc w:val="both"/>
        <w:rPr>
          <w:rFonts w:ascii="Times New Roman" w:eastAsia="Times New Roman" w:hAnsi="Times New Roman" w:cs="Times New Roman"/>
          <w:sz w:val="24"/>
          <w:szCs w:val="24"/>
        </w:rPr>
      </w:pPr>
      <w:r w:rsidRPr="00A43AF6">
        <w:rPr>
          <w:rFonts w:ascii="Times New Roman" w:eastAsia="Times New Roman" w:hAnsi="Times New Roman" w:cs="Times New Roman"/>
          <w:sz w:val="24"/>
          <w:szCs w:val="24"/>
        </w:rPr>
        <w:t>The</w:t>
      </w:r>
      <w:r w:rsidR="00610A9C" w:rsidRPr="00A43AF6">
        <w:rPr>
          <w:rFonts w:ascii="Times New Roman" w:eastAsia="Times New Roman" w:hAnsi="Times New Roman" w:cs="Times New Roman"/>
          <w:sz w:val="24"/>
          <w:szCs w:val="24"/>
        </w:rPr>
        <w:t xml:space="preserve"> fiscal restructuring variables, </w:t>
      </w:r>
      <w:r w:rsidRPr="00A43AF6">
        <w:rPr>
          <w:rFonts w:ascii="Times New Roman" w:eastAsia="Times New Roman" w:hAnsi="Times New Roman" w:cs="Times New Roman"/>
          <w:sz w:val="24"/>
          <w:szCs w:val="24"/>
        </w:rPr>
        <w:t>tax-to-GDP ratio, debt-to-re</w:t>
      </w:r>
      <w:r w:rsidR="00610A9C" w:rsidRPr="00A43AF6">
        <w:rPr>
          <w:rFonts w:ascii="Times New Roman" w:eastAsia="Times New Roman" w:hAnsi="Times New Roman" w:cs="Times New Roman"/>
          <w:sz w:val="24"/>
          <w:szCs w:val="24"/>
        </w:rPr>
        <w:t xml:space="preserve">venue ratio, and fiscal balance, </w:t>
      </w:r>
      <w:r w:rsidRPr="00A43AF6">
        <w:rPr>
          <w:rFonts w:ascii="Times New Roman" w:eastAsia="Times New Roman" w:hAnsi="Times New Roman" w:cs="Times New Roman"/>
          <w:sz w:val="24"/>
          <w:szCs w:val="24"/>
        </w:rPr>
        <w:t xml:space="preserve">jointly explained approximately 91.12% of the variation in economic growth, indicating strong explanatory power. Post-estimation diagnostic tests confirmed the robustness of the model: there </w:t>
      </w:r>
      <w:r w:rsidRPr="00A43AF6">
        <w:rPr>
          <w:rFonts w:ascii="Times New Roman" w:eastAsia="Times New Roman" w:hAnsi="Times New Roman" w:cs="Times New Roman"/>
          <w:sz w:val="24"/>
          <w:szCs w:val="24"/>
        </w:rPr>
        <w:lastRenderedPageBreak/>
        <w:t>was no serial correlation of the residuals, and the Cumulative Sum (CUSUM) test affirmed the model’s long-run structural stability. These outcomes confirm the validity and reliability of the ECM results and reinforce the significance of fiscal restructuring variables in explaining growth dynamics in Nigeria.</w:t>
      </w:r>
    </w:p>
    <w:p w14:paraId="76FB76DA" w14:textId="77777777" w:rsidR="00354394" w:rsidRPr="00540967" w:rsidRDefault="00354394" w:rsidP="00873065">
      <w:pPr>
        <w:pStyle w:val="Heading1"/>
        <w:spacing w:before="120" w:line="360" w:lineRule="auto"/>
        <w:rPr>
          <w:rFonts w:ascii="Times New Roman" w:hAnsi="Times New Roman" w:cs="Times New Roman"/>
          <w:b/>
          <w:color w:val="auto"/>
          <w:sz w:val="24"/>
          <w:szCs w:val="24"/>
        </w:rPr>
      </w:pPr>
      <w:bookmarkStart w:id="2" w:name="_Toc526230598"/>
      <w:r w:rsidRPr="00540967">
        <w:rPr>
          <w:rFonts w:ascii="Times New Roman" w:hAnsi="Times New Roman" w:cs="Times New Roman"/>
          <w:b/>
          <w:color w:val="auto"/>
          <w:sz w:val="24"/>
          <w:szCs w:val="24"/>
        </w:rPr>
        <w:t>5.1</w:t>
      </w:r>
      <w:r w:rsidRPr="00540967">
        <w:rPr>
          <w:rFonts w:ascii="Times New Roman" w:hAnsi="Times New Roman" w:cs="Times New Roman"/>
          <w:b/>
          <w:color w:val="auto"/>
          <w:sz w:val="24"/>
          <w:szCs w:val="24"/>
        </w:rPr>
        <w:tab/>
        <w:t>Summary of Findings</w:t>
      </w:r>
      <w:bookmarkEnd w:id="2"/>
    </w:p>
    <w:p w14:paraId="280B8DBF" w14:textId="77777777" w:rsidR="00354394" w:rsidRDefault="00354394" w:rsidP="00873065">
      <w:pPr>
        <w:shd w:val="clear" w:color="auto" w:fill="FFFFFF"/>
        <w:autoSpaceDE w:val="0"/>
        <w:autoSpaceDN w:val="0"/>
        <w:adjustRightInd w:val="0"/>
        <w:spacing w:before="120" w:after="0" w:line="360" w:lineRule="auto"/>
        <w:jc w:val="both"/>
        <w:rPr>
          <w:rFonts w:ascii="Times New Roman" w:hAnsi="Times New Roman"/>
          <w:color w:val="000000"/>
        </w:rPr>
      </w:pPr>
      <w:r w:rsidRPr="00D8354C">
        <w:rPr>
          <w:rFonts w:ascii="Times New Roman" w:hAnsi="Times New Roman"/>
          <w:color w:val="000000"/>
        </w:rPr>
        <w:t xml:space="preserve">Following the </w:t>
      </w:r>
      <w:r>
        <w:rPr>
          <w:rFonts w:ascii="Times New Roman" w:hAnsi="Times New Roman"/>
          <w:color w:val="000000"/>
        </w:rPr>
        <w:t xml:space="preserve">analysis, </w:t>
      </w:r>
      <w:r w:rsidRPr="00D8354C">
        <w:rPr>
          <w:rFonts w:ascii="Times New Roman" w:hAnsi="Times New Roman"/>
          <w:color w:val="000000"/>
        </w:rPr>
        <w:t xml:space="preserve">the following </w:t>
      </w:r>
      <w:r>
        <w:rPr>
          <w:rFonts w:ascii="Times New Roman" w:hAnsi="Times New Roman"/>
          <w:color w:val="000000"/>
        </w:rPr>
        <w:t>findings were made:</w:t>
      </w:r>
    </w:p>
    <w:p w14:paraId="5E49984D" w14:textId="77777777" w:rsidR="00354394" w:rsidRPr="003F0480" w:rsidRDefault="00354394" w:rsidP="00873065">
      <w:pPr>
        <w:pStyle w:val="ListParagraph"/>
        <w:numPr>
          <w:ilvl w:val="0"/>
          <w:numId w:val="10"/>
        </w:numPr>
        <w:shd w:val="clear" w:color="auto" w:fill="FFFFFF"/>
        <w:autoSpaceDE w:val="0"/>
        <w:autoSpaceDN w:val="0"/>
        <w:adjustRightInd w:val="0"/>
        <w:spacing w:before="120" w:after="0" w:line="360" w:lineRule="auto"/>
        <w:jc w:val="both"/>
        <w:rPr>
          <w:rFonts w:ascii="Times New Roman" w:hAnsi="Times New Roman"/>
          <w:color w:val="000000"/>
        </w:rPr>
      </w:pPr>
      <w:r w:rsidRPr="003F0480">
        <w:rPr>
          <w:rFonts w:ascii="Times New Roman" w:hAnsi="Times New Roman"/>
          <w:color w:val="000000"/>
        </w:rPr>
        <w:t>Tax-to-GDP ratio had significant negative effect on economic growth of Nigeria.</w:t>
      </w:r>
    </w:p>
    <w:p w14:paraId="4864997D" w14:textId="77777777" w:rsidR="00354394" w:rsidRPr="003F0480" w:rsidRDefault="00354394" w:rsidP="00873065">
      <w:pPr>
        <w:pStyle w:val="ListParagraph"/>
        <w:numPr>
          <w:ilvl w:val="0"/>
          <w:numId w:val="10"/>
        </w:numPr>
        <w:shd w:val="clear" w:color="auto" w:fill="FFFFFF"/>
        <w:autoSpaceDE w:val="0"/>
        <w:autoSpaceDN w:val="0"/>
        <w:adjustRightInd w:val="0"/>
        <w:spacing w:before="120" w:after="0" w:line="360" w:lineRule="auto"/>
        <w:jc w:val="both"/>
        <w:rPr>
          <w:rFonts w:ascii="Times New Roman" w:hAnsi="Times New Roman"/>
          <w:color w:val="000000"/>
        </w:rPr>
      </w:pPr>
      <w:r w:rsidRPr="003F0480">
        <w:rPr>
          <w:rFonts w:ascii="Times New Roman" w:hAnsi="Times New Roman"/>
          <w:color w:val="000000"/>
        </w:rPr>
        <w:t>Total debt as percentage of government revenue increases economic growth but the increase was not statistically significant.</w:t>
      </w:r>
    </w:p>
    <w:p w14:paraId="5661303E" w14:textId="77777777" w:rsidR="00354394" w:rsidRDefault="00354394" w:rsidP="00873065">
      <w:pPr>
        <w:pStyle w:val="ListParagraph"/>
        <w:numPr>
          <w:ilvl w:val="0"/>
          <w:numId w:val="10"/>
        </w:numPr>
        <w:shd w:val="clear" w:color="auto" w:fill="FFFFFF"/>
        <w:autoSpaceDE w:val="0"/>
        <w:autoSpaceDN w:val="0"/>
        <w:adjustRightInd w:val="0"/>
        <w:spacing w:before="120" w:after="0" w:line="360" w:lineRule="auto"/>
        <w:contextualSpacing w:val="0"/>
        <w:jc w:val="both"/>
        <w:rPr>
          <w:rFonts w:ascii="Times New Roman" w:hAnsi="Times New Roman"/>
          <w:color w:val="000000"/>
        </w:rPr>
      </w:pPr>
      <w:r w:rsidRPr="003F0480">
        <w:rPr>
          <w:rFonts w:ascii="Times New Roman" w:hAnsi="Times New Roman"/>
          <w:color w:val="000000"/>
        </w:rPr>
        <w:t>Fiscal balance significantly decreased Nigeria’s economic growth for the period under study</w:t>
      </w:r>
      <w:r>
        <w:rPr>
          <w:rFonts w:ascii="Times New Roman" w:hAnsi="Times New Roman"/>
          <w:color w:val="000000"/>
        </w:rPr>
        <w:t>.</w:t>
      </w:r>
    </w:p>
    <w:p w14:paraId="6984A093" w14:textId="77777777" w:rsidR="00610A9C" w:rsidRPr="00610A9C" w:rsidRDefault="00610A9C" w:rsidP="00873065">
      <w:pPr>
        <w:spacing w:before="100" w:beforeAutospacing="1" w:after="0" w:line="360" w:lineRule="auto"/>
        <w:rPr>
          <w:rFonts w:ascii="Times New Roman" w:eastAsia="Times New Roman" w:hAnsi="Times New Roman" w:cs="Times New Roman"/>
          <w:sz w:val="24"/>
          <w:szCs w:val="24"/>
        </w:rPr>
      </w:pPr>
      <w:bookmarkStart w:id="3" w:name="_Toc526230599"/>
      <w:r w:rsidRPr="00610A9C">
        <w:rPr>
          <w:rFonts w:ascii="Times New Roman" w:eastAsia="Times New Roman" w:hAnsi="Times New Roman" w:cs="Times New Roman"/>
          <w:b/>
          <w:bCs/>
          <w:sz w:val="24"/>
          <w:szCs w:val="24"/>
        </w:rPr>
        <w:t>5.2 Conclusion</w:t>
      </w:r>
    </w:p>
    <w:p w14:paraId="20111061" w14:textId="77777777" w:rsidR="00610A9C" w:rsidRPr="00610A9C" w:rsidRDefault="00610A9C" w:rsidP="00873065">
      <w:pPr>
        <w:spacing w:before="100" w:beforeAutospacing="1" w:after="0" w:line="360" w:lineRule="auto"/>
        <w:jc w:val="both"/>
        <w:rPr>
          <w:rFonts w:ascii="Times New Roman" w:eastAsia="Times New Roman" w:hAnsi="Times New Roman" w:cs="Times New Roman"/>
          <w:sz w:val="24"/>
          <w:szCs w:val="24"/>
        </w:rPr>
      </w:pPr>
      <w:r w:rsidRPr="00610A9C">
        <w:rPr>
          <w:rFonts w:ascii="Times New Roman" w:eastAsia="Times New Roman" w:hAnsi="Times New Roman" w:cs="Times New Roman"/>
          <w:sz w:val="24"/>
          <w:szCs w:val="24"/>
        </w:rPr>
        <w:t>This study concludes that Nigeria continues to experience significant fiscal imbalances, indicating that past fiscal restructuring efforts have not effectively translated into sustained economic growth. The analysis revealed that the tax-to-GDP ratio and fiscal balance both exert a negative and statistically significant impact on economic growth, highlighting weaknesses in revenue mobilization and fiscal discipline. Although the debt-to-revenue ratio showed a positive relationship with growth, the effect was statistically insignificant, suggesting that current debt levels are not being optimally leveraged to stimulate the economy. These findings underscore the urgent need for comprehensive and efficient fiscal restructuring to place the Nigerian economy on a more stable and growth-oriented path.</w:t>
      </w:r>
    </w:p>
    <w:bookmarkEnd w:id="3"/>
    <w:p w14:paraId="49AE1F12" w14:textId="77777777" w:rsidR="001D50D3" w:rsidRDefault="001D50D3" w:rsidP="00873065">
      <w:pPr>
        <w:pStyle w:val="NormalWeb"/>
        <w:spacing w:after="0" w:afterAutospacing="0" w:line="360" w:lineRule="auto"/>
      </w:pPr>
      <w:r>
        <w:rPr>
          <w:rStyle w:val="Strong"/>
        </w:rPr>
        <w:t>5.3 Recommendations</w:t>
      </w:r>
    </w:p>
    <w:p w14:paraId="37EADA78" w14:textId="77777777" w:rsidR="001D50D3" w:rsidRDefault="001D50D3" w:rsidP="00873065">
      <w:pPr>
        <w:pStyle w:val="NormalWeb"/>
        <w:spacing w:after="0" w:afterAutospacing="0" w:line="360" w:lineRule="auto"/>
      </w:pPr>
      <w:r>
        <w:t>Based on the findings of this study, the following recommendations are proposed:</w:t>
      </w:r>
    </w:p>
    <w:p w14:paraId="47CBFAC5" w14:textId="77777777" w:rsidR="001D50D3" w:rsidRDefault="001D50D3" w:rsidP="00873065">
      <w:pPr>
        <w:pStyle w:val="NormalWeb"/>
        <w:numPr>
          <w:ilvl w:val="0"/>
          <w:numId w:val="11"/>
        </w:numPr>
        <w:spacing w:after="0" w:afterAutospacing="0" w:line="360" w:lineRule="auto"/>
        <w:jc w:val="both"/>
      </w:pPr>
      <w:r>
        <w:rPr>
          <w:rStyle w:val="Strong"/>
        </w:rPr>
        <w:t>Enhance Revenue Collection Efficiency</w:t>
      </w:r>
      <w:r>
        <w:t>: The Nigerian government should reform and strengthen its revenue collection mechanisms to address the rising debt burden. Improving the efficiency of centralized payment systems and curbing leakages will help generate sufficient revenue to meet debt obligations, reduce fiscal deficits, and support long-term fiscal sustainability.</w:t>
      </w:r>
    </w:p>
    <w:p w14:paraId="776034D9" w14:textId="77777777" w:rsidR="001D50D3" w:rsidRDefault="001D50D3" w:rsidP="00873065">
      <w:pPr>
        <w:pStyle w:val="NormalWeb"/>
        <w:numPr>
          <w:ilvl w:val="0"/>
          <w:numId w:val="11"/>
        </w:numPr>
        <w:spacing w:after="0" w:afterAutospacing="0" w:line="360" w:lineRule="auto"/>
        <w:jc w:val="both"/>
      </w:pPr>
      <w:r>
        <w:rPr>
          <w:rStyle w:val="Strong"/>
        </w:rPr>
        <w:lastRenderedPageBreak/>
        <w:t>Broaden the Tax Base and Improve Compliance</w:t>
      </w:r>
      <w:r>
        <w:t>: To improve the tax-to-GDP ratio, Nigeria must expand its tax base through the enforcement of existing tax laws, reduction of tax exemptions, and the introduction of taxes on luxury goods and high-net-worth individuals. Strengthening tax administration and compliance will boost government revenue without imposing excessive burdens on low-income earners.</w:t>
      </w:r>
    </w:p>
    <w:p w14:paraId="40D86E81" w14:textId="77777777" w:rsidR="001D50D3" w:rsidRDefault="001D50D3" w:rsidP="00873065">
      <w:pPr>
        <w:pStyle w:val="NormalWeb"/>
        <w:numPr>
          <w:ilvl w:val="0"/>
          <w:numId w:val="11"/>
        </w:numPr>
        <w:spacing w:after="0" w:afterAutospacing="0" w:line="360" w:lineRule="auto"/>
        <w:jc w:val="both"/>
      </w:pPr>
      <w:r>
        <w:rPr>
          <w:rStyle w:val="Strong"/>
        </w:rPr>
        <w:t>Promote Fiscal Discipline and Prudent Spending</w:t>
      </w:r>
      <w:r>
        <w:t>: The persistent fiscal imbalance highlights the need for a more disciplined fiscal approach. The government should adopt a contractionary fiscal policy framework where necessary, while prioritizing efficient and transparent public spending. Prudent expenditure management and elimination of wasteful spending will help restore fiscal balance and enhance economic growth.</w:t>
      </w:r>
    </w:p>
    <w:p w14:paraId="4A142680" w14:textId="77777777" w:rsidR="00A32F9F" w:rsidRDefault="00A32F9F" w:rsidP="00354394">
      <w:pPr>
        <w:spacing w:before="240" w:after="0" w:line="240" w:lineRule="auto"/>
        <w:ind w:left="810" w:hanging="810"/>
        <w:jc w:val="center"/>
        <w:rPr>
          <w:rFonts w:ascii="Times New Roman" w:hAnsi="Times New Roman" w:cs="Times New Roman"/>
          <w:b/>
          <w:bCs/>
        </w:rPr>
      </w:pPr>
    </w:p>
    <w:p w14:paraId="0215DBF6" w14:textId="77777777" w:rsidR="00354394" w:rsidRPr="0002726E" w:rsidRDefault="00354394" w:rsidP="0002726E">
      <w:pPr>
        <w:spacing w:before="240" w:after="0" w:line="240" w:lineRule="auto"/>
        <w:ind w:left="810" w:hanging="810"/>
        <w:rPr>
          <w:rFonts w:ascii="Times New Roman" w:hAnsi="Times New Roman" w:cs="Times New Roman"/>
          <w:b/>
          <w:bCs/>
          <w:sz w:val="24"/>
          <w:szCs w:val="24"/>
        </w:rPr>
      </w:pPr>
      <w:r w:rsidRPr="0002726E">
        <w:rPr>
          <w:rFonts w:ascii="Times New Roman" w:hAnsi="Times New Roman" w:cs="Times New Roman"/>
          <w:b/>
          <w:bCs/>
          <w:sz w:val="24"/>
          <w:szCs w:val="24"/>
        </w:rPr>
        <w:t>References</w:t>
      </w:r>
    </w:p>
    <w:p w14:paraId="1BA42F95"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AB magazine. (2025). </w:t>
      </w:r>
      <w:r w:rsidRPr="00483B28">
        <w:rPr>
          <w:rFonts w:ascii="Times New Roman" w:hAnsi="Times New Roman" w:cs="Times New Roman"/>
          <w:i/>
          <w:iCs/>
        </w:rPr>
        <w:t>Taxing Nigeria's Informal Sector for Inclusive Growth</w:t>
      </w:r>
      <w:r w:rsidRPr="00483B28">
        <w:rPr>
          <w:rFonts w:ascii="Times New Roman" w:hAnsi="Times New Roman" w:cs="Times New Roman"/>
        </w:rPr>
        <w:t xml:space="preserve">. Retrieved from </w:t>
      </w:r>
      <w:hyperlink r:id="rId13" w:tgtFrame="_blank" w:history="1">
        <w:r w:rsidRPr="00483B28">
          <w:rPr>
            <w:rStyle w:val="Hyperlink"/>
            <w:rFonts w:ascii="Times New Roman" w:hAnsi="Times New Roman" w:cs="Times New Roman"/>
          </w:rPr>
          <w:t>https://www.ab-magazine.com/2025/01/21/taxing-nigerias-informal-sector-for-inclusive-growth/</w:t>
        </w:r>
      </w:hyperlink>
    </w:p>
    <w:p w14:paraId="04C217FD"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Adebayo, A. I., &amp; Taiwo, I. B. (2025).</w:t>
      </w:r>
      <w:r w:rsidRPr="00483B28">
        <w:rPr>
          <w:rFonts w:ascii="Times New Roman" w:hAnsi="Times New Roman" w:cs="Times New Roman"/>
          <w:vertAlign w:val="superscript"/>
        </w:rPr>
        <w:t>9</w:t>
      </w:r>
      <w:r w:rsidRPr="00483B28">
        <w:rPr>
          <w:rFonts w:ascii="Times New Roman" w:hAnsi="Times New Roman" w:cs="Times New Roman"/>
        </w:rPr>
        <w:t xml:space="preserve"> </w:t>
      </w:r>
      <w:r w:rsidRPr="00483B28">
        <w:rPr>
          <w:rFonts w:ascii="Times New Roman" w:hAnsi="Times New Roman" w:cs="Times New Roman"/>
          <w:i/>
          <w:iCs/>
        </w:rPr>
        <w:t>Convergence of Fiscal Policy and Economic Growth in Nigeria</w:t>
      </w:r>
      <w:r w:rsidRPr="00483B28">
        <w:rPr>
          <w:rFonts w:ascii="Times New Roman" w:hAnsi="Times New Roman" w:cs="Times New Roman"/>
        </w:rPr>
        <w:t>. Journal of Social and Development Sciences, 15(1(S), 1-13. (Cited as AMH International, 2025).</w:t>
      </w:r>
    </w:p>
    <w:p w14:paraId="251EF983" w14:textId="77777777" w:rsidR="00354394" w:rsidRPr="00483B28" w:rsidRDefault="00354394" w:rsidP="00354394">
      <w:pPr>
        <w:spacing w:before="240" w:after="0" w:line="240" w:lineRule="auto"/>
        <w:ind w:left="810" w:hanging="810"/>
        <w:jc w:val="both"/>
        <w:rPr>
          <w:rFonts w:ascii="Times New Roman" w:hAnsi="Times New Roman" w:cs="Times New Roman"/>
        </w:rPr>
      </w:pPr>
      <w:proofErr w:type="spellStart"/>
      <w:r w:rsidRPr="00483B28">
        <w:rPr>
          <w:rFonts w:ascii="Times New Roman" w:hAnsi="Times New Roman" w:cs="Times New Roman"/>
        </w:rPr>
        <w:t>Adegboyo</w:t>
      </w:r>
      <w:proofErr w:type="spellEnd"/>
      <w:r w:rsidRPr="00483B28">
        <w:rPr>
          <w:rFonts w:ascii="Times New Roman" w:hAnsi="Times New Roman" w:cs="Times New Roman"/>
        </w:rPr>
        <w:t xml:space="preserve">, O. S., Keji, S. A., &amp; </w:t>
      </w:r>
      <w:proofErr w:type="spellStart"/>
      <w:r w:rsidRPr="00483B28">
        <w:rPr>
          <w:rFonts w:ascii="Times New Roman" w:hAnsi="Times New Roman" w:cs="Times New Roman"/>
        </w:rPr>
        <w:t>Fasina</w:t>
      </w:r>
      <w:proofErr w:type="spellEnd"/>
      <w:r w:rsidRPr="00483B28">
        <w:rPr>
          <w:rFonts w:ascii="Times New Roman" w:hAnsi="Times New Roman" w:cs="Times New Roman"/>
        </w:rPr>
        <w:t xml:space="preserve">, O. T. (2021). </w:t>
      </w:r>
      <w:r w:rsidRPr="00483B28">
        <w:rPr>
          <w:rFonts w:ascii="Times New Roman" w:hAnsi="Times New Roman" w:cs="Times New Roman"/>
          <w:i/>
          <w:iCs/>
        </w:rPr>
        <w:t>The impact of government policies on Nigeria economic growth (case of fiscal, monetary and trade policies)</w:t>
      </w:r>
      <w:r w:rsidRPr="00483B28">
        <w:rPr>
          <w:rFonts w:ascii="Times New Roman" w:hAnsi="Times New Roman" w:cs="Times New Roman"/>
        </w:rPr>
        <w:t xml:space="preserve">. </w:t>
      </w:r>
      <w:r w:rsidRPr="00483B28">
        <w:rPr>
          <w:rFonts w:ascii="Times New Roman" w:hAnsi="Times New Roman" w:cs="Times New Roman"/>
          <w:i/>
          <w:iCs/>
        </w:rPr>
        <w:t>Future Business Journal, 7</w:t>
      </w:r>
      <w:r w:rsidRPr="00483B28">
        <w:rPr>
          <w:rFonts w:ascii="Times New Roman" w:hAnsi="Times New Roman" w:cs="Times New Roman"/>
        </w:rPr>
        <w:t xml:space="preserve">(1), 1–14. </w:t>
      </w:r>
      <w:hyperlink r:id="rId14" w:history="1">
        <w:r w:rsidRPr="00483B28">
          <w:rPr>
            <w:rStyle w:val="Hyperlink"/>
            <w:rFonts w:ascii="Times New Roman" w:hAnsi="Times New Roman" w:cs="Times New Roman"/>
          </w:rPr>
          <w:t>https://doi.org/10.1186/s43093-021-00104-6</w:t>
        </w:r>
      </w:hyperlink>
    </w:p>
    <w:p w14:paraId="3056DDB3"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Brito, D., &amp; Vasconcelos, H. (2024). Fiscal multipliers in low-income Sub-Saharan African countries. </w:t>
      </w:r>
      <w:r w:rsidRPr="00483B28">
        <w:rPr>
          <w:rFonts w:ascii="Times New Roman" w:hAnsi="Times New Roman" w:cs="Times New Roman"/>
          <w:i/>
          <w:iCs/>
        </w:rPr>
        <w:t>Economics Letters</w:t>
      </w:r>
      <w:r w:rsidRPr="00483B28">
        <w:rPr>
          <w:rFonts w:ascii="Times New Roman" w:hAnsi="Times New Roman" w:cs="Times New Roman"/>
        </w:rPr>
        <w:t xml:space="preserve">, </w:t>
      </w:r>
      <w:r w:rsidRPr="00483B28">
        <w:rPr>
          <w:rFonts w:ascii="Times New Roman" w:hAnsi="Times New Roman" w:cs="Times New Roman"/>
          <w:i/>
          <w:iCs/>
        </w:rPr>
        <w:t>240</w:t>
      </w:r>
      <w:r w:rsidRPr="00483B28">
        <w:rPr>
          <w:rFonts w:ascii="Times New Roman" w:hAnsi="Times New Roman" w:cs="Times New Roman"/>
        </w:rPr>
        <w:t>, 111770.</w:t>
      </w:r>
    </w:p>
    <w:p w14:paraId="0F83DDF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Business Day NG. (2025). </w:t>
      </w:r>
      <w:r w:rsidRPr="00483B28">
        <w:rPr>
          <w:rFonts w:ascii="Times New Roman" w:hAnsi="Times New Roman" w:cs="Times New Roman"/>
          <w:i/>
          <w:iCs/>
        </w:rPr>
        <w:t>Economic impact of IBB's SAP in five charts</w:t>
      </w:r>
      <w:r w:rsidRPr="00483B28">
        <w:rPr>
          <w:rFonts w:ascii="Times New Roman" w:hAnsi="Times New Roman" w:cs="Times New Roman"/>
        </w:rPr>
        <w:t xml:space="preserve">. Retrieved from </w:t>
      </w:r>
      <w:hyperlink r:id="rId15" w:tgtFrame="_blank" w:history="1">
        <w:r w:rsidRPr="00483B28">
          <w:rPr>
            <w:rStyle w:val="Hyperlink"/>
            <w:rFonts w:ascii="Times New Roman" w:hAnsi="Times New Roman" w:cs="Times New Roman"/>
          </w:rPr>
          <w:t>https://businessday.ng/news/article/economic-impact-of-ibbs-sap-in-five-charts/</w:t>
        </w:r>
      </w:hyperlink>
    </w:p>
    <w:p w14:paraId="50E72093"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Central Bank of Nigeria (CBN). (2023).</w:t>
      </w:r>
      <w:r w:rsidRPr="00483B28">
        <w:rPr>
          <w:rFonts w:ascii="Times New Roman" w:hAnsi="Times New Roman" w:cs="Times New Roman"/>
          <w:vertAlign w:val="superscript"/>
        </w:rPr>
        <w:t>10</w:t>
      </w:r>
      <w:r w:rsidRPr="00483B28">
        <w:rPr>
          <w:rFonts w:ascii="Times New Roman" w:hAnsi="Times New Roman" w:cs="Times New Roman"/>
        </w:rPr>
        <w:t xml:space="preserve"> </w:t>
      </w:r>
      <w:r w:rsidRPr="00483B28">
        <w:rPr>
          <w:rFonts w:ascii="Times New Roman" w:hAnsi="Times New Roman" w:cs="Times New Roman"/>
          <w:i/>
          <w:iCs/>
        </w:rPr>
        <w:t>Public Debt Sustainability Measures and Its Growth Implications for the Nigerian Economy</w:t>
      </w:r>
      <w:r w:rsidRPr="00483B28">
        <w:rPr>
          <w:rFonts w:ascii="Times New Roman" w:hAnsi="Times New Roman" w:cs="Times New Roman"/>
        </w:rPr>
        <w:t xml:space="preserve">. Retrieved from </w:t>
      </w:r>
      <w:hyperlink r:id="rId16" w:tgtFrame="_blank" w:history="1">
        <w:r w:rsidRPr="00483B28">
          <w:rPr>
            <w:rStyle w:val="Hyperlink"/>
            <w:rFonts w:ascii="Times New Roman" w:hAnsi="Times New Roman" w:cs="Times New Roman"/>
          </w:rPr>
          <w:t>https://www.cbn.gov.ng/out/2023/rsd/public%20debt%20sustainability%20measures%20and%20its%20growth%20implications%20for%20the%20nigerian%20economy.pdf</w:t>
        </w:r>
      </w:hyperlink>
    </w:p>
    <w:p w14:paraId="4DD98B0E"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EconJournals.com. (2025). </w:t>
      </w:r>
      <w:r w:rsidRPr="00483B28">
        <w:rPr>
          <w:rFonts w:ascii="Times New Roman" w:hAnsi="Times New Roman" w:cs="Times New Roman"/>
          <w:i/>
          <w:iCs/>
        </w:rPr>
        <w:t>Crude Oil Price Volatility and the Nigerian Economy</w:t>
      </w:r>
      <w:r w:rsidRPr="00483B28">
        <w:rPr>
          <w:rFonts w:ascii="Times New Roman" w:hAnsi="Times New Roman" w:cs="Times New Roman"/>
        </w:rPr>
        <w:t xml:space="preserve">. Retrieved from </w:t>
      </w:r>
      <w:hyperlink r:id="rId17" w:tgtFrame="_blank" w:history="1">
        <w:r w:rsidRPr="00483B28">
          <w:rPr>
            <w:rStyle w:val="Hyperlink"/>
            <w:rFonts w:ascii="Times New Roman" w:hAnsi="Times New Roman" w:cs="Times New Roman"/>
          </w:rPr>
          <w:t>https://www.econjournals.com/index.php/ijeep/article/download/18831/8812/44111</w:t>
        </w:r>
      </w:hyperlink>
    </w:p>
    <w:p w14:paraId="2DB88841" w14:textId="77777777" w:rsidR="00354394" w:rsidRPr="00483B28" w:rsidRDefault="00354394" w:rsidP="00354394">
      <w:pPr>
        <w:spacing w:before="240" w:after="0" w:line="240" w:lineRule="auto"/>
        <w:ind w:left="810" w:hanging="810"/>
        <w:jc w:val="both"/>
        <w:rPr>
          <w:rFonts w:ascii="Times New Roman" w:hAnsi="Times New Roman" w:cs="Times New Roman"/>
        </w:rPr>
      </w:pPr>
      <w:proofErr w:type="spellStart"/>
      <w:r w:rsidRPr="00483B28">
        <w:rPr>
          <w:rFonts w:ascii="Times New Roman" w:hAnsi="Times New Roman" w:cs="Times New Roman"/>
        </w:rPr>
        <w:t>Faraglia</w:t>
      </w:r>
      <w:proofErr w:type="spellEnd"/>
      <w:r w:rsidRPr="00483B28">
        <w:rPr>
          <w:rFonts w:ascii="Times New Roman" w:hAnsi="Times New Roman" w:cs="Times New Roman"/>
        </w:rPr>
        <w:t xml:space="preserve">, E., Marcet, A., Oikonomou, R., &amp; Scott, A. (2013). The impact of debt levels and fiscal rules on Ricardian Equivalence. </w:t>
      </w:r>
      <w:r w:rsidRPr="00483B28">
        <w:rPr>
          <w:rFonts w:ascii="Times New Roman" w:hAnsi="Times New Roman" w:cs="Times New Roman"/>
          <w:i/>
          <w:iCs/>
        </w:rPr>
        <w:t>Journal of Monetary Economics</w:t>
      </w:r>
      <w:r w:rsidRPr="00483B28">
        <w:rPr>
          <w:rFonts w:ascii="Times New Roman" w:hAnsi="Times New Roman" w:cs="Times New Roman"/>
        </w:rPr>
        <w:t xml:space="preserve">, </w:t>
      </w:r>
      <w:r w:rsidRPr="00483B28">
        <w:rPr>
          <w:rFonts w:ascii="Times New Roman" w:hAnsi="Times New Roman" w:cs="Times New Roman"/>
          <w:i/>
          <w:iCs/>
        </w:rPr>
        <w:t>60</w:t>
      </w:r>
      <w:r w:rsidRPr="00483B28">
        <w:rPr>
          <w:rFonts w:ascii="Times New Roman" w:hAnsi="Times New Roman" w:cs="Times New Roman"/>
        </w:rPr>
        <w:t>(2), 217–233.</w:t>
      </w:r>
    </w:p>
    <w:p w14:paraId="1B4FFC3C" w14:textId="77777777" w:rsidR="00354394" w:rsidRPr="00483B28" w:rsidRDefault="00354394" w:rsidP="00354394">
      <w:pPr>
        <w:spacing w:before="240" w:after="0" w:line="240" w:lineRule="auto"/>
        <w:ind w:left="810" w:hanging="810"/>
        <w:jc w:val="both"/>
        <w:rPr>
          <w:rFonts w:ascii="Times New Roman" w:hAnsi="Times New Roman" w:cs="Times New Roman"/>
        </w:rPr>
      </w:pPr>
      <w:proofErr w:type="spellStart"/>
      <w:r w:rsidRPr="00483B28">
        <w:rPr>
          <w:rFonts w:ascii="Times New Roman" w:hAnsi="Times New Roman" w:cs="Times New Roman"/>
        </w:rPr>
        <w:t>Ijirshar</w:t>
      </w:r>
      <w:proofErr w:type="spellEnd"/>
      <w:r w:rsidRPr="00483B28">
        <w:rPr>
          <w:rFonts w:ascii="Times New Roman" w:hAnsi="Times New Roman" w:cs="Times New Roman"/>
        </w:rPr>
        <w:t xml:space="preserve">, V. U., </w:t>
      </w:r>
      <w:proofErr w:type="spellStart"/>
      <w:r w:rsidRPr="00483B28">
        <w:rPr>
          <w:rFonts w:ascii="Times New Roman" w:hAnsi="Times New Roman" w:cs="Times New Roman"/>
        </w:rPr>
        <w:t>Asombo</w:t>
      </w:r>
      <w:proofErr w:type="spellEnd"/>
      <w:r w:rsidRPr="00483B28">
        <w:rPr>
          <w:rFonts w:ascii="Times New Roman" w:hAnsi="Times New Roman" w:cs="Times New Roman"/>
        </w:rPr>
        <w:t xml:space="preserve">, G. M., </w:t>
      </w:r>
      <w:proofErr w:type="spellStart"/>
      <w:r w:rsidRPr="00483B28">
        <w:rPr>
          <w:rFonts w:ascii="Times New Roman" w:hAnsi="Times New Roman" w:cs="Times New Roman"/>
        </w:rPr>
        <w:t>Bundepuun</w:t>
      </w:r>
      <w:proofErr w:type="spellEnd"/>
      <w:r w:rsidRPr="00483B28">
        <w:rPr>
          <w:rFonts w:ascii="Times New Roman" w:hAnsi="Times New Roman" w:cs="Times New Roman"/>
        </w:rPr>
        <w:t xml:space="preserve">, F. D., </w:t>
      </w:r>
      <w:proofErr w:type="spellStart"/>
      <w:r w:rsidRPr="00483B28">
        <w:rPr>
          <w:rFonts w:ascii="Times New Roman" w:hAnsi="Times New Roman" w:cs="Times New Roman"/>
        </w:rPr>
        <w:t>Tersugh</w:t>
      </w:r>
      <w:proofErr w:type="spellEnd"/>
      <w:r w:rsidRPr="00483B28">
        <w:rPr>
          <w:rFonts w:ascii="Times New Roman" w:hAnsi="Times New Roman" w:cs="Times New Roman"/>
        </w:rPr>
        <w:t xml:space="preserve">, A., &amp; </w:t>
      </w:r>
      <w:proofErr w:type="spellStart"/>
      <w:r w:rsidRPr="00483B28">
        <w:rPr>
          <w:rFonts w:ascii="Times New Roman" w:hAnsi="Times New Roman" w:cs="Times New Roman"/>
        </w:rPr>
        <w:t>Ngutsav</w:t>
      </w:r>
      <w:proofErr w:type="spellEnd"/>
      <w:r w:rsidRPr="00483B28">
        <w:rPr>
          <w:rFonts w:ascii="Times New Roman" w:hAnsi="Times New Roman" w:cs="Times New Roman"/>
        </w:rPr>
        <w:t xml:space="preserve">, A. (2023). Modelling the impact of government expenditure on economic growth in Nigeria. </w:t>
      </w:r>
      <w:r w:rsidRPr="00483B28">
        <w:rPr>
          <w:rFonts w:ascii="Times New Roman" w:hAnsi="Times New Roman" w:cs="Times New Roman"/>
          <w:i/>
          <w:iCs/>
        </w:rPr>
        <w:t>CBN Journal of Applied Statistics</w:t>
      </w:r>
      <w:r w:rsidRPr="00483B28">
        <w:rPr>
          <w:rFonts w:ascii="Times New Roman" w:hAnsi="Times New Roman" w:cs="Times New Roman"/>
        </w:rPr>
        <w:t xml:space="preserve">, </w:t>
      </w:r>
      <w:r w:rsidRPr="00483B28">
        <w:rPr>
          <w:rFonts w:ascii="Times New Roman" w:hAnsi="Times New Roman" w:cs="Times New Roman"/>
          <w:i/>
          <w:iCs/>
        </w:rPr>
        <w:t>14</w:t>
      </w:r>
      <w:r w:rsidRPr="00483B28">
        <w:rPr>
          <w:rFonts w:ascii="Times New Roman" w:hAnsi="Times New Roman" w:cs="Times New Roman"/>
        </w:rPr>
        <w:t xml:space="preserve">(1), 45–66. https://dc.cbn.gov.ng/jas/vol14/iss1/4 </w:t>
      </w:r>
    </w:p>
    <w:p w14:paraId="668C3C5F"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lastRenderedPageBreak/>
        <w:t xml:space="preserve">International Monetary Fund (IMF). (2003). </w:t>
      </w:r>
      <w:r w:rsidRPr="00483B28">
        <w:rPr>
          <w:rFonts w:ascii="Times New Roman" w:hAnsi="Times New Roman" w:cs="Times New Roman"/>
          <w:i/>
          <w:iCs/>
        </w:rPr>
        <w:t>Fiscal Policy in Nigeria: Any Role for Rules?</w:t>
      </w:r>
      <w:r w:rsidRPr="00483B28">
        <w:rPr>
          <w:rFonts w:ascii="Times New Roman" w:hAnsi="Times New Roman" w:cs="Times New Roman"/>
        </w:rPr>
        <w:t xml:space="preserve"> (WP/03/155). Retrieved from </w:t>
      </w:r>
      <w:hyperlink r:id="rId18" w:tgtFrame="_blank" w:history="1">
        <w:r w:rsidRPr="00483B28">
          <w:rPr>
            <w:rStyle w:val="Hyperlink"/>
            <w:rFonts w:ascii="Times New Roman" w:hAnsi="Times New Roman" w:cs="Times New Roman"/>
          </w:rPr>
          <w:t>https://imf.org/external/pubs/ft/wp/2003/wp03155.pdf</w:t>
        </w:r>
      </w:hyperlink>
    </w:p>
    <w:p w14:paraId="2CF4F9A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IMF. (2024). </w:t>
      </w:r>
      <w:r w:rsidRPr="00483B28">
        <w:rPr>
          <w:rFonts w:ascii="Times New Roman" w:hAnsi="Times New Roman" w:cs="Times New Roman"/>
          <w:i/>
          <w:iCs/>
        </w:rPr>
        <w:t>Transfers, Excess Savings, and Large Fiscal Multipliers</w:t>
      </w:r>
      <w:r w:rsidRPr="00483B28">
        <w:rPr>
          <w:rFonts w:ascii="Times New Roman" w:hAnsi="Times New Roman" w:cs="Times New Roman"/>
        </w:rPr>
        <w:t>. IMF Working Paper.</w:t>
      </w:r>
    </w:p>
    <w:p w14:paraId="4D1A6025"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IMF </w:t>
      </w:r>
      <w:proofErr w:type="spellStart"/>
      <w:r w:rsidRPr="00483B28">
        <w:rPr>
          <w:rFonts w:ascii="Times New Roman" w:hAnsi="Times New Roman" w:cs="Times New Roman"/>
        </w:rPr>
        <w:t>eLibrary</w:t>
      </w:r>
      <w:proofErr w:type="spellEnd"/>
      <w:r w:rsidRPr="00483B28">
        <w:rPr>
          <w:rFonts w:ascii="Times New Roman" w:hAnsi="Times New Roman" w:cs="Times New Roman"/>
        </w:rPr>
        <w:t xml:space="preserve">. (2024). </w:t>
      </w:r>
      <w:r w:rsidRPr="00483B28">
        <w:rPr>
          <w:rFonts w:ascii="Times New Roman" w:hAnsi="Times New Roman" w:cs="Times New Roman"/>
          <w:i/>
          <w:iCs/>
        </w:rPr>
        <w:t>2 Fiscal Restructuring and the Tax System in: Structural Adjustment and Macroeconomic Policy Issues</w:t>
      </w:r>
      <w:r w:rsidRPr="00483B28">
        <w:rPr>
          <w:rFonts w:ascii="Times New Roman" w:hAnsi="Times New Roman" w:cs="Times New Roman"/>
        </w:rPr>
        <w:t xml:space="preserve">. Retrieved from </w:t>
      </w:r>
      <w:hyperlink r:id="rId19" w:tgtFrame="_blank" w:history="1">
        <w:r w:rsidRPr="00483B28">
          <w:rPr>
            <w:rStyle w:val="Hyperlink"/>
            <w:rFonts w:ascii="Times New Roman" w:hAnsi="Times New Roman" w:cs="Times New Roman"/>
          </w:rPr>
          <w:t>https://www.elibrary.imf.org/display/book/9781557753021/ch02.xml</w:t>
        </w:r>
      </w:hyperlink>
    </w:p>
    <w:p w14:paraId="07E75B8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IMF. (2025). </w:t>
      </w:r>
      <w:r w:rsidRPr="00483B28">
        <w:rPr>
          <w:rFonts w:ascii="Times New Roman" w:hAnsi="Times New Roman" w:cs="Times New Roman"/>
          <w:i/>
          <w:iCs/>
        </w:rPr>
        <w:t>How Nigeria Can Unleash its Economic Potential</w:t>
      </w:r>
      <w:r w:rsidRPr="00483B28">
        <w:rPr>
          <w:rFonts w:ascii="Times New Roman" w:hAnsi="Times New Roman" w:cs="Times New Roman"/>
        </w:rPr>
        <w:t xml:space="preserve">. Retrieved from </w:t>
      </w:r>
      <w:hyperlink r:id="rId20" w:tgtFrame="_blank" w:history="1">
        <w:r w:rsidRPr="00483B28">
          <w:rPr>
            <w:rStyle w:val="Hyperlink"/>
            <w:rFonts w:ascii="Times New Roman" w:hAnsi="Times New Roman" w:cs="Times New Roman"/>
          </w:rPr>
          <w:t>https://www.imf.org/en/News/Articles/2025/07/07/cf-how-nigeria-can-unleash-its-economic-potential</w:t>
        </w:r>
      </w:hyperlink>
    </w:p>
    <w:p w14:paraId="51AF666B" w14:textId="77777777" w:rsidR="00354394" w:rsidRPr="00483B28" w:rsidRDefault="00354394" w:rsidP="00354394">
      <w:pPr>
        <w:spacing w:before="240" w:after="0" w:line="240" w:lineRule="auto"/>
        <w:ind w:left="810" w:hanging="810"/>
        <w:jc w:val="both"/>
        <w:rPr>
          <w:rFonts w:ascii="Times New Roman" w:hAnsi="Times New Roman" w:cs="Times New Roman"/>
        </w:rPr>
      </w:pPr>
      <w:proofErr w:type="spellStart"/>
      <w:r w:rsidRPr="00483B28">
        <w:rPr>
          <w:rFonts w:ascii="Times New Roman" w:hAnsi="Times New Roman" w:cs="Times New Roman"/>
        </w:rPr>
        <w:t>Kashere</w:t>
      </w:r>
      <w:proofErr w:type="spellEnd"/>
      <w:r w:rsidRPr="00483B28">
        <w:rPr>
          <w:rFonts w:ascii="Times New Roman" w:hAnsi="Times New Roman" w:cs="Times New Roman"/>
        </w:rPr>
        <w:t xml:space="preserve"> Journal of Accounting and Finance. (2025). </w:t>
      </w:r>
      <w:r w:rsidRPr="00483B28">
        <w:rPr>
          <w:rFonts w:ascii="Times New Roman" w:hAnsi="Times New Roman" w:cs="Times New Roman"/>
          <w:i/>
          <w:iCs/>
        </w:rPr>
        <w:t>EFFECT OF TAX REFORMS ON THE NIGERIAN ECONOMIC GROWTH</w:t>
      </w:r>
      <w:r w:rsidRPr="00483B28">
        <w:rPr>
          <w:rFonts w:ascii="Times New Roman" w:hAnsi="Times New Roman" w:cs="Times New Roman"/>
        </w:rPr>
        <w:t xml:space="preserve">. Retrieved from </w:t>
      </w:r>
      <w:hyperlink r:id="rId21" w:tgtFrame="_blank" w:history="1">
        <w:r w:rsidRPr="00483B28">
          <w:rPr>
            <w:rStyle w:val="Hyperlink"/>
            <w:rFonts w:ascii="Times New Roman" w:hAnsi="Times New Roman" w:cs="Times New Roman"/>
          </w:rPr>
          <w:t>https://www.kajaf.com.ng/index.php/kajaf/article/download/9/5/5</w:t>
        </w:r>
      </w:hyperlink>
    </w:p>
    <w:p w14:paraId="50F8F3EE"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Kneller, R., </w:t>
      </w:r>
      <w:proofErr w:type="spellStart"/>
      <w:r w:rsidRPr="00483B28">
        <w:rPr>
          <w:rFonts w:ascii="Times New Roman" w:hAnsi="Times New Roman" w:cs="Times New Roman"/>
        </w:rPr>
        <w:t>Bleaney</w:t>
      </w:r>
      <w:proofErr w:type="spellEnd"/>
      <w:r w:rsidRPr="00483B28">
        <w:rPr>
          <w:rFonts w:ascii="Times New Roman" w:hAnsi="Times New Roman" w:cs="Times New Roman"/>
        </w:rPr>
        <w:t xml:space="preserve">, M. F., &amp; Gemmell, N. (1999). Fiscal policy and growth: Evidence from OECD countries. </w:t>
      </w:r>
      <w:r w:rsidRPr="00483B28">
        <w:rPr>
          <w:rFonts w:ascii="Times New Roman" w:hAnsi="Times New Roman" w:cs="Times New Roman"/>
          <w:i/>
          <w:iCs/>
        </w:rPr>
        <w:t>Journal of Public Economics</w:t>
      </w:r>
      <w:r w:rsidRPr="00483B28">
        <w:rPr>
          <w:rFonts w:ascii="Times New Roman" w:hAnsi="Times New Roman" w:cs="Times New Roman"/>
        </w:rPr>
        <w:t xml:space="preserve">, </w:t>
      </w:r>
      <w:r w:rsidRPr="00483B28">
        <w:rPr>
          <w:rFonts w:ascii="Times New Roman" w:hAnsi="Times New Roman" w:cs="Times New Roman"/>
          <w:i/>
          <w:iCs/>
        </w:rPr>
        <w:t>74</w:t>
      </w:r>
      <w:r w:rsidRPr="00483B28">
        <w:rPr>
          <w:rFonts w:ascii="Times New Roman" w:hAnsi="Times New Roman" w:cs="Times New Roman"/>
        </w:rPr>
        <w:t>(2), 171–190.</w:t>
      </w:r>
    </w:p>
    <w:p w14:paraId="79B2E23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Maku, O. E., (2015). Fiscal policy and economic growth: A study on Nigerian economic perspective. </w:t>
      </w:r>
      <w:r w:rsidRPr="00483B28">
        <w:rPr>
          <w:rFonts w:ascii="Times New Roman" w:hAnsi="Times New Roman" w:cs="Times New Roman"/>
          <w:i/>
          <w:iCs/>
        </w:rPr>
        <w:t>Journal of Economics and Sustainable Development</w:t>
      </w:r>
      <w:r w:rsidRPr="00483B28">
        <w:rPr>
          <w:rFonts w:ascii="Times New Roman" w:hAnsi="Times New Roman" w:cs="Times New Roman"/>
        </w:rPr>
        <w:t xml:space="preserve">, </w:t>
      </w:r>
      <w:r w:rsidRPr="00483B28">
        <w:rPr>
          <w:rFonts w:ascii="Times New Roman" w:hAnsi="Times New Roman" w:cs="Times New Roman"/>
          <w:i/>
          <w:iCs/>
        </w:rPr>
        <w:t>6</w:t>
      </w:r>
      <w:r w:rsidRPr="00483B28">
        <w:rPr>
          <w:rFonts w:ascii="Times New Roman" w:hAnsi="Times New Roman" w:cs="Times New Roman"/>
        </w:rPr>
        <w:t>(20), 95–101.</w:t>
      </w:r>
    </w:p>
    <w:p w14:paraId="5E9DB312"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Mian, A., Straub, L., &amp; Sufi, A. (2022). The Saving Glut of the Rich. </w:t>
      </w:r>
      <w:r w:rsidRPr="00483B28">
        <w:rPr>
          <w:rFonts w:ascii="Times New Roman" w:hAnsi="Times New Roman" w:cs="Times New Roman"/>
          <w:i/>
          <w:iCs/>
        </w:rPr>
        <w:t>American Economic Journal: Macroeconomics</w:t>
      </w:r>
      <w:r w:rsidRPr="00483B28">
        <w:rPr>
          <w:rFonts w:ascii="Times New Roman" w:hAnsi="Times New Roman" w:cs="Times New Roman"/>
        </w:rPr>
        <w:t xml:space="preserve">, </w:t>
      </w:r>
      <w:r w:rsidRPr="00483B28">
        <w:rPr>
          <w:rFonts w:ascii="Times New Roman" w:hAnsi="Times New Roman" w:cs="Times New Roman"/>
          <w:i/>
          <w:iCs/>
        </w:rPr>
        <w:t>14</w:t>
      </w:r>
      <w:r w:rsidRPr="00483B28">
        <w:rPr>
          <w:rFonts w:ascii="Times New Roman" w:hAnsi="Times New Roman" w:cs="Times New Roman"/>
        </w:rPr>
        <w:t>(1), 1–49.</w:t>
      </w:r>
    </w:p>
    <w:p w14:paraId="62EB97DF" w14:textId="77777777" w:rsidR="00354394" w:rsidRPr="00483B28" w:rsidRDefault="00354394" w:rsidP="00354394">
      <w:pPr>
        <w:spacing w:before="240" w:after="0" w:line="240" w:lineRule="auto"/>
        <w:ind w:left="810" w:hanging="810"/>
        <w:jc w:val="both"/>
        <w:rPr>
          <w:rFonts w:ascii="Times New Roman" w:hAnsi="Times New Roman" w:cs="Times New Roman"/>
        </w:rPr>
      </w:pPr>
      <w:bookmarkStart w:id="4" w:name="_Hlk203045914"/>
      <w:r w:rsidRPr="00483B28">
        <w:rPr>
          <w:rFonts w:ascii="Times New Roman" w:hAnsi="Times New Roman" w:cs="Times New Roman"/>
        </w:rPr>
        <w:t xml:space="preserve">Murthy, N. R. V. (2022). </w:t>
      </w:r>
      <w:bookmarkEnd w:id="4"/>
      <w:r w:rsidRPr="00483B28">
        <w:rPr>
          <w:rFonts w:ascii="Times New Roman" w:hAnsi="Times New Roman" w:cs="Times New Roman"/>
        </w:rPr>
        <w:t xml:space="preserve">Testing Wagner’s law in Sub-Saharan Africa: New evidence from time-series analysis. </w:t>
      </w:r>
      <w:r w:rsidRPr="00483B28">
        <w:rPr>
          <w:rFonts w:ascii="Times New Roman" w:hAnsi="Times New Roman" w:cs="Times New Roman"/>
          <w:i/>
          <w:iCs/>
        </w:rPr>
        <w:t>African Journal of Economic Policy</w:t>
      </w:r>
      <w:r w:rsidRPr="00483B28">
        <w:rPr>
          <w:rFonts w:ascii="Times New Roman" w:hAnsi="Times New Roman" w:cs="Times New Roman"/>
        </w:rPr>
        <w:t xml:space="preserve">, </w:t>
      </w:r>
      <w:r w:rsidRPr="00483B28">
        <w:rPr>
          <w:rFonts w:ascii="Times New Roman" w:hAnsi="Times New Roman" w:cs="Times New Roman"/>
          <w:i/>
          <w:iCs/>
        </w:rPr>
        <w:t>29</w:t>
      </w:r>
      <w:r w:rsidRPr="00483B28">
        <w:rPr>
          <w:rFonts w:ascii="Times New Roman" w:hAnsi="Times New Roman" w:cs="Times New Roman"/>
        </w:rPr>
        <w:t>(1), 57–74.</w:t>
      </w:r>
    </w:p>
    <w:p w14:paraId="032E3A2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Nasiru I., (2025). Nigeria’s Tinubu economy at 2: Gains, pains and the road ahead. Finance in Africa. Retrieved </w:t>
      </w:r>
      <w:hyperlink r:id="rId22" w:history="1">
        <w:r w:rsidRPr="00483B28">
          <w:rPr>
            <w:rStyle w:val="Hyperlink"/>
            <w:rFonts w:ascii="Times New Roman" w:hAnsi="Times New Roman" w:cs="Times New Roman"/>
          </w:rPr>
          <w:t>https://financeinafrica.com/news/nigerias-tinubu-economy-two/?utm_source=chatgpt.com</w:t>
        </w:r>
      </w:hyperlink>
      <w:r w:rsidRPr="00483B28">
        <w:rPr>
          <w:rFonts w:ascii="Times New Roman" w:hAnsi="Times New Roman" w:cs="Times New Roman"/>
        </w:rPr>
        <w:t>, July 10.</w:t>
      </w:r>
    </w:p>
    <w:p w14:paraId="1F79B27A" w14:textId="77777777" w:rsidR="00354394" w:rsidRPr="00483B28" w:rsidRDefault="00354394" w:rsidP="00354394">
      <w:pPr>
        <w:spacing w:before="240" w:after="0" w:line="240" w:lineRule="auto"/>
        <w:ind w:left="810" w:hanging="810"/>
        <w:jc w:val="both"/>
        <w:rPr>
          <w:rFonts w:ascii="Times New Roman" w:hAnsi="Times New Roman" w:cs="Times New Roman"/>
        </w:rPr>
      </w:pPr>
      <w:proofErr w:type="spellStart"/>
      <w:r w:rsidRPr="00483B28">
        <w:rPr>
          <w:rFonts w:ascii="Times New Roman" w:hAnsi="Times New Roman" w:cs="Times New Roman"/>
        </w:rPr>
        <w:t>Okonjo-Iweala</w:t>
      </w:r>
      <w:proofErr w:type="spellEnd"/>
      <w:r w:rsidRPr="00483B28">
        <w:rPr>
          <w:rFonts w:ascii="Times New Roman" w:hAnsi="Times New Roman" w:cs="Times New Roman"/>
        </w:rPr>
        <w:t xml:space="preserve">, N. &amp; </w:t>
      </w:r>
      <w:proofErr w:type="spellStart"/>
      <w:r w:rsidRPr="00483B28">
        <w:rPr>
          <w:rFonts w:ascii="Times New Roman" w:hAnsi="Times New Roman" w:cs="Times New Roman"/>
        </w:rPr>
        <w:t>Osafo-Kwaako</w:t>
      </w:r>
      <w:proofErr w:type="spellEnd"/>
      <w:r w:rsidRPr="00483B28">
        <w:rPr>
          <w:rFonts w:ascii="Times New Roman" w:hAnsi="Times New Roman" w:cs="Times New Roman"/>
        </w:rPr>
        <w:t xml:space="preserve">, P. (2007). </w:t>
      </w:r>
      <w:r w:rsidRPr="00483B28">
        <w:rPr>
          <w:rFonts w:ascii="Times New Roman" w:hAnsi="Times New Roman" w:cs="Times New Roman"/>
          <w:i/>
          <w:iCs/>
        </w:rPr>
        <w:t xml:space="preserve">Nigeria’s economic reforms: progress and challenges. </w:t>
      </w:r>
      <w:r w:rsidRPr="00483B28">
        <w:rPr>
          <w:rFonts w:ascii="Times New Roman" w:hAnsi="Times New Roman" w:cs="Times New Roman"/>
        </w:rPr>
        <w:t>Brookings global economic development. Working paper 6.</w:t>
      </w:r>
    </w:p>
    <w:p w14:paraId="1AC0B0AA"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Omotosho, K., et al. (2016). (Cited in CBN, 2023, </w:t>
      </w:r>
      <w:r w:rsidRPr="00483B28">
        <w:rPr>
          <w:rFonts w:ascii="Times New Roman" w:hAnsi="Times New Roman" w:cs="Times New Roman"/>
          <w:i/>
          <w:iCs/>
        </w:rPr>
        <w:t>Public Debt Sustainability Measures and Its Growth Implications for the Nigerian Economy</w:t>
      </w:r>
      <w:r w:rsidRPr="00483B28">
        <w:rPr>
          <w:rFonts w:ascii="Times New Roman" w:hAnsi="Times New Roman" w:cs="Times New Roman"/>
        </w:rPr>
        <w:t>).</w:t>
      </w:r>
    </w:p>
    <w:p w14:paraId="6D463908" w14:textId="77777777" w:rsidR="00354394" w:rsidRPr="00483B28" w:rsidRDefault="00354394" w:rsidP="00354394">
      <w:pPr>
        <w:spacing w:before="240" w:after="0" w:line="240" w:lineRule="auto"/>
        <w:ind w:left="810" w:hanging="810"/>
        <w:jc w:val="both"/>
        <w:rPr>
          <w:rFonts w:ascii="Times New Roman" w:hAnsi="Times New Roman" w:cs="Times New Roman"/>
        </w:rPr>
      </w:pPr>
      <w:bookmarkStart w:id="5" w:name="_Hlk203000323"/>
      <w:r w:rsidRPr="00483B28">
        <w:rPr>
          <w:rFonts w:ascii="Times New Roman" w:hAnsi="Times New Roman" w:cs="Times New Roman"/>
        </w:rPr>
        <w:t xml:space="preserve">Onifade, S. T., Çevik, S., Erdoğan, S., &amp; </w:t>
      </w:r>
      <w:proofErr w:type="spellStart"/>
      <w:r w:rsidRPr="00483B28">
        <w:rPr>
          <w:rFonts w:ascii="Times New Roman" w:hAnsi="Times New Roman" w:cs="Times New Roman"/>
        </w:rPr>
        <w:t>Bekun</w:t>
      </w:r>
      <w:proofErr w:type="spellEnd"/>
      <w:r w:rsidRPr="00483B28">
        <w:rPr>
          <w:rFonts w:ascii="Times New Roman" w:hAnsi="Times New Roman" w:cs="Times New Roman"/>
        </w:rPr>
        <w:t xml:space="preserve">, F. V. (2020). </w:t>
      </w:r>
      <w:bookmarkEnd w:id="5"/>
      <w:r w:rsidRPr="00483B28">
        <w:rPr>
          <w:rFonts w:ascii="Times New Roman" w:hAnsi="Times New Roman" w:cs="Times New Roman"/>
        </w:rPr>
        <w:t xml:space="preserve">An empirical retrospect of the impacts of government expenditures on economic growth: new evidence from the Nigerian economy. </w:t>
      </w:r>
      <w:r w:rsidRPr="00483B28">
        <w:rPr>
          <w:rFonts w:ascii="Times New Roman" w:hAnsi="Times New Roman" w:cs="Times New Roman"/>
          <w:i/>
          <w:iCs/>
        </w:rPr>
        <w:t>Journal of Economic Structures</w:t>
      </w:r>
      <w:r w:rsidRPr="00483B28">
        <w:rPr>
          <w:rFonts w:ascii="Times New Roman" w:hAnsi="Times New Roman" w:cs="Times New Roman"/>
        </w:rPr>
        <w:t xml:space="preserve">, </w:t>
      </w:r>
      <w:r w:rsidRPr="00483B28">
        <w:rPr>
          <w:rFonts w:ascii="Times New Roman" w:hAnsi="Times New Roman" w:cs="Times New Roman"/>
          <w:i/>
          <w:iCs/>
        </w:rPr>
        <w:t>9</w:t>
      </w:r>
      <w:r w:rsidRPr="00483B28">
        <w:rPr>
          <w:rFonts w:ascii="Times New Roman" w:hAnsi="Times New Roman" w:cs="Times New Roman"/>
        </w:rPr>
        <w:t>(6), 1–16. https://doi.org/10.1186/s40008-020-0186-7</w:t>
      </w:r>
    </w:p>
    <w:p w14:paraId="3A06C87D"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Punch Newspapers. (2025). </w:t>
      </w:r>
      <w:r w:rsidRPr="00483B28">
        <w:rPr>
          <w:rFonts w:ascii="Times New Roman" w:hAnsi="Times New Roman" w:cs="Times New Roman"/>
          <w:i/>
          <w:iCs/>
        </w:rPr>
        <w:t>Tax reforms passage heralds new fiscal era</w:t>
      </w:r>
      <w:r w:rsidRPr="00483B28">
        <w:rPr>
          <w:rFonts w:ascii="Times New Roman" w:hAnsi="Times New Roman" w:cs="Times New Roman"/>
        </w:rPr>
        <w:t>.</w:t>
      </w:r>
      <w:r w:rsidRPr="00483B28">
        <w:rPr>
          <w:rFonts w:ascii="Times New Roman" w:hAnsi="Times New Roman" w:cs="Times New Roman"/>
          <w:vertAlign w:val="superscript"/>
        </w:rPr>
        <w:t>11</w:t>
      </w:r>
      <w:r w:rsidRPr="00483B28">
        <w:rPr>
          <w:rFonts w:ascii="Times New Roman" w:hAnsi="Times New Roman" w:cs="Times New Roman"/>
        </w:rPr>
        <w:t xml:space="preserve"> Retrieved from </w:t>
      </w:r>
      <w:hyperlink r:id="rId23" w:tgtFrame="_blank" w:history="1">
        <w:r w:rsidRPr="00483B28">
          <w:rPr>
            <w:rStyle w:val="Hyperlink"/>
            <w:rFonts w:ascii="Times New Roman" w:hAnsi="Times New Roman" w:cs="Times New Roman"/>
          </w:rPr>
          <w:t>https://punchng.com/tax-reforms-passage-heralds-new-fiscal-era/</w:t>
        </w:r>
      </w:hyperlink>
    </w:p>
    <w:p w14:paraId="3146427F"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ResearchGate. (2017). </w:t>
      </w:r>
      <w:r w:rsidRPr="00483B28">
        <w:rPr>
          <w:rFonts w:ascii="Times New Roman" w:hAnsi="Times New Roman" w:cs="Times New Roman"/>
          <w:i/>
          <w:iCs/>
        </w:rPr>
        <w:t xml:space="preserve">Structural Adjustment </w:t>
      </w:r>
      <w:proofErr w:type="spellStart"/>
      <w:r w:rsidRPr="00483B28">
        <w:rPr>
          <w:rFonts w:ascii="Times New Roman" w:hAnsi="Times New Roman" w:cs="Times New Roman"/>
          <w:i/>
          <w:iCs/>
        </w:rPr>
        <w:t>Programme</w:t>
      </w:r>
      <w:proofErr w:type="spellEnd"/>
      <w:r w:rsidRPr="00483B28">
        <w:rPr>
          <w:rFonts w:ascii="Times New Roman" w:hAnsi="Times New Roman" w:cs="Times New Roman"/>
          <w:i/>
          <w:iCs/>
        </w:rPr>
        <w:t xml:space="preserve"> in Nigeria and its Implications on Socio-Economic Development, 1980-1995</w:t>
      </w:r>
      <w:r w:rsidRPr="00483B28">
        <w:rPr>
          <w:rFonts w:ascii="Times New Roman" w:hAnsi="Times New Roman" w:cs="Times New Roman"/>
        </w:rPr>
        <w:t xml:space="preserve">. Retrieved from </w:t>
      </w:r>
      <w:hyperlink r:id="rId24" w:tgtFrame="_blank" w:history="1">
        <w:r w:rsidRPr="00483B28">
          <w:rPr>
            <w:rStyle w:val="Hyperlink"/>
            <w:rFonts w:ascii="Times New Roman" w:hAnsi="Times New Roman" w:cs="Times New Roman"/>
          </w:rPr>
          <w:t>https://www.researchgate.net/publication/318755508_Structural_Adjustment_Programme_in_Nigeria_and_its_Implications_on_Socio-Economic_Development_1980-1995</w:t>
        </w:r>
      </w:hyperlink>
    </w:p>
    <w:p w14:paraId="6F71C8DE"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lastRenderedPageBreak/>
        <w:t xml:space="preserve">RSIS International. (n.d.). </w:t>
      </w:r>
      <w:r w:rsidRPr="00483B28">
        <w:rPr>
          <w:rFonts w:ascii="Times New Roman" w:hAnsi="Times New Roman" w:cs="Times New Roman"/>
          <w:i/>
          <w:iCs/>
        </w:rPr>
        <w:t>The Effect of Exchange Rate on the Growth of the Nigerian Economy</w:t>
      </w:r>
      <w:r w:rsidRPr="00483B28">
        <w:rPr>
          <w:rFonts w:ascii="Times New Roman" w:hAnsi="Times New Roman" w:cs="Times New Roman"/>
        </w:rPr>
        <w:t xml:space="preserve">. Retrieved from </w:t>
      </w:r>
      <w:hyperlink r:id="rId25" w:tgtFrame="_blank" w:history="1">
        <w:r w:rsidRPr="00483B28">
          <w:rPr>
            <w:rStyle w:val="Hyperlink"/>
            <w:rFonts w:ascii="Times New Roman" w:hAnsi="Times New Roman" w:cs="Times New Roman"/>
          </w:rPr>
          <w:t>https://rsisinternational.org/journals/ijriss/articles/the-effect-of-exchange-rate-on-the-growth-of-the-nigerian-economy/</w:t>
        </w:r>
      </w:hyperlink>
    </w:p>
    <w:p w14:paraId="7B33D878"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Udo, E. G., Akpan, E., &amp; Akpan, O. M. (2022). Fiscal policy and economic growth: An empirical assessment in fiscal regimes in Nigeria (1970–2019). International Journal of Social Sciences and Humanities Research, 5(2), 189–203.</w:t>
      </w:r>
    </w:p>
    <w:p w14:paraId="0F045C1F" w14:textId="77777777" w:rsidR="00354394" w:rsidRPr="00483B28" w:rsidRDefault="00354394" w:rsidP="00354394">
      <w:pPr>
        <w:spacing w:before="240" w:after="0" w:line="240" w:lineRule="auto"/>
        <w:ind w:left="810" w:hanging="810"/>
        <w:jc w:val="both"/>
        <w:rPr>
          <w:rFonts w:ascii="Times New Roman" w:hAnsi="Times New Roman" w:cs="Times New Roman"/>
        </w:rPr>
      </w:pPr>
      <w:r w:rsidRPr="00483B28">
        <w:rPr>
          <w:rFonts w:ascii="Times New Roman" w:hAnsi="Times New Roman" w:cs="Times New Roman"/>
        </w:rPr>
        <w:t xml:space="preserve">Ugwuoke, T. I., Ogu, C., &amp; Ugwuoke, C. A. (2022). </w:t>
      </w:r>
      <w:r w:rsidRPr="00483B28">
        <w:rPr>
          <w:rFonts w:ascii="Times New Roman" w:hAnsi="Times New Roman" w:cs="Times New Roman"/>
          <w:i/>
          <w:iCs/>
        </w:rPr>
        <w:t>Impact of Economic Restructuring Through Fiscal Policy on Economic Growth in Nigeria</w:t>
      </w:r>
      <w:r w:rsidRPr="00483B28">
        <w:rPr>
          <w:rFonts w:ascii="Times New Roman" w:hAnsi="Times New Roman" w:cs="Times New Roman"/>
        </w:rPr>
        <w:t>.</w:t>
      </w:r>
      <w:r w:rsidRPr="00483B28">
        <w:rPr>
          <w:rFonts w:ascii="Times New Roman" w:hAnsi="Times New Roman" w:cs="Times New Roman"/>
          <w:vertAlign w:val="superscript"/>
        </w:rPr>
        <w:t>12</w:t>
      </w:r>
      <w:r w:rsidRPr="00483B28">
        <w:rPr>
          <w:rFonts w:ascii="Times New Roman" w:hAnsi="Times New Roman" w:cs="Times New Roman"/>
        </w:rPr>
        <w:t xml:space="preserve"> Journal of Economic Studies, 13(1), 25-43. (Cited as Ugwuoke, Ogu &amp; Ugwuoke, 2022).</w:t>
      </w:r>
    </w:p>
    <w:p w14:paraId="354ED3B9" w14:textId="77777777" w:rsidR="00354394" w:rsidRPr="00542F5E" w:rsidRDefault="00354394" w:rsidP="00354394">
      <w:pPr>
        <w:spacing w:before="240" w:after="0" w:line="240" w:lineRule="auto"/>
        <w:ind w:left="810" w:hanging="810"/>
        <w:jc w:val="both"/>
        <w:rPr>
          <w:rFonts w:ascii="Times New Roman" w:hAnsi="Times New Roman" w:cs="Times New Roman"/>
        </w:rPr>
      </w:pPr>
      <w:proofErr w:type="spellStart"/>
      <w:r w:rsidRPr="00483B28">
        <w:rPr>
          <w:rFonts w:ascii="Times New Roman" w:hAnsi="Times New Roman" w:cs="Times New Roman"/>
        </w:rPr>
        <w:t>Ukangwa</w:t>
      </w:r>
      <w:proofErr w:type="spellEnd"/>
      <w:r w:rsidRPr="00483B28">
        <w:rPr>
          <w:rFonts w:ascii="Times New Roman" w:hAnsi="Times New Roman" w:cs="Times New Roman"/>
        </w:rPr>
        <w:t xml:space="preserve">, J.U., </w:t>
      </w:r>
      <w:proofErr w:type="spellStart"/>
      <w:r w:rsidRPr="00483B28">
        <w:rPr>
          <w:rFonts w:ascii="Times New Roman" w:hAnsi="Times New Roman" w:cs="Times New Roman"/>
        </w:rPr>
        <w:t>Wolugbon</w:t>
      </w:r>
      <w:proofErr w:type="spellEnd"/>
      <w:r w:rsidRPr="00483B28">
        <w:rPr>
          <w:rFonts w:ascii="Times New Roman" w:hAnsi="Times New Roman" w:cs="Times New Roman"/>
        </w:rPr>
        <w:t xml:space="preserve">, D., </w:t>
      </w:r>
      <w:proofErr w:type="spellStart"/>
      <w:r w:rsidRPr="00483B28">
        <w:rPr>
          <w:rFonts w:ascii="Times New Roman" w:hAnsi="Times New Roman" w:cs="Times New Roman"/>
        </w:rPr>
        <w:t>Nwanosike</w:t>
      </w:r>
      <w:proofErr w:type="spellEnd"/>
      <w:r w:rsidRPr="00483B28">
        <w:rPr>
          <w:rFonts w:ascii="Times New Roman" w:hAnsi="Times New Roman" w:cs="Times New Roman"/>
        </w:rPr>
        <w:t xml:space="preserve">, D.U., </w:t>
      </w:r>
      <w:proofErr w:type="spellStart"/>
      <w:r w:rsidRPr="00483B28">
        <w:rPr>
          <w:rFonts w:ascii="Times New Roman" w:hAnsi="Times New Roman" w:cs="Times New Roman"/>
        </w:rPr>
        <w:t>Ekpendu</w:t>
      </w:r>
      <w:proofErr w:type="spellEnd"/>
      <w:r w:rsidRPr="00483B28">
        <w:rPr>
          <w:rFonts w:ascii="Times New Roman" w:hAnsi="Times New Roman" w:cs="Times New Roman"/>
        </w:rPr>
        <w:t xml:space="preserve">, J.E., Onwuka, I. &amp; </w:t>
      </w:r>
      <w:proofErr w:type="spellStart"/>
      <w:r w:rsidRPr="00483B28">
        <w:rPr>
          <w:rFonts w:ascii="Times New Roman" w:hAnsi="Times New Roman" w:cs="Times New Roman"/>
        </w:rPr>
        <w:t>Nzelu</w:t>
      </w:r>
      <w:proofErr w:type="spellEnd"/>
      <w:r w:rsidRPr="00483B28">
        <w:rPr>
          <w:rFonts w:ascii="Times New Roman" w:hAnsi="Times New Roman" w:cs="Times New Roman"/>
        </w:rPr>
        <w:t xml:space="preserve">, C.A. (2023). The Impact of Fiscal Policy on the Economic Growth of Nigeria. European Journal of Theoretical and Applied Sciences, 1(6), 741-750. DOI: </w:t>
      </w:r>
      <w:r w:rsidRPr="00542F5E">
        <w:rPr>
          <w:rFonts w:ascii="Times New Roman" w:hAnsi="Times New Roman" w:cs="Times New Roman"/>
        </w:rPr>
        <w:t>10.59324/ejtas.2023.1(6).73</w:t>
      </w:r>
    </w:p>
    <w:p w14:paraId="2C1D3E78" w14:textId="77777777" w:rsidR="00354394" w:rsidRPr="00542F5E" w:rsidRDefault="00354394" w:rsidP="00354394">
      <w:pPr>
        <w:spacing w:before="240" w:after="0" w:line="240" w:lineRule="auto"/>
        <w:ind w:left="810" w:hanging="810"/>
        <w:jc w:val="both"/>
        <w:rPr>
          <w:rFonts w:ascii="Times New Roman" w:hAnsi="Times New Roman" w:cs="Times New Roman"/>
        </w:rPr>
      </w:pPr>
      <w:r w:rsidRPr="00542F5E">
        <w:rPr>
          <w:rFonts w:ascii="Times New Roman" w:hAnsi="Times New Roman" w:cs="Times New Roman"/>
          <w:bCs/>
        </w:rPr>
        <w:t>World Bank. (2020).</w:t>
      </w:r>
      <w:r w:rsidRPr="00542F5E">
        <w:rPr>
          <w:rFonts w:ascii="Times New Roman" w:hAnsi="Times New Roman" w:cs="Times New Roman"/>
        </w:rPr>
        <w:t xml:space="preserve"> </w:t>
      </w:r>
      <w:r w:rsidRPr="00542F5E">
        <w:rPr>
          <w:rFonts w:ascii="Times New Roman" w:hAnsi="Times New Roman" w:cs="Times New Roman"/>
          <w:i/>
          <w:iCs/>
        </w:rPr>
        <w:t>Nigeria Public Finance Review: Fiscal Adjustment for Better and Sustainable Development Results.</w:t>
      </w:r>
      <w:r w:rsidRPr="00542F5E">
        <w:rPr>
          <w:rFonts w:ascii="Times New Roman" w:hAnsi="Times New Roman" w:cs="Times New Roman"/>
        </w:rPr>
        <w:br/>
      </w:r>
      <w:hyperlink r:id="rId26" w:tgtFrame="_new" w:history="1">
        <w:r w:rsidRPr="00542F5E">
          <w:rPr>
            <w:rStyle w:val="Hyperlink"/>
            <w:rFonts w:ascii="Times New Roman" w:hAnsi="Times New Roman" w:cs="Times New Roman"/>
          </w:rPr>
          <w:t>https://documents.worldbank.org</w:t>
        </w:r>
      </w:hyperlink>
    </w:p>
    <w:p w14:paraId="78F24866" w14:textId="77777777" w:rsidR="00354394" w:rsidRDefault="00354394" w:rsidP="00354394">
      <w:pPr>
        <w:spacing w:before="240" w:after="0" w:line="240" w:lineRule="auto"/>
        <w:ind w:left="810" w:hanging="810"/>
        <w:jc w:val="both"/>
        <w:rPr>
          <w:rStyle w:val="Hyperlink"/>
          <w:rFonts w:ascii="Times New Roman" w:hAnsi="Times New Roman" w:cs="Times New Roman"/>
        </w:rPr>
      </w:pPr>
      <w:r w:rsidRPr="00483B28">
        <w:rPr>
          <w:rFonts w:ascii="Times New Roman" w:hAnsi="Times New Roman" w:cs="Times New Roman"/>
        </w:rPr>
        <w:t xml:space="preserve">World Bank. (2024). </w:t>
      </w:r>
      <w:r w:rsidRPr="00483B28">
        <w:rPr>
          <w:rFonts w:ascii="Times New Roman" w:hAnsi="Times New Roman" w:cs="Times New Roman"/>
          <w:i/>
          <w:iCs/>
        </w:rPr>
        <w:t>Turning The Corner: Nigeria's Ongoing Path of Economic Reforms</w:t>
      </w:r>
      <w:r w:rsidRPr="00483B28">
        <w:rPr>
          <w:rFonts w:ascii="Times New Roman" w:hAnsi="Times New Roman" w:cs="Times New Roman"/>
        </w:rPr>
        <w:t xml:space="preserve">. Retrieved from </w:t>
      </w:r>
      <w:hyperlink r:id="rId27" w:history="1">
        <w:r w:rsidRPr="00483B28">
          <w:rPr>
            <w:rStyle w:val="Hyperlink"/>
            <w:rFonts w:ascii="Times New Roman" w:hAnsi="Times New Roman" w:cs="Times New Roman"/>
          </w:rPr>
          <w:t>https://www.worldbank.org/en/news/feature/2024/06/13/turning-the-corner-nigeria-ongoing-path-of-economic-reforms</w:t>
        </w:r>
      </w:hyperlink>
    </w:p>
    <w:p w14:paraId="01D063D9" w14:textId="77777777" w:rsidR="00354394" w:rsidRPr="009F29AA" w:rsidRDefault="00354394" w:rsidP="009F29AA">
      <w:pPr>
        <w:pStyle w:val="NormalWeb"/>
      </w:pPr>
    </w:p>
    <w:sectPr w:rsidR="00354394" w:rsidRPr="009F29A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7939F" w14:textId="77777777" w:rsidR="0098586B" w:rsidRDefault="0098586B" w:rsidP="00853049">
      <w:pPr>
        <w:spacing w:after="0" w:line="240" w:lineRule="auto"/>
      </w:pPr>
      <w:r>
        <w:separator/>
      </w:r>
    </w:p>
  </w:endnote>
  <w:endnote w:type="continuationSeparator" w:id="0">
    <w:p w14:paraId="62449BA6" w14:textId="77777777" w:rsidR="0098586B" w:rsidRDefault="0098586B" w:rsidP="0085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47A7" w14:textId="77777777" w:rsidR="00853049" w:rsidRDefault="00853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7747" w14:textId="77777777" w:rsidR="00853049" w:rsidRDefault="00853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3497" w14:textId="77777777" w:rsidR="00853049" w:rsidRDefault="00853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59BD3" w14:textId="77777777" w:rsidR="0098586B" w:rsidRDefault="0098586B" w:rsidP="00853049">
      <w:pPr>
        <w:spacing w:after="0" w:line="240" w:lineRule="auto"/>
      </w:pPr>
      <w:r>
        <w:separator/>
      </w:r>
    </w:p>
  </w:footnote>
  <w:footnote w:type="continuationSeparator" w:id="0">
    <w:p w14:paraId="516199EB" w14:textId="77777777" w:rsidR="0098586B" w:rsidRDefault="0098586B" w:rsidP="0085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DD59" w14:textId="244F8C00" w:rsidR="00853049" w:rsidRDefault="00853049">
    <w:pPr>
      <w:pStyle w:val="Header"/>
    </w:pPr>
    <w:r>
      <w:rPr>
        <w:noProof/>
      </w:rPr>
      <w:pict w14:anchorId="5D3DB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3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A715" w14:textId="2F1DD748" w:rsidR="00853049" w:rsidRDefault="00853049">
    <w:pPr>
      <w:pStyle w:val="Header"/>
    </w:pPr>
    <w:r>
      <w:rPr>
        <w:noProof/>
      </w:rPr>
      <w:pict w14:anchorId="452B7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3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934C" w14:textId="5FE4B28A" w:rsidR="00853049" w:rsidRDefault="00853049">
    <w:pPr>
      <w:pStyle w:val="Header"/>
    </w:pPr>
    <w:r>
      <w:rPr>
        <w:noProof/>
      </w:rPr>
      <w:pict w14:anchorId="56C85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3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852EE"/>
    <w:multiLevelType w:val="multilevel"/>
    <w:tmpl w:val="5592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018A1"/>
    <w:multiLevelType w:val="multilevel"/>
    <w:tmpl w:val="1AB8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56CE3"/>
    <w:multiLevelType w:val="multilevel"/>
    <w:tmpl w:val="0B88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91BEA"/>
    <w:multiLevelType w:val="multilevel"/>
    <w:tmpl w:val="0D16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110AC"/>
    <w:multiLevelType w:val="multilevel"/>
    <w:tmpl w:val="AAA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24972"/>
    <w:multiLevelType w:val="hybridMultilevel"/>
    <w:tmpl w:val="5726DB1E"/>
    <w:lvl w:ilvl="0" w:tplc="D6B684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C2A47"/>
    <w:multiLevelType w:val="multilevel"/>
    <w:tmpl w:val="430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86B49"/>
    <w:multiLevelType w:val="multilevel"/>
    <w:tmpl w:val="474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50DE4"/>
    <w:multiLevelType w:val="hybridMultilevel"/>
    <w:tmpl w:val="EF8C8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42025"/>
    <w:multiLevelType w:val="multilevel"/>
    <w:tmpl w:val="AABE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14050A"/>
    <w:multiLevelType w:val="hybridMultilevel"/>
    <w:tmpl w:val="0CF67F4C"/>
    <w:lvl w:ilvl="0" w:tplc="AC84F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16F49"/>
    <w:multiLevelType w:val="multilevel"/>
    <w:tmpl w:val="0398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1"/>
  </w:num>
  <w:num w:numId="4">
    <w:abstractNumId w:val="7"/>
  </w:num>
  <w:num w:numId="5">
    <w:abstractNumId w:val="3"/>
  </w:num>
  <w:num w:numId="6">
    <w:abstractNumId w:val="6"/>
  </w:num>
  <w:num w:numId="7">
    <w:abstractNumId w:val="2"/>
  </w:num>
  <w:num w:numId="8">
    <w:abstractNumId w:val="4"/>
  </w:num>
  <w:num w:numId="9">
    <w:abstractNumId w:val="5"/>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23"/>
    <w:rsid w:val="00002436"/>
    <w:rsid w:val="0002726E"/>
    <w:rsid w:val="000812DD"/>
    <w:rsid w:val="000C11CD"/>
    <w:rsid w:val="000C4DE8"/>
    <w:rsid w:val="001156E8"/>
    <w:rsid w:val="001D50D3"/>
    <w:rsid w:val="00354394"/>
    <w:rsid w:val="00610A9C"/>
    <w:rsid w:val="0068518A"/>
    <w:rsid w:val="00694A99"/>
    <w:rsid w:val="0081232E"/>
    <w:rsid w:val="00846BAB"/>
    <w:rsid w:val="008512AD"/>
    <w:rsid w:val="00853049"/>
    <w:rsid w:val="00873065"/>
    <w:rsid w:val="0098586B"/>
    <w:rsid w:val="009F29AA"/>
    <w:rsid w:val="00A32F9F"/>
    <w:rsid w:val="00A43AF6"/>
    <w:rsid w:val="00AD1D36"/>
    <w:rsid w:val="00AE5A85"/>
    <w:rsid w:val="00B16CFA"/>
    <w:rsid w:val="00B72EAC"/>
    <w:rsid w:val="00B95DD6"/>
    <w:rsid w:val="00B96254"/>
    <w:rsid w:val="00C373EF"/>
    <w:rsid w:val="00C96933"/>
    <w:rsid w:val="00CB2D09"/>
    <w:rsid w:val="00DB6515"/>
    <w:rsid w:val="00E41D23"/>
    <w:rsid w:val="00E858A5"/>
    <w:rsid w:val="00F0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932F0"/>
  <w15:chartTrackingRefBased/>
  <w15:docId w15:val="{5E552B5B-F02E-412A-86D4-4A7CAC33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F2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1D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1D23"/>
    <w:rPr>
      <w:b/>
      <w:bCs/>
    </w:rPr>
  </w:style>
  <w:style w:type="character" w:customStyle="1" w:styleId="Heading3Char">
    <w:name w:val="Heading 3 Char"/>
    <w:basedOn w:val="DefaultParagraphFont"/>
    <w:link w:val="Heading3"/>
    <w:uiPriority w:val="9"/>
    <w:rsid w:val="00E41D23"/>
    <w:rPr>
      <w:rFonts w:ascii="Times New Roman" w:eastAsia="Times New Roman" w:hAnsi="Times New Roman" w:cs="Times New Roman"/>
      <w:b/>
      <w:bCs/>
      <w:sz w:val="27"/>
      <w:szCs w:val="27"/>
    </w:rPr>
  </w:style>
  <w:style w:type="paragraph" w:styleId="ListParagraph">
    <w:name w:val="List Paragraph"/>
    <w:basedOn w:val="Normal"/>
    <w:uiPriority w:val="34"/>
    <w:qFormat/>
    <w:rsid w:val="00E41D23"/>
    <w:pPr>
      <w:ind w:left="720"/>
      <w:contextualSpacing/>
    </w:pPr>
  </w:style>
  <w:style w:type="character" w:customStyle="1" w:styleId="Heading2Char">
    <w:name w:val="Heading 2 Char"/>
    <w:basedOn w:val="DefaultParagraphFont"/>
    <w:link w:val="Heading2"/>
    <w:uiPriority w:val="9"/>
    <w:semiHidden/>
    <w:rsid w:val="009F29AA"/>
    <w:rPr>
      <w:rFonts w:asciiTheme="majorHAnsi" w:eastAsiaTheme="majorEastAsia" w:hAnsiTheme="majorHAnsi" w:cstheme="majorBidi"/>
      <w:color w:val="2E74B5" w:themeColor="accent1" w:themeShade="BF"/>
      <w:sz w:val="26"/>
      <w:szCs w:val="26"/>
    </w:rPr>
  </w:style>
  <w:style w:type="character" w:customStyle="1" w:styleId="katex">
    <w:name w:val="katex"/>
    <w:basedOn w:val="DefaultParagraphFont"/>
    <w:rsid w:val="00354394"/>
  </w:style>
  <w:style w:type="table" w:customStyle="1" w:styleId="TableGrid2">
    <w:name w:val="Table Grid2"/>
    <w:basedOn w:val="TableNormal"/>
    <w:next w:val="TableGrid"/>
    <w:uiPriority w:val="39"/>
    <w:rsid w:val="003543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4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439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54394"/>
    <w:rPr>
      <w:color w:val="0563C1" w:themeColor="hyperlink"/>
      <w:u w:val="single"/>
    </w:rPr>
  </w:style>
  <w:style w:type="character" w:styleId="UnresolvedMention">
    <w:name w:val="Unresolved Mention"/>
    <w:basedOn w:val="DefaultParagraphFont"/>
    <w:uiPriority w:val="99"/>
    <w:semiHidden/>
    <w:unhideWhenUsed/>
    <w:rsid w:val="00CB2D09"/>
    <w:rPr>
      <w:color w:val="605E5C"/>
      <w:shd w:val="clear" w:color="auto" w:fill="E1DFDD"/>
    </w:rPr>
  </w:style>
  <w:style w:type="paragraph" w:styleId="Header">
    <w:name w:val="header"/>
    <w:basedOn w:val="Normal"/>
    <w:link w:val="HeaderChar"/>
    <w:uiPriority w:val="99"/>
    <w:unhideWhenUsed/>
    <w:rsid w:val="0085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049"/>
  </w:style>
  <w:style w:type="paragraph" w:styleId="Footer">
    <w:name w:val="footer"/>
    <w:basedOn w:val="Normal"/>
    <w:link w:val="FooterChar"/>
    <w:uiPriority w:val="99"/>
    <w:unhideWhenUsed/>
    <w:rsid w:val="0085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87589">
      <w:bodyDiv w:val="1"/>
      <w:marLeft w:val="0"/>
      <w:marRight w:val="0"/>
      <w:marTop w:val="0"/>
      <w:marBottom w:val="0"/>
      <w:divBdr>
        <w:top w:val="none" w:sz="0" w:space="0" w:color="auto"/>
        <w:left w:val="none" w:sz="0" w:space="0" w:color="auto"/>
        <w:bottom w:val="none" w:sz="0" w:space="0" w:color="auto"/>
        <w:right w:val="none" w:sz="0" w:space="0" w:color="auto"/>
      </w:divBdr>
    </w:div>
    <w:div w:id="275479438">
      <w:bodyDiv w:val="1"/>
      <w:marLeft w:val="0"/>
      <w:marRight w:val="0"/>
      <w:marTop w:val="0"/>
      <w:marBottom w:val="0"/>
      <w:divBdr>
        <w:top w:val="none" w:sz="0" w:space="0" w:color="auto"/>
        <w:left w:val="none" w:sz="0" w:space="0" w:color="auto"/>
        <w:bottom w:val="none" w:sz="0" w:space="0" w:color="auto"/>
        <w:right w:val="none" w:sz="0" w:space="0" w:color="auto"/>
      </w:divBdr>
    </w:div>
    <w:div w:id="349262886">
      <w:bodyDiv w:val="1"/>
      <w:marLeft w:val="0"/>
      <w:marRight w:val="0"/>
      <w:marTop w:val="0"/>
      <w:marBottom w:val="0"/>
      <w:divBdr>
        <w:top w:val="none" w:sz="0" w:space="0" w:color="auto"/>
        <w:left w:val="none" w:sz="0" w:space="0" w:color="auto"/>
        <w:bottom w:val="none" w:sz="0" w:space="0" w:color="auto"/>
        <w:right w:val="none" w:sz="0" w:space="0" w:color="auto"/>
      </w:divBdr>
    </w:div>
    <w:div w:id="370231466">
      <w:bodyDiv w:val="1"/>
      <w:marLeft w:val="0"/>
      <w:marRight w:val="0"/>
      <w:marTop w:val="0"/>
      <w:marBottom w:val="0"/>
      <w:divBdr>
        <w:top w:val="none" w:sz="0" w:space="0" w:color="auto"/>
        <w:left w:val="none" w:sz="0" w:space="0" w:color="auto"/>
        <w:bottom w:val="none" w:sz="0" w:space="0" w:color="auto"/>
        <w:right w:val="none" w:sz="0" w:space="0" w:color="auto"/>
      </w:divBdr>
    </w:div>
    <w:div w:id="490876512">
      <w:bodyDiv w:val="1"/>
      <w:marLeft w:val="0"/>
      <w:marRight w:val="0"/>
      <w:marTop w:val="0"/>
      <w:marBottom w:val="0"/>
      <w:divBdr>
        <w:top w:val="none" w:sz="0" w:space="0" w:color="auto"/>
        <w:left w:val="none" w:sz="0" w:space="0" w:color="auto"/>
        <w:bottom w:val="none" w:sz="0" w:space="0" w:color="auto"/>
        <w:right w:val="none" w:sz="0" w:space="0" w:color="auto"/>
      </w:divBdr>
    </w:div>
    <w:div w:id="985084338">
      <w:bodyDiv w:val="1"/>
      <w:marLeft w:val="0"/>
      <w:marRight w:val="0"/>
      <w:marTop w:val="0"/>
      <w:marBottom w:val="0"/>
      <w:divBdr>
        <w:top w:val="none" w:sz="0" w:space="0" w:color="auto"/>
        <w:left w:val="none" w:sz="0" w:space="0" w:color="auto"/>
        <w:bottom w:val="none" w:sz="0" w:space="0" w:color="auto"/>
        <w:right w:val="none" w:sz="0" w:space="0" w:color="auto"/>
      </w:divBdr>
    </w:div>
    <w:div w:id="1199659082">
      <w:bodyDiv w:val="1"/>
      <w:marLeft w:val="0"/>
      <w:marRight w:val="0"/>
      <w:marTop w:val="0"/>
      <w:marBottom w:val="0"/>
      <w:divBdr>
        <w:top w:val="none" w:sz="0" w:space="0" w:color="auto"/>
        <w:left w:val="none" w:sz="0" w:space="0" w:color="auto"/>
        <w:bottom w:val="none" w:sz="0" w:space="0" w:color="auto"/>
        <w:right w:val="none" w:sz="0" w:space="0" w:color="auto"/>
      </w:divBdr>
    </w:div>
    <w:div w:id="1247761137">
      <w:bodyDiv w:val="1"/>
      <w:marLeft w:val="0"/>
      <w:marRight w:val="0"/>
      <w:marTop w:val="0"/>
      <w:marBottom w:val="0"/>
      <w:divBdr>
        <w:top w:val="none" w:sz="0" w:space="0" w:color="auto"/>
        <w:left w:val="none" w:sz="0" w:space="0" w:color="auto"/>
        <w:bottom w:val="none" w:sz="0" w:space="0" w:color="auto"/>
        <w:right w:val="none" w:sz="0" w:space="0" w:color="auto"/>
      </w:divBdr>
    </w:div>
    <w:div w:id="1700085805">
      <w:bodyDiv w:val="1"/>
      <w:marLeft w:val="0"/>
      <w:marRight w:val="0"/>
      <w:marTop w:val="0"/>
      <w:marBottom w:val="0"/>
      <w:divBdr>
        <w:top w:val="none" w:sz="0" w:space="0" w:color="auto"/>
        <w:left w:val="none" w:sz="0" w:space="0" w:color="auto"/>
        <w:bottom w:val="none" w:sz="0" w:space="0" w:color="auto"/>
        <w:right w:val="none" w:sz="0" w:space="0" w:color="auto"/>
      </w:divBdr>
    </w:div>
    <w:div w:id="1921602834">
      <w:bodyDiv w:val="1"/>
      <w:marLeft w:val="0"/>
      <w:marRight w:val="0"/>
      <w:marTop w:val="0"/>
      <w:marBottom w:val="0"/>
      <w:divBdr>
        <w:top w:val="none" w:sz="0" w:space="0" w:color="auto"/>
        <w:left w:val="none" w:sz="0" w:space="0" w:color="auto"/>
        <w:bottom w:val="none" w:sz="0" w:space="0" w:color="auto"/>
        <w:right w:val="none" w:sz="0" w:space="0" w:color="auto"/>
      </w:divBdr>
    </w:div>
    <w:div w:id="1987200340">
      <w:bodyDiv w:val="1"/>
      <w:marLeft w:val="0"/>
      <w:marRight w:val="0"/>
      <w:marTop w:val="0"/>
      <w:marBottom w:val="0"/>
      <w:divBdr>
        <w:top w:val="none" w:sz="0" w:space="0" w:color="auto"/>
        <w:left w:val="none" w:sz="0" w:space="0" w:color="auto"/>
        <w:bottom w:val="none" w:sz="0" w:space="0" w:color="auto"/>
        <w:right w:val="none" w:sz="0" w:space="0" w:color="auto"/>
      </w:divBdr>
    </w:div>
    <w:div w:id="2038504161">
      <w:bodyDiv w:val="1"/>
      <w:marLeft w:val="0"/>
      <w:marRight w:val="0"/>
      <w:marTop w:val="0"/>
      <w:marBottom w:val="0"/>
      <w:divBdr>
        <w:top w:val="none" w:sz="0" w:space="0" w:color="auto"/>
        <w:left w:val="none" w:sz="0" w:space="0" w:color="auto"/>
        <w:bottom w:val="none" w:sz="0" w:space="0" w:color="auto"/>
        <w:right w:val="none" w:sz="0" w:space="0" w:color="auto"/>
      </w:divBdr>
    </w:div>
    <w:div w:id="20916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www.ab-magazine.com/2025/01/21/taxing-nigerias-informal-sector-for-inclusive-growth/" TargetMode="External"/><Relationship Id="rId18" Type="http://schemas.openxmlformats.org/officeDocument/2006/relationships/hyperlink" Target="https://imf.org/external/pubs/ft/wp/2003/wp03155.pdf" TargetMode="External"/><Relationship Id="rId26" Type="http://schemas.openxmlformats.org/officeDocument/2006/relationships/hyperlink" Target="https://documents.worldbank.org" TargetMode="External"/><Relationship Id="rId3" Type="http://schemas.openxmlformats.org/officeDocument/2006/relationships/settings" Target="settings.xml"/><Relationship Id="rId21" Type="http://schemas.openxmlformats.org/officeDocument/2006/relationships/hyperlink" Target="https://www.kajaf.com.ng/index.php/kajaf/article/download/9/5/5"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www.econjournals.com/index.php/ijeep/article/download/18831/8812/44111" TargetMode="External"/><Relationship Id="rId25" Type="http://schemas.openxmlformats.org/officeDocument/2006/relationships/hyperlink" Target="https://rsisinternational.org/journals/ijriss/articles/the-effect-of-exchange-rate-on-the-growth-of-the-nigerian-economy/"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bn.gov.ng/out/2023/rsd/public%20debt%20sustainability%20measures%20and%20its%20growth%20implications%20for%20the%20nigerian%20economy.pdf" TargetMode="External"/><Relationship Id="rId20" Type="http://schemas.openxmlformats.org/officeDocument/2006/relationships/hyperlink" Target="https://www.imf.org/en/News/Articles/2025/07/07/cf-how-nigeria-can-unleash-its-economic-potentia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researchgate.net/publication/318755508_Structural_Adjustment_Programme_in_Nigeria_and_its_Implications_on_Socio-Economic_Development_1980-199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usinessday.ng/news/article/economic-impact-of-ibbs-sap-in-five-charts/" TargetMode="External"/><Relationship Id="rId23" Type="http://schemas.openxmlformats.org/officeDocument/2006/relationships/hyperlink" Target="https://punchng.com/tax-reforms-passage-heralds-new-fiscal-era/" TargetMode="External"/><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yperlink" Target="https://www.elibrary.imf.org/display/book/9781557753021/ch02.x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doi.org/10.1186/s43093-021-00104-6" TargetMode="External"/><Relationship Id="rId22" Type="http://schemas.openxmlformats.org/officeDocument/2006/relationships/hyperlink" Target="https://financeinafrica.com/news/nigerias-tinubu-economy-two/?utm_source=chatgpt.com" TargetMode="External"/><Relationship Id="rId27" Type="http://schemas.openxmlformats.org/officeDocument/2006/relationships/hyperlink" Target="https://www.worldbank.org/en/news/feature/2024/06/13/turning-the-corner-nigeria-ongoing-path-of-economic-reform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3059</TotalTime>
  <Pages>17</Pages>
  <Words>5607</Words>
  <Characters>31965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19</cp:revision>
  <dcterms:created xsi:type="dcterms:W3CDTF">2025-08-14T05:01:00Z</dcterms:created>
  <dcterms:modified xsi:type="dcterms:W3CDTF">2025-08-18T08:16:00Z</dcterms:modified>
</cp:coreProperties>
</file>